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A62961F" w14:textId="77777777" w:rsidTr="00BF1190">
        <w:trPr>
          <w:trHeight w:val="1863"/>
        </w:trPr>
        <w:tc>
          <w:tcPr>
            <w:tcW w:w="3652" w:type="dxa"/>
            <w:tcBorders>
              <w:top w:val="nil"/>
              <w:left w:val="nil"/>
              <w:bottom w:val="nil"/>
              <w:right w:val="nil"/>
            </w:tcBorders>
          </w:tcPr>
          <w:p w14:paraId="06955821" w14:textId="523745BA" w:rsidR="008E7846" w:rsidRPr="00096AA7" w:rsidRDefault="007C015B" w:rsidP="007C015B">
            <w:pPr>
              <w:rPr>
                <w:rFonts w:ascii="Arial" w:hAnsi="Arial" w:cs="Arial"/>
                <w:b/>
                <w:color w:val="002C47"/>
                <w:sz w:val="36"/>
                <w:szCs w:val="36"/>
              </w:rPr>
            </w:pPr>
            <w:r>
              <w:rPr>
                <w:rFonts w:ascii="Arial" w:hAnsi="Arial" w:cs="Arial"/>
                <w:b/>
                <w:color w:val="002C47"/>
                <w:sz w:val="36"/>
                <w:szCs w:val="36"/>
              </w:rPr>
              <w:t>December</w:t>
            </w:r>
            <w:r w:rsidR="001C5768">
              <w:rPr>
                <w:rFonts w:ascii="Arial" w:hAnsi="Arial" w:cs="Arial"/>
                <w:b/>
                <w:color w:val="002C47"/>
                <w:sz w:val="36"/>
                <w:szCs w:val="36"/>
              </w:rPr>
              <w:t xml:space="preserve"> </w:t>
            </w:r>
            <w:r w:rsidR="00A702CF">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3578107" w14:textId="77777777" w:rsidTr="0032583B">
        <w:trPr>
          <w:trHeight w:val="868"/>
        </w:trPr>
        <w:tc>
          <w:tcPr>
            <w:tcW w:w="9079" w:type="dxa"/>
          </w:tcPr>
          <w:p w14:paraId="2325FC94" w14:textId="77777777" w:rsidR="0032583B" w:rsidRPr="00A964D1" w:rsidRDefault="0032583B" w:rsidP="00460036">
            <w:pPr>
              <w:pStyle w:val="Title"/>
              <w:rPr>
                <w:color w:val="FFFFFF" w:themeColor="background1"/>
              </w:rPr>
            </w:pPr>
            <w:r w:rsidRPr="00A964D1">
              <w:rPr>
                <w:color w:val="FFFFFF" w:themeColor="background1"/>
              </w:rPr>
              <w:t>Australia</w:t>
            </w:r>
            <w:r w:rsidR="00A702CF">
              <w:rPr>
                <w:color w:val="FFFFFF" w:themeColor="background1"/>
              </w:rPr>
              <w:t>n Public Assessment Report for Entrectinib</w:t>
            </w:r>
          </w:p>
        </w:tc>
      </w:tr>
      <w:tr w:rsidR="0032583B" w:rsidRPr="00B64760" w14:paraId="70FF4BB0" w14:textId="77777777" w:rsidTr="0032583B">
        <w:tc>
          <w:tcPr>
            <w:tcW w:w="9079" w:type="dxa"/>
          </w:tcPr>
          <w:p w14:paraId="4EFD930D" w14:textId="77777777" w:rsidR="0032583B" w:rsidRPr="008E7846" w:rsidRDefault="00A702CF" w:rsidP="00A702CF">
            <w:pPr>
              <w:pStyle w:val="Subtitle"/>
              <w:rPr>
                <w:color w:val="FFFFFF" w:themeColor="background1"/>
              </w:rPr>
            </w:pPr>
            <w:r>
              <w:rPr>
                <w:color w:val="FFFFFF" w:themeColor="background1"/>
              </w:rPr>
              <w:t>Proprietary Product Name: Rozlytrek</w:t>
            </w:r>
          </w:p>
        </w:tc>
      </w:tr>
      <w:tr w:rsidR="0032583B" w:rsidRPr="00B64760" w14:paraId="744689BA" w14:textId="77777777" w:rsidTr="0032583B">
        <w:trPr>
          <w:trHeight w:val="486"/>
        </w:trPr>
        <w:tc>
          <w:tcPr>
            <w:tcW w:w="9079" w:type="dxa"/>
          </w:tcPr>
          <w:p w14:paraId="0D078358" w14:textId="77777777" w:rsidR="0032583B" w:rsidRPr="008E7846" w:rsidRDefault="00A702CF" w:rsidP="0032583B">
            <w:pPr>
              <w:pStyle w:val="Subtitle"/>
              <w:rPr>
                <w:color w:val="FFFFFF" w:themeColor="background1"/>
              </w:rPr>
            </w:pPr>
            <w:r>
              <w:rPr>
                <w:color w:val="FFFFFF" w:themeColor="background1"/>
              </w:rPr>
              <w:t>Sponsor: Roche Products Pty Ltd</w:t>
            </w:r>
          </w:p>
        </w:tc>
      </w:tr>
    </w:tbl>
    <w:p w14:paraId="511E9EB4" w14:textId="77777777" w:rsidR="008E7846" w:rsidRPr="0085156D" w:rsidRDefault="008E7846" w:rsidP="0085156D">
      <w:r w:rsidRPr="0085156D">
        <w:br w:type="page"/>
      </w:r>
    </w:p>
    <w:p w14:paraId="1EBB3C3B" w14:textId="77777777" w:rsidR="008E7846" w:rsidRPr="001F6CBA" w:rsidRDefault="008E7846" w:rsidP="008E7846">
      <w:pPr>
        <w:pStyle w:val="NonTOCHeading2"/>
      </w:pPr>
      <w:r w:rsidRPr="001F6CBA">
        <w:lastRenderedPageBreak/>
        <w:t>About the Therapeutic Goods Administration (TGA)</w:t>
      </w:r>
    </w:p>
    <w:p w14:paraId="100258F0" w14:textId="77777777" w:rsidR="008E7846" w:rsidRPr="00356227" w:rsidRDefault="008E7846" w:rsidP="00356227">
      <w:pPr>
        <w:pStyle w:val="ListBullet"/>
      </w:pPr>
      <w:r w:rsidRPr="00356227">
        <w:t xml:space="preserve">The Therapeutic Goods Administration (TGA) is </w:t>
      </w:r>
      <w:r w:rsidR="00E624A5" w:rsidRPr="00356227">
        <w:t xml:space="preserve">part </w:t>
      </w:r>
      <w:r w:rsidRPr="00356227">
        <w:t>of the Australian Government Department of Health and is responsible for regulating medicines and medical devices.</w:t>
      </w:r>
    </w:p>
    <w:p w14:paraId="451A96D3" w14:textId="77777777" w:rsidR="008E7846" w:rsidRPr="00356227" w:rsidRDefault="00C80137" w:rsidP="00356227">
      <w:pPr>
        <w:pStyle w:val="ListBullet"/>
      </w:pPr>
      <w:r w:rsidRPr="00356227">
        <w:t xml:space="preserve">The </w:t>
      </w:r>
      <w:r w:rsidR="008E7846" w:rsidRPr="00356227">
        <w:t>TGA administers the Therapeutic Goods Act 1989</w:t>
      </w:r>
      <w:r w:rsidR="00785717" w:rsidRPr="00356227">
        <w:t xml:space="preserve"> (the Act)</w:t>
      </w:r>
      <w:r w:rsidR="008E7846" w:rsidRPr="00356227">
        <w:t>, applying a risk management approach designed to ensure therapeutic goods supplied in Australia meet acceptable standards of quality, safety and efficacy (performance) when necessary.</w:t>
      </w:r>
    </w:p>
    <w:p w14:paraId="2818F9DD" w14:textId="77777777" w:rsidR="008E7846" w:rsidRPr="00356227" w:rsidRDefault="008E7846" w:rsidP="00356227">
      <w:pPr>
        <w:pStyle w:val="ListBullet"/>
      </w:pPr>
      <w:r w:rsidRPr="00356227">
        <w:t>The work of the TGA is based on applying scientific and clinical expertise to decision-making, to ensure that the benefits to consumers outweigh any risks associated with the use of medicines and medical devices.</w:t>
      </w:r>
    </w:p>
    <w:p w14:paraId="61366BA0" w14:textId="77777777" w:rsidR="008E7846" w:rsidRPr="00356227" w:rsidRDefault="008E7846" w:rsidP="00356227">
      <w:pPr>
        <w:pStyle w:val="ListBullet"/>
      </w:pPr>
      <w:r w:rsidRPr="00356227">
        <w:t>The TGA relies on the public, healthcare professionals and industry to report problems with medicines or medical devices. TGA investigates reports received by it to determine any necessary regulatory action.</w:t>
      </w:r>
    </w:p>
    <w:p w14:paraId="7FCBB8E1" w14:textId="41D42DBC" w:rsidR="00441C3F" w:rsidRPr="00356227" w:rsidRDefault="008E7846" w:rsidP="00356227">
      <w:pPr>
        <w:pStyle w:val="ListBullet"/>
      </w:pPr>
      <w:r w:rsidRPr="00356227">
        <w:t xml:space="preserve">To report a problem with a medicine or medical device, please see the information on </w:t>
      </w:r>
      <w:r w:rsidR="00441C3F" w:rsidRPr="00356227">
        <w:t>the TGA website &lt;</w:t>
      </w:r>
      <w:hyperlink r:id="rId8" w:history="1">
        <w:r w:rsidR="00441C3F" w:rsidRPr="00356227">
          <w:rPr>
            <w:rStyle w:val="Hyperlink"/>
            <w:color w:val="auto"/>
            <w:u w:val="none"/>
          </w:rPr>
          <w:t>https://www.tga.gov.au</w:t>
        </w:r>
      </w:hyperlink>
      <w:r w:rsidR="00441C3F" w:rsidRPr="00356227">
        <w:t>&gt;.</w:t>
      </w:r>
    </w:p>
    <w:p w14:paraId="45809530" w14:textId="77777777" w:rsidR="008E7846" w:rsidRDefault="008E7846" w:rsidP="00875A6B">
      <w:pPr>
        <w:pStyle w:val="NonTOCHeading2"/>
      </w:pPr>
      <w:r>
        <w:t>About AusPARs</w:t>
      </w:r>
    </w:p>
    <w:p w14:paraId="70E8193E" w14:textId="77777777" w:rsidR="008E7846" w:rsidRPr="00356227" w:rsidRDefault="008E7846" w:rsidP="00356227">
      <w:pPr>
        <w:pStyle w:val="ListBullet"/>
      </w:pPr>
      <w:r w:rsidRPr="00356227">
        <w:t>An Australian Public Assessment Re</w:t>
      </w:r>
      <w:r w:rsidR="00133A1B" w:rsidRPr="00356227">
        <w:t>port</w:t>
      </w:r>
      <w:r w:rsidRPr="00356227">
        <w:t xml:space="preserve"> (AusPAR) provides information about the evaluation of a prescription medicine and the considerations that led the TGA to approve or not approve a pr</w:t>
      </w:r>
      <w:r w:rsidR="00441C3F" w:rsidRPr="00356227">
        <w:t>escription medicine submission.</w:t>
      </w:r>
    </w:p>
    <w:p w14:paraId="131D5251" w14:textId="77777777" w:rsidR="008E7846" w:rsidRPr="00356227" w:rsidRDefault="008E7846" w:rsidP="00356227">
      <w:pPr>
        <w:pStyle w:val="ListBullet"/>
      </w:pPr>
      <w:r w:rsidRPr="00356227">
        <w:t>AusPARs are prepared and published by the TGA.</w:t>
      </w:r>
    </w:p>
    <w:p w14:paraId="66EBAB64" w14:textId="77777777" w:rsidR="008E7846" w:rsidRPr="00356227" w:rsidRDefault="008E7846" w:rsidP="00356227">
      <w:pPr>
        <w:pStyle w:val="ListBullet"/>
      </w:pPr>
      <w:r w:rsidRPr="00356227">
        <w:t>An AusPAR is prepared for submissions that relate to new chemical entities, generic medicines, major variations and extensions of indications.</w:t>
      </w:r>
    </w:p>
    <w:p w14:paraId="7A1AFD7B" w14:textId="77777777" w:rsidR="008E7846" w:rsidRPr="00356227" w:rsidRDefault="008E7846" w:rsidP="00356227">
      <w:pPr>
        <w:pStyle w:val="ListBullet"/>
      </w:pPr>
      <w:r w:rsidRPr="00356227">
        <w:t>An AusPAR is a static document</w:t>
      </w:r>
      <w:r w:rsidR="00133A1B" w:rsidRPr="00356227">
        <w:t>;</w:t>
      </w:r>
      <w:r w:rsidRPr="00356227">
        <w:t xml:space="preserve"> it provide</w:t>
      </w:r>
      <w:r w:rsidR="00133A1B" w:rsidRPr="00356227">
        <w:t>s</w:t>
      </w:r>
      <w:r w:rsidRPr="00356227">
        <w:t xml:space="preserve"> information that relates to a submission at a particular point in time.</w:t>
      </w:r>
    </w:p>
    <w:p w14:paraId="787B55EF" w14:textId="77777777" w:rsidR="00B452CE" w:rsidRPr="00356227" w:rsidRDefault="008E7846" w:rsidP="00356227">
      <w:pPr>
        <w:pStyle w:val="ListBullet"/>
      </w:pPr>
      <w:r w:rsidRPr="00356227">
        <w:t>A new AusPAR will be developed to reflect changes to indications and/or major variations to a prescription medicine subject to evaluation by the TGA.</w:t>
      </w:r>
    </w:p>
    <w:p w14:paraId="2E9CB493" w14:textId="77777777" w:rsidR="00924482" w:rsidRPr="00DF1D7F" w:rsidRDefault="00924482" w:rsidP="00F54B65">
      <w:pPr>
        <w:pStyle w:val="LegalSubheading"/>
        <w:spacing w:before="3120"/>
      </w:pPr>
      <w:r w:rsidRPr="00DF1D7F">
        <w:t>Copyright</w:t>
      </w:r>
    </w:p>
    <w:p w14:paraId="4CC843E4" w14:textId="03EB66DC"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39E16F86"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8803E86" w14:textId="77777777" w:rsidR="0089635C" w:rsidRPr="0089635C" w:rsidRDefault="0089635C" w:rsidP="0010788A">
          <w:pPr>
            <w:pStyle w:val="Contents"/>
          </w:pPr>
          <w:r w:rsidRPr="0010788A">
            <w:t>Contents</w:t>
          </w:r>
        </w:p>
        <w:p w14:paraId="5A46F606" w14:textId="4CC01524" w:rsidR="005743D8"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2891247" w:history="1">
            <w:r w:rsidR="005743D8" w:rsidRPr="006D675D">
              <w:rPr>
                <w:rStyle w:val="Hyperlink"/>
                <w:noProof/>
              </w:rPr>
              <w:t>Common abbreviations</w:t>
            </w:r>
            <w:r w:rsidR="005743D8">
              <w:rPr>
                <w:noProof/>
                <w:webHidden/>
              </w:rPr>
              <w:tab/>
            </w:r>
            <w:r w:rsidR="005743D8">
              <w:rPr>
                <w:noProof/>
                <w:webHidden/>
              </w:rPr>
              <w:fldChar w:fldCharType="begin"/>
            </w:r>
            <w:r w:rsidR="005743D8">
              <w:rPr>
                <w:noProof/>
                <w:webHidden/>
              </w:rPr>
              <w:instrText xml:space="preserve"> PAGEREF _Toc52891247 \h </w:instrText>
            </w:r>
            <w:r w:rsidR="005743D8">
              <w:rPr>
                <w:noProof/>
                <w:webHidden/>
              </w:rPr>
            </w:r>
            <w:r w:rsidR="005743D8">
              <w:rPr>
                <w:noProof/>
                <w:webHidden/>
              </w:rPr>
              <w:fldChar w:fldCharType="separate"/>
            </w:r>
            <w:r w:rsidR="005743D8">
              <w:rPr>
                <w:noProof/>
                <w:webHidden/>
              </w:rPr>
              <w:t>4</w:t>
            </w:r>
            <w:r w:rsidR="005743D8">
              <w:rPr>
                <w:noProof/>
                <w:webHidden/>
              </w:rPr>
              <w:fldChar w:fldCharType="end"/>
            </w:r>
          </w:hyperlink>
        </w:p>
        <w:p w14:paraId="6F593CA9" w14:textId="0A889215" w:rsidR="005743D8" w:rsidRDefault="00356227">
          <w:pPr>
            <w:pStyle w:val="TOC1"/>
            <w:rPr>
              <w:rFonts w:asciiTheme="minorHAnsi" w:eastAsiaTheme="minorEastAsia" w:hAnsiTheme="minorHAnsi" w:cstheme="minorBidi"/>
              <w:b w:val="0"/>
              <w:noProof/>
              <w:sz w:val="22"/>
              <w:lang w:eastAsia="en-AU"/>
            </w:rPr>
          </w:pPr>
          <w:hyperlink w:anchor="_Toc52891248" w:history="1">
            <w:r w:rsidR="005743D8" w:rsidRPr="006D675D">
              <w:rPr>
                <w:rStyle w:val="Hyperlink"/>
                <w:noProof/>
              </w:rPr>
              <w:t>I. Introduction to product submission</w:t>
            </w:r>
            <w:r w:rsidR="005743D8">
              <w:rPr>
                <w:noProof/>
                <w:webHidden/>
              </w:rPr>
              <w:tab/>
            </w:r>
            <w:r w:rsidR="005743D8">
              <w:rPr>
                <w:noProof/>
                <w:webHidden/>
              </w:rPr>
              <w:fldChar w:fldCharType="begin"/>
            </w:r>
            <w:r w:rsidR="005743D8">
              <w:rPr>
                <w:noProof/>
                <w:webHidden/>
              </w:rPr>
              <w:instrText xml:space="preserve"> PAGEREF _Toc52891248 \h </w:instrText>
            </w:r>
            <w:r w:rsidR="005743D8">
              <w:rPr>
                <w:noProof/>
                <w:webHidden/>
              </w:rPr>
            </w:r>
            <w:r w:rsidR="005743D8">
              <w:rPr>
                <w:noProof/>
                <w:webHidden/>
              </w:rPr>
              <w:fldChar w:fldCharType="separate"/>
            </w:r>
            <w:r w:rsidR="005743D8">
              <w:rPr>
                <w:noProof/>
                <w:webHidden/>
              </w:rPr>
              <w:t>10</w:t>
            </w:r>
            <w:r w:rsidR="005743D8">
              <w:rPr>
                <w:noProof/>
                <w:webHidden/>
              </w:rPr>
              <w:fldChar w:fldCharType="end"/>
            </w:r>
          </w:hyperlink>
        </w:p>
        <w:p w14:paraId="4D792298" w14:textId="2328D24E" w:rsidR="005743D8" w:rsidRDefault="00356227">
          <w:pPr>
            <w:pStyle w:val="TOC2"/>
            <w:rPr>
              <w:rFonts w:asciiTheme="minorHAnsi" w:eastAsiaTheme="minorEastAsia" w:hAnsiTheme="minorHAnsi" w:cstheme="minorBidi"/>
              <w:b w:val="0"/>
              <w:noProof/>
              <w:sz w:val="22"/>
              <w:lang w:eastAsia="en-AU"/>
            </w:rPr>
          </w:pPr>
          <w:hyperlink w:anchor="_Toc52891249" w:history="1">
            <w:r w:rsidR="005743D8" w:rsidRPr="006D675D">
              <w:rPr>
                <w:rStyle w:val="Hyperlink"/>
                <w:noProof/>
                <w:lang w:eastAsia="en-AU"/>
              </w:rPr>
              <w:t>Submission details</w:t>
            </w:r>
            <w:r w:rsidR="005743D8">
              <w:rPr>
                <w:noProof/>
                <w:webHidden/>
              </w:rPr>
              <w:tab/>
            </w:r>
            <w:r w:rsidR="005743D8">
              <w:rPr>
                <w:noProof/>
                <w:webHidden/>
              </w:rPr>
              <w:fldChar w:fldCharType="begin"/>
            </w:r>
            <w:r w:rsidR="005743D8">
              <w:rPr>
                <w:noProof/>
                <w:webHidden/>
              </w:rPr>
              <w:instrText xml:space="preserve"> PAGEREF _Toc52891249 \h </w:instrText>
            </w:r>
            <w:r w:rsidR="005743D8">
              <w:rPr>
                <w:noProof/>
                <w:webHidden/>
              </w:rPr>
            </w:r>
            <w:r w:rsidR="005743D8">
              <w:rPr>
                <w:noProof/>
                <w:webHidden/>
              </w:rPr>
              <w:fldChar w:fldCharType="separate"/>
            </w:r>
            <w:r w:rsidR="005743D8">
              <w:rPr>
                <w:noProof/>
                <w:webHidden/>
              </w:rPr>
              <w:t>10</w:t>
            </w:r>
            <w:r w:rsidR="005743D8">
              <w:rPr>
                <w:noProof/>
                <w:webHidden/>
              </w:rPr>
              <w:fldChar w:fldCharType="end"/>
            </w:r>
          </w:hyperlink>
        </w:p>
        <w:p w14:paraId="3B30FD28" w14:textId="65FD5BEA" w:rsidR="005743D8" w:rsidRDefault="00356227">
          <w:pPr>
            <w:pStyle w:val="TOC2"/>
            <w:rPr>
              <w:rFonts w:asciiTheme="minorHAnsi" w:eastAsiaTheme="minorEastAsia" w:hAnsiTheme="minorHAnsi" w:cstheme="minorBidi"/>
              <w:b w:val="0"/>
              <w:noProof/>
              <w:sz w:val="22"/>
              <w:lang w:eastAsia="en-AU"/>
            </w:rPr>
          </w:pPr>
          <w:hyperlink w:anchor="_Toc52891250" w:history="1">
            <w:r w:rsidR="005743D8" w:rsidRPr="006D675D">
              <w:rPr>
                <w:rStyle w:val="Hyperlink"/>
                <w:noProof/>
              </w:rPr>
              <w:t>Product background</w:t>
            </w:r>
            <w:r w:rsidR="005743D8">
              <w:rPr>
                <w:noProof/>
                <w:webHidden/>
              </w:rPr>
              <w:tab/>
            </w:r>
            <w:r w:rsidR="005743D8">
              <w:rPr>
                <w:noProof/>
                <w:webHidden/>
              </w:rPr>
              <w:fldChar w:fldCharType="begin"/>
            </w:r>
            <w:r w:rsidR="005743D8">
              <w:rPr>
                <w:noProof/>
                <w:webHidden/>
              </w:rPr>
              <w:instrText xml:space="preserve"> PAGEREF _Toc52891250 \h </w:instrText>
            </w:r>
            <w:r w:rsidR="005743D8">
              <w:rPr>
                <w:noProof/>
                <w:webHidden/>
              </w:rPr>
            </w:r>
            <w:r w:rsidR="005743D8">
              <w:rPr>
                <w:noProof/>
                <w:webHidden/>
              </w:rPr>
              <w:fldChar w:fldCharType="separate"/>
            </w:r>
            <w:r w:rsidR="005743D8">
              <w:rPr>
                <w:noProof/>
                <w:webHidden/>
              </w:rPr>
              <w:t>13</w:t>
            </w:r>
            <w:r w:rsidR="005743D8">
              <w:rPr>
                <w:noProof/>
                <w:webHidden/>
              </w:rPr>
              <w:fldChar w:fldCharType="end"/>
            </w:r>
          </w:hyperlink>
        </w:p>
        <w:p w14:paraId="616CBC80" w14:textId="4EBEBDFB" w:rsidR="005743D8" w:rsidRDefault="00356227">
          <w:pPr>
            <w:pStyle w:val="TOC2"/>
            <w:rPr>
              <w:rFonts w:asciiTheme="minorHAnsi" w:eastAsiaTheme="minorEastAsia" w:hAnsiTheme="minorHAnsi" w:cstheme="minorBidi"/>
              <w:b w:val="0"/>
              <w:noProof/>
              <w:sz w:val="22"/>
              <w:lang w:eastAsia="en-AU"/>
            </w:rPr>
          </w:pPr>
          <w:hyperlink w:anchor="_Toc52891251" w:history="1">
            <w:r w:rsidR="005743D8" w:rsidRPr="006D675D">
              <w:rPr>
                <w:rStyle w:val="Hyperlink"/>
                <w:noProof/>
              </w:rPr>
              <w:t>Regulatory status</w:t>
            </w:r>
            <w:r w:rsidR="005743D8">
              <w:rPr>
                <w:noProof/>
                <w:webHidden/>
              </w:rPr>
              <w:tab/>
            </w:r>
            <w:r w:rsidR="005743D8">
              <w:rPr>
                <w:noProof/>
                <w:webHidden/>
              </w:rPr>
              <w:fldChar w:fldCharType="begin"/>
            </w:r>
            <w:r w:rsidR="005743D8">
              <w:rPr>
                <w:noProof/>
                <w:webHidden/>
              </w:rPr>
              <w:instrText xml:space="preserve"> PAGEREF _Toc52891251 \h </w:instrText>
            </w:r>
            <w:r w:rsidR="005743D8">
              <w:rPr>
                <w:noProof/>
                <w:webHidden/>
              </w:rPr>
            </w:r>
            <w:r w:rsidR="005743D8">
              <w:rPr>
                <w:noProof/>
                <w:webHidden/>
              </w:rPr>
              <w:fldChar w:fldCharType="separate"/>
            </w:r>
            <w:r w:rsidR="005743D8">
              <w:rPr>
                <w:noProof/>
                <w:webHidden/>
              </w:rPr>
              <w:t>15</w:t>
            </w:r>
            <w:r w:rsidR="005743D8">
              <w:rPr>
                <w:noProof/>
                <w:webHidden/>
              </w:rPr>
              <w:fldChar w:fldCharType="end"/>
            </w:r>
          </w:hyperlink>
        </w:p>
        <w:p w14:paraId="23885398" w14:textId="455377E5" w:rsidR="005743D8" w:rsidRDefault="00356227">
          <w:pPr>
            <w:pStyle w:val="TOC2"/>
            <w:rPr>
              <w:rFonts w:asciiTheme="minorHAnsi" w:eastAsiaTheme="minorEastAsia" w:hAnsiTheme="minorHAnsi" w:cstheme="minorBidi"/>
              <w:b w:val="0"/>
              <w:noProof/>
              <w:sz w:val="22"/>
              <w:lang w:eastAsia="en-AU"/>
            </w:rPr>
          </w:pPr>
          <w:hyperlink w:anchor="_Toc52891252" w:history="1">
            <w:r w:rsidR="005743D8" w:rsidRPr="006D675D">
              <w:rPr>
                <w:rStyle w:val="Hyperlink"/>
                <w:noProof/>
              </w:rPr>
              <w:t>Product Information</w:t>
            </w:r>
            <w:r w:rsidR="005743D8">
              <w:rPr>
                <w:noProof/>
                <w:webHidden/>
              </w:rPr>
              <w:tab/>
            </w:r>
            <w:r w:rsidR="005743D8">
              <w:rPr>
                <w:noProof/>
                <w:webHidden/>
              </w:rPr>
              <w:fldChar w:fldCharType="begin"/>
            </w:r>
            <w:r w:rsidR="005743D8">
              <w:rPr>
                <w:noProof/>
                <w:webHidden/>
              </w:rPr>
              <w:instrText xml:space="preserve"> PAGEREF _Toc52891252 \h </w:instrText>
            </w:r>
            <w:r w:rsidR="005743D8">
              <w:rPr>
                <w:noProof/>
                <w:webHidden/>
              </w:rPr>
            </w:r>
            <w:r w:rsidR="005743D8">
              <w:rPr>
                <w:noProof/>
                <w:webHidden/>
              </w:rPr>
              <w:fldChar w:fldCharType="separate"/>
            </w:r>
            <w:r w:rsidR="005743D8">
              <w:rPr>
                <w:noProof/>
                <w:webHidden/>
              </w:rPr>
              <w:t>16</w:t>
            </w:r>
            <w:r w:rsidR="005743D8">
              <w:rPr>
                <w:noProof/>
                <w:webHidden/>
              </w:rPr>
              <w:fldChar w:fldCharType="end"/>
            </w:r>
          </w:hyperlink>
        </w:p>
        <w:p w14:paraId="3FFBA092" w14:textId="332E0C8F" w:rsidR="005743D8" w:rsidRDefault="00356227">
          <w:pPr>
            <w:pStyle w:val="TOC1"/>
            <w:rPr>
              <w:rFonts w:asciiTheme="minorHAnsi" w:eastAsiaTheme="minorEastAsia" w:hAnsiTheme="minorHAnsi" w:cstheme="minorBidi"/>
              <w:b w:val="0"/>
              <w:noProof/>
              <w:sz w:val="22"/>
              <w:lang w:eastAsia="en-AU"/>
            </w:rPr>
          </w:pPr>
          <w:hyperlink w:anchor="_Toc52891253" w:history="1">
            <w:r w:rsidR="005743D8" w:rsidRPr="006D675D">
              <w:rPr>
                <w:rStyle w:val="Hyperlink"/>
                <w:noProof/>
              </w:rPr>
              <w:t>II. Registration timeline</w:t>
            </w:r>
            <w:r w:rsidR="005743D8">
              <w:rPr>
                <w:noProof/>
                <w:webHidden/>
              </w:rPr>
              <w:tab/>
            </w:r>
            <w:r w:rsidR="005743D8">
              <w:rPr>
                <w:noProof/>
                <w:webHidden/>
              </w:rPr>
              <w:fldChar w:fldCharType="begin"/>
            </w:r>
            <w:r w:rsidR="005743D8">
              <w:rPr>
                <w:noProof/>
                <w:webHidden/>
              </w:rPr>
              <w:instrText xml:space="preserve"> PAGEREF _Toc52891253 \h </w:instrText>
            </w:r>
            <w:r w:rsidR="005743D8">
              <w:rPr>
                <w:noProof/>
                <w:webHidden/>
              </w:rPr>
            </w:r>
            <w:r w:rsidR="005743D8">
              <w:rPr>
                <w:noProof/>
                <w:webHidden/>
              </w:rPr>
              <w:fldChar w:fldCharType="separate"/>
            </w:r>
            <w:r w:rsidR="005743D8">
              <w:rPr>
                <w:noProof/>
                <w:webHidden/>
              </w:rPr>
              <w:t>17</w:t>
            </w:r>
            <w:r w:rsidR="005743D8">
              <w:rPr>
                <w:noProof/>
                <w:webHidden/>
              </w:rPr>
              <w:fldChar w:fldCharType="end"/>
            </w:r>
          </w:hyperlink>
        </w:p>
        <w:p w14:paraId="334BDD47" w14:textId="5E655BD4" w:rsidR="005743D8" w:rsidRDefault="00356227">
          <w:pPr>
            <w:pStyle w:val="TOC1"/>
            <w:rPr>
              <w:rFonts w:asciiTheme="minorHAnsi" w:eastAsiaTheme="minorEastAsia" w:hAnsiTheme="minorHAnsi" w:cstheme="minorBidi"/>
              <w:b w:val="0"/>
              <w:noProof/>
              <w:sz w:val="22"/>
              <w:lang w:eastAsia="en-AU"/>
            </w:rPr>
          </w:pPr>
          <w:hyperlink w:anchor="_Toc52891254" w:history="1">
            <w:r w:rsidR="005743D8" w:rsidRPr="006D675D">
              <w:rPr>
                <w:rStyle w:val="Hyperlink"/>
                <w:noProof/>
              </w:rPr>
              <w:t>III. Submission overview and risk/benefit assessment</w:t>
            </w:r>
            <w:r w:rsidR="005743D8">
              <w:rPr>
                <w:noProof/>
                <w:webHidden/>
              </w:rPr>
              <w:tab/>
            </w:r>
            <w:r w:rsidR="005743D8">
              <w:rPr>
                <w:noProof/>
                <w:webHidden/>
              </w:rPr>
              <w:fldChar w:fldCharType="begin"/>
            </w:r>
            <w:r w:rsidR="005743D8">
              <w:rPr>
                <w:noProof/>
                <w:webHidden/>
              </w:rPr>
              <w:instrText xml:space="preserve"> PAGEREF _Toc52891254 \h </w:instrText>
            </w:r>
            <w:r w:rsidR="005743D8">
              <w:rPr>
                <w:noProof/>
                <w:webHidden/>
              </w:rPr>
            </w:r>
            <w:r w:rsidR="005743D8">
              <w:rPr>
                <w:noProof/>
                <w:webHidden/>
              </w:rPr>
              <w:fldChar w:fldCharType="separate"/>
            </w:r>
            <w:r w:rsidR="005743D8">
              <w:rPr>
                <w:noProof/>
                <w:webHidden/>
              </w:rPr>
              <w:t>18</w:t>
            </w:r>
            <w:r w:rsidR="005743D8">
              <w:rPr>
                <w:noProof/>
                <w:webHidden/>
              </w:rPr>
              <w:fldChar w:fldCharType="end"/>
            </w:r>
          </w:hyperlink>
        </w:p>
        <w:p w14:paraId="0074B747" w14:textId="646C7432" w:rsidR="005743D8" w:rsidRDefault="00356227">
          <w:pPr>
            <w:pStyle w:val="TOC2"/>
            <w:rPr>
              <w:rFonts w:asciiTheme="minorHAnsi" w:eastAsiaTheme="minorEastAsia" w:hAnsiTheme="minorHAnsi" w:cstheme="minorBidi"/>
              <w:b w:val="0"/>
              <w:noProof/>
              <w:sz w:val="22"/>
              <w:lang w:eastAsia="en-AU"/>
            </w:rPr>
          </w:pPr>
          <w:hyperlink w:anchor="_Toc52891255" w:history="1">
            <w:r w:rsidR="005743D8" w:rsidRPr="006D675D">
              <w:rPr>
                <w:rStyle w:val="Hyperlink"/>
                <w:noProof/>
              </w:rPr>
              <w:t>Quality</w:t>
            </w:r>
            <w:r w:rsidR="005743D8">
              <w:rPr>
                <w:noProof/>
                <w:webHidden/>
              </w:rPr>
              <w:tab/>
            </w:r>
            <w:r w:rsidR="005743D8">
              <w:rPr>
                <w:noProof/>
                <w:webHidden/>
              </w:rPr>
              <w:fldChar w:fldCharType="begin"/>
            </w:r>
            <w:r w:rsidR="005743D8">
              <w:rPr>
                <w:noProof/>
                <w:webHidden/>
              </w:rPr>
              <w:instrText xml:space="preserve"> PAGEREF _Toc52891255 \h </w:instrText>
            </w:r>
            <w:r w:rsidR="005743D8">
              <w:rPr>
                <w:noProof/>
                <w:webHidden/>
              </w:rPr>
            </w:r>
            <w:r w:rsidR="005743D8">
              <w:rPr>
                <w:noProof/>
                <w:webHidden/>
              </w:rPr>
              <w:fldChar w:fldCharType="separate"/>
            </w:r>
            <w:r w:rsidR="005743D8">
              <w:rPr>
                <w:noProof/>
                <w:webHidden/>
              </w:rPr>
              <w:t>18</w:t>
            </w:r>
            <w:r w:rsidR="005743D8">
              <w:rPr>
                <w:noProof/>
                <w:webHidden/>
              </w:rPr>
              <w:fldChar w:fldCharType="end"/>
            </w:r>
          </w:hyperlink>
        </w:p>
        <w:p w14:paraId="18A7C10A" w14:textId="332A60B8" w:rsidR="005743D8" w:rsidRDefault="00356227">
          <w:pPr>
            <w:pStyle w:val="TOC2"/>
            <w:rPr>
              <w:rFonts w:asciiTheme="minorHAnsi" w:eastAsiaTheme="minorEastAsia" w:hAnsiTheme="minorHAnsi" w:cstheme="minorBidi"/>
              <w:b w:val="0"/>
              <w:noProof/>
              <w:sz w:val="22"/>
              <w:lang w:eastAsia="en-AU"/>
            </w:rPr>
          </w:pPr>
          <w:hyperlink w:anchor="_Toc52891256" w:history="1">
            <w:r w:rsidR="005743D8" w:rsidRPr="006D675D">
              <w:rPr>
                <w:rStyle w:val="Hyperlink"/>
                <w:noProof/>
              </w:rPr>
              <w:t>Nonclinical</w:t>
            </w:r>
            <w:r w:rsidR="005743D8">
              <w:rPr>
                <w:noProof/>
                <w:webHidden/>
              </w:rPr>
              <w:tab/>
            </w:r>
            <w:r w:rsidR="005743D8">
              <w:rPr>
                <w:noProof/>
                <w:webHidden/>
              </w:rPr>
              <w:fldChar w:fldCharType="begin"/>
            </w:r>
            <w:r w:rsidR="005743D8">
              <w:rPr>
                <w:noProof/>
                <w:webHidden/>
              </w:rPr>
              <w:instrText xml:space="preserve"> PAGEREF _Toc52891256 \h </w:instrText>
            </w:r>
            <w:r w:rsidR="005743D8">
              <w:rPr>
                <w:noProof/>
                <w:webHidden/>
              </w:rPr>
            </w:r>
            <w:r w:rsidR="005743D8">
              <w:rPr>
                <w:noProof/>
                <w:webHidden/>
              </w:rPr>
              <w:fldChar w:fldCharType="separate"/>
            </w:r>
            <w:r w:rsidR="005743D8">
              <w:rPr>
                <w:noProof/>
                <w:webHidden/>
              </w:rPr>
              <w:t>19</w:t>
            </w:r>
            <w:r w:rsidR="005743D8">
              <w:rPr>
                <w:noProof/>
                <w:webHidden/>
              </w:rPr>
              <w:fldChar w:fldCharType="end"/>
            </w:r>
          </w:hyperlink>
        </w:p>
        <w:p w14:paraId="76A5507B" w14:textId="435C6A69" w:rsidR="005743D8" w:rsidRDefault="00356227">
          <w:pPr>
            <w:pStyle w:val="TOC2"/>
            <w:rPr>
              <w:rFonts w:asciiTheme="minorHAnsi" w:eastAsiaTheme="minorEastAsia" w:hAnsiTheme="minorHAnsi" w:cstheme="minorBidi"/>
              <w:b w:val="0"/>
              <w:noProof/>
              <w:sz w:val="22"/>
              <w:lang w:eastAsia="en-AU"/>
            </w:rPr>
          </w:pPr>
          <w:hyperlink w:anchor="_Toc52891257" w:history="1">
            <w:r w:rsidR="005743D8" w:rsidRPr="006D675D">
              <w:rPr>
                <w:rStyle w:val="Hyperlink"/>
                <w:noProof/>
              </w:rPr>
              <w:t>Clinical</w:t>
            </w:r>
            <w:r w:rsidR="005743D8">
              <w:rPr>
                <w:noProof/>
                <w:webHidden/>
              </w:rPr>
              <w:tab/>
            </w:r>
            <w:r w:rsidR="005743D8">
              <w:rPr>
                <w:noProof/>
                <w:webHidden/>
              </w:rPr>
              <w:fldChar w:fldCharType="begin"/>
            </w:r>
            <w:r w:rsidR="005743D8">
              <w:rPr>
                <w:noProof/>
                <w:webHidden/>
              </w:rPr>
              <w:instrText xml:space="preserve"> PAGEREF _Toc52891257 \h </w:instrText>
            </w:r>
            <w:r w:rsidR="005743D8">
              <w:rPr>
                <w:noProof/>
                <w:webHidden/>
              </w:rPr>
            </w:r>
            <w:r w:rsidR="005743D8">
              <w:rPr>
                <w:noProof/>
                <w:webHidden/>
              </w:rPr>
              <w:fldChar w:fldCharType="separate"/>
            </w:r>
            <w:r w:rsidR="005743D8">
              <w:rPr>
                <w:noProof/>
                <w:webHidden/>
              </w:rPr>
              <w:t>21</w:t>
            </w:r>
            <w:r w:rsidR="005743D8">
              <w:rPr>
                <w:noProof/>
                <w:webHidden/>
              </w:rPr>
              <w:fldChar w:fldCharType="end"/>
            </w:r>
          </w:hyperlink>
        </w:p>
        <w:p w14:paraId="3F0D7EB3" w14:textId="778D5C5D" w:rsidR="005743D8" w:rsidRDefault="00356227">
          <w:pPr>
            <w:pStyle w:val="TOC2"/>
            <w:rPr>
              <w:rFonts w:asciiTheme="minorHAnsi" w:eastAsiaTheme="minorEastAsia" w:hAnsiTheme="minorHAnsi" w:cstheme="minorBidi"/>
              <w:b w:val="0"/>
              <w:noProof/>
              <w:sz w:val="22"/>
              <w:lang w:eastAsia="en-AU"/>
            </w:rPr>
          </w:pPr>
          <w:hyperlink w:anchor="_Toc52891258" w:history="1">
            <w:r w:rsidR="005743D8" w:rsidRPr="006D675D">
              <w:rPr>
                <w:rStyle w:val="Hyperlink"/>
                <w:noProof/>
                <w:lang w:eastAsia="en-AU"/>
              </w:rPr>
              <w:t>Risk management plan</w:t>
            </w:r>
            <w:r w:rsidR="005743D8">
              <w:rPr>
                <w:noProof/>
                <w:webHidden/>
              </w:rPr>
              <w:tab/>
            </w:r>
            <w:r w:rsidR="005743D8">
              <w:rPr>
                <w:noProof/>
                <w:webHidden/>
              </w:rPr>
              <w:fldChar w:fldCharType="begin"/>
            </w:r>
            <w:r w:rsidR="005743D8">
              <w:rPr>
                <w:noProof/>
                <w:webHidden/>
              </w:rPr>
              <w:instrText xml:space="preserve"> PAGEREF _Toc52891258 \h </w:instrText>
            </w:r>
            <w:r w:rsidR="005743D8">
              <w:rPr>
                <w:noProof/>
                <w:webHidden/>
              </w:rPr>
            </w:r>
            <w:r w:rsidR="005743D8">
              <w:rPr>
                <w:noProof/>
                <w:webHidden/>
              </w:rPr>
              <w:fldChar w:fldCharType="separate"/>
            </w:r>
            <w:r w:rsidR="005743D8">
              <w:rPr>
                <w:noProof/>
                <w:webHidden/>
              </w:rPr>
              <w:t>77</w:t>
            </w:r>
            <w:r w:rsidR="005743D8">
              <w:rPr>
                <w:noProof/>
                <w:webHidden/>
              </w:rPr>
              <w:fldChar w:fldCharType="end"/>
            </w:r>
          </w:hyperlink>
        </w:p>
        <w:p w14:paraId="03C26C94" w14:textId="399361A4" w:rsidR="005743D8" w:rsidRDefault="00356227">
          <w:pPr>
            <w:pStyle w:val="TOC2"/>
            <w:rPr>
              <w:rFonts w:asciiTheme="minorHAnsi" w:eastAsiaTheme="minorEastAsia" w:hAnsiTheme="minorHAnsi" w:cstheme="minorBidi"/>
              <w:b w:val="0"/>
              <w:noProof/>
              <w:sz w:val="22"/>
              <w:lang w:eastAsia="en-AU"/>
            </w:rPr>
          </w:pPr>
          <w:hyperlink w:anchor="_Toc52891259" w:history="1">
            <w:r w:rsidR="005743D8" w:rsidRPr="006D675D">
              <w:rPr>
                <w:rStyle w:val="Hyperlink"/>
                <w:noProof/>
              </w:rPr>
              <w:t>Risk-benefit analysis</w:t>
            </w:r>
            <w:r w:rsidR="005743D8">
              <w:rPr>
                <w:noProof/>
                <w:webHidden/>
              </w:rPr>
              <w:tab/>
            </w:r>
            <w:r w:rsidR="005743D8">
              <w:rPr>
                <w:noProof/>
                <w:webHidden/>
              </w:rPr>
              <w:fldChar w:fldCharType="begin"/>
            </w:r>
            <w:r w:rsidR="005743D8">
              <w:rPr>
                <w:noProof/>
                <w:webHidden/>
              </w:rPr>
              <w:instrText xml:space="preserve"> PAGEREF _Toc52891259 \h </w:instrText>
            </w:r>
            <w:r w:rsidR="005743D8">
              <w:rPr>
                <w:noProof/>
                <w:webHidden/>
              </w:rPr>
            </w:r>
            <w:r w:rsidR="005743D8">
              <w:rPr>
                <w:noProof/>
                <w:webHidden/>
              </w:rPr>
              <w:fldChar w:fldCharType="separate"/>
            </w:r>
            <w:r w:rsidR="005743D8">
              <w:rPr>
                <w:noProof/>
                <w:webHidden/>
              </w:rPr>
              <w:t>84</w:t>
            </w:r>
            <w:r w:rsidR="005743D8">
              <w:rPr>
                <w:noProof/>
                <w:webHidden/>
              </w:rPr>
              <w:fldChar w:fldCharType="end"/>
            </w:r>
          </w:hyperlink>
        </w:p>
        <w:p w14:paraId="54CC0B2F" w14:textId="7BDC4FF0" w:rsidR="005743D8" w:rsidRDefault="00356227">
          <w:pPr>
            <w:pStyle w:val="TOC2"/>
            <w:rPr>
              <w:rFonts w:asciiTheme="minorHAnsi" w:eastAsiaTheme="minorEastAsia" w:hAnsiTheme="minorHAnsi" w:cstheme="minorBidi"/>
              <w:b w:val="0"/>
              <w:noProof/>
              <w:sz w:val="22"/>
              <w:lang w:eastAsia="en-AU"/>
            </w:rPr>
          </w:pPr>
          <w:hyperlink w:anchor="_Toc52891260" w:history="1">
            <w:r w:rsidR="005743D8" w:rsidRPr="006D675D">
              <w:rPr>
                <w:rStyle w:val="Hyperlink"/>
                <w:noProof/>
              </w:rPr>
              <w:t>Outcome</w:t>
            </w:r>
            <w:r w:rsidR="005743D8">
              <w:rPr>
                <w:noProof/>
                <w:webHidden/>
              </w:rPr>
              <w:tab/>
            </w:r>
            <w:r w:rsidR="005743D8">
              <w:rPr>
                <w:noProof/>
                <w:webHidden/>
              </w:rPr>
              <w:fldChar w:fldCharType="begin"/>
            </w:r>
            <w:r w:rsidR="005743D8">
              <w:rPr>
                <w:noProof/>
                <w:webHidden/>
              </w:rPr>
              <w:instrText xml:space="preserve"> PAGEREF _Toc52891260 \h </w:instrText>
            </w:r>
            <w:r w:rsidR="005743D8">
              <w:rPr>
                <w:noProof/>
                <w:webHidden/>
              </w:rPr>
            </w:r>
            <w:r w:rsidR="005743D8">
              <w:rPr>
                <w:noProof/>
                <w:webHidden/>
              </w:rPr>
              <w:fldChar w:fldCharType="separate"/>
            </w:r>
            <w:r w:rsidR="005743D8">
              <w:rPr>
                <w:noProof/>
                <w:webHidden/>
              </w:rPr>
              <w:t>88</w:t>
            </w:r>
            <w:r w:rsidR="005743D8">
              <w:rPr>
                <w:noProof/>
                <w:webHidden/>
              </w:rPr>
              <w:fldChar w:fldCharType="end"/>
            </w:r>
          </w:hyperlink>
        </w:p>
        <w:p w14:paraId="32D5E45D" w14:textId="00B86888" w:rsidR="005743D8" w:rsidRDefault="00356227">
          <w:pPr>
            <w:pStyle w:val="TOC1"/>
            <w:rPr>
              <w:rFonts w:asciiTheme="minorHAnsi" w:eastAsiaTheme="minorEastAsia" w:hAnsiTheme="minorHAnsi" w:cstheme="minorBidi"/>
              <w:b w:val="0"/>
              <w:noProof/>
              <w:sz w:val="22"/>
              <w:lang w:eastAsia="en-AU"/>
            </w:rPr>
          </w:pPr>
          <w:hyperlink w:anchor="_Toc52891261" w:history="1">
            <w:r w:rsidR="005743D8" w:rsidRPr="006D675D">
              <w:rPr>
                <w:rStyle w:val="Hyperlink"/>
                <w:noProof/>
              </w:rPr>
              <w:t>Attachment 1. Product Information</w:t>
            </w:r>
            <w:r w:rsidR="005743D8">
              <w:rPr>
                <w:noProof/>
                <w:webHidden/>
              </w:rPr>
              <w:tab/>
            </w:r>
            <w:r w:rsidR="005743D8">
              <w:rPr>
                <w:noProof/>
                <w:webHidden/>
              </w:rPr>
              <w:fldChar w:fldCharType="begin"/>
            </w:r>
            <w:r w:rsidR="005743D8">
              <w:rPr>
                <w:noProof/>
                <w:webHidden/>
              </w:rPr>
              <w:instrText xml:space="preserve"> PAGEREF _Toc52891261 \h </w:instrText>
            </w:r>
            <w:r w:rsidR="005743D8">
              <w:rPr>
                <w:noProof/>
                <w:webHidden/>
              </w:rPr>
            </w:r>
            <w:r w:rsidR="005743D8">
              <w:rPr>
                <w:noProof/>
                <w:webHidden/>
              </w:rPr>
              <w:fldChar w:fldCharType="separate"/>
            </w:r>
            <w:r w:rsidR="005743D8">
              <w:rPr>
                <w:noProof/>
                <w:webHidden/>
              </w:rPr>
              <w:t>92</w:t>
            </w:r>
            <w:r w:rsidR="005743D8">
              <w:rPr>
                <w:noProof/>
                <w:webHidden/>
              </w:rPr>
              <w:fldChar w:fldCharType="end"/>
            </w:r>
          </w:hyperlink>
        </w:p>
        <w:p w14:paraId="21DD5F91" w14:textId="561E0F8A" w:rsidR="003A7F6C" w:rsidRPr="00B811C6" w:rsidRDefault="00C525A2" w:rsidP="00C6633A">
          <w:pPr>
            <w:pStyle w:val="TOC2"/>
            <w:ind w:left="0"/>
          </w:pPr>
          <w:r>
            <w:fldChar w:fldCharType="end"/>
          </w:r>
        </w:p>
      </w:sdtContent>
    </w:sdt>
    <w:bookmarkStart w:id="2" w:name="_Toc314842482" w:displacedByCustomXml="prev"/>
    <w:p w14:paraId="44A7F7F8" w14:textId="77777777" w:rsidR="00FD119B" w:rsidRDefault="00FD119B">
      <w:pPr>
        <w:spacing w:before="0" w:after="200" w:line="0" w:lineRule="auto"/>
      </w:pPr>
      <w:r>
        <w:br w:type="page"/>
      </w:r>
    </w:p>
    <w:p w14:paraId="7AE0CB11" w14:textId="77777777" w:rsidR="00C52E24" w:rsidRPr="00C52E24" w:rsidRDefault="00441C3F" w:rsidP="00A702CF">
      <w:pPr>
        <w:pStyle w:val="Heading2"/>
      </w:pPr>
      <w:bookmarkStart w:id="3" w:name="_Toc351716269"/>
      <w:bookmarkStart w:id="4" w:name="_Toc351718881"/>
      <w:bookmarkStart w:id="5" w:name="_Toc355338616"/>
      <w:bookmarkStart w:id="6" w:name="_Toc356306144"/>
      <w:bookmarkStart w:id="7" w:name="_Toc52891247"/>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594"/>
      </w:tblGrid>
      <w:tr w:rsidR="005743D8" w14:paraId="5D69BF87" w14:textId="77777777" w:rsidTr="000F49A2">
        <w:trPr>
          <w:cnfStyle w:val="100000000000" w:firstRow="1" w:lastRow="0" w:firstColumn="0" w:lastColumn="0" w:oddVBand="0" w:evenVBand="0" w:oddHBand="0" w:evenHBand="0" w:firstRowFirstColumn="0" w:firstRowLastColumn="0" w:lastRowFirstColumn="0" w:lastRowLastColumn="0"/>
        </w:trPr>
        <w:tc>
          <w:tcPr>
            <w:tcW w:w="1890" w:type="dxa"/>
          </w:tcPr>
          <w:p w14:paraId="670FD4FF" w14:textId="77777777" w:rsidR="005743D8" w:rsidRDefault="005743D8" w:rsidP="00B513F6">
            <w:r>
              <w:t>Abbreviation</w:t>
            </w:r>
          </w:p>
        </w:tc>
        <w:tc>
          <w:tcPr>
            <w:tcW w:w="6594" w:type="dxa"/>
          </w:tcPr>
          <w:p w14:paraId="656B38AA" w14:textId="77777777" w:rsidR="005743D8" w:rsidRDefault="005743D8" w:rsidP="00B513F6">
            <w:r>
              <w:t>Meaning</w:t>
            </w:r>
          </w:p>
        </w:tc>
      </w:tr>
      <w:tr w:rsidR="005743D8" w14:paraId="1C9DC346" w14:textId="77777777" w:rsidTr="000F49A2">
        <w:tc>
          <w:tcPr>
            <w:tcW w:w="1890" w:type="dxa"/>
          </w:tcPr>
          <w:p w14:paraId="6263BDC2" w14:textId="77777777" w:rsidR="005743D8" w:rsidRDefault="005743D8" w:rsidP="00B513F6">
            <w:r>
              <w:t>ADME</w:t>
            </w:r>
          </w:p>
        </w:tc>
        <w:tc>
          <w:tcPr>
            <w:tcW w:w="6594" w:type="dxa"/>
          </w:tcPr>
          <w:p w14:paraId="2773B2C4" w14:textId="77777777" w:rsidR="005743D8" w:rsidRDefault="005743D8" w:rsidP="00B513F6">
            <w:r>
              <w:t>A</w:t>
            </w:r>
            <w:r w:rsidRPr="002644AA">
              <w:t>bsorption, distribution, metabolism and excretion</w:t>
            </w:r>
          </w:p>
        </w:tc>
      </w:tr>
      <w:tr w:rsidR="005743D8" w14:paraId="6E4F6CEA" w14:textId="77777777" w:rsidTr="000F49A2">
        <w:tc>
          <w:tcPr>
            <w:tcW w:w="1890" w:type="dxa"/>
          </w:tcPr>
          <w:p w14:paraId="6B592580" w14:textId="77777777" w:rsidR="005743D8" w:rsidRDefault="005743D8" w:rsidP="00B513F6">
            <w:proofErr w:type="spellStart"/>
            <w:r>
              <w:t>Adv</w:t>
            </w:r>
            <w:proofErr w:type="spellEnd"/>
            <w:r>
              <w:t>/met</w:t>
            </w:r>
          </w:p>
        </w:tc>
        <w:tc>
          <w:tcPr>
            <w:tcW w:w="6594" w:type="dxa"/>
          </w:tcPr>
          <w:p w14:paraId="56008DDE" w14:textId="77777777" w:rsidR="005743D8" w:rsidRDefault="005743D8" w:rsidP="00B513F6">
            <w:r>
              <w:t>A</w:t>
            </w:r>
            <w:r w:rsidRPr="002644AA">
              <w:t>dvanced or metastatic</w:t>
            </w:r>
          </w:p>
        </w:tc>
      </w:tr>
      <w:tr w:rsidR="005743D8" w14:paraId="215C331C" w14:textId="77777777" w:rsidTr="000F49A2">
        <w:tc>
          <w:tcPr>
            <w:tcW w:w="1890" w:type="dxa"/>
          </w:tcPr>
          <w:p w14:paraId="78124317" w14:textId="77777777" w:rsidR="005743D8" w:rsidRDefault="005743D8" w:rsidP="00B513F6">
            <w:r>
              <w:t>AE</w:t>
            </w:r>
          </w:p>
        </w:tc>
        <w:tc>
          <w:tcPr>
            <w:tcW w:w="6594" w:type="dxa"/>
          </w:tcPr>
          <w:p w14:paraId="6FA4D3BF" w14:textId="77777777" w:rsidR="005743D8" w:rsidRDefault="005743D8" w:rsidP="00B513F6">
            <w:r>
              <w:t>Adverse event</w:t>
            </w:r>
          </w:p>
        </w:tc>
      </w:tr>
      <w:tr w:rsidR="005743D8" w14:paraId="6B5A89B8" w14:textId="77777777" w:rsidTr="000F49A2">
        <w:tc>
          <w:tcPr>
            <w:tcW w:w="1890" w:type="dxa"/>
          </w:tcPr>
          <w:p w14:paraId="6921823A" w14:textId="77777777" w:rsidR="005743D8" w:rsidRDefault="005743D8" w:rsidP="00B513F6">
            <w:r>
              <w:t>AESI</w:t>
            </w:r>
          </w:p>
        </w:tc>
        <w:tc>
          <w:tcPr>
            <w:tcW w:w="6594" w:type="dxa"/>
          </w:tcPr>
          <w:p w14:paraId="458DC8BB" w14:textId="1AB3E464" w:rsidR="005743D8" w:rsidRDefault="005743D8" w:rsidP="00B513F6">
            <w:r>
              <w:t>A</w:t>
            </w:r>
            <w:r w:rsidRPr="006421E2">
              <w:t>dverse event of special interes</w:t>
            </w:r>
            <w:r>
              <w:t>t</w:t>
            </w:r>
          </w:p>
        </w:tc>
      </w:tr>
      <w:tr w:rsidR="005743D8" w14:paraId="2EF6B7BE" w14:textId="77777777" w:rsidTr="000F49A2">
        <w:tc>
          <w:tcPr>
            <w:tcW w:w="1890" w:type="dxa"/>
          </w:tcPr>
          <w:p w14:paraId="0B62453E" w14:textId="77777777" w:rsidR="005743D8" w:rsidRDefault="005743D8" w:rsidP="00B513F6">
            <w:r>
              <w:t>AIHW</w:t>
            </w:r>
          </w:p>
        </w:tc>
        <w:tc>
          <w:tcPr>
            <w:tcW w:w="6594" w:type="dxa"/>
          </w:tcPr>
          <w:p w14:paraId="5407167E" w14:textId="5D0A53BF" w:rsidR="005743D8" w:rsidRDefault="005743D8" w:rsidP="00B513F6">
            <w:r>
              <w:t xml:space="preserve">Australia </w:t>
            </w:r>
            <w:r w:rsidR="005E7267">
              <w:t>I</w:t>
            </w:r>
            <w:r>
              <w:t xml:space="preserve">nstitute of </w:t>
            </w:r>
            <w:r w:rsidR="005E7267">
              <w:t>H</w:t>
            </w:r>
            <w:r>
              <w:t xml:space="preserve">ealth and </w:t>
            </w:r>
            <w:r w:rsidR="005E7267">
              <w:t>W</w:t>
            </w:r>
            <w:r>
              <w:t>elfare</w:t>
            </w:r>
          </w:p>
        </w:tc>
      </w:tr>
      <w:tr w:rsidR="005743D8" w14:paraId="07F4AE9A" w14:textId="77777777" w:rsidTr="000F49A2">
        <w:tc>
          <w:tcPr>
            <w:tcW w:w="1890" w:type="dxa"/>
          </w:tcPr>
          <w:p w14:paraId="49F3B0F1" w14:textId="77777777" w:rsidR="005743D8" w:rsidRDefault="005743D8" w:rsidP="00B513F6">
            <w:r>
              <w:t>AKAP13</w:t>
            </w:r>
          </w:p>
        </w:tc>
        <w:tc>
          <w:tcPr>
            <w:tcW w:w="6594" w:type="dxa"/>
          </w:tcPr>
          <w:p w14:paraId="24D7DAE1" w14:textId="77777777" w:rsidR="005743D8" w:rsidRDefault="005743D8" w:rsidP="00B513F6">
            <w:r>
              <w:t>A-kinase anchoring p</w:t>
            </w:r>
            <w:r w:rsidRPr="00C07C23">
              <w:t>rotein 13</w:t>
            </w:r>
          </w:p>
        </w:tc>
      </w:tr>
      <w:tr w:rsidR="005743D8" w14:paraId="3E44F4B7" w14:textId="77777777" w:rsidTr="000F49A2">
        <w:tc>
          <w:tcPr>
            <w:tcW w:w="1890" w:type="dxa"/>
          </w:tcPr>
          <w:p w14:paraId="50DAFAA6" w14:textId="77777777" w:rsidR="005743D8" w:rsidRDefault="005743D8" w:rsidP="00B513F6">
            <w:r>
              <w:t>ALK</w:t>
            </w:r>
          </w:p>
        </w:tc>
        <w:tc>
          <w:tcPr>
            <w:tcW w:w="6594" w:type="dxa"/>
          </w:tcPr>
          <w:p w14:paraId="7BCE8EB0" w14:textId="77777777" w:rsidR="005743D8" w:rsidRDefault="005743D8" w:rsidP="00B513F6">
            <w:r>
              <w:t>Anaplastic lymphoma kinase</w:t>
            </w:r>
          </w:p>
        </w:tc>
      </w:tr>
      <w:tr w:rsidR="005743D8" w14:paraId="3ED4369A" w14:textId="77777777" w:rsidTr="000F49A2">
        <w:tc>
          <w:tcPr>
            <w:tcW w:w="1890" w:type="dxa"/>
          </w:tcPr>
          <w:p w14:paraId="766CF734" w14:textId="77777777" w:rsidR="005743D8" w:rsidRDefault="005743D8" w:rsidP="00B513F6">
            <w:r>
              <w:t>ALT</w:t>
            </w:r>
          </w:p>
        </w:tc>
        <w:tc>
          <w:tcPr>
            <w:tcW w:w="6594" w:type="dxa"/>
          </w:tcPr>
          <w:p w14:paraId="4D548737" w14:textId="77777777" w:rsidR="005743D8" w:rsidRDefault="005743D8" w:rsidP="00B513F6">
            <w:r>
              <w:t>Alanine aminotransferase</w:t>
            </w:r>
          </w:p>
        </w:tc>
      </w:tr>
      <w:tr w:rsidR="005743D8" w14:paraId="3D4EAF4F" w14:textId="77777777" w:rsidTr="000F49A2">
        <w:tc>
          <w:tcPr>
            <w:tcW w:w="1890" w:type="dxa"/>
          </w:tcPr>
          <w:p w14:paraId="6E3F81D1" w14:textId="77777777" w:rsidR="005743D8" w:rsidRDefault="005743D8" w:rsidP="00B513F6">
            <w:r>
              <w:t>AML</w:t>
            </w:r>
          </w:p>
        </w:tc>
        <w:tc>
          <w:tcPr>
            <w:tcW w:w="6594" w:type="dxa"/>
          </w:tcPr>
          <w:p w14:paraId="156420E5" w14:textId="17BE0FAE" w:rsidR="005743D8" w:rsidRDefault="005743D8" w:rsidP="00B513F6">
            <w:r>
              <w:t>Acute myeloid leuk</w:t>
            </w:r>
            <w:r w:rsidR="005E7267">
              <w:t>a</w:t>
            </w:r>
            <w:r>
              <w:t>emia</w:t>
            </w:r>
          </w:p>
        </w:tc>
      </w:tr>
      <w:tr w:rsidR="005743D8" w14:paraId="0AA187BD" w14:textId="77777777" w:rsidTr="000F49A2">
        <w:tc>
          <w:tcPr>
            <w:tcW w:w="1890" w:type="dxa"/>
          </w:tcPr>
          <w:p w14:paraId="0EA8336F" w14:textId="77777777" w:rsidR="005743D8" w:rsidRDefault="005743D8" w:rsidP="00B513F6">
            <w:r>
              <w:t>AST</w:t>
            </w:r>
          </w:p>
        </w:tc>
        <w:tc>
          <w:tcPr>
            <w:tcW w:w="6594" w:type="dxa"/>
          </w:tcPr>
          <w:p w14:paraId="65C9D29C" w14:textId="77777777" w:rsidR="005743D8" w:rsidRDefault="005743D8" w:rsidP="00B513F6">
            <w:r>
              <w:t>Aspartate aminotransferase</w:t>
            </w:r>
          </w:p>
        </w:tc>
      </w:tr>
      <w:tr w:rsidR="005743D8" w14:paraId="24A5A2E1" w14:textId="77777777" w:rsidTr="000F49A2">
        <w:tc>
          <w:tcPr>
            <w:tcW w:w="1890" w:type="dxa"/>
          </w:tcPr>
          <w:p w14:paraId="71E101B3" w14:textId="77777777" w:rsidR="005743D8" w:rsidRDefault="005743D8" w:rsidP="00B513F6">
            <w:r>
              <w:t>AUC</w:t>
            </w:r>
          </w:p>
        </w:tc>
        <w:tc>
          <w:tcPr>
            <w:tcW w:w="6594" w:type="dxa"/>
          </w:tcPr>
          <w:p w14:paraId="600B1807" w14:textId="77777777" w:rsidR="005743D8" w:rsidRDefault="005743D8" w:rsidP="00B513F6">
            <w:r>
              <w:t>Area under the serum concentration time curve</w:t>
            </w:r>
          </w:p>
        </w:tc>
      </w:tr>
      <w:tr w:rsidR="005743D8" w14:paraId="59CEAFAE" w14:textId="77777777" w:rsidTr="000F49A2">
        <w:tc>
          <w:tcPr>
            <w:tcW w:w="1890" w:type="dxa"/>
          </w:tcPr>
          <w:p w14:paraId="01665F85" w14:textId="77777777" w:rsidR="005743D8" w:rsidRDefault="005743D8" w:rsidP="00B513F6">
            <w:r>
              <w:t>AUC</w:t>
            </w:r>
            <w:r w:rsidRPr="00BC5ECC">
              <w:rPr>
                <w:vertAlign w:val="subscript"/>
              </w:rPr>
              <w:t>0</w:t>
            </w:r>
          </w:p>
        </w:tc>
        <w:tc>
          <w:tcPr>
            <w:tcW w:w="6594" w:type="dxa"/>
          </w:tcPr>
          <w:p w14:paraId="4F6B1342" w14:textId="77777777" w:rsidR="005743D8" w:rsidRDefault="005743D8" w:rsidP="00B513F6">
            <w:r>
              <w:t>Area under the serum concentration time curve at time = 0</w:t>
            </w:r>
          </w:p>
        </w:tc>
      </w:tr>
      <w:tr w:rsidR="005743D8" w14:paraId="728B725A" w14:textId="77777777" w:rsidTr="000F49A2">
        <w:tc>
          <w:tcPr>
            <w:tcW w:w="1890" w:type="dxa"/>
          </w:tcPr>
          <w:p w14:paraId="6936904F" w14:textId="77777777" w:rsidR="005743D8" w:rsidRDefault="005743D8" w:rsidP="00B513F6">
            <w:r>
              <w:t>AUC</w:t>
            </w:r>
            <w:r w:rsidRPr="00BD04CD">
              <w:rPr>
                <w:vertAlign w:val="subscript"/>
              </w:rPr>
              <w:t>0-24</w:t>
            </w:r>
          </w:p>
        </w:tc>
        <w:tc>
          <w:tcPr>
            <w:tcW w:w="6594" w:type="dxa"/>
          </w:tcPr>
          <w:p w14:paraId="6D4B0854" w14:textId="77777777" w:rsidR="005743D8" w:rsidRDefault="005743D8" w:rsidP="00B513F6">
            <w:r w:rsidRPr="002B01B1">
              <w:rPr>
                <w:rFonts w:cs="Calibri"/>
                <w:color w:val="000000"/>
                <w:szCs w:val="22"/>
              </w:rPr>
              <w:t>Area</w:t>
            </w:r>
            <w:r>
              <w:rPr>
                <w:rFonts w:cs="Calibri"/>
                <w:color w:val="000000"/>
                <w:szCs w:val="22"/>
              </w:rPr>
              <w:t xml:space="preserve"> under the plasma concentration </w:t>
            </w:r>
            <w:r w:rsidRPr="002B01B1">
              <w:rPr>
                <w:rFonts w:cs="Calibri"/>
                <w:color w:val="000000"/>
                <w:szCs w:val="22"/>
              </w:rPr>
              <w:t>time curve during 24 hours</w:t>
            </w:r>
          </w:p>
        </w:tc>
      </w:tr>
      <w:tr w:rsidR="005743D8" w14:paraId="5BEE7763" w14:textId="77777777" w:rsidTr="000F49A2">
        <w:tc>
          <w:tcPr>
            <w:tcW w:w="1890" w:type="dxa"/>
          </w:tcPr>
          <w:p w14:paraId="6AAEE000" w14:textId="77777777" w:rsidR="005743D8" w:rsidRDefault="005743D8" w:rsidP="00B513F6">
            <w:proofErr w:type="spellStart"/>
            <w:r>
              <w:t>AUC</w:t>
            </w:r>
            <w:r w:rsidRPr="00BC5ECC">
              <w:rPr>
                <w:vertAlign w:val="subscript"/>
              </w:rPr>
              <w:t>inf</w:t>
            </w:r>
            <w:proofErr w:type="spellEnd"/>
          </w:p>
        </w:tc>
        <w:tc>
          <w:tcPr>
            <w:tcW w:w="6594" w:type="dxa"/>
          </w:tcPr>
          <w:p w14:paraId="51D46333" w14:textId="77777777" w:rsidR="005743D8" w:rsidRDefault="005743D8" w:rsidP="00B513F6">
            <w:r w:rsidRPr="00880DA5">
              <w:t>AUC curve to infinite time</w:t>
            </w:r>
          </w:p>
        </w:tc>
      </w:tr>
      <w:tr w:rsidR="005743D8" w14:paraId="6B0D6BE9" w14:textId="77777777" w:rsidTr="000F49A2">
        <w:tc>
          <w:tcPr>
            <w:tcW w:w="1890" w:type="dxa"/>
          </w:tcPr>
          <w:p w14:paraId="66670554" w14:textId="77777777" w:rsidR="005743D8" w:rsidRDefault="005743D8" w:rsidP="00B513F6">
            <w:proofErr w:type="spellStart"/>
            <w:r>
              <w:t>AUC</w:t>
            </w:r>
            <w:r w:rsidRPr="00BC5ECC">
              <w:rPr>
                <w:vertAlign w:val="subscript"/>
              </w:rPr>
              <w:t>ss</w:t>
            </w:r>
            <w:proofErr w:type="spellEnd"/>
          </w:p>
        </w:tc>
        <w:tc>
          <w:tcPr>
            <w:tcW w:w="6594" w:type="dxa"/>
          </w:tcPr>
          <w:p w14:paraId="194444BB" w14:textId="77777777" w:rsidR="005743D8" w:rsidRDefault="005743D8" w:rsidP="00B513F6">
            <w:r>
              <w:t>Area under the serum concentration time curve at steady state</w:t>
            </w:r>
          </w:p>
        </w:tc>
      </w:tr>
      <w:tr w:rsidR="005743D8" w14:paraId="4284E269" w14:textId="77777777" w:rsidTr="000F49A2">
        <w:tc>
          <w:tcPr>
            <w:tcW w:w="1890" w:type="dxa"/>
          </w:tcPr>
          <w:p w14:paraId="7CF1A966" w14:textId="77777777" w:rsidR="005743D8" w:rsidRDefault="005743D8" w:rsidP="00B513F6">
            <w:r>
              <w:t>BCRP</w:t>
            </w:r>
          </w:p>
        </w:tc>
        <w:tc>
          <w:tcPr>
            <w:tcW w:w="6594" w:type="dxa"/>
          </w:tcPr>
          <w:p w14:paraId="5DFCB3A6" w14:textId="77777777" w:rsidR="005743D8" w:rsidRDefault="005743D8" w:rsidP="00B513F6">
            <w:r>
              <w:t>Breast cancer resistance protein</w:t>
            </w:r>
          </w:p>
        </w:tc>
      </w:tr>
      <w:tr w:rsidR="005743D8" w14:paraId="7F84036C" w14:textId="77777777" w:rsidTr="000F49A2">
        <w:tc>
          <w:tcPr>
            <w:tcW w:w="1890" w:type="dxa"/>
          </w:tcPr>
          <w:p w14:paraId="7EEEC0B0" w14:textId="77777777" w:rsidR="005743D8" w:rsidRDefault="005743D8" w:rsidP="00B513F6">
            <w:r>
              <w:t>BCS</w:t>
            </w:r>
          </w:p>
        </w:tc>
        <w:tc>
          <w:tcPr>
            <w:tcW w:w="6594" w:type="dxa"/>
          </w:tcPr>
          <w:p w14:paraId="28632B61" w14:textId="77777777" w:rsidR="005743D8" w:rsidRDefault="005743D8" w:rsidP="00B513F6">
            <w:r w:rsidRPr="00880DA5">
              <w:t>Biopharmaceut</w:t>
            </w:r>
            <w:r>
              <w:t>ical Classification System</w:t>
            </w:r>
          </w:p>
        </w:tc>
      </w:tr>
      <w:tr w:rsidR="005743D8" w14:paraId="573A89A4" w14:textId="77777777" w:rsidTr="000F49A2">
        <w:tc>
          <w:tcPr>
            <w:tcW w:w="1890" w:type="dxa"/>
          </w:tcPr>
          <w:p w14:paraId="0684489D" w14:textId="77777777" w:rsidR="005743D8" w:rsidRDefault="005743D8" w:rsidP="00B513F6">
            <w:r>
              <w:t>BDNF</w:t>
            </w:r>
          </w:p>
        </w:tc>
        <w:tc>
          <w:tcPr>
            <w:tcW w:w="6594" w:type="dxa"/>
          </w:tcPr>
          <w:p w14:paraId="1BE2649D" w14:textId="77777777" w:rsidR="005743D8" w:rsidRDefault="005743D8" w:rsidP="00B513F6">
            <w:r>
              <w:t>B</w:t>
            </w:r>
            <w:r w:rsidRPr="00505148">
              <w:t>rain-derived growth factor</w:t>
            </w:r>
          </w:p>
        </w:tc>
      </w:tr>
      <w:tr w:rsidR="005743D8" w14:paraId="0D40FEFB" w14:textId="77777777" w:rsidTr="000F49A2">
        <w:tc>
          <w:tcPr>
            <w:tcW w:w="1890" w:type="dxa"/>
          </w:tcPr>
          <w:p w14:paraId="7BBF31AA" w14:textId="77777777" w:rsidR="005743D8" w:rsidRDefault="005743D8" w:rsidP="00B513F6">
            <w:r>
              <w:t>BICR</w:t>
            </w:r>
          </w:p>
        </w:tc>
        <w:tc>
          <w:tcPr>
            <w:tcW w:w="6594" w:type="dxa"/>
          </w:tcPr>
          <w:p w14:paraId="70E145D5" w14:textId="77777777" w:rsidR="005743D8" w:rsidRDefault="005743D8" w:rsidP="00B513F6">
            <w:r>
              <w:t>Blinded independent central review</w:t>
            </w:r>
          </w:p>
        </w:tc>
      </w:tr>
      <w:tr w:rsidR="005743D8" w14:paraId="606602E3" w14:textId="77777777" w:rsidTr="000F49A2">
        <w:tc>
          <w:tcPr>
            <w:tcW w:w="1890" w:type="dxa"/>
          </w:tcPr>
          <w:p w14:paraId="1182ADBE" w14:textId="77777777" w:rsidR="005743D8" w:rsidRDefault="005743D8" w:rsidP="002A4716">
            <w:r>
              <w:t>BLA</w:t>
            </w:r>
          </w:p>
        </w:tc>
        <w:tc>
          <w:tcPr>
            <w:tcW w:w="6594" w:type="dxa"/>
          </w:tcPr>
          <w:p w14:paraId="5D4FFB3C" w14:textId="51E56CC8" w:rsidR="005743D8" w:rsidRDefault="005743D8" w:rsidP="00B513F6">
            <w:r>
              <w:t xml:space="preserve">Biologics </w:t>
            </w:r>
            <w:r w:rsidR="00F21B7B">
              <w:t>L</w:t>
            </w:r>
            <w:r>
              <w:t xml:space="preserve">icense </w:t>
            </w:r>
            <w:r w:rsidR="00F21B7B">
              <w:t>A</w:t>
            </w:r>
            <w:r>
              <w:t>pplication</w:t>
            </w:r>
            <w:r w:rsidR="00F21B7B">
              <w:t xml:space="preserve"> (United States Food and Drug Administration)</w:t>
            </w:r>
          </w:p>
        </w:tc>
      </w:tr>
      <w:tr w:rsidR="005743D8" w14:paraId="64CC0AA5" w14:textId="77777777" w:rsidTr="000F49A2">
        <w:tc>
          <w:tcPr>
            <w:tcW w:w="1890" w:type="dxa"/>
          </w:tcPr>
          <w:p w14:paraId="4489B35A" w14:textId="77777777" w:rsidR="005743D8" w:rsidRDefault="005743D8" w:rsidP="00B513F6">
            <w:r>
              <w:t>BSA</w:t>
            </w:r>
          </w:p>
        </w:tc>
        <w:tc>
          <w:tcPr>
            <w:tcW w:w="6594" w:type="dxa"/>
          </w:tcPr>
          <w:p w14:paraId="71B26B52" w14:textId="77777777" w:rsidR="005743D8" w:rsidRDefault="005743D8" w:rsidP="00B513F6">
            <w:r>
              <w:t>Body surface area</w:t>
            </w:r>
          </w:p>
        </w:tc>
      </w:tr>
      <w:tr w:rsidR="005743D8" w14:paraId="245C6A3A" w14:textId="77777777" w:rsidTr="000F49A2">
        <w:tc>
          <w:tcPr>
            <w:tcW w:w="1890" w:type="dxa"/>
          </w:tcPr>
          <w:p w14:paraId="02C13E7A" w14:textId="77777777" w:rsidR="005743D8" w:rsidRDefault="005743D8" w:rsidP="00B513F6">
            <w:r>
              <w:t>CBR</w:t>
            </w:r>
          </w:p>
        </w:tc>
        <w:tc>
          <w:tcPr>
            <w:tcW w:w="6594" w:type="dxa"/>
          </w:tcPr>
          <w:p w14:paraId="4A867C53" w14:textId="77777777" w:rsidR="005743D8" w:rsidRDefault="005743D8" w:rsidP="00B513F6">
            <w:r>
              <w:t>C</w:t>
            </w:r>
            <w:r w:rsidRPr="00D61D03">
              <w:t>linical benefit rate</w:t>
            </w:r>
          </w:p>
        </w:tc>
      </w:tr>
      <w:tr w:rsidR="005743D8" w:rsidRPr="00C23E64" w14:paraId="3070ECBE" w14:textId="77777777" w:rsidTr="000F49A2">
        <w:tc>
          <w:tcPr>
            <w:tcW w:w="1890" w:type="dxa"/>
          </w:tcPr>
          <w:p w14:paraId="0863F709" w14:textId="77777777" w:rsidR="005743D8" w:rsidRDefault="005743D8" w:rsidP="00B513F6">
            <w:r>
              <w:t>CDC42BPA</w:t>
            </w:r>
          </w:p>
        </w:tc>
        <w:tc>
          <w:tcPr>
            <w:tcW w:w="6594" w:type="dxa"/>
          </w:tcPr>
          <w:p w14:paraId="7E08BE13" w14:textId="77777777" w:rsidR="005743D8" w:rsidRPr="00FF7613" w:rsidRDefault="005743D8" w:rsidP="00B513F6">
            <w:pPr>
              <w:rPr>
                <w:lang w:val="de-CH"/>
              </w:rPr>
            </w:pPr>
            <w:r w:rsidRPr="00FF7613">
              <w:rPr>
                <w:lang w:val="de-CH"/>
              </w:rPr>
              <w:t>CDC42 binding protein kinase alpha</w:t>
            </w:r>
          </w:p>
        </w:tc>
      </w:tr>
      <w:tr w:rsidR="005743D8" w14:paraId="64771DEB" w14:textId="77777777" w:rsidTr="000F49A2">
        <w:tc>
          <w:tcPr>
            <w:tcW w:w="1890" w:type="dxa"/>
          </w:tcPr>
          <w:p w14:paraId="77370904" w14:textId="77777777" w:rsidR="005743D8" w:rsidRDefault="005743D8" w:rsidP="00B513F6">
            <w:r>
              <w:lastRenderedPageBreak/>
              <w:t>CDRH</w:t>
            </w:r>
          </w:p>
        </w:tc>
        <w:tc>
          <w:tcPr>
            <w:tcW w:w="6594" w:type="dxa"/>
          </w:tcPr>
          <w:p w14:paraId="1561D00C" w14:textId="781F2F43" w:rsidR="005743D8" w:rsidRPr="00C07C23" w:rsidRDefault="005743D8" w:rsidP="00B513F6">
            <w:proofErr w:type="spellStart"/>
            <w:r w:rsidRPr="008D3773">
              <w:t>Center</w:t>
            </w:r>
            <w:proofErr w:type="spellEnd"/>
            <w:r w:rsidRPr="008D3773">
              <w:t xml:space="preserve"> for Devices and Ra</w:t>
            </w:r>
            <w:r>
              <w:t>diologic Health</w:t>
            </w:r>
            <w:r w:rsidR="0073081B">
              <w:t xml:space="preserve"> (United States Food and Drug Administration)</w:t>
            </w:r>
          </w:p>
        </w:tc>
      </w:tr>
      <w:tr w:rsidR="005743D8" w14:paraId="524CA0E6" w14:textId="77777777" w:rsidTr="000F49A2">
        <w:tc>
          <w:tcPr>
            <w:tcW w:w="1890" w:type="dxa"/>
          </w:tcPr>
          <w:p w14:paraId="48C3BE1A" w14:textId="77777777" w:rsidR="005743D8" w:rsidRDefault="005743D8" w:rsidP="00B513F6">
            <w:r>
              <w:t>CGN</w:t>
            </w:r>
          </w:p>
        </w:tc>
        <w:tc>
          <w:tcPr>
            <w:tcW w:w="6594" w:type="dxa"/>
          </w:tcPr>
          <w:p w14:paraId="1860BD58" w14:textId="77777777" w:rsidR="005743D8" w:rsidRDefault="005743D8" w:rsidP="00B513F6">
            <w:proofErr w:type="spellStart"/>
            <w:r w:rsidRPr="00C07C23">
              <w:t>Cingulin</w:t>
            </w:r>
            <w:proofErr w:type="spellEnd"/>
          </w:p>
        </w:tc>
      </w:tr>
      <w:tr w:rsidR="005743D8" w14:paraId="5DBC912E" w14:textId="77777777" w:rsidTr="000F49A2">
        <w:tc>
          <w:tcPr>
            <w:tcW w:w="1890" w:type="dxa"/>
          </w:tcPr>
          <w:p w14:paraId="60C57FC7" w14:textId="77777777" w:rsidR="005743D8" w:rsidRDefault="005743D8" w:rsidP="00B513F6">
            <w:r>
              <w:t>CHF</w:t>
            </w:r>
          </w:p>
        </w:tc>
        <w:tc>
          <w:tcPr>
            <w:tcW w:w="6594" w:type="dxa"/>
          </w:tcPr>
          <w:p w14:paraId="13C3E889" w14:textId="77777777" w:rsidR="005743D8" w:rsidRDefault="005743D8" w:rsidP="00B513F6">
            <w:r w:rsidRPr="00A75CC0">
              <w:t>Congestive heart failure</w:t>
            </w:r>
          </w:p>
        </w:tc>
      </w:tr>
      <w:tr w:rsidR="005743D8" w14:paraId="77C4498B" w14:textId="77777777" w:rsidTr="000F49A2">
        <w:tc>
          <w:tcPr>
            <w:tcW w:w="1890" w:type="dxa"/>
          </w:tcPr>
          <w:p w14:paraId="261A8181" w14:textId="77777777" w:rsidR="005743D8" w:rsidRDefault="005743D8" w:rsidP="00B513F6">
            <w:r>
              <w:t>CHMP</w:t>
            </w:r>
          </w:p>
        </w:tc>
        <w:tc>
          <w:tcPr>
            <w:tcW w:w="6594" w:type="dxa"/>
          </w:tcPr>
          <w:p w14:paraId="61E70C00" w14:textId="7D6FFF11" w:rsidR="005743D8" w:rsidRDefault="005E7267" w:rsidP="00B513F6">
            <w:r w:rsidRPr="005E7267">
              <w:t>Committee for Medicinal Products for Human Use</w:t>
            </w:r>
            <w:r>
              <w:t xml:space="preserve"> (European Medicines Agency)</w:t>
            </w:r>
          </w:p>
        </w:tc>
      </w:tr>
      <w:tr w:rsidR="005743D8" w14:paraId="4EB085FF" w14:textId="77777777" w:rsidTr="000F49A2">
        <w:tc>
          <w:tcPr>
            <w:tcW w:w="1890" w:type="dxa"/>
          </w:tcPr>
          <w:p w14:paraId="404648C4" w14:textId="77777777" w:rsidR="005743D8" w:rsidRDefault="005743D8" w:rsidP="00B513F6">
            <w:r>
              <w:t>CI</w:t>
            </w:r>
          </w:p>
        </w:tc>
        <w:tc>
          <w:tcPr>
            <w:tcW w:w="6594" w:type="dxa"/>
          </w:tcPr>
          <w:p w14:paraId="63625700" w14:textId="77777777" w:rsidR="005743D8" w:rsidRDefault="005743D8" w:rsidP="00B513F6">
            <w:r>
              <w:t>Confidence interval</w:t>
            </w:r>
          </w:p>
        </w:tc>
      </w:tr>
      <w:tr w:rsidR="005743D8" w14:paraId="0F603A3C" w14:textId="77777777" w:rsidTr="000F49A2">
        <w:tc>
          <w:tcPr>
            <w:tcW w:w="1890" w:type="dxa"/>
          </w:tcPr>
          <w:p w14:paraId="65117029" w14:textId="77777777" w:rsidR="005743D8" w:rsidRDefault="005743D8" w:rsidP="00B513F6">
            <w:proofErr w:type="spellStart"/>
            <w:r>
              <w:t>C</w:t>
            </w:r>
            <w:r w:rsidRPr="00B516A5">
              <w:rPr>
                <w:vertAlign w:val="subscript"/>
              </w:rPr>
              <w:t>max</w:t>
            </w:r>
            <w:proofErr w:type="spellEnd"/>
          </w:p>
        </w:tc>
        <w:tc>
          <w:tcPr>
            <w:tcW w:w="6594" w:type="dxa"/>
          </w:tcPr>
          <w:p w14:paraId="6908BDA4" w14:textId="77777777" w:rsidR="005743D8" w:rsidRDefault="005743D8" w:rsidP="00B513F6">
            <w:r>
              <w:t>Maximum serum concentration</w:t>
            </w:r>
          </w:p>
        </w:tc>
      </w:tr>
      <w:tr w:rsidR="005743D8" w14:paraId="5B4004B0" w14:textId="77777777" w:rsidTr="000F49A2">
        <w:tc>
          <w:tcPr>
            <w:tcW w:w="1890" w:type="dxa"/>
          </w:tcPr>
          <w:p w14:paraId="79A6DAB9" w14:textId="77777777" w:rsidR="005743D8" w:rsidRDefault="005743D8" w:rsidP="00B513F6">
            <w:r>
              <w:t>CMI</w:t>
            </w:r>
          </w:p>
        </w:tc>
        <w:tc>
          <w:tcPr>
            <w:tcW w:w="6594" w:type="dxa"/>
          </w:tcPr>
          <w:p w14:paraId="1121DDA0" w14:textId="0CC11D99" w:rsidR="005743D8" w:rsidRDefault="005743D8" w:rsidP="00B513F6">
            <w:r>
              <w:t xml:space="preserve">Consumer </w:t>
            </w:r>
            <w:r w:rsidR="005E7267">
              <w:t>M</w:t>
            </w:r>
            <w:r>
              <w:t xml:space="preserve">edicine </w:t>
            </w:r>
            <w:r w:rsidR="005E7267">
              <w:t>I</w:t>
            </w:r>
            <w:r>
              <w:t>nformation</w:t>
            </w:r>
          </w:p>
        </w:tc>
      </w:tr>
      <w:tr w:rsidR="005743D8" w14:paraId="7C0E42BA" w14:textId="77777777" w:rsidTr="000F49A2">
        <w:tc>
          <w:tcPr>
            <w:tcW w:w="1890" w:type="dxa"/>
          </w:tcPr>
          <w:p w14:paraId="4200AB4E" w14:textId="77777777" w:rsidR="005743D8" w:rsidRDefault="005743D8" w:rsidP="00B513F6">
            <w:r>
              <w:t>CNS</w:t>
            </w:r>
          </w:p>
        </w:tc>
        <w:tc>
          <w:tcPr>
            <w:tcW w:w="6594" w:type="dxa"/>
          </w:tcPr>
          <w:p w14:paraId="2EB8A13C" w14:textId="77777777" w:rsidR="005743D8" w:rsidRDefault="005743D8" w:rsidP="00B513F6">
            <w:r>
              <w:t>Central nervous system</w:t>
            </w:r>
          </w:p>
        </w:tc>
      </w:tr>
      <w:tr w:rsidR="005743D8" w14:paraId="46B13A31" w14:textId="77777777" w:rsidTr="000F49A2">
        <w:tc>
          <w:tcPr>
            <w:tcW w:w="1890" w:type="dxa"/>
          </w:tcPr>
          <w:p w14:paraId="4A22C1CC" w14:textId="77777777" w:rsidR="005743D8" w:rsidRDefault="005743D8" w:rsidP="00B513F6">
            <w:r>
              <w:t>CR</w:t>
            </w:r>
          </w:p>
        </w:tc>
        <w:tc>
          <w:tcPr>
            <w:tcW w:w="6594" w:type="dxa"/>
          </w:tcPr>
          <w:p w14:paraId="32717C10" w14:textId="77777777" w:rsidR="005743D8" w:rsidRDefault="005743D8" w:rsidP="00B513F6">
            <w:r>
              <w:t>Complete response</w:t>
            </w:r>
          </w:p>
        </w:tc>
      </w:tr>
      <w:tr w:rsidR="005743D8" w14:paraId="68EE2E9D" w14:textId="77777777" w:rsidTr="000F49A2">
        <w:tc>
          <w:tcPr>
            <w:tcW w:w="1890" w:type="dxa"/>
          </w:tcPr>
          <w:p w14:paraId="1812557A" w14:textId="77777777" w:rsidR="005743D8" w:rsidRDefault="005743D8" w:rsidP="00B513F6">
            <w:r>
              <w:t>CRC</w:t>
            </w:r>
          </w:p>
        </w:tc>
        <w:tc>
          <w:tcPr>
            <w:tcW w:w="6594" w:type="dxa"/>
          </w:tcPr>
          <w:p w14:paraId="1265DD79" w14:textId="77777777" w:rsidR="005743D8" w:rsidRDefault="005743D8" w:rsidP="00B513F6">
            <w:r>
              <w:t>Colorectal cancer</w:t>
            </w:r>
          </w:p>
        </w:tc>
      </w:tr>
      <w:tr w:rsidR="005743D8" w14:paraId="7C7B3790" w14:textId="77777777" w:rsidTr="000F49A2">
        <w:tc>
          <w:tcPr>
            <w:tcW w:w="1890" w:type="dxa"/>
          </w:tcPr>
          <w:p w14:paraId="147F3E11" w14:textId="77777777" w:rsidR="005743D8" w:rsidRDefault="005743D8" w:rsidP="00B513F6">
            <w:proofErr w:type="spellStart"/>
            <w:r>
              <w:t>CrCL</w:t>
            </w:r>
            <w:proofErr w:type="spellEnd"/>
          </w:p>
        </w:tc>
        <w:tc>
          <w:tcPr>
            <w:tcW w:w="6594" w:type="dxa"/>
          </w:tcPr>
          <w:p w14:paraId="707CBD68" w14:textId="77777777" w:rsidR="005743D8" w:rsidRDefault="005743D8" w:rsidP="00B513F6">
            <w:r>
              <w:t>Creatinine clearance</w:t>
            </w:r>
          </w:p>
        </w:tc>
      </w:tr>
      <w:tr w:rsidR="005743D8" w14:paraId="00FE3253" w14:textId="77777777" w:rsidTr="000F49A2">
        <w:tc>
          <w:tcPr>
            <w:tcW w:w="1890" w:type="dxa"/>
          </w:tcPr>
          <w:p w14:paraId="1E0F8806" w14:textId="77777777" w:rsidR="005743D8" w:rsidRDefault="005743D8" w:rsidP="00B513F6">
            <w:r>
              <w:t>CSR</w:t>
            </w:r>
          </w:p>
        </w:tc>
        <w:tc>
          <w:tcPr>
            <w:tcW w:w="6594" w:type="dxa"/>
          </w:tcPr>
          <w:p w14:paraId="54E219A2" w14:textId="77777777" w:rsidR="005743D8" w:rsidRDefault="005743D8" w:rsidP="00B513F6">
            <w:r>
              <w:t>C</w:t>
            </w:r>
            <w:r w:rsidRPr="00D61D03">
              <w:t>linical study report</w:t>
            </w:r>
          </w:p>
        </w:tc>
      </w:tr>
      <w:tr w:rsidR="005743D8" w14:paraId="6D8F826F" w14:textId="77777777" w:rsidTr="000F49A2">
        <w:tc>
          <w:tcPr>
            <w:tcW w:w="1890" w:type="dxa"/>
          </w:tcPr>
          <w:p w14:paraId="32DD3ECB" w14:textId="77777777" w:rsidR="005743D8" w:rsidRDefault="005743D8" w:rsidP="00B513F6">
            <w:r>
              <w:t>CTCAE</w:t>
            </w:r>
          </w:p>
        </w:tc>
        <w:tc>
          <w:tcPr>
            <w:tcW w:w="6594" w:type="dxa"/>
          </w:tcPr>
          <w:p w14:paraId="6CBEC4C4" w14:textId="77777777" w:rsidR="005743D8" w:rsidRDefault="005743D8" w:rsidP="00B513F6">
            <w:r w:rsidRPr="00A75CC0">
              <w:t>Common Terminology Criteria for Adverse Events</w:t>
            </w:r>
          </w:p>
        </w:tc>
      </w:tr>
      <w:tr w:rsidR="005743D8" w14:paraId="7E43E568" w14:textId="77777777" w:rsidTr="000F49A2">
        <w:tc>
          <w:tcPr>
            <w:tcW w:w="1890" w:type="dxa"/>
          </w:tcPr>
          <w:p w14:paraId="358BBBDC" w14:textId="77777777" w:rsidR="005743D8" w:rsidRDefault="005743D8" w:rsidP="00B513F6">
            <w:r>
              <w:t>CV</w:t>
            </w:r>
          </w:p>
        </w:tc>
        <w:tc>
          <w:tcPr>
            <w:tcW w:w="6594" w:type="dxa"/>
          </w:tcPr>
          <w:p w14:paraId="4CB2B12D" w14:textId="77777777" w:rsidR="005743D8" w:rsidRDefault="005743D8" w:rsidP="00B513F6">
            <w:r>
              <w:t>Coefficient of variation</w:t>
            </w:r>
          </w:p>
        </w:tc>
      </w:tr>
      <w:tr w:rsidR="005743D8" w14:paraId="09060605" w14:textId="77777777" w:rsidTr="000F49A2">
        <w:tc>
          <w:tcPr>
            <w:tcW w:w="1890" w:type="dxa"/>
          </w:tcPr>
          <w:p w14:paraId="0DC4D3BA" w14:textId="77777777" w:rsidR="005743D8" w:rsidRDefault="005743D8" w:rsidP="00B513F6">
            <w:r>
              <w:t>CYP2D6</w:t>
            </w:r>
          </w:p>
        </w:tc>
        <w:tc>
          <w:tcPr>
            <w:tcW w:w="6594" w:type="dxa"/>
          </w:tcPr>
          <w:p w14:paraId="52FB2D4F" w14:textId="77777777" w:rsidR="005743D8" w:rsidRDefault="005743D8" w:rsidP="00B513F6">
            <w:r>
              <w:t>Cytochrome P450 2D6</w:t>
            </w:r>
          </w:p>
        </w:tc>
      </w:tr>
      <w:tr w:rsidR="005743D8" w14:paraId="747A81C3" w14:textId="77777777" w:rsidTr="000F49A2">
        <w:tc>
          <w:tcPr>
            <w:tcW w:w="1890" w:type="dxa"/>
          </w:tcPr>
          <w:p w14:paraId="4721AAE2" w14:textId="77777777" w:rsidR="005743D8" w:rsidRDefault="005743D8" w:rsidP="00B513F6">
            <w:r>
              <w:t>CYP3A</w:t>
            </w:r>
          </w:p>
        </w:tc>
        <w:tc>
          <w:tcPr>
            <w:tcW w:w="6594" w:type="dxa"/>
          </w:tcPr>
          <w:p w14:paraId="71A57B5D" w14:textId="77777777" w:rsidR="005743D8" w:rsidRDefault="005743D8" w:rsidP="00B513F6">
            <w:r>
              <w:t>Cytochrome P450 3A</w:t>
            </w:r>
          </w:p>
        </w:tc>
      </w:tr>
      <w:tr w:rsidR="005743D8" w14:paraId="3756193A" w14:textId="77777777" w:rsidTr="000F49A2">
        <w:tc>
          <w:tcPr>
            <w:tcW w:w="1890" w:type="dxa"/>
          </w:tcPr>
          <w:p w14:paraId="1AD11419" w14:textId="77777777" w:rsidR="005743D8" w:rsidRDefault="005743D8" w:rsidP="00B513F6">
            <w:r>
              <w:t>CYP3A4_fm</w:t>
            </w:r>
          </w:p>
        </w:tc>
        <w:tc>
          <w:tcPr>
            <w:tcW w:w="6594" w:type="dxa"/>
          </w:tcPr>
          <w:p w14:paraId="61FCB91B" w14:textId="77777777" w:rsidR="005743D8" w:rsidRDefault="005743D8" w:rsidP="00B513F6">
            <w:r>
              <w:t>Fraction metabolised by CYP3A4</w:t>
            </w:r>
          </w:p>
        </w:tc>
      </w:tr>
      <w:tr w:rsidR="005743D8" w14:paraId="2FD57D24" w14:textId="77777777" w:rsidTr="000F49A2">
        <w:tc>
          <w:tcPr>
            <w:tcW w:w="1890" w:type="dxa"/>
          </w:tcPr>
          <w:p w14:paraId="7D12866E" w14:textId="0470A794" w:rsidR="005743D8" w:rsidRDefault="005743D8" w:rsidP="00B513F6">
            <w:r>
              <w:t>CYP</w:t>
            </w:r>
          </w:p>
        </w:tc>
        <w:tc>
          <w:tcPr>
            <w:tcW w:w="6594" w:type="dxa"/>
          </w:tcPr>
          <w:p w14:paraId="4ABC2B49" w14:textId="77777777" w:rsidR="005743D8" w:rsidRDefault="005743D8" w:rsidP="00B513F6">
            <w:r>
              <w:t>Cytochrome P450</w:t>
            </w:r>
          </w:p>
        </w:tc>
      </w:tr>
      <w:tr w:rsidR="005743D8" w14:paraId="0D2EDFEE" w14:textId="77777777" w:rsidTr="000F49A2">
        <w:tc>
          <w:tcPr>
            <w:tcW w:w="1890" w:type="dxa"/>
          </w:tcPr>
          <w:p w14:paraId="2C2E9DF4" w14:textId="77777777" w:rsidR="005743D8" w:rsidRDefault="005743D8" w:rsidP="00B513F6">
            <w:r>
              <w:t>DLT</w:t>
            </w:r>
          </w:p>
        </w:tc>
        <w:tc>
          <w:tcPr>
            <w:tcW w:w="6594" w:type="dxa"/>
          </w:tcPr>
          <w:p w14:paraId="136E653F" w14:textId="77777777" w:rsidR="005743D8" w:rsidRDefault="005743D8" w:rsidP="00B513F6">
            <w:r>
              <w:t>D</w:t>
            </w:r>
            <w:r w:rsidRPr="002644AA">
              <w:t>ose limiting toxicities</w:t>
            </w:r>
          </w:p>
        </w:tc>
      </w:tr>
      <w:tr w:rsidR="005743D8" w14:paraId="37773B02" w14:textId="77777777" w:rsidTr="000F49A2">
        <w:tc>
          <w:tcPr>
            <w:tcW w:w="1890" w:type="dxa"/>
          </w:tcPr>
          <w:p w14:paraId="5A517039" w14:textId="77777777" w:rsidR="005743D8" w:rsidRDefault="005743D8" w:rsidP="00B513F6">
            <w:r>
              <w:t>DNA</w:t>
            </w:r>
          </w:p>
        </w:tc>
        <w:tc>
          <w:tcPr>
            <w:tcW w:w="6594" w:type="dxa"/>
          </w:tcPr>
          <w:p w14:paraId="014B0E7B" w14:textId="77777777" w:rsidR="005743D8" w:rsidRDefault="005743D8" w:rsidP="00B513F6">
            <w:r w:rsidRPr="003D2605">
              <w:t>Deoxyribonucleic acid</w:t>
            </w:r>
          </w:p>
        </w:tc>
      </w:tr>
      <w:tr w:rsidR="005743D8" w14:paraId="44381052" w14:textId="77777777" w:rsidTr="000F49A2">
        <w:tc>
          <w:tcPr>
            <w:tcW w:w="1890" w:type="dxa"/>
          </w:tcPr>
          <w:p w14:paraId="741F89A6" w14:textId="77777777" w:rsidR="005743D8" w:rsidRDefault="005743D8" w:rsidP="00B513F6">
            <w:r>
              <w:t>DOR</w:t>
            </w:r>
          </w:p>
        </w:tc>
        <w:tc>
          <w:tcPr>
            <w:tcW w:w="6594" w:type="dxa"/>
          </w:tcPr>
          <w:p w14:paraId="78F0AD5F" w14:textId="77777777" w:rsidR="005743D8" w:rsidRDefault="005743D8" w:rsidP="00B513F6">
            <w:r>
              <w:t>Duration of response</w:t>
            </w:r>
          </w:p>
        </w:tc>
      </w:tr>
      <w:tr w:rsidR="005743D8" w14:paraId="76E17B76" w14:textId="77777777" w:rsidTr="000F49A2">
        <w:tc>
          <w:tcPr>
            <w:tcW w:w="1890" w:type="dxa"/>
          </w:tcPr>
          <w:p w14:paraId="35D6E88A" w14:textId="77777777" w:rsidR="005743D8" w:rsidRDefault="005743D8" w:rsidP="00B513F6">
            <w:r>
              <w:t>ECG</w:t>
            </w:r>
          </w:p>
        </w:tc>
        <w:tc>
          <w:tcPr>
            <w:tcW w:w="6594" w:type="dxa"/>
          </w:tcPr>
          <w:p w14:paraId="10A3CC4E" w14:textId="77777777" w:rsidR="005743D8" w:rsidRDefault="005743D8" w:rsidP="00B513F6">
            <w:r>
              <w:t>E</w:t>
            </w:r>
            <w:r w:rsidRPr="00A75CC0">
              <w:t>lectrocardiogram</w:t>
            </w:r>
          </w:p>
        </w:tc>
      </w:tr>
      <w:tr w:rsidR="005743D8" w14:paraId="2D950EE7" w14:textId="77777777" w:rsidTr="000F49A2">
        <w:tc>
          <w:tcPr>
            <w:tcW w:w="1890" w:type="dxa"/>
          </w:tcPr>
          <w:p w14:paraId="434A67BC" w14:textId="77777777" w:rsidR="005743D8" w:rsidRDefault="005743D8" w:rsidP="00B513F6">
            <w:r>
              <w:t>ECOG</w:t>
            </w:r>
          </w:p>
        </w:tc>
        <w:tc>
          <w:tcPr>
            <w:tcW w:w="6594" w:type="dxa"/>
          </w:tcPr>
          <w:p w14:paraId="187A7988" w14:textId="60DF5316" w:rsidR="005743D8" w:rsidRDefault="005743D8" w:rsidP="00B513F6">
            <w:r>
              <w:t xml:space="preserve">Eastern </w:t>
            </w:r>
            <w:r w:rsidR="005E7267">
              <w:t>C</w:t>
            </w:r>
            <w:r>
              <w:t xml:space="preserve">ooperative </w:t>
            </w:r>
            <w:r w:rsidR="005E7267">
              <w:t>O</w:t>
            </w:r>
            <w:r>
              <w:t xml:space="preserve">ncology </w:t>
            </w:r>
            <w:r w:rsidR="005E7267">
              <w:t>G</w:t>
            </w:r>
            <w:r w:rsidRPr="00A75CC0">
              <w:t>roup</w:t>
            </w:r>
          </w:p>
        </w:tc>
      </w:tr>
      <w:tr w:rsidR="005743D8" w14:paraId="440DFA9A" w14:textId="77777777" w:rsidTr="000F49A2">
        <w:tc>
          <w:tcPr>
            <w:tcW w:w="1890" w:type="dxa"/>
          </w:tcPr>
          <w:p w14:paraId="4A698C1C" w14:textId="77777777" w:rsidR="005743D8" w:rsidRDefault="005743D8" w:rsidP="00B513F6">
            <w:r>
              <w:t>EGFR</w:t>
            </w:r>
          </w:p>
        </w:tc>
        <w:tc>
          <w:tcPr>
            <w:tcW w:w="6594" w:type="dxa"/>
          </w:tcPr>
          <w:p w14:paraId="4E30DFFE" w14:textId="77777777" w:rsidR="005743D8" w:rsidRDefault="005743D8" w:rsidP="008B3CB8">
            <w:r>
              <w:t>Epidermal growth factor receptor</w:t>
            </w:r>
          </w:p>
        </w:tc>
      </w:tr>
      <w:tr w:rsidR="005743D8" w14:paraId="2840E9AB" w14:textId="77777777" w:rsidTr="000F49A2">
        <w:tc>
          <w:tcPr>
            <w:tcW w:w="1890" w:type="dxa"/>
          </w:tcPr>
          <w:p w14:paraId="6753ABED" w14:textId="77777777" w:rsidR="005743D8" w:rsidRDefault="005743D8" w:rsidP="00B513F6">
            <w:r>
              <w:t>EML4</w:t>
            </w:r>
          </w:p>
        </w:tc>
        <w:tc>
          <w:tcPr>
            <w:tcW w:w="6594" w:type="dxa"/>
          </w:tcPr>
          <w:p w14:paraId="0FF795F7" w14:textId="77777777" w:rsidR="005743D8" w:rsidRDefault="005743D8" w:rsidP="00B513F6">
            <w:r>
              <w:t>Echinoderm microtubule associated protein l</w:t>
            </w:r>
            <w:r w:rsidRPr="00A966FD">
              <w:t>ike 4</w:t>
            </w:r>
          </w:p>
        </w:tc>
      </w:tr>
      <w:tr w:rsidR="005743D8" w14:paraId="787EDBE0" w14:textId="77777777" w:rsidTr="000F49A2">
        <w:tc>
          <w:tcPr>
            <w:tcW w:w="1890" w:type="dxa"/>
          </w:tcPr>
          <w:p w14:paraId="5D50FCCB" w14:textId="77777777" w:rsidR="005743D8" w:rsidRDefault="005743D8" w:rsidP="00B513F6">
            <w:r>
              <w:lastRenderedPageBreak/>
              <w:t>EPS15L1</w:t>
            </w:r>
          </w:p>
        </w:tc>
        <w:tc>
          <w:tcPr>
            <w:tcW w:w="6594" w:type="dxa"/>
          </w:tcPr>
          <w:p w14:paraId="06FED004" w14:textId="77777777" w:rsidR="005743D8" w:rsidRDefault="005743D8" w:rsidP="00B513F6">
            <w:r>
              <w:t>Epidermal growth factor receptor pathway substrate 15 l</w:t>
            </w:r>
            <w:r w:rsidRPr="00C07C23">
              <w:t>ike 1</w:t>
            </w:r>
          </w:p>
        </w:tc>
      </w:tr>
      <w:tr w:rsidR="005743D8" w14:paraId="5F3F1969" w14:textId="77777777" w:rsidTr="000F49A2">
        <w:tc>
          <w:tcPr>
            <w:tcW w:w="1890" w:type="dxa"/>
          </w:tcPr>
          <w:p w14:paraId="35C629F2" w14:textId="77777777" w:rsidR="005743D8" w:rsidRDefault="005743D8" w:rsidP="00B513F6">
            <w:r>
              <w:t>ERC1</w:t>
            </w:r>
          </w:p>
        </w:tc>
        <w:tc>
          <w:tcPr>
            <w:tcW w:w="6594" w:type="dxa"/>
          </w:tcPr>
          <w:p w14:paraId="0E43EF46" w14:textId="77777777" w:rsidR="005743D8" w:rsidRDefault="005743D8" w:rsidP="00B513F6">
            <w:r>
              <w:t>ELKS/RAB6-interacting/C</w:t>
            </w:r>
            <w:r w:rsidRPr="00C07C23">
              <w:t>AS</w:t>
            </w:r>
            <w:r>
              <w:t>T family m</w:t>
            </w:r>
            <w:r w:rsidRPr="00C07C23">
              <w:t>ember 1</w:t>
            </w:r>
          </w:p>
        </w:tc>
      </w:tr>
      <w:tr w:rsidR="005743D8" w14:paraId="383B7953" w14:textId="77777777" w:rsidTr="000F49A2">
        <w:tc>
          <w:tcPr>
            <w:tcW w:w="1890" w:type="dxa"/>
          </w:tcPr>
          <w:p w14:paraId="12BEA7D7" w14:textId="77777777" w:rsidR="005743D8" w:rsidRDefault="005743D8" w:rsidP="00B513F6">
            <w:r>
              <w:t>ESMO</w:t>
            </w:r>
          </w:p>
        </w:tc>
        <w:tc>
          <w:tcPr>
            <w:tcW w:w="6594" w:type="dxa"/>
          </w:tcPr>
          <w:p w14:paraId="37399CA7" w14:textId="77777777" w:rsidR="005743D8" w:rsidRDefault="005743D8" w:rsidP="00B513F6">
            <w:r w:rsidRPr="00BB5D7F">
              <w:rPr>
                <w:rFonts w:asciiTheme="minorHAnsi" w:hAnsiTheme="minorHAnsi" w:cs="Calibri"/>
              </w:rPr>
              <w:t>European Society for Medical Oncology</w:t>
            </w:r>
          </w:p>
        </w:tc>
      </w:tr>
      <w:tr w:rsidR="005743D8" w14:paraId="0FF2563C" w14:textId="77777777" w:rsidTr="000F49A2">
        <w:tc>
          <w:tcPr>
            <w:tcW w:w="1890" w:type="dxa"/>
          </w:tcPr>
          <w:p w14:paraId="5CAA4A01" w14:textId="77777777" w:rsidR="005743D8" w:rsidRDefault="005743D8" w:rsidP="00B513F6">
            <w:r>
              <w:t>ETV6</w:t>
            </w:r>
          </w:p>
        </w:tc>
        <w:tc>
          <w:tcPr>
            <w:tcW w:w="6594" w:type="dxa"/>
          </w:tcPr>
          <w:p w14:paraId="0BE5F4F0" w14:textId="26E1B2ED" w:rsidR="005743D8" w:rsidRDefault="005E7267" w:rsidP="00B513F6">
            <w:r>
              <w:t>Erythroblast transformation s</w:t>
            </w:r>
            <w:r w:rsidRPr="005E7267">
              <w:t>pecific</w:t>
            </w:r>
            <w:r w:rsidR="005743D8">
              <w:t xml:space="preserve"> variant transcription f</w:t>
            </w:r>
            <w:r w:rsidR="005743D8" w:rsidRPr="00A966FD">
              <w:t>actor 6</w:t>
            </w:r>
          </w:p>
        </w:tc>
      </w:tr>
      <w:tr w:rsidR="005743D8" w14:paraId="0E973967" w14:textId="77777777" w:rsidTr="000F49A2">
        <w:tc>
          <w:tcPr>
            <w:tcW w:w="1890" w:type="dxa"/>
          </w:tcPr>
          <w:p w14:paraId="5EE2F45E" w14:textId="77777777" w:rsidR="005743D8" w:rsidRDefault="005743D8" w:rsidP="00B513F6">
            <w:r>
              <w:t>EU</w:t>
            </w:r>
          </w:p>
        </w:tc>
        <w:tc>
          <w:tcPr>
            <w:tcW w:w="6594" w:type="dxa"/>
          </w:tcPr>
          <w:p w14:paraId="43C5994F" w14:textId="77777777" w:rsidR="005743D8" w:rsidRDefault="005743D8" w:rsidP="00B513F6">
            <w:r>
              <w:t>European Union</w:t>
            </w:r>
          </w:p>
        </w:tc>
      </w:tr>
      <w:tr w:rsidR="005743D8" w14:paraId="7FE8A672" w14:textId="77777777" w:rsidTr="000F49A2">
        <w:tc>
          <w:tcPr>
            <w:tcW w:w="1890" w:type="dxa"/>
          </w:tcPr>
          <w:p w14:paraId="5A81E5C1" w14:textId="77777777" w:rsidR="005743D8" w:rsidRDefault="005743D8" w:rsidP="00B513F6">
            <w:r>
              <w:t>F01-F07</w:t>
            </w:r>
          </w:p>
        </w:tc>
        <w:tc>
          <w:tcPr>
            <w:tcW w:w="6594" w:type="dxa"/>
          </w:tcPr>
          <w:p w14:paraId="445805F0" w14:textId="01BB9292" w:rsidR="005743D8" w:rsidRDefault="005743D8" w:rsidP="00B513F6">
            <w:r>
              <w:t>Differen</w:t>
            </w:r>
            <w:r w:rsidR="009546AB">
              <w:t>t</w:t>
            </w:r>
            <w:r>
              <w:t xml:space="preserve"> </w:t>
            </w:r>
            <w:r w:rsidR="009546AB">
              <w:t xml:space="preserve">development </w:t>
            </w:r>
            <w:r>
              <w:t>formulations of entrectinib</w:t>
            </w:r>
          </w:p>
        </w:tc>
      </w:tr>
      <w:tr w:rsidR="005743D8" w14:paraId="36AC3992" w14:textId="77777777" w:rsidTr="000F49A2">
        <w:tc>
          <w:tcPr>
            <w:tcW w:w="1890" w:type="dxa"/>
          </w:tcPr>
          <w:p w14:paraId="1B465096" w14:textId="77777777" w:rsidR="005743D8" w:rsidRDefault="005743D8" w:rsidP="00B513F6">
            <w:r>
              <w:t>FAM19A2</w:t>
            </w:r>
          </w:p>
        </w:tc>
        <w:tc>
          <w:tcPr>
            <w:tcW w:w="6594" w:type="dxa"/>
          </w:tcPr>
          <w:p w14:paraId="738E56FE" w14:textId="77777777" w:rsidR="005743D8" w:rsidRDefault="005743D8" w:rsidP="00C07C23">
            <w:r>
              <w:rPr>
                <w:shd w:val="clear" w:color="auto" w:fill="F9F9F9"/>
              </w:rPr>
              <w:t>TAFA chemokine like family member 2</w:t>
            </w:r>
          </w:p>
        </w:tc>
      </w:tr>
      <w:tr w:rsidR="005743D8" w14:paraId="533CAB69" w14:textId="77777777" w:rsidTr="000F49A2">
        <w:tc>
          <w:tcPr>
            <w:tcW w:w="1890" w:type="dxa"/>
          </w:tcPr>
          <w:p w14:paraId="08297414" w14:textId="77777777" w:rsidR="005743D8" w:rsidRDefault="005743D8" w:rsidP="00B513F6">
            <w:r>
              <w:t>FDA</w:t>
            </w:r>
          </w:p>
        </w:tc>
        <w:tc>
          <w:tcPr>
            <w:tcW w:w="6594" w:type="dxa"/>
          </w:tcPr>
          <w:p w14:paraId="3956D52B" w14:textId="66B5C299" w:rsidR="005743D8" w:rsidRDefault="005743D8" w:rsidP="00B513F6">
            <w:r>
              <w:t xml:space="preserve">Food and </w:t>
            </w:r>
            <w:r w:rsidR="009546AB">
              <w:t>D</w:t>
            </w:r>
            <w:r>
              <w:t xml:space="preserve">rug </w:t>
            </w:r>
            <w:r w:rsidR="009546AB">
              <w:t>A</w:t>
            </w:r>
            <w:r>
              <w:t>dministration</w:t>
            </w:r>
            <w:r w:rsidR="0073081B">
              <w:t xml:space="preserve"> (United States)</w:t>
            </w:r>
          </w:p>
        </w:tc>
      </w:tr>
      <w:tr w:rsidR="005743D8" w14:paraId="5C2E6711" w14:textId="77777777" w:rsidTr="000F49A2">
        <w:tc>
          <w:tcPr>
            <w:tcW w:w="1890" w:type="dxa"/>
          </w:tcPr>
          <w:p w14:paraId="5988BE59" w14:textId="77777777" w:rsidR="005743D8" w:rsidRDefault="005743D8" w:rsidP="00B513F6">
            <w:r>
              <w:t>FISH</w:t>
            </w:r>
          </w:p>
        </w:tc>
        <w:tc>
          <w:tcPr>
            <w:tcW w:w="6594" w:type="dxa"/>
          </w:tcPr>
          <w:p w14:paraId="6DFB490D" w14:textId="42197B67" w:rsidR="005743D8" w:rsidRDefault="005743D8" w:rsidP="00B513F6">
            <w:r w:rsidRPr="00B14979">
              <w:t xml:space="preserve">Fluorescence </w:t>
            </w:r>
            <w:r w:rsidRPr="00B14979">
              <w:rPr>
                <w:i/>
              </w:rPr>
              <w:t>in situ</w:t>
            </w:r>
            <w:r w:rsidRPr="00B14979">
              <w:t xml:space="preserve"> hybridi</w:t>
            </w:r>
            <w:r w:rsidR="0073081B">
              <w:t>s</w:t>
            </w:r>
            <w:r w:rsidRPr="00B14979">
              <w:t>ation</w:t>
            </w:r>
          </w:p>
        </w:tc>
      </w:tr>
      <w:tr w:rsidR="005743D8" w14:paraId="4BF3978B" w14:textId="77777777" w:rsidTr="000F49A2">
        <w:tc>
          <w:tcPr>
            <w:tcW w:w="1890" w:type="dxa"/>
          </w:tcPr>
          <w:p w14:paraId="36E93A11" w14:textId="77777777" w:rsidR="005743D8" w:rsidRDefault="005743D8" w:rsidP="00B513F6">
            <w:r>
              <w:t>GMR</w:t>
            </w:r>
          </w:p>
        </w:tc>
        <w:tc>
          <w:tcPr>
            <w:tcW w:w="6594" w:type="dxa"/>
          </w:tcPr>
          <w:p w14:paraId="2C657984" w14:textId="239AC05B" w:rsidR="005743D8" w:rsidRDefault="005743D8" w:rsidP="00B513F6">
            <w:r>
              <w:t>G</w:t>
            </w:r>
            <w:r w:rsidRPr="00A443D5">
              <w:t>eometric mean ratio</w:t>
            </w:r>
          </w:p>
        </w:tc>
      </w:tr>
      <w:tr w:rsidR="005743D8" w14:paraId="0E09E799" w14:textId="77777777" w:rsidTr="000F49A2">
        <w:tc>
          <w:tcPr>
            <w:tcW w:w="1890" w:type="dxa"/>
          </w:tcPr>
          <w:p w14:paraId="5B097A20" w14:textId="77777777" w:rsidR="005743D8" w:rsidRDefault="005743D8" w:rsidP="00B513F6">
            <w:r>
              <w:t>HDPE</w:t>
            </w:r>
          </w:p>
        </w:tc>
        <w:tc>
          <w:tcPr>
            <w:tcW w:w="6594" w:type="dxa"/>
          </w:tcPr>
          <w:p w14:paraId="159EF42C" w14:textId="77777777" w:rsidR="005743D8" w:rsidRDefault="005743D8" w:rsidP="00B513F6">
            <w:r>
              <w:t>High density p</w:t>
            </w:r>
            <w:r w:rsidRPr="003975D4">
              <w:t>olyethylene</w:t>
            </w:r>
          </w:p>
        </w:tc>
      </w:tr>
      <w:tr w:rsidR="005743D8" w14:paraId="006FC451" w14:textId="77777777" w:rsidTr="000F49A2">
        <w:tc>
          <w:tcPr>
            <w:tcW w:w="1890" w:type="dxa"/>
          </w:tcPr>
          <w:p w14:paraId="1790F25E" w14:textId="77777777" w:rsidR="005743D8" w:rsidRDefault="005743D8" w:rsidP="00B513F6">
            <w:r>
              <w:t>IC-DOR</w:t>
            </w:r>
          </w:p>
        </w:tc>
        <w:tc>
          <w:tcPr>
            <w:tcW w:w="6594" w:type="dxa"/>
          </w:tcPr>
          <w:p w14:paraId="2EAEBC04" w14:textId="0A967D40" w:rsidR="005743D8" w:rsidRDefault="005743D8" w:rsidP="00B513F6">
            <w:r>
              <w:t xml:space="preserve">Intracranial </w:t>
            </w:r>
            <w:r w:rsidR="00E82597">
              <w:t>duration of response</w:t>
            </w:r>
            <w:r w:rsidR="00E82597" w:rsidDel="00E82597">
              <w:t xml:space="preserve"> </w:t>
            </w:r>
          </w:p>
        </w:tc>
      </w:tr>
      <w:tr w:rsidR="005743D8" w14:paraId="3198991E" w14:textId="77777777" w:rsidTr="000F49A2">
        <w:tc>
          <w:tcPr>
            <w:tcW w:w="1890" w:type="dxa"/>
          </w:tcPr>
          <w:p w14:paraId="5ACB0940" w14:textId="77777777" w:rsidR="005743D8" w:rsidRDefault="005743D8" w:rsidP="00B513F6">
            <w:r>
              <w:rPr>
                <w:lang w:val="en-US"/>
              </w:rPr>
              <w:t>IC-ORR</w:t>
            </w:r>
          </w:p>
        </w:tc>
        <w:tc>
          <w:tcPr>
            <w:tcW w:w="6594" w:type="dxa"/>
          </w:tcPr>
          <w:p w14:paraId="3A2ED470" w14:textId="62F377BE" w:rsidR="005743D8" w:rsidRDefault="005743D8" w:rsidP="00B513F6">
            <w:r>
              <w:rPr>
                <w:lang w:val="en-US"/>
              </w:rPr>
              <w:t xml:space="preserve">Intracranial </w:t>
            </w:r>
            <w:r w:rsidR="00E82597">
              <w:t>objective response rate</w:t>
            </w:r>
          </w:p>
        </w:tc>
      </w:tr>
      <w:tr w:rsidR="005743D8" w14:paraId="572ADFF1" w14:textId="77777777" w:rsidTr="000F49A2">
        <w:tc>
          <w:tcPr>
            <w:tcW w:w="1890" w:type="dxa"/>
          </w:tcPr>
          <w:p w14:paraId="4636D1DD" w14:textId="77777777" w:rsidR="005743D8" w:rsidRDefault="005743D8" w:rsidP="00B513F6">
            <w:pPr>
              <w:rPr>
                <w:lang w:val="en-US"/>
              </w:rPr>
            </w:pPr>
            <w:r>
              <w:rPr>
                <w:lang w:val="en-US"/>
              </w:rPr>
              <w:t>IHC</w:t>
            </w:r>
          </w:p>
        </w:tc>
        <w:tc>
          <w:tcPr>
            <w:tcW w:w="6594" w:type="dxa"/>
          </w:tcPr>
          <w:p w14:paraId="401DED71" w14:textId="77777777" w:rsidR="005743D8" w:rsidRDefault="005743D8" w:rsidP="00B513F6">
            <w:pPr>
              <w:rPr>
                <w:lang w:val="en-US"/>
              </w:rPr>
            </w:pPr>
            <w:r>
              <w:rPr>
                <w:lang w:val="en-US"/>
              </w:rPr>
              <w:t>Immunohistochemistry</w:t>
            </w:r>
          </w:p>
        </w:tc>
      </w:tr>
      <w:tr w:rsidR="005743D8" w14:paraId="13A99FC9" w14:textId="77777777" w:rsidTr="000F49A2">
        <w:tc>
          <w:tcPr>
            <w:tcW w:w="1890" w:type="dxa"/>
          </w:tcPr>
          <w:p w14:paraId="22DDFCDD" w14:textId="77777777" w:rsidR="005743D8" w:rsidRDefault="005743D8" w:rsidP="00B513F6">
            <w:r>
              <w:t>IV</w:t>
            </w:r>
          </w:p>
        </w:tc>
        <w:tc>
          <w:tcPr>
            <w:tcW w:w="6594" w:type="dxa"/>
          </w:tcPr>
          <w:p w14:paraId="393A7BBC" w14:textId="77777777" w:rsidR="005743D8" w:rsidRDefault="005743D8" w:rsidP="00B513F6">
            <w:r>
              <w:t>I</w:t>
            </w:r>
            <w:r w:rsidRPr="003975D4">
              <w:t>ntravenous</w:t>
            </w:r>
          </w:p>
        </w:tc>
      </w:tr>
      <w:tr w:rsidR="005743D8" w14:paraId="11E4D380" w14:textId="77777777" w:rsidTr="000F49A2">
        <w:tc>
          <w:tcPr>
            <w:tcW w:w="1890" w:type="dxa"/>
          </w:tcPr>
          <w:p w14:paraId="6D63963E" w14:textId="77777777" w:rsidR="005743D8" w:rsidRDefault="005743D8" w:rsidP="00B513F6">
            <w:r>
              <w:t>JAK 2</w:t>
            </w:r>
          </w:p>
        </w:tc>
        <w:tc>
          <w:tcPr>
            <w:tcW w:w="6594" w:type="dxa"/>
          </w:tcPr>
          <w:p w14:paraId="2087B984" w14:textId="77777777" w:rsidR="005743D8" w:rsidRDefault="005743D8" w:rsidP="00B513F6">
            <w:r>
              <w:t>Janus kinase 2</w:t>
            </w:r>
          </w:p>
        </w:tc>
      </w:tr>
      <w:tr w:rsidR="005743D8" w14:paraId="73A73CA4" w14:textId="77777777" w:rsidTr="000F49A2">
        <w:tc>
          <w:tcPr>
            <w:tcW w:w="1890" w:type="dxa"/>
          </w:tcPr>
          <w:p w14:paraId="1292811D" w14:textId="77777777" w:rsidR="005743D8" w:rsidRDefault="005743D8" w:rsidP="00B513F6">
            <w:r>
              <w:t>K+</w:t>
            </w:r>
          </w:p>
        </w:tc>
        <w:tc>
          <w:tcPr>
            <w:tcW w:w="6594" w:type="dxa"/>
          </w:tcPr>
          <w:p w14:paraId="196FDE13" w14:textId="36B93E4D" w:rsidR="005743D8" w:rsidRDefault="005743D8" w:rsidP="00B513F6">
            <w:r>
              <w:t>Potassium</w:t>
            </w:r>
            <w:r w:rsidR="0073081B">
              <w:t xml:space="preserve"> ion</w:t>
            </w:r>
          </w:p>
        </w:tc>
      </w:tr>
      <w:tr w:rsidR="005743D8" w14:paraId="0D99CB39" w14:textId="77777777" w:rsidTr="000F49A2">
        <w:tc>
          <w:tcPr>
            <w:tcW w:w="1890" w:type="dxa"/>
          </w:tcPr>
          <w:p w14:paraId="71CE5331" w14:textId="77777777" w:rsidR="005743D8" w:rsidRDefault="005743D8" w:rsidP="00B513F6">
            <w:r>
              <w:t>KIF7</w:t>
            </w:r>
          </w:p>
        </w:tc>
        <w:tc>
          <w:tcPr>
            <w:tcW w:w="6594" w:type="dxa"/>
          </w:tcPr>
          <w:p w14:paraId="135A6322" w14:textId="77777777" w:rsidR="005743D8" w:rsidRDefault="005743D8" w:rsidP="00B513F6">
            <w:r>
              <w:t>Kinesin family m</w:t>
            </w:r>
            <w:r w:rsidRPr="00C07C23">
              <w:t>ember 7</w:t>
            </w:r>
          </w:p>
        </w:tc>
      </w:tr>
      <w:tr w:rsidR="005743D8" w14:paraId="3082C074" w14:textId="77777777" w:rsidTr="000F49A2">
        <w:tc>
          <w:tcPr>
            <w:tcW w:w="1890" w:type="dxa"/>
          </w:tcPr>
          <w:p w14:paraId="60160234" w14:textId="77777777" w:rsidR="005743D8" w:rsidRDefault="005743D8" w:rsidP="00B513F6">
            <w:r>
              <w:t>KRAS</w:t>
            </w:r>
          </w:p>
        </w:tc>
        <w:tc>
          <w:tcPr>
            <w:tcW w:w="6594" w:type="dxa"/>
          </w:tcPr>
          <w:p w14:paraId="475F5D15" w14:textId="77777777" w:rsidR="005743D8" w:rsidRDefault="005743D8" w:rsidP="00B513F6">
            <w:r>
              <w:t>Kirsten rat sarcoma</w:t>
            </w:r>
          </w:p>
        </w:tc>
      </w:tr>
      <w:tr w:rsidR="005743D8" w14:paraId="6F5B603F" w14:textId="77777777" w:rsidTr="000F49A2">
        <w:tc>
          <w:tcPr>
            <w:tcW w:w="1890" w:type="dxa"/>
          </w:tcPr>
          <w:p w14:paraId="231DE31B" w14:textId="77777777" w:rsidR="005743D8" w:rsidRDefault="005743D8" w:rsidP="00B513F6">
            <w:r>
              <w:t>LMNA</w:t>
            </w:r>
          </w:p>
        </w:tc>
        <w:tc>
          <w:tcPr>
            <w:tcW w:w="6594" w:type="dxa"/>
          </w:tcPr>
          <w:p w14:paraId="4C9E48CB" w14:textId="77777777" w:rsidR="005743D8" w:rsidRDefault="005743D8" w:rsidP="00B513F6">
            <w:proofErr w:type="spellStart"/>
            <w:r w:rsidRPr="00C07C23">
              <w:t>Lamin</w:t>
            </w:r>
            <w:proofErr w:type="spellEnd"/>
            <w:r w:rsidRPr="00C07C23">
              <w:t xml:space="preserve"> A/C</w:t>
            </w:r>
          </w:p>
        </w:tc>
      </w:tr>
      <w:tr w:rsidR="005743D8" w14:paraId="0025CB71" w14:textId="77777777" w:rsidTr="000F49A2">
        <w:tc>
          <w:tcPr>
            <w:tcW w:w="1890" w:type="dxa"/>
          </w:tcPr>
          <w:p w14:paraId="1F883C30" w14:textId="77777777" w:rsidR="005743D8" w:rsidRDefault="005743D8" w:rsidP="00795EA8">
            <w:r>
              <w:t>LV</w:t>
            </w:r>
          </w:p>
        </w:tc>
        <w:tc>
          <w:tcPr>
            <w:tcW w:w="6594" w:type="dxa"/>
          </w:tcPr>
          <w:p w14:paraId="4879B51C" w14:textId="03351B78" w:rsidR="005743D8" w:rsidRDefault="005743D8" w:rsidP="00795EA8">
            <w:r>
              <w:t>L</w:t>
            </w:r>
            <w:r w:rsidRPr="003975D4">
              <w:t>eft ventri</w:t>
            </w:r>
            <w:r>
              <w:t>cular</w:t>
            </w:r>
          </w:p>
        </w:tc>
      </w:tr>
      <w:tr w:rsidR="005743D8" w:rsidRPr="00C23E64" w14:paraId="374B0ECA" w14:textId="77777777" w:rsidTr="000F49A2">
        <w:tc>
          <w:tcPr>
            <w:tcW w:w="1890" w:type="dxa"/>
          </w:tcPr>
          <w:p w14:paraId="44FA607A" w14:textId="77777777" w:rsidR="005743D8" w:rsidRDefault="005743D8" w:rsidP="00B513F6">
            <w:r>
              <w:t>M5</w:t>
            </w:r>
          </w:p>
        </w:tc>
        <w:tc>
          <w:tcPr>
            <w:tcW w:w="6594" w:type="dxa"/>
          </w:tcPr>
          <w:p w14:paraId="54540B87" w14:textId="26208202" w:rsidR="005743D8" w:rsidRPr="00FF7613" w:rsidRDefault="009546AB" w:rsidP="00B513F6">
            <w:pPr>
              <w:rPr>
                <w:lang w:val="fr-CH"/>
              </w:rPr>
            </w:pPr>
            <w:r w:rsidRPr="00FF7613">
              <w:rPr>
                <w:lang w:val="fr-CH"/>
              </w:rPr>
              <w:t xml:space="preserve">Entrectinib </w:t>
            </w:r>
            <w:proofErr w:type="spellStart"/>
            <w:r w:rsidRPr="00FF7613">
              <w:rPr>
                <w:lang w:val="fr-CH"/>
              </w:rPr>
              <w:t>m</w:t>
            </w:r>
            <w:r w:rsidR="005743D8" w:rsidRPr="00FF7613">
              <w:rPr>
                <w:lang w:val="fr-CH"/>
              </w:rPr>
              <w:t>etabolite</w:t>
            </w:r>
            <w:proofErr w:type="spellEnd"/>
            <w:r w:rsidR="005743D8" w:rsidRPr="00FF7613">
              <w:rPr>
                <w:lang w:val="fr-CH"/>
              </w:rPr>
              <w:t xml:space="preserve"> </w:t>
            </w:r>
            <w:r w:rsidR="0073081B">
              <w:rPr>
                <w:lang w:val="fr-CH"/>
              </w:rPr>
              <w:t>5 (</w:t>
            </w:r>
            <w:r w:rsidR="005743D8" w:rsidRPr="00FF7613">
              <w:rPr>
                <w:lang w:val="fr-CH"/>
              </w:rPr>
              <w:t>4'-hydroxy-5-carboxylumiracoxib</w:t>
            </w:r>
            <w:r w:rsidR="0073081B">
              <w:rPr>
                <w:lang w:val="fr-CH"/>
              </w:rPr>
              <w:t>)</w:t>
            </w:r>
          </w:p>
        </w:tc>
      </w:tr>
      <w:tr w:rsidR="005743D8" w14:paraId="2D2DE13A" w14:textId="77777777" w:rsidTr="000F49A2">
        <w:tc>
          <w:tcPr>
            <w:tcW w:w="1890" w:type="dxa"/>
          </w:tcPr>
          <w:p w14:paraId="55831F91" w14:textId="77777777" w:rsidR="005743D8" w:rsidRDefault="005743D8" w:rsidP="00B513F6">
            <w:r>
              <w:t>MATE 1</w:t>
            </w:r>
          </w:p>
        </w:tc>
        <w:tc>
          <w:tcPr>
            <w:tcW w:w="6594" w:type="dxa"/>
          </w:tcPr>
          <w:p w14:paraId="225EE2C2" w14:textId="77777777" w:rsidR="005743D8" w:rsidRDefault="005743D8" w:rsidP="00B513F6">
            <w:r>
              <w:t>Multidrug and toxin extrusion protein 1</w:t>
            </w:r>
          </w:p>
        </w:tc>
      </w:tr>
      <w:tr w:rsidR="005743D8" w14:paraId="4D368ED0" w14:textId="77777777" w:rsidTr="000F49A2">
        <w:tc>
          <w:tcPr>
            <w:tcW w:w="1890" w:type="dxa"/>
          </w:tcPr>
          <w:p w14:paraId="5426431D" w14:textId="77777777" w:rsidR="005743D8" w:rsidRDefault="005743D8" w:rsidP="00B513F6">
            <w:r>
              <w:t>Max</w:t>
            </w:r>
          </w:p>
        </w:tc>
        <w:tc>
          <w:tcPr>
            <w:tcW w:w="6594" w:type="dxa"/>
          </w:tcPr>
          <w:p w14:paraId="5AE98F98" w14:textId="77777777" w:rsidR="005743D8" w:rsidRDefault="005743D8" w:rsidP="00B513F6">
            <w:r>
              <w:t>Maximum</w:t>
            </w:r>
          </w:p>
        </w:tc>
      </w:tr>
      <w:tr w:rsidR="005743D8" w14:paraId="5168E9B3" w14:textId="77777777" w:rsidTr="000F49A2">
        <w:tc>
          <w:tcPr>
            <w:tcW w:w="1890" w:type="dxa"/>
          </w:tcPr>
          <w:p w14:paraId="41119E2D" w14:textId="77777777" w:rsidR="005743D8" w:rsidRDefault="005743D8" w:rsidP="00B513F6">
            <w:r>
              <w:t>Min</w:t>
            </w:r>
          </w:p>
        </w:tc>
        <w:tc>
          <w:tcPr>
            <w:tcW w:w="6594" w:type="dxa"/>
          </w:tcPr>
          <w:p w14:paraId="5BEDEB4E" w14:textId="77777777" w:rsidR="005743D8" w:rsidRDefault="005743D8" w:rsidP="00B513F6">
            <w:r>
              <w:t>Minimum</w:t>
            </w:r>
          </w:p>
        </w:tc>
      </w:tr>
      <w:tr w:rsidR="005743D8" w14:paraId="469222E6" w14:textId="77777777" w:rsidTr="000F49A2">
        <w:tc>
          <w:tcPr>
            <w:tcW w:w="1890" w:type="dxa"/>
          </w:tcPr>
          <w:p w14:paraId="40DA541D" w14:textId="77777777" w:rsidR="005743D8" w:rsidRDefault="005743D8" w:rsidP="00B513F6">
            <w:r>
              <w:lastRenderedPageBreak/>
              <w:t>MTD</w:t>
            </w:r>
          </w:p>
        </w:tc>
        <w:tc>
          <w:tcPr>
            <w:tcW w:w="6594" w:type="dxa"/>
          </w:tcPr>
          <w:p w14:paraId="12D9BF72" w14:textId="77777777" w:rsidR="005743D8" w:rsidRDefault="005743D8" w:rsidP="00B513F6">
            <w:r>
              <w:t>M</w:t>
            </w:r>
            <w:r w:rsidRPr="002644AA">
              <w:t>aximum tolerated dose</w:t>
            </w:r>
          </w:p>
        </w:tc>
      </w:tr>
      <w:tr w:rsidR="005743D8" w14:paraId="3A789ECC" w14:textId="77777777" w:rsidTr="000F49A2">
        <w:tc>
          <w:tcPr>
            <w:tcW w:w="1890" w:type="dxa"/>
          </w:tcPr>
          <w:p w14:paraId="6F51AB04" w14:textId="77777777" w:rsidR="005743D8" w:rsidRDefault="005743D8" w:rsidP="00B513F6">
            <w:r>
              <w:t>NCI-CTCAE</w:t>
            </w:r>
          </w:p>
        </w:tc>
        <w:tc>
          <w:tcPr>
            <w:tcW w:w="6594" w:type="dxa"/>
          </w:tcPr>
          <w:p w14:paraId="2B1AB403" w14:textId="6E0F7CA6" w:rsidR="005743D8" w:rsidRDefault="005743D8" w:rsidP="00B513F6">
            <w:r>
              <w:t xml:space="preserve">National Cancer Institute - </w:t>
            </w:r>
            <w:r w:rsidR="00E82597" w:rsidRPr="00A75CC0">
              <w:t>Common Terminology Criteria for Adverse Events</w:t>
            </w:r>
          </w:p>
        </w:tc>
      </w:tr>
      <w:tr w:rsidR="005743D8" w14:paraId="22C8CF2E" w14:textId="77777777" w:rsidTr="000F49A2">
        <w:tc>
          <w:tcPr>
            <w:tcW w:w="1890" w:type="dxa"/>
          </w:tcPr>
          <w:p w14:paraId="4070CB6E" w14:textId="77777777" w:rsidR="005743D8" w:rsidRDefault="005743D8" w:rsidP="00B513F6">
            <w:r>
              <w:t>NDA</w:t>
            </w:r>
          </w:p>
        </w:tc>
        <w:tc>
          <w:tcPr>
            <w:tcW w:w="6594" w:type="dxa"/>
          </w:tcPr>
          <w:p w14:paraId="42391433" w14:textId="77777777" w:rsidR="005743D8" w:rsidRDefault="005743D8" w:rsidP="00B513F6">
            <w:r>
              <w:t>New drug application</w:t>
            </w:r>
          </w:p>
        </w:tc>
      </w:tr>
      <w:tr w:rsidR="005743D8" w14:paraId="2B660A1C" w14:textId="77777777" w:rsidTr="000F49A2">
        <w:tc>
          <w:tcPr>
            <w:tcW w:w="1890" w:type="dxa"/>
          </w:tcPr>
          <w:p w14:paraId="0CC0EBB6" w14:textId="77777777" w:rsidR="005743D8" w:rsidRDefault="005743D8" w:rsidP="00B513F6">
            <w:r>
              <w:t>NGF</w:t>
            </w:r>
          </w:p>
        </w:tc>
        <w:tc>
          <w:tcPr>
            <w:tcW w:w="6594" w:type="dxa"/>
          </w:tcPr>
          <w:p w14:paraId="601F49FB" w14:textId="77777777" w:rsidR="005743D8" w:rsidRDefault="005743D8" w:rsidP="00B513F6">
            <w:r>
              <w:t>N</w:t>
            </w:r>
            <w:r w:rsidRPr="00505148">
              <w:t>erve growth factor</w:t>
            </w:r>
          </w:p>
        </w:tc>
      </w:tr>
      <w:tr w:rsidR="005743D8" w14:paraId="490CBDD6" w14:textId="77777777" w:rsidTr="000F49A2">
        <w:tc>
          <w:tcPr>
            <w:tcW w:w="1890" w:type="dxa"/>
          </w:tcPr>
          <w:p w14:paraId="049EAB8B" w14:textId="77777777" w:rsidR="005743D8" w:rsidRDefault="005743D8" w:rsidP="00B513F6">
            <w:r>
              <w:t>NONMEM</w:t>
            </w:r>
          </w:p>
        </w:tc>
        <w:tc>
          <w:tcPr>
            <w:tcW w:w="6594" w:type="dxa"/>
          </w:tcPr>
          <w:p w14:paraId="56279F07" w14:textId="77777777" w:rsidR="005743D8" w:rsidRDefault="005743D8" w:rsidP="00B513F6">
            <w:r>
              <w:t>Non-linear mixed effects m</w:t>
            </w:r>
            <w:r w:rsidRPr="00F46E5A">
              <w:t>ode</w:t>
            </w:r>
            <w:r>
              <w:t>lling</w:t>
            </w:r>
          </w:p>
        </w:tc>
      </w:tr>
      <w:tr w:rsidR="005743D8" w14:paraId="5FE8A1DE" w14:textId="77777777" w:rsidTr="000F49A2">
        <w:tc>
          <w:tcPr>
            <w:tcW w:w="1890" w:type="dxa"/>
          </w:tcPr>
          <w:p w14:paraId="08DBA2F9" w14:textId="77777777" w:rsidR="005743D8" w:rsidRDefault="005743D8" w:rsidP="00B513F6">
            <w:r>
              <w:t>NR</w:t>
            </w:r>
          </w:p>
        </w:tc>
        <w:tc>
          <w:tcPr>
            <w:tcW w:w="6594" w:type="dxa"/>
          </w:tcPr>
          <w:p w14:paraId="6D07D0F8" w14:textId="77777777" w:rsidR="005743D8" w:rsidRDefault="005743D8" w:rsidP="00B513F6">
            <w:r>
              <w:t>Not reported</w:t>
            </w:r>
          </w:p>
        </w:tc>
      </w:tr>
      <w:tr w:rsidR="005743D8" w14:paraId="5F0086DF" w14:textId="77777777" w:rsidTr="000F49A2">
        <w:tc>
          <w:tcPr>
            <w:tcW w:w="1890" w:type="dxa"/>
          </w:tcPr>
          <w:p w14:paraId="7A96B183" w14:textId="77777777" w:rsidR="005743D8" w:rsidRDefault="005743D8" w:rsidP="00B513F6">
            <w:r>
              <w:t>NSCLC</w:t>
            </w:r>
          </w:p>
        </w:tc>
        <w:tc>
          <w:tcPr>
            <w:tcW w:w="6594" w:type="dxa"/>
          </w:tcPr>
          <w:p w14:paraId="0224F610" w14:textId="77777777" w:rsidR="005743D8" w:rsidRDefault="005743D8" w:rsidP="00B513F6">
            <w:r>
              <w:t>Non-small cell lung cancer</w:t>
            </w:r>
          </w:p>
        </w:tc>
      </w:tr>
      <w:tr w:rsidR="005743D8" w14:paraId="09D30285" w14:textId="77777777" w:rsidTr="000F49A2">
        <w:tc>
          <w:tcPr>
            <w:tcW w:w="1890" w:type="dxa"/>
          </w:tcPr>
          <w:p w14:paraId="324308A9" w14:textId="77777777" w:rsidR="005743D8" w:rsidRDefault="005743D8" w:rsidP="00B513F6">
            <w:r>
              <w:t>NSG</w:t>
            </w:r>
          </w:p>
        </w:tc>
        <w:tc>
          <w:tcPr>
            <w:tcW w:w="6594" w:type="dxa"/>
          </w:tcPr>
          <w:p w14:paraId="50AFF83C" w14:textId="77777777" w:rsidR="005743D8" w:rsidRDefault="005743D8" w:rsidP="00B513F6">
            <w:r>
              <w:t>Next generation sequencing</w:t>
            </w:r>
          </w:p>
        </w:tc>
      </w:tr>
      <w:tr w:rsidR="005743D8" w14:paraId="38FB34F5" w14:textId="77777777" w:rsidTr="000F49A2">
        <w:tc>
          <w:tcPr>
            <w:tcW w:w="1890" w:type="dxa"/>
          </w:tcPr>
          <w:p w14:paraId="7F14714B" w14:textId="77777777" w:rsidR="005743D8" w:rsidRDefault="005743D8" w:rsidP="00B513F6">
            <w:r>
              <w:t>NT3</w:t>
            </w:r>
          </w:p>
        </w:tc>
        <w:tc>
          <w:tcPr>
            <w:tcW w:w="6594" w:type="dxa"/>
          </w:tcPr>
          <w:p w14:paraId="4E4B474D" w14:textId="77777777" w:rsidR="005743D8" w:rsidRDefault="005743D8" w:rsidP="00B513F6">
            <w:r>
              <w:t>N</w:t>
            </w:r>
            <w:r w:rsidRPr="00505148">
              <w:t>eurotrophin-3</w:t>
            </w:r>
          </w:p>
        </w:tc>
      </w:tr>
      <w:tr w:rsidR="005743D8" w14:paraId="1389564B" w14:textId="77777777" w:rsidTr="000F49A2">
        <w:tc>
          <w:tcPr>
            <w:tcW w:w="1890" w:type="dxa"/>
          </w:tcPr>
          <w:p w14:paraId="182B68A2" w14:textId="77777777" w:rsidR="005743D8" w:rsidRDefault="005743D8" w:rsidP="00B513F6">
            <w:r>
              <w:t>NT4/NTF5</w:t>
            </w:r>
          </w:p>
        </w:tc>
        <w:tc>
          <w:tcPr>
            <w:tcW w:w="6594" w:type="dxa"/>
          </w:tcPr>
          <w:p w14:paraId="5459C938" w14:textId="77777777" w:rsidR="005743D8" w:rsidRDefault="005743D8" w:rsidP="00B513F6">
            <w:r>
              <w:t>E</w:t>
            </w:r>
            <w:r w:rsidRPr="00505148">
              <w:t>urotrophin-4</w:t>
            </w:r>
          </w:p>
        </w:tc>
      </w:tr>
      <w:tr w:rsidR="005743D8" w14:paraId="51192739" w14:textId="77777777" w:rsidTr="000F49A2">
        <w:tc>
          <w:tcPr>
            <w:tcW w:w="1890" w:type="dxa"/>
          </w:tcPr>
          <w:p w14:paraId="16C032C5" w14:textId="77777777" w:rsidR="005743D8" w:rsidRDefault="005743D8" w:rsidP="00B513F6">
            <w:r>
              <w:t>NTRK</w:t>
            </w:r>
          </w:p>
        </w:tc>
        <w:tc>
          <w:tcPr>
            <w:tcW w:w="6594" w:type="dxa"/>
          </w:tcPr>
          <w:p w14:paraId="666879E5" w14:textId="77777777" w:rsidR="005743D8" w:rsidRDefault="005743D8" w:rsidP="00B513F6">
            <w:r>
              <w:t>Neurotrophic tropomyosin receptor kinase</w:t>
            </w:r>
          </w:p>
        </w:tc>
      </w:tr>
      <w:tr w:rsidR="005743D8" w14:paraId="0FE72F3A" w14:textId="77777777" w:rsidTr="000F49A2">
        <w:tc>
          <w:tcPr>
            <w:tcW w:w="1890" w:type="dxa"/>
          </w:tcPr>
          <w:p w14:paraId="4D02982A" w14:textId="77777777" w:rsidR="005743D8" w:rsidRDefault="005743D8" w:rsidP="00B513F6">
            <w:r>
              <w:t>OATP1B1</w:t>
            </w:r>
          </w:p>
        </w:tc>
        <w:tc>
          <w:tcPr>
            <w:tcW w:w="6594" w:type="dxa"/>
          </w:tcPr>
          <w:p w14:paraId="779450A8" w14:textId="77777777" w:rsidR="005743D8" w:rsidRDefault="005743D8" w:rsidP="00B513F6">
            <w:r>
              <w:t>O</w:t>
            </w:r>
            <w:r w:rsidRPr="00F46E5A">
              <w:t>rganic anion transporter family member 1B1</w:t>
            </w:r>
          </w:p>
        </w:tc>
      </w:tr>
      <w:tr w:rsidR="005743D8" w14:paraId="2D3DB7DB" w14:textId="77777777" w:rsidTr="000F49A2">
        <w:tc>
          <w:tcPr>
            <w:tcW w:w="1890" w:type="dxa"/>
          </w:tcPr>
          <w:p w14:paraId="330B70A7" w14:textId="77777777" w:rsidR="005743D8" w:rsidRDefault="005743D8" w:rsidP="00B513F6">
            <w:r>
              <w:t>OATP1B3</w:t>
            </w:r>
          </w:p>
        </w:tc>
        <w:tc>
          <w:tcPr>
            <w:tcW w:w="6594" w:type="dxa"/>
          </w:tcPr>
          <w:p w14:paraId="58ED936E" w14:textId="77777777" w:rsidR="005743D8" w:rsidRDefault="005743D8" w:rsidP="00B513F6">
            <w:r>
              <w:t>O</w:t>
            </w:r>
            <w:r w:rsidRPr="00F46E5A">
              <w:t xml:space="preserve">rganic anion transporter family </w:t>
            </w:r>
            <w:r>
              <w:t>member 1B3</w:t>
            </w:r>
          </w:p>
        </w:tc>
      </w:tr>
      <w:tr w:rsidR="005743D8" w14:paraId="532C6638" w14:textId="77777777" w:rsidTr="000F49A2">
        <w:tc>
          <w:tcPr>
            <w:tcW w:w="1890" w:type="dxa"/>
          </w:tcPr>
          <w:p w14:paraId="33C31EAE" w14:textId="77777777" w:rsidR="005743D8" w:rsidRDefault="005743D8" w:rsidP="00B513F6">
            <w:r>
              <w:t>ORR</w:t>
            </w:r>
          </w:p>
        </w:tc>
        <w:tc>
          <w:tcPr>
            <w:tcW w:w="6594" w:type="dxa"/>
          </w:tcPr>
          <w:p w14:paraId="5F7CD60C" w14:textId="77777777" w:rsidR="005743D8" w:rsidRDefault="005743D8" w:rsidP="00B513F6">
            <w:r>
              <w:t>Objective response rate</w:t>
            </w:r>
          </w:p>
        </w:tc>
      </w:tr>
      <w:tr w:rsidR="005743D8" w14:paraId="77687E11" w14:textId="77777777" w:rsidTr="000F49A2">
        <w:tc>
          <w:tcPr>
            <w:tcW w:w="1890" w:type="dxa"/>
          </w:tcPr>
          <w:p w14:paraId="695A66B5" w14:textId="77777777" w:rsidR="005743D8" w:rsidRDefault="005743D8" w:rsidP="00B513F6">
            <w:r>
              <w:t>OS</w:t>
            </w:r>
          </w:p>
        </w:tc>
        <w:tc>
          <w:tcPr>
            <w:tcW w:w="6594" w:type="dxa"/>
          </w:tcPr>
          <w:p w14:paraId="4C230AF7" w14:textId="77777777" w:rsidR="005743D8" w:rsidRDefault="005743D8" w:rsidP="00B513F6">
            <w:r>
              <w:t>Overall survival</w:t>
            </w:r>
          </w:p>
        </w:tc>
      </w:tr>
      <w:tr w:rsidR="005743D8" w14:paraId="0A474537" w14:textId="77777777" w:rsidTr="000F49A2">
        <w:tc>
          <w:tcPr>
            <w:tcW w:w="1890" w:type="dxa"/>
          </w:tcPr>
          <w:p w14:paraId="7EB9584B" w14:textId="77777777" w:rsidR="005743D8" w:rsidRDefault="005743D8" w:rsidP="00B513F6">
            <w:r>
              <w:t>PBPK</w:t>
            </w:r>
          </w:p>
        </w:tc>
        <w:tc>
          <w:tcPr>
            <w:tcW w:w="6594" w:type="dxa"/>
          </w:tcPr>
          <w:p w14:paraId="277D3AD8" w14:textId="77777777" w:rsidR="005743D8" w:rsidRDefault="005743D8" w:rsidP="00B513F6">
            <w:r>
              <w:t>Physiologically-based pharmacokinetics</w:t>
            </w:r>
          </w:p>
        </w:tc>
      </w:tr>
      <w:tr w:rsidR="005743D8" w14:paraId="4E77196E" w14:textId="77777777" w:rsidTr="000F49A2">
        <w:tc>
          <w:tcPr>
            <w:tcW w:w="1890" w:type="dxa"/>
          </w:tcPr>
          <w:p w14:paraId="6B37132A" w14:textId="77777777" w:rsidR="005743D8" w:rsidRDefault="005743D8" w:rsidP="00B513F6">
            <w:r>
              <w:t>PCR</w:t>
            </w:r>
          </w:p>
        </w:tc>
        <w:tc>
          <w:tcPr>
            <w:tcW w:w="6594" w:type="dxa"/>
          </w:tcPr>
          <w:p w14:paraId="3AE71756" w14:textId="77777777" w:rsidR="005743D8" w:rsidRDefault="005743D8" w:rsidP="00B513F6">
            <w:r w:rsidRPr="003F3460">
              <w:t>Polymerase chain reaction</w:t>
            </w:r>
          </w:p>
        </w:tc>
      </w:tr>
      <w:tr w:rsidR="005743D8" w14:paraId="79FDBFA8" w14:textId="77777777" w:rsidTr="000F49A2">
        <w:tc>
          <w:tcPr>
            <w:tcW w:w="1890" w:type="dxa"/>
          </w:tcPr>
          <w:p w14:paraId="4A176CF9" w14:textId="77777777" w:rsidR="005743D8" w:rsidRDefault="005743D8" w:rsidP="00B513F6">
            <w:r>
              <w:t>PD</w:t>
            </w:r>
          </w:p>
        </w:tc>
        <w:tc>
          <w:tcPr>
            <w:tcW w:w="6594" w:type="dxa"/>
          </w:tcPr>
          <w:p w14:paraId="7FBC6864" w14:textId="1FA9149A" w:rsidR="005743D8" w:rsidRDefault="005743D8" w:rsidP="00B513F6">
            <w:r w:rsidRPr="00D61D03">
              <w:t>Pharmacodynamic</w:t>
            </w:r>
            <w:r w:rsidR="009546AB">
              <w:t>(</w:t>
            </w:r>
            <w:r>
              <w:t>s</w:t>
            </w:r>
            <w:r w:rsidR="009546AB">
              <w:t>)</w:t>
            </w:r>
          </w:p>
        </w:tc>
      </w:tr>
      <w:tr w:rsidR="00827BFF" w14:paraId="7E49FFA5" w14:textId="77777777" w:rsidTr="000F49A2">
        <w:tc>
          <w:tcPr>
            <w:tcW w:w="1890" w:type="dxa"/>
          </w:tcPr>
          <w:p w14:paraId="4BB54928" w14:textId="5BAEC5D8" w:rsidR="00827BFF" w:rsidRDefault="00827BFF" w:rsidP="00B513F6">
            <w:r>
              <w:rPr>
                <w:rFonts w:asciiTheme="minorHAnsi" w:hAnsiTheme="minorHAnsi" w:cs="Calibri"/>
                <w:lang w:eastAsia="zh-TW"/>
              </w:rPr>
              <w:t>PD-L1</w:t>
            </w:r>
          </w:p>
        </w:tc>
        <w:tc>
          <w:tcPr>
            <w:tcW w:w="6594" w:type="dxa"/>
          </w:tcPr>
          <w:p w14:paraId="04C46B03" w14:textId="285B7692" w:rsidR="00827BFF" w:rsidRPr="00D61D03" w:rsidRDefault="00827BFF" w:rsidP="00827BFF">
            <w:r>
              <w:t>P</w:t>
            </w:r>
            <w:r>
              <w:rPr>
                <w:rFonts w:asciiTheme="minorHAnsi" w:hAnsiTheme="minorHAnsi" w:cs="Calibri"/>
                <w:lang w:eastAsia="zh-TW"/>
              </w:rPr>
              <w:t>rogrammed death-ligand 1</w:t>
            </w:r>
          </w:p>
        </w:tc>
      </w:tr>
      <w:tr w:rsidR="005743D8" w14:paraId="5BF3A8BA" w14:textId="77777777" w:rsidTr="000F49A2">
        <w:tc>
          <w:tcPr>
            <w:tcW w:w="1890" w:type="dxa"/>
          </w:tcPr>
          <w:p w14:paraId="16AE8FA3" w14:textId="77777777" w:rsidR="005743D8" w:rsidRDefault="005743D8" w:rsidP="00B513F6">
            <w:r>
              <w:t>PDIA3</w:t>
            </w:r>
          </w:p>
        </w:tc>
        <w:tc>
          <w:tcPr>
            <w:tcW w:w="6594" w:type="dxa"/>
          </w:tcPr>
          <w:p w14:paraId="41C92094" w14:textId="77777777" w:rsidR="005743D8" w:rsidRDefault="005743D8" w:rsidP="00B513F6">
            <w:r>
              <w:t xml:space="preserve">Protein </w:t>
            </w:r>
            <w:proofErr w:type="spellStart"/>
            <w:r>
              <w:t>disulfide</w:t>
            </w:r>
            <w:proofErr w:type="spellEnd"/>
            <w:r>
              <w:t xml:space="preserve"> isomerase family A m</w:t>
            </w:r>
            <w:r w:rsidRPr="00625814">
              <w:t>ember 3</w:t>
            </w:r>
          </w:p>
        </w:tc>
      </w:tr>
      <w:tr w:rsidR="005743D8" w14:paraId="171A4CAC" w14:textId="77777777" w:rsidTr="000F49A2">
        <w:tc>
          <w:tcPr>
            <w:tcW w:w="1890" w:type="dxa"/>
          </w:tcPr>
          <w:p w14:paraId="2D9CD50B" w14:textId="77777777" w:rsidR="005743D8" w:rsidRDefault="005743D8" w:rsidP="00B513F6">
            <w:r>
              <w:t>PEAR1</w:t>
            </w:r>
          </w:p>
        </w:tc>
        <w:tc>
          <w:tcPr>
            <w:tcW w:w="6594" w:type="dxa"/>
          </w:tcPr>
          <w:p w14:paraId="74A5C8EE" w14:textId="77777777" w:rsidR="005743D8" w:rsidRDefault="005743D8" w:rsidP="00B513F6">
            <w:r>
              <w:t>Platelet endothelial aggregation r</w:t>
            </w:r>
            <w:r w:rsidRPr="00C07C23">
              <w:t>eceptor 1</w:t>
            </w:r>
          </w:p>
        </w:tc>
      </w:tr>
      <w:tr w:rsidR="005743D8" w14:paraId="5AD10297" w14:textId="77777777" w:rsidTr="000F49A2">
        <w:tc>
          <w:tcPr>
            <w:tcW w:w="1890" w:type="dxa"/>
          </w:tcPr>
          <w:p w14:paraId="66FC1FD9" w14:textId="77777777" w:rsidR="005743D8" w:rsidRDefault="005743D8" w:rsidP="00B513F6">
            <w:r>
              <w:t>PFS</w:t>
            </w:r>
          </w:p>
        </w:tc>
        <w:tc>
          <w:tcPr>
            <w:tcW w:w="6594" w:type="dxa"/>
          </w:tcPr>
          <w:p w14:paraId="715EBEF7" w14:textId="77777777" w:rsidR="005743D8" w:rsidRDefault="005743D8" w:rsidP="003C7284">
            <w:r>
              <w:t>P</w:t>
            </w:r>
            <w:r w:rsidRPr="00D61D03">
              <w:t>rogression-free survival</w:t>
            </w:r>
          </w:p>
        </w:tc>
      </w:tr>
      <w:tr w:rsidR="005743D8" w14:paraId="7B11DB49" w14:textId="77777777" w:rsidTr="000F49A2">
        <w:tc>
          <w:tcPr>
            <w:tcW w:w="1890" w:type="dxa"/>
          </w:tcPr>
          <w:p w14:paraId="1F5D343F" w14:textId="77777777" w:rsidR="005743D8" w:rsidRDefault="005743D8" w:rsidP="00B513F6">
            <w:r>
              <w:t>P-</w:t>
            </w:r>
            <w:proofErr w:type="spellStart"/>
            <w:r>
              <w:t>gp</w:t>
            </w:r>
            <w:proofErr w:type="spellEnd"/>
          </w:p>
        </w:tc>
        <w:tc>
          <w:tcPr>
            <w:tcW w:w="6594" w:type="dxa"/>
          </w:tcPr>
          <w:p w14:paraId="55AA231C" w14:textId="77777777" w:rsidR="005743D8" w:rsidRDefault="005743D8" w:rsidP="00B513F6">
            <w:r>
              <w:t>P-glycoprotein</w:t>
            </w:r>
          </w:p>
        </w:tc>
      </w:tr>
      <w:tr w:rsidR="005743D8" w14:paraId="29F4A42C" w14:textId="77777777" w:rsidTr="000F49A2">
        <w:tc>
          <w:tcPr>
            <w:tcW w:w="1890" w:type="dxa"/>
          </w:tcPr>
          <w:p w14:paraId="771671DB" w14:textId="77777777" w:rsidR="005743D8" w:rsidRDefault="005743D8" w:rsidP="00B513F6">
            <w:r>
              <w:t>PI</w:t>
            </w:r>
          </w:p>
        </w:tc>
        <w:tc>
          <w:tcPr>
            <w:tcW w:w="6594" w:type="dxa"/>
          </w:tcPr>
          <w:p w14:paraId="331AE5F5" w14:textId="3BD8CD3E" w:rsidR="005743D8" w:rsidRDefault="005743D8" w:rsidP="00B513F6">
            <w:r>
              <w:t xml:space="preserve">Product </w:t>
            </w:r>
            <w:r w:rsidR="009546AB">
              <w:t>I</w:t>
            </w:r>
            <w:r>
              <w:t>nformation</w:t>
            </w:r>
          </w:p>
        </w:tc>
      </w:tr>
      <w:tr w:rsidR="005743D8" w14:paraId="2A61B486" w14:textId="77777777" w:rsidTr="000F49A2">
        <w:tc>
          <w:tcPr>
            <w:tcW w:w="1890" w:type="dxa"/>
          </w:tcPr>
          <w:p w14:paraId="294B005B" w14:textId="77777777" w:rsidR="005743D8" w:rsidRDefault="005743D8" w:rsidP="00B513F6">
            <w:r>
              <w:t>PK</w:t>
            </w:r>
          </w:p>
        </w:tc>
        <w:tc>
          <w:tcPr>
            <w:tcW w:w="6594" w:type="dxa"/>
          </w:tcPr>
          <w:p w14:paraId="3D596AC4" w14:textId="353F0340" w:rsidR="005743D8" w:rsidRDefault="005743D8" w:rsidP="00B513F6">
            <w:r>
              <w:t>Pharmacokinetic</w:t>
            </w:r>
            <w:r w:rsidR="009546AB">
              <w:t>(s)</w:t>
            </w:r>
          </w:p>
        </w:tc>
      </w:tr>
      <w:tr w:rsidR="005743D8" w14:paraId="1358392E" w14:textId="77777777" w:rsidTr="000F49A2">
        <w:tc>
          <w:tcPr>
            <w:tcW w:w="1890" w:type="dxa"/>
          </w:tcPr>
          <w:p w14:paraId="015751EC" w14:textId="77777777" w:rsidR="005743D8" w:rsidRDefault="005743D8" w:rsidP="00B513F6">
            <w:proofErr w:type="spellStart"/>
            <w:r>
              <w:lastRenderedPageBreak/>
              <w:t>pKa</w:t>
            </w:r>
            <w:proofErr w:type="spellEnd"/>
          </w:p>
        </w:tc>
        <w:tc>
          <w:tcPr>
            <w:tcW w:w="6594" w:type="dxa"/>
          </w:tcPr>
          <w:p w14:paraId="0DEE8B07" w14:textId="77777777" w:rsidR="005743D8" w:rsidRDefault="005743D8" w:rsidP="00B513F6">
            <w:r w:rsidRPr="003C7284">
              <w:t>Acid dissociation constant</w:t>
            </w:r>
          </w:p>
        </w:tc>
      </w:tr>
      <w:tr w:rsidR="005743D8" w14:paraId="73396D22" w14:textId="77777777" w:rsidTr="000F49A2">
        <w:tc>
          <w:tcPr>
            <w:tcW w:w="1890" w:type="dxa"/>
          </w:tcPr>
          <w:p w14:paraId="3A964A14" w14:textId="77777777" w:rsidR="005743D8" w:rsidRDefault="005743D8" w:rsidP="00B513F6">
            <w:r>
              <w:t>PLEKHA6</w:t>
            </w:r>
          </w:p>
        </w:tc>
        <w:tc>
          <w:tcPr>
            <w:tcW w:w="6594" w:type="dxa"/>
          </w:tcPr>
          <w:p w14:paraId="32A4B17A" w14:textId="77777777" w:rsidR="005743D8" w:rsidRDefault="005743D8" w:rsidP="00B513F6">
            <w:proofErr w:type="spellStart"/>
            <w:r>
              <w:t>Pleckstrin</w:t>
            </w:r>
            <w:proofErr w:type="spellEnd"/>
            <w:r>
              <w:t xml:space="preserve"> homology domain c</w:t>
            </w:r>
            <w:r w:rsidRPr="008268A5">
              <w:t>ontaining A6</w:t>
            </w:r>
          </w:p>
        </w:tc>
      </w:tr>
      <w:tr w:rsidR="005743D8" w14:paraId="26E5D9E0" w14:textId="77777777" w:rsidTr="000F49A2">
        <w:tc>
          <w:tcPr>
            <w:tcW w:w="1890" w:type="dxa"/>
          </w:tcPr>
          <w:p w14:paraId="7D1CAD0E" w14:textId="77777777" w:rsidR="005743D8" w:rsidRDefault="005743D8" w:rsidP="00B513F6">
            <w:r>
              <w:t>PMA</w:t>
            </w:r>
          </w:p>
        </w:tc>
        <w:tc>
          <w:tcPr>
            <w:tcW w:w="6594" w:type="dxa"/>
          </w:tcPr>
          <w:p w14:paraId="5027EE17" w14:textId="77777777" w:rsidR="005743D8" w:rsidRDefault="005743D8" w:rsidP="00B513F6">
            <w:r>
              <w:t>P</w:t>
            </w:r>
            <w:r w:rsidRPr="008D3773">
              <w:t>re</w:t>
            </w:r>
            <w:r>
              <w:t>market approval application</w:t>
            </w:r>
          </w:p>
        </w:tc>
      </w:tr>
      <w:tr w:rsidR="005743D8" w14:paraId="11CA16A7" w14:textId="77777777" w:rsidTr="000F49A2">
        <w:tc>
          <w:tcPr>
            <w:tcW w:w="1890" w:type="dxa"/>
          </w:tcPr>
          <w:p w14:paraId="5AE420F8" w14:textId="77777777" w:rsidR="005743D8" w:rsidRDefault="005743D8" w:rsidP="00B513F6">
            <w:r>
              <w:t>PMC</w:t>
            </w:r>
          </w:p>
        </w:tc>
        <w:tc>
          <w:tcPr>
            <w:tcW w:w="6594" w:type="dxa"/>
          </w:tcPr>
          <w:p w14:paraId="7CD1A594" w14:textId="77777777" w:rsidR="005743D8" w:rsidRDefault="005743D8" w:rsidP="00B513F6">
            <w:r>
              <w:rPr>
                <w:lang w:val="en-US"/>
              </w:rPr>
              <w:t>Post‐marketing commitment</w:t>
            </w:r>
          </w:p>
        </w:tc>
      </w:tr>
      <w:tr w:rsidR="005743D8" w14:paraId="4FA2CFF0" w14:textId="77777777" w:rsidTr="000F49A2">
        <w:tc>
          <w:tcPr>
            <w:tcW w:w="1890" w:type="dxa"/>
          </w:tcPr>
          <w:p w14:paraId="10D3D020" w14:textId="77777777" w:rsidR="005743D8" w:rsidRDefault="005743D8" w:rsidP="00B513F6">
            <w:r>
              <w:t>PMR</w:t>
            </w:r>
          </w:p>
        </w:tc>
        <w:tc>
          <w:tcPr>
            <w:tcW w:w="6594" w:type="dxa"/>
          </w:tcPr>
          <w:p w14:paraId="28E40BBB" w14:textId="77777777" w:rsidR="005743D8" w:rsidRDefault="005743D8" w:rsidP="00B513F6">
            <w:r>
              <w:t>P</w:t>
            </w:r>
            <w:r w:rsidRPr="00A75CC0">
              <w:t>ost marketing requirement</w:t>
            </w:r>
          </w:p>
        </w:tc>
      </w:tr>
      <w:tr w:rsidR="005743D8" w14:paraId="7A923D51" w14:textId="77777777" w:rsidTr="000F49A2">
        <w:tc>
          <w:tcPr>
            <w:tcW w:w="1890" w:type="dxa"/>
          </w:tcPr>
          <w:p w14:paraId="340FFD36" w14:textId="77777777" w:rsidR="005743D8" w:rsidRDefault="005743D8" w:rsidP="00B513F6">
            <w:r>
              <w:t>PPI</w:t>
            </w:r>
          </w:p>
        </w:tc>
        <w:tc>
          <w:tcPr>
            <w:tcW w:w="6594" w:type="dxa"/>
          </w:tcPr>
          <w:p w14:paraId="6471BDFB" w14:textId="77777777" w:rsidR="005743D8" w:rsidRDefault="005743D8" w:rsidP="00B513F6">
            <w:r>
              <w:t>Proton pump inhibitor</w:t>
            </w:r>
          </w:p>
        </w:tc>
      </w:tr>
      <w:tr w:rsidR="005743D8" w14:paraId="1A8FEADF" w14:textId="77777777" w:rsidTr="000F49A2">
        <w:tc>
          <w:tcPr>
            <w:tcW w:w="1890" w:type="dxa"/>
          </w:tcPr>
          <w:p w14:paraId="57474549" w14:textId="77777777" w:rsidR="005743D8" w:rsidRDefault="005743D8" w:rsidP="00B513F6">
            <w:r>
              <w:t>PPK</w:t>
            </w:r>
          </w:p>
        </w:tc>
        <w:tc>
          <w:tcPr>
            <w:tcW w:w="6594" w:type="dxa"/>
          </w:tcPr>
          <w:p w14:paraId="6439DAE8" w14:textId="77777777" w:rsidR="005743D8" w:rsidRDefault="005743D8" w:rsidP="00B513F6">
            <w:r>
              <w:t>P</w:t>
            </w:r>
            <w:r w:rsidRPr="00A73D84">
              <w:t>opulation pharma</w:t>
            </w:r>
            <w:r>
              <w:t>cokinetics</w:t>
            </w:r>
          </w:p>
        </w:tc>
      </w:tr>
      <w:tr w:rsidR="005743D8" w14:paraId="4C8D5C98" w14:textId="77777777" w:rsidTr="000F49A2">
        <w:tc>
          <w:tcPr>
            <w:tcW w:w="1890" w:type="dxa"/>
          </w:tcPr>
          <w:p w14:paraId="1E3238C4" w14:textId="77777777" w:rsidR="005743D8" w:rsidRDefault="005743D8" w:rsidP="00B513F6">
            <w:r>
              <w:t>PPK WG</w:t>
            </w:r>
          </w:p>
        </w:tc>
        <w:tc>
          <w:tcPr>
            <w:tcW w:w="6594" w:type="dxa"/>
          </w:tcPr>
          <w:p w14:paraId="07B8832F" w14:textId="77777777" w:rsidR="005743D8" w:rsidRDefault="005743D8" w:rsidP="00B513F6">
            <w:r>
              <w:t>P</w:t>
            </w:r>
            <w:r w:rsidRPr="00A73D84">
              <w:t>opulation pharma</w:t>
            </w:r>
            <w:r>
              <w:t>cokinetics working group</w:t>
            </w:r>
          </w:p>
        </w:tc>
      </w:tr>
      <w:tr w:rsidR="005743D8" w14:paraId="1502826B" w14:textId="77777777" w:rsidTr="000F49A2">
        <w:tc>
          <w:tcPr>
            <w:tcW w:w="1890" w:type="dxa"/>
          </w:tcPr>
          <w:p w14:paraId="662607BC" w14:textId="77777777" w:rsidR="005743D8" w:rsidRDefault="005743D8" w:rsidP="00B513F6">
            <w:r>
              <w:t>PROs</w:t>
            </w:r>
          </w:p>
        </w:tc>
        <w:tc>
          <w:tcPr>
            <w:tcW w:w="6594" w:type="dxa"/>
          </w:tcPr>
          <w:p w14:paraId="5C03B34D" w14:textId="77777777" w:rsidR="005743D8" w:rsidRDefault="005743D8" w:rsidP="00B513F6">
            <w:r>
              <w:t>Patient reported outcomes</w:t>
            </w:r>
          </w:p>
        </w:tc>
      </w:tr>
      <w:tr w:rsidR="005743D8" w14:paraId="7B028188" w14:textId="77777777" w:rsidTr="000F49A2">
        <w:tc>
          <w:tcPr>
            <w:tcW w:w="1890" w:type="dxa"/>
          </w:tcPr>
          <w:p w14:paraId="1C51F680" w14:textId="77777777" w:rsidR="005743D8" w:rsidRDefault="005743D8" w:rsidP="00B513F6">
            <w:r>
              <w:t>QT</w:t>
            </w:r>
          </w:p>
        </w:tc>
        <w:tc>
          <w:tcPr>
            <w:tcW w:w="6594" w:type="dxa"/>
          </w:tcPr>
          <w:p w14:paraId="0F6A45C0" w14:textId="61626987" w:rsidR="005743D8" w:rsidRDefault="005743D8" w:rsidP="00B513F6">
            <w:r>
              <w:t xml:space="preserve">Time </w:t>
            </w:r>
            <w:r w:rsidR="0073081B">
              <w:t xml:space="preserve">interval </w:t>
            </w:r>
            <w:r>
              <w:t>from start of the Q wave to the end of the T wave in a heartbeat</w:t>
            </w:r>
          </w:p>
        </w:tc>
      </w:tr>
      <w:tr w:rsidR="005743D8" w14:paraId="6076A6F4" w14:textId="77777777" w:rsidTr="000F49A2">
        <w:tc>
          <w:tcPr>
            <w:tcW w:w="1890" w:type="dxa"/>
          </w:tcPr>
          <w:p w14:paraId="2A3033BF" w14:textId="77777777" w:rsidR="005743D8" w:rsidRDefault="005743D8" w:rsidP="00B513F6">
            <w:proofErr w:type="spellStart"/>
            <w:r>
              <w:t>QTc</w:t>
            </w:r>
            <w:proofErr w:type="spellEnd"/>
          </w:p>
        </w:tc>
        <w:tc>
          <w:tcPr>
            <w:tcW w:w="6594" w:type="dxa"/>
          </w:tcPr>
          <w:p w14:paraId="163DEB40" w14:textId="77777777" w:rsidR="005743D8" w:rsidRDefault="005743D8" w:rsidP="00B513F6">
            <w:r>
              <w:t>Corrected QT interval</w:t>
            </w:r>
          </w:p>
        </w:tc>
      </w:tr>
      <w:tr w:rsidR="005743D8" w14:paraId="0F5E44BC" w14:textId="77777777" w:rsidTr="000F49A2">
        <w:tc>
          <w:tcPr>
            <w:tcW w:w="1890" w:type="dxa"/>
          </w:tcPr>
          <w:p w14:paraId="42EFBB07" w14:textId="77777777" w:rsidR="005743D8" w:rsidRDefault="005743D8" w:rsidP="00B513F6">
            <w:r>
              <w:t>RANO</w:t>
            </w:r>
          </w:p>
        </w:tc>
        <w:tc>
          <w:tcPr>
            <w:tcW w:w="6594" w:type="dxa"/>
          </w:tcPr>
          <w:p w14:paraId="01E6D3F6" w14:textId="4DC46F89" w:rsidR="005743D8" w:rsidRDefault="005743D8" w:rsidP="00B513F6">
            <w:r>
              <w:t xml:space="preserve">Response </w:t>
            </w:r>
            <w:r w:rsidR="0073081B">
              <w:t>A</w:t>
            </w:r>
            <w:r>
              <w:t xml:space="preserve">ssessment in </w:t>
            </w:r>
            <w:r w:rsidR="0073081B">
              <w:t>N</w:t>
            </w:r>
            <w:r>
              <w:t>euro-</w:t>
            </w:r>
            <w:r w:rsidR="0073081B">
              <w:t>O</w:t>
            </w:r>
            <w:r>
              <w:t xml:space="preserve">ncology </w:t>
            </w:r>
            <w:r w:rsidR="0073081B">
              <w:t>(C</w:t>
            </w:r>
            <w:r>
              <w:t>riteria</w:t>
            </w:r>
            <w:r w:rsidR="0073081B">
              <w:t>)</w:t>
            </w:r>
          </w:p>
        </w:tc>
      </w:tr>
      <w:tr w:rsidR="005743D8" w14:paraId="20656DFE" w14:textId="77777777" w:rsidTr="000F49A2">
        <w:tc>
          <w:tcPr>
            <w:tcW w:w="1890" w:type="dxa"/>
          </w:tcPr>
          <w:p w14:paraId="2E7F94E6" w14:textId="77777777" w:rsidR="005743D8" w:rsidRDefault="005743D8" w:rsidP="00B513F6">
            <w:r>
              <w:t>RBPMS</w:t>
            </w:r>
          </w:p>
        </w:tc>
        <w:tc>
          <w:tcPr>
            <w:tcW w:w="6594" w:type="dxa"/>
          </w:tcPr>
          <w:p w14:paraId="6F8019A9" w14:textId="77777777" w:rsidR="005743D8" w:rsidRDefault="005743D8" w:rsidP="00B513F6">
            <w:r w:rsidRPr="00C07C23">
              <w:t>RN</w:t>
            </w:r>
            <w:r>
              <w:t>A binding protein, mRNA processing f</w:t>
            </w:r>
            <w:r w:rsidRPr="00C07C23">
              <w:t>actor</w:t>
            </w:r>
          </w:p>
        </w:tc>
      </w:tr>
      <w:tr w:rsidR="005743D8" w14:paraId="6FB7C73A" w14:textId="77777777" w:rsidTr="000F49A2">
        <w:tc>
          <w:tcPr>
            <w:tcW w:w="1890" w:type="dxa"/>
          </w:tcPr>
          <w:p w14:paraId="6E397E04" w14:textId="77777777" w:rsidR="005743D8" w:rsidRDefault="005743D8" w:rsidP="00B513F6">
            <w:r>
              <w:t>RECIST</w:t>
            </w:r>
          </w:p>
        </w:tc>
        <w:tc>
          <w:tcPr>
            <w:tcW w:w="6594" w:type="dxa"/>
          </w:tcPr>
          <w:p w14:paraId="2EA44A01" w14:textId="77777777" w:rsidR="005743D8" w:rsidRDefault="005743D8" w:rsidP="00B513F6">
            <w:r>
              <w:t>Response evaluation criteria in solid tumours</w:t>
            </w:r>
          </w:p>
        </w:tc>
      </w:tr>
      <w:tr w:rsidR="005743D8" w14:paraId="6B0E3D6F" w14:textId="77777777" w:rsidTr="000F49A2">
        <w:tc>
          <w:tcPr>
            <w:tcW w:w="1890" w:type="dxa"/>
          </w:tcPr>
          <w:p w14:paraId="7862E51E" w14:textId="77777777" w:rsidR="005743D8" w:rsidRDefault="005743D8" w:rsidP="00B513F6">
            <w:r>
              <w:t>RMP</w:t>
            </w:r>
          </w:p>
        </w:tc>
        <w:tc>
          <w:tcPr>
            <w:tcW w:w="6594" w:type="dxa"/>
          </w:tcPr>
          <w:p w14:paraId="04FCA338" w14:textId="77777777" w:rsidR="005743D8" w:rsidRDefault="005743D8" w:rsidP="00B513F6">
            <w:r>
              <w:t>Risk management plan</w:t>
            </w:r>
          </w:p>
        </w:tc>
      </w:tr>
      <w:tr w:rsidR="005743D8" w14:paraId="6CFBE666" w14:textId="77777777" w:rsidTr="000F49A2">
        <w:tc>
          <w:tcPr>
            <w:tcW w:w="1890" w:type="dxa"/>
          </w:tcPr>
          <w:p w14:paraId="1C57BDF8" w14:textId="77777777" w:rsidR="005743D8" w:rsidRDefault="005743D8" w:rsidP="00B513F6">
            <w:r>
              <w:t>RNA</w:t>
            </w:r>
          </w:p>
        </w:tc>
        <w:tc>
          <w:tcPr>
            <w:tcW w:w="6594" w:type="dxa"/>
          </w:tcPr>
          <w:p w14:paraId="6D1F8345" w14:textId="77777777" w:rsidR="005743D8" w:rsidRPr="001350D6" w:rsidRDefault="005743D8" w:rsidP="00B513F6">
            <w:r w:rsidRPr="00446B20">
              <w:t>Ribonucleic acid</w:t>
            </w:r>
          </w:p>
        </w:tc>
      </w:tr>
      <w:tr w:rsidR="005743D8" w14:paraId="6A60994F" w14:textId="77777777" w:rsidTr="000F49A2">
        <w:tc>
          <w:tcPr>
            <w:tcW w:w="1890" w:type="dxa"/>
          </w:tcPr>
          <w:p w14:paraId="16C2CC78" w14:textId="77777777" w:rsidR="005743D8" w:rsidRDefault="005743D8" w:rsidP="00B513F6">
            <w:r>
              <w:t>ROS1</w:t>
            </w:r>
          </w:p>
        </w:tc>
        <w:tc>
          <w:tcPr>
            <w:tcW w:w="6594" w:type="dxa"/>
          </w:tcPr>
          <w:p w14:paraId="4A2AE359" w14:textId="77777777" w:rsidR="005743D8" w:rsidRDefault="005743D8" w:rsidP="00B513F6">
            <w:r w:rsidRPr="001350D6">
              <w:t>Proto-oncogene tyrosine-protein kinase ROS</w:t>
            </w:r>
          </w:p>
        </w:tc>
      </w:tr>
      <w:tr w:rsidR="005743D8" w14:paraId="63C8E9F2" w14:textId="77777777" w:rsidTr="000F49A2">
        <w:tc>
          <w:tcPr>
            <w:tcW w:w="1890" w:type="dxa"/>
          </w:tcPr>
          <w:p w14:paraId="16E64C96" w14:textId="77777777" w:rsidR="005743D8" w:rsidRDefault="005743D8" w:rsidP="00B513F6">
            <w:r>
              <w:t>RP2D</w:t>
            </w:r>
          </w:p>
        </w:tc>
        <w:tc>
          <w:tcPr>
            <w:tcW w:w="6594" w:type="dxa"/>
          </w:tcPr>
          <w:p w14:paraId="1C14C4A7" w14:textId="1C4DEF27" w:rsidR="005743D8" w:rsidRDefault="005743D8" w:rsidP="00B513F6">
            <w:r>
              <w:t>R</w:t>
            </w:r>
            <w:r w:rsidRPr="00795EA8">
              <w:t xml:space="preserve">ecommended </w:t>
            </w:r>
            <w:r>
              <w:t>Phase</w:t>
            </w:r>
            <w:r w:rsidRPr="00795EA8">
              <w:t xml:space="preserve"> </w:t>
            </w:r>
            <w:r w:rsidR="002A613E">
              <w:t>II</w:t>
            </w:r>
            <w:r w:rsidRPr="00795EA8">
              <w:t xml:space="preserve"> dose</w:t>
            </w:r>
          </w:p>
        </w:tc>
      </w:tr>
      <w:tr w:rsidR="005743D8" w14:paraId="0EF43EF9" w14:textId="77777777" w:rsidTr="000F49A2">
        <w:tc>
          <w:tcPr>
            <w:tcW w:w="1890" w:type="dxa"/>
          </w:tcPr>
          <w:p w14:paraId="2DC3DA5B" w14:textId="77777777" w:rsidR="005743D8" w:rsidRDefault="005743D8" w:rsidP="00B513F6">
            <w:r>
              <w:t>SAE</w:t>
            </w:r>
          </w:p>
        </w:tc>
        <w:tc>
          <w:tcPr>
            <w:tcW w:w="6594" w:type="dxa"/>
          </w:tcPr>
          <w:p w14:paraId="4D9CAF0C" w14:textId="77777777" w:rsidR="005743D8" w:rsidRDefault="005743D8" w:rsidP="00B513F6">
            <w:r>
              <w:t>Serious adverse event</w:t>
            </w:r>
          </w:p>
        </w:tc>
      </w:tr>
      <w:tr w:rsidR="005743D8" w14:paraId="749F5135" w14:textId="77777777" w:rsidTr="000F49A2">
        <w:tc>
          <w:tcPr>
            <w:tcW w:w="1890" w:type="dxa"/>
          </w:tcPr>
          <w:p w14:paraId="4B20813E" w14:textId="77777777" w:rsidR="005743D8" w:rsidRDefault="005743D8" w:rsidP="00B513F6">
            <w:r>
              <w:t>SAP</w:t>
            </w:r>
          </w:p>
        </w:tc>
        <w:tc>
          <w:tcPr>
            <w:tcW w:w="6594" w:type="dxa"/>
          </w:tcPr>
          <w:p w14:paraId="390AF680" w14:textId="77777777" w:rsidR="005743D8" w:rsidRDefault="005743D8" w:rsidP="00B513F6">
            <w:r>
              <w:t>Statistical analysis plan</w:t>
            </w:r>
          </w:p>
        </w:tc>
      </w:tr>
      <w:tr w:rsidR="005743D8" w14:paraId="70E2DA1E" w14:textId="77777777" w:rsidTr="000F49A2">
        <w:tc>
          <w:tcPr>
            <w:tcW w:w="1890" w:type="dxa"/>
          </w:tcPr>
          <w:p w14:paraId="1EFB4DC0" w14:textId="77777777" w:rsidR="005743D8" w:rsidRDefault="005743D8" w:rsidP="00B513F6">
            <w:r>
              <w:t>SCLC</w:t>
            </w:r>
          </w:p>
        </w:tc>
        <w:tc>
          <w:tcPr>
            <w:tcW w:w="6594" w:type="dxa"/>
          </w:tcPr>
          <w:p w14:paraId="29E27D04" w14:textId="77777777" w:rsidR="005743D8" w:rsidRDefault="005743D8" w:rsidP="00B513F6">
            <w:r>
              <w:t>Small cell lung cancer</w:t>
            </w:r>
          </w:p>
        </w:tc>
      </w:tr>
      <w:tr w:rsidR="005743D8" w14:paraId="7CE4EB0D" w14:textId="77777777" w:rsidTr="000F49A2">
        <w:tc>
          <w:tcPr>
            <w:tcW w:w="1890" w:type="dxa"/>
          </w:tcPr>
          <w:p w14:paraId="49D69EAB" w14:textId="77777777" w:rsidR="005743D8" w:rsidRDefault="005743D8" w:rsidP="00B513F6">
            <w:proofErr w:type="spellStart"/>
            <w:r>
              <w:t>SGF</w:t>
            </w:r>
            <w:r w:rsidRPr="002A4716">
              <w:rPr>
                <w:vertAlign w:val="subscript"/>
              </w:rPr>
              <w:t>sp</w:t>
            </w:r>
            <w:proofErr w:type="spellEnd"/>
          </w:p>
        </w:tc>
        <w:tc>
          <w:tcPr>
            <w:tcW w:w="6594" w:type="dxa"/>
          </w:tcPr>
          <w:p w14:paraId="4991E402" w14:textId="77777777" w:rsidR="005743D8" w:rsidRDefault="005743D8" w:rsidP="00B513F6">
            <w:r>
              <w:t>Simulated gastric fluid sine pepsin</w:t>
            </w:r>
          </w:p>
        </w:tc>
      </w:tr>
      <w:tr w:rsidR="0088305F" w14:paraId="02601EDF" w14:textId="77777777" w:rsidTr="000F49A2">
        <w:tc>
          <w:tcPr>
            <w:tcW w:w="1890" w:type="dxa"/>
          </w:tcPr>
          <w:p w14:paraId="1F4B03B2" w14:textId="1701DCBB" w:rsidR="0088305F" w:rsidRDefault="0088305F" w:rsidP="00B513F6">
            <w:r>
              <w:t>SOC</w:t>
            </w:r>
          </w:p>
        </w:tc>
        <w:tc>
          <w:tcPr>
            <w:tcW w:w="6594" w:type="dxa"/>
          </w:tcPr>
          <w:p w14:paraId="1BD98215" w14:textId="3A7C9234" w:rsidR="0088305F" w:rsidRDefault="0088305F" w:rsidP="00B513F6">
            <w:r>
              <w:rPr>
                <w:rFonts w:asciiTheme="minorHAnsi" w:hAnsiTheme="minorHAnsi" w:cs="Calibri"/>
              </w:rPr>
              <w:t>System Organ Class</w:t>
            </w:r>
          </w:p>
        </w:tc>
      </w:tr>
      <w:tr w:rsidR="005743D8" w14:paraId="51386E68" w14:textId="77777777" w:rsidTr="000F49A2">
        <w:tc>
          <w:tcPr>
            <w:tcW w:w="1890" w:type="dxa"/>
          </w:tcPr>
          <w:p w14:paraId="751A591D" w14:textId="77777777" w:rsidR="005743D8" w:rsidRDefault="005743D8" w:rsidP="00C07C23">
            <w:r>
              <w:t>SQSTM1</w:t>
            </w:r>
          </w:p>
        </w:tc>
        <w:tc>
          <w:tcPr>
            <w:tcW w:w="6594" w:type="dxa"/>
          </w:tcPr>
          <w:p w14:paraId="0ED9B66F" w14:textId="77777777" w:rsidR="005743D8" w:rsidRDefault="005743D8" w:rsidP="00B513F6">
            <w:proofErr w:type="spellStart"/>
            <w:r w:rsidRPr="00C07C23">
              <w:t>Sequestosome</w:t>
            </w:r>
            <w:proofErr w:type="spellEnd"/>
            <w:r w:rsidRPr="00C07C23">
              <w:t xml:space="preserve"> 1</w:t>
            </w:r>
          </w:p>
        </w:tc>
      </w:tr>
      <w:tr w:rsidR="005743D8" w14:paraId="27401815" w14:textId="77777777" w:rsidTr="000F49A2">
        <w:tc>
          <w:tcPr>
            <w:tcW w:w="1890" w:type="dxa"/>
          </w:tcPr>
          <w:p w14:paraId="7CF05A74" w14:textId="77777777" w:rsidR="005743D8" w:rsidRDefault="005743D8" w:rsidP="00B513F6">
            <w:r>
              <w:t>TGA</w:t>
            </w:r>
          </w:p>
        </w:tc>
        <w:tc>
          <w:tcPr>
            <w:tcW w:w="6594" w:type="dxa"/>
          </w:tcPr>
          <w:p w14:paraId="2BCB09B4" w14:textId="77777777" w:rsidR="005743D8" w:rsidRDefault="005743D8" w:rsidP="00B513F6">
            <w:r>
              <w:t>Therapeutic Goods Administration</w:t>
            </w:r>
          </w:p>
        </w:tc>
      </w:tr>
      <w:tr w:rsidR="005743D8" w14:paraId="63642C58" w14:textId="77777777" w:rsidTr="000F49A2">
        <w:tc>
          <w:tcPr>
            <w:tcW w:w="1890" w:type="dxa"/>
          </w:tcPr>
          <w:p w14:paraId="60E8A15D" w14:textId="77777777" w:rsidR="005743D8" w:rsidRDefault="005743D8" w:rsidP="00B513F6">
            <w:proofErr w:type="spellStart"/>
            <w:r>
              <w:lastRenderedPageBreak/>
              <w:t>T</w:t>
            </w:r>
            <w:r w:rsidRPr="00A62576">
              <w:rPr>
                <w:vertAlign w:val="subscript"/>
              </w:rPr>
              <w:t>max</w:t>
            </w:r>
            <w:proofErr w:type="spellEnd"/>
          </w:p>
        </w:tc>
        <w:tc>
          <w:tcPr>
            <w:tcW w:w="6594" w:type="dxa"/>
          </w:tcPr>
          <w:p w14:paraId="57834E6A" w14:textId="001478E5" w:rsidR="005743D8" w:rsidRDefault="00871C4E" w:rsidP="00B513F6">
            <w:r>
              <w:t>Time of</w:t>
            </w:r>
            <w:r w:rsidR="005743D8" w:rsidRPr="00795EA8">
              <w:t xml:space="preserve"> maximum concentration</w:t>
            </w:r>
          </w:p>
        </w:tc>
      </w:tr>
      <w:tr w:rsidR="005743D8" w14:paraId="78DE9888" w14:textId="77777777" w:rsidTr="000F49A2">
        <w:tc>
          <w:tcPr>
            <w:tcW w:w="1890" w:type="dxa"/>
          </w:tcPr>
          <w:p w14:paraId="540D0566" w14:textId="77777777" w:rsidR="005743D8" w:rsidRDefault="005743D8" w:rsidP="00B513F6">
            <w:r>
              <w:t>TPM3</w:t>
            </w:r>
          </w:p>
        </w:tc>
        <w:tc>
          <w:tcPr>
            <w:tcW w:w="6594" w:type="dxa"/>
          </w:tcPr>
          <w:p w14:paraId="1294FDF0" w14:textId="77777777" w:rsidR="005743D8" w:rsidRDefault="005743D8" w:rsidP="00B513F6">
            <w:r w:rsidRPr="00C07C23">
              <w:t>Tropomyosin 3</w:t>
            </w:r>
          </w:p>
        </w:tc>
      </w:tr>
      <w:tr w:rsidR="005743D8" w14:paraId="19642AF9" w14:textId="77777777" w:rsidTr="000F49A2">
        <w:tc>
          <w:tcPr>
            <w:tcW w:w="1890" w:type="dxa"/>
          </w:tcPr>
          <w:p w14:paraId="0E8E8A07" w14:textId="77777777" w:rsidR="005743D8" w:rsidRDefault="005743D8" w:rsidP="00B513F6">
            <w:r>
              <w:t>TPR</w:t>
            </w:r>
          </w:p>
        </w:tc>
        <w:tc>
          <w:tcPr>
            <w:tcW w:w="6594" w:type="dxa"/>
          </w:tcPr>
          <w:p w14:paraId="0D51E252" w14:textId="77777777" w:rsidR="005743D8" w:rsidRDefault="005743D8" w:rsidP="00B513F6">
            <w:r>
              <w:t>Translocated promoter region, nuclear basket p</w:t>
            </w:r>
            <w:r w:rsidRPr="00C07C23">
              <w:t>rotein</w:t>
            </w:r>
          </w:p>
        </w:tc>
      </w:tr>
      <w:tr w:rsidR="005743D8" w14:paraId="47C13541" w14:textId="77777777" w:rsidTr="000F49A2">
        <w:tc>
          <w:tcPr>
            <w:tcW w:w="1890" w:type="dxa"/>
          </w:tcPr>
          <w:p w14:paraId="32D15B5D" w14:textId="77777777" w:rsidR="005743D8" w:rsidRDefault="005743D8" w:rsidP="00B513F6">
            <w:r>
              <w:t>TRIM33</w:t>
            </w:r>
          </w:p>
        </w:tc>
        <w:tc>
          <w:tcPr>
            <w:tcW w:w="6594" w:type="dxa"/>
          </w:tcPr>
          <w:p w14:paraId="24AACE83" w14:textId="77777777" w:rsidR="005743D8" w:rsidRDefault="005743D8" w:rsidP="00B513F6">
            <w:r>
              <w:t>Tripartite motif c</w:t>
            </w:r>
            <w:r w:rsidRPr="008268A5">
              <w:t>ontaining 33</w:t>
            </w:r>
          </w:p>
        </w:tc>
      </w:tr>
      <w:tr w:rsidR="005743D8" w14:paraId="3225F682" w14:textId="77777777" w:rsidTr="000F49A2">
        <w:tc>
          <w:tcPr>
            <w:tcW w:w="1890" w:type="dxa"/>
          </w:tcPr>
          <w:p w14:paraId="5A24EB42" w14:textId="77777777" w:rsidR="005743D8" w:rsidRDefault="005743D8" w:rsidP="00B513F6">
            <w:r>
              <w:t>TRK</w:t>
            </w:r>
          </w:p>
        </w:tc>
        <w:tc>
          <w:tcPr>
            <w:tcW w:w="6594" w:type="dxa"/>
          </w:tcPr>
          <w:p w14:paraId="55622B5A" w14:textId="77777777" w:rsidR="005743D8" w:rsidRDefault="005743D8" w:rsidP="00B513F6">
            <w:r>
              <w:t>Tropomyosin receptor kinase</w:t>
            </w:r>
          </w:p>
        </w:tc>
      </w:tr>
      <w:tr w:rsidR="005743D8" w14:paraId="6F89220F" w14:textId="77777777" w:rsidTr="000F49A2">
        <w:tc>
          <w:tcPr>
            <w:tcW w:w="1890" w:type="dxa"/>
          </w:tcPr>
          <w:p w14:paraId="756EB8C2" w14:textId="77777777" w:rsidR="005743D8" w:rsidRDefault="005743D8" w:rsidP="00B513F6">
            <w:r>
              <w:t>TTR</w:t>
            </w:r>
          </w:p>
        </w:tc>
        <w:tc>
          <w:tcPr>
            <w:tcW w:w="6594" w:type="dxa"/>
          </w:tcPr>
          <w:p w14:paraId="33B2DB05" w14:textId="77777777" w:rsidR="005743D8" w:rsidRDefault="005743D8" w:rsidP="00B513F6">
            <w:r>
              <w:t>Time to response</w:t>
            </w:r>
          </w:p>
        </w:tc>
      </w:tr>
      <w:tr w:rsidR="005743D8" w14:paraId="6BE074DA" w14:textId="77777777" w:rsidTr="000F49A2">
        <w:tc>
          <w:tcPr>
            <w:tcW w:w="1890" w:type="dxa"/>
          </w:tcPr>
          <w:p w14:paraId="7AEC9215" w14:textId="77777777" w:rsidR="005743D8" w:rsidRDefault="005743D8" w:rsidP="00B513F6">
            <w:r>
              <w:t>UGT1A4</w:t>
            </w:r>
          </w:p>
        </w:tc>
        <w:tc>
          <w:tcPr>
            <w:tcW w:w="6594" w:type="dxa"/>
          </w:tcPr>
          <w:p w14:paraId="60AD1A8D" w14:textId="359AB966" w:rsidR="005743D8" w:rsidRDefault="00E82597" w:rsidP="00E82597">
            <w:r w:rsidRPr="00E82597">
              <w:t>Uridine 5'-diphosph</w:t>
            </w:r>
            <w:r>
              <w:t>o</w:t>
            </w:r>
            <w:r w:rsidR="005743D8" w:rsidRPr="00795EA8">
              <w:t>-glucuronosyltransferase 1-4</w:t>
            </w:r>
          </w:p>
        </w:tc>
      </w:tr>
      <w:tr w:rsidR="005743D8" w14:paraId="41FA31BE" w14:textId="77777777" w:rsidTr="000F49A2">
        <w:tc>
          <w:tcPr>
            <w:tcW w:w="1890" w:type="dxa"/>
          </w:tcPr>
          <w:p w14:paraId="1CEFC309" w14:textId="77777777" w:rsidR="005743D8" w:rsidRDefault="005743D8" w:rsidP="00B513F6">
            <w:r>
              <w:t>US(A)</w:t>
            </w:r>
          </w:p>
        </w:tc>
        <w:tc>
          <w:tcPr>
            <w:tcW w:w="6594" w:type="dxa"/>
          </w:tcPr>
          <w:p w14:paraId="351A0337" w14:textId="7102B377" w:rsidR="005743D8" w:rsidRDefault="005743D8" w:rsidP="00B513F6">
            <w:r>
              <w:t>United State</w:t>
            </w:r>
            <w:r w:rsidR="00B953BD">
              <w:t>s</w:t>
            </w:r>
            <w:r>
              <w:t xml:space="preserve"> </w:t>
            </w:r>
            <w:r w:rsidR="00A0555A">
              <w:t>(</w:t>
            </w:r>
            <w:r>
              <w:t>of America</w:t>
            </w:r>
            <w:r w:rsidR="00A0555A">
              <w:t>)</w:t>
            </w:r>
            <w:r>
              <w:t xml:space="preserve"> </w:t>
            </w:r>
          </w:p>
        </w:tc>
      </w:tr>
      <w:tr w:rsidR="005743D8" w14:paraId="045A6D9D" w14:textId="77777777" w:rsidTr="000F49A2">
        <w:tc>
          <w:tcPr>
            <w:tcW w:w="1890" w:type="dxa"/>
          </w:tcPr>
          <w:p w14:paraId="36531AEB" w14:textId="77777777" w:rsidR="005743D8" w:rsidRDefault="005743D8" w:rsidP="00B513F6">
            <w:r>
              <w:t>W&amp;P</w:t>
            </w:r>
          </w:p>
        </w:tc>
        <w:tc>
          <w:tcPr>
            <w:tcW w:w="6594" w:type="dxa"/>
          </w:tcPr>
          <w:p w14:paraId="2D3C7B7E" w14:textId="77777777" w:rsidR="005743D8" w:rsidRDefault="005743D8" w:rsidP="00B513F6">
            <w:r>
              <w:t>Warnings and precautions</w:t>
            </w:r>
          </w:p>
        </w:tc>
      </w:tr>
    </w:tbl>
    <w:p w14:paraId="195929C0" w14:textId="77777777" w:rsidR="00FD119B" w:rsidRDefault="00FD119B" w:rsidP="00FD119B"/>
    <w:p w14:paraId="0CA35E4E"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4F026B8" w14:textId="6BBDBDF8" w:rsidR="00DD379C" w:rsidRDefault="00F53C07" w:rsidP="00DD379C">
      <w:pPr>
        <w:pStyle w:val="Heading2"/>
      </w:pPr>
      <w:bookmarkStart w:id="8" w:name="_Toc52891248"/>
      <w:r>
        <w:lastRenderedPageBreak/>
        <w:t>I.</w:t>
      </w:r>
      <w:r w:rsidR="008E7846">
        <w:t xml:space="preserve"> Introduction to product submission</w:t>
      </w:r>
      <w:bookmarkStart w:id="9" w:name="_Toc247691502"/>
      <w:bookmarkStart w:id="10" w:name="_Toc314842483"/>
      <w:bookmarkEnd w:id="8"/>
      <w:bookmarkEnd w:id="0"/>
      <w:bookmarkEnd w:id="2"/>
    </w:p>
    <w:p w14:paraId="3C36C44E" w14:textId="7ABF8893" w:rsidR="008E7846" w:rsidRDefault="008E7846" w:rsidP="008E7846">
      <w:pPr>
        <w:pStyle w:val="Heading3"/>
        <w:rPr>
          <w:lang w:eastAsia="en-AU"/>
        </w:rPr>
      </w:pPr>
      <w:bookmarkStart w:id="11" w:name="_Toc52891249"/>
      <w:r>
        <w:rPr>
          <w:lang w:eastAsia="en-AU"/>
        </w:rPr>
        <w:t>Submission details</w:t>
      </w:r>
      <w:bookmarkEnd w:id="9"/>
      <w:bookmarkEnd w:id="10"/>
      <w:bookmarkEnd w:id="11"/>
    </w:p>
    <w:p w14:paraId="20E7602C" w14:textId="6D482826" w:rsidR="00E92999" w:rsidRDefault="00E92999" w:rsidP="00E92999">
      <w:pPr>
        <w:pStyle w:val="Heading4"/>
      </w:pPr>
      <w:r>
        <w:rPr>
          <w:lang w:eastAsia="en-AU"/>
        </w:rPr>
        <w:t xml:space="preserve">Submission </w:t>
      </w:r>
      <w:r w:rsidRPr="00E92999">
        <w:t>PM-2019-01808-1-4</w:t>
      </w:r>
      <w:r>
        <w:t xml:space="preserve"> (non-small cell lung cancer indication)</w:t>
      </w:r>
    </w:p>
    <w:tbl>
      <w:tblPr>
        <w:tblW w:w="9214" w:type="dxa"/>
        <w:tblInd w:w="108" w:type="dxa"/>
        <w:tblLook w:val="01E0" w:firstRow="1" w:lastRow="1" w:firstColumn="1" w:lastColumn="1" w:noHBand="0" w:noVBand="0"/>
      </w:tblPr>
      <w:tblGrid>
        <w:gridCol w:w="2907"/>
        <w:gridCol w:w="6307"/>
      </w:tblGrid>
      <w:tr w:rsidR="008F2283" w:rsidRPr="003D1E62" w14:paraId="6F5ECD35" w14:textId="77777777" w:rsidTr="008F2283">
        <w:tc>
          <w:tcPr>
            <w:tcW w:w="2907" w:type="dxa"/>
          </w:tcPr>
          <w:p w14:paraId="389C35EB" w14:textId="77777777" w:rsidR="008F2283" w:rsidRPr="003D1E62" w:rsidRDefault="008F2283" w:rsidP="00F14542">
            <w:pPr>
              <w:rPr>
                <w:i/>
              </w:rPr>
            </w:pPr>
            <w:r>
              <w:rPr>
                <w:i/>
              </w:rPr>
              <w:t>Type of s</w:t>
            </w:r>
            <w:r w:rsidRPr="003D1E62">
              <w:rPr>
                <w:i/>
              </w:rPr>
              <w:t>ubmission</w:t>
            </w:r>
            <w:r>
              <w:rPr>
                <w:i/>
              </w:rPr>
              <w:t>:</w:t>
            </w:r>
          </w:p>
        </w:tc>
        <w:tc>
          <w:tcPr>
            <w:tcW w:w="6307" w:type="dxa"/>
          </w:tcPr>
          <w:p w14:paraId="5BCD55BB" w14:textId="77777777" w:rsidR="008F2283" w:rsidRPr="003D1E62" w:rsidRDefault="008F2283" w:rsidP="00F14542">
            <w:r w:rsidRPr="003D1E62">
              <w:t xml:space="preserve">New </w:t>
            </w:r>
            <w:r>
              <w:t>c</w:t>
            </w:r>
            <w:r w:rsidRPr="003D1E62">
              <w:t xml:space="preserve">hemical </w:t>
            </w:r>
            <w:r>
              <w:t>entity</w:t>
            </w:r>
          </w:p>
        </w:tc>
      </w:tr>
      <w:tr w:rsidR="008F2283" w:rsidRPr="003D1E62" w14:paraId="584FB120" w14:textId="77777777" w:rsidTr="008F2283">
        <w:tc>
          <w:tcPr>
            <w:tcW w:w="2907" w:type="dxa"/>
          </w:tcPr>
          <w:p w14:paraId="22F36823" w14:textId="77777777" w:rsidR="008F2283" w:rsidRPr="003D1E62" w:rsidRDefault="008F2283" w:rsidP="00F14542">
            <w:pPr>
              <w:rPr>
                <w:i/>
              </w:rPr>
            </w:pPr>
            <w:r>
              <w:rPr>
                <w:i/>
              </w:rPr>
              <w:t>Product name</w:t>
            </w:r>
            <w:r w:rsidRPr="00460036">
              <w:rPr>
                <w:i/>
              </w:rPr>
              <w:t>:</w:t>
            </w:r>
          </w:p>
        </w:tc>
        <w:tc>
          <w:tcPr>
            <w:tcW w:w="6307" w:type="dxa"/>
          </w:tcPr>
          <w:p w14:paraId="6EEEC02F" w14:textId="77777777" w:rsidR="008F2283" w:rsidRPr="003D1E62" w:rsidRDefault="008F2283" w:rsidP="00F14542">
            <w:r>
              <w:t>Rozlytrek</w:t>
            </w:r>
          </w:p>
        </w:tc>
      </w:tr>
      <w:tr w:rsidR="008F2283" w:rsidRPr="003D1E62" w14:paraId="23942901" w14:textId="77777777" w:rsidTr="008F2283">
        <w:tc>
          <w:tcPr>
            <w:tcW w:w="2907" w:type="dxa"/>
          </w:tcPr>
          <w:p w14:paraId="044B01C1" w14:textId="77777777" w:rsidR="008F2283" w:rsidRPr="003D1E62" w:rsidRDefault="008F2283" w:rsidP="00F14542">
            <w:pPr>
              <w:rPr>
                <w:i/>
              </w:rPr>
            </w:pPr>
            <w:r>
              <w:rPr>
                <w:i/>
              </w:rPr>
              <w:t>Active ingredient</w:t>
            </w:r>
            <w:r w:rsidRPr="00460036">
              <w:rPr>
                <w:i/>
              </w:rPr>
              <w:t>:</w:t>
            </w:r>
          </w:p>
        </w:tc>
        <w:tc>
          <w:tcPr>
            <w:tcW w:w="6307" w:type="dxa"/>
          </w:tcPr>
          <w:p w14:paraId="4C8EF685" w14:textId="77777777" w:rsidR="008F2283" w:rsidRPr="003D1E62" w:rsidRDefault="008F2283" w:rsidP="00F14542">
            <w:r>
              <w:t>Entrectinib</w:t>
            </w:r>
          </w:p>
        </w:tc>
      </w:tr>
      <w:tr w:rsidR="008F2283" w:rsidRPr="003D1E62" w14:paraId="162D2217" w14:textId="77777777" w:rsidTr="008F2283">
        <w:tc>
          <w:tcPr>
            <w:tcW w:w="2907" w:type="dxa"/>
          </w:tcPr>
          <w:p w14:paraId="05F5D94B" w14:textId="77777777" w:rsidR="008F2283" w:rsidRPr="008F2283" w:rsidRDefault="008F2283" w:rsidP="00F14542">
            <w:pPr>
              <w:rPr>
                <w:i/>
              </w:rPr>
            </w:pPr>
            <w:r w:rsidRPr="003D1E62">
              <w:rPr>
                <w:i/>
              </w:rPr>
              <w:t>Decision</w:t>
            </w:r>
            <w:r w:rsidRPr="008F2283">
              <w:rPr>
                <w:i/>
              </w:rPr>
              <w:t>:</w:t>
            </w:r>
          </w:p>
        </w:tc>
        <w:tc>
          <w:tcPr>
            <w:tcW w:w="6307" w:type="dxa"/>
          </w:tcPr>
          <w:p w14:paraId="439DC220" w14:textId="77777777" w:rsidR="008F2283" w:rsidRPr="003D1E62" w:rsidRDefault="008F2283" w:rsidP="00F14542">
            <w:r>
              <w:t>Approved</w:t>
            </w:r>
          </w:p>
        </w:tc>
      </w:tr>
      <w:tr w:rsidR="008F2283" w:rsidRPr="003D1E62" w14:paraId="7C27C805" w14:textId="77777777" w:rsidTr="008F2283">
        <w:tc>
          <w:tcPr>
            <w:tcW w:w="2907" w:type="dxa"/>
          </w:tcPr>
          <w:p w14:paraId="5C818560" w14:textId="77777777" w:rsidR="008F2283" w:rsidRPr="003D1E62" w:rsidRDefault="008F2283" w:rsidP="00F14542">
            <w:pPr>
              <w:rPr>
                <w:i/>
              </w:rPr>
            </w:pPr>
            <w:r w:rsidRPr="003D1E62">
              <w:rPr>
                <w:i/>
              </w:rPr>
              <w:t xml:space="preserve">Date of </w:t>
            </w:r>
            <w:r>
              <w:rPr>
                <w:i/>
              </w:rPr>
              <w:t>d</w:t>
            </w:r>
            <w:r w:rsidRPr="003D1E62">
              <w:rPr>
                <w:i/>
              </w:rPr>
              <w:t>ecision:</w:t>
            </w:r>
          </w:p>
        </w:tc>
        <w:tc>
          <w:tcPr>
            <w:tcW w:w="6307" w:type="dxa"/>
          </w:tcPr>
          <w:p w14:paraId="6FE6967A" w14:textId="77777777" w:rsidR="008F2283" w:rsidRPr="003D1E62" w:rsidRDefault="008F2283" w:rsidP="00F14542">
            <w:r>
              <w:t>14 May 2020</w:t>
            </w:r>
          </w:p>
        </w:tc>
      </w:tr>
      <w:tr w:rsidR="008F2283" w:rsidRPr="003D1E62" w14:paraId="6EBE5A08" w14:textId="77777777" w:rsidTr="008F2283">
        <w:tc>
          <w:tcPr>
            <w:tcW w:w="2907" w:type="dxa"/>
          </w:tcPr>
          <w:p w14:paraId="1D3151D8" w14:textId="77777777" w:rsidR="008F2283" w:rsidRPr="00441C3F" w:rsidRDefault="008F2283" w:rsidP="00F14542">
            <w:pPr>
              <w:rPr>
                <w:i/>
              </w:rPr>
            </w:pPr>
            <w:r w:rsidRPr="00441C3F">
              <w:rPr>
                <w:i/>
              </w:rPr>
              <w:t>Date of entry onto ARTG</w:t>
            </w:r>
            <w:r>
              <w:rPr>
                <w:i/>
              </w:rPr>
              <w:t>:</w:t>
            </w:r>
          </w:p>
        </w:tc>
        <w:tc>
          <w:tcPr>
            <w:tcW w:w="6307" w:type="dxa"/>
          </w:tcPr>
          <w:p w14:paraId="081D7FD9" w14:textId="77777777" w:rsidR="008F2283" w:rsidRPr="008F2283" w:rsidRDefault="008F2283" w:rsidP="00F14542">
            <w:r>
              <w:t>15 May 2020</w:t>
            </w:r>
          </w:p>
        </w:tc>
      </w:tr>
      <w:tr w:rsidR="008F2283" w:rsidRPr="003D1E62" w14:paraId="75494890" w14:textId="77777777" w:rsidTr="008F2283">
        <w:tc>
          <w:tcPr>
            <w:tcW w:w="2907" w:type="dxa"/>
          </w:tcPr>
          <w:p w14:paraId="1790D993" w14:textId="10CC90AB" w:rsidR="008F2283" w:rsidRPr="00441C3F" w:rsidRDefault="008F2283" w:rsidP="00F14542">
            <w:pPr>
              <w:rPr>
                <w:i/>
              </w:rPr>
            </w:pPr>
            <w:r>
              <w:rPr>
                <w:i/>
              </w:rPr>
              <w:t>ARTG number</w:t>
            </w:r>
            <w:r w:rsidR="007A41F5">
              <w:rPr>
                <w:i/>
              </w:rPr>
              <w:t>s</w:t>
            </w:r>
            <w:r>
              <w:rPr>
                <w:i/>
              </w:rPr>
              <w:t>:</w:t>
            </w:r>
          </w:p>
        </w:tc>
        <w:tc>
          <w:tcPr>
            <w:tcW w:w="6307" w:type="dxa"/>
          </w:tcPr>
          <w:p w14:paraId="2AF788D6" w14:textId="77777777" w:rsidR="008F2283" w:rsidRPr="00441C3F" w:rsidRDefault="008F2283" w:rsidP="00F14542">
            <w:r>
              <w:t>318002, 318003</w:t>
            </w:r>
          </w:p>
        </w:tc>
      </w:tr>
      <w:tr w:rsidR="008F2283" w:rsidRPr="003D1E62" w14:paraId="36DD3CFE" w14:textId="77777777" w:rsidTr="008F2283">
        <w:tc>
          <w:tcPr>
            <w:tcW w:w="2907" w:type="dxa"/>
          </w:tcPr>
          <w:p w14:paraId="1771BFD1" w14:textId="742AD0F0" w:rsidR="008F2283" w:rsidRDefault="008F2283" w:rsidP="00F14542">
            <w:pPr>
              <w:rPr>
                <w:i/>
              </w:rPr>
            </w:pPr>
            <w:r>
              <w:rPr>
                <w:rFonts w:ascii="Wingdings 3" w:hAnsi="Wingdings 3"/>
                <w:sz w:val="34"/>
                <w:szCs w:val="34"/>
                <w:lang w:eastAsia="en-AU"/>
              </w:rPr>
              <w:t></w:t>
            </w:r>
            <w:r w:rsidRPr="003735BC">
              <w:rPr>
                <w:i/>
              </w:rPr>
              <w:t>Black Triangle Scheme</w:t>
            </w:r>
            <w:r>
              <w:rPr>
                <w:i/>
              </w:rPr>
              <w:t>:</w:t>
            </w:r>
            <w:bookmarkStart w:id="12" w:name="_Ref50470720"/>
            <w:r w:rsidRPr="008F2283">
              <w:rPr>
                <w:rStyle w:val="FootnoteReference"/>
              </w:rPr>
              <w:footnoteReference w:id="1"/>
            </w:r>
            <w:bookmarkEnd w:id="12"/>
          </w:p>
        </w:tc>
        <w:tc>
          <w:tcPr>
            <w:tcW w:w="6307" w:type="dxa"/>
          </w:tcPr>
          <w:p w14:paraId="01D86004" w14:textId="77777777" w:rsidR="008F2283" w:rsidRDefault="008F2283" w:rsidP="00F14542">
            <w:r>
              <w:t>Yes</w:t>
            </w:r>
          </w:p>
          <w:p w14:paraId="64E81793" w14:textId="77777777" w:rsidR="008F2283" w:rsidRPr="00487162" w:rsidRDefault="008F2283" w:rsidP="00F14542">
            <w:r>
              <w:t>This product will remain in the scheme for 5 years, starting on the date the product is first supplied in Australia, or for the entire period of provisional registration, whichever is longer.</w:t>
            </w:r>
          </w:p>
        </w:tc>
      </w:tr>
      <w:tr w:rsidR="008E7846" w:rsidRPr="00487162" w14:paraId="637AA1CF" w14:textId="77777777" w:rsidTr="00BF1190">
        <w:tc>
          <w:tcPr>
            <w:tcW w:w="2907" w:type="dxa"/>
          </w:tcPr>
          <w:p w14:paraId="090AC9A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DE69FBF" w14:textId="77777777" w:rsidR="008E7846" w:rsidRDefault="0093439C" w:rsidP="00E45619">
            <w:r>
              <w:t>Roche Products Pty Ltd</w:t>
            </w:r>
          </w:p>
          <w:p w14:paraId="138B564E" w14:textId="77777777" w:rsidR="0093439C" w:rsidRPr="00487162" w:rsidRDefault="0093439C" w:rsidP="00E45619">
            <w:r>
              <w:t xml:space="preserve">Level 8, 30-34 </w:t>
            </w:r>
            <w:proofErr w:type="spellStart"/>
            <w:r>
              <w:t>Hickson</w:t>
            </w:r>
            <w:proofErr w:type="spellEnd"/>
            <w:r>
              <w:t xml:space="preserve"> Road, Sydney, NSW 2000</w:t>
            </w:r>
          </w:p>
        </w:tc>
      </w:tr>
      <w:tr w:rsidR="008E7846" w:rsidRPr="00487162" w14:paraId="346CE4BD" w14:textId="77777777" w:rsidTr="00BF1190">
        <w:tc>
          <w:tcPr>
            <w:tcW w:w="2907" w:type="dxa"/>
          </w:tcPr>
          <w:p w14:paraId="729E7A3B" w14:textId="75872B53" w:rsidR="008E7846" w:rsidRPr="00487162" w:rsidRDefault="00AF2D3F" w:rsidP="00E45619">
            <w:pPr>
              <w:rPr>
                <w:i/>
              </w:rPr>
            </w:pPr>
            <w:r>
              <w:rPr>
                <w:i/>
              </w:rPr>
              <w:t>Dose form</w:t>
            </w:r>
            <w:r w:rsidR="001B5C90">
              <w:rPr>
                <w:i/>
              </w:rPr>
              <w:t>:</w:t>
            </w:r>
          </w:p>
        </w:tc>
        <w:tc>
          <w:tcPr>
            <w:tcW w:w="6307" w:type="dxa"/>
          </w:tcPr>
          <w:p w14:paraId="44C42930" w14:textId="77777777" w:rsidR="008E7846" w:rsidRPr="00487162" w:rsidRDefault="005D3766" w:rsidP="00E45619">
            <w:r>
              <w:t>Hard capsule</w:t>
            </w:r>
          </w:p>
        </w:tc>
      </w:tr>
      <w:tr w:rsidR="008E7846" w:rsidRPr="00487162" w14:paraId="5AA225C2" w14:textId="77777777" w:rsidTr="00BF1190">
        <w:tc>
          <w:tcPr>
            <w:tcW w:w="2907" w:type="dxa"/>
          </w:tcPr>
          <w:p w14:paraId="508FF961" w14:textId="64AFEFF0" w:rsidR="008E7846" w:rsidRPr="00487162" w:rsidRDefault="00AF2D3F" w:rsidP="00E45619">
            <w:pPr>
              <w:rPr>
                <w:i/>
              </w:rPr>
            </w:pPr>
            <w:r>
              <w:rPr>
                <w:i/>
              </w:rPr>
              <w:t>Strengths:</w:t>
            </w:r>
          </w:p>
        </w:tc>
        <w:tc>
          <w:tcPr>
            <w:tcW w:w="6307" w:type="dxa"/>
          </w:tcPr>
          <w:p w14:paraId="3E5EEC75" w14:textId="5B0F1BFF" w:rsidR="008E7846" w:rsidRPr="00487162" w:rsidRDefault="00AF2D3F" w:rsidP="005D3766">
            <w:r>
              <w:t>100 mg, 200 mg</w:t>
            </w:r>
          </w:p>
        </w:tc>
      </w:tr>
      <w:tr w:rsidR="008E7846" w:rsidRPr="00487162" w14:paraId="2C179765" w14:textId="77777777" w:rsidTr="00BF1190">
        <w:tc>
          <w:tcPr>
            <w:tcW w:w="2907" w:type="dxa"/>
          </w:tcPr>
          <w:p w14:paraId="198F7AD7" w14:textId="7054C30A" w:rsidR="008E7846" w:rsidRPr="00487162" w:rsidRDefault="00AF2D3F" w:rsidP="00E45619">
            <w:pPr>
              <w:rPr>
                <w:i/>
              </w:rPr>
            </w:pPr>
            <w:r>
              <w:rPr>
                <w:i/>
              </w:rPr>
              <w:t>Container</w:t>
            </w:r>
            <w:r w:rsidR="008E7846" w:rsidRPr="00487162">
              <w:rPr>
                <w:i/>
              </w:rPr>
              <w:t>:</w:t>
            </w:r>
          </w:p>
        </w:tc>
        <w:tc>
          <w:tcPr>
            <w:tcW w:w="6307" w:type="dxa"/>
          </w:tcPr>
          <w:p w14:paraId="30684B25" w14:textId="394FF53C" w:rsidR="008E7846" w:rsidRPr="00487162" w:rsidRDefault="00AF2D3F" w:rsidP="00E675C7">
            <w:r>
              <w:t>Bottle</w:t>
            </w:r>
          </w:p>
        </w:tc>
      </w:tr>
      <w:tr w:rsidR="008E7846" w:rsidRPr="00487162" w14:paraId="3B0DCE22" w14:textId="77777777" w:rsidTr="00BF1190">
        <w:tc>
          <w:tcPr>
            <w:tcW w:w="2907" w:type="dxa"/>
          </w:tcPr>
          <w:p w14:paraId="2017C613" w14:textId="1B1F36AF" w:rsidR="008E7846" w:rsidRPr="00487162" w:rsidRDefault="00AF2D3F" w:rsidP="00E45619">
            <w:pPr>
              <w:rPr>
                <w:i/>
              </w:rPr>
            </w:pPr>
            <w:r>
              <w:rPr>
                <w:i/>
              </w:rPr>
              <w:t>Pack sizes</w:t>
            </w:r>
            <w:r w:rsidR="008E7846" w:rsidRPr="00487162">
              <w:rPr>
                <w:i/>
              </w:rPr>
              <w:t>:</w:t>
            </w:r>
          </w:p>
        </w:tc>
        <w:tc>
          <w:tcPr>
            <w:tcW w:w="6307" w:type="dxa"/>
          </w:tcPr>
          <w:p w14:paraId="0AC40BB4" w14:textId="77777777" w:rsidR="008F2283" w:rsidRPr="003745FE" w:rsidRDefault="008F2283" w:rsidP="008F2283">
            <w:pPr>
              <w:rPr>
                <w:rFonts w:eastAsia="Calibri"/>
              </w:rPr>
            </w:pPr>
            <w:r w:rsidRPr="003745FE">
              <w:rPr>
                <w:rFonts w:eastAsia="Calibri"/>
              </w:rPr>
              <w:t>100 mg hard capsules: 30 capsules per bottle</w:t>
            </w:r>
          </w:p>
          <w:p w14:paraId="4B168C36" w14:textId="1E01A041" w:rsidR="008E7846" w:rsidRPr="003D6385" w:rsidRDefault="008F2283" w:rsidP="008F2283">
            <w:r w:rsidRPr="003745FE">
              <w:rPr>
                <w:rFonts w:eastAsia="Calibri"/>
              </w:rPr>
              <w:t>200 mg hard capsules: 90</w:t>
            </w:r>
            <w:r w:rsidRPr="001D5EC4">
              <w:rPr>
                <w:rFonts w:eastAsia="Calibri"/>
              </w:rPr>
              <w:t xml:space="preserve"> capsules per bottle</w:t>
            </w:r>
          </w:p>
        </w:tc>
      </w:tr>
      <w:tr w:rsidR="008E7846" w:rsidRPr="00487162" w14:paraId="371378B6" w14:textId="77777777" w:rsidTr="00BF1190">
        <w:tc>
          <w:tcPr>
            <w:tcW w:w="2907" w:type="dxa"/>
          </w:tcPr>
          <w:p w14:paraId="1BA9B204"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AF7589A" w14:textId="3C532DB2" w:rsidR="003B4018" w:rsidRPr="003B4018" w:rsidRDefault="003B4018" w:rsidP="003B4018">
            <w:pPr>
              <w:rPr>
                <w:i/>
              </w:rPr>
            </w:pPr>
            <w:r w:rsidRPr="003B4018">
              <w:rPr>
                <w:i/>
              </w:rPr>
              <w:t>Non-small cell lung cancer (NSCLC)</w:t>
            </w:r>
          </w:p>
          <w:p w14:paraId="581EF7C0" w14:textId="7AE3A9D5" w:rsidR="008E7846" w:rsidRPr="00AF2D3F" w:rsidRDefault="00415D55" w:rsidP="003B4018">
            <w:pPr>
              <w:rPr>
                <w:i/>
              </w:rPr>
            </w:pPr>
            <w:r w:rsidRPr="00AF2D3F">
              <w:rPr>
                <w:i/>
              </w:rPr>
              <w:t>Rozlytrek is indicated for the treatment of adult patients with advanced non-small cell lung cancer (NSCLC) whose tumours are ROS1-positive.</w:t>
            </w:r>
          </w:p>
        </w:tc>
      </w:tr>
      <w:tr w:rsidR="008E7846" w:rsidRPr="00487162" w14:paraId="749EEA0F" w14:textId="77777777" w:rsidTr="00BF1190">
        <w:tc>
          <w:tcPr>
            <w:tcW w:w="2907" w:type="dxa"/>
          </w:tcPr>
          <w:p w14:paraId="010AB08B" w14:textId="3FFA568B" w:rsidR="008E7846" w:rsidRPr="00487162" w:rsidRDefault="00AF2D3F" w:rsidP="00E45619">
            <w:pPr>
              <w:rPr>
                <w:i/>
              </w:rPr>
            </w:pPr>
            <w:r>
              <w:rPr>
                <w:i/>
              </w:rPr>
              <w:t>Route</w:t>
            </w:r>
            <w:r w:rsidR="008E7846" w:rsidRPr="00487162">
              <w:rPr>
                <w:i/>
              </w:rPr>
              <w:t xml:space="preserve"> of administration:</w:t>
            </w:r>
          </w:p>
        </w:tc>
        <w:tc>
          <w:tcPr>
            <w:tcW w:w="6307" w:type="dxa"/>
          </w:tcPr>
          <w:p w14:paraId="1223707B" w14:textId="77777777" w:rsidR="008E7846" w:rsidRPr="00487162" w:rsidRDefault="00415D55" w:rsidP="00E45619">
            <w:r>
              <w:t>Oral</w:t>
            </w:r>
          </w:p>
        </w:tc>
      </w:tr>
      <w:tr w:rsidR="008E7846" w:rsidRPr="00487162" w14:paraId="32BE3C95" w14:textId="77777777" w:rsidTr="00BF1190">
        <w:tc>
          <w:tcPr>
            <w:tcW w:w="2907" w:type="dxa"/>
          </w:tcPr>
          <w:p w14:paraId="0F8642D1" w14:textId="77777777" w:rsidR="008E7846" w:rsidRPr="00487162" w:rsidRDefault="008E7846" w:rsidP="00E45619">
            <w:pPr>
              <w:rPr>
                <w:i/>
              </w:rPr>
            </w:pPr>
            <w:r w:rsidRPr="00487162">
              <w:rPr>
                <w:i/>
              </w:rPr>
              <w:t>Dosage:</w:t>
            </w:r>
          </w:p>
        </w:tc>
        <w:tc>
          <w:tcPr>
            <w:tcW w:w="6307" w:type="dxa"/>
          </w:tcPr>
          <w:p w14:paraId="2E957291" w14:textId="20A08434" w:rsidR="00AF2D3F" w:rsidRDefault="00AF2D3F" w:rsidP="00AF2D3F">
            <w:r>
              <w:t xml:space="preserve">A validated assay is required for the selection of patients with ROS1-positive locally advanced or metastatic NSCLC. </w:t>
            </w:r>
            <w:r>
              <w:lastRenderedPageBreak/>
              <w:t>ROS1</w:t>
            </w:r>
            <w:r w:rsidR="00A0555A">
              <w:noBreakHyphen/>
            </w:r>
            <w:r>
              <w:t>positive status should be established prior to initiation of Rozlytrek therapy.</w:t>
            </w:r>
          </w:p>
          <w:p w14:paraId="6FD2AFD8" w14:textId="3785DDF4" w:rsidR="00A5505A" w:rsidRPr="00A5505A" w:rsidRDefault="00A5505A" w:rsidP="00AF2D3F">
            <w:pPr>
              <w:rPr>
                <w:i/>
              </w:rPr>
            </w:pPr>
            <w:r w:rsidRPr="00A5505A">
              <w:rPr>
                <w:i/>
              </w:rPr>
              <w:t>Dosage</w:t>
            </w:r>
          </w:p>
          <w:p w14:paraId="10971D1C" w14:textId="4CCB7C38" w:rsidR="00FB684B" w:rsidRDefault="00FB684B" w:rsidP="00E45619">
            <w:r>
              <w:t>The recommended dose of Rozlytrek for adults is 600</w:t>
            </w:r>
            <w:r w:rsidR="00A5505A">
              <w:t xml:space="preserve"> </w:t>
            </w:r>
            <w:r>
              <w:t xml:space="preserve">mg given </w:t>
            </w:r>
            <w:r w:rsidR="000D779A">
              <w:t>orally, once</w:t>
            </w:r>
            <w:r>
              <w:t xml:space="preserve"> daily.</w:t>
            </w:r>
          </w:p>
          <w:p w14:paraId="6BABA3F7" w14:textId="3CA47A20" w:rsidR="00012A37" w:rsidRPr="00487162" w:rsidRDefault="00460036" w:rsidP="00E45619">
            <w:r w:rsidRPr="00460036">
              <w:t>For further information regarding dosage, r</w:t>
            </w:r>
            <w:r w:rsidR="007A41F5">
              <w:t>efer to the Product Information (PI).</w:t>
            </w:r>
          </w:p>
        </w:tc>
      </w:tr>
      <w:tr w:rsidR="00460036" w:rsidRPr="00487162" w14:paraId="079C9FBB" w14:textId="77777777" w:rsidTr="00BF1190">
        <w:tc>
          <w:tcPr>
            <w:tcW w:w="2907" w:type="dxa"/>
          </w:tcPr>
          <w:p w14:paraId="4726F1BA" w14:textId="77777777" w:rsidR="00460036" w:rsidRPr="00487162" w:rsidRDefault="00460036" w:rsidP="00E45619">
            <w:pPr>
              <w:rPr>
                <w:i/>
              </w:rPr>
            </w:pPr>
            <w:r w:rsidRPr="00460036">
              <w:rPr>
                <w:i/>
              </w:rPr>
              <w:lastRenderedPageBreak/>
              <w:t>Pregnancy category</w:t>
            </w:r>
            <w:r>
              <w:rPr>
                <w:i/>
              </w:rPr>
              <w:t>:</w:t>
            </w:r>
          </w:p>
        </w:tc>
        <w:tc>
          <w:tcPr>
            <w:tcW w:w="6307" w:type="dxa"/>
          </w:tcPr>
          <w:p w14:paraId="54170AC3" w14:textId="6A2E91B1" w:rsidR="00AF2D3F" w:rsidRDefault="00AF2D3F" w:rsidP="00012A37">
            <w:pPr>
              <w:rPr>
                <w:color w:val="000000"/>
                <w:lang w:val="en"/>
              </w:rPr>
            </w:pPr>
            <w:r>
              <w:rPr>
                <w:color w:val="000000"/>
                <w:lang w:val="en"/>
              </w:rPr>
              <w:t>D</w:t>
            </w:r>
          </w:p>
          <w:p w14:paraId="6FC1689E" w14:textId="48934050" w:rsidR="00012A37" w:rsidRDefault="00AF2D3F" w:rsidP="00012A37">
            <w:r>
              <w:rPr>
                <w:color w:val="000000"/>
                <w:lang w:val="en"/>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69D76723" w14:textId="77777777" w:rsidR="00012A37"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012A37">
              <w:t>ces in your State or Territory.</w:t>
            </w:r>
          </w:p>
        </w:tc>
      </w:tr>
    </w:tbl>
    <w:p w14:paraId="0DFD83CF" w14:textId="6D427A17" w:rsidR="00DD379C" w:rsidRDefault="00E92999" w:rsidP="00E92999">
      <w:pPr>
        <w:pStyle w:val="Heading4"/>
      </w:pPr>
      <w:bookmarkStart w:id="13" w:name="_Toc247691503"/>
      <w:bookmarkStart w:id="14" w:name="_Toc314842484"/>
      <w:r>
        <w:t xml:space="preserve">Submission </w:t>
      </w:r>
      <w:r w:rsidRPr="009C0CE3">
        <w:t>PM-2019-01809-1-4</w:t>
      </w:r>
      <w:r>
        <w:t xml:space="preserve"> (solid tumour indication)</w:t>
      </w:r>
    </w:p>
    <w:tbl>
      <w:tblPr>
        <w:tblW w:w="9214" w:type="dxa"/>
        <w:tblInd w:w="108" w:type="dxa"/>
        <w:tblLook w:val="01E0" w:firstRow="1" w:lastRow="1" w:firstColumn="1" w:lastColumn="1" w:noHBand="0" w:noVBand="0"/>
      </w:tblPr>
      <w:tblGrid>
        <w:gridCol w:w="2907"/>
        <w:gridCol w:w="6307"/>
      </w:tblGrid>
      <w:tr w:rsidR="00A5505A" w:rsidRPr="003D1E62" w14:paraId="7D4F2EBE" w14:textId="77777777" w:rsidTr="00F14542">
        <w:tc>
          <w:tcPr>
            <w:tcW w:w="2907" w:type="dxa"/>
          </w:tcPr>
          <w:p w14:paraId="79F27468" w14:textId="77777777" w:rsidR="00A5505A" w:rsidRPr="003D1E62" w:rsidRDefault="00A5505A" w:rsidP="00F14542">
            <w:pPr>
              <w:rPr>
                <w:i/>
              </w:rPr>
            </w:pPr>
            <w:r>
              <w:rPr>
                <w:i/>
              </w:rPr>
              <w:t>Type of s</w:t>
            </w:r>
            <w:r w:rsidRPr="003D1E62">
              <w:rPr>
                <w:i/>
              </w:rPr>
              <w:t>ubmission</w:t>
            </w:r>
            <w:r>
              <w:rPr>
                <w:i/>
              </w:rPr>
              <w:t>:</w:t>
            </w:r>
          </w:p>
        </w:tc>
        <w:tc>
          <w:tcPr>
            <w:tcW w:w="6307" w:type="dxa"/>
          </w:tcPr>
          <w:p w14:paraId="6568B75C" w14:textId="5FB9458B" w:rsidR="00A5505A" w:rsidRPr="003D1E62" w:rsidRDefault="00A5505A" w:rsidP="00F14542">
            <w:r>
              <w:t>Extension of indications</w:t>
            </w:r>
          </w:p>
        </w:tc>
      </w:tr>
      <w:tr w:rsidR="00A5505A" w:rsidRPr="003D1E62" w14:paraId="0330D743" w14:textId="77777777" w:rsidTr="00F14542">
        <w:tc>
          <w:tcPr>
            <w:tcW w:w="2907" w:type="dxa"/>
          </w:tcPr>
          <w:p w14:paraId="61C1258F" w14:textId="77777777" w:rsidR="00A5505A" w:rsidRPr="003D1E62" w:rsidRDefault="00A5505A" w:rsidP="00F14542">
            <w:pPr>
              <w:rPr>
                <w:i/>
              </w:rPr>
            </w:pPr>
            <w:r>
              <w:rPr>
                <w:i/>
              </w:rPr>
              <w:t>Product name</w:t>
            </w:r>
            <w:r w:rsidRPr="00460036">
              <w:rPr>
                <w:i/>
              </w:rPr>
              <w:t>:</w:t>
            </w:r>
          </w:p>
        </w:tc>
        <w:tc>
          <w:tcPr>
            <w:tcW w:w="6307" w:type="dxa"/>
          </w:tcPr>
          <w:p w14:paraId="49CAC693" w14:textId="77777777" w:rsidR="00A5505A" w:rsidRPr="003D1E62" w:rsidRDefault="00A5505A" w:rsidP="00F14542">
            <w:r>
              <w:t>Rozlytrek</w:t>
            </w:r>
          </w:p>
        </w:tc>
      </w:tr>
      <w:tr w:rsidR="00A5505A" w:rsidRPr="003D1E62" w14:paraId="21095481" w14:textId="77777777" w:rsidTr="00F14542">
        <w:tc>
          <w:tcPr>
            <w:tcW w:w="2907" w:type="dxa"/>
          </w:tcPr>
          <w:p w14:paraId="03BEE15D" w14:textId="77777777" w:rsidR="00A5505A" w:rsidRPr="003D1E62" w:rsidRDefault="00A5505A" w:rsidP="00F14542">
            <w:pPr>
              <w:rPr>
                <w:i/>
              </w:rPr>
            </w:pPr>
            <w:r>
              <w:rPr>
                <w:i/>
              </w:rPr>
              <w:t>Active ingredient</w:t>
            </w:r>
            <w:r w:rsidRPr="00460036">
              <w:rPr>
                <w:i/>
              </w:rPr>
              <w:t>:</w:t>
            </w:r>
          </w:p>
        </w:tc>
        <w:tc>
          <w:tcPr>
            <w:tcW w:w="6307" w:type="dxa"/>
          </w:tcPr>
          <w:p w14:paraId="4CD84CDB" w14:textId="77777777" w:rsidR="00A5505A" w:rsidRPr="003D1E62" w:rsidRDefault="00A5505A" w:rsidP="00F14542">
            <w:r>
              <w:t>Entrectinib</w:t>
            </w:r>
          </w:p>
        </w:tc>
      </w:tr>
      <w:tr w:rsidR="00A5505A" w:rsidRPr="003D1E62" w14:paraId="239C3258" w14:textId="77777777" w:rsidTr="00F14542">
        <w:tc>
          <w:tcPr>
            <w:tcW w:w="2907" w:type="dxa"/>
          </w:tcPr>
          <w:p w14:paraId="7DFB9314" w14:textId="77777777" w:rsidR="00A5505A" w:rsidRPr="003D1E62" w:rsidRDefault="00A5505A" w:rsidP="00F14542">
            <w:r w:rsidRPr="003D1E62">
              <w:rPr>
                <w:i/>
              </w:rPr>
              <w:t>Decision</w:t>
            </w:r>
            <w:r w:rsidRPr="003D1E62">
              <w:t>:</w:t>
            </w:r>
          </w:p>
        </w:tc>
        <w:tc>
          <w:tcPr>
            <w:tcW w:w="6307" w:type="dxa"/>
          </w:tcPr>
          <w:p w14:paraId="37466BA4" w14:textId="474ACF86" w:rsidR="00A5505A" w:rsidRPr="003D1E62" w:rsidRDefault="00A5505A" w:rsidP="00F14542">
            <w:r>
              <w:t>Approved</w:t>
            </w:r>
            <w:r w:rsidR="00F14542">
              <w:t xml:space="preserve"> for provisional registration</w:t>
            </w:r>
          </w:p>
        </w:tc>
      </w:tr>
      <w:tr w:rsidR="00A5505A" w:rsidRPr="003D1E62" w14:paraId="28624B21" w14:textId="77777777" w:rsidTr="00F14542">
        <w:tc>
          <w:tcPr>
            <w:tcW w:w="2907" w:type="dxa"/>
          </w:tcPr>
          <w:p w14:paraId="3A44238D" w14:textId="77777777" w:rsidR="00A5505A" w:rsidRPr="003D1E62" w:rsidRDefault="00A5505A" w:rsidP="00F14542">
            <w:pPr>
              <w:rPr>
                <w:i/>
              </w:rPr>
            </w:pPr>
            <w:r w:rsidRPr="003D1E62">
              <w:rPr>
                <w:i/>
              </w:rPr>
              <w:t xml:space="preserve">Date of </w:t>
            </w:r>
            <w:r>
              <w:rPr>
                <w:i/>
              </w:rPr>
              <w:t>d</w:t>
            </w:r>
            <w:r w:rsidRPr="003D1E62">
              <w:rPr>
                <w:i/>
              </w:rPr>
              <w:t>ecision:</w:t>
            </w:r>
          </w:p>
        </w:tc>
        <w:tc>
          <w:tcPr>
            <w:tcW w:w="6307" w:type="dxa"/>
          </w:tcPr>
          <w:p w14:paraId="631499EF" w14:textId="22A933B2" w:rsidR="00A5505A" w:rsidRPr="003D1E62" w:rsidRDefault="00A5505A" w:rsidP="00F14542">
            <w:r>
              <w:t>15 May 2020</w:t>
            </w:r>
          </w:p>
        </w:tc>
      </w:tr>
      <w:tr w:rsidR="00A5505A" w:rsidRPr="00441C3F" w14:paraId="4B8F38F1" w14:textId="77777777" w:rsidTr="00F14542">
        <w:tc>
          <w:tcPr>
            <w:tcW w:w="2907" w:type="dxa"/>
          </w:tcPr>
          <w:p w14:paraId="5DE8FAA4" w14:textId="77777777" w:rsidR="00A5505A" w:rsidRPr="00441C3F" w:rsidRDefault="00A5505A" w:rsidP="00F14542">
            <w:pPr>
              <w:rPr>
                <w:i/>
              </w:rPr>
            </w:pPr>
            <w:r w:rsidRPr="00441C3F">
              <w:rPr>
                <w:i/>
              </w:rPr>
              <w:t>Date of entry onto ARTG</w:t>
            </w:r>
            <w:r>
              <w:rPr>
                <w:i/>
              </w:rPr>
              <w:t>:</w:t>
            </w:r>
          </w:p>
        </w:tc>
        <w:tc>
          <w:tcPr>
            <w:tcW w:w="6307" w:type="dxa"/>
          </w:tcPr>
          <w:p w14:paraId="4DE4549F" w14:textId="26C73DD5" w:rsidR="00A5505A" w:rsidRPr="00441C3F" w:rsidRDefault="00A5505A" w:rsidP="00F14542">
            <w:pPr>
              <w:rPr>
                <w:i/>
              </w:rPr>
            </w:pPr>
            <w:r>
              <w:t>19 May 2020</w:t>
            </w:r>
          </w:p>
        </w:tc>
      </w:tr>
      <w:tr w:rsidR="00A5505A" w:rsidRPr="00441C3F" w14:paraId="0BDE377C" w14:textId="77777777" w:rsidTr="00F14542">
        <w:tc>
          <w:tcPr>
            <w:tcW w:w="2907" w:type="dxa"/>
          </w:tcPr>
          <w:p w14:paraId="508865F1" w14:textId="286BEB47" w:rsidR="00A5505A" w:rsidRPr="00441C3F" w:rsidRDefault="00A5505A" w:rsidP="00F14542">
            <w:pPr>
              <w:rPr>
                <w:i/>
              </w:rPr>
            </w:pPr>
            <w:r>
              <w:rPr>
                <w:i/>
              </w:rPr>
              <w:t>ARTG number</w:t>
            </w:r>
            <w:r w:rsidR="007A41F5">
              <w:rPr>
                <w:i/>
              </w:rPr>
              <w:t>s</w:t>
            </w:r>
            <w:r>
              <w:rPr>
                <w:i/>
              </w:rPr>
              <w:t>:</w:t>
            </w:r>
          </w:p>
        </w:tc>
        <w:tc>
          <w:tcPr>
            <w:tcW w:w="6307" w:type="dxa"/>
          </w:tcPr>
          <w:p w14:paraId="1BBBBA13" w14:textId="6FE6E624" w:rsidR="00A5505A" w:rsidRPr="00441C3F" w:rsidRDefault="00A5505A" w:rsidP="00F14542">
            <w:r>
              <w:t>318002, 318003</w:t>
            </w:r>
          </w:p>
        </w:tc>
      </w:tr>
      <w:tr w:rsidR="00A5505A" w:rsidRPr="00487162" w14:paraId="6FFDF780" w14:textId="77777777" w:rsidTr="00F14542">
        <w:tc>
          <w:tcPr>
            <w:tcW w:w="2907" w:type="dxa"/>
          </w:tcPr>
          <w:p w14:paraId="67033595" w14:textId="2E438A30" w:rsidR="00A5505A" w:rsidRDefault="00A5505A" w:rsidP="00866977">
            <w:pPr>
              <w:rPr>
                <w:i/>
              </w:rPr>
            </w:pPr>
            <w:r>
              <w:rPr>
                <w:rFonts w:ascii="Wingdings 3" w:hAnsi="Wingdings 3"/>
                <w:sz w:val="34"/>
                <w:szCs w:val="34"/>
                <w:lang w:eastAsia="en-AU"/>
              </w:rPr>
              <w:t></w:t>
            </w:r>
            <w:r w:rsidRPr="003735BC">
              <w:rPr>
                <w:i/>
              </w:rPr>
              <w:t>Black Triangle Scheme</w:t>
            </w:r>
            <w:r w:rsidR="00866977">
              <w:rPr>
                <w:i/>
              </w:rPr>
              <w:fldChar w:fldCharType="begin"/>
            </w:r>
            <w:r w:rsidR="00866977">
              <w:rPr>
                <w:i/>
              </w:rPr>
              <w:instrText xml:space="preserve"> NOTEREF _Ref50470720 \f \h </w:instrText>
            </w:r>
            <w:r w:rsidR="00866977">
              <w:rPr>
                <w:i/>
              </w:rPr>
            </w:r>
            <w:r w:rsidR="00866977">
              <w:rPr>
                <w:i/>
              </w:rPr>
              <w:fldChar w:fldCharType="separate"/>
            </w:r>
            <w:r w:rsidR="005743D8" w:rsidRPr="005743D8">
              <w:rPr>
                <w:rStyle w:val="FootnoteReference"/>
              </w:rPr>
              <w:t>1</w:t>
            </w:r>
            <w:r w:rsidR="00866977">
              <w:rPr>
                <w:i/>
              </w:rPr>
              <w:fldChar w:fldCharType="end"/>
            </w:r>
          </w:p>
        </w:tc>
        <w:tc>
          <w:tcPr>
            <w:tcW w:w="6307" w:type="dxa"/>
          </w:tcPr>
          <w:p w14:paraId="012B9569" w14:textId="77777777" w:rsidR="00A5505A" w:rsidRDefault="00A5505A" w:rsidP="008F2283">
            <w:r>
              <w:t>Yes</w:t>
            </w:r>
          </w:p>
          <w:p w14:paraId="000F8F6D" w14:textId="1B7A7B12" w:rsidR="00A5505A" w:rsidRPr="00487162" w:rsidRDefault="00A5505A" w:rsidP="008F2283">
            <w:r>
              <w:t>This product will remain in the scheme for 5 years, starting on the date the product is first supplied in Australia, or for the entire period of provisional registration, whichever is longer.</w:t>
            </w:r>
          </w:p>
        </w:tc>
      </w:tr>
      <w:tr w:rsidR="00A5505A" w:rsidRPr="00487162" w14:paraId="42FC8FF9" w14:textId="77777777" w:rsidTr="00F14542">
        <w:tc>
          <w:tcPr>
            <w:tcW w:w="2907" w:type="dxa"/>
          </w:tcPr>
          <w:p w14:paraId="35DFA872" w14:textId="77777777" w:rsidR="00A5505A" w:rsidRPr="00487162" w:rsidRDefault="00A5505A" w:rsidP="00F14542">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604DF9F3" w14:textId="77777777" w:rsidR="00A5505A" w:rsidRDefault="00A5505A" w:rsidP="00F14542">
            <w:r>
              <w:t>Roche Products Pty Ltd</w:t>
            </w:r>
          </w:p>
          <w:p w14:paraId="2A7AC5A2" w14:textId="77777777" w:rsidR="00A5505A" w:rsidRPr="00487162" w:rsidRDefault="00A5505A" w:rsidP="00F14542">
            <w:r>
              <w:t xml:space="preserve">Level 8, 30-34 </w:t>
            </w:r>
            <w:proofErr w:type="spellStart"/>
            <w:r>
              <w:t>Hickson</w:t>
            </w:r>
            <w:proofErr w:type="spellEnd"/>
            <w:r>
              <w:t xml:space="preserve"> Road, Sydney, NSW 2000</w:t>
            </w:r>
          </w:p>
        </w:tc>
      </w:tr>
      <w:tr w:rsidR="00A5505A" w:rsidRPr="00487162" w14:paraId="04AD00E4" w14:textId="77777777" w:rsidTr="00F14542">
        <w:tc>
          <w:tcPr>
            <w:tcW w:w="2907" w:type="dxa"/>
          </w:tcPr>
          <w:p w14:paraId="6E2C1F2B" w14:textId="77777777" w:rsidR="00A5505A" w:rsidRPr="00487162" w:rsidRDefault="00A5505A" w:rsidP="00F14542">
            <w:pPr>
              <w:rPr>
                <w:i/>
              </w:rPr>
            </w:pPr>
            <w:r>
              <w:rPr>
                <w:i/>
              </w:rPr>
              <w:t>Dose form:</w:t>
            </w:r>
          </w:p>
        </w:tc>
        <w:tc>
          <w:tcPr>
            <w:tcW w:w="6307" w:type="dxa"/>
          </w:tcPr>
          <w:p w14:paraId="2DB49B0D" w14:textId="77777777" w:rsidR="00A5505A" w:rsidRPr="00487162" w:rsidRDefault="00A5505A" w:rsidP="00F14542">
            <w:r>
              <w:t>Hard capsule</w:t>
            </w:r>
          </w:p>
        </w:tc>
      </w:tr>
      <w:tr w:rsidR="00A5505A" w:rsidRPr="00487162" w14:paraId="0CA7BD4E" w14:textId="77777777" w:rsidTr="00F14542">
        <w:tc>
          <w:tcPr>
            <w:tcW w:w="2907" w:type="dxa"/>
          </w:tcPr>
          <w:p w14:paraId="7C07E305" w14:textId="77777777" w:rsidR="00A5505A" w:rsidRPr="00487162" w:rsidRDefault="00A5505A" w:rsidP="00F14542">
            <w:pPr>
              <w:rPr>
                <w:i/>
              </w:rPr>
            </w:pPr>
            <w:r>
              <w:rPr>
                <w:i/>
              </w:rPr>
              <w:t>Strengths:</w:t>
            </w:r>
          </w:p>
        </w:tc>
        <w:tc>
          <w:tcPr>
            <w:tcW w:w="6307" w:type="dxa"/>
          </w:tcPr>
          <w:p w14:paraId="559D3FDC" w14:textId="77777777" w:rsidR="00A5505A" w:rsidRPr="00487162" w:rsidRDefault="00A5505A" w:rsidP="00F14542">
            <w:r>
              <w:t>100 mg, 200 mg</w:t>
            </w:r>
          </w:p>
        </w:tc>
      </w:tr>
      <w:tr w:rsidR="00A5505A" w:rsidRPr="00487162" w14:paraId="3360D286" w14:textId="77777777" w:rsidTr="00F14542">
        <w:tc>
          <w:tcPr>
            <w:tcW w:w="2907" w:type="dxa"/>
          </w:tcPr>
          <w:p w14:paraId="1A161FC5" w14:textId="77777777" w:rsidR="00A5505A" w:rsidRPr="00487162" w:rsidRDefault="00A5505A" w:rsidP="00F14542">
            <w:pPr>
              <w:rPr>
                <w:i/>
              </w:rPr>
            </w:pPr>
            <w:r>
              <w:rPr>
                <w:i/>
              </w:rPr>
              <w:t>Container</w:t>
            </w:r>
            <w:r w:rsidRPr="00487162">
              <w:rPr>
                <w:i/>
              </w:rPr>
              <w:t>:</w:t>
            </w:r>
          </w:p>
        </w:tc>
        <w:tc>
          <w:tcPr>
            <w:tcW w:w="6307" w:type="dxa"/>
          </w:tcPr>
          <w:p w14:paraId="5DCD9883" w14:textId="77777777" w:rsidR="00A5505A" w:rsidRPr="00487162" w:rsidRDefault="00A5505A" w:rsidP="00F14542">
            <w:r>
              <w:t>Bottle</w:t>
            </w:r>
          </w:p>
        </w:tc>
      </w:tr>
      <w:tr w:rsidR="00A5505A" w:rsidRPr="003D6385" w14:paraId="479EB0E6" w14:textId="77777777" w:rsidTr="00F14542">
        <w:tc>
          <w:tcPr>
            <w:tcW w:w="2907" w:type="dxa"/>
          </w:tcPr>
          <w:p w14:paraId="24793EF7" w14:textId="77777777" w:rsidR="00A5505A" w:rsidRPr="00487162" w:rsidRDefault="00A5505A" w:rsidP="00F14542">
            <w:pPr>
              <w:rPr>
                <w:i/>
              </w:rPr>
            </w:pPr>
            <w:r>
              <w:rPr>
                <w:i/>
              </w:rPr>
              <w:lastRenderedPageBreak/>
              <w:t>Pack sizes</w:t>
            </w:r>
            <w:r w:rsidRPr="00487162">
              <w:rPr>
                <w:i/>
              </w:rPr>
              <w:t>:</w:t>
            </w:r>
          </w:p>
        </w:tc>
        <w:tc>
          <w:tcPr>
            <w:tcW w:w="6307" w:type="dxa"/>
          </w:tcPr>
          <w:p w14:paraId="4656B87D" w14:textId="77777777" w:rsidR="008F2283" w:rsidRPr="003745FE" w:rsidRDefault="008F2283" w:rsidP="008F2283">
            <w:pPr>
              <w:rPr>
                <w:rFonts w:eastAsia="Calibri"/>
              </w:rPr>
            </w:pPr>
            <w:r w:rsidRPr="003745FE">
              <w:rPr>
                <w:rFonts w:eastAsia="Calibri"/>
              </w:rPr>
              <w:t>100 mg hard capsules: 30 capsules per bottle</w:t>
            </w:r>
          </w:p>
          <w:p w14:paraId="5A714CDD" w14:textId="07F06ADB" w:rsidR="00A5505A" w:rsidRPr="003D6385" w:rsidRDefault="008F2283" w:rsidP="008F2283">
            <w:r w:rsidRPr="003745FE">
              <w:rPr>
                <w:rFonts w:eastAsia="Calibri"/>
              </w:rPr>
              <w:t>200 mg hard capsules: 90</w:t>
            </w:r>
            <w:r w:rsidRPr="001D5EC4">
              <w:rPr>
                <w:rFonts w:eastAsia="Calibri"/>
              </w:rPr>
              <w:t xml:space="preserve"> capsules per bottle</w:t>
            </w:r>
          </w:p>
        </w:tc>
      </w:tr>
      <w:tr w:rsidR="00A5505A" w:rsidRPr="00AF2D3F" w14:paraId="28D76E17" w14:textId="77777777" w:rsidTr="00F14542">
        <w:tc>
          <w:tcPr>
            <w:tcW w:w="2907" w:type="dxa"/>
          </w:tcPr>
          <w:p w14:paraId="2DF52FA3" w14:textId="77777777" w:rsidR="00A5505A" w:rsidRPr="00487162" w:rsidRDefault="00A5505A" w:rsidP="00F14542">
            <w:pPr>
              <w:rPr>
                <w:i/>
              </w:rPr>
            </w:pPr>
            <w:r w:rsidRPr="00487162">
              <w:rPr>
                <w:i/>
              </w:rPr>
              <w:t xml:space="preserve">Approved </w:t>
            </w:r>
            <w:r>
              <w:rPr>
                <w:i/>
              </w:rPr>
              <w:t>t</w:t>
            </w:r>
            <w:r w:rsidRPr="00487162">
              <w:rPr>
                <w:i/>
              </w:rPr>
              <w:t>herapeutic use:</w:t>
            </w:r>
          </w:p>
        </w:tc>
        <w:tc>
          <w:tcPr>
            <w:tcW w:w="6307" w:type="dxa"/>
          </w:tcPr>
          <w:p w14:paraId="2570FE9F" w14:textId="77777777" w:rsidR="007C4F56" w:rsidRPr="007C4F56" w:rsidRDefault="007C4F56" w:rsidP="007C4F56">
            <w:pPr>
              <w:rPr>
                <w:i/>
              </w:rPr>
            </w:pPr>
            <w:r w:rsidRPr="007C4F56">
              <w:rPr>
                <w:i/>
              </w:rPr>
              <w:t>Solid tumours</w:t>
            </w:r>
          </w:p>
          <w:p w14:paraId="37EA2017" w14:textId="5DC8269C" w:rsidR="007C4F56" w:rsidRPr="007C4F56" w:rsidRDefault="007C4F56" w:rsidP="007C4F56">
            <w:pPr>
              <w:rPr>
                <w:i/>
              </w:rPr>
            </w:pPr>
            <w:r w:rsidRPr="007C4F56">
              <w:rPr>
                <w:i/>
              </w:rPr>
              <w:t>Rozlytrek is indicated for the treatment of adult and paediatr</w:t>
            </w:r>
            <w:r>
              <w:rPr>
                <w:i/>
              </w:rPr>
              <w:t xml:space="preserve">ic patients 12 years of age and </w:t>
            </w:r>
            <w:r w:rsidRPr="007C4F56">
              <w:rPr>
                <w:i/>
              </w:rPr>
              <w:t>older with solid tumours that:</w:t>
            </w:r>
          </w:p>
          <w:p w14:paraId="7A3F9CE7" w14:textId="5A945E6E" w:rsidR="007C4F56" w:rsidRPr="007C4F56" w:rsidRDefault="007C4F56" w:rsidP="007C4F56">
            <w:pPr>
              <w:pStyle w:val="ListBullet"/>
              <w:rPr>
                <w:i/>
              </w:rPr>
            </w:pPr>
            <w:r w:rsidRPr="007C4F56">
              <w:rPr>
                <w:i/>
              </w:rPr>
              <w:t>have a neurotrophic tyrosine receptor kinase (NTRK) gene fusion without a known acquired resistance mutation,</w:t>
            </w:r>
          </w:p>
          <w:p w14:paraId="75735090" w14:textId="222E2E39" w:rsidR="007C4F56" w:rsidRPr="007C4F56" w:rsidRDefault="007C4F56" w:rsidP="007C4F56">
            <w:pPr>
              <w:pStyle w:val="ListBullet"/>
              <w:rPr>
                <w:i/>
              </w:rPr>
            </w:pPr>
            <w:r w:rsidRPr="007C4F56">
              <w:rPr>
                <w:i/>
              </w:rPr>
              <w:t>are metastatic or where surgical resection is likely to result in severe morbidity, and</w:t>
            </w:r>
          </w:p>
          <w:p w14:paraId="1EDE14C2" w14:textId="7DF18968" w:rsidR="007C4F56" w:rsidRPr="007C4F56" w:rsidRDefault="007C4F56" w:rsidP="007C4F56">
            <w:pPr>
              <w:pStyle w:val="ListBullet"/>
              <w:rPr>
                <w:i/>
              </w:rPr>
            </w:pPr>
            <w:r w:rsidRPr="007C4F56">
              <w:rPr>
                <w:i/>
              </w:rPr>
              <w:t>have either progressed following treatment or have no satisfactory alternative therapy.</w:t>
            </w:r>
          </w:p>
          <w:p w14:paraId="32315004" w14:textId="04E70524" w:rsidR="00A5505A" w:rsidRPr="00AF2D3F" w:rsidRDefault="007C4F56" w:rsidP="007C4F56">
            <w:pPr>
              <w:rPr>
                <w:i/>
              </w:rPr>
            </w:pPr>
            <w:r w:rsidRPr="007C4F56">
              <w:rPr>
                <w:i/>
              </w:rPr>
              <w:t>This indication was approved via the provisional appro</w:t>
            </w:r>
            <w:r>
              <w:rPr>
                <w:i/>
              </w:rPr>
              <w:t xml:space="preserve">val pathway, based on objective </w:t>
            </w:r>
            <w:r w:rsidRPr="007C4F56">
              <w:rPr>
                <w:i/>
              </w:rPr>
              <w:t>response rate and duration of response in single-arm trials. Full reg</w:t>
            </w:r>
            <w:r>
              <w:rPr>
                <w:i/>
              </w:rPr>
              <w:t xml:space="preserve">istration for this </w:t>
            </w:r>
            <w:r w:rsidRPr="007C4F56">
              <w:rPr>
                <w:i/>
              </w:rPr>
              <w:t>indication depends on verification and description of clinical benefit in confirmatory trials.</w:t>
            </w:r>
          </w:p>
        </w:tc>
      </w:tr>
      <w:tr w:rsidR="00A5505A" w:rsidRPr="00487162" w14:paraId="1669BAD6" w14:textId="77777777" w:rsidTr="00F14542">
        <w:tc>
          <w:tcPr>
            <w:tcW w:w="2907" w:type="dxa"/>
          </w:tcPr>
          <w:p w14:paraId="6BA72A84" w14:textId="77777777" w:rsidR="00A5505A" w:rsidRPr="00487162" w:rsidRDefault="00A5505A" w:rsidP="00F14542">
            <w:pPr>
              <w:rPr>
                <w:i/>
              </w:rPr>
            </w:pPr>
            <w:r>
              <w:rPr>
                <w:i/>
              </w:rPr>
              <w:t>Route</w:t>
            </w:r>
            <w:r w:rsidRPr="00487162">
              <w:rPr>
                <w:i/>
              </w:rPr>
              <w:t xml:space="preserve"> of administration:</w:t>
            </w:r>
          </w:p>
        </w:tc>
        <w:tc>
          <w:tcPr>
            <w:tcW w:w="6307" w:type="dxa"/>
          </w:tcPr>
          <w:p w14:paraId="0716F2B5" w14:textId="77777777" w:rsidR="00A5505A" w:rsidRPr="00487162" w:rsidRDefault="00A5505A" w:rsidP="00F14542">
            <w:r>
              <w:t>Oral</w:t>
            </w:r>
          </w:p>
        </w:tc>
      </w:tr>
      <w:tr w:rsidR="00A5505A" w:rsidRPr="00487162" w14:paraId="5FEE4D21" w14:textId="77777777" w:rsidTr="00F14542">
        <w:tc>
          <w:tcPr>
            <w:tcW w:w="2907" w:type="dxa"/>
          </w:tcPr>
          <w:p w14:paraId="7131563E" w14:textId="77777777" w:rsidR="00A5505A" w:rsidRPr="00487162" w:rsidRDefault="00A5505A" w:rsidP="00F14542">
            <w:pPr>
              <w:rPr>
                <w:i/>
              </w:rPr>
            </w:pPr>
            <w:r w:rsidRPr="00487162">
              <w:rPr>
                <w:i/>
              </w:rPr>
              <w:t>Dosage:</w:t>
            </w:r>
          </w:p>
        </w:tc>
        <w:tc>
          <w:tcPr>
            <w:tcW w:w="6307" w:type="dxa"/>
          </w:tcPr>
          <w:p w14:paraId="342AFF57" w14:textId="77777777" w:rsidR="00A5505A" w:rsidRPr="00A5505A" w:rsidRDefault="00A5505A" w:rsidP="00F14542">
            <w:pPr>
              <w:rPr>
                <w:i/>
              </w:rPr>
            </w:pPr>
            <w:r w:rsidRPr="00A5505A">
              <w:rPr>
                <w:i/>
              </w:rPr>
              <w:t>Dosage</w:t>
            </w:r>
          </w:p>
          <w:p w14:paraId="70927CED" w14:textId="77777777" w:rsidR="00A5505A" w:rsidRDefault="00A5505A" w:rsidP="00F14542">
            <w:r>
              <w:t>The recommended dose of Rozlytrek for adults is 600 mg given orally, once daily.</w:t>
            </w:r>
          </w:p>
          <w:p w14:paraId="3ECF8583" w14:textId="77777777" w:rsidR="00A5505A" w:rsidRDefault="00A5505A" w:rsidP="00F14542">
            <w:r>
              <w:t>The recommended dose of Rozlytrek for paediatric patients is based on body surface area (BSA):</w:t>
            </w:r>
          </w:p>
          <w:p w14:paraId="3A41BE58" w14:textId="77777777" w:rsidR="00A5505A" w:rsidRPr="00A5505A" w:rsidRDefault="00A5505A" w:rsidP="00A5505A">
            <w:pPr>
              <w:pStyle w:val="ListBullet"/>
            </w:pPr>
            <w:r w:rsidRPr="00A5505A">
              <w:t>BSA greater than 1.50 m</w:t>
            </w:r>
            <w:r w:rsidRPr="00A5505A">
              <w:rPr>
                <w:vertAlign w:val="superscript"/>
              </w:rPr>
              <w:t>2</w:t>
            </w:r>
            <w:r w:rsidRPr="00A5505A">
              <w:t>: 600 mg</w:t>
            </w:r>
          </w:p>
          <w:p w14:paraId="073001F3" w14:textId="77777777" w:rsidR="00A5505A" w:rsidRPr="00A5505A" w:rsidRDefault="00A5505A" w:rsidP="00A5505A">
            <w:pPr>
              <w:pStyle w:val="ListBullet"/>
            </w:pPr>
            <w:r w:rsidRPr="00A5505A">
              <w:t>BSA 1.11 to 1.50 m</w:t>
            </w:r>
            <w:r w:rsidRPr="00A5505A">
              <w:rPr>
                <w:vertAlign w:val="superscript"/>
              </w:rPr>
              <w:t>2</w:t>
            </w:r>
            <w:r w:rsidRPr="00A5505A">
              <w:t>: 500 mg</w:t>
            </w:r>
          </w:p>
          <w:p w14:paraId="57C781CC" w14:textId="77777777" w:rsidR="00A5505A" w:rsidRPr="00A5505A" w:rsidRDefault="00A5505A" w:rsidP="00A5505A">
            <w:pPr>
              <w:pStyle w:val="ListBullet"/>
            </w:pPr>
            <w:r w:rsidRPr="00A5505A">
              <w:t>BSA 0.91 to 1.10m</w:t>
            </w:r>
            <w:r w:rsidRPr="00A5505A">
              <w:rPr>
                <w:vertAlign w:val="superscript"/>
              </w:rPr>
              <w:t>2</w:t>
            </w:r>
            <w:r w:rsidRPr="00A5505A">
              <w:t>: 400 mg.</w:t>
            </w:r>
          </w:p>
          <w:p w14:paraId="1BCB43A2" w14:textId="57FB622A" w:rsidR="00A5505A" w:rsidRPr="00487162" w:rsidRDefault="00A5505A" w:rsidP="007A41F5">
            <w:r w:rsidRPr="00460036">
              <w:t xml:space="preserve">For further information regarding dosage, refer to the </w:t>
            </w:r>
            <w:r w:rsidR="007A41F5">
              <w:t>PI</w:t>
            </w:r>
            <w:r w:rsidRPr="00460036">
              <w:t>.</w:t>
            </w:r>
          </w:p>
        </w:tc>
      </w:tr>
      <w:tr w:rsidR="00A5505A" w:rsidRPr="00487162" w14:paraId="75704D02" w14:textId="77777777" w:rsidTr="00F14542">
        <w:tc>
          <w:tcPr>
            <w:tcW w:w="2907" w:type="dxa"/>
          </w:tcPr>
          <w:p w14:paraId="5411DC6E" w14:textId="77777777" w:rsidR="00A5505A" w:rsidRPr="00487162" w:rsidRDefault="00A5505A" w:rsidP="00F14542">
            <w:pPr>
              <w:rPr>
                <w:i/>
              </w:rPr>
            </w:pPr>
            <w:r w:rsidRPr="00460036">
              <w:rPr>
                <w:i/>
              </w:rPr>
              <w:t>Pregnancy category</w:t>
            </w:r>
            <w:r>
              <w:rPr>
                <w:i/>
              </w:rPr>
              <w:t>:</w:t>
            </w:r>
          </w:p>
        </w:tc>
        <w:tc>
          <w:tcPr>
            <w:tcW w:w="6307" w:type="dxa"/>
          </w:tcPr>
          <w:p w14:paraId="4C4241F3" w14:textId="77777777" w:rsidR="00A5505A" w:rsidRDefault="00A5505A" w:rsidP="00F14542">
            <w:pPr>
              <w:rPr>
                <w:color w:val="000000"/>
                <w:lang w:val="en"/>
              </w:rPr>
            </w:pPr>
            <w:r>
              <w:rPr>
                <w:color w:val="000000"/>
                <w:lang w:val="en"/>
              </w:rPr>
              <w:t>D</w:t>
            </w:r>
          </w:p>
          <w:p w14:paraId="24E8E6E3" w14:textId="77777777" w:rsidR="00A5505A" w:rsidRDefault="00A5505A" w:rsidP="00F14542">
            <w:r>
              <w:rPr>
                <w:color w:val="000000"/>
                <w:lang w:val="en"/>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15EE639D" w14:textId="77777777" w:rsidR="00A5505A" w:rsidRPr="00487162" w:rsidRDefault="00A5505A" w:rsidP="00F14542">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1EA87FA2" w14:textId="7A4744C7" w:rsidR="008E7846" w:rsidRDefault="008E7846" w:rsidP="008E7846">
      <w:pPr>
        <w:pStyle w:val="Heading3"/>
      </w:pPr>
      <w:bookmarkStart w:id="15" w:name="_Toc52891250"/>
      <w:r>
        <w:lastRenderedPageBreak/>
        <w:t>Product background</w:t>
      </w:r>
      <w:bookmarkEnd w:id="13"/>
      <w:bookmarkEnd w:id="14"/>
      <w:bookmarkEnd w:id="15"/>
    </w:p>
    <w:p w14:paraId="41353441" w14:textId="0C0838A8" w:rsidR="00ED2922" w:rsidRDefault="00250271" w:rsidP="00012A37">
      <w:r w:rsidRPr="00250271">
        <w:t>This AusPAR describes t</w:t>
      </w:r>
      <w:r w:rsidR="00012A37">
        <w:t>he application</w:t>
      </w:r>
      <w:r w:rsidR="00E92999">
        <w:t xml:space="preserve"> by Roche Products </w:t>
      </w:r>
      <w:r w:rsidR="00012A37">
        <w:t>Pty Ltd</w:t>
      </w:r>
      <w:r w:rsidRPr="00250271">
        <w:t xml:space="preserve"> (the</w:t>
      </w:r>
      <w:r w:rsidR="007F776D">
        <w:t xml:space="preserve"> sponsor) to register </w:t>
      </w:r>
      <w:r w:rsidR="00012A37">
        <w:t>Rozlytrek (entrectinib) 100</w:t>
      </w:r>
      <w:r w:rsidR="007C4F56">
        <w:t xml:space="preserve"> </w:t>
      </w:r>
      <w:r w:rsidR="00012A37">
        <w:t>mg and 200</w:t>
      </w:r>
      <w:r w:rsidR="007C4F56">
        <w:t xml:space="preserve"> </w:t>
      </w:r>
      <w:r w:rsidR="00012A37">
        <w:t>mg, hard capsule</w:t>
      </w:r>
      <w:r w:rsidRPr="00250271">
        <w:t xml:space="preserve"> for </w:t>
      </w:r>
      <w:r w:rsidR="003D6385">
        <w:t>treatment of n</w:t>
      </w:r>
      <w:r w:rsidR="007C4F56">
        <w:t>on</w:t>
      </w:r>
      <w:r w:rsidR="007C4F56">
        <w:noBreakHyphen/>
      </w:r>
      <w:r w:rsidR="00012A37">
        <w:t>small cell lung cancer (NSCLC)</w:t>
      </w:r>
      <w:r w:rsidR="003D6385">
        <w:t xml:space="preserve"> as follows:</w:t>
      </w:r>
    </w:p>
    <w:p w14:paraId="29F3071A" w14:textId="77777777" w:rsidR="007C4F56" w:rsidRPr="007C4F56" w:rsidRDefault="007C4F56" w:rsidP="007C4F56">
      <w:pPr>
        <w:ind w:left="720"/>
        <w:rPr>
          <w:i/>
        </w:rPr>
      </w:pPr>
      <w:r w:rsidRPr="007C4F56">
        <w:rPr>
          <w:i/>
        </w:rPr>
        <w:t>Non-small cell lung cancer (NSCLC)</w:t>
      </w:r>
    </w:p>
    <w:p w14:paraId="3122899D" w14:textId="28AACE5D" w:rsidR="003D6385" w:rsidRDefault="007C4F56" w:rsidP="007C4F56">
      <w:pPr>
        <w:ind w:left="720"/>
        <w:rPr>
          <w:i/>
        </w:rPr>
      </w:pPr>
      <w:r>
        <w:rPr>
          <w:i/>
        </w:rPr>
        <w:t>Rozlytrek</w:t>
      </w:r>
      <w:r w:rsidRPr="007C4F56">
        <w:rPr>
          <w:i/>
        </w:rPr>
        <w:t xml:space="preserve"> is indicated for the treatment of patients with ROS1-positive, locally advanced</w:t>
      </w:r>
      <w:r>
        <w:rPr>
          <w:i/>
        </w:rPr>
        <w:t xml:space="preserve"> </w:t>
      </w:r>
      <w:r w:rsidRPr="007C4F56">
        <w:rPr>
          <w:i/>
        </w:rPr>
        <w:t>or metastatic NSCLC.</w:t>
      </w:r>
    </w:p>
    <w:p w14:paraId="2F4AE6C2" w14:textId="499B557E" w:rsidR="007C4F56" w:rsidRDefault="007C4F56" w:rsidP="007C4F56">
      <w:r>
        <w:t>In a concurrent submission, the sponsor also applied for provisional registration of the following solid tumour indication relating to the same products:</w:t>
      </w:r>
    </w:p>
    <w:p w14:paraId="6AC4F75B" w14:textId="77777777" w:rsidR="007C4F56" w:rsidRPr="007C4F56" w:rsidRDefault="007C4F56" w:rsidP="007C4F56">
      <w:pPr>
        <w:ind w:left="720"/>
        <w:rPr>
          <w:i/>
        </w:rPr>
      </w:pPr>
      <w:r w:rsidRPr="007C4F56">
        <w:rPr>
          <w:i/>
        </w:rPr>
        <w:t>Solid tumours</w:t>
      </w:r>
    </w:p>
    <w:p w14:paraId="13641780" w14:textId="4FBC7166" w:rsidR="007C4F56" w:rsidRPr="007C4F56" w:rsidRDefault="007C4F56" w:rsidP="007C4F56">
      <w:pPr>
        <w:ind w:left="720"/>
        <w:rPr>
          <w:i/>
        </w:rPr>
      </w:pPr>
      <w:r w:rsidRPr="007C4F56">
        <w:rPr>
          <w:i/>
        </w:rPr>
        <w:t>Rozlytrek is indicated for the treatment of adult and paediatric patients with neurotrophic tyrosine receptor kinase (NTRK) fusion-positive locally advanced or metastatic solid tumours, who have progressed following prior therapies, or as initial therapy when there are no acceptable standard therapies.</w:t>
      </w:r>
    </w:p>
    <w:p w14:paraId="15062A5F" w14:textId="6E0B6D86" w:rsidR="00A65981" w:rsidRDefault="00A65981" w:rsidP="002A613E">
      <w:r>
        <w:t>Entrectinib is a tyrosine kinase inhibitor with significant inhibitory activity against ROS proto‐oncogene 1(ROS1)</w:t>
      </w:r>
      <w:r w:rsidR="002A613E">
        <w:t>, tropomyosin receptor kinases (TRK) A, B, and C, and anaplastic lymphoma kinase (ALK).</w:t>
      </w:r>
    </w:p>
    <w:p w14:paraId="7CB9BD7A" w14:textId="77777777" w:rsidR="008D5E53" w:rsidRDefault="00CB5B0E" w:rsidP="00CB5B0E">
      <w:r>
        <w:t xml:space="preserve">Physiologically, when bound by their respective ligands, receptor tyrosine kinases </w:t>
      </w:r>
      <w:proofErr w:type="spellStart"/>
      <w:r>
        <w:t>dimerise</w:t>
      </w:r>
      <w:proofErr w:type="spellEnd"/>
      <w:r>
        <w:t xml:space="preserve">, </w:t>
      </w:r>
      <w:proofErr w:type="spellStart"/>
      <w:r>
        <w:t>autophosphorylate</w:t>
      </w:r>
      <w:proofErr w:type="spellEnd"/>
      <w:r>
        <w:t>, and activate downstream signalling pathways involved in cell growth and apoptosis. Mutation of the genes that encode them can drive oncogenic transformation and has been implicated in multiple tumour types.</w:t>
      </w:r>
    </w:p>
    <w:p w14:paraId="28944C4A" w14:textId="1B07BDE0" w:rsidR="00CB5B0E" w:rsidRDefault="008D5E53" w:rsidP="003C65F0">
      <w:pPr>
        <w:pStyle w:val="Heading4"/>
      </w:pPr>
      <w:r w:rsidRPr="008D5E53">
        <w:t xml:space="preserve">ROS1 positive </w:t>
      </w:r>
      <w:r>
        <w:t>n</w:t>
      </w:r>
      <w:r w:rsidRPr="008D5E53">
        <w:t>on-small cell lung cancer</w:t>
      </w:r>
    </w:p>
    <w:p w14:paraId="5C3F7B30" w14:textId="77777777" w:rsidR="00CB5B0E" w:rsidRPr="00A65981" w:rsidRDefault="00CB5B0E" w:rsidP="00CB5B0E">
      <w:r>
        <w:t xml:space="preserve">In the case of </w:t>
      </w:r>
      <w:r w:rsidRPr="00380792">
        <w:rPr>
          <w:i/>
        </w:rPr>
        <w:t>ROS1</w:t>
      </w:r>
      <w:r>
        <w:t xml:space="preserve">-driven tumours, the causative mutation is usually a larger-scale genetic rearrangement, in which a fusion causes a region encoding the ROS1 kinase domain to be juxtaposed to a new genetic partner. Through multiple possible mechanisms (such as loss of </w:t>
      </w:r>
      <w:proofErr w:type="spellStart"/>
      <w:r>
        <w:t>autoinhibitory</w:t>
      </w:r>
      <w:proofErr w:type="spellEnd"/>
      <w:r>
        <w:t xml:space="preserve"> regions or inclusion of novel upstream </w:t>
      </w:r>
      <w:proofErr w:type="spellStart"/>
      <w:r>
        <w:t>oligomerisation</w:t>
      </w:r>
      <w:proofErr w:type="spellEnd"/>
      <w:r>
        <w:t xml:space="preserve"> domains) the result is a novel, constitutively active fusion kinase.</w:t>
      </w:r>
    </w:p>
    <w:p w14:paraId="0A65C525" w14:textId="1D7D91FC" w:rsidR="003D6385" w:rsidRPr="003D6385" w:rsidRDefault="003D6385" w:rsidP="008B3CB8">
      <w:pPr>
        <w:pStyle w:val="Instructions"/>
        <w:rPr>
          <w:i w:val="0"/>
          <w:color w:val="auto"/>
        </w:rPr>
      </w:pPr>
      <w:r w:rsidRPr="00380792">
        <w:rPr>
          <w:color w:val="auto"/>
        </w:rPr>
        <w:t>ROS1</w:t>
      </w:r>
      <w:r w:rsidR="00A0555A">
        <w:rPr>
          <w:i w:val="0"/>
          <w:color w:val="auto"/>
        </w:rPr>
        <w:t>-</w:t>
      </w:r>
      <w:r w:rsidRPr="003D6385">
        <w:rPr>
          <w:i w:val="0"/>
          <w:color w:val="auto"/>
        </w:rPr>
        <w:t xml:space="preserve">positive </w:t>
      </w:r>
      <w:r w:rsidR="00A0555A">
        <w:rPr>
          <w:i w:val="0"/>
          <w:color w:val="auto"/>
        </w:rPr>
        <w:t>non-small cell lung cancer (</w:t>
      </w:r>
      <w:r w:rsidRPr="003D6385">
        <w:rPr>
          <w:i w:val="0"/>
          <w:color w:val="auto"/>
        </w:rPr>
        <w:t>NSCLC</w:t>
      </w:r>
      <w:r w:rsidR="00A0555A">
        <w:rPr>
          <w:i w:val="0"/>
          <w:color w:val="auto"/>
        </w:rPr>
        <w:t>)</w:t>
      </w:r>
      <w:r w:rsidRPr="003D6385">
        <w:rPr>
          <w:i w:val="0"/>
          <w:color w:val="auto"/>
        </w:rPr>
        <w:t xml:space="preserve"> is a rare form of lung cancer, representing 1</w:t>
      </w:r>
      <w:r w:rsidR="009063F8">
        <w:rPr>
          <w:i w:val="0"/>
          <w:color w:val="auto"/>
        </w:rPr>
        <w:t xml:space="preserve"> to 2% of patients with NSCLC. </w:t>
      </w:r>
      <w:r w:rsidRPr="003D6385">
        <w:rPr>
          <w:i w:val="0"/>
          <w:color w:val="auto"/>
        </w:rPr>
        <w:t xml:space="preserve">The physiological function of the </w:t>
      </w:r>
      <w:r w:rsidRPr="00380792">
        <w:rPr>
          <w:color w:val="auto"/>
        </w:rPr>
        <w:t>ROS1</w:t>
      </w:r>
      <w:r w:rsidRPr="003D6385">
        <w:rPr>
          <w:i w:val="0"/>
          <w:color w:val="auto"/>
        </w:rPr>
        <w:t xml:space="preserve"> gene has not been identified, but chromosomal translocations can result in functional/active rearrangements that</w:t>
      </w:r>
      <w:r w:rsidR="008D5FBB">
        <w:rPr>
          <w:i w:val="0"/>
          <w:color w:val="auto"/>
        </w:rPr>
        <w:t xml:space="preserve"> are oncogenic. </w:t>
      </w:r>
      <w:r w:rsidRPr="00380792">
        <w:rPr>
          <w:color w:val="auto"/>
        </w:rPr>
        <w:t>ROS1</w:t>
      </w:r>
      <w:r w:rsidR="00A0555A">
        <w:rPr>
          <w:i w:val="0"/>
          <w:color w:val="auto"/>
        </w:rPr>
        <w:t>-</w:t>
      </w:r>
      <w:r w:rsidRPr="003D6385">
        <w:rPr>
          <w:i w:val="0"/>
          <w:color w:val="auto"/>
        </w:rPr>
        <w:t xml:space="preserve">positive NSCLC has similar histopathology to other adenocarcinoma type </w:t>
      </w:r>
      <w:r w:rsidR="00F64011">
        <w:rPr>
          <w:i w:val="0"/>
          <w:color w:val="auto"/>
        </w:rPr>
        <w:t>small cell lung cancers (SCLC)</w:t>
      </w:r>
      <w:r w:rsidRPr="003D6385">
        <w:rPr>
          <w:i w:val="0"/>
          <w:color w:val="auto"/>
        </w:rPr>
        <w:t xml:space="preserve">, and therefore requires molecular diagnostic techniques for </w:t>
      </w:r>
      <w:r w:rsidR="008D5FBB">
        <w:rPr>
          <w:i w:val="0"/>
          <w:color w:val="auto"/>
        </w:rPr>
        <w:t xml:space="preserve">identification/classification. </w:t>
      </w:r>
      <w:r w:rsidRPr="00380792">
        <w:rPr>
          <w:color w:val="auto"/>
        </w:rPr>
        <w:t>ROS1</w:t>
      </w:r>
      <w:r w:rsidRPr="003D6385">
        <w:rPr>
          <w:i w:val="0"/>
          <w:color w:val="auto"/>
        </w:rPr>
        <w:t xml:space="preserve"> rearrangements rarely overlap with</w:t>
      </w:r>
      <w:r w:rsidR="008B3CB8" w:rsidRPr="008B3CB8">
        <w:t xml:space="preserve"> </w:t>
      </w:r>
      <w:r w:rsidRPr="00380792">
        <w:rPr>
          <w:color w:val="auto"/>
        </w:rPr>
        <w:t>ALK</w:t>
      </w:r>
      <w:r w:rsidR="00F64011">
        <w:rPr>
          <w:i w:val="0"/>
          <w:color w:val="auto"/>
        </w:rPr>
        <w:t xml:space="preserve"> gene</w:t>
      </w:r>
      <w:r w:rsidRPr="003D6385">
        <w:rPr>
          <w:i w:val="0"/>
          <w:color w:val="auto"/>
        </w:rPr>
        <w:t xml:space="preserve"> rearrangements or with oncogenic </w:t>
      </w:r>
      <w:r w:rsidR="008B3CB8" w:rsidRPr="008B3CB8">
        <w:rPr>
          <w:i w:val="0"/>
          <w:color w:val="auto"/>
        </w:rPr>
        <w:t>e</w:t>
      </w:r>
      <w:r w:rsidR="008B3CB8">
        <w:rPr>
          <w:i w:val="0"/>
          <w:color w:val="auto"/>
        </w:rPr>
        <w:t>pidermal growth factor receptor (</w:t>
      </w:r>
      <w:r w:rsidRPr="00380792">
        <w:rPr>
          <w:color w:val="auto"/>
        </w:rPr>
        <w:t>EGFR</w:t>
      </w:r>
      <w:r w:rsidR="008B3CB8">
        <w:rPr>
          <w:i w:val="0"/>
          <w:color w:val="auto"/>
        </w:rPr>
        <w:t>)</w:t>
      </w:r>
      <w:r w:rsidRPr="003D6385">
        <w:rPr>
          <w:i w:val="0"/>
          <w:color w:val="auto"/>
        </w:rPr>
        <w:t xml:space="preserve"> </w:t>
      </w:r>
      <w:r w:rsidR="00F64011">
        <w:rPr>
          <w:i w:val="0"/>
          <w:color w:val="auto"/>
        </w:rPr>
        <w:t xml:space="preserve">gene </w:t>
      </w:r>
      <w:r w:rsidRPr="003D6385">
        <w:rPr>
          <w:i w:val="0"/>
          <w:color w:val="auto"/>
        </w:rPr>
        <w:t xml:space="preserve">mutations or </w:t>
      </w:r>
      <w:r w:rsidR="008B3CB8" w:rsidRPr="008B3CB8">
        <w:rPr>
          <w:i w:val="0"/>
          <w:color w:val="auto"/>
        </w:rPr>
        <w:t xml:space="preserve">Kirsten rat sarcoma </w:t>
      </w:r>
      <w:r w:rsidR="008B3CB8">
        <w:rPr>
          <w:i w:val="0"/>
          <w:color w:val="auto"/>
        </w:rPr>
        <w:t>(</w:t>
      </w:r>
      <w:r w:rsidRPr="00380792">
        <w:rPr>
          <w:color w:val="auto"/>
        </w:rPr>
        <w:t>KRAS</w:t>
      </w:r>
      <w:r w:rsidR="008B3CB8">
        <w:rPr>
          <w:i w:val="0"/>
          <w:color w:val="auto"/>
        </w:rPr>
        <w:t>)</w:t>
      </w:r>
      <w:r w:rsidR="005B3814">
        <w:rPr>
          <w:i w:val="0"/>
          <w:color w:val="auto"/>
        </w:rPr>
        <w:t xml:space="preserve"> </w:t>
      </w:r>
      <w:r w:rsidR="00F64011">
        <w:rPr>
          <w:i w:val="0"/>
          <w:color w:val="auto"/>
        </w:rPr>
        <w:t xml:space="preserve">gene </w:t>
      </w:r>
      <w:r w:rsidR="005B3814">
        <w:rPr>
          <w:i w:val="0"/>
          <w:color w:val="auto"/>
        </w:rPr>
        <w:t xml:space="preserve">mutations. </w:t>
      </w:r>
      <w:r w:rsidRPr="003D6385">
        <w:rPr>
          <w:i w:val="0"/>
          <w:color w:val="auto"/>
        </w:rPr>
        <w:t xml:space="preserve">Therefore, </w:t>
      </w:r>
      <w:r w:rsidRPr="00380792">
        <w:rPr>
          <w:color w:val="auto"/>
        </w:rPr>
        <w:t>ROS1</w:t>
      </w:r>
      <w:r w:rsidRPr="003D6385">
        <w:rPr>
          <w:i w:val="0"/>
          <w:color w:val="auto"/>
        </w:rPr>
        <w:t xml:space="preserve"> rearrangements define a unique molecular subset</w:t>
      </w:r>
      <w:r w:rsidR="008B3CB8">
        <w:rPr>
          <w:i w:val="0"/>
          <w:color w:val="auto"/>
        </w:rPr>
        <w:t xml:space="preserve"> of oncogenic drivers in NSCLC.</w:t>
      </w:r>
    </w:p>
    <w:p w14:paraId="7D48D4B6" w14:textId="23E5FA15" w:rsidR="003D6385" w:rsidRPr="003D6385" w:rsidRDefault="003D6385" w:rsidP="003D6385">
      <w:pPr>
        <w:pStyle w:val="Instructions"/>
        <w:rPr>
          <w:i w:val="0"/>
          <w:color w:val="auto"/>
        </w:rPr>
      </w:pPr>
      <w:r w:rsidRPr="003D6385">
        <w:rPr>
          <w:i w:val="0"/>
          <w:color w:val="auto"/>
        </w:rPr>
        <w:t>Lung cancer tends to present late, at an advanced stage (42% at Stage IV)</w:t>
      </w:r>
      <w:r w:rsidR="00F64011">
        <w:rPr>
          <w:i w:val="0"/>
          <w:color w:val="auto"/>
        </w:rPr>
        <w:t>;</w:t>
      </w:r>
      <w:r w:rsidR="00F64011">
        <w:rPr>
          <w:rStyle w:val="FootnoteReference"/>
          <w:i w:val="0"/>
          <w:color w:val="auto"/>
        </w:rPr>
        <w:footnoteReference w:id="2"/>
      </w:r>
      <w:r w:rsidRPr="003D6385">
        <w:rPr>
          <w:i w:val="0"/>
          <w:color w:val="auto"/>
        </w:rPr>
        <w:t xml:space="preserve"> and when the prognosis is poor</w:t>
      </w:r>
      <w:r w:rsidR="00F319BA">
        <w:rPr>
          <w:i w:val="0"/>
          <w:color w:val="auto"/>
        </w:rPr>
        <w:t>.</w:t>
      </w:r>
      <w:bookmarkStart w:id="16" w:name="_Ref51938108"/>
      <w:r w:rsidR="00A63CD8">
        <w:rPr>
          <w:rStyle w:val="FootnoteReference"/>
          <w:i w:val="0"/>
          <w:color w:val="auto"/>
        </w:rPr>
        <w:footnoteReference w:id="3"/>
      </w:r>
      <w:bookmarkEnd w:id="16"/>
      <w:r w:rsidR="00F319BA">
        <w:rPr>
          <w:i w:val="0"/>
          <w:color w:val="auto"/>
        </w:rPr>
        <w:t xml:space="preserve"> </w:t>
      </w:r>
      <w:r w:rsidRPr="003D6385">
        <w:rPr>
          <w:i w:val="0"/>
          <w:color w:val="auto"/>
        </w:rPr>
        <w:t>Lung cancer contributes 4.3% of the incident</w:t>
      </w:r>
      <w:r w:rsidR="00F319BA">
        <w:rPr>
          <w:i w:val="0"/>
          <w:color w:val="auto"/>
        </w:rPr>
        <w:t xml:space="preserve"> cases of cancer in Australia. </w:t>
      </w:r>
      <w:r w:rsidRPr="003D6385">
        <w:rPr>
          <w:i w:val="0"/>
          <w:color w:val="auto"/>
        </w:rPr>
        <w:t>The 5</w:t>
      </w:r>
      <w:r w:rsidR="004137B1">
        <w:rPr>
          <w:i w:val="0"/>
          <w:color w:val="auto"/>
        </w:rPr>
        <w:t xml:space="preserve"> </w:t>
      </w:r>
      <w:r w:rsidRPr="003D6385">
        <w:rPr>
          <w:i w:val="0"/>
          <w:color w:val="auto"/>
        </w:rPr>
        <w:t>year relative s</w:t>
      </w:r>
      <w:r w:rsidR="009063F8">
        <w:rPr>
          <w:i w:val="0"/>
          <w:color w:val="auto"/>
        </w:rPr>
        <w:t xml:space="preserve">urvival is around 20% and the </w:t>
      </w:r>
      <w:r w:rsidR="008B3CB8">
        <w:rPr>
          <w:i w:val="0"/>
          <w:color w:val="auto"/>
        </w:rPr>
        <w:t>Australia Institute of Health and W</w:t>
      </w:r>
      <w:r w:rsidR="008B3CB8" w:rsidRPr="008B3CB8">
        <w:rPr>
          <w:i w:val="0"/>
          <w:color w:val="auto"/>
        </w:rPr>
        <w:t xml:space="preserve">elfare </w:t>
      </w:r>
      <w:r w:rsidR="008B3CB8">
        <w:rPr>
          <w:i w:val="0"/>
          <w:color w:val="auto"/>
        </w:rPr>
        <w:t>(</w:t>
      </w:r>
      <w:r w:rsidR="009063F8">
        <w:rPr>
          <w:i w:val="0"/>
          <w:color w:val="auto"/>
        </w:rPr>
        <w:t>AI</w:t>
      </w:r>
      <w:r w:rsidRPr="003D6385">
        <w:rPr>
          <w:i w:val="0"/>
          <w:color w:val="auto"/>
        </w:rPr>
        <w:t>HW</w:t>
      </w:r>
      <w:r w:rsidR="008B3CB8">
        <w:rPr>
          <w:i w:val="0"/>
          <w:color w:val="auto"/>
        </w:rPr>
        <w:t>)</w:t>
      </w:r>
      <w:r w:rsidRPr="003D6385">
        <w:rPr>
          <w:i w:val="0"/>
          <w:color w:val="auto"/>
        </w:rPr>
        <w:t xml:space="preserve"> estimates that in 2019 lung cancer will be the leading cause of death from cancer in Australia (9,034 deaths, followed by colorectal cancer with 5,597, prostate cancer with 3,306, breast cancer with 3,090 and</w:t>
      </w:r>
      <w:r w:rsidR="009F4410">
        <w:rPr>
          <w:i w:val="0"/>
          <w:color w:val="auto"/>
        </w:rPr>
        <w:t xml:space="preserve"> pancreatic cancer with 3,051.</w:t>
      </w:r>
      <w:r w:rsidR="008B3CB8" w:rsidRPr="008B3CB8">
        <w:rPr>
          <w:i w:val="0"/>
          <w:color w:val="auto"/>
        </w:rPr>
        <w:fldChar w:fldCharType="begin"/>
      </w:r>
      <w:r w:rsidR="008B3CB8" w:rsidRPr="008B3CB8">
        <w:rPr>
          <w:i w:val="0"/>
          <w:color w:val="auto"/>
        </w:rPr>
        <w:instrText xml:space="preserve"> NOTEREF _Ref51938108 \f \h  \* MERGEFORMAT </w:instrText>
      </w:r>
      <w:r w:rsidR="008B3CB8" w:rsidRPr="008B3CB8">
        <w:rPr>
          <w:i w:val="0"/>
          <w:color w:val="auto"/>
        </w:rPr>
      </w:r>
      <w:r w:rsidR="008B3CB8" w:rsidRPr="008B3CB8">
        <w:rPr>
          <w:i w:val="0"/>
          <w:color w:val="auto"/>
        </w:rPr>
        <w:fldChar w:fldCharType="separate"/>
      </w:r>
      <w:r w:rsidR="005743D8" w:rsidRPr="005743D8">
        <w:rPr>
          <w:rStyle w:val="FootnoteReference"/>
          <w:i w:val="0"/>
          <w:color w:val="auto"/>
        </w:rPr>
        <w:t>2</w:t>
      </w:r>
      <w:r w:rsidR="008B3CB8" w:rsidRPr="008B3CB8">
        <w:rPr>
          <w:i w:val="0"/>
          <w:color w:val="auto"/>
        </w:rPr>
        <w:fldChar w:fldCharType="end"/>
      </w:r>
      <w:r w:rsidR="009F4410">
        <w:rPr>
          <w:i w:val="0"/>
          <w:color w:val="auto"/>
        </w:rPr>
        <w:t xml:space="preserve"> </w:t>
      </w:r>
      <w:r w:rsidRPr="003D6385">
        <w:rPr>
          <w:i w:val="0"/>
          <w:color w:val="auto"/>
        </w:rPr>
        <w:t xml:space="preserve">In 2015, </w:t>
      </w:r>
      <w:r w:rsidRPr="003D6385">
        <w:rPr>
          <w:i w:val="0"/>
          <w:color w:val="auto"/>
        </w:rPr>
        <w:lastRenderedPageBreak/>
        <w:t>there were 11,788 persons diagnosed with lung cancer in Australia, a ra</w:t>
      </w:r>
      <w:r w:rsidR="0093439C">
        <w:rPr>
          <w:i w:val="0"/>
          <w:color w:val="auto"/>
        </w:rPr>
        <w:t>te of 49.4/100,000 population.</w:t>
      </w:r>
      <w:r w:rsidR="008B3CB8" w:rsidRPr="008B3CB8">
        <w:rPr>
          <w:i w:val="0"/>
          <w:color w:val="auto"/>
        </w:rPr>
        <w:fldChar w:fldCharType="begin"/>
      </w:r>
      <w:r w:rsidR="008B3CB8" w:rsidRPr="008B3CB8">
        <w:rPr>
          <w:i w:val="0"/>
          <w:color w:val="auto"/>
        </w:rPr>
        <w:instrText xml:space="preserve"> NOTEREF _Ref51938108 \f \h  \* MERGEFORMAT </w:instrText>
      </w:r>
      <w:r w:rsidR="008B3CB8" w:rsidRPr="008B3CB8">
        <w:rPr>
          <w:i w:val="0"/>
          <w:color w:val="auto"/>
        </w:rPr>
      </w:r>
      <w:r w:rsidR="008B3CB8" w:rsidRPr="008B3CB8">
        <w:rPr>
          <w:i w:val="0"/>
          <w:color w:val="auto"/>
        </w:rPr>
        <w:fldChar w:fldCharType="separate"/>
      </w:r>
      <w:r w:rsidR="005743D8" w:rsidRPr="005743D8">
        <w:rPr>
          <w:rStyle w:val="FootnoteReference"/>
          <w:i w:val="0"/>
          <w:color w:val="auto"/>
        </w:rPr>
        <w:t>2</w:t>
      </w:r>
      <w:r w:rsidR="008B3CB8" w:rsidRPr="008B3CB8">
        <w:rPr>
          <w:i w:val="0"/>
          <w:color w:val="auto"/>
        </w:rPr>
        <w:fldChar w:fldCharType="end"/>
      </w:r>
      <w:r w:rsidR="0093439C">
        <w:rPr>
          <w:i w:val="0"/>
          <w:color w:val="auto"/>
        </w:rPr>
        <w:t xml:space="preserve"> </w:t>
      </w:r>
      <w:r w:rsidRPr="003D6385">
        <w:rPr>
          <w:i w:val="0"/>
          <w:color w:val="auto"/>
        </w:rPr>
        <w:t>There were 6,779 (57.5%) males and 5009 (42.5%) females diagnosed with lun</w:t>
      </w:r>
      <w:r w:rsidR="0093439C">
        <w:rPr>
          <w:i w:val="0"/>
          <w:color w:val="auto"/>
        </w:rPr>
        <w:t>g cancer in Australia in 2015.</w:t>
      </w:r>
      <w:r w:rsidR="008B3CB8" w:rsidRPr="008B3CB8">
        <w:rPr>
          <w:i w:val="0"/>
          <w:color w:val="auto"/>
        </w:rPr>
        <w:fldChar w:fldCharType="begin"/>
      </w:r>
      <w:r w:rsidR="008B3CB8" w:rsidRPr="008B3CB8">
        <w:rPr>
          <w:i w:val="0"/>
          <w:color w:val="auto"/>
        </w:rPr>
        <w:instrText xml:space="preserve"> NOTEREF _Ref51938108 \f \h  \* MERGEFORMAT </w:instrText>
      </w:r>
      <w:r w:rsidR="008B3CB8" w:rsidRPr="008B3CB8">
        <w:rPr>
          <w:i w:val="0"/>
          <w:color w:val="auto"/>
        </w:rPr>
      </w:r>
      <w:r w:rsidR="008B3CB8" w:rsidRPr="008B3CB8">
        <w:rPr>
          <w:i w:val="0"/>
          <w:color w:val="auto"/>
        </w:rPr>
        <w:fldChar w:fldCharType="separate"/>
      </w:r>
      <w:r w:rsidR="005743D8" w:rsidRPr="005743D8">
        <w:rPr>
          <w:rStyle w:val="FootnoteReference"/>
          <w:i w:val="0"/>
          <w:color w:val="auto"/>
        </w:rPr>
        <w:t>2</w:t>
      </w:r>
      <w:r w:rsidR="008B3CB8" w:rsidRPr="008B3CB8">
        <w:rPr>
          <w:i w:val="0"/>
          <w:color w:val="auto"/>
        </w:rPr>
        <w:fldChar w:fldCharType="end"/>
      </w:r>
      <w:r w:rsidR="0093439C">
        <w:rPr>
          <w:i w:val="0"/>
          <w:color w:val="auto"/>
        </w:rPr>
        <w:t xml:space="preserve"> </w:t>
      </w:r>
      <w:r w:rsidRPr="003D6385">
        <w:rPr>
          <w:i w:val="0"/>
          <w:color w:val="auto"/>
        </w:rPr>
        <w:t xml:space="preserve">From 2010 to 2014, lung cancer was the most common cancer diagnosed for Aboriginal and </w:t>
      </w:r>
      <w:r w:rsidR="00A63CD8">
        <w:rPr>
          <w:i w:val="0"/>
          <w:color w:val="auto"/>
        </w:rPr>
        <w:t>Torres Strait Islander people.</w:t>
      </w:r>
      <w:r w:rsidR="008B3CB8" w:rsidRPr="008B3CB8">
        <w:rPr>
          <w:i w:val="0"/>
          <w:color w:val="auto"/>
        </w:rPr>
        <w:fldChar w:fldCharType="begin"/>
      </w:r>
      <w:r w:rsidR="008B3CB8" w:rsidRPr="008B3CB8">
        <w:rPr>
          <w:i w:val="0"/>
          <w:color w:val="auto"/>
        </w:rPr>
        <w:instrText xml:space="preserve"> NOTEREF _Ref51938108 \f \h  \* MERGEFORMAT </w:instrText>
      </w:r>
      <w:r w:rsidR="008B3CB8" w:rsidRPr="008B3CB8">
        <w:rPr>
          <w:i w:val="0"/>
          <w:color w:val="auto"/>
        </w:rPr>
      </w:r>
      <w:r w:rsidR="008B3CB8" w:rsidRPr="008B3CB8">
        <w:rPr>
          <w:i w:val="0"/>
          <w:color w:val="auto"/>
        </w:rPr>
        <w:fldChar w:fldCharType="separate"/>
      </w:r>
      <w:r w:rsidR="005743D8" w:rsidRPr="005743D8">
        <w:rPr>
          <w:rStyle w:val="FootnoteReference"/>
          <w:i w:val="0"/>
          <w:color w:val="auto"/>
        </w:rPr>
        <w:t>2</w:t>
      </w:r>
      <w:r w:rsidR="008B3CB8" w:rsidRPr="008B3CB8">
        <w:rPr>
          <w:i w:val="0"/>
          <w:color w:val="auto"/>
        </w:rPr>
        <w:fldChar w:fldCharType="end"/>
      </w:r>
    </w:p>
    <w:p w14:paraId="6E1533C3" w14:textId="312021C1" w:rsidR="003D6385" w:rsidRDefault="003D6385" w:rsidP="003D6385">
      <w:pPr>
        <w:pStyle w:val="Instructions"/>
        <w:rPr>
          <w:i w:val="0"/>
          <w:color w:val="auto"/>
        </w:rPr>
      </w:pPr>
      <w:r w:rsidRPr="003D6385">
        <w:rPr>
          <w:i w:val="0"/>
          <w:color w:val="auto"/>
        </w:rPr>
        <w:t>Based on this information, and 85% o</w:t>
      </w:r>
      <w:r w:rsidR="009F4410">
        <w:rPr>
          <w:i w:val="0"/>
          <w:color w:val="auto"/>
        </w:rPr>
        <w:t xml:space="preserve">f lung cancer being NSCLC, the </w:t>
      </w:r>
      <w:r w:rsidR="009B407B">
        <w:rPr>
          <w:i w:val="0"/>
          <w:color w:val="auto"/>
        </w:rPr>
        <w:t xml:space="preserve">TGA </w:t>
      </w:r>
      <w:r w:rsidR="009F4410">
        <w:rPr>
          <w:i w:val="0"/>
          <w:color w:val="auto"/>
        </w:rPr>
        <w:t>clinical e</w:t>
      </w:r>
      <w:r w:rsidRPr="003D6385">
        <w:rPr>
          <w:i w:val="0"/>
          <w:color w:val="auto"/>
        </w:rPr>
        <w:t xml:space="preserve">valuator estimates 1000 to 2000 patients with </w:t>
      </w:r>
      <w:r w:rsidRPr="00380792">
        <w:rPr>
          <w:color w:val="auto"/>
        </w:rPr>
        <w:t>ROS1</w:t>
      </w:r>
      <w:r w:rsidRPr="003D6385">
        <w:rPr>
          <w:i w:val="0"/>
          <w:color w:val="auto"/>
        </w:rPr>
        <w:t xml:space="preserve"> positive NSCLC diagnosed in Australia per year, with the majority at an advanced stage.</w:t>
      </w:r>
    </w:p>
    <w:p w14:paraId="3E6FC48A" w14:textId="77777777" w:rsidR="00093104" w:rsidRDefault="00093104" w:rsidP="004137B1">
      <w:r>
        <w:t xml:space="preserve">The previously available treatments include standard chemotherapy, radiotherapy and surgery. </w:t>
      </w:r>
      <w:r w:rsidRPr="004137B1">
        <w:t>Newer</w:t>
      </w:r>
      <w:r>
        <w:t xml:space="preserve"> treatments included targeted therapy and immunotherapy, including the immune </w:t>
      </w:r>
      <w:r w:rsidRPr="004137B1">
        <w:t>checkpoint</w:t>
      </w:r>
      <w:r>
        <w:t xml:space="preserve"> inhibitors.</w:t>
      </w:r>
    </w:p>
    <w:p w14:paraId="60D3AFFB" w14:textId="282154CB" w:rsidR="008D5FBB" w:rsidRDefault="00CB5B0E" w:rsidP="00093104">
      <w:r w:rsidRPr="00CB5B0E">
        <w:t xml:space="preserve">The only therapy that is registered specifically for the targeted treatment of </w:t>
      </w:r>
      <w:r w:rsidRPr="00380792">
        <w:rPr>
          <w:i/>
        </w:rPr>
        <w:t>ROS1</w:t>
      </w:r>
      <w:r w:rsidRPr="00CB5B0E">
        <w:t>-positive can</w:t>
      </w:r>
      <w:r>
        <w:t xml:space="preserve">cer in Australia is </w:t>
      </w:r>
      <w:proofErr w:type="spellStart"/>
      <w:r>
        <w:t>crizotinib</w:t>
      </w:r>
      <w:proofErr w:type="spellEnd"/>
      <w:r>
        <w:t>.</w:t>
      </w:r>
      <w:r w:rsidR="004137B1">
        <w:rPr>
          <w:rStyle w:val="FootnoteReference"/>
        </w:rPr>
        <w:footnoteReference w:id="4"/>
      </w:r>
    </w:p>
    <w:p w14:paraId="6B3B9677" w14:textId="167D4CBD" w:rsidR="00432E51" w:rsidRDefault="00CB5B0E" w:rsidP="00F357A6">
      <w:r w:rsidRPr="00CB5B0E">
        <w:t>The registration o</w:t>
      </w:r>
      <w:r>
        <w:t xml:space="preserve">f </w:t>
      </w:r>
      <w:proofErr w:type="spellStart"/>
      <w:r>
        <w:t>crizotinib</w:t>
      </w:r>
      <w:proofErr w:type="spellEnd"/>
      <w:r>
        <w:t xml:space="preserve"> for </w:t>
      </w:r>
      <w:r w:rsidRPr="00380792">
        <w:rPr>
          <w:i/>
        </w:rPr>
        <w:t>ROS1</w:t>
      </w:r>
      <w:r>
        <w:t>-positive NSCLC</w:t>
      </w:r>
      <w:r w:rsidRPr="00CB5B0E">
        <w:t xml:space="preserve"> was based on single arm data from a study of 53 pati</w:t>
      </w:r>
      <w:r>
        <w:t xml:space="preserve">ents with </w:t>
      </w:r>
      <w:r w:rsidRPr="00380792">
        <w:rPr>
          <w:i/>
        </w:rPr>
        <w:t>ROS1</w:t>
      </w:r>
      <w:r>
        <w:t xml:space="preserve">-positive NSCLC. </w:t>
      </w:r>
      <w:r w:rsidRPr="00CB5B0E">
        <w:t xml:space="preserve">In this study, </w:t>
      </w:r>
      <w:proofErr w:type="spellStart"/>
      <w:r w:rsidRPr="00CB5B0E">
        <w:t>crizotinib</w:t>
      </w:r>
      <w:proofErr w:type="spellEnd"/>
      <w:r w:rsidRPr="00CB5B0E">
        <w:t xml:space="preserve"> caused tumour shrinkage in 72% (95%</w:t>
      </w:r>
      <w:r w:rsidR="004137B1">
        <w:t xml:space="preserve"> confidence intervals</w:t>
      </w:r>
      <w:r w:rsidRPr="00CB5B0E">
        <w:t xml:space="preserve"> </w:t>
      </w:r>
      <w:r w:rsidR="004137B1">
        <w:t>(</w:t>
      </w:r>
      <w:r w:rsidRPr="00CB5B0E">
        <w:t>CI</w:t>
      </w:r>
      <w:r w:rsidR="004137B1">
        <w:t>)</w:t>
      </w:r>
      <w:r w:rsidRPr="00CB5B0E">
        <w:t>: 58%, 83%) of patients with a median duration of response of 24</w:t>
      </w:r>
      <w:r>
        <w:t>.7 (95% CI</w:t>
      </w:r>
      <w:r w:rsidR="00DB2C88">
        <w:t xml:space="preserve">: 15.2 to </w:t>
      </w:r>
      <w:r>
        <w:t>45.3) months.</w:t>
      </w:r>
      <w:r w:rsidR="00A63CD8">
        <w:rPr>
          <w:rStyle w:val="FootnoteReference"/>
          <w:i/>
        </w:rPr>
        <w:footnoteReference w:id="5"/>
      </w:r>
      <w:r>
        <w:t xml:space="preserve"> </w:t>
      </w:r>
      <w:r w:rsidRPr="00CB5B0E">
        <w:t xml:space="preserve">In the setting of this rare disease with a predictable natural history, </w:t>
      </w:r>
      <w:r w:rsidR="00BD04CD">
        <w:t>for example</w:t>
      </w:r>
      <w:r w:rsidRPr="00CB5B0E">
        <w:t xml:space="preserve"> inexorable progression, this evidence was considered sufficient evidence to supp</w:t>
      </w:r>
      <w:r>
        <w:t>ort a risk-benefit assessment.</w:t>
      </w:r>
      <w:r w:rsidRPr="00CB5B0E">
        <w:t xml:space="preserve"> </w:t>
      </w:r>
      <w:proofErr w:type="spellStart"/>
      <w:r w:rsidRPr="00CB5B0E">
        <w:t>Crizotinib</w:t>
      </w:r>
      <w:proofErr w:type="spellEnd"/>
      <w:r w:rsidRPr="00CB5B0E">
        <w:t xml:space="preserve">, however, is subject to </w:t>
      </w:r>
      <w:r w:rsidR="008B3CB8">
        <w:t>P-glycoprotein</w:t>
      </w:r>
      <w:r w:rsidR="008B3CB8" w:rsidRPr="00CB5B0E">
        <w:t xml:space="preserve"> </w:t>
      </w:r>
      <w:r w:rsidR="008B3CB8">
        <w:t>(</w:t>
      </w:r>
      <w:r w:rsidRPr="00CB5B0E">
        <w:t>P-</w:t>
      </w:r>
      <w:proofErr w:type="spellStart"/>
      <w:r w:rsidRPr="00CB5B0E">
        <w:t>gp</w:t>
      </w:r>
      <w:proofErr w:type="spellEnd"/>
      <w:r w:rsidR="008B3CB8">
        <w:t>)</w:t>
      </w:r>
      <w:r w:rsidRPr="00CB5B0E">
        <w:t>-mediated efflux and has poor b</w:t>
      </w:r>
      <w:r w:rsidR="009F4410">
        <w:t>lood-brain barrier penetration.</w:t>
      </w:r>
      <w:r w:rsidRPr="00CB5B0E">
        <w:t xml:space="preserve"> Central nervous system (CNS) progression occurs in around 60% of patients</w:t>
      </w:r>
      <w:r w:rsidR="008D5FBB">
        <w:t xml:space="preserve"> during </w:t>
      </w:r>
      <w:proofErr w:type="spellStart"/>
      <w:r w:rsidR="008D5FBB">
        <w:t>crizotinib</w:t>
      </w:r>
      <w:proofErr w:type="spellEnd"/>
      <w:r w:rsidR="008D5FBB">
        <w:t xml:space="preserve"> therapy.</w:t>
      </w:r>
      <w:r w:rsidR="00A63CD8">
        <w:rPr>
          <w:rStyle w:val="FootnoteReference"/>
          <w:i/>
        </w:rPr>
        <w:footnoteReference w:id="6"/>
      </w:r>
      <w:bookmarkStart w:id="17" w:name="_Toc314842485"/>
      <w:bookmarkStart w:id="18" w:name="_Toc247691504"/>
    </w:p>
    <w:p w14:paraId="2E851DD8" w14:textId="06972EDF" w:rsidR="008D5E53" w:rsidRPr="009738C9" w:rsidRDefault="008D5E53" w:rsidP="003C65F0">
      <w:pPr>
        <w:pStyle w:val="Heading4"/>
      </w:pPr>
      <w:r>
        <w:t>Neurotrophic tropomyosin receptor kinase</w:t>
      </w:r>
      <w:r w:rsidRPr="008D5E53">
        <w:t xml:space="preserve"> fusion-positive locally advanced or metastatic solid tumours</w:t>
      </w:r>
    </w:p>
    <w:p w14:paraId="1E937CD2" w14:textId="50574471" w:rsidR="00432E51" w:rsidRDefault="00432E51" w:rsidP="00FE0A6C">
      <w:r>
        <w:t xml:space="preserve">In addition, </w:t>
      </w:r>
      <w:r w:rsidR="006D5A19">
        <w:t>e</w:t>
      </w:r>
      <w:r w:rsidRPr="00432E51">
        <w:t>ntrectinib is a</w:t>
      </w:r>
      <w:r>
        <w:t>lso a</w:t>
      </w:r>
      <w:r w:rsidRPr="00432E51">
        <w:t xml:space="preserve"> </w:t>
      </w:r>
      <w:r>
        <w:t xml:space="preserve">potent inhibitor of </w:t>
      </w:r>
      <w:r w:rsidR="00441CF0">
        <w:t xml:space="preserve">the </w:t>
      </w:r>
      <w:r>
        <w:t>tropomyosin receptor kinase</w:t>
      </w:r>
      <w:r w:rsidR="00441CF0">
        <w:t>s</w:t>
      </w:r>
      <w:r>
        <w:t xml:space="preserve"> (TRK) A</w:t>
      </w:r>
      <w:r w:rsidR="00441CF0">
        <w:t>,</w:t>
      </w:r>
      <w:r>
        <w:t xml:space="preserve"> B and C, which has been shown to have anti-tumour activity against </w:t>
      </w:r>
      <w:r w:rsidR="001E6CEF" w:rsidRPr="000C761A">
        <w:rPr>
          <w:i/>
        </w:rPr>
        <w:t>NTRK</w:t>
      </w:r>
      <w:r>
        <w:t xml:space="preserve"> gene fusion-positive solid tumour</w:t>
      </w:r>
      <w:r w:rsidR="008D5E53">
        <w:t>s</w:t>
      </w:r>
      <w:r>
        <w:t>.</w:t>
      </w:r>
      <w:r w:rsidR="009738C9">
        <w:rPr>
          <w:rStyle w:val="FootnoteReference"/>
        </w:rPr>
        <w:footnoteReference w:id="7"/>
      </w:r>
    </w:p>
    <w:p w14:paraId="6975595A" w14:textId="20679348" w:rsidR="00F357A6" w:rsidRDefault="00147049" w:rsidP="00351F3A">
      <w:r w:rsidRPr="00147049">
        <w:t>The s</w:t>
      </w:r>
      <w:r w:rsidR="00F357A6">
        <w:t>ponsor clinical overview states:</w:t>
      </w:r>
    </w:p>
    <w:p w14:paraId="17507744" w14:textId="41FD7AD3" w:rsidR="00FE0A6C" w:rsidRDefault="001E6CEF" w:rsidP="00351F3A">
      <w:pPr>
        <w:ind w:left="720"/>
      </w:pPr>
      <w:r>
        <w:t>‘</w:t>
      </w:r>
      <w:r w:rsidR="00147049" w:rsidRPr="00147049">
        <w:t>The</w:t>
      </w:r>
      <w:r w:rsidR="00FE0A6C" w:rsidRPr="00505148">
        <w:t xml:space="preserve"> neurotrophic receptor tyrosine kinase family of genes </w:t>
      </w:r>
      <w:r w:rsidR="00FE0A6C" w:rsidRPr="002E50EF">
        <w:rPr>
          <w:i/>
          <w:iCs/>
        </w:rPr>
        <w:t>NTRK1</w:t>
      </w:r>
      <w:r w:rsidR="00FE0A6C" w:rsidRPr="00505148">
        <w:t xml:space="preserve">, </w:t>
      </w:r>
      <w:r w:rsidR="00FE0A6C" w:rsidRPr="002E50EF">
        <w:rPr>
          <w:i/>
          <w:iCs/>
        </w:rPr>
        <w:t>NTRK2</w:t>
      </w:r>
      <w:r w:rsidR="00FE0A6C" w:rsidRPr="00505148">
        <w:t xml:space="preserve">, and </w:t>
      </w:r>
      <w:r w:rsidR="00FE0A6C" w:rsidRPr="002E50EF">
        <w:rPr>
          <w:i/>
          <w:iCs/>
        </w:rPr>
        <w:t>NTRK3</w:t>
      </w:r>
      <w:r w:rsidR="00FE0A6C" w:rsidRPr="00505148">
        <w:t xml:space="preserve"> encode the tropomyosin receptor kinases A, B and C (TRKA, TRKB and TRKC),</w:t>
      </w:r>
      <w:r w:rsidR="00FE0A6C">
        <w:t xml:space="preserve"> </w:t>
      </w:r>
      <w:r w:rsidR="00432E51">
        <w:t>respectively.</w:t>
      </w:r>
      <w:r w:rsidR="00FE0A6C">
        <w:t xml:space="preserve"> </w:t>
      </w:r>
      <w:r w:rsidR="00FE0A6C" w:rsidRPr="00505148">
        <w:t>TRK family members are transmembrane proteins serving as high affinity</w:t>
      </w:r>
      <w:r w:rsidR="00FE0A6C">
        <w:t xml:space="preserve"> </w:t>
      </w:r>
      <w:r w:rsidR="00FE0A6C" w:rsidRPr="00505148">
        <w:t xml:space="preserve">signal transducing receptors for </w:t>
      </w:r>
      <w:proofErr w:type="spellStart"/>
      <w:r w:rsidR="00FE0A6C" w:rsidRPr="00505148">
        <w:t>neurotrophins</w:t>
      </w:r>
      <w:proofErr w:type="spellEnd"/>
      <w:r w:rsidR="00FE0A6C" w:rsidRPr="00505148">
        <w:t>. They are expressed in neuronal tissue</w:t>
      </w:r>
      <w:r w:rsidR="00FE0A6C">
        <w:t xml:space="preserve"> </w:t>
      </w:r>
      <w:r w:rsidR="00FE0A6C" w:rsidRPr="00505148">
        <w:t>and play an essential physiological role in the development and function of the central</w:t>
      </w:r>
      <w:r w:rsidR="00FE0A6C">
        <w:t xml:space="preserve"> </w:t>
      </w:r>
      <w:r w:rsidR="00FE0A6C" w:rsidRPr="00505148">
        <w:t>and peripheral nervous systems. TRKA binds nerve growth factor (NGF)</w:t>
      </w:r>
      <w:r w:rsidR="008536E4">
        <w:t>;</w:t>
      </w:r>
      <w:r w:rsidR="003F1EC3">
        <w:rPr>
          <w:rStyle w:val="FootnoteReference"/>
        </w:rPr>
        <w:footnoteReference w:id="8"/>
      </w:r>
      <w:r w:rsidR="003F1EC3" w:rsidRPr="003F1EC3">
        <w:rPr>
          <w:vertAlign w:val="superscript"/>
        </w:rPr>
        <w:t>,</w:t>
      </w:r>
      <w:r w:rsidR="003F1EC3">
        <w:rPr>
          <w:rStyle w:val="FootnoteReference"/>
        </w:rPr>
        <w:footnoteReference w:id="9"/>
      </w:r>
      <w:r w:rsidR="003F1EC3" w:rsidRPr="003F1EC3">
        <w:rPr>
          <w:vertAlign w:val="superscript"/>
        </w:rPr>
        <w:t>,</w:t>
      </w:r>
      <w:bookmarkStart w:id="19" w:name="_Ref50458070"/>
      <w:r w:rsidR="003F1EC3">
        <w:rPr>
          <w:rStyle w:val="FootnoteReference"/>
        </w:rPr>
        <w:footnoteReference w:id="10"/>
      </w:r>
      <w:bookmarkEnd w:id="19"/>
      <w:r w:rsidR="00FE0A6C" w:rsidRPr="00505148">
        <w:t>, TRKB binds brain-derived growth factor (BDNF) and</w:t>
      </w:r>
      <w:r w:rsidR="00FE0A6C">
        <w:t xml:space="preserve"> </w:t>
      </w:r>
      <w:r w:rsidR="00FE0A6C" w:rsidRPr="00505148">
        <w:t xml:space="preserve">eurotrophin-4 (NT4, also known as NTF5) with high affinity and neurotrophin-3 </w:t>
      </w:r>
      <w:r w:rsidR="00FE0A6C" w:rsidRPr="00505148">
        <w:lastRenderedPageBreak/>
        <w:t>(NT3) to</w:t>
      </w:r>
      <w:r w:rsidR="00FE0A6C">
        <w:t xml:space="preserve"> </w:t>
      </w:r>
      <w:r w:rsidR="00147049">
        <w:t>a lesser extent</w:t>
      </w:r>
      <w:r w:rsidR="008536E4">
        <w:t>;</w:t>
      </w:r>
      <w:r w:rsidR="00147049" w:rsidRPr="00147049">
        <w:rPr>
          <w:vertAlign w:val="superscript"/>
        </w:rPr>
        <w:fldChar w:fldCharType="begin"/>
      </w:r>
      <w:r w:rsidR="00147049" w:rsidRPr="00147049">
        <w:rPr>
          <w:vertAlign w:val="superscript"/>
        </w:rPr>
        <w:instrText xml:space="preserve"> NOTEREF _Ref50458070 \h </w:instrText>
      </w:r>
      <w:r w:rsidR="00147049">
        <w:rPr>
          <w:vertAlign w:val="superscript"/>
        </w:rPr>
        <w:instrText xml:space="preserve"> \* MERGEFORMAT </w:instrText>
      </w:r>
      <w:r w:rsidR="00147049" w:rsidRPr="00147049">
        <w:rPr>
          <w:vertAlign w:val="superscript"/>
        </w:rPr>
      </w:r>
      <w:r w:rsidR="00147049" w:rsidRPr="00147049">
        <w:rPr>
          <w:vertAlign w:val="superscript"/>
        </w:rPr>
        <w:fldChar w:fldCharType="separate"/>
      </w:r>
      <w:r w:rsidR="005743D8">
        <w:rPr>
          <w:vertAlign w:val="superscript"/>
        </w:rPr>
        <w:t>8</w:t>
      </w:r>
      <w:r w:rsidR="00147049" w:rsidRPr="00147049">
        <w:rPr>
          <w:vertAlign w:val="superscript"/>
        </w:rPr>
        <w:fldChar w:fldCharType="end"/>
      </w:r>
      <w:r w:rsidR="00147049">
        <w:rPr>
          <w:rStyle w:val="FootnoteReference"/>
        </w:rPr>
        <w:t>,</w:t>
      </w:r>
      <w:r w:rsidR="00BA2FB0">
        <w:rPr>
          <w:rStyle w:val="FootnoteReference"/>
        </w:rPr>
        <w:footnoteReference w:id="11"/>
      </w:r>
      <w:r w:rsidR="00147049">
        <w:t xml:space="preserve"> and TRKC binds NT3</w:t>
      </w:r>
      <w:r w:rsidR="008536E4">
        <w:t>.</w:t>
      </w:r>
      <w:r w:rsidR="00147049">
        <w:rPr>
          <w:rStyle w:val="FootnoteReference"/>
        </w:rPr>
        <w:footnoteReference w:id="12"/>
      </w:r>
      <w:r w:rsidR="00FE0A6C" w:rsidRPr="00505148">
        <w:t xml:space="preserve"> Binding of </w:t>
      </w:r>
      <w:proofErr w:type="spellStart"/>
      <w:r w:rsidR="00FE0A6C" w:rsidRPr="00505148">
        <w:t>neurotrophins</w:t>
      </w:r>
      <w:proofErr w:type="spellEnd"/>
      <w:r w:rsidR="00FE0A6C" w:rsidRPr="00505148">
        <w:t xml:space="preserve"> to their cognate TRK receptors results in</w:t>
      </w:r>
      <w:r w:rsidR="00FE0A6C">
        <w:t xml:space="preserve"> </w:t>
      </w:r>
      <w:proofErr w:type="spellStart"/>
      <w:r w:rsidR="00FE0A6C" w:rsidRPr="00505148">
        <w:t>homodimerization</w:t>
      </w:r>
      <w:proofErr w:type="spellEnd"/>
      <w:r w:rsidR="00FE0A6C" w:rsidRPr="00505148">
        <w:t xml:space="preserve">, receptor </w:t>
      </w:r>
      <w:proofErr w:type="spellStart"/>
      <w:r w:rsidR="00FE0A6C" w:rsidRPr="00505148">
        <w:t>autophosphorylation</w:t>
      </w:r>
      <w:proofErr w:type="spellEnd"/>
      <w:r w:rsidR="00FE0A6C" w:rsidRPr="00505148">
        <w:t xml:space="preserve"> and activation of downstream signal</w:t>
      </w:r>
      <w:r w:rsidR="00FE0A6C">
        <w:t xml:space="preserve"> </w:t>
      </w:r>
      <w:r w:rsidR="00FE0A6C" w:rsidRPr="00505148">
        <w:t>transduction pathways involved in cell proliferation, apoptosis, and survival of neurons</w:t>
      </w:r>
      <w:r w:rsidR="00FE0A6C">
        <w:t xml:space="preserve"> </w:t>
      </w:r>
      <w:r w:rsidR="00FE0A6C" w:rsidRPr="00505148">
        <w:t>and other cell types.</w:t>
      </w:r>
    </w:p>
    <w:p w14:paraId="04FC3403" w14:textId="0A937DAD" w:rsidR="00FE0A6C" w:rsidRPr="00DD7EC3" w:rsidRDefault="00FE0A6C" w:rsidP="00351F3A">
      <w:pPr>
        <w:ind w:left="720"/>
      </w:pPr>
      <w:r w:rsidRPr="00DD7EC3">
        <w:t xml:space="preserve">The </w:t>
      </w:r>
      <w:r w:rsidR="00E738CD" w:rsidRPr="000C761A">
        <w:rPr>
          <w:i/>
        </w:rPr>
        <w:t>NTRK</w:t>
      </w:r>
      <w:r w:rsidR="00E738CD">
        <w:t xml:space="preserve"> gene fusio</w:t>
      </w:r>
      <w:r w:rsidR="002E2BCA">
        <w:t>n-</w:t>
      </w:r>
      <w:r w:rsidR="00E738CD">
        <w:t xml:space="preserve">positive </w:t>
      </w:r>
      <w:r w:rsidRPr="00DD7EC3">
        <w:t>tumour type is not nec</w:t>
      </w:r>
      <w:r w:rsidR="00E738CD">
        <w:t xml:space="preserve">essarily of neurological origin. </w:t>
      </w:r>
      <w:r w:rsidRPr="00DD7EC3">
        <w:t>Typically, intra</w:t>
      </w:r>
      <w:r>
        <w:t>-</w:t>
      </w:r>
      <w:r w:rsidRPr="00DD7EC3">
        <w:t>chromosomal or inter</w:t>
      </w:r>
      <w:r>
        <w:t>-</w:t>
      </w:r>
      <w:r w:rsidRPr="00DD7EC3">
        <w:t xml:space="preserve">chromosomal rearrangements form hybrid genes in which 3ʹ sequences of </w:t>
      </w:r>
      <w:r w:rsidRPr="002E50EF">
        <w:rPr>
          <w:i/>
          <w:iCs/>
        </w:rPr>
        <w:t>NTRK1</w:t>
      </w:r>
      <w:r w:rsidRPr="00DD7EC3">
        <w:t xml:space="preserve">, </w:t>
      </w:r>
      <w:r w:rsidRPr="002E50EF">
        <w:rPr>
          <w:i/>
          <w:iCs/>
        </w:rPr>
        <w:t>NTRK2</w:t>
      </w:r>
      <w:r w:rsidRPr="00DD7EC3">
        <w:t xml:space="preserve"> or </w:t>
      </w:r>
      <w:r w:rsidRPr="002E50EF">
        <w:rPr>
          <w:i/>
          <w:iCs/>
        </w:rPr>
        <w:t>NTRK3</w:t>
      </w:r>
      <w:r w:rsidRPr="00DD7EC3">
        <w:t xml:space="preserve"> that include the kinase domain are juxtaposed to 5ʹ </w:t>
      </w:r>
      <w:r w:rsidR="00E738CD">
        <w:t xml:space="preserve">sequences of a different gene. </w:t>
      </w:r>
      <w:r w:rsidRPr="00DD7EC3">
        <w:t xml:space="preserve">The product of the fusion is a chimeric </w:t>
      </w:r>
      <w:proofErr w:type="spellStart"/>
      <w:r w:rsidRPr="00DD7EC3">
        <w:t>onco</w:t>
      </w:r>
      <w:r w:rsidR="00324C55">
        <w:t>protein</w:t>
      </w:r>
      <w:proofErr w:type="spellEnd"/>
      <w:r w:rsidR="00324C55">
        <w:t xml:space="preserve"> characterized by ligand </w:t>
      </w:r>
      <w:r w:rsidRPr="00DD7EC3">
        <w:t xml:space="preserve">independent constitutive </w:t>
      </w:r>
      <w:r w:rsidR="00E738CD">
        <w:t xml:space="preserve">activation of the TRK kinase. </w:t>
      </w:r>
      <w:r>
        <w:t>Essentially, these proteins become intracellular, unregulated, independen</w:t>
      </w:r>
      <w:r w:rsidR="00E738CD">
        <w:t>tly operating growth promoters.</w:t>
      </w:r>
      <w:r>
        <w:t xml:space="preserve"> </w:t>
      </w:r>
      <w:r w:rsidR="00E738CD">
        <w:t>T</w:t>
      </w:r>
      <w:r>
        <w:t>he growth promoting mechanism operate</w:t>
      </w:r>
      <w:r w:rsidR="00E738CD">
        <w:t>s</w:t>
      </w:r>
      <w:r>
        <w:t xml:space="preserve"> in a number of different cell types as it is independent of </w:t>
      </w:r>
      <w:proofErr w:type="spellStart"/>
      <w:r>
        <w:t>neurotrophins</w:t>
      </w:r>
      <w:proofErr w:type="spellEnd"/>
      <w:r>
        <w:t>.</w:t>
      </w:r>
      <w:r w:rsidR="00351F3A">
        <w:t>’</w:t>
      </w:r>
    </w:p>
    <w:p w14:paraId="1364B4A1" w14:textId="2554398A" w:rsidR="00FE0A6C" w:rsidRDefault="00FE0A6C" w:rsidP="006442F3">
      <w:r w:rsidRPr="000C761A">
        <w:rPr>
          <w:i/>
        </w:rPr>
        <w:t xml:space="preserve">NTRK </w:t>
      </w:r>
      <w:r w:rsidRPr="00505148">
        <w:t>fusion-positive solid tumo</w:t>
      </w:r>
      <w:r>
        <w:t>u</w:t>
      </w:r>
      <w:r w:rsidRPr="00505148">
        <w:t>rs are rare, and because of differences in testing methodologies, the exact frequency of NTRK fusions in solid tumo</w:t>
      </w:r>
      <w:r>
        <w:t>u</w:t>
      </w:r>
      <w:r w:rsidRPr="00505148">
        <w:t>rs remains unclear.</w:t>
      </w:r>
      <w:r>
        <w:t xml:space="preserve"> The diagnosis has been based on </w:t>
      </w:r>
      <w:r w:rsidR="003D2605">
        <w:t>d</w:t>
      </w:r>
      <w:r w:rsidR="003D2605" w:rsidRPr="003D2605">
        <w:t xml:space="preserve">eoxyribonucleic acid </w:t>
      </w:r>
      <w:r w:rsidR="003D2605">
        <w:t>(</w:t>
      </w:r>
      <w:r>
        <w:t>DNA</w:t>
      </w:r>
      <w:r w:rsidR="003D2605">
        <w:t>)</w:t>
      </w:r>
      <w:r>
        <w:t xml:space="preserve"> based next generation sequencing technologies, which can be complemen</w:t>
      </w:r>
      <w:r w:rsidR="00147049">
        <w:t xml:space="preserve">ted by targeted </w:t>
      </w:r>
      <w:r w:rsidR="003D2605">
        <w:t>r</w:t>
      </w:r>
      <w:r w:rsidR="003D2605" w:rsidRPr="003D2605">
        <w:t xml:space="preserve">ibonucleic acid </w:t>
      </w:r>
      <w:r w:rsidR="003D2605">
        <w:t>(</w:t>
      </w:r>
      <w:r w:rsidR="00147049">
        <w:t>RNA</w:t>
      </w:r>
      <w:r w:rsidR="003D2605">
        <w:t>)</w:t>
      </w:r>
      <w:r w:rsidR="00147049">
        <w:t xml:space="preserve"> sequencing.</w:t>
      </w:r>
      <w:r w:rsidR="00147049">
        <w:rPr>
          <w:rStyle w:val="FootnoteReference"/>
        </w:rPr>
        <w:footnoteReference w:id="13"/>
      </w:r>
      <w:r w:rsidR="00147049">
        <w:t xml:space="preserve"> </w:t>
      </w:r>
      <w:r>
        <w:t>These can vary de</w:t>
      </w:r>
      <w:r w:rsidR="00E738CD">
        <w:t xml:space="preserve">pending upon the primers used. </w:t>
      </w:r>
      <w:r>
        <w:t>In a profiling of adult and paediatric solid tumour samples th</w:t>
      </w:r>
      <w:r w:rsidR="00E738CD">
        <w:t xml:space="preserve">ere was a prevalence of 0.32%. </w:t>
      </w:r>
      <w:r>
        <w:t xml:space="preserve">The </w:t>
      </w:r>
      <w:r w:rsidR="00E738CD">
        <w:t>prevalence was up to 1% in the s</w:t>
      </w:r>
      <w:r>
        <w:t xml:space="preserve">ponsor’s </w:t>
      </w:r>
      <w:r w:rsidR="00E738CD">
        <w:t>s</w:t>
      </w:r>
      <w:r w:rsidR="00147049">
        <w:t>creening of tumour samples.</w:t>
      </w:r>
    </w:p>
    <w:p w14:paraId="2B30224D" w14:textId="7A30C4A8" w:rsidR="009B407B" w:rsidRPr="003C65F0" w:rsidRDefault="009B407B" w:rsidP="006442F3">
      <w:pPr>
        <w:rPr>
          <w:rFonts w:asciiTheme="minorHAnsi" w:hAnsiTheme="minorHAnsi" w:cs="Calibri"/>
        </w:rPr>
      </w:pPr>
      <w:r w:rsidRPr="009C0CE3">
        <w:rPr>
          <w:rFonts w:asciiTheme="minorHAnsi" w:hAnsiTheme="minorHAnsi" w:cs="Calibri"/>
          <w:lang w:eastAsia="ja-JP"/>
        </w:rPr>
        <w:t xml:space="preserve">Until recently, no targeted therapies for </w:t>
      </w:r>
      <w:r w:rsidRPr="000C761A">
        <w:rPr>
          <w:rFonts w:asciiTheme="minorHAnsi" w:hAnsiTheme="minorHAnsi" w:cs="Calibri"/>
          <w:i/>
          <w:lang w:eastAsia="ja-JP"/>
        </w:rPr>
        <w:t>NTRK</w:t>
      </w:r>
      <w:r w:rsidRPr="009C0CE3">
        <w:rPr>
          <w:rFonts w:asciiTheme="minorHAnsi" w:hAnsiTheme="minorHAnsi" w:cs="Calibri"/>
          <w:lang w:eastAsia="ja-JP"/>
        </w:rPr>
        <w:t>-fusion positive cancer were available</w:t>
      </w:r>
      <w:r>
        <w:rPr>
          <w:rFonts w:asciiTheme="minorHAnsi" w:hAnsiTheme="minorHAnsi" w:cs="Calibri"/>
          <w:lang w:eastAsia="ja-JP"/>
        </w:rPr>
        <w:t xml:space="preserve">. At the time this submission was under consideration, there were currently no therapies </w:t>
      </w:r>
      <w:r w:rsidRPr="009C0CE3">
        <w:rPr>
          <w:rFonts w:asciiTheme="minorHAnsi" w:hAnsiTheme="minorHAnsi" w:cs="Calibri"/>
          <w:lang w:eastAsia="ja-JP"/>
        </w:rPr>
        <w:t>registered in Australia specifically for the treatment of tumours which are NTRK-fusion positive.</w:t>
      </w:r>
    </w:p>
    <w:p w14:paraId="404F745F" w14:textId="5212859F" w:rsidR="008E7846" w:rsidRPr="003F31A2" w:rsidRDefault="00386150" w:rsidP="008E7846">
      <w:pPr>
        <w:pStyle w:val="Heading3"/>
      </w:pPr>
      <w:bookmarkStart w:id="20" w:name="_Toc52891251"/>
      <w:r>
        <w:t>Regulatory s</w:t>
      </w:r>
      <w:r w:rsidR="008E7846">
        <w:t>tatus</w:t>
      </w:r>
      <w:bookmarkEnd w:id="17"/>
      <w:bookmarkEnd w:id="18"/>
      <w:bookmarkEnd w:id="20"/>
    </w:p>
    <w:p w14:paraId="29A91DFC" w14:textId="7E725CBE" w:rsidR="00006FAB" w:rsidRPr="00E648E1" w:rsidRDefault="00006FAB" w:rsidP="00E648E1">
      <w:bookmarkStart w:id="21" w:name="_Toc247691505"/>
      <w:bookmarkStart w:id="22" w:name="_Toc314842486"/>
      <w:r w:rsidRPr="00006FAB">
        <w:t>This product is considered a new chemical</w:t>
      </w:r>
      <w:r w:rsidR="009B407B">
        <w:t xml:space="preserve"> entity</w:t>
      </w:r>
      <w:r w:rsidR="006442F3">
        <w:t xml:space="preserve"> for Australian regulatory purposes</w:t>
      </w:r>
      <w:r w:rsidRPr="00006FAB">
        <w:t>.</w:t>
      </w:r>
    </w:p>
    <w:p w14:paraId="309EF0ED" w14:textId="289EA222" w:rsidR="00940A89" w:rsidRDefault="00006FAB" w:rsidP="00E648E1">
      <w:r>
        <w:t xml:space="preserve">At the time the TGA considered this application, </w:t>
      </w:r>
      <w:r w:rsidR="008E6CDD">
        <w:t>entrectinib</w:t>
      </w:r>
      <w:r w:rsidR="00405BFD">
        <w:t xml:space="preserve"> had been granted </w:t>
      </w:r>
      <w:r w:rsidR="003B038A">
        <w:t>a</w:t>
      </w:r>
      <w:r w:rsidR="00405BFD">
        <w:t xml:space="preserve">pproval in United States of </w:t>
      </w:r>
      <w:r w:rsidR="009A4966">
        <w:t>America (USA) (</w:t>
      </w:r>
      <w:r w:rsidR="008536E4">
        <w:t xml:space="preserve">approved </w:t>
      </w:r>
      <w:r w:rsidR="00441CF0">
        <w:t>i</w:t>
      </w:r>
      <w:r w:rsidR="008536E4">
        <w:t xml:space="preserve">n </w:t>
      </w:r>
      <w:r w:rsidR="009A4966">
        <w:t>August 2019), Japan (</w:t>
      </w:r>
      <w:r w:rsidR="008536E4">
        <w:t xml:space="preserve">approved </w:t>
      </w:r>
      <w:r w:rsidR="00441CF0">
        <w:t>i</w:t>
      </w:r>
      <w:r w:rsidR="008536E4">
        <w:t xml:space="preserve">n </w:t>
      </w:r>
      <w:r w:rsidR="00B953BD">
        <w:t>June</w:t>
      </w:r>
      <w:r w:rsidR="00441CF0">
        <w:t> </w:t>
      </w:r>
      <w:r w:rsidR="009A4966">
        <w:t>2019)</w:t>
      </w:r>
      <w:r w:rsidR="009B407B">
        <w:t xml:space="preserve"> and </w:t>
      </w:r>
      <w:r w:rsidR="00405BFD">
        <w:t>Canada</w:t>
      </w:r>
      <w:r w:rsidR="009B407B">
        <w:t xml:space="preserve"> (approved on 10 February 2020), and was under consideration in the European Union (EU), as shown in </w:t>
      </w:r>
      <w:r w:rsidR="009B407B">
        <w:fldChar w:fldCharType="begin"/>
      </w:r>
      <w:r w:rsidR="009B407B">
        <w:instrText xml:space="preserve"> REF _Ref53597881 \h </w:instrText>
      </w:r>
      <w:r w:rsidR="009B407B">
        <w:fldChar w:fldCharType="separate"/>
      </w:r>
      <w:r w:rsidR="009B407B">
        <w:t xml:space="preserve">Table </w:t>
      </w:r>
      <w:r w:rsidR="009B407B">
        <w:rPr>
          <w:noProof/>
        </w:rPr>
        <w:t>1</w:t>
      </w:r>
      <w:r w:rsidR="009B407B">
        <w:fldChar w:fldCharType="end"/>
      </w:r>
      <w:r w:rsidR="009B407B">
        <w:t>.</w:t>
      </w:r>
    </w:p>
    <w:p w14:paraId="2BAEC328" w14:textId="2D6E76EB" w:rsidR="009B407B" w:rsidRDefault="009B407B" w:rsidP="003C65F0">
      <w:pPr>
        <w:pStyle w:val="TableTitle"/>
      </w:pPr>
      <w:bookmarkStart w:id="23" w:name="_Ref53597881"/>
      <w:r>
        <w:t xml:space="preserve">Table </w:t>
      </w:r>
      <w:fldSimple w:instr=" SEQ Table \* ARABIC ">
        <w:r>
          <w:rPr>
            <w:noProof/>
          </w:rPr>
          <w:t>1</w:t>
        </w:r>
      </w:fldSimple>
      <w:bookmarkEnd w:id="23"/>
      <w:r>
        <w:t>: International regulatory status of Rozlytrek as of March 2020</w:t>
      </w:r>
    </w:p>
    <w:tbl>
      <w:tblPr>
        <w:tblStyle w:val="TableTGAblue"/>
        <w:tblW w:w="0" w:type="auto"/>
        <w:tblLook w:val="04A0" w:firstRow="1" w:lastRow="0" w:firstColumn="1" w:lastColumn="0" w:noHBand="0" w:noVBand="1"/>
      </w:tblPr>
      <w:tblGrid>
        <w:gridCol w:w="1772"/>
        <w:gridCol w:w="1555"/>
        <w:gridCol w:w="1682"/>
        <w:gridCol w:w="3485"/>
      </w:tblGrid>
      <w:tr w:rsidR="00006FAB" w14:paraId="44CBD753" w14:textId="77777777" w:rsidTr="003C65F0">
        <w:trPr>
          <w:cnfStyle w:val="100000000000" w:firstRow="1" w:lastRow="0" w:firstColumn="0" w:lastColumn="0" w:oddVBand="0" w:evenVBand="0" w:oddHBand="0" w:evenHBand="0" w:firstRowFirstColumn="0" w:firstRowLastColumn="0" w:lastRowFirstColumn="0" w:lastRowLastColumn="0"/>
        </w:trPr>
        <w:tc>
          <w:tcPr>
            <w:tcW w:w="1802" w:type="dxa"/>
            <w:tcBorders>
              <w:top w:val="single" w:sz="4" w:space="0" w:color="auto"/>
              <w:left w:val="single" w:sz="4" w:space="0" w:color="auto"/>
              <w:bottom w:val="single" w:sz="4" w:space="0" w:color="auto"/>
              <w:right w:val="single" w:sz="4" w:space="0" w:color="auto"/>
            </w:tcBorders>
          </w:tcPr>
          <w:p w14:paraId="5C8D80AC" w14:textId="77777777" w:rsidR="00006FAB" w:rsidRDefault="00006FAB" w:rsidP="004E5DE3">
            <w:pPr>
              <w:ind w:left="0"/>
            </w:pPr>
            <w:r>
              <w:t>Region</w:t>
            </w:r>
          </w:p>
        </w:tc>
        <w:tc>
          <w:tcPr>
            <w:tcW w:w="1555" w:type="dxa"/>
            <w:tcBorders>
              <w:top w:val="single" w:sz="4" w:space="0" w:color="auto"/>
              <w:left w:val="single" w:sz="4" w:space="0" w:color="auto"/>
              <w:bottom w:val="single" w:sz="4" w:space="0" w:color="auto"/>
              <w:right w:val="single" w:sz="4" w:space="0" w:color="auto"/>
            </w:tcBorders>
          </w:tcPr>
          <w:p w14:paraId="3B8E38C0" w14:textId="77777777" w:rsidR="00006FAB" w:rsidRDefault="00006FAB" w:rsidP="004E5DE3">
            <w:pPr>
              <w:ind w:left="0"/>
            </w:pPr>
            <w:r>
              <w:t>Submission date</w:t>
            </w:r>
          </w:p>
        </w:tc>
        <w:tc>
          <w:tcPr>
            <w:tcW w:w="1458" w:type="dxa"/>
            <w:tcBorders>
              <w:top w:val="single" w:sz="4" w:space="0" w:color="auto"/>
              <w:left w:val="single" w:sz="4" w:space="0" w:color="auto"/>
              <w:bottom w:val="single" w:sz="4" w:space="0" w:color="auto"/>
              <w:right w:val="single" w:sz="4" w:space="0" w:color="auto"/>
            </w:tcBorders>
          </w:tcPr>
          <w:p w14:paraId="5A23F7AA" w14:textId="77777777" w:rsidR="00006FAB" w:rsidRDefault="00006FAB" w:rsidP="004E5DE3">
            <w:pPr>
              <w:ind w:left="0"/>
            </w:pPr>
            <w:r>
              <w:t>Status</w:t>
            </w:r>
          </w:p>
        </w:tc>
        <w:tc>
          <w:tcPr>
            <w:tcW w:w="3679" w:type="dxa"/>
            <w:tcBorders>
              <w:top w:val="single" w:sz="4" w:space="0" w:color="auto"/>
              <w:left w:val="single" w:sz="4" w:space="0" w:color="auto"/>
              <w:bottom w:val="single" w:sz="4" w:space="0" w:color="auto"/>
              <w:right w:val="single" w:sz="4" w:space="0" w:color="auto"/>
            </w:tcBorders>
          </w:tcPr>
          <w:p w14:paraId="30E10D66" w14:textId="77777777" w:rsidR="00006FAB" w:rsidRDefault="00006FAB" w:rsidP="004E5DE3">
            <w:pPr>
              <w:ind w:left="0"/>
            </w:pPr>
            <w:r>
              <w:t>Approved indications</w:t>
            </w:r>
          </w:p>
        </w:tc>
      </w:tr>
      <w:tr w:rsidR="00006FAB" w14:paraId="1DDAC2B8" w14:textId="77777777" w:rsidTr="003C65F0">
        <w:tc>
          <w:tcPr>
            <w:tcW w:w="1802" w:type="dxa"/>
            <w:tcBorders>
              <w:top w:val="single" w:sz="4" w:space="0" w:color="auto"/>
            </w:tcBorders>
          </w:tcPr>
          <w:p w14:paraId="4091C8ED" w14:textId="77777777" w:rsidR="00006FAB" w:rsidRDefault="008E6CDD" w:rsidP="004E5DE3">
            <w:pPr>
              <w:ind w:left="0"/>
            </w:pPr>
            <w:r>
              <w:t>EU</w:t>
            </w:r>
          </w:p>
          <w:p w14:paraId="7C1BF267" w14:textId="77777777" w:rsidR="00E648E1" w:rsidRDefault="00E648E1" w:rsidP="004E5DE3">
            <w:pPr>
              <w:ind w:left="0"/>
            </w:pPr>
            <w:r>
              <w:t>Centralised procedure.</w:t>
            </w:r>
          </w:p>
          <w:p w14:paraId="572F575F" w14:textId="77777777" w:rsidR="00E648E1" w:rsidRDefault="00E648E1" w:rsidP="004E5DE3">
            <w:pPr>
              <w:ind w:left="0"/>
            </w:pPr>
            <w:r>
              <w:t>Rapporteur: Italy</w:t>
            </w:r>
          </w:p>
          <w:p w14:paraId="5B1059C0" w14:textId="4E37BE63" w:rsidR="00E648E1" w:rsidRDefault="00E648E1" w:rsidP="004E5DE3">
            <w:pPr>
              <w:ind w:left="0"/>
            </w:pPr>
            <w:r>
              <w:lastRenderedPageBreak/>
              <w:t>Co-Rapporteur: Sweden</w:t>
            </w:r>
          </w:p>
        </w:tc>
        <w:tc>
          <w:tcPr>
            <w:tcW w:w="1555" w:type="dxa"/>
            <w:tcBorders>
              <w:top w:val="single" w:sz="4" w:space="0" w:color="auto"/>
            </w:tcBorders>
          </w:tcPr>
          <w:p w14:paraId="1D500959" w14:textId="77777777" w:rsidR="00006FAB" w:rsidRDefault="008E6CDD" w:rsidP="004E5DE3">
            <w:pPr>
              <w:ind w:left="0"/>
            </w:pPr>
            <w:r>
              <w:lastRenderedPageBreak/>
              <w:t>8 January 2019</w:t>
            </w:r>
          </w:p>
        </w:tc>
        <w:tc>
          <w:tcPr>
            <w:tcW w:w="1458" w:type="dxa"/>
            <w:tcBorders>
              <w:top w:val="single" w:sz="4" w:space="0" w:color="auto"/>
            </w:tcBorders>
          </w:tcPr>
          <w:p w14:paraId="228352B5" w14:textId="35D9239F" w:rsidR="00006FAB" w:rsidRDefault="00E648E1" w:rsidP="004E5DE3">
            <w:pPr>
              <w:ind w:left="0"/>
            </w:pPr>
            <w:r>
              <w:t>Under consideration</w:t>
            </w:r>
          </w:p>
        </w:tc>
        <w:tc>
          <w:tcPr>
            <w:tcW w:w="3679" w:type="dxa"/>
            <w:tcBorders>
              <w:top w:val="single" w:sz="4" w:space="0" w:color="auto"/>
            </w:tcBorders>
          </w:tcPr>
          <w:p w14:paraId="2308A626" w14:textId="5414C784" w:rsidR="00006FAB" w:rsidRDefault="00E648E1" w:rsidP="004E5DE3">
            <w:pPr>
              <w:ind w:left="0"/>
            </w:pPr>
            <w:r>
              <w:t>Under consideration</w:t>
            </w:r>
          </w:p>
        </w:tc>
      </w:tr>
      <w:tr w:rsidR="004E5DE3" w14:paraId="570415C3" w14:textId="77777777" w:rsidTr="003C65F0">
        <w:tc>
          <w:tcPr>
            <w:tcW w:w="1802" w:type="dxa"/>
          </w:tcPr>
          <w:p w14:paraId="337E3DAD" w14:textId="51B03E40" w:rsidR="004E5DE3" w:rsidRDefault="004E5DE3" w:rsidP="004E5DE3">
            <w:pPr>
              <w:ind w:left="0"/>
            </w:pPr>
            <w:r>
              <w:t>USA</w:t>
            </w:r>
          </w:p>
        </w:tc>
        <w:tc>
          <w:tcPr>
            <w:tcW w:w="1555" w:type="dxa"/>
          </w:tcPr>
          <w:p w14:paraId="0D10E833" w14:textId="71510180" w:rsidR="004E5DE3" w:rsidRDefault="004E5DE3" w:rsidP="004E5DE3">
            <w:pPr>
              <w:ind w:left="0"/>
            </w:pPr>
            <w:r>
              <w:t>18 December 2018</w:t>
            </w:r>
          </w:p>
        </w:tc>
        <w:tc>
          <w:tcPr>
            <w:tcW w:w="1458" w:type="dxa"/>
          </w:tcPr>
          <w:p w14:paraId="5CA8918A" w14:textId="0F1DE658" w:rsidR="004E5DE3" w:rsidRDefault="000D792D" w:rsidP="004E5DE3">
            <w:pPr>
              <w:ind w:left="0"/>
            </w:pPr>
            <w:r>
              <w:t>Approved</w:t>
            </w:r>
            <w:r w:rsidR="008D5E53">
              <w:t xml:space="preserve"> o</w:t>
            </w:r>
            <w:r>
              <w:t>n 1</w:t>
            </w:r>
            <w:r w:rsidR="00B953BD">
              <w:t>5</w:t>
            </w:r>
            <w:r>
              <w:t xml:space="preserve"> August 2019</w:t>
            </w:r>
          </w:p>
        </w:tc>
        <w:tc>
          <w:tcPr>
            <w:tcW w:w="3679" w:type="dxa"/>
          </w:tcPr>
          <w:p w14:paraId="0B4F0D45" w14:textId="2EB62728" w:rsidR="002A24E7" w:rsidRPr="008536E4" w:rsidRDefault="008D5E53" w:rsidP="002A24E7">
            <w:pPr>
              <w:rPr>
                <w:i/>
              </w:rPr>
            </w:pPr>
            <w:r w:rsidRPr="008536E4">
              <w:rPr>
                <w:i/>
              </w:rPr>
              <w:t>Rozlytrek</w:t>
            </w:r>
            <w:r w:rsidR="002A24E7" w:rsidRPr="008536E4">
              <w:rPr>
                <w:i/>
              </w:rPr>
              <w:t xml:space="preserve"> is a kinase inhibitor indicated for the treatment of:</w:t>
            </w:r>
          </w:p>
          <w:p w14:paraId="4FDA0F54" w14:textId="19833AA9" w:rsidR="002A24E7" w:rsidRPr="008536E4" w:rsidRDefault="002A24E7" w:rsidP="002A24E7">
            <w:pPr>
              <w:pStyle w:val="ListBullet"/>
              <w:rPr>
                <w:i/>
              </w:rPr>
            </w:pPr>
            <w:r w:rsidRPr="008536E4">
              <w:rPr>
                <w:i/>
              </w:rPr>
              <w:t xml:space="preserve">Adult patients with metastatic non-small cell lung cancer (NSCLC) whose </w:t>
            </w:r>
            <w:proofErr w:type="spellStart"/>
            <w:r w:rsidRPr="008536E4">
              <w:rPr>
                <w:i/>
              </w:rPr>
              <w:t>tumors</w:t>
            </w:r>
            <w:proofErr w:type="spellEnd"/>
            <w:r w:rsidRPr="008536E4">
              <w:rPr>
                <w:i/>
              </w:rPr>
              <w:t xml:space="preserve"> are ROS1-positive.</w:t>
            </w:r>
          </w:p>
          <w:p w14:paraId="2A105DE5" w14:textId="7C0BF2BD" w:rsidR="002A24E7" w:rsidRPr="008536E4" w:rsidRDefault="002A24E7" w:rsidP="002A24E7">
            <w:pPr>
              <w:rPr>
                <w:i/>
              </w:rPr>
            </w:pPr>
            <w:r w:rsidRPr="008536E4">
              <w:rPr>
                <w:i/>
              </w:rPr>
              <w:t xml:space="preserve">Adult and </w:t>
            </w:r>
            <w:proofErr w:type="spellStart"/>
            <w:r w:rsidRPr="008536E4">
              <w:rPr>
                <w:i/>
              </w:rPr>
              <w:t>pediatric</w:t>
            </w:r>
            <w:proofErr w:type="spellEnd"/>
            <w:r w:rsidRPr="008536E4">
              <w:rPr>
                <w:i/>
              </w:rPr>
              <w:t xml:space="preserve"> patients 12 years of age and older with solid </w:t>
            </w:r>
            <w:proofErr w:type="spellStart"/>
            <w:r w:rsidRPr="008536E4">
              <w:rPr>
                <w:i/>
              </w:rPr>
              <w:t>tumors</w:t>
            </w:r>
            <w:proofErr w:type="spellEnd"/>
            <w:r w:rsidRPr="008536E4">
              <w:rPr>
                <w:i/>
              </w:rPr>
              <w:t xml:space="preserve"> that:</w:t>
            </w:r>
          </w:p>
          <w:p w14:paraId="69CB009A" w14:textId="77777777" w:rsidR="002A24E7" w:rsidRPr="008536E4" w:rsidRDefault="002A24E7" w:rsidP="002A24E7">
            <w:pPr>
              <w:pStyle w:val="ListBullet"/>
              <w:rPr>
                <w:i/>
              </w:rPr>
            </w:pPr>
            <w:r w:rsidRPr="008536E4">
              <w:rPr>
                <w:i/>
              </w:rPr>
              <w:t>have a neurotrophic tyrosine receptor kinase (NTRK) gene fusion without a known acquired resistance mutation,</w:t>
            </w:r>
          </w:p>
          <w:p w14:paraId="140CBED7" w14:textId="77777777" w:rsidR="002A24E7" w:rsidRPr="008536E4" w:rsidRDefault="002A24E7" w:rsidP="002A24E7">
            <w:pPr>
              <w:pStyle w:val="ListBullet"/>
              <w:rPr>
                <w:i/>
              </w:rPr>
            </w:pPr>
            <w:r w:rsidRPr="008536E4">
              <w:rPr>
                <w:i/>
              </w:rPr>
              <w:t>are metastatic or where surgical resection is likely to result in severe morbidity, and</w:t>
            </w:r>
          </w:p>
          <w:p w14:paraId="182B40DE" w14:textId="5CE97BB4" w:rsidR="002A24E7" w:rsidRPr="008536E4" w:rsidRDefault="002A24E7" w:rsidP="002A24E7">
            <w:pPr>
              <w:pStyle w:val="ListBullet"/>
              <w:rPr>
                <w:i/>
              </w:rPr>
            </w:pPr>
            <w:r w:rsidRPr="008536E4">
              <w:rPr>
                <w:i/>
              </w:rPr>
              <w:t>have progressed following treatment or have no satisfactory alternative therapy.</w:t>
            </w:r>
          </w:p>
          <w:p w14:paraId="49E450FF" w14:textId="258B26B9" w:rsidR="004E5DE3" w:rsidRPr="008536E4" w:rsidRDefault="002A24E7" w:rsidP="002A24E7">
            <w:pPr>
              <w:rPr>
                <w:i/>
              </w:rPr>
            </w:pPr>
            <w:r w:rsidRPr="008536E4">
              <w:rPr>
                <w:i/>
              </w:rPr>
              <w:t xml:space="preserve">This indication is approved under accelerated approval based on </w:t>
            </w:r>
            <w:proofErr w:type="spellStart"/>
            <w:r w:rsidRPr="008536E4">
              <w:rPr>
                <w:i/>
              </w:rPr>
              <w:t>tumor</w:t>
            </w:r>
            <w:proofErr w:type="spellEnd"/>
            <w:r w:rsidRPr="008536E4">
              <w:rPr>
                <w:i/>
              </w:rPr>
              <w:t xml:space="preserve"> response rate and durability of response. Continued approval for this indication may be contingent upon verification and description of clinical benefit in the confirmatory trials.</w:t>
            </w:r>
          </w:p>
        </w:tc>
      </w:tr>
      <w:tr w:rsidR="00B953BD" w14:paraId="2A0B9B4B" w14:textId="77777777" w:rsidTr="003C65F0">
        <w:tc>
          <w:tcPr>
            <w:tcW w:w="1802" w:type="dxa"/>
          </w:tcPr>
          <w:p w14:paraId="2A6EEED7" w14:textId="75D89C4A" w:rsidR="00B953BD" w:rsidRDefault="00B953BD" w:rsidP="004E5DE3">
            <w:r>
              <w:t>Japan</w:t>
            </w:r>
          </w:p>
        </w:tc>
        <w:tc>
          <w:tcPr>
            <w:tcW w:w="1555" w:type="dxa"/>
          </w:tcPr>
          <w:p w14:paraId="7CCD6D57" w14:textId="46B25D3C" w:rsidR="00B953BD" w:rsidRDefault="00B953BD" w:rsidP="004E5DE3">
            <w:r>
              <w:t>18 December 2018</w:t>
            </w:r>
          </w:p>
        </w:tc>
        <w:tc>
          <w:tcPr>
            <w:tcW w:w="1458" w:type="dxa"/>
          </w:tcPr>
          <w:p w14:paraId="6FE8AE7E" w14:textId="477B31FE" w:rsidR="00B953BD" w:rsidRDefault="00B953BD" w:rsidP="004E5DE3">
            <w:r>
              <w:t>Approved on 18 June 2019</w:t>
            </w:r>
          </w:p>
        </w:tc>
        <w:tc>
          <w:tcPr>
            <w:tcW w:w="3679" w:type="dxa"/>
          </w:tcPr>
          <w:p w14:paraId="4C7B1CC5" w14:textId="2753FD2D" w:rsidR="00B953BD" w:rsidRPr="008536E4" w:rsidRDefault="00B953BD" w:rsidP="004E5DE3">
            <w:pPr>
              <w:rPr>
                <w:i/>
              </w:rPr>
            </w:pPr>
            <w:r w:rsidRPr="003B5D36">
              <w:rPr>
                <w:i/>
              </w:rPr>
              <w:t xml:space="preserve">Neurotrophic tyrosine receptor kinase (NTRK) fusion–positive advanced or recurrent solid </w:t>
            </w:r>
            <w:proofErr w:type="spellStart"/>
            <w:r w:rsidRPr="003B5D36">
              <w:rPr>
                <w:i/>
              </w:rPr>
              <w:t>tumors</w:t>
            </w:r>
            <w:proofErr w:type="spellEnd"/>
          </w:p>
        </w:tc>
      </w:tr>
      <w:tr w:rsidR="00337195" w14:paraId="691A0C4C" w14:textId="77777777" w:rsidTr="003C65F0">
        <w:tc>
          <w:tcPr>
            <w:tcW w:w="1802" w:type="dxa"/>
          </w:tcPr>
          <w:p w14:paraId="6E95982C" w14:textId="2E238C5B" w:rsidR="00337195" w:rsidRDefault="00337195" w:rsidP="004E5DE3">
            <w:pPr>
              <w:ind w:left="0"/>
            </w:pPr>
            <w:r>
              <w:t>Japan</w:t>
            </w:r>
          </w:p>
        </w:tc>
        <w:tc>
          <w:tcPr>
            <w:tcW w:w="1555" w:type="dxa"/>
          </w:tcPr>
          <w:p w14:paraId="7BFBC2EC" w14:textId="117F4C56" w:rsidR="00337195" w:rsidRDefault="00337195" w:rsidP="004E5DE3">
            <w:pPr>
              <w:ind w:left="0"/>
            </w:pPr>
            <w:r>
              <w:t>15 March 2019</w:t>
            </w:r>
          </w:p>
        </w:tc>
        <w:tc>
          <w:tcPr>
            <w:tcW w:w="1458" w:type="dxa"/>
          </w:tcPr>
          <w:p w14:paraId="0471CA27" w14:textId="62300E2B" w:rsidR="00337195" w:rsidRDefault="000D792D" w:rsidP="004E5DE3">
            <w:pPr>
              <w:ind w:left="0"/>
            </w:pPr>
            <w:r>
              <w:t xml:space="preserve">Approved on </w:t>
            </w:r>
            <w:r w:rsidR="00B953BD">
              <w:t>21 February 2020</w:t>
            </w:r>
          </w:p>
        </w:tc>
        <w:tc>
          <w:tcPr>
            <w:tcW w:w="3679" w:type="dxa"/>
          </w:tcPr>
          <w:p w14:paraId="1C64FBBC" w14:textId="6CEA28B0" w:rsidR="00B953BD" w:rsidRPr="008536E4" w:rsidRDefault="00B953BD" w:rsidP="004E5DE3">
            <w:pPr>
              <w:ind w:left="0"/>
              <w:rPr>
                <w:i/>
              </w:rPr>
            </w:pPr>
            <w:r w:rsidRPr="00B41FB2">
              <w:rPr>
                <w:rFonts w:cstheme="minorHAnsi"/>
                <w:i/>
                <w:iCs/>
                <w:sz w:val="20"/>
                <w:szCs w:val="20"/>
                <w:lang w:val="en-US"/>
              </w:rPr>
              <w:t>ROS1</w:t>
            </w:r>
            <w:r w:rsidRPr="00B41FB2">
              <w:rPr>
                <w:rFonts w:cstheme="minorHAnsi"/>
                <w:i/>
                <w:sz w:val="20"/>
                <w:szCs w:val="20"/>
                <w:lang w:val="en-US"/>
              </w:rPr>
              <w:t xml:space="preserve"> fusion–positive </w:t>
            </w:r>
            <w:proofErr w:type="spellStart"/>
            <w:r w:rsidRPr="00B41FB2">
              <w:rPr>
                <w:rFonts w:cstheme="minorHAnsi"/>
                <w:i/>
                <w:sz w:val="20"/>
                <w:szCs w:val="20"/>
                <w:lang w:val="en-US"/>
              </w:rPr>
              <w:t>unresectable</w:t>
            </w:r>
            <w:proofErr w:type="spellEnd"/>
            <w:r w:rsidRPr="00B41FB2">
              <w:rPr>
                <w:rFonts w:cstheme="minorHAnsi"/>
                <w:i/>
                <w:sz w:val="20"/>
                <w:szCs w:val="20"/>
                <w:lang w:val="en-US"/>
              </w:rPr>
              <w:t xml:space="preserve"> advanced or recurrent non–small cell lung cancer</w:t>
            </w:r>
          </w:p>
        </w:tc>
      </w:tr>
      <w:tr w:rsidR="00337195" w14:paraId="0AE869EA" w14:textId="77777777" w:rsidTr="003C65F0">
        <w:tc>
          <w:tcPr>
            <w:tcW w:w="1802" w:type="dxa"/>
          </w:tcPr>
          <w:p w14:paraId="637217D7" w14:textId="77777777" w:rsidR="00337195" w:rsidRDefault="00337195" w:rsidP="004E5DE3">
            <w:pPr>
              <w:ind w:left="0"/>
            </w:pPr>
            <w:r>
              <w:t>Canada</w:t>
            </w:r>
          </w:p>
        </w:tc>
        <w:tc>
          <w:tcPr>
            <w:tcW w:w="1555" w:type="dxa"/>
          </w:tcPr>
          <w:p w14:paraId="2B0971F7" w14:textId="1195A71F" w:rsidR="00337195" w:rsidRDefault="00E648E1" w:rsidP="004E5DE3">
            <w:pPr>
              <w:ind w:left="0"/>
            </w:pPr>
            <w:r>
              <w:t>7 May 2019</w:t>
            </w:r>
          </w:p>
        </w:tc>
        <w:tc>
          <w:tcPr>
            <w:tcW w:w="1458" w:type="dxa"/>
          </w:tcPr>
          <w:p w14:paraId="6F86EC9E" w14:textId="2A4BBFA7" w:rsidR="00337195" w:rsidRDefault="004E5DE3" w:rsidP="004E5DE3">
            <w:pPr>
              <w:ind w:left="0"/>
            </w:pPr>
            <w:r>
              <w:t>Approved</w:t>
            </w:r>
            <w:r w:rsidR="000D792D">
              <w:t xml:space="preserve"> on</w:t>
            </w:r>
            <w:r>
              <w:t xml:space="preserve"> </w:t>
            </w:r>
            <w:r w:rsidR="00E648E1">
              <w:t>10 February 2020</w:t>
            </w:r>
            <w:r>
              <w:t xml:space="preserve"> (under the </w:t>
            </w:r>
            <w:r w:rsidRPr="004E5DE3">
              <w:t xml:space="preserve">Notice of </w:t>
            </w:r>
            <w:r w:rsidRPr="004E5DE3">
              <w:lastRenderedPageBreak/>
              <w:t>Compliance with Conditions (NOC/c) Guidance</w:t>
            </w:r>
            <w:r>
              <w:t>)</w:t>
            </w:r>
          </w:p>
          <w:p w14:paraId="2465E8EC" w14:textId="0A722BD2" w:rsidR="00DD3B76" w:rsidRPr="00006FAB" w:rsidRDefault="00DD3B76" w:rsidP="004E5DE3">
            <w:pPr>
              <w:ind w:left="0"/>
            </w:pPr>
            <w:r>
              <w:t xml:space="preserve">ROS-1 submission </w:t>
            </w:r>
            <w:r w:rsidR="002A463D">
              <w:t>was</w:t>
            </w:r>
            <w:r>
              <w:t xml:space="preserve"> under consideration</w:t>
            </w:r>
          </w:p>
        </w:tc>
        <w:tc>
          <w:tcPr>
            <w:tcW w:w="3679" w:type="dxa"/>
          </w:tcPr>
          <w:p w14:paraId="74257283" w14:textId="77777777" w:rsidR="00337195" w:rsidRPr="008536E4" w:rsidRDefault="00E648E1" w:rsidP="004E5DE3">
            <w:pPr>
              <w:ind w:left="0"/>
              <w:rPr>
                <w:i/>
              </w:rPr>
            </w:pPr>
            <w:r w:rsidRPr="008536E4">
              <w:rPr>
                <w:i/>
              </w:rPr>
              <w:lastRenderedPageBreak/>
              <w:t xml:space="preserve">Rozlytrek (entrectinib) is indicated for the treatment of adult patients with </w:t>
            </w:r>
            <w:proofErr w:type="spellStart"/>
            <w:r w:rsidRPr="008536E4">
              <w:rPr>
                <w:i/>
              </w:rPr>
              <w:t>unresectable</w:t>
            </w:r>
            <w:proofErr w:type="spellEnd"/>
            <w:r w:rsidRPr="008536E4">
              <w:rPr>
                <w:i/>
              </w:rPr>
              <w:t xml:space="preserve"> locally advanced or metastatic </w:t>
            </w:r>
            <w:proofErr w:type="spellStart"/>
            <w:r w:rsidRPr="008536E4">
              <w:rPr>
                <w:i/>
              </w:rPr>
              <w:lastRenderedPageBreak/>
              <w:t>extracranial</w:t>
            </w:r>
            <w:proofErr w:type="spellEnd"/>
            <w:r w:rsidRPr="008536E4">
              <w:rPr>
                <w:i/>
              </w:rPr>
              <w:t xml:space="preserve"> solid tumours, including brain metastases, that have a neurotrophic tyrosine receptor kinase (NTRK) gene fusion without a known acquired resistance mutation, and with no satisfactory treatment options.</w:t>
            </w:r>
          </w:p>
          <w:p w14:paraId="74A5778E" w14:textId="07A7CDC3" w:rsidR="00DD3B76" w:rsidRPr="003C65F0" w:rsidRDefault="00DD3B76" w:rsidP="004E5DE3">
            <w:pPr>
              <w:ind w:left="0"/>
            </w:pPr>
            <w:r w:rsidRPr="003C65F0">
              <w:t xml:space="preserve">ROS-1 indications </w:t>
            </w:r>
            <w:r w:rsidR="002A463D">
              <w:t>was</w:t>
            </w:r>
            <w:r w:rsidRPr="003C65F0">
              <w:t xml:space="preserve"> under consideration</w:t>
            </w:r>
          </w:p>
        </w:tc>
      </w:tr>
    </w:tbl>
    <w:p w14:paraId="162A4CBC" w14:textId="77777777" w:rsidR="008E7846" w:rsidRDefault="008E7846" w:rsidP="00940A89">
      <w:pPr>
        <w:pStyle w:val="Heading3"/>
      </w:pPr>
      <w:bookmarkStart w:id="24" w:name="_Toc52891252"/>
      <w:r>
        <w:lastRenderedPageBreak/>
        <w:t>Product Information</w:t>
      </w:r>
      <w:bookmarkEnd w:id="21"/>
      <w:bookmarkEnd w:id="22"/>
      <w:bookmarkEnd w:id="24"/>
    </w:p>
    <w:p w14:paraId="6FCE7E05" w14:textId="345DC9BE" w:rsidR="00940A89" w:rsidRDefault="006136D7" w:rsidP="00940A89">
      <w:bookmarkStart w:id="25" w:name="_Toc247691506"/>
      <w:bookmarkStart w:id="26"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5FC568B8" w14:textId="77777777" w:rsidR="00500337" w:rsidRDefault="00500337" w:rsidP="00500337">
      <w:pPr>
        <w:pStyle w:val="Heading2"/>
      </w:pPr>
      <w:bookmarkStart w:id="27" w:name="_Toc504480011"/>
      <w:bookmarkStart w:id="28" w:name="_Toc52891253"/>
      <w:r>
        <w:t>II. Registration timeline</w:t>
      </w:r>
      <w:bookmarkEnd w:id="27"/>
      <w:bookmarkEnd w:id="28"/>
    </w:p>
    <w:p w14:paraId="050BBC8E" w14:textId="180BD996" w:rsidR="00500337" w:rsidRDefault="00500337" w:rsidP="006442F3">
      <w:r>
        <w:t>The following table captures the key steps and dates for this application and which are detailed and discussed in this AusPAR.</w:t>
      </w:r>
    </w:p>
    <w:p w14:paraId="19A709CA" w14:textId="6DFBD410" w:rsidR="006442F3" w:rsidRPr="00377BD4" w:rsidRDefault="006442F3" w:rsidP="006442F3">
      <w:pPr>
        <w:pStyle w:val="TableTitle"/>
      </w:pPr>
      <w:bookmarkStart w:id="29" w:name="_Ref51226122"/>
      <w:r>
        <w:t xml:space="preserve">Table </w:t>
      </w:r>
      <w:fldSimple w:instr=" SEQ Table \* ARABIC ">
        <w:r w:rsidR="009B407B">
          <w:rPr>
            <w:noProof/>
          </w:rPr>
          <w:t>2</w:t>
        </w:r>
      </w:fldSimple>
      <w:bookmarkEnd w:id="29"/>
      <w:r w:rsidR="008D5E53">
        <w:rPr>
          <w:noProof/>
        </w:rPr>
        <w:t>:</w:t>
      </w:r>
      <w:r>
        <w:t xml:space="preserve"> Timeline for Submission PM-2019-01808-1-4</w:t>
      </w:r>
    </w:p>
    <w:tbl>
      <w:tblPr>
        <w:tblStyle w:val="TableTGAblue"/>
        <w:tblW w:w="0" w:type="auto"/>
        <w:tblLook w:val="04A0" w:firstRow="1" w:lastRow="0" w:firstColumn="1" w:lastColumn="0" w:noHBand="0" w:noVBand="1"/>
      </w:tblPr>
      <w:tblGrid>
        <w:gridCol w:w="6232"/>
        <w:gridCol w:w="2262"/>
      </w:tblGrid>
      <w:tr w:rsidR="00500337" w14:paraId="5DDA8337" w14:textId="77777777" w:rsidTr="00313A30">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2E4D426B" w14:textId="77777777" w:rsidR="00500337" w:rsidRDefault="00500337" w:rsidP="00500337">
            <w:pPr>
              <w:ind w:left="0" w:right="0"/>
            </w:pPr>
            <w:r>
              <w:t>Description</w:t>
            </w:r>
          </w:p>
        </w:tc>
        <w:tc>
          <w:tcPr>
            <w:tcW w:w="2262" w:type="dxa"/>
            <w:tcBorders>
              <w:top w:val="single" w:sz="4" w:space="0" w:color="auto"/>
              <w:left w:val="single" w:sz="4" w:space="0" w:color="auto"/>
              <w:bottom w:val="single" w:sz="4" w:space="0" w:color="auto"/>
              <w:right w:val="single" w:sz="4" w:space="0" w:color="auto"/>
            </w:tcBorders>
          </w:tcPr>
          <w:p w14:paraId="64F9CA80" w14:textId="77777777" w:rsidR="00500337" w:rsidRDefault="00500337" w:rsidP="00500337">
            <w:pPr>
              <w:ind w:left="0" w:right="0"/>
            </w:pPr>
            <w:r>
              <w:t>Date</w:t>
            </w:r>
          </w:p>
        </w:tc>
      </w:tr>
      <w:tr w:rsidR="00500337" w14:paraId="4F324A9E" w14:textId="77777777" w:rsidTr="00313A30">
        <w:tc>
          <w:tcPr>
            <w:tcW w:w="6232" w:type="dxa"/>
            <w:tcBorders>
              <w:top w:val="single" w:sz="4" w:space="0" w:color="auto"/>
            </w:tcBorders>
          </w:tcPr>
          <w:p w14:paraId="22E8B258" w14:textId="77777777" w:rsidR="00500337" w:rsidRDefault="00500337" w:rsidP="00500337">
            <w:pPr>
              <w:ind w:left="0" w:right="0"/>
            </w:pPr>
            <w:r>
              <w:t>Submission dossier accepted and first round evaluation commenced</w:t>
            </w:r>
          </w:p>
        </w:tc>
        <w:tc>
          <w:tcPr>
            <w:tcW w:w="2262" w:type="dxa"/>
            <w:tcBorders>
              <w:top w:val="single" w:sz="4" w:space="0" w:color="auto"/>
            </w:tcBorders>
          </w:tcPr>
          <w:p w14:paraId="540E99E2" w14:textId="77777777" w:rsidR="00500337" w:rsidRDefault="004A71D8" w:rsidP="00500337">
            <w:pPr>
              <w:ind w:left="0" w:right="0"/>
            </w:pPr>
            <w:r>
              <w:t>1 July 2019</w:t>
            </w:r>
          </w:p>
        </w:tc>
      </w:tr>
      <w:tr w:rsidR="00500337" w14:paraId="7EAA4E05" w14:textId="77777777" w:rsidTr="00313A30">
        <w:tc>
          <w:tcPr>
            <w:tcW w:w="6232" w:type="dxa"/>
          </w:tcPr>
          <w:p w14:paraId="57656F3B" w14:textId="77777777" w:rsidR="00500337" w:rsidRDefault="00500337" w:rsidP="00500337">
            <w:pPr>
              <w:ind w:left="0" w:right="0"/>
            </w:pPr>
            <w:r>
              <w:t>First round evaluation completed</w:t>
            </w:r>
          </w:p>
        </w:tc>
        <w:tc>
          <w:tcPr>
            <w:tcW w:w="2262" w:type="dxa"/>
          </w:tcPr>
          <w:p w14:paraId="6969107C" w14:textId="77777777" w:rsidR="00500337" w:rsidRDefault="004A71D8" w:rsidP="00500337">
            <w:pPr>
              <w:ind w:left="0" w:right="0"/>
            </w:pPr>
            <w:r>
              <w:t>17 March 2020</w:t>
            </w:r>
          </w:p>
        </w:tc>
      </w:tr>
      <w:tr w:rsidR="00500337" w14:paraId="63F216FE" w14:textId="77777777" w:rsidTr="00313A30">
        <w:tc>
          <w:tcPr>
            <w:tcW w:w="6232" w:type="dxa"/>
          </w:tcPr>
          <w:p w14:paraId="66800203" w14:textId="77777777" w:rsidR="00500337" w:rsidRDefault="00500337" w:rsidP="00500337">
            <w:pPr>
              <w:ind w:left="0" w:right="0"/>
            </w:pPr>
            <w:r>
              <w:t>Sponsor provides responses on questions raised in first round evaluation</w:t>
            </w:r>
          </w:p>
        </w:tc>
        <w:tc>
          <w:tcPr>
            <w:tcW w:w="2262" w:type="dxa"/>
          </w:tcPr>
          <w:p w14:paraId="57DA1204" w14:textId="77777777" w:rsidR="00500337" w:rsidRDefault="004A71D8" w:rsidP="00500337">
            <w:pPr>
              <w:ind w:left="0" w:right="0"/>
            </w:pPr>
            <w:r>
              <w:t>17 April 2020</w:t>
            </w:r>
          </w:p>
        </w:tc>
      </w:tr>
      <w:tr w:rsidR="00500337" w14:paraId="0BDA3B9E" w14:textId="77777777" w:rsidTr="00313A30">
        <w:tc>
          <w:tcPr>
            <w:tcW w:w="6232" w:type="dxa"/>
          </w:tcPr>
          <w:p w14:paraId="5968EB8F" w14:textId="77777777" w:rsidR="00500337" w:rsidRDefault="00500337" w:rsidP="00500337">
            <w:pPr>
              <w:ind w:left="0" w:right="0"/>
            </w:pPr>
            <w:r>
              <w:t>Second round evaluation completed</w:t>
            </w:r>
          </w:p>
        </w:tc>
        <w:tc>
          <w:tcPr>
            <w:tcW w:w="2262" w:type="dxa"/>
          </w:tcPr>
          <w:p w14:paraId="2921AC42" w14:textId="77777777" w:rsidR="00500337" w:rsidRDefault="004A71D8" w:rsidP="00500337">
            <w:pPr>
              <w:ind w:left="0" w:right="0"/>
            </w:pPr>
            <w:r>
              <w:t>14 May 2020</w:t>
            </w:r>
          </w:p>
        </w:tc>
      </w:tr>
      <w:tr w:rsidR="00500337" w14:paraId="5106298C" w14:textId="77777777" w:rsidTr="00313A30">
        <w:tc>
          <w:tcPr>
            <w:tcW w:w="6232" w:type="dxa"/>
          </w:tcPr>
          <w:p w14:paraId="4E2DD57E" w14:textId="2BBC5602" w:rsidR="00500337" w:rsidRDefault="00500337" w:rsidP="008F2283">
            <w:pPr>
              <w:ind w:left="0" w:right="0"/>
            </w:pPr>
            <w:r>
              <w:t xml:space="preserve">Delegate’s </w:t>
            </w:r>
            <w:r w:rsidR="008F2283">
              <w:t>Overall benefit-risk assessment</w:t>
            </w:r>
          </w:p>
        </w:tc>
        <w:tc>
          <w:tcPr>
            <w:tcW w:w="2262" w:type="dxa"/>
          </w:tcPr>
          <w:p w14:paraId="4F642C59" w14:textId="14427288" w:rsidR="00500337" w:rsidRDefault="007772AC" w:rsidP="00500337">
            <w:pPr>
              <w:ind w:left="0" w:right="0"/>
            </w:pPr>
            <w:r>
              <w:t>3 March 2020</w:t>
            </w:r>
          </w:p>
        </w:tc>
      </w:tr>
      <w:tr w:rsidR="00500337" w14:paraId="42A38183" w14:textId="77777777" w:rsidTr="00313A30">
        <w:tc>
          <w:tcPr>
            <w:tcW w:w="6232" w:type="dxa"/>
          </w:tcPr>
          <w:p w14:paraId="7474CA2E" w14:textId="77777777" w:rsidR="00500337" w:rsidRDefault="00500337" w:rsidP="00500337">
            <w:pPr>
              <w:ind w:left="0" w:right="0"/>
            </w:pPr>
            <w:r>
              <w:t>Sponsor’s pre-Advisory Committee response</w:t>
            </w:r>
          </w:p>
        </w:tc>
        <w:tc>
          <w:tcPr>
            <w:tcW w:w="2262" w:type="dxa"/>
          </w:tcPr>
          <w:p w14:paraId="3F7D3D3F" w14:textId="77777777" w:rsidR="00500337" w:rsidRDefault="004A71D8" w:rsidP="00500337">
            <w:pPr>
              <w:ind w:left="0" w:right="0"/>
            </w:pPr>
            <w:r>
              <w:t>Not applicable</w:t>
            </w:r>
          </w:p>
        </w:tc>
      </w:tr>
      <w:tr w:rsidR="00500337" w14:paraId="4EEF738B" w14:textId="77777777" w:rsidTr="00313A30">
        <w:tc>
          <w:tcPr>
            <w:tcW w:w="6232" w:type="dxa"/>
          </w:tcPr>
          <w:p w14:paraId="15AC6073" w14:textId="77777777" w:rsidR="00500337" w:rsidRDefault="00500337" w:rsidP="00500337">
            <w:pPr>
              <w:ind w:left="0" w:right="0"/>
            </w:pPr>
            <w:r>
              <w:t>Advisory Committee meeting</w:t>
            </w:r>
          </w:p>
        </w:tc>
        <w:tc>
          <w:tcPr>
            <w:tcW w:w="2262" w:type="dxa"/>
          </w:tcPr>
          <w:p w14:paraId="10FCD7CC" w14:textId="77777777" w:rsidR="00500337" w:rsidRDefault="004A71D8" w:rsidP="00500337">
            <w:pPr>
              <w:ind w:left="0" w:right="0"/>
            </w:pPr>
            <w:r>
              <w:t>Not applicable</w:t>
            </w:r>
          </w:p>
        </w:tc>
      </w:tr>
      <w:tr w:rsidR="00500337" w14:paraId="4A5C91D4" w14:textId="77777777" w:rsidTr="00313A30">
        <w:tc>
          <w:tcPr>
            <w:tcW w:w="6232" w:type="dxa"/>
          </w:tcPr>
          <w:p w14:paraId="53306B72" w14:textId="77777777" w:rsidR="00500337" w:rsidRDefault="00500337" w:rsidP="00500337">
            <w:pPr>
              <w:ind w:left="0" w:right="0"/>
            </w:pPr>
            <w:r>
              <w:t>Registration decision (Outcome)</w:t>
            </w:r>
          </w:p>
        </w:tc>
        <w:tc>
          <w:tcPr>
            <w:tcW w:w="2262" w:type="dxa"/>
          </w:tcPr>
          <w:p w14:paraId="0396C6FD" w14:textId="05A19548" w:rsidR="00500337" w:rsidRDefault="003B4018" w:rsidP="00500337">
            <w:pPr>
              <w:ind w:left="0" w:right="0"/>
            </w:pPr>
            <w:r>
              <w:t>14</w:t>
            </w:r>
            <w:r w:rsidR="004A71D8">
              <w:t xml:space="preserve"> May 2020</w:t>
            </w:r>
          </w:p>
        </w:tc>
      </w:tr>
      <w:tr w:rsidR="00500337" w14:paraId="391D3DF9" w14:textId="77777777" w:rsidTr="00313A30">
        <w:tc>
          <w:tcPr>
            <w:tcW w:w="6232" w:type="dxa"/>
          </w:tcPr>
          <w:p w14:paraId="5C535B83" w14:textId="77777777" w:rsidR="00500337" w:rsidRDefault="00500337" w:rsidP="00500337">
            <w:pPr>
              <w:ind w:left="0" w:right="0"/>
            </w:pPr>
            <w:r>
              <w:t xml:space="preserve">Completion of administrative activities and registration on </w:t>
            </w:r>
            <w:r w:rsidR="00006FAB">
              <w:t xml:space="preserve">the </w:t>
            </w:r>
            <w:r>
              <w:t>ARTG</w:t>
            </w:r>
          </w:p>
        </w:tc>
        <w:tc>
          <w:tcPr>
            <w:tcW w:w="2262" w:type="dxa"/>
          </w:tcPr>
          <w:p w14:paraId="04EAA735" w14:textId="77777777" w:rsidR="00500337" w:rsidRDefault="00E104B5" w:rsidP="00500337">
            <w:pPr>
              <w:ind w:left="0" w:right="0"/>
            </w:pPr>
            <w:r>
              <w:t>15 May 2020</w:t>
            </w:r>
          </w:p>
        </w:tc>
      </w:tr>
      <w:tr w:rsidR="00500337" w14:paraId="4784A232" w14:textId="77777777" w:rsidTr="00313A30">
        <w:tc>
          <w:tcPr>
            <w:tcW w:w="6232" w:type="dxa"/>
          </w:tcPr>
          <w:p w14:paraId="31DF4942" w14:textId="77777777" w:rsidR="00500337" w:rsidRDefault="00500337" w:rsidP="00500337">
            <w:pPr>
              <w:ind w:left="0" w:right="0"/>
            </w:pPr>
            <w:r>
              <w:t>Number of working days from submission dossier acceptance to registration decision*</w:t>
            </w:r>
          </w:p>
        </w:tc>
        <w:tc>
          <w:tcPr>
            <w:tcW w:w="2262" w:type="dxa"/>
          </w:tcPr>
          <w:p w14:paraId="5E0A2D9C" w14:textId="77777777" w:rsidR="00500337" w:rsidRDefault="00E104B5" w:rsidP="00500337">
            <w:pPr>
              <w:ind w:left="0" w:right="0"/>
            </w:pPr>
            <w:r>
              <w:t>196</w:t>
            </w:r>
          </w:p>
        </w:tc>
      </w:tr>
    </w:tbl>
    <w:p w14:paraId="464F40EA" w14:textId="3DACF37B"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68938D0E" w14:textId="7AEB2014" w:rsidR="008F2283" w:rsidRPr="00425607" w:rsidRDefault="008F2283" w:rsidP="008F2283">
      <w:pPr>
        <w:pStyle w:val="TableTitle"/>
      </w:pPr>
      <w:r>
        <w:lastRenderedPageBreak/>
        <w:t xml:space="preserve">Table </w:t>
      </w:r>
      <w:fldSimple w:instr=" SEQ Table \* ARABIC ">
        <w:r w:rsidR="009B407B">
          <w:rPr>
            <w:noProof/>
          </w:rPr>
          <w:t>3</w:t>
        </w:r>
      </w:fldSimple>
      <w:r>
        <w:t>: Timeline for Submission PM-2019-01809-1-4</w:t>
      </w:r>
    </w:p>
    <w:tbl>
      <w:tblPr>
        <w:tblStyle w:val="TableTGAblue"/>
        <w:tblW w:w="0" w:type="auto"/>
        <w:tblLook w:val="04A0" w:firstRow="1" w:lastRow="0" w:firstColumn="1" w:lastColumn="0" w:noHBand="0" w:noVBand="1"/>
      </w:tblPr>
      <w:tblGrid>
        <w:gridCol w:w="6091"/>
        <w:gridCol w:w="2403"/>
      </w:tblGrid>
      <w:tr w:rsidR="008F2283" w:rsidRPr="00425607" w14:paraId="6B78F3CF" w14:textId="77777777" w:rsidTr="00313A30">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7F97482B" w14:textId="77777777" w:rsidR="008F2283" w:rsidRPr="00425607" w:rsidRDefault="008F2283" w:rsidP="008F2283">
            <w:pPr>
              <w:keepNext w:val="0"/>
              <w:ind w:left="0"/>
            </w:pPr>
            <w:r w:rsidRPr="00425607">
              <w:t>Description</w:t>
            </w:r>
          </w:p>
        </w:tc>
        <w:tc>
          <w:tcPr>
            <w:tcW w:w="2403" w:type="dxa"/>
            <w:tcBorders>
              <w:top w:val="single" w:sz="4" w:space="0" w:color="auto"/>
              <w:left w:val="single" w:sz="4" w:space="0" w:color="auto"/>
              <w:bottom w:val="single" w:sz="4" w:space="0" w:color="auto"/>
              <w:right w:val="single" w:sz="4" w:space="0" w:color="auto"/>
            </w:tcBorders>
          </w:tcPr>
          <w:p w14:paraId="69B8A403" w14:textId="77777777" w:rsidR="008F2283" w:rsidRPr="00425607" w:rsidRDefault="008F2283" w:rsidP="008F2283">
            <w:pPr>
              <w:keepNext w:val="0"/>
              <w:ind w:left="0"/>
            </w:pPr>
            <w:r w:rsidRPr="00425607">
              <w:t>Date</w:t>
            </w:r>
          </w:p>
        </w:tc>
      </w:tr>
      <w:tr w:rsidR="008F2283" w:rsidRPr="00425607" w14:paraId="2A924317" w14:textId="77777777" w:rsidTr="00313A30">
        <w:tc>
          <w:tcPr>
            <w:tcW w:w="6091" w:type="dxa"/>
            <w:tcBorders>
              <w:top w:val="single" w:sz="4" w:space="0" w:color="auto"/>
            </w:tcBorders>
          </w:tcPr>
          <w:p w14:paraId="1A2E3B8C" w14:textId="77777777" w:rsidR="008F2283" w:rsidRPr="00425607" w:rsidRDefault="008F2283" w:rsidP="008F2283">
            <w:pPr>
              <w:ind w:left="0"/>
            </w:pPr>
            <w:r w:rsidRPr="00425607">
              <w:t>Submission dossier accepted and first round evaluation commenced</w:t>
            </w:r>
          </w:p>
        </w:tc>
        <w:tc>
          <w:tcPr>
            <w:tcW w:w="2403" w:type="dxa"/>
            <w:tcBorders>
              <w:top w:val="single" w:sz="4" w:space="0" w:color="auto"/>
            </w:tcBorders>
          </w:tcPr>
          <w:p w14:paraId="7AAF1A56" w14:textId="77777777" w:rsidR="008F2283" w:rsidRPr="00425607" w:rsidRDefault="008F2283" w:rsidP="008F2283">
            <w:pPr>
              <w:ind w:left="0"/>
            </w:pPr>
            <w:r w:rsidRPr="00425607">
              <w:t>1 July 2019</w:t>
            </w:r>
          </w:p>
        </w:tc>
      </w:tr>
      <w:tr w:rsidR="008F2283" w:rsidRPr="00425607" w14:paraId="774408ED" w14:textId="77777777" w:rsidTr="00313A30">
        <w:tc>
          <w:tcPr>
            <w:tcW w:w="6091" w:type="dxa"/>
          </w:tcPr>
          <w:p w14:paraId="482487EC" w14:textId="77777777" w:rsidR="008F2283" w:rsidRPr="00425607" w:rsidRDefault="008F2283" w:rsidP="008F2283">
            <w:pPr>
              <w:ind w:left="0"/>
            </w:pPr>
            <w:r w:rsidRPr="00425607">
              <w:t>First round evaluation completed</w:t>
            </w:r>
          </w:p>
        </w:tc>
        <w:tc>
          <w:tcPr>
            <w:tcW w:w="2403" w:type="dxa"/>
          </w:tcPr>
          <w:p w14:paraId="3C7F35E9" w14:textId="77777777" w:rsidR="008F2283" w:rsidRPr="00425607" w:rsidRDefault="008F2283" w:rsidP="008F2283">
            <w:pPr>
              <w:ind w:left="0"/>
            </w:pPr>
            <w:r>
              <w:t>2 December 2019</w:t>
            </w:r>
          </w:p>
        </w:tc>
      </w:tr>
      <w:tr w:rsidR="008F2283" w:rsidRPr="00425607" w14:paraId="3BB4A05A" w14:textId="77777777" w:rsidTr="00313A30">
        <w:tc>
          <w:tcPr>
            <w:tcW w:w="6091" w:type="dxa"/>
          </w:tcPr>
          <w:p w14:paraId="081771C6" w14:textId="77777777" w:rsidR="008F2283" w:rsidRPr="00425607" w:rsidRDefault="008F2283" w:rsidP="008F2283">
            <w:pPr>
              <w:ind w:left="0"/>
            </w:pPr>
            <w:r w:rsidRPr="00425607">
              <w:t>Sponsor provides responses on questions raised in first round evaluation</w:t>
            </w:r>
          </w:p>
        </w:tc>
        <w:tc>
          <w:tcPr>
            <w:tcW w:w="2403" w:type="dxa"/>
          </w:tcPr>
          <w:p w14:paraId="06746E35" w14:textId="77777777" w:rsidR="008F2283" w:rsidRPr="00425607" w:rsidRDefault="008F2283" w:rsidP="008F2283">
            <w:pPr>
              <w:ind w:left="0"/>
            </w:pPr>
            <w:r>
              <w:t>24 December 2019</w:t>
            </w:r>
          </w:p>
        </w:tc>
      </w:tr>
      <w:tr w:rsidR="008F2283" w:rsidRPr="00425607" w14:paraId="3706F71E" w14:textId="77777777" w:rsidTr="00313A30">
        <w:tc>
          <w:tcPr>
            <w:tcW w:w="6091" w:type="dxa"/>
          </w:tcPr>
          <w:p w14:paraId="1B785FE9" w14:textId="77777777" w:rsidR="008F2283" w:rsidRPr="00425607" w:rsidRDefault="008F2283" w:rsidP="008F2283">
            <w:pPr>
              <w:ind w:left="0"/>
            </w:pPr>
            <w:r w:rsidRPr="00425607">
              <w:t>Second round evaluation completed</w:t>
            </w:r>
          </w:p>
        </w:tc>
        <w:tc>
          <w:tcPr>
            <w:tcW w:w="2403" w:type="dxa"/>
          </w:tcPr>
          <w:p w14:paraId="5D12D875" w14:textId="259B6C6F" w:rsidR="008F2283" w:rsidRPr="00425607" w:rsidRDefault="008F2283" w:rsidP="008F2283">
            <w:pPr>
              <w:ind w:left="0"/>
            </w:pPr>
            <w:r>
              <w:t xml:space="preserve">31 January </w:t>
            </w:r>
            <w:r w:rsidRPr="00425607">
              <w:t>2020</w:t>
            </w:r>
          </w:p>
        </w:tc>
      </w:tr>
      <w:tr w:rsidR="008F2283" w:rsidRPr="00425607" w14:paraId="4CE48D2E" w14:textId="77777777" w:rsidTr="00313A30">
        <w:tc>
          <w:tcPr>
            <w:tcW w:w="6091" w:type="dxa"/>
          </w:tcPr>
          <w:p w14:paraId="214301FB" w14:textId="39E2BEF6" w:rsidR="008F2283" w:rsidRPr="00425607" w:rsidRDefault="008F2283" w:rsidP="008F2283">
            <w:pPr>
              <w:ind w:left="0"/>
            </w:pPr>
            <w:r w:rsidRPr="00425607">
              <w:t xml:space="preserve">Delegate’s </w:t>
            </w:r>
            <w:r>
              <w:t>Overall benefit-risk assessment</w:t>
            </w:r>
          </w:p>
        </w:tc>
        <w:tc>
          <w:tcPr>
            <w:tcW w:w="2403" w:type="dxa"/>
          </w:tcPr>
          <w:p w14:paraId="22AFC9FC" w14:textId="08F20B07" w:rsidR="008F2283" w:rsidRPr="00425607" w:rsidRDefault="007772AC" w:rsidP="008F2283">
            <w:pPr>
              <w:ind w:left="0"/>
            </w:pPr>
            <w:r>
              <w:t>3 March 2020</w:t>
            </w:r>
          </w:p>
        </w:tc>
      </w:tr>
      <w:tr w:rsidR="008F2283" w:rsidRPr="00425607" w14:paraId="4BBE164D" w14:textId="77777777" w:rsidTr="00313A30">
        <w:tc>
          <w:tcPr>
            <w:tcW w:w="6091" w:type="dxa"/>
          </w:tcPr>
          <w:p w14:paraId="7709063C" w14:textId="77777777" w:rsidR="008F2283" w:rsidRPr="00425607" w:rsidRDefault="008F2283" w:rsidP="008F2283">
            <w:pPr>
              <w:ind w:left="0"/>
            </w:pPr>
            <w:r w:rsidRPr="00425607">
              <w:t>Sponsor’s pre-Advisory Committee response</w:t>
            </w:r>
          </w:p>
        </w:tc>
        <w:tc>
          <w:tcPr>
            <w:tcW w:w="2403" w:type="dxa"/>
          </w:tcPr>
          <w:p w14:paraId="3041148C" w14:textId="77777777" w:rsidR="008F2283" w:rsidRPr="00425607" w:rsidRDefault="008F2283" w:rsidP="008F2283">
            <w:pPr>
              <w:ind w:left="0"/>
            </w:pPr>
            <w:r w:rsidRPr="00425607">
              <w:t>Not applicable</w:t>
            </w:r>
          </w:p>
        </w:tc>
      </w:tr>
      <w:tr w:rsidR="008F2283" w:rsidRPr="00425607" w14:paraId="2A2E889C" w14:textId="77777777" w:rsidTr="00313A30">
        <w:tc>
          <w:tcPr>
            <w:tcW w:w="6091" w:type="dxa"/>
          </w:tcPr>
          <w:p w14:paraId="566A60D6" w14:textId="77777777" w:rsidR="008F2283" w:rsidRPr="00425607" w:rsidRDefault="008F2283" w:rsidP="008F2283">
            <w:pPr>
              <w:ind w:left="0"/>
            </w:pPr>
            <w:r w:rsidRPr="00425607">
              <w:t>Advisory Committee meeting</w:t>
            </w:r>
          </w:p>
        </w:tc>
        <w:tc>
          <w:tcPr>
            <w:tcW w:w="2403" w:type="dxa"/>
          </w:tcPr>
          <w:p w14:paraId="4A11DBEA" w14:textId="77777777" w:rsidR="008F2283" w:rsidRPr="00425607" w:rsidRDefault="008F2283" w:rsidP="008F2283">
            <w:pPr>
              <w:ind w:left="0"/>
            </w:pPr>
            <w:r w:rsidRPr="00425607">
              <w:t>Not applicable</w:t>
            </w:r>
          </w:p>
        </w:tc>
      </w:tr>
      <w:tr w:rsidR="008F2283" w:rsidRPr="00425607" w14:paraId="1BDBDCC9" w14:textId="77777777" w:rsidTr="00313A30">
        <w:tc>
          <w:tcPr>
            <w:tcW w:w="6091" w:type="dxa"/>
          </w:tcPr>
          <w:p w14:paraId="563B9207" w14:textId="77777777" w:rsidR="008F2283" w:rsidRPr="00425607" w:rsidRDefault="008F2283" w:rsidP="008F2283">
            <w:pPr>
              <w:ind w:left="0"/>
            </w:pPr>
            <w:r w:rsidRPr="00425607">
              <w:t>Registration decision (Outcome)</w:t>
            </w:r>
          </w:p>
        </w:tc>
        <w:tc>
          <w:tcPr>
            <w:tcW w:w="2403" w:type="dxa"/>
          </w:tcPr>
          <w:p w14:paraId="465DE9B7" w14:textId="77777777" w:rsidR="008F2283" w:rsidRPr="00425607" w:rsidRDefault="008F2283" w:rsidP="008F2283">
            <w:pPr>
              <w:ind w:left="0"/>
            </w:pPr>
            <w:r>
              <w:t>18</w:t>
            </w:r>
            <w:r w:rsidRPr="00425607">
              <w:t xml:space="preserve"> May 2020</w:t>
            </w:r>
          </w:p>
        </w:tc>
      </w:tr>
      <w:tr w:rsidR="008F2283" w:rsidRPr="00425607" w14:paraId="7E121CDD" w14:textId="77777777" w:rsidTr="00313A30">
        <w:tc>
          <w:tcPr>
            <w:tcW w:w="6091" w:type="dxa"/>
          </w:tcPr>
          <w:p w14:paraId="5CB1D38C" w14:textId="77777777" w:rsidR="008F2283" w:rsidRPr="00425607" w:rsidRDefault="008F2283" w:rsidP="008F2283">
            <w:pPr>
              <w:ind w:left="0"/>
            </w:pPr>
            <w:r w:rsidRPr="00425607">
              <w:t>Completion of administrative activities and registration on the ARTG</w:t>
            </w:r>
          </w:p>
        </w:tc>
        <w:tc>
          <w:tcPr>
            <w:tcW w:w="2403" w:type="dxa"/>
          </w:tcPr>
          <w:p w14:paraId="2D0D9B78" w14:textId="77777777" w:rsidR="008F2283" w:rsidRPr="00425607" w:rsidRDefault="008F2283" w:rsidP="008F2283">
            <w:pPr>
              <w:ind w:left="0"/>
            </w:pPr>
            <w:r>
              <w:t>19</w:t>
            </w:r>
            <w:r w:rsidRPr="00425607">
              <w:t xml:space="preserve"> May 2020</w:t>
            </w:r>
          </w:p>
        </w:tc>
      </w:tr>
      <w:tr w:rsidR="008F2283" w:rsidRPr="00425607" w14:paraId="6762E528" w14:textId="77777777" w:rsidTr="00313A30">
        <w:tc>
          <w:tcPr>
            <w:tcW w:w="6091" w:type="dxa"/>
          </w:tcPr>
          <w:p w14:paraId="17EA3510" w14:textId="77777777" w:rsidR="008F2283" w:rsidRPr="00425607" w:rsidRDefault="008F2283" w:rsidP="008F2283">
            <w:pPr>
              <w:ind w:left="0"/>
            </w:pPr>
            <w:r w:rsidRPr="00425607">
              <w:t>Number of working days from submission dossier acceptance to registration decision*</w:t>
            </w:r>
          </w:p>
        </w:tc>
        <w:tc>
          <w:tcPr>
            <w:tcW w:w="2403" w:type="dxa"/>
          </w:tcPr>
          <w:p w14:paraId="0F025426" w14:textId="77777777" w:rsidR="008F2283" w:rsidRPr="00425607" w:rsidRDefault="008F2283" w:rsidP="008F2283">
            <w:pPr>
              <w:ind w:left="0"/>
            </w:pPr>
            <w:r>
              <w:t>202</w:t>
            </w:r>
          </w:p>
        </w:tc>
      </w:tr>
    </w:tbl>
    <w:p w14:paraId="2F0590B9" w14:textId="3B4E025C" w:rsidR="008F2283" w:rsidRDefault="008F2283" w:rsidP="008F2283">
      <w:pPr>
        <w:pStyle w:val="TableDescription"/>
      </w:pPr>
      <w:r>
        <w:t>*</w:t>
      </w:r>
      <w:r w:rsidRPr="00BF3774">
        <w:t xml:space="preserve">Statutory </w:t>
      </w:r>
      <w:r>
        <w:t>timeframe for standard applications is 255 working days</w:t>
      </w:r>
    </w:p>
    <w:p w14:paraId="697A284C" w14:textId="18EA4767" w:rsidR="008E7846" w:rsidRPr="00792A32" w:rsidRDefault="00456765" w:rsidP="008E7846">
      <w:pPr>
        <w:pStyle w:val="Heading2"/>
      </w:pPr>
      <w:bookmarkStart w:id="30" w:name="_Toc196046504"/>
      <w:bookmarkStart w:id="31" w:name="_Toc247691527"/>
      <w:bookmarkStart w:id="32" w:name="_Toc314842510"/>
      <w:bookmarkStart w:id="33" w:name="_Toc52891254"/>
      <w:bookmarkStart w:id="34" w:name="_Toc163441390"/>
      <w:bookmarkEnd w:id="25"/>
      <w:bookmarkEnd w:id="26"/>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3"/>
    </w:p>
    <w:p w14:paraId="4036D7D7" w14:textId="69979631" w:rsidR="000B3D78" w:rsidRDefault="00006FAB" w:rsidP="00006FAB">
      <w:bookmarkStart w:id="35" w:name="_Toc247691528"/>
      <w:r>
        <w:t>The submission was summarised in the following Delegate’s overview and recommendations.</w:t>
      </w:r>
    </w:p>
    <w:p w14:paraId="55D61914" w14:textId="412FB86F" w:rsidR="00040C1B" w:rsidRDefault="00040C1B" w:rsidP="00006FAB">
      <w:r>
        <w:t xml:space="preserve">The following </w:t>
      </w:r>
      <w:r w:rsidR="00F9338F">
        <w:t>publically</w:t>
      </w:r>
      <w:r w:rsidR="000B3D78">
        <w:t xml:space="preserve"> available </w:t>
      </w:r>
      <w:r w:rsidR="00441CF0">
        <w:t>United States (US) Food and Drug Administration (</w:t>
      </w:r>
      <w:r>
        <w:t>FDA</w:t>
      </w:r>
      <w:r w:rsidR="00441CF0">
        <w:t>)</w:t>
      </w:r>
      <w:r>
        <w:t xml:space="preserve"> </w:t>
      </w:r>
      <w:r w:rsidR="000B3D78">
        <w:t>report</w:t>
      </w:r>
      <w:bookmarkStart w:id="36" w:name="_Ref50554541"/>
      <w:r w:rsidR="008D5E53">
        <w:t>;</w:t>
      </w:r>
      <w:bookmarkStart w:id="37" w:name="_Ref53476754"/>
      <w:r w:rsidR="00134048">
        <w:rPr>
          <w:rStyle w:val="FootnoteReference"/>
        </w:rPr>
        <w:footnoteReference w:id="14"/>
      </w:r>
      <w:bookmarkEnd w:id="36"/>
      <w:bookmarkEnd w:id="37"/>
      <w:r w:rsidR="000B3D78">
        <w:t xml:space="preserve"> was referenced by the Delegate.</w:t>
      </w:r>
    </w:p>
    <w:p w14:paraId="2CAFE7C7" w14:textId="5CD975C5" w:rsidR="00133A49" w:rsidRDefault="00040C1B" w:rsidP="008536E4">
      <w:pPr>
        <w:pStyle w:val="ListBullet"/>
      </w:pPr>
      <w:r w:rsidRPr="00040C1B">
        <w:t xml:space="preserve">FDA review: </w:t>
      </w:r>
      <w:r w:rsidR="008536E4">
        <w:t xml:space="preserve">New </w:t>
      </w:r>
      <w:r w:rsidR="00441CF0">
        <w:t>D</w:t>
      </w:r>
      <w:r w:rsidR="008536E4">
        <w:t xml:space="preserve">rug </w:t>
      </w:r>
      <w:r w:rsidR="00441CF0">
        <w:t>A</w:t>
      </w:r>
      <w:r w:rsidR="008536E4">
        <w:t xml:space="preserve">pplications (NDA) </w:t>
      </w:r>
      <w:r w:rsidR="008D5E53">
        <w:t>and</w:t>
      </w:r>
      <w:r w:rsidR="008536E4">
        <w:t xml:space="preserve"> </w:t>
      </w:r>
      <w:r w:rsidR="00441CF0">
        <w:t>B</w:t>
      </w:r>
      <w:r w:rsidR="008536E4">
        <w:t xml:space="preserve">iologics </w:t>
      </w:r>
      <w:r w:rsidR="00441CF0">
        <w:t>L</w:t>
      </w:r>
      <w:r w:rsidR="008536E4">
        <w:t xml:space="preserve">icense </w:t>
      </w:r>
      <w:r w:rsidR="00441CF0">
        <w:t>A</w:t>
      </w:r>
      <w:r w:rsidR="008536E4" w:rsidRPr="008536E4">
        <w:t>pplications (BLA)</w:t>
      </w:r>
      <w:r w:rsidR="008536E4">
        <w:t xml:space="preserve"> multi‐disciplinary review and e</w:t>
      </w:r>
      <w:r w:rsidRPr="00040C1B">
        <w:t>valuation NDA 212725 and NDA 212726 R</w:t>
      </w:r>
      <w:r w:rsidR="008536E4">
        <w:t xml:space="preserve">ozlytrek </w:t>
      </w:r>
      <w:r w:rsidRPr="00040C1B">
        <w:t>(entrectinib)</w:t>
      </w:r>
      <w:bookmarkStart w:id="38" w:name="_Toc314842511"/>
      <w:r w:rsidR="00441CF0">
        <w:t>.</w:t>
      </w:r>
    </w:p>
    <w:p w14:paraId="6999B0D2" w14:textId="72366AE6" w:rsidR="008E7846" w:rsidRDefault="008E7846" w:rsidP="008E7846">
      <w:pPr>
        <w:pStyle w:val="Heading3"/>
      </w:pPr>
      <w:bookmarkStart w:id="39" w:name="_Toc52891255"/>
      <w:r>
        <w:t>Quality</w:t>
      </w:r>
      <w:bookmarkEnd w:id="35"/>
      <w:bookmarkEnd w:id="38"/>
      <w:bookmarkEnd w:id="39"/>
    </w:p>
    <w:p w14:paraId="482149C5" w14:textId="77777777" w:rsidR="00E71D05" w:rsidRDefault="00E71D05" w:rsidP="004B4ED9">
      <w:r>
        <w:t xml:space="preserve">The quality evaluator has </w:t>
      </w:r>
      <w:r w:rsidR="009B74BA">
        <w:t>recommended approval with respect to chemistry and manufacturing controls.</w:t>
      </w:r>
    </w:p>
    <w:p w14:paraId="4017F078" w14:textId="2D1E3396" w:rsidR="004B4ED9" w:rsidRPr="004B4ED9" w:rsidRDefault="00441CF0" w:rsidP="004B4ED9">
      <w:r>
        <w:t>The full chemical name of e</w:t>
      </w:r>
      <w:r w:rsidR="004B4ED9" w:rsidRPr="004B4ED9">
        <w:t xml:space="preserve">ntrectinib is </w:t>
      </w:r>
      <w:r w:rsidR="004B4ED9" w:rsidRPr="004B4ED9">
        <w:rPr>
          <w:i/>
          <w:iCs/>
        </w:rPr>
        <w:t>N</w:t>
      </w:r>
      <w:r w:rsidR="004B4ED9" w:rsidRPr="004B4ED9">
        <w:t>-{5-[(3,5-difluorophenyl)methyl]-1</w:t>
      </w:r>
      <w:r w:rsidR="004B4ED9" w:rsidRPr="004B4ED9">
        <w:rPr>
          <w:i/>
          <w:iCs/>
        </w:rPr>
        <w:t>H</w:t>
      </w:r>
      <w:r w:rsidR="004B4ED9" w:rsidRPr="004B4ED9">
        <w:t>-indazol-3-yl}-4-(4-methylpiperazin-1-yl)-2-[(oxan-4-yl)amino]benzamide</w:t>
      </w:r>
      <w:r w:rsidR="008D5E53">
        <w:t>, structure shown below.</w:t>
      </w:r>
    </w:p>
    <w:p w14:paraId="2505A67D" w14:textId="28425BEB" w:rsidR="008536E4" w:rsidRPr="000B3D78" w:rsidRDefault="008536E4" w:rsidP="008536E4">
      <w:pPr>
        <w:pStyle w:val="FigureTitle"/>
      </w:pPr>
      <w:r w:rsidRPr="000B3D78">
        <w:lastRenderedPageBreak/>
        <w:t xml:space="preserve">Figure </w:t>
      </w:r>
      <w:fldSimple w:instr=" SEQ Figure \* ARABIC ">
        <w:r w:rsidR="005743D8">
          <w:rPr>
            <w:noProof/>
          </w:rPr>
          <w:t>1</w:t>
        </w:r>
      </w:fldSimple>
      <w:r w:rsidR="008D5E53">
        <w:rPr>
          <w:noProof/>
        </w:rPr>
        <w:t>:</w:t>
      </w:r>
      <w:r w:rsidRPr="000B3D78">
        <w:t xml:space="preserve"> Chemical structure of entrectinib</w:t>
      </w:r>
    </w:p>
    <w:p w14:paraId="717106A1" w14:textId="77777777" w:rsidR="004B4ED9" w:rsidRPr="004B4ED9" w:rsidRDefault="004B4ED9" w:rsidP="004B4ED9">
      <w:r w:rsidRPr="004B4ED9">
        <w:rPr>
          <w:noProof/>
          <w:lang w:eastAsia="en-AU"/>
        </w:rPr>
        <w:drawing>
          <wp:inline distT="0" distB="0" distL="0" distR="0" wp14:anchorId="56169F5B" wp14:editId="0986F641">
            <wp:extent cx="2819400" cy="1624944"/>
            <wp:effectExtent l="0" t="0" r="0" b="0"/>
            <wp:docPr id="121" name="Picture 121" descr="Chemical structure of entrec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3803" cy="1639008"/>
                    </a:xfrm>
                    <a:prstGeom prst="rect">
                      <a:avLst/>
                    </a:prstGeom>
                  </pic:spPr>
                </pic:pic>
              </a:graphicData>
            </a:graphic>
          </wp:inline>
        </w:drawing>
      </w:r>
    </w:p>
    <w:p w14:paraId="75CC626C" w14:textId="625580C0" w:rsidR="004B4ED9" w:rsidRPr="004B4ED9" w:rsidRDefault="004B4ED9" w:rsidP="004B4ED9">
      <w:r w:rsidRPr="004B4ED9">
        <w:t>It is a heterocyclic nitrogenous base consisting of 6 rings an</w:t>
      </w:r>
      <w:r w:rsidR="00317ADD">
        <w:t xml:space="preserve">d containing an amide linkage. </w:t>
      </w:r>
      <w:r w:rsidRPr="004B4ED9">
        <w:t>It is prepared synthetically and isolated as the crystalline anhydrous free base form</w:t>
      </w:r>
      <w:r w:rsidR="009E1FFC">
        <w:t>.</w:t>
      </w:r>
    </w:p>
    <w:p w14:paraId="4AC3B127" w14:textId="18E62575" w:rsidR="009E1FFC" w:rsidRDefault="009E1FFC" w:rsidP="009E1FFC">
      <w:r w:rsidRPr="00231CB8">
        <w:t>For adult patients, the</w:t>
      </w:r>
      <w:r>
        <w:t xml:space="preserve"> </w:t>
      </w:r>
      <w:r w:rsidRPr="00231CB8">
        <w:t xml:space="preserve">proposed </w:t>
      </w:r>
      <w:r w:rsidRPr="005637A5">
        <w:t>entrectinib</w:t>
      </w:r>
      <w:r>
        <w:t xml:space="preserve"> </w:t>
      </w:r>
      <w:r w:rsidRPr="00231CB8">
        <w:t>dosing regimen is 600 mg (</w:t>
      </w:r>
      <w:r w:rsidR="00BD04CD">
        <w:t>for example</w:t>
      </w:r>
      <w:r w:rsidR="00CB249E">
        <w:t xml:space="preserve"> </w:t>
      </w:r>
      <w:r w:rsidRPr="00231CB8">
        <w:t>200</w:t>
      </w:r>
      <w:r w:rsidR="00CB249E">
        <w:t> </w:t>
      </w:r>
      <w:r w:rsidRPr="00231CB8">
        <w:t>mg</w:t>
      </w:r>
      <w:r w:rsidR="00E720A5">
        <w:t xml:space="preserve"> taken 3 times a day</w:t>
      </w:r>
      <w:r w:rsidRPr="00231CB8">
        <w:t xml:space="preserve">) </w:t>
      </w:r>
      <w:r>
        <w:t>taken</w:t>
      </w:r>
      <w:r w:rsidRPr="00231CB8">
        <w:t xml:space="preserve"> orally daily with or without</w:t>
      </w:r>
      <w:r>
        <w:t xml:space="preserve"> </w:t>
      </w:r>
      <w:r w:rsidRPr="00231CB8">
        <w:t>food. For paediatric patients, the daily dosing regimen is based on body surface area, capped at 600 mg and uses 100 mg increments for dose adjustment</w:t>
      </w:r>
      <w:r w:rsidR="005B3814">
        <w:t xml:space="preserve">. </w:t>
      </w:r>
      <w:r w:rsidRPr="00A476DE">
        <w:t xml:space="preserve">Capsules are </w:t>
      </w:r>
      <w:r>
        <w:t>intended to be swallowed whole. Treatment duration is until disease progression or unacceptable toxicity. The PI includes dose reductions based on tolerability down to 200 mg once daily for adults and to 100 mg once daily for 3 days each week for paediatric patients. Further instructions are included for dose modifications f</w:t>
      </w:r>
      <w:r w:rsidR="007D66D3">
        <w:t>or specific adverse reactions.</w:t>
      </w:r>
    </w:p>
    <w:p w14:paraId="50700F6A" w14:textId="45897853" w:rsidR="009E1FFC" w:rsidRDefault="009E1FFC" w:rsidP="009E1FFC">
      <w:r w:rsidRPr="00A476DE">
        <w:t xml:space="preserve">Entrectinib </w:t>
      </w:r>
      <w:r>
        <w:t>is</w:t>
      </w:r>
      <w:r w:rsidRPr="00A476DE">
        <w:t xml:space="preserve"> </w:t>
      </w:r>
      <w:r>
        <w:t xml:space="preserve">in </w:t>
      </w:r>
      <w:r w:rsidR="00CB249E">
        <w:t>B</w:t>
      </w:r>
      <w:r w:rsidR="000D792D">
        <w:t xml:space="preserve">iopharmaceutics </w:t>
      </w:r>
      <w:r w:rsidR="00CB249E">
        <w:t>C</w:t>
      </w:r>
      <w:r w:rsidR="000D792D">
        <w:t xml:space="preserve">lassification </w:t>
      </w:r>
      <w:r w:rsidR="00CB249E">
        <w:t>S</w:t>
      </w:r>
      <w:r w:rsidR="000D792D" w:rsidRPr="00FC2A79">
        <w:t xml:space="preserve">ystem </w:t>
      </w:r>
      <w:r w:rsidR="000D792D">
        <w:t>(</w:t>
      </w:r>
      <w:r w:rsidRPr="00093D61">
        <w:t>BCS</w:t>
      </w:r>
      <w:r w:rsidR="000D792D">
        <w:t>)</w:t>
      </w:r>
      <w:r w:rsidR="00A62576">
        <w:t>;</w:t>
      </w:r>
      <w:r w:rsidR="00FC2A79">
        <w:rPr>
          <w:rStyle w:val="FootnoteReference"/>
        </w:rPr>
        <w:footnoteReference w:id="15"/>
      </w:r>
      <w:r w:rsidRPr="00093D61">
        <w:t xml:space="preserve"> class IV (low solubility and low permeability)</w:t>
      </w:r>
      <w:r>
        <w:t>.</w:t>
      </w:r>
    </w:p>
    <w:p w14:paraId="760C4513" w14:textId="34687B7F" w:rsidR="009E1FFC" w:rsidRPr="00162D62" w:rsidRDefault="009E1FFC" w:rsidP="009E1FFC">
      <w:r w:rsidRPr="00162D62">
        <w:t xml:space="preserve">The </w:t>
      </w:r>
      <w:r w:rsidR="00E675C7" w:rsidRPr="00162D62">
        <w:t>proposed Rozlytrek</w:t>
      </w:r>
      <w:r w:rsidRPr="0065100B">
        <w:rPr>
          <w:i/>
        </w:rPr>
        <w:t xml:space="preserve"> </w:t>
      </w:r>
      <w:r w:rsidRPr="00162D62">
        <w:t>capsule</w:t>
      </w:r>
      <w:r w:rsidR="00A27431">
        <w:t>s</w:t>
      </w:r>
      <w:r>
        <w:t xml:space="preserve"> </w:t>
      </w:r>
      <w:r w:rsidRPr="00162D62">
        <w:t>are immediate release</w:t>
      </w:r>
      <w:r>
        <w:t>,</w:t>
      </w:r>
      <w:r w:rsidRPr="00162D62">
        <w:t xml:space="preserve"> hard capsules containing 200 mg or</w:t>
      </w:r>
      <w:r>
        <w:t xml:space="preserve"> </w:t>
      </w:r>
      <w:r w:rsidRPr="00162D62">
        <w:t>100 mg of entrectinib a</w:t>
      </w:r>
      <w:r w:rsidR="00A62576">
        <w:t>nd the fill is directly scaled.</w:t>
      </w:r>
      <w:r w:rsidRPr="00162D62">
        <w:t xml:space="preserve"> The</w:t>
      </w:r>
      <w:r>
        <w:t xml:space="preserve"> shells are made of </w:t>
      </w:r>
      <w:proofErr w:type="spellStart"/>
      <w:r>
        <w:t>hypromellose</w:t>
      </w:r>
      <w:proofErr w:type="spellEnd"/>
      <w:r>
        <w:t>.</w:t>
      </w:r>
      <w:r w:rsidRPr="00162D62">
        <w:t xml:space="preserve"> </w:t>
      </w:r>
      <w:r>
        <w:t xml:space="preserve">The appearance of </w:t>
      </w:r>
      <w:r w:rsidRPr="000C761A">
        <w:t>Rozlytrek</w:t>
      </w:r>
      <w:r w:rsidRPr="0065100B">
        <w:rPr>
          <w:i/>
        </w:rPr>
        <w:t xml:space="preserve"> </w:t>
      </w:r>
      <w:r>
        <w:t>capsules is</w:t>
      </w:r>
      <w:r w:rsidRPr="00162D62">
        <w:t>:</w:t>
      </w:r>
    </w:p>
    <w:p w14:paraId="4FC2D580" w14:textId="1847AFFE" w:rsidR="009E1FFC" w:rsidRPr="00162D62" w:rsidRDefault="00682D38" w:rsidP="00682D38">
      <w:pPr>
        <w:pStyle w:val="ListBullet"/>
      </w:pPr>
      <w:r>
        <w:t xml:space="preserve">100 mg: </w:t>
      </w:r>
      <w:r w:rsidR="009E1FFC" w:rsidRPr="00162D62">
        <w:t>Size 2 hard capsules with yellow body and cap with 'ENT 100' imprinted in blue on the body</w:t>
      </w:r>
    </w:p>
    <w:p w14:paraId="0085630D" w14:textId="0D310D90" w:rsidR="009E1FFC" w:rsidRPr="00162D62" w:rsidRDefault="00682D38" w:rsidP="00682D38">
      <w:pPr>
        <w:pStyle w:val="ListBullet"/>
      </w:pPr>
      <w:r>
        <w:t xml:space="preserve">200 mg: </w:t>
      </w:r>
      <w:r w:rsidR="009E1FFC" w:rsidRPr="00162D62">
        <w:t>Size 0 hard capsules with orange body and cap with 'ENT 200' imprinted in blue on the body</w:t>
      </w:r>
    </w:p>
    <w:p w14:paraId="18358B25" w14:textId="77777777" w:rsidR="009E1FFC" w:rsidRDefault="009E1FFC" w:rsidP="009E1FFC">
      <w:r>
        <w:t>The proposed capsules are formulated with tartaric acid as a</w:t>
      </w:r>
      <w:r w:rsidRPr="00BE1C0F">
        <w:t xml:space="preserve">n </w:t>
      </w:r>
      <w:proofErr w:type="spellStart"/>
      <w:r w:rsidRPr="00BE1C0F">
        <w:t>acidulant</w:t>
      </w:r>
      <w:proofErr w:type="spellEnd"/>
      <w:r w:rsidRPr="00BE1C0F">
        <w:t xml:space="preserve"> (pH modifier) </w:t>
      </w:r>
      <w:r>
        <w:t xml:space="preserve">in order </w:t>
      </w:r>
      <w:r w:rsidRPr="00BE1C0F">
        <w:t xml:space="preserve">to address food and proton-pump inhibitor (PPI) effects observed with the initial clinical formulation (F1) </w:t>
      </w:r>
      <w:r>
        <w:t>which</w:t>
      </w:r>
      <w:r w:rsidRPr="00BE1C0F">
        <w:t xml:space="preserve"> did not</w:t>
      </w:r>
      <w:r>
        <w:t xml:space="preserve"> contain such an excipient</w:t>
      </w:r>
      <w:r w:rsidRPr="00BE1C0F">
        <w:t>.</w:t>
      </w:r>
      <w:r w:rsidRPr="00093D61">
        <w:t xml:space="preserve"> Bioequivalence between the market (F06) and pivotal (F2A) </w:t>
      </w:r>
      <w:r>
        <w:t xml:space="preserve">formulations was demonstrated. </w:t>
      </w:r>
      <w:r w:rsidRPr="00C83344">
        <w:t xml:space="preserve">The excipients are </w:t>
      </w:r>
      <w:r>
        <w:t>otherwise conventional.</w:t>
      </w:r>
    </w:p>
    <w:p w14:paraId="5927BE5E" w14:textId="0BAAA71D" w:rsidR="00E45619" w:rsidRDefault="009E1FFC" w:rsidP="00D23EAA">
      <w:pPr>
        <w:spacing w:before="0"/>
      </w:pPr>
      <w:r w:rsidRPr="00E94629">
        <w:t xml:space="preserve">The capsules are presented in </w:t>
      </w:r>
      <w:r w:rsidR="000D792D">
        <w:t>high density p</w:t>
      </w:r>
      <w:r w:rsidR="000D792D" w:rsidRPr="003975D4">
        <w:t>olyethylene</w:t>
      </w:r>
      <w:r w:rsidR="000D792D" w:rsidRPr="00E94629">
        <w:t xml:space="preserve"> </w:t>
      </w:r>
      <w:r w:rsidR="000D792D">
        <w:t>(</w:t>
      </w:r>
      <w:r w:rsidRPr="00E94629">
        <w:t>HDPE</w:t>
      </w:r>
      <w:r w:rsidR="000D792D">
        <w:t>)</w:t>
      </w:r>
      <w:r w:rsidRPr="00E94629">
        <w:t xml:space="preserve"> bottles with child resistant closures and a desiccant in the cap. Different pack sizes are proposed, 30 capsule bottles for the 100 mg strength and 90 capsule bottles for the 200 mg.</w:t>
      </w:r>
    </w:p>
    <w:p w14:paraId="64BEFCC4" w14:textId="77777777" w:rsidR="008E7846" w:rsidRDefault="008E7846" w:rsidP="008E7846">
      <w:pPr>
        <w:pStyle w:val="Heading3"/>
      </w:pPr>
      <w:bookmarkStart w:id="40" w:name="_Toc314842512"/>
      <w:bookmarkStart w:id="41" w:name="_Toc52891256"/>
      <w:r>
        <w:t>Nonclinical</w:t>
      </w:r>
      <w:bookmarkEnd w:id="40"/>
      <w:bookmarkEnd w:id="41"/>
    </w:p>
    <w:p w14:paraId="0DF3E0D8" w14:textId="41EB9775" w:rsidR="00D23EAA" w:rsidRDefault="00D23EAA" w:rsidP="00D23EAA">
      <w:r>
        <w:t>There are no objections on nonclinical grounds to the registration of entrectinib for the proposed indications</w:t>
      </w:r>
      <w:r w:rsidR="00A27431">
        <w:t>,</w:t>
      </w:r>
      <w:r>
        <w:t xml:space="preserve"> provided adequate clinical safety data are available.</w:t>
      </w:r>
    </w:p>
    <w:p w14:paraId="600578B0" w14:textId="6B0C4002" w:rsidR="00141A1C" w:rsidRDefault="00D23EAA" w:rsidP="00141A1C">
      <w:r>
        <w:t xml:space="preserve">Entrectinib has demonstrated inhibition of cancer cell lines harbouring </w:t>
      </w:r>
      <w:r w:rsidRPr="000C761A">
        <w:rPr>
          <w:i/>
        </w:rPr>
        <w:t>NTRK</w:t>
      </w:r>
      <w:r>
        <w:t xml:space="preserve"> and </w:t>
      </w:r>
      <w:r w:rsidRPr="000C761A">
        <w:rPr>
          <w:i/>
        </w:rPr>
        <w:t>ROS1</w:t>
      </w:r>
      <w:r>
        <w:t xml:space="preserve"> fusion genes</w:t>
      </w:r>
      <w:r w:rsidR="00141A1C">
        <w:t xml:space="preserve">, irrespective of tumour type. </w:t>
      </w:r>
      <w:r>
        <w:t xml:space="preserve">Anti-tumour activity has also been shown in </w:t>
      </w:r>
      <w:r w:rsidRPr="000C761A">
        <w:rPr>
          <w:i/>
        </w:rPr>
        <w:lastRenderedPageBreak/>
        <w:t>NTRK</w:t>
      </w:r>
      <w:r>
        <w:t xml:space="preserve"> and </w:t>
      </w:r>
      <w:r w:rsidRPr="000C761A">
        <w:rPr>
          <w:i/>
        </w:rPr>
        <w:t>ROS1</w:t>
      </w:r>
      <w:r>
        <w:t xml:space="preserve"> fusion-driven tumour models, including sarcomas, head and neck carcinoma, </w:t>
      </w:r>
      <w:r w:rsidR="00A62576">
        <w:t>NSCLC</w:t>
      </w:r>
      <w:r>
        <w:t>, colorectal cancer (CRC), acute myeloi</w:t>
      </w:r>
      <w:bookmarkStart w:id="42" w:name="_Toc247691530"/>
      <w:bookmarkStart w:id="43" w:name="_Toc314842513"/>
      <w:r w:rsidR="00E82597">
        <w:t>d leuk</w:t>
      </w:r>
      <w:r w:rsidR="00CB249E">
        <w:t>a</w:t>
      </w:r>
      <w:r w:rsidR="00E82597">
        <w:t>emia (AML), and gliomas.</w:t>
      </w:r>
      <w:r w:rsidR="00E82597">
        <w:fldChar w:fldCharType="begin"/>
      </w:r>
      <w:r w:rsidR="00E82597">
        <w:instrText xml:space="preserve"> NOTEREF _Ref53476754 \f \h </w:instrText>
      </w:r>
      <w:r w:rsidR="00E82597">
        <w:fldChar w:fldCharType="separate"/>
      </w:r>
      <w:r w:rsidR="00E82597" w:rsidRPr="00E82597">
        <w:rPr>
          <w:rStyle w:val="FootnoteReference"/>
        </w:rPr>
        <w:t>12</w:t>
      </w:r>
      <w:r w:rsidR="00E82597">
        <w:fldChar w:fldCharType="end"/>
      </w:r>
    </w:p>
    <w:p w14:paraId="2FC424F7" w14:textId="009AB2C4" w:rsidR="00A27431" w:rsidRDefault="00A27431" w:rsidP="00141A1C">
      <w:r>
        <w:t>A publicl</w:t>
      </w:r>
      <w:r w:rsidR="00922346">
        <w:t>y accessible summary of the non</w:t>
      </w:r>
      <w:r>
        <w:t>clinical pharmacology and toxicology studies submitted to</w:t>
      </w:r>
      <w:r w:rsidR="00CB249E">
        <w:t xml:space="preserve"> the</w:t>
      </w:r>
      <w:r>
        <w:t xml:space="preserve"> FDA and major findings of each is available on pages 42 to 89 of the FDA </w:t>
      </w:r>
      <w:r w:rsidRPr="00A27431">
        <w:t>multi-disciplinary review documen</w:t>
      </w:r>
      <w:r w:rsidR="00E82597">
        <w:t>t for NDA 212725 (entrectinib).</w:t>
      </w:r>
      <w:r w:rsidR="00E82597">
        <w:fldChar w:fldCharType="begin"/>
      </w:r>
      <w:r w:rsidR="00E82597">
        <w:instrText xml:space="preserve"> NOTEREF _Ref53476754 \f \h </w:instrText>
      </w:r>
      <w:r w:rsidR="00E82597">
        <w:fldChar w:fldCharType="separate"/>
      </w:r>
      <w:r w:rsidR="00E82597" w:rsidRPr="00E82597">
        <w:rPr>
          <w:rStyle w:val="FootnoteReference"/>
        </w:rPr>
        <w:t>12</w:t>
      </w:r>
      <w:r w:rsidR="00E82597">
        <w:fldChar w:fldCharType="end"/>
      </w:r>
      <w:r w:rsidRPr="00A27431">
        <w:t xml:space="preserve"> </w:t>
      </w:r>
      <w:r>
        <w:t>The s</w:t>
      </w:r>
      <w:r w:rsidRPr="00A27431">
        <w:t>ponsor has provided reassurances that there are no significant differences between the datasets submitted to Australia and the US.</w:t>
      </w:r>
    </w:p>
    <w:p w14:paraId="2F5CF624" w14:textId="7AB18088" w:rsidR="00A27431" w:rsidRDefault="00A27431" w:rsidP="00141A1C">
      <w:r>
        <w:t xml:space="preserve">The </w:t>
      </w:r>
      <w:r w:rsidR="00922346">
        <w:t xml:space="preserve">TGA </w:t>
      </w:r>
      <w:r>
        <w:t>nonclinical evaluator’s conclusions included</w:t>
      </w:r>
      <w:r w:rsidR="00922346">
        <w:t xml:space="preserve"> the following</w:t>
      </w:r>
      <w:r>
        <w:t>:</w:t>
      </w:r>
    </w:p>
    <w:p w14:paraId="1ACF2E7D" w14:textId="4DAAC01B" w:rsidR="00922346" w:rsidRDefault="00922346" w:rsidP="003C65F0">
      <w:pPr>
        <w:pStyle w:val="ListBullet"/>
      </w:pPr>
      <w:r w:rsidRPr="00922346">
        <w:t xml:space="preserve">The primary pharmacology studies lend support for the proposed for the treatment of patients with </w:t>
      </w:r>
      <w:r w:rsidRPr="000C761A">
        <w:rPr>
          <w:i/>
        </w:rPr>
        <w:t>ROS1</w:t>
      </w:r>
      <w:r w:rsidRPr="00922346">
        <w:t xml:space="preserve">-positive, locally advanced or metastatic NSCLC/ </w:t>
      </w:r>
      <w:r w:rsidRPr="000C761A">
        <w:rPr>
          <w:i/>
        </w:rPr>
        <w:t>NTRK</w:t>
      </w:r>
      <w:r w:rsidRPr="00922346">
        <w:t xml:space="preserve"> fusion-positive locally advanced or metastatic solid tumours.</w:t>
      </w:r>
    </w:p>
    <w:p w14:paraId="2A98AA12" w14:textId="00F798B9" w:rsidR="00922346" w:rsidRDefault="00922346" w:rsidP="003C65F0">
      <w:pPr>
        <w:pStyle w:val="ListBullet"/>
      </w:pPr>
      <w:r w:rsidRPr="00922346">
        <w:t>A secondary pharmacology screening study showed significant activity to about 40</w:t>
      </w:r>
      <w:r w:rsidR="00CB249E">
        <w:t> </w:t>
      </w:r>
      <w:r w:rsidRPr="00922346">
        <w:t xml:space="preserve">targets at 10 </w:t>
      </w:r>
      <w:proofErr w:type="spellStart"/>
      <w:r w:rsidRPr="00922346">
        <w:t>μM</w:t>
      </w:r>
      <w:proofErr w:type="spellEnd"/>
      <w:r w:rsidRPr="00922346">
        <w:t xml:space="preserve"> (only concentration tested). Further investigation of off-target sites should be conducted as a post-marketing requirement.</w:t>
      </w:r>
    </w:p>
    <w:p w14:paraId="1E401123" w14:textId="6DE98D25" w:rsidR="00922346" w:rsidRDefault="00922346" w:rsidP="003C65F0">
      <w:pPr>
        <w:pStyle w:val="ListBullet"/>
      </w:pPr>
      <w:r w:rsidRPr="00922346">
        <w:t xml:space="preserve">Toxicity findings of clinical relevance include </w:t>
      </w:r>
      <w:r w:rsidR="00CB249E">
        <w:t xml:space="preserve">the </w:t>
      </w:r>
      <w:r w:rsidRPr="00922346">
        <w:t>CNS, skin and cardiovascular (QT interval prolongation)</w:t>
      </w:r>
      <w:r w:rsidR="00CB249E">
        <w:t>;</w:t>
      </w:r>
      <w:r>
        <w:rPr>
          <w:rStyle w:val="FootnoteReference"/>
        </w:rPr>
        <w:footnoteReference w:id="16"/>
      </w:r>
      <w:r w:rsidRPr="00922346">
        <w:t xml:space="preserve"> effects. Other target organs are cornea, </w:t>
      </w:r>
      <w:proofErr w:type="spellStart"/>
      <w:r w:rsidRPr="00922346">
        <w:t>lymphohaematopoietic</w:t>
      </w:r>
      <w:proofErr w:type="spellEnd"/>
      <w:r w:rsidRPr="00922346">
        <w:t xml:space="preserve"> tissues and liver. Immune</w:t>
      </w:r>
      <w:r w:rsidR="00B953BD">
        <w:t xml:space="preserve"> </w:t>
      </w:r>
      <w:r w:rsidRPr="00922346">
        <w:t xml:space="preserve">suppression as a result of </w:t>
      </w:r>
      <w:r>
        <w:t>Janus kinase 2 (</w:t>
      </w:r>
      <w:r w:rsidRPr="000C761A">
        <w:rPr>
          <w:i/>
        </w:rPr>
        <w:t>JAK</w:t>
      </w:r>
      <w:r w:rsidR="002B1515" w:rsidRPr="000C761A">
        <w:rPr>
          <w:i/>
        </w:rPr>
        <w:t xml:space="preserve"> </w:t>
      </w:r>
      <w:r w:rsidRPr="000C761A">
        <w:rPr>
          <w:i/>
        </w:rPr>
        <w:t>2</w:t>
      </w:r>
      <w:r>
        <w:t>)</w:t>
      </w:r>
      <w:r w:rsidRPr="00922346">
        <w:t xml:space="preserve"> inhibition by entrectinib is also a clinical risk.</w:t>
      </w:r>
    </w:p>
    <w:p w14:paraId="1DAB4262" w14:textId="58B11414" w:rsidR="00922346" w:rsidRDefault="00922346" w:rsidP="003C65F0">
      <w:pPr>
        <w:pStyle w:val="ListBullet"/>
      </w:pPr>
      <w:r w:rsidRPr="00922346">
        <w:t xml:space="preserve">The nonclinical studies predicted </w:t>
      </w:r>
      <w:proofErr w:type="spellStart"/>
      <w:r w:rsidRPr="00922346">
        <w:t>fetal</w:t>
      </w:r>
      <w:proofErr w:type="spellEnd"/>
      <w:r w:rsidRPr="00922346">
        <w:t xml:space="preserve"> toxicity and teratogenicity at the proposed clinical dose. Pregnancy</w:t>
      </w:r>
      <w:r w:rsidR="00CB249E">
        <w:t xml:space="preserve"> category</w:t>
      </w:r>
      <w:r w:rsidRPr="00922346">
        <w:t xml:space="preserve"> D is considered appropriate.</w:t>
      </w:r>
      <w:r>
        <w:rPr>
          <w:rStyle w:val="FootnoteReference"/>
        </w:rPr>
        <w:footnoteReference w:id="17"/>
      </w:r>
    </w:p>
    <w:p w14:paraId="57C507A5" w14:textId="4E0ABFC3" w:rsidR="004E5B09" w:rsidRDefault="00922346" w:rsidP="003C65F0">
      <w:pPr>
        <w:pStyle w:val="ListBullet"/>
      </w:pPr>
      <w:r w:rsidRPr="00922346">
        <w:t>The juvenile rat was more sensitive than the adult to entrectinib-induced toxicities, with deficits in spatial learning and memory and delayed growth/development (including sexual maturation) as prominent findings.</w:t>
      </w:r>
    </w:p>
    <w:p w14:paraId="3CC337E2" w14:textId="0BA01EA8" w:rsidR="007B6132" w:rsidRDefault="008E7846" w:rsidP="00090EE6">
      <w:pPr>
        <w:pStyle w:val="Heading3"/>
      </w:pPr>
      <w:bookmarkStart w:id="44" w:name="_Toc52891257"/>
      <w:r>
        <w:t>Clinical</w:t>
      </w:r>
      <w:bookmarkStart w:id="45" w:name="_Toc314842514"/>
      <w:bookmarkEnd w:id="42"/>
      <w:bookmarkEnd w:id="43"/>
      <w:bookmarkEnd w:id="44"/>
    </w:p>
    <w:p w14:paraId="7C1E2E60" w14:textId="435FEEE4" w:rsidR="00C7477E" w:rsidRDefault="00090EE6" w:rsidP="00C7477E">
      <w:r>
        <w:t>The clinical eva</w:t>
      </w:r>
      <w:r w:rsidR="00DD0134">
        <w:t>luator has recommended approval</w:t>
      </w:r>
      <w:bookmarkStart w:id="46" w:name="_Ref8660512"/>
      <w:r w:rsidR="007772AC">
        <w:t>. The d</w:t>
      </w:r>
      <w:r w:rsidR="00C7477E">
        <w:t xml:space="preserve">ossier contained clinical pharmacology, Phase I and Phase II studies. There were no Phase III studies. The studies included patients with </w:t>
      </w:r>
      <w:r w:rsidR="00C7477E" w:rsidRPr="000C761A">
        <w:rPr>
          <w:i/>
        </w:rPr>
        <w:t>NTRK1</w:t>
      </w:r>
      <w:r w:rsidR="00C7477E">
        <w:t xml:space="preserve">, </w:t>
      </w:r>
      <w:r w:rsidR="00C7477E" w:rsidRPr="000C761A">
        <w:rPr>
          <w:i/>
        </w:rPr>
        <w:t>NTRK2</w:t>
      </w:r>
      <w:r w:rsidR="00C7477E">
        <w:t xml:space="preserve">, </w:t>
      </w:r>
      <w:r w:rsidR="00C7477E" w:rsidRPr="000C761A">
        <w:rPr>
          <w:i/>
        </w:rPr>
        <w:t>NTRK3</w:t>
      </w:r>
      <w:r w:rsidR="00C7477E">
        <w:t xml:space="preserve">, </w:t>
      </w:r>
      <w:r w:rsidR="00C7477E" w:rsidRPr="000C761A">
        <w:rPr>
          <w:i/>
        </w:rPr>
        <w:t>ROS1</w:t>
      </w:r>
      <w:r w:rsidR="00EF35E0">
        <w:t xml:space="preserve">, or </w:t>
      </w:r>
      <w:r w:rsidR="00EF35E0" w:rsidRPr="000C761A">
        <w:rPr>
          <w:i/>
        </w:rPr>
        <w:t>ALK</w:t>
      </w:r>
      <w:r w:rsidR="00EF35E0">
        <w:t xml:space="preserve"> molecular alterations.</w:t>
      </w:r>
    </w:p>
    <w:p w14:paraId="2CFAF3A3" w14:textId="0FC6E1DE" w:rsidR="002644AA" w:rsidRDefault="002644AA" w:rsidP="00313A30">
      <w:pPr>
        <w:pStyle w:val="TableTitle"/>
        <w:pageBreakBefore/>
      </w:pPr>
      <w:bookmarkStart w:id="47" w:name="_Ref50708328"/>
      <w:r>
        <w:lastRenderedPageBreak/>
        <w:t xml:space="preserve">Table </w:t>
      </w:r>
      <w:fldSimple w:instr=" SEQ Table \* ARABIC ">
        <w:r w:rsidR="009B407B">
          <w:rPr>
            <w:noProof/>
          </w:rPr>
          <w:t>4</w:t>
        </w:r>
      </w:fldSimple>
      <w:bookmarkEnd w:id="47"/>
      <w:r w:rsidR="00A44A8A">
        <w:rPr>
          <w:noProof/>
        </w:rPr>
        <w:t>:</w:t>
      </w:r>
      <w:r>
        <w:t xml:space="preserve"> Overview of the clinical studies of entrectinib from which pharmacology, efficacy and safety data supporting this submission were obtained</w:t>
      </w:r>
    </w:p>
    <w:tbl>
      <w:tblPr>
        <w:tblStyle w:val="TableTGAblue"/>
        <w:tblW w:w="5000" w:type="pct"/>
        <w:tblLayout w:type="fixed"/>
        <w:tblLook w:val="04A0" w:firstRow="1" w:lastRow="0" w:firstColumn="1" w:lastColumn="0" w:noHBand="0" w:noVBand="1"/>
      </w:tblPr>
      <w:tblGrid>
        <w:gridCol w:w="1413"/>
        <w:gridCol w:w="1417"/>
        <w:gridCol w:w="1276"/>
        <w:gridCol w:w="994"/>
        <w:gridCol w:w="567"/>
        <w:gridCol w:w="849"/>
        <w:gridCol w:w="994"/>
        <w:gridCol w:w="984"/>
      </w:tblGrid>
      <w:tr w:rsidR="00871C4E" w:rsidRPr="002644AA" w14:paraId="29190AB0" w14:textId="77777777" w:rsidTr="003C65F0">
        <w:trPr>
          <w:cnfStyle w:val="100000000000" w:firstRow="1" w:lastRow="0" w:firstColumn="0" w:lastColumn="0" w:oddVBand="0" w:evenVBand="0" w:oddHBand="0" w:evenHBand="0" w:firstRowFirstColumn="0" w:firstRowLastColumn="0" w:lastRowFirstColumn="0" w:lastRowLastColumn="0"/>
          <w:trHeight w:val="617"/>
        </w:trPr>
        <w:tc>
          <w:tcPr>
            <w:tcW w:w="832" w:type="pct"/>
            <w:vMerge w:val="restart"/>
            <w:tcBorders>
              <w:top w:val="single" w:sz="4" w:space="0" w:color="auto"/>
              <w:left w:val="single" w:sz="4" w:space="0" w:color="auto"/>
              <w:bottom w:val="single" w:sz="4" w:space="0" w:color="auto"/>
              <w:right w:val="single" w:sz="4" w:space="0" w:color="auto"/>
            </w:tcBorders>
          </w:tcPr>
          <w:p w14:paraId="40B203C5" w14:textId="77777777" w:rsidR="002644AA" w:rsidRPr="007772AC" w:rsidRDefault="002644AA" w:rsidP="007772AC">
            <w:pPr>
              <w:pStyle w:val="Tabletext"/>
              <w:ind w:left="0" w:right="0"/>
              <w:rPr>
                <w:sz w:val="20"/>
                <w:szCs w:val="20"/>
              </w:rPr>
            </w:pPr>
            <w:r w:rsidRPr="007772AC">
              <w:rPr>
                <w:sz w:val="20"/>
                <w:szCs w:val="20"/>
              </w:rPr>
              <w:t>Reference #</w:t>
            </w:r>
          </w:p>
        </w:tc>
        <w:tc>
          <w:tcPr>
            <w:tcW w:w="834" w:type="pct"/>
            <w:vMerge w:val="restart"/>
            <w:tcBorders>
              <w:top w:val="single" w:sz="4" w:space="0" w:color="auto"/>
              <w:left w:val="single" w:sz="4" w:space="0" w:color="auto"/>
              <w:bottom w:val="single" w:sz="4" w:space="0" w:color="auto"/>
              <w:right w:val="single" w:sz="4" w:space="0" w:color="auto"/>
            </w:tcBorders>
          </w:tcPr>
          <w:p w14:paraId="08477A15" w14:textId="77777777" w:rsidR="002644AA" w:rsidRPr="007772AC" w:rsidRDefault="002644AA" w:rsidP="007772AC">
            <w:pPr>
              <w:pStyle w:val="Tabletext"/>
              <w:ind w:left="0" w:right="0"/>
              <w:rPr>
                <w:sz w:val="20"/>
                <w:szCs w:val="20"/>
              </w:rPr>
            </w:pPr>
            <w:r w:rsidRPr="007772AC">
              <w:rPr>
                <w:sz w:val="20"/>
                <w:szCs w:val="20"/>
              </w:rPr>
              <w:t>Description</w:t>
            </w:r>
          </w:p>
        </w:tc>
        <w:tc>
          <w:tcPr>
            <w:tcW w:w="751" w:type="pct"/>
            <w:vMerge w:val="restart"/>
            <w:tcBorders>
              <w:top w:val="single" w:sz="4" w:space="0" w:color="auto"/>
              <w:left w:val="single" w:sz="4" w:space="0" w:color="auto"/>
              <w:bottom w:val="single" w:sz="4" w:space="0" w:color="auto"/>
              <w:right w:val="single" w:sz="4" w:space="0" w:color="auto"/>
            </w:tcBorders>
          </w:tcPr>
          <w:p w14:paraId="39231F1E" w14:textId="77777777" w:rsidR="002644AA" w:rsidRPr="007772AC" w:rsidRDefault="002644AA" w:rsidP="007772AC">
            <w:pPr>
              <w:pStyle w:val="Tabletext"/>
              <w:ind w:left="0" w:right="0"/>
              <w:rPr>
                <w:sz w:val="20"/>
                <w:szCs w:val="20"/>
              </w:rPr>
            </w:pPr>
            <w:r w:rsidRPr="007772AC">
              <w:rPr>
                <w:sz w:val="20"/>
                <w:szCs w:val="20"/>
              </w:rPr>
              <w:t>Objectives</w:t>
            </w:r>
          </w:p>
        </w:tc>
        <w:tc>
          <w:tcPr>
            <w:tcW w:w="585" w:type="pct"/>
            <w:vMerge w:val="restart"/>
            <w:tcBorders>
              <w:top w:val="single" w:sz="4" w:space="0" w:color="auto"/>
              <w:left w:val="single" w:sz="4" w:space="0" w:color="auto"/>
              <w:bottom w:val="single" w:sz="4" w:space="0" w:color="auto"/>
              <w:right w:val="single" w:sz="4" w:space="0" w:color="auto"/>
            </w:tcBorders>
          </w:tcPr>
          <w:p w14:paraId="136D912D" w14:textId="77777777" w:rsidR="002644AA" w:rsidRPr="007772AC" w:rsidRDefault="002644AA" w:rsidP="007772AC">
            <w:pPr>
              <w:pStyle w:val="Tabletext"/>
              <w:ind w:left="0" w:right="0"/>
              <w:rPr>
                <w:sz w:val="20"/>
                <w:szCs w:val="20"/>
              </w:rPr>
            </w:pPr>
            <w:proofErr w:type="spellStart"/>
            <w:r w:rsidRPr="007772AC">
              <w:rPr>
                <w:sz w:val="20"/>
                <w:szCs w:val="20"/>
              </w:rPr>
              <w:t>Dose</w:t>
            </w:r>
            <w:r w:rsidRPr="007772AC">
              <w:rPr>
                <w:sz w:val="20"/>
                <w:szCs w:val="20"/>
                <w:vertAlign w:val="superscript"/>
              </w:rPr>
              <w:t>A</w:t>
            </w:r>
            <w:proofErr w:type="spellEnd"/>
          </w:p>
        </w:tc>
        <w:tc>
          <w:tcPr>
            <w:tcW w:w="1998" w:type="pct"/>
            <w:gridSpan w:val="4"/>
            <w:tcBorders>
              <w:top w:val="single" w:sz="4" w:space="0" w:color="auto"/>
              <w:left w:val="single" w:sz="4" w:space="0" w:color="auto"/>
              <w:bottom w:val="single" w:sz="4" w:space="0" w:color="auto"/>
              <w:right w:val="single" w:sz="4" w:space="0" w:color="auto"/>
            </w:tcBorders>
          </w:tcPr>
          <w:p w14:paraId="6D672591" w14:textId="77777777" w:rsidR="002644AA" w:rsidRPr="007772AC" w:rsidRDefault="002644AA" w:rsidP="007772AC">
            <w:pPr>
              <w:pStyle w:val="Tabletext"/>
              <w:ind w:left="0" w:right="0"/>
              <w:rPr>
                <w:sz w:val="20"/>
                <w:szCs w:val="20"/>
              </w:rPr>
            </w:pPr>
            <w:r w:rsidRPr="007772AC">
              <w:rPr>
                <w:sz w:val="20"/>
                <w:szCs w:val="20"/>
              </w:rPr>
              <w:t>Population size</w:t>
            </w:r>
          </w:p>
        </w:tc>
      </w:tr>
      <w:tr w:rsidR="00871C4E" w:rsidRPr="002644AA" w14:paraId="50ECC5D7" w14:textId="77777777" w:rsidTr="000C761A">
        <w:trPr>
          <w:trHeight w:val="291"/>
        </w:trPr>
        <w:tc>
          <w:tcPr>
            <w:tcW w:w="832" w:type="pct"/>
            <w:vMerge/>
            <w:tcBorders>
              <w:top w:val="single" w:sz="4" w:space="0" w:color="auto"/>
              <w:left w:val="single" w:sz="4" w:space="0" w:color="auto"/>
              <w:bottom w:val="single" w:sz="4" w:space="0" w:color="auto"/>
              <w:right w:val="single" w:sz="4" w:space="0" w:color="auto"/>
            </w:tcBorders>
          </w:tcPr>
          <w:p w14:paraId="40BBC1B4" w14:textId="77777777" w:rsidR="002644AA" w:rsidRPr="007772AC" w:rsidRDefault="002644AA" w:rsidP="007772AC">
            <w:pPr>
              <w:pStyle w:val="Tabletext"/>
              <w:ind w:left="0" w:right="0"/>
              <w:rPr>
                <w:sz w:val="20"/>
                <w:szCs w:val="20"/>
              </w:rPr>
            </w:pPr>
          </w:p>
        </w:tc>
        <w:tc>
          <w:tcPr>
            <w:tcW w:w="834" w:type="pct"/>
            <w:vMerge/>
            <w:tcBorders>
              <w:top w:val="single" w:sz="4" w:space="0" w:color="auto"/>
              <w:left w:val="single" w:sz="4" w:space="0" w:color="auto"/>
              <w:bottom w:val="single" w:sz="4" w:space="0" w:color="auto"/>
              <w:right w:val="single" w:sz="4" w:space="0" w:color="auto"/>
            </w:tcBorders>
          </w:tcPr>
          <w:p w14:paraId="7E02DFF7" w14:textId="77777777" w:rsidR="002644AA" w:rsidRPr="007772AC" w:rsidRDefault="002644AA" w:rsidP="007772AC">
            <w:pPr>
              <w:pStyle w:val="Tabletext"/>
              <w:ind w:left="0" w:right="0"/>
              <w:rPr>
                <w:sz w:val="20"/>
                <w:szCs w:val="20"/>
              </w:rPr>
            </w:pPr>
          </w:p>
        </w:tc>
        <w:tc>
          <w:tcPr>
            <w:tcW w:w="751" w:type="pct"/>
            <w:vMerge/>
            <w:tcBorders>
              <w:top w:val="single" w:sz="4" w:space="0" w:color="auto"/>
              <w:left w:val="single" w:sz="4" w:space="0" w:color="auto"/>
              <w:bottom w:val="single" w:sz="4" w:space="0" w:color="auto"/>
              <w:right w:val="single" w:sz="4" w:space="0" w:color="auto"/>
            </w:tcBorders>
          </w:tcPr>
          <w:p w14:paraId="4F57152B" w14:textId="77777777" w:rsidR="002644AA" w:rsidRPr="007772AC" w:rsidRDefault="002644AA" w:rsidP="007772AC">
            <w:pPr>
              <w:pStyle w:val="Tabletext"/>
              <w:ind w:left="0" w:right="0"/>
              <w:rPr>
                <w:sz w:val="20"/>
                <w:szCs w:val="20"/>
              </w:rPr>
            </w:pPr>
          </w:p>
        </w:tc>
        <w:tc>
          <w:tcPr>
            <w:tcW w:w="585" w:type="pct"/>
            <w:vMerge/>
            <w:tcBorders>
              <w:top w:val="single" w:sz="4" w:space="0" w:color="auto"/>
              <w:left w:val="single" w:sz="4" w:space="0" w:color="auto"/>
              <w:bottom w:val="single" w:sz="4" w:space="0" w:color="auto"/>
              <w:right w:val="single" w:sz="4" w:space="0" w:color="auto"/>
            </w:tcBorders>
          </w:tcPr>
          <w:p w14:paraId="5AD3F7FF" w14:textId="77777777" w:rsidR="002644AA" w:rsidRPr="007772AC" w:rsidRDefault="002644AA" w:rsidP="007772AC">
            <w:pPr>
              <w:pStyle w:val="Tabletext"/>
              <w:ind w:left="0" w:right="0"/>
              <w:rPr>
                <w:sz w:val="20"/>
                <w:szCs w:val="20"/>
              </w:rPr>
            </w:pPr>
          </w:p>
        </w:tc>
        <w:tc>
          <w:tcPr>
            <w:tcW w:w="334" w:type="pct"/>
            <w:tcBorders>
              <w:top w:val="single" w:sz="4" w:space="0" w:color="auto"/>
              <w:left w:val="single" w:sz="4" w:space="0" w:color="auto"/>
              <w:bottom w:val="single" w:sz="4" w:space="0" w:color="auto"/>
              <w:right w:val="single" w:sz="4" w:space="0" w:color="auto"/>
            </w:tcBorders>
            <w:shd w:val="clear" w:color="auto" w:fill="006DA7"/>
          </w:tcPr>
          <w:p w14:paraId="10DDE8A0" w14:textId="77777777" w:rsidR="002644AA" w:rsidRPr="001823E7" w:rsidRDefault="002644AA" w:rsidP="007772AC">
            <w:pPr>
              <w:pStyle w:val="Tabletext"/>
              <w:ind w:left="0" w:right="0"/>
              <w:rPr>
                <w:color w:val="FFFFFF" w:themeColor="background1"/>
                <w:sz w:val="20"/>
                <w:szCs w:val="20"/>
              </w:rPr>
            </w:pPr>
            <w:r w:rsidRPr="001823E7">
              <w:rPr>
                <w:color w:val="FFFFFF" w:themeColor="background1"/>
                <w:sz w:val="20"/>
                <w:szCs w:val="20"/>
              </w:rPr>
              <w:t>PK</w:t>
            </w:r>
          </w:p>
        </w:tc>
        <w:tc>
          <w:tcPr>
            <w:tcW w:w="500" w:type="pct"/>
            <w:tcBorders>
              <w:top w:val="single" w:sz="4" w:space="0" w:color="auto"/>
              <w:left w:val="single" w:sz="4" w:space="0" w:color="auto"/>
              <w:bottom w:val="single" w:sz="4" w:space="0" w:color="auto"/>
              <w:right w:val="single" w:sz="4" w:space="0" w:color="auto"/>
            </w:tcBorders>
            <w:shd w:val="clear" w:color="auto" w:fill="006DA7"/>
          </w:tcPr>
          <w:p w14:paraId="2C3206B0" w14:textId="77777777" w:rsidR="002644AA" w:rsidRPr="001823E7" w:rsidRDefault="002644AA" w:rsidP="007772AC">
            <w:pPr>
              <w:pStyle w:val="Tabletext"/>
              <w:ind w:left="0" w:right="0"/>
              <w:rPr>
                <w:color w:val="FFFFFF" w:themeColor="background1"/>
                <w:sz w:val="20"/>
                <w:szCs w:val="20"/>
              </w:rPr>
            </w:pPr>
            <w:r w:rsidRPr="001823E7">
              <w:rPr>
                <w:color w:val="FFFFFF" w:themeColor="background1"/>
                <w:sz w:val="20"/>
                <w:szCs w:val="20"/>
              </w:rPr>
              <w:t>Safety</w:t>
            </w:r>
          </w:p>
        </w:tc>
        <w:tc>
          <w:tcPr>
            <w:tcW w:w="585" w:type="pct"/>
            <w:tcBorders>
              <w:top w:val="single" w:sz="4" w:space="0" w:color="auto"/>
              <w:left w:val="single" w:sz="4" w:space="0" w:color="auto"/>
              <w:bottom w:val="single" w:sz="4" w:space="0" w:color="auto"/>
              <w:right w:val="single" w:sz="4" w:space="0" w:color="auto"/>
            </w:tcBorders>
            <w:shd w:val="clear" w:color="auto" w:fill="006DA7"/>
          </w:tcPr>
          <w:p w14:paraId="16374922" w14:textId="77777777" w:rsidR="002644AA" w:rsidRPr="001823E7" w:rsidRDefault="002644AA" w:rsidP="007772AC">
            <w:pPr>
              <w:pStyle w:val="Tabletext"/>
              <w:ind w:left="0" w:right="0"/>
              <w:rPr>
                <w:color w:val="FFFFFF" w:themeColor="background1"/>
                <w:sz w:val="20"/>
                <w:szCs w:val="20"/>
              </w:rPr>
            </w:pPr>
            <w:r w:rsidRPr="001823E7">
              <w:rPr>
                <w:color w:val="FFFFFF" w:themeColor="background1"/>
                <w:sz w:val="20"/>
                <w:szCs w:val="20"/>
              </w:rPr>
              <w:t>Efficacy (NTRK)</w:t>
            </w:r>
            <w:r w:rsidRPr="001823E7">
              <w:rPr>
                <w:color w:val="FFFFFF" w:themeColor="background1"/>
                <w:sz w:val="20"/>
                <w:szCs w:val="20"/>
                <w:vertAlign w:val="superscript"/>
              </w:rPr>
              <w:t>B</w:t>
            </w:r>
          </w:p>
        </w:tc>
        <w:tc>
          <w:tcPr>
            <w:tcW w:w="579" w:type="pct"/>
            <w:tcBorders>
              <w:top w:val="single" w:sz="4" w:space="0" w:color="auto"/>
              <w:left w:val="single" w:sz="4" w:space="0" w:color="auto"/>
              <w:bottom w:val="single" w:sz="4" w:space="0" w:color="auto"/>
              <w:right w:val="single" w:sz="4" w:space="0" w:color="auto"/>
            </w:tcBorders>
            <w:shd w:val="clear" w:color="auto" w:fill="006DA7"/>
          </w:tcPr>
          <w:p w14:paraId="61FD63DB" w14:textId="77777777" w:rsidR="002644AA" w:rsidRPr="001823E7" w:rsidRDefault="002644AA" w:rsidP="007772AC">
            <w:pPr>
              <w:pStyle w:val="Tabletext"/>
              <w:ind w:left="0" w:right="0"/>
              <w:rPr>
                <w:color w:val="FFFFFF" w:themeColor="background1"/>
                <w:sz w:val="20"/>
                <w:szCs w:val="20"/>
              </w:rPr>
            </w:pPr>
            <w:r w:rsidRPr="001823E7">
              <w:rPr>
                <w:color w:val="FFFFFF" w:themeColor="background1"/>
                <w:sz w:val="20"/>
                <w:szCs w:val="20"/>
              </w:rPr>
              <w:t>Efficacy (ROS1)</w:t>
            </w:r>
          </w:p>
        </w:tc>
      </w:tr>
      <w:tr w:rsidR="002644AA" w:rsidRPr="002644AA" w14:paraId="7BB9033D" w14:textId="77777777" w:rsidTr="003C65F0">
        <w:trPr>
          <w:trHeight w:val="109"/>
        </w:trPr>
        <w:tc>
          <w:tcPr>
            <w:tcW w:w="5000" w:type="pct"/>
            <w:gridSpan w:val="8"/>
            <w:tcBorders>
              <w:top w:val="single" w:sz="4" w:space="0" w:color="auto"/>
            </w:tcBorders>
          </w:tcPr>
          <w:p w14:paraId="266E978F" w14:textId="77777777" w:rsidR="002644AA" w:rsidRPr="007772AC" w:rsidRDefault="002644AA" w:rsidP="007772AC">
            <w:pPr>
              <w:pStyle w:val="Tabletext"/>
              <w:ind w:left="0" w:right="0"/>
              <w:rPr>
                <w:sz w:val="20"/>
                <w:szCs w:val="20"/>
              </w:rPr>
            </w:pPr>
            <w:r w:rsidRPr="007772AC">
              <w:rPr>
                <w:sz w:val="20"/>
                <w:szCs w:val="20"/>
              </w:rPr>
              <w:t>Clinical studies in patients</w:t>
            </w:r>
          </w:p>
        </w:tc>
      </w:tr>
      <w:tr w:rsidR="00871C4E" w:rsidRPr="002644AA" w14:paraId="0673D40E" w14:textId="77777777" w:rsidTr="000C761A">
        <w:trPr>
          <w:trHeight w:val="109"/>
        </w:trPr>
        <w:tc>
          <w:tcPr>
            <w:tcW w:w="832" w:type="pct"/>
          </w:tcPr>
          <w:p w14:paraId="03BE4781" w14:textId="77777777" w:rsidR="002644AA" w:rsidRPr="007772AC" w:rsidRDefault="002644AA" w:rsidP="007772AC">
            <w:pPr>
              <w:pStyle w:val="Tabletext"/>
              <w:ind w:left="0" w:right="0"/>
              <w:rPr>
                <w:sz w:val="20"/>
                <w:szCs w:val="20"/>
              </w:rPr>
            </w:pPr>
            <w:r w:rsidRPr="007772AC">
              <w:rPr>
                <w:sz w:val="20"/>
                <w:szCs w:val="20"/>
              </w:rPr>
              <w:t>ALKA-372-001 (GO40783)</w:t>
            </w:r>
          </w:p>
          <w:p w14:paraId="35C9DB95" w14:textId="2B66D9B5" w:rsidR="002644AA" w:rsidRPr="007772AC" w:rsidRDefault="006A4045" w:rsidP="007772AC">
            <w:pPr>
              <w:pStyle w:val="Tabletext"/>
              <w:ind w:left="0" w:right="0"/>
              <w:rPr>
                <w:sz w:val="20"/>
                <w:szCs w:val="20"/>
              </w:rPr>
            </w:pPr>
            <w:r>
              <w:rPr>
                <w:sz w:val="20"/>
                <w:szCs w:val="20"/>
              </w:rPr>
              <w:t>‘ALKA’</w:t>
            </w:r>
          </w:p>
        </w:tc>
        <w:tc>
          <w:tcPr>
            <w:tcW w:w="834" w:type="pct"/>
          </w:tcPr>
          <w:p w14:paraId="1BF9B40E" w14:textId="6B66BDFC" w:rsidR="002644AA" w:rsidRPr="007772AC" w:rsidRDefault="00324C55" w:rsidP="007772AC">
            <w:pPr>
              <w:pStyle w:val="Tabletext"/>
              <w:ind w:left="0" w:right="0"/>
              <w:rPr>
                <w:sz w:val="20"/>
                <w:szCs w:val="20"/>
              </w:rPr>
            </w:pPr>
            <w:r>
              <w:rPr>
                <w:sz w:val="20"/>
                <w:szCs w:val="20"/>
              </w:rPr>
              <w:t xml:space="preserve">First in </w:t>
            </w:r>
            <w:r w:rsidR="002644AA" w:rsidRPr="007772AC">
              <w:rPr>
                <w:sz w:val="20"/>
                <w:szCs w:val="20"/>
              </w:rPr>
              <w:t>human, dose escalation (3</w:t>
            </w:r>
            <w:r w:rsidR="00871C4E">
              <w:rPr>
                <w:sz w:val="20"/>
                <w:szCs w:val="20"/>
              </w:rPr>
              <w:t> </w:t>
            </w:r>
            <w:r w:rsidR="002644AA" w:rsidRPr="007772AC">
              <w:rPr>
                <w:sz w:val="20"/>
                <w:szCs w:val="20"/>
              </w:rPr>
              <w:t>+</w:t>
            </w:r>
            <w:r w:rsidR="00871C4E">
              <w:rPr>
                <w:sz w:val="20"/>
                <w:szCs w:val="20"/>
              </w:rPr>
              <w:t> </w:t>
            </w:r>
            <w:r w:rsidR="002644AA" w:rsidRPr="007772AC">
              <w:rPr>
                <w:sz w:val="20"/>
                <w:szCs w:val="20"/>
              </w:rPr>
              <w:t xml:space="preserve">3 design) in adults with NTRK1/2/3, ROS1 or ALK+ </w:t>
            </w:r>
            <w:r w:rsidR="00BA3D07" w:rsidRPr="002644AA">
              <w:t>advanced or metastatic</w:t>
            </w:r>
            <w:r w:rsidR="00BA3D07" w:rsidRPr="007772AC">
              <w:rPr>
                <w:sz w:val="20"/>
                <w:szCs w:val="20"/>
              </w:rPr>
              <w:t xml:space="preserve"> </w:t>
            </w:r>
            <w:r w:rsidR="00BA3D07">
              <w:rPr>
                <w:sz w:val="20"/>
                <w:szCs w:val="20"/>
              </w:rPr>
              <w:t>(</w:t>
            </w:r>
            <w:proofErr w:type="spellStart"/>
            <w:r w:rsidR="002644AA" w:rsidRPr="007772AC">
              <w:rPr>
                <w:sz w:val="20"/>
                <w:szCs w:val="20"/>
              </w:rPr>
              <w:t>adv</w:t>
            </w:r>
            <w:proofErr w:type="spellEnd"/>
            <w:r w:rsidR="002644AA" w:rsidRPr="007772AC">
              <w:rPr>
                <w:sz w:val="20"/>
                <w:szCs w:val="20"/>
              </w:rPr>
              <w:t>/met</w:t>
            </w:r>
            <w:r w:rsidR="00BA3D07">
              <w:rPr>
                <w:sz w:val="20"/>
                <w:szCs w:val="20"/>
              </w:rPr>
              <w:t>)</w:t>
            </w:r>
            <w:r w:rsidR="002644AA" w:rsidRPr="007772AC">
              <w:rPr>
                <w:sz w:val="20"/>
                <w:szCs w:val="20"/>
              </w:rPr>
              <w:t xml:space="preserve"> solid tumours. Formulation: F1</w:t>
            </w:r>
          </w:p>
        </w:tc>
        <w:tc>
          <w:tcPr>
            <w:tcW w:w="751" w:type="pct"/>
          </w:tcPr>
          <w:p w14:paraId="557D3728" w14:textId="250704C4" w:rsidR="002644AA" w:rsidRPr="007772AC" w:rsidRDefault="00BA3D07" w:rsidP="007772AC">
            <w:pPr>
              <w:pStyle w:val="Tabletext"/>
              <w:ind w:left="0" w:right="0"/>
              <w:rPr>
                <w:sz w:val="20"/>
                <w:szCs w:val="20"/>
              </w:rPr>
            </w:pPr>
            <w:r>
              <w:t>D</w:t>
            </w:r>
            <w:r w:rsidRPr="002644AA">
              <w:t>ose limiting toxicities</w:t>
            </w:r>
            <w:r>
              <w:t xml:space="preserve"> (DLTs), </w:t>
            </w:r>
            <w:r w:rsidRPr="002644AA">
              <w:t>maximum tolerated dose</w:t>
            </w:r>
            <w:r w:rsidR="002644AA" w:rsidRPr="007772AC">
              <w:rPr>
                <w:sz w:val="20"/>
                <w:szCs w:val="20"/>
              </w:rPr>
              <w:t xml:space="preserve"> </w:t>
            </w:r>
            <w:r>
              <w:rPr>
                <w:sz w:val="20"/>
                <w:szCs w:val="20"/>
              </w:rPr>
              <w:t>(</w:t>
            </w:r>
            <w:r w:rsidR="002644AA" w:rsidRPr="007772AC">
              <w:rPr>
                <w:sz w:val="20"/>
                <w:szCs w:val="20"/>
              </w:rPr>
              <w:t>MTD</w:t>
            </w:r>
            <w:r>
              <w:rPr>
                <w:sz w:val="20"/>
                <w:szCs w:val="20"/>
              </w:rPr>
              <w:t>)</w:t>
            </w:r>
          </w:p>
        </w:tc>
        <w:tc>
          <w:tcPr>
            <w:tcW w:w="585" w:type="pct"/>
          </w:tcPr>
          <w:p w14:paraId="3FB9CA9B" w14:textId="36D2EB32" w:rsidR="002644AA" w:rsidRPr="007772AC" w:rsidRDefault="002644AA" w:rsidP="007772AC">
            <w:pPr>
              <w:pStyle w:val="Tabletext"/>
              <w:ind w:left="0" w:right="0"/>
              <w:rPr>
                <w:sz w:val="20"/>
                <w:szCs w:val="20"/>
              </w:rPr>
            </w:pPr>
            <w:r w:rsidRPr="007772AC">
              <w:rPr>
                <w:sz w:val="20"/>
                <w:szCs w:val="20"/>
              </w:rPr>
              <w:t>100</w:t>
            </w:r>
            <w:r w:rsidR="00893EAA">
              <w:rPr>
                <w:sz w:val="20"/>
                <w:szCs w:val="20"/>
              </w:rPr>
              <w:t xml:space="preserve"> to </w:t>
            </w:r>
            <w:r w:rsidRPr="007772AC">
              <w:rPr>
                <w:sz w:val="20"/>
                <w:szCs w:val="20"/>
              </w:rPr>
              <w:t>1600 mg/day</w:t>
            </w:r>
          </w:p>
        </w:tc>
        <w:tc>
          <w:tcPr>
            <w:tcW w:w="334" w:type="pct"/>
          </w:tcPr>
          <w:p w14:paraId="559E6450" w14:textId="77777777" w:rsidR="002644AA" w:rsidRPr="007772AC" w:rsidRDefault="002644AA" w:rsidP="007772AC">
            <w:pPr>
              <w:pStyle w:val="Tabletext"/>
              <w:ind w:left="0" w:right="0"/>
              <w:rPr>
                <w:sz w:val="20"/>
                <w:szCs w:val="20"/>
              </w:rPr>
            </w:pPr>
            <w:r w:rsidRPr="007772AC">
              <w:rPr>
                <w:sz w:val="20"/>
                <w:szCs w:val="20"/>
              </w:rPr>
              <w:t>57</w:t>
            </w:r>
          </w:p>
        </w:tc>
        <w:tc>
          <w:tcPr>
            <w:tcW w:w="500" w:type="pct"/>
          </w:tcPr>
          <w:p w14:paraId="387B4042" w14:textId="77777777" w:rsidR="002644AA" w:rsidRPr="007772AC" w:rsidRDefault="002644AA" w:rsidP="007772AC">
            <w:pPr>
              <w:pStyle w:val="Tabletext"/>
              <w:ind w:left="0" w:right="0"/>
              <w:rPr>
                <w:sz w:val="20"/>
                <w:szCs w:val="20"/>
              </w:rPr>
            </w:pPr>
            <w:r w:rsidRPr="007772AC">
              <w:rPr>
                <w:sz w:val="20"/>
                <w:szCs w:val="20"/>
              </w:rPr>
              <w:t>57</w:t>
            </w:r>
          </w:p>
        </w:tc>
        <w:tc>
          <w:tcPr>
            <w:tcW w:w="585" w:type="pct"/>
          </w:tcPr>
          <w:p w14:paraId="6B5CECBB" w14:textId="77777777" w:rsidR="002644AA" w:rsidRPr="007772AC" w:rsidRDefault="002644AA" w:rsidP="007772AC">
            <w:pPr>
              <w:pStyle w:val="Tabletext"/>
              <w:ind w:left="0" w:right="0"/>
              <w:rPr>
                <w:sz w:val="20"/>
                <w:szCs w:val="20"/>
              </w:rPr>
            </w:pPr>
            <w:r w:rsidRPr="007772AC">
              <w:rPr>
                <w:sz w:val="20"/>
                <w:szCs w:val="20"/>
              </w:rPr>
              <w:t>1</w:t>
            </w:r>
          </w:p>
        </w:tc>
        <w:tc>
          <w:tcPr>
            <w:tcW w:w="579" w:type="pct"/>
          </w:tcPr>
          <w:p w14:paraId="66F2AA15" w14:textId="77777777" w:rsidR="002644AA" w:rsidRPr="007772AC" w:rsidRDefault="002644AA" w:rsidP="007772AC">
            <w:pPr>
              <w:pStyle w:val="Tabletext"/>
              <w:ind w:left="0" w:right="0"/>
              <w:rPr>
                <w:sz w:val="20"/>
                <w:szCs w:val="20"/>
              </w:rPr>
            </w:pPr>
            <w:r w:rsidRPr="007772AC">
              <w:rPr>
                <w:sz w:val="20"/>
                <w:szCs w:val="20"/>
              </w:rPr>
              <w:t>9</w:t>
            </w:r>
          </w:p>
        </w:tc>
      </w:tr>
      <w:tr w:rsidR="00871C4E" w:rsidRPr="002644AA" w14:paraId="7141AB19" w14:textId="77777777" w:rsidTr="000C761A">
        <w:trPr>
          <w:trHeight w:val="109"/>
        </w:trPr>
        <w:tc>
          <w:tcPr>
            <w:tcW w:w="832" w:type="pct"/>
          </w:tcPr>
          <w:p w14:paraId="249ACA32" w14:textId="77777777" w:rsidR="002644AA" w:rsidRPr="007772AC" w:rsidRDefault="002644AA" w:rsidP="007772AC">
            <w:pPr>
              <w:pStyle w:val="Tabletext"/>
              <w:ind w:left="0" w:right="0"/>
              <w:rPr>
                <w:sz w:val="20"/>
                <w:szCs w:val="20"/>
              </w:rPr>
            </w:pPr>
            <w:r w:rsidRPr="007772AC">
              <w:rPr>
                <w:sz w:val="20"/>
                <w:szCs w:val="20"/>
              </w:rPr>
              <w:t>RXDX-101-01</w:t>
            </w:r>
          </w:p>
          <w:p w14:paraId="614BA0FA" w14:textId="77777777" w:rsidR="002644AA" w:rsidRPr="007772AC" w:rsidRDefault="002644AA" w:rsidP="007772AC">
            <w:pPr>
              <w:pStyle w:val="Tabletext"/>
              <w:ind w:left="0" w:right="0"/>
              <w:rPr>
                <w:sz w:val="20"/>
                <w:szCs w:val="20"/>
              </w:rPr>
            </w:pPr>
            <w:r w:rsidRPr="007772AC">
              <w:rPr>
                <w:sz w:val="20"/>
                <w:szCs w:val="20"/>
              </w:rPr>
              <w:t>(GO40784)</w:t>
            </w:r>
          </w:p>
          <w:p w14:paraId="2D6B753B" w14:textId="7317E558" w:rsidR="002644AA" w:rsidRPr="007772AC" w:rsidRDefault="006A4045" w:rsidP="007772AC">
            <w:pPr>
              <w:pStyle w:val="Tabletext"/>
              <w:ind w:left="0" w:right="0"/>
              <w:rPr>
                <w:sz w:val="20"/>
                <w:szCs w:val="20"/>
              </w:rPr>
            </w:pPr>
            <w:r>
              <w:rPr>
                <w:sz w:val="20"/>
                <w:szCs w:val="20"/>
              </w:rPr>
              <w:t>‘STARTRK-1’</w:t>
            </w:r>
          </w:p>
        </w:tc>
        <w:tc>
          <w:tcPr>
            <w:tcW w:w="834" w:type="pct"/>
          </w:tcPr>
          <w:p w14:paraId="0E7D2D2E" w14:textId="6BB8D6C5" w:rsidR="002644AA" w:rsidRPr="007772AC" w:rsidRDefault="002644AA" w:rsidP="007772AC">
            <w:pPr>
              <w:pStyle w:val="Tabletext"/>
              <w:ind w:left="0" w:right="0"/>
              <w:rPr>
                <w:sz w:val="20"/>
                <w:szCs w:val="20"/>
              </w:rPr>
            </w:pPr>
            <w:r w:rsidRPr="007772AC">
              <w:rPr>
                <w:sz w:val="20"/>
                <w:szCs w:val="20"/>
              </w:rPr>
              <w:t>Dose escalation (3</w:t>
            </w:r>
            <w:r w:rsidR="00871C4E">
              <w:rPr>
                <w:sz w:val="20"/>
                <w:szCs w:val="20"/>
              </w:rPr>
              <w:t> </w:t>
            </w:r>
            <w:r w:rsidRPr="007772AC">
              <w:rPr>
                <w:sz w:val="20"/>
                <w:szCs w:val="20"/>
              </w:rPr>
              <w:t>+</w:t>
            </w:r>
            <w:r w:rsidR="00871C4E">
              <w:rPr>
                <w:sz w:val="20"/>
                <w:szCs w:val="20"/>
              </w:rPr>
              <w:t> </w:t>
            </w:r>
            <w:r w:rsidRPr="007772AC">
              <w:rPr>
                <w:sz w:val="20"/>
                <w:szCs w:val="20"/>
              </w:rPr>
              <w:t xml:space="preserve">3 design) in adults with NTRK1/2/3, ROS1 or ALK+ </w:t>
            </w:r>
            <w:proofErr w:type="spellStart"/>
            <w:r w:rsidRPr="007772AC">
              <w:rPr>
                <w:sz w:val="20"/>
                <w:szCs w:val="20"/>
              </w:rPr>
              <w:t>adv</w:t>
            </w:r>
            <w:proofErr w:type="spellEnd"/>
            <w:r w:rsidRPr="007772AC">
              <w:rPr>
                <w:sz w:val="20"/>
                <w:szCs w:val="20"/>
              </w:rPr>
              <w:t>/met solid tumours. Formulation: F1 and F2A</w:t>
            </w:r>
          </w:p>
        </w:tc>
        <w:tc>
          <w:tcPr>
            <w:tcW w:w="751" w:type="pct"/>
          </w:tcPr>
          <w:p w14:paraId="733B01E5" w14:textId="24409623" w:rsidR="002644AA" w:rsidRPr="007772AC" w:rsidRDefault="002644AA" w:rsidP="007772AC">
            <w:pPr>
              <w:pStyle w:val="Tabletext"/>
              <w:ind w:left="0" w:right="0"/>
              <w:rPr>
                <w:sz w:val="20"/>
                <w:szCs w:val="20"/>
              </w:rPr>
            </w:pPr>
            <w:r w:rsidRPr="007772AC">
              <w:rPr>
                <w:sz w:val="20"/>
                <w:szCs w:val="20"/>
              </w:rPr>
              <w:t xml:space="preserve">DLTs, MTD, </w:t>
            </w:r>
            <w:r w:rsidR="00C41A0F" w:rsidRPr="00A73D84">
              <w:t xml:space="preserve">recommended </w:t>
            </w:r>
            <w:r w:rsidR="00C41A0F">
              <w:t>Phase II</w:t>
            </w:r>
            <w:r w:rsidR="00C41A0F" w:rsidRPr="00A73D84">
              <w:t xml:space="preserve"> dose (</w:t>
            </w:r>
            <w:r w:rsidR="00B15B4D">
              <w:t>RP2D)</w:t>
            </w:r>
            <w:r w:rsidRPr="007772AC">
              <w:rPr>
                <w:sz w:val="20"/>
                <w:szCs w:val="20"/>
              </w:rPr>
              <w:t xml:space="preserve">, </w:t>
            </w:r>
            <w:r w:rsidR="00BA3D07" w:rsidRPr="002644AA">
              <w:t>objective response rate</w:t>
            </w:r>
            <w:r w:rsidR="00BA3D07" w:rsidRPr="007772AC">
              <w:rPr>
                <w:sz w:val="20"/>
                <w:szCs w:val="20"/>
              </w:rPr>
              <w:t xml:space="preserve"> </w:t>
            </w:r>
            <w:r w:rsidR="00BA3D07">
              <w:rPr>
                <w:sz w:val="20"/>
                <w:szCs w:val="20"/>
              </w:rPr>
              <w:t>(</w:t>
            </w:r>
            <w:r w:rsidRPr="007772AC">
              <w:rPr>
                <w:sz w:val="20"/>
                <w:szCs w:val="20"/>
              </w:rPr>
              <w:t>ORR</w:t>
            </w:r>
            <w:r w:rsidR="00BA3D07">
              <w:rPr>
                <w:sz w:val="20"/>
                <w:szCs w:val="20"/>
              </w:rPr>
              <w:t>)</w:t>
            </w:r>
          </w:p>
        </w:tc>
        <w:tc>
          <w:tcPr>
            <w:tcW w:w="585" w:type="pct"/>
          </w:tcPr>
          <w:p w14:paraId="39C49345" w14:textId="0A7064E4" w:rsidR="002644AA" w:rsidRPr="007772AC" w:rsidRDefault="002644AA" w:rsidP="007772AC">
            <w:pPr>
              <w:pStyle w:val="Tabletext"/>
              <w:ind w:left="0" w:right="0"/>
              <w:rPr>
                <w:sz w:val="20"/>
                <w:szCs w:val="20"/>
              </w:rPr>
            </w:pPr>
            <w:r w:rsidRPr="007772AC">
              <w:rPr>
                <w:sz w:val="20"/>
                <w:szCs w:val="20"/>
              </w:rPr>
              <w:t>100</w:t>
            </w:r>
            <w:r w:rsidR="00893EAA">
              <w:rPr>
                <w:sz w:val="20"/>
                <w:szCs w:val="20"/>
              </w:rPr>
              <w:t xml:space="preserve"> to </w:t>
            </w:r>
            <w:r w:rsidRPr="007772AC">
              <w:rPr>
                <w:sz w:val="20"/>
                <w:szCs w:val="20"/>
              </w:rPr>
              <w:t>800 mg/day</w:t>
            </w:r>
          </w:p>
        </w:tc>
        <w:tc>
          <w:tcPr>
            <w:tcW w:w="334" w:type="pct"/>
          </w:tcPr>
          <w:p w14:paraId="45529941" w14:textId="77777777" w:rsidR="002644AA" w:rsidRPr="007772AC" w:rsidRDefault="002644AA" w:rsidP="007772AC">
            <w:pPr>
              <w:pStyle w:val="Tabletext"/>
              <w:ind w:left="0" w:right="0"/>
              <w:rPr>
                <w:sz w:val="20"/>
                <w:szCs w:val="20"/>
              </w:rPr>
            </w:pPr>
            <w:r w:rsidRPr="007772AC">
              <w:rPr>
                <w:sz w:val="20"/>
                <w:szCs w:val="20"/>
              </w:rPr>
              <w:t>74</w:t>
            </w:r>
          </w:p>
        </w:tc>
        <w:tc>
          <w:tcPr>
            <w:tcW w:w="500" w:type="pct"/>
          </w:tcPr>
          <w:p w14:paraId="0CCE2EA1" w14:textId="77777777" w:rsidR="002644AA" w:rsidRPr="007772AC" w:rsidRDefault="002644AA" w:rsidP="007772AC">
            <w:pPr>
              <w:pStyle w:val="Tabletext"/>
              <w:ind w:left="0" w:right="0"/>
              <w:rPr>
                <w:sz w:val="20"/>
                <w:szCs w:val="20"/>
              </w:rPr>
            </w:pPr>
            <w:r w:rsidRPr="007772AC">
              <w:rPr>
                <w:sz w:val="20"/>
                <w:szCs w:val="20"/>
              </w:rPr>
              <w:t>76</w:t>
            </w:r>
          </w:p>
        </w:tc>
        <w:tc>
          <w:tcPr>
            <w:tcW w:w="585" w:type="pct"/>
          </w:tcPr>
          <w:p w14:paraId="5CDF8C10" w14:textId="5D48AAAE" w:rsidR="002644AA" w:rsidRPr="007772AC" w:rsidRDefault="002644AA" w:rsidP="007772AC">
            <w:pPr>
              <w:pStyle w:val="Tabletext"/>
              <w:ind w:left="0" w:right="0"/>
              <w:rPr>
                <w:sz w:val="20"/>
                <w:szCs w:val="20"/>
              </w:rPr>
            </w:pPr>
            <w:r w:rsidRPr="007772AC">
              <w:rPr>
                <w:sz w:val="20"/>
                <w:szCs w:val="20"/>
              </w:rPr>
              <w:t xml:space="preserve">3 </w:t>
            </w:r>
            <w:r w:rsidR="00313A30">
              <w:rPr>
                <w:sz w:val="20"/>
                <w:szCs w:val="20"/>
              </w:rPr>
              <w:t xml:space="preserve"> </w:t>
            </w:r>
          </w:p>
          <w:p w14:paraId="070D16C9" w14:textId="77777777" w:rsidR="002644AA" w:rsidRPr="007772AC" w:rsidRDefault="002644AA" w:rsidP="007772AC">
            <w:pPr>
              <w:pStyle w:val="Tabletext"/>
              <w:ind w:left="0" w:right="0"/>
              <w:rPr>
                <w:sz w:val="20"/>
                <w:szCs w:val="20"/>
              </w:rPr>
            </w:pPr>
            <w:r w:rsidRPr="007772AC">
              <w:rPr>
                <w:sz w:val="20"/>
                <w:szCs w:val="20"/>
              </w:rPr>
              <w:t>(1 primary CNS)</w:t>
            </w:r>
          </w:p>
        </w:tc>
        <w:tc>
          <w:tcPr>
            <w:tcW w:w="579" w:type="pct"/>
          </w:tcPr>
          <w:p w14:paraId="1C2FCFC0" w14:textId="77777777" w:rsidR="002644AA" w:rsidRPr="007772AC" w:rsidRDefault="002644AA" w:rsidP="007772AC">
            <w:pPr>
              <w:pStyle w:val="Tabletext"/>
              <w:ind w:left="0" w:right="0"/>
              <w:rPr>
                <w:sz w:val="20"/>
                <w:szCs w:val="20"/>
              </w:rPr>
            </w:pPr>
            <w:r w:rsidRPr="007772AC">
              <w:rPr>
                <w:sz w:val="20"/>
                <w:szCs w:val="20"/>
              </w:rPr>
              <w:t>7</w:t>
            </w:r>
          </w:p>
        </w:tc>
      </w:tr>
      <w:tr w:rsidR="00871C4E" w:rsidRPr="002644AA" w14:paraId="7CD52BD2" w14:textId="77777777" w:rsidTr="000C761A">
        <w:trPr>
          <w:trHeight w:val="109"/>
        </w:trPr>
        <w:tc>
          <w:tcPr>
            <w:tcW w:w="832" w:type="pct"/>
          </w:tcPr>
          <w:p w14:paraId="7F4DE0AE" w14:textId="77777777" w:rsidR="002644AA" w:rsidRPr="007772AC" w:rsidRDefault="002644AA" w:rsidP="007772AC">
            <w:pPr>
              <w:pStyle w:val="Tabletext"/>
              <w:ind w:left="0" w:right="0"/>
              <w:rPr>
                <w:sz w:val="20"/>
                <w:szCs w:val="20"/>
              </w:rPr>
            </w:pPr>
            <w:r w:rsidRPr="007772AC">
              <w:rPr>
                <w:sz w:val="20"/>
                <w:szCs w:val="20"/>
              </w:rPr>
              <w:t>RXDX-101-02</w:t>
            </w:r>
          </w:p>
          <w:p w14:paraId="69B16420" w14:textId="77777777" w:rsidR="002644AA" w:rsidRPr="007772AC" w:rsidRDefault="002644AA" w:rsidP="007772AC">
            <w:pPr>
              <w:pStyle w:val="Tabletext"/>
              <w:ind w:left="0" w:right="0"/>
              <w:rPr>
                <w:sz w:val="20"/>
                <w:szCs w:val="20"/>
              </w:rPr>
            </w:pPr>
            <w:r w:rsidRPr="007772AC">
              <w:rPr>
                <w:sz w:val="20"/>
                <w:szCs w:val="20"/>
              </w:rPr>
              <w:t>(GO40782)</w:t>
            </w:r>
          </w:p>
          <w:p w14:paraId="555B15A3" w14:textId="6B0DDE0A" w:rsidR="002644AA" w:rsidRPr="007772AC" w:rsidRDefault="006A4045" w:rsidP="007772AC">
            <w:pPr>
              <w:pStyle w:val="Tabletext"/>
              <w:ind w:left="0" w:right="0"/>
              <w:rPr>
                <w:sz w:val="20"/>
                <w:szCs w:val="20"/>
              </w:rPr>
            </w:pPr>
            <w:r>
              <w:rPr>
                <w:sz w:val="20"/>
                <w:szCs w:val="20"/>
              </w:rPr>
              <w:t>‘STARTRK-2’</w:t>
            </w:r>
          </w:p>
        </w:tc>
        <w:tc>
          <w:tcPr>
            <w:tcW w:w="834" w:type="pct"/>
          </w:tcPr>
          <w:p w14:paraId="2259EB47" w14:textId="77777777" w:rsidR="002644AA" w:rsidRPr="007772AC" w:rsidRDefault="002644AA" w:rsidP="007772AC">
            <w:pPr>
              <w:pStyle w:val="Tabletext"/>
              <w:ind w:left="0" w:right="0"/>
              <w:rPr>
                <w:sz w:val="20"/>
                <w:szCs w:val="20"/>
              </w:rPr>
            </w:pPr>
            <w:r w:rsidRPr="007772AC">
              <w:rPr>
                <w:sz w:val="20"/>
                <w:szCs w:val="20"/>
              </w:rPr>
              <w:t xml:space="preserve">Basket trial adults with NTRK1/2/3, ROS1 or ALK+ </w:t>
            </w:r>
            <w:proofErr w:type="spellStart"/>
            <w:r w:rsidRPr="007772AC">
              <w:rPr>
                <w:sz w:val="20"/>
                <w:szCs w:val="20"/>
              </w:rPr>
              <w:t>adv</w:t>
            </w:r>
            <w:proofErr w:type="spellEnd"/>
            <w:r w:rsidRPr="007772AC">
              <w:rPr>
                <w:sz w:val="20"/>
                <w:szCs w:val="20"/>
              </w:rPr>
              <w:t xml:space="preserve">/met solid tumours excluding ALK+NSCLC. Plus: QT </w:t>
            </w:r>
            <w:proofErr w:type="spellStart"/>
            <w:r w:rsidRPr="007772AC">
              <w:rPr>
                <w:sz w:val="20"/>
                <w:szCs w:val="20"/>
              </w:rPr>
              <w:t>substudy</w:t>
            </w:r>
            <w:proofErr w:type="spellEnd"/>
            <w:r w:rsidRPr="007772AC">
              <w:rPr>
                <w:sz w:val="20"/>
                <w:szCs w:val="20"/>
              </w:rPr>
              <w:t>.</w:t>
            </w:r>
          </w:p>
          <w:p w14:paraId="6EA3CD32" w14:textId="77777777" w:rsidR="002644AA" w:rsidRPr="007772AC" w:rsidRDefault="002644AA" w:rsidP="007772AC">
            <w:pPr>
              <w:pStyle w:val="Tabletext"/>
              <w:ind w:left="0" w:right="0"/>
              <w:rPr>
                <w:sz w:val="20"/>
                <w:szCs w:val="20"/>
              </w:rPr>
            </w:pPr>
            <w:r w:rsidRPr="007772AC">
              <w:rPr>
                <w:sz w:val="20"/>
                <w:szCs w:val="20"/>
              </w:rPr>
              <w:t>Formulation: F2A (4 patients got F1)</w:t>
            </w:r>
          </w:p>
        </w:tc>
        <w:tc>
          <w:tcPr>
            <w:tcW w:w="751" w:type="pct"/>
          </w:tcPr>
          <w:p w14:paraId="1D03DF2B" w14:textId="7BC5F1B8" w:rsidR="002644AA" w:rsidRPr="007772AC" w:rsidRDefault="002644AA" w:rsidP="007772AC">
            <w:pPr>
              <w:pStyle w:val="Tabletext"/>
              <w:ind w:left="0" w:right="0"/>
              <w:rPr>
                <w:sz w:val="20"/>
                <w:szCs w:val="20"/>
              </w:rPr>
            </w:pPr>
            <w:r w:rsidRPr="007772AC">
              <w:rPr>
                <w:sz w:val="20"/>
                <w:szCs w:val="20"/>
              </w:rPr>
              <w:t xml:space="preserve">ORR by </w:t>
            </w:r>
            <w:r w:rsidR="00BA3D07" w:rsidRPr="002644AA">
              <w:t>blinded independent central review</w:t>
            </w:r>
            <w:r w:rsidR="00BA3D07" w:rsidRPr="007772AC">
              <w:rPr>
                <w:sz w:val="20"/>
                <w:szCs w:val="20"/>
              </w:rPr>
              <w:t xml:space="preserve"> </w:t>
            </w:r>
            <w:r w:rsidR="00BA3D07">
              <w:rPr>
                <w:sz w:val="20"/>
                <w:szCs w:val="20"/>
              </w:rPr>
              <w:t>(</w:t>
            </w:r>
            <w:r w:rsidRPr="007772AC">
              <w:rPr>
                <w:sz w:val="20"/>
                <w:szCs w:val="20"/>
              </w:rPr>
              <w:t>BICR</w:t>
            </w:r>
            <w:r w:rsidR="00BA3D07">
              <w:rPr>
                <w:sz w:val="20"/>
                <w:szCs w:val="20"/>
              </w:rPr>
              <w:t>)</w:t>
            </w:r>
          </w:p>
        </w:tc>
        <w:tc>
          <w:tcPr>
            <w:tcW w:w="585" w:type="pct"/>
          </w:tcPr>
          <w:p w14:paraId="38952C98" w14:textId="77777777" w:rsidR="002644AA" w:rsidRPr="007772AC" w:rsidRDefault="002644AA" w:rsidP="007772AC">
            <w:pPr>
              <w:pStyle w:val="Tabletext"/>
              <w:ind w:left="0" w:right="0"/>
              <w:rPr>
                <w:sz w:val="20"/>
                <w:szCs w:val="20"/>
              </w:rPr>
            </w:pPr>
            <w:r w:rsidRPr="007772AC">
              <w:rPr>
                <w:sz w:val="20"/>
                <w:szCs w:val="20"/>
              </w:rPr>
              <w:t>600 mg daily</w:t>
            </w:r>
          </w:p>
        </w:tc>
        <w:tc>
          <w:tcPr>
            <w:tcW w:w="334" w:type="pct"/>
          </w:tcPr>
          <w:p w14:paraId="4DDC90FE" w14:textId="77777777" w:rsidR="002644AA" w:rsidRPr="007772AC" w:rsidRDefault="002644AA" w:rsidP="007772AC">
            <w:pPr>
              <w:pStyle w:val="Tabletext"/>
              <w:ind w:left="0" w:right="0"/>
              <w:rPr>
                <w:sz w:val="20"/>
                <w:szCs w:val="20"/>
              </w:rPr>
            </w:pPr>
            <w:r w:rsidRPr="007772AC">
              <w:rPr>
                <w:sz w:val="20"/>
                <w:szCs w:val="20"/>
              </w:rPr>
              <w:t>203</w:t>
            </w:r>
          </w:p>
        </w:tc>
        <w:tc>
          <w:tcPr>
            <w:tcW w:w="500" w:type="pct"/>
          </w:tcPr>
          <w:p w14:paraId="21B34EF2" w14:textId="77777777" w:rsidR="002644AA" w:rsidRPr="007772AC" w:rsidRDefault="002644AA" w:rsidP="007772AC">
            <w:pPr>
              <w:pStyle w:val="Tabletext"/>
              <w:ind w:left="0" w:right="0"/>
              <w:rPr>
                <w:sz w:val="20"/>
                <w:szCs w:val="20"/>
              </w:rPr>
            </w:pPr>
            <w:r w:rsidRPr="007772AC">
              <w:rPr>
                <w:sz w:val="20"/>
                <w:szCs w:val="20"/>
              </w:rPr>
              <w:t>206</w:t>
            </w:r>
          </w:p>
        </w:tc>
        <w:tc>
          <w:tcPr>
            <w:tcW w:w="585" w:type="pct"/>
          </w:tcPr>
          <w:p w14:paraId="76E85840" w14:textId="77777777" w:rsidR="002644AA" w:rsidRPr="007772AC" w:rsidRDefault="002644AA" w:rsidP="007772AC">
            <w:pPr>
              <w:pStyle w:val="Tabletext"/>
              <w:ind w:left="0" w:right="0"/>
              <w:rPr>
                <w:sz w:val="20"/>
                <w:szCs w:val="20"/>
              </w:rPr>
            </w:pPr>
            <w:r w:rsidRPr="007772AC">
              <w:rPr>
                <w:sz w:val="20"/>
                <w:szCs w:val="20"/>
              </w:rPr>
              <w:t xml:space="preserve">57 </w:t>
            </w:r>
          </w:p>
          <w:p w14:paraId="4A8E943F" w14:textId="77777777" w:rsidR="002644AA" w:rsidRPr="007772AC" w:rsidRDefault="002644AA" w:rsidP="007772AC">
            <w:pPr>
              <w:pStyle w:val="Tabletext"/>
              <w:ind w:left="0" w:right="0"/>
              <w:rPr>
                <w:sz w:val="20"/>
                <w:szCs w:val="20"/>
              </w:rPr>
            </w:pPr>
            <w:r w:rsidRPr="007772AC">
              <w:rPr>
                <w:sz w:val="20"/>
                <w:szCs w:val="20"/>
              </w:rPr>
              <w:t>(5 primary CNS, 1 non-measurable)</w:t>
            </w:r>
          </w:p>
        </w:tc>
        <w:tc>
          <w:tcPr>
            <w:tcW w:w="579" w:type="pct"/>
          </w:tcPr>
          <w:p w14:paraId="5ADA1E9C" w14:textId="77777777" w:rsidR="002644AA" w:rsidRPr="007772AC" w:rsidRDefault="002644AA" w:rsidP="007772AC">
            <w:pPr>
              <w:pStyle w:val="Tabletext"/>
              <w:ind w:left="0" w:right="0"/>
              <w:rPr>
                <w:sz w:val="20"/>
                <w:szCs w:val="20"/>
              </w:rPr>
            </w:pPr>
            <w:r w:rsidRPr="007772AC">
              <w:rPr>
                <w:sz w:val="20"/>
                <w:szCs w:val="20"/>
              </w:rPr>
              <w:t>35</w:t>
            </w:r>
          </w:p>
        </w:tc>
      </w:tr>
      <w:tr w:rsidR="00871C4E" w:rsidRPr="002644AA" w14:paraId="36AC69F5" w14:textId="77777777" w:rsidTr="000C761A">
        <w:trPr>
          <w:trHeight w:val="109"/>
        </w:trPr>
        <w:tc>
          <w:tcPr>
            <w:tcW w:w="832" w:type="pct"/>
          </w:tcPr>
          <w:p w14:paraId="18FF1FBC" w14:textId="77777777" w:rsidR="002644AA" w:rsidRPr="007772AC" w:rsidRDefault="002644AA" w:rsidP="007772AC">
            <w:pPr>
              <w:pStyle w:val="Tabletext"/>
              <w:ind w:left="0" w:right="0"/>
              <w:rPr>
                <w:sz w:val="20"/>
                <w:szCs w:val="20"/>
              </w:rPr>
            </w:pPr>
            <w:r w:rsidRPr="007772AC">
              <w:rPr>
                <w:sz w:val="20"/>
                <w:szCs w:val="20"/>
              </w:rPr>
              <w:lastRenderedPageBreak/>
              <w:t>RXDX-101-03</w:t>
            </w:r>
          </w:p>
          <w:p w14:paraId="0E71404C" w14:textId="77777777" w:rsidR="002644AA" w:rsidRPr="007772AC" w:rsidRDefault="002644AA" w:rsidP="007772AC">
            <w:pPr>
              <w:pStyle w:val="Tabletext"/>
              <w:ind w:left="0" w:right="0"/>
              <w:rPr>
                <w:sz w:val="20"/>
                <w:szCs w:val="20"/>
              </w:rPr>
            </w:pPr>
            <w:r w:rsidRPr="007772AC">
              <w:rPr>
                <w:sz w:val="20"/>
                <w:szCs w:val="20"/>
              </w:rPr>
              <w:t>(CO40778)</w:t>
            </w:r>
          </w:p>
          <w:p w14:paraId="29BC64A6" w14:textId="391C535B" w:rsidR="002644AA" w:rsidRPr="007772AC" w:rsidRDefault="006A4045" w:rsidP="007772AC">
            <w:pPr>
              <w:pStyle w:val="Tabletext"/>
              <w:ind w:left="0" w:right="0"/>
              <w:rPr>
                <w:sz w:val="20"/>
                <w:szCs w:val="20"/>
              </w:rPr>
            </w:pPr>
            <w:r>
              <w:rPr>
                <w:sz w:val="20"/>
                <w:szCs w:val="20"/>
              </w:rPr>
              <w:t>‘STARTRK-NG’</w:t>
            </w:r>
          </w:p>
        </w:tc>
        <w:tc>
          <w:tcPr>
            <w:tcW w:w="834" w:type="pct"/>
          </w:tcPr>
          <w:p w14:paraId="3B6E0142" w14:textId="756DA576" w:rsidR="002644AA" w:rsidRPr="007772AC" w:rsidRDefault="002644AA" w:rsidP="007772AC">
            <w:pPr>
              <w:pStyle w:val="Tabletext"/>
              <w:ind w:left="0" w:right="0"/>
              <w:rPr>
                <w:sz w:val="20"/>
                <w:szCs w:val="20"/>
              </w:rPr>
            </w:pPr>
            <w:r w:rsidRPr="007772AC">
              <w:rPr>
                <w:sz w:val="20"/>
                <w:szCs w:val="20"/>
              </w:rPr>
              <w:t>Dose escalation/expansion in paediatric/adolescent patients (aged 2</w:t>
            </w:r>
            <w:r w:rsidR="00871C4E">
              <w:rPr>
                <w:sz w:val="20"/>
                <w:szCs w:val="20"/>
              </w:rPr>
              <w:t xml:space="preserve"> to </w:t>
            </w:r>
            <w:r w:rsidRPr="007772AC">
              <w:rPr>
                <w:sz w:val="20"/>
                <w:szCs w:val="20"/>
              </w:rPr>
              <w:t>22) with recurrent or refractory solid tumours or primary brain tumours, including NTRK 1/2/3, ROS1 and ALK+.</w:t>
            </w:r>
          </w:p>
          <w:p w14:paraId="0633095C" w14:textId="77777777" w:rsidR="002644AA" w:rsidRPr="007772AC" w:rsidRDefault="002644AA" w:rsidP="007772AC">
            <w:pPr>
              <w:pStyle w:val="Tabletext"/>
              <w:ind w:left="0" w:right="0"/>
              <w:rPr>
                <w:sz w:val="20"/>
                <w:szCs w:val="20"/>
              </w:rPr>
            </w:pPr>
            <w:r w:rsidRPr="007772AC">
              <w:rPr>
                <w:sz w:val="20"/>
                <w:szCs w:val="20"/>
              </w:rPr>
              <w:t>Formulation: F1 (3 patients got F2B)</w:t>
            </w:r>
          </w:p>
        </w:tc>
        <w:tc>
          <w:tcPr>
            <w:tcW w:w="751" w:type="pct"/>
          </w:tcPr>
          <w:p w14:paraId="6EFAD3BA" w14:textId="77777777" w:rsidR="002644AA" w:rsidRPr="007772AC" w:rsidRDefault="002644AA" w:rsidP="007772AC">
            <w:pPr>
              <w:pStyle w:val="Tabletext"/>
              <w:ind w:left="0" w:right="0"/>
              <w:rPr>
                <w:sz w:val="20"/>
                <w:szCs w:val="20"/>
              </w:rPr>
            </w:pPr>
            <w:r w:rsidRPr="007772AC">
              <w:rPr>
                <w:sz w:val="20"/>
                <w:szCs w:val="20"/>
              </w:rPr>
              <w:t>DLTs, MTD, RP2D, ORR by BICR</w:t>
            </w:r>
          </w:p>
        </w:tc>
        <w:tc>
          <w:tcPr>
            <w:tcW w:w="585" w:type="pct"/>
          </w:tcPr>
          <w:p w14:paraId="47EE0A70" w14:textId="05D28954" w:rsidR="002644AA" w:rsidRPr="007772AC" w:rsidRDefault="00324C55" w:rsidP="00313A30">
            <w:pPr>
              <w:pStyle w:val="Tabletext"/>
              <w:ind w:left="0" w:right="0"/>
              <w:rPr>
                <w:sz w:val="20"/>
                <w:szCs w:val="20"/>
              </w:rPr>
            </w:pPr>
            <w:r>
              <w:rPr>
                <w:sz w:val="20"/>
                <w:szCs w:val="20"/>
              </w:rPr>
              <w:t xml:space="preserve">BSA </w:t>
            </w:r>
            <w:r w:rsidR="00D70FE1">
              <w:rPr>
                <w:sz w:val="20"/>
                <w:szCs w:val="20"/>
              </w:rPr>
              <w:t>based dosing:</w:t>
            </w:r>
            <w:r w:rsidR="00313A30">
              <w:rPr>
                <w:sz w:val="20"/>
                <w:szCs w:val="20"/>
              </w:rPr>
              <w:t xml:space="preserve"> </w:t>
            </w:r>
            <w:r w:rsidR="002B37D6">
              <w:rPr>
                <w:sz w:val="20"/>
                <w:szCs w:val="20"/>
              </w:rPr>
              <w:t>250 to 750 mg</w:t>
            </w:r>
            <w:r w:rsidR="002B37D6">
              <w:t>/</w:t>
            </w:r>
            <w:r w:rsidR="002B37D6" w:rsidRPr="00A73D84">
              <w:t>m</w:t>
            </w:r>
            <w:r w:rsidR="002B37D6" w:rsidRPr="002C5CF2">
              <w:rPr>
                <w:vertAlign w:val="superscript"/>
              </w:rPr>
              <w:t>2</w:t>
            </w:r>
          </w:p>
        </w:tc>
        <w:tc>
          <w:tcPr>
            <w:tcW w:w="334" w:type="pct"/>
          </w:tcPr>
          <w:p w14:paraId="08585F4C" w14:textId="61FB99C5" w:rsidR="002644AA" w:rsidRPr="007772AC" w:rsidRDefault="002644AA" w:rsidP="00313A30">
            <w:pPr>
              <w:pStyle w:val="Tabletext"/>
              <w:ind w:left="0" w:right="0"/>
              <w:rPr>
                <w:sz w:val="20"/>
                <w:szCs w:val="20"/>
              </w:rPr>
            </w:pPr>
            <w:r w:rsidRPr="007772AC">
              <w:rPr>
                <w:sz w:val="20"/>
                <w:szCs w:val="20"/>
              </w:rPr>
              <w:t>16</w:t>
            </w:r>
          </w:p>
        </w:tc>
        <w:tc>
          <w:tcPr>
            <w:tcW w:w="500" w:type="pct"/>
          </w:tcPr>
          <w:p w14:paraId="414C92AB" w14:textId="77777777" w:rsidR="002644AA" w:rsidRPr="007772AC" w:rsidRDefault="002644AA" w:rsidP="007772AC">
            <w:pPr>
              <w:pStyle w:val="Tabletext"/>
              <w:ind w:left="0" w:right="0"/>
              <w:rPr>
                <w:sz w:val="20"/>
                <w:szCs w:val="20"/>
              </w:rPr>
            </w:pPr>
            <w:r w:rsidRPr="007772AC">
              <w:rPr>
                <w:sz w:val="20"/>
                <w:szCs w:val="20"/>
              </w:rPr>
              <w:t>16</w:t>
            </w:r>
          </w:p>
        </w:tc>
        <w:tc>
          <w:tcPr>
            <w:tcW w:w="585" w:type="pct"/>
          </w:tcPr>
          <w:p w14:paraId="31A37C78" w14:textId="1648C7DB" w:rsidR="002644AA" w:rsidRPr="007772AC" w:rsidRDefault="00B953BD" w:rsidP="007772AC">
            <w:pPr>
              <w:pStyle w:val="Tabletext"/>
              <w:ind w:left="0" w:right="0"/>
              <w:rPr>
                <w:sz w:val="20"/>
                <w:szCs w:val="20"/>
              </w:rPr>
            </w:pPr>
            <w:r>
              <w:rPr>
                <w:sz w:val="20"/>
                <w:szCs w:val="20"/>
              </w:rPr>
              <w:t>1</w:t>
            </w:r>
          </w:p>
        </w:tc>
        <w:tc>
          <w:tcPr>
            <w:tcW w:w="579" w:type="pct"/>
          </w:tcPr>
          <w:p w14:paraId="67EAD2F8"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3E81775D" w14:textId="77777777" w:rsidTr="000C761A">
        <w:trPr>
          <w:trHeight w:val="109"/>
        </w:trPr>
        <w:tc>
          <w:tcPr>
            <w:tcW w:w="832" w:type="pct"/>
          </w:tcPr>
          <w:p w14:paraId="0F69AB22" w14:textId="77777777" w:rsidR="002644AA" w:rsidRPr="007772AC" w:rsidRDefault="002644AA" w:rsidP="007772AC">
            <w:pPr>
              <w:pStyle w:val="Tabletext"/>
              <w:ind w:left="0" w:right="0"/>
              <w:rPr>
                <w:sz w:val="20"/>
                <w:szCs w:val="20"/>
              </w:rPr>
            </w:pPr>
            <w:r w:rsidRPr="007772AC">
              <w:rPr>
                <w:sz w:val="20"/>
                <w:szCs w:val="20"/>
              </w:rPr>
              <w:t>RXDX-101-14</w:t>
            </w:r>
          </w:p>
          <w:p w14:paraId="63D6E3A2" w14:textId="77777777" w:rsidR="002644AA" w:rsidRPr="007772AC" w:rsidRDefault="002644AA" w:rsidP="007772AC">
            <w:pPr>
              <w:pStyle w:val="Tabletext"/>
              <w:ind w:left="0" w:right="0"/>
              <w:rPr>
                <w:sz w:val="20"/>
                <w:szCs w:val="20"/>
              </w:rPr>
            </w:pPr>
            <w:r w:rsidRPr="007772AC">
              <w:rPr>
                <w:sz w:val="20"/>
                <w:szCs w:val="20"/>
              </w:rPr>
              <w:t>(GO40785)</w:t>
            </w:r>
          </w:p>
        </w:tc>
        <w:tc>
          <w:tcPr>
            <w:tcW w:w="834" w:type="pct"/>
          </w:tcPr>
          <w:p w14:paraId="45E7A51A" w14:textId="2EF188FC" w:rsidR="002644AA" w:rsidRPr="007772AC" w:rsidRDefault="002644AA" w:rsidP="00C05219">
            <w:pPr>
              <w:pStyle w:val="Tabletext"/>
              <w:ind w:left="0" w:right="0"/>
              <w:rPr>
                <w:sz w:val="20"/>
                <w:szCs w:val="20"/>
              </w:rPr>
            </w:pPr>
            <w:r w:rsidRPr="007772AC">
              <w:rPr>
                <w:sz w:val="20"/>
                <w:szCs w:val="20"/>
              </w:rPr>
              <w:t xml:space="preserve">Single and multiple dose PK: effect on midazolam exposure of single and multiple entrectinib doses in adults with NTRK1/2/3, ROS1 or ALK+ </w:t>
            </w:r>
            <w:proofErr w:type="spellStart"/>
            <w:r w:rsidRPr="007772AC">
              <w:rPr>
                <w:sz w:val="20"/>
                <w:szCs w:val="20"/>
              </w:rPr>
              <w:t>adv</w:t>
            </w:r>
            <w:proofErr w:type="spellEnd"/>
            <w:r w:rsidRPr="007772AC">
              <w:rPr>
                <w:sz w:val="20"/>
                <w:szCs w:val="20"/>
              </w:rPr>
              <w:t>/met solid tumours, with expanded access afterwards</w:t>
            </w:r>
          </w:p>
        </w:tc>
        <w:tc>
          <w:tcPr>
            <w:tcW w:w="751" w:type="pct"/>
          </w:tcPr>
          <w:p w14:paraId="62B5BBD2" w14:textId="5FBC9FBB" w:rsidR="002644AA" w:rsidRPr="007772AC" w:rsidRDefault="00FD3E0F" w:rsidP="007772AC">
            <w:pPr>
              <w:pStyle w:val="Tabletext"/>
              <w:ind w:left="0" w:right="0"/>
              <w:rPr>
                <w:sz w:val="20"/>
                <w:szCs w:val="20"/>
              </w:rPr>
            </w:pPr>
            <w:r>
              <w:t>P</w:t>
            </w:r>
            <w:r w:rsidRPr="00C05219">
              <w:t>harmacokinetics</w:t>
            </w:r>
            <w:r w:rsidRPr="007772AC">
              <w:rPr>
                <w:sz w:val="20"/>
                <w:szCs w:val="20"/>
              </w:rPr>
              <w:t xml:space="preserve"> </w:t>
            </w:r>
            <w:r>
              <w:rPr>
                <w:sz w:val="20"/>
                <w:szCs w:val="20"/>
              </w:rPr>
              <w:t>(</w:t>
            </w:r>
            <w:r w:rsidR="002644AA" w:rsidRPr="007772AC">
              <w:rPr>
                <w:sz w:val="20"/>
                <w:szCs w:val="20"/>
              </w:rPr>
              <w:t>PK</w:t>
            </w:r>
            <w:r>
              <w:rPr>
                <w:sz w:val="20"/>
                <w:szCs w:val="20"/>
              </w:rPr>
              <w:t>)</w:t>
            </w:r>
            <w:r w:rsidR="002644AA" w:rsidRPr="007772AC">
              <w:rPr>
                <w:sz w:val="20"/>
                <w:szCs w:val="20"/>
              </w:rPr>
              <w:t xml:space="preserve">/ </w:t>
            </w:r>
            <w:r>
              <w:rPr>
                <w:sz w:val="20"/>
                <w:szCs w:val="20"/>
              </w:rPr>
              <w:t>drug-drug interaction (</w:t>
            </w:r>
            <w:r w:rsidR="002644AA" w:rsidRPr="007772AC">
              <w:rPr>
                <w:sz w:val="20"/>
                <w:szCs w:val="20"/>
              </w:rPr>
              <w:t>DDI</w:t>
            </w:r>
            <w:r>
              <w:rPr>
                <w:sz w:val="20"/>
                <w:szCs w:val="20"/>
              </w:rPr>
              <w:t>)</w:t>
            </w:r>
          </w:p>
        </w:tc>
        <w:tc>
          <w:tcPr>
            <w:tcW w:w="585" w:type="pct"/>
          </w:tcPr>
          <w:p w14:paraId="70F35E46" w14:textId="77777777" w:rsidR="002644AA" w:rsidRPr="007772AC" w:rsidRDefault="002644AA" w:rsidP="007772AC">
            <w:pPr>
              <w:pStyle w:val="Tabletext"/>
              <w:ind w:left="0" w:right="0"/>
              <w:rPr>
                <w:sz w:val="20"/>
                <w:szCs w:val="20"/>
              </w:rPr>
            </w:pPr>
            <w:r w:rsidRPr="007772AC">
              <w:rPr>
                <w:sz w:val="20"/>
                <w:szCs w:val="20"/>
              </w:rPr>
              <w:t>600 mg daily</w:t>
            </w:r>
          </w:p>
        </w:tc>
        <w:tc>
          <w:tcPr>
            <w:tcW w:w="334" w:type="pct"/>
          </w:tcPr>
          <w:p w14:paraId="43748E5A" w14:textId="77777777" w:rsidR="002644AA" w:rsidRPr="007772AC" w:rsidRDefault="002644AA" w:rsidP="007772AC">
            <w:pPr>
              <w:pStyle w:val="Tabletext"/>
              <w:ind w:left="0" w:right="0"/>
              <w:rPr>
                <w:sz w:val="20"/>
                <w:szCs w:val="20"/>
              </w:rPr>
            </w:pPr>
            <w:r w:rsidRPr="007772AC">
              <w:rPr>
                <w:sz w:val="20"/>
                <w:szCs w:val="20"/>
              </w:rPr>
              <w:t>12</w:t>
            </w:r>
          </w:p>
        </w:tc>
        <w:tc>
          <w:tcPr>
            <w:tcW w:w="500" w:type="pct"/>
          </w:tcPr>
          <w:p w14:paraId="6985F453" w14:textId="77777777" w:rsidR="002644AA" w:rsidRPr="007772AC" w:rsidRDefault="002644AA" w:rsidP="007772AC">
            <w:pPr>
              <w:pStyle w:val="Tabletext"/>
              <w:ind w:left="0" w:right="0"/>
              <w:rPr>
                <w:sz w:val="20"/>
                <w:szCs w:val="20"/>
              </w:rPr>
            </w:pPr>
            <w:r w:rsidRPr="007772AC">
              <w:rPr>
                <w:sz w:val="20"/>
                <w:szCs w:val="20"/>
              </w:rPr>
              <w:t>14</w:t>
            </w:r>
          </w:p>
        </w:tc>
        <w:tc>
          <w:tcPr>
            <w:tcW w:w="585" w:type="pct"/>
          </w:tcPr>
          <w:p w14:paraId="52FB07FE" w14:textId="77777777" w:rsidR="002644AA" w:rsidRPr="007772AC" w:rsidRDefault="002644AA" w:rsidP="007772AC">
            <w:pPr>
              <w:pStyle w:val="Tabletext"/>
              <w:ind w:left="0" w:right="0"/>
              <w:rPr>
                <w:sz w:val="20"/>
                <w:szCs w:val="20"/>
              </w:rPr>
            </w:pPr>
            <w:r w:rsidRPr="007772AC">
              <w:rPr>
                <w:sz w:val="20"/>
                <w:szCs w:val="20"/>
              </w:rPr>
              <w:t>(6)</w:t>
            </w:r>
            <w:r w:rsidRPr="007772AC">
              <w:rPr>
                <w:sz w:val="20"/>
                <w:szCs w:val="20"/>
                <w:vertAlign w:val="superscript"/>
              </w:rPr>
              <w:t>C</w:t>
            </w:r>
          </w:p>
        </w:tc>
        <w:tc>
          <w:tcPr>
            <w:tcW w:w="579" w:type="pct"/>
          </w:tcPr>
          <w:p w14:paraId="036E6E13" w14:textId="77777777" w:rsidR="002644AA" w:rsidRPr="007772AC" w:rsidRDefault="002644AA" w:rsidP="007772AC">
            <w:pPr>
              <w:pStyle w:val="Tabletext"/>
              <w:ind w:left="0" w:right="0"/>
              <w:rPr>
                <w:sz w:val="20"/>
                <w:szCs w:val="20"/>
              </w:rPr>
            </w:pPr>
            <w:r w:rsidRPr="007772AC">
              <w:rPr>
                <w:sz w:val="20"/>
                <w:szCs w:val="20"/>
              </w:rPr>
              <w:t>(4)</w:t>
            </w:r>
            <w:r w:rsidRPr="007772AC">
              <w:rPr>
                <w:sz w:val="20"/>
                <w:szCs w:val="20"/>
                <w:vertAlign w:val="superscript"/>
              </w:rPr>
              <w:t>C</w:t>
            </w:r>
          </w:p>
        </w:tc>
      </w:tr>
      <w:tr w:rsidR="002644AA" w:rsidRPr="002644AA" w14:paraId="7B758AFB" w14:textId="77777777" w:rsidTr="003C65F0">
        <w:trPr>
          <w:trHeight w:val="109"/>
        </w:trPr>
        <w:tc>
          <w:tcPr>
            <w:tcW w:w="5000" w:type="pct"/>
            <w:gridSpan w:val="8"/>
          </w:tcPr>
          <w:p w14:paraId="6B10B826" w14:textId="77777777" w:rsidR="002644AA" w:rsidRPr="007772AC" w:rsidRDefault="002644AA" w:rsidP="007772AC">
            <w:pPr>
              <w:pStyle w:val="Tabletext"/>
              <w:ind w:left="0" w:right="0"/>
              <w:rPr>
                <w:sz w:val="20"/>
                <w:szCs w:val="20"/>
              </w:rPr>
            </w:pPr>
            <w:r w:rsidRPr="007772AC">
              <w:rPr>
                <w:sz w:val="20"/>
                <w:szCs w:val="20"/>
              </w:rPr>
              <w:t>Clinical pharmacology studies in healthy volunteers</w:t>
            </w:r>
          </w:p>
        </w:tc>
      </w:tr>
      <w:tr w:rsidR="00871C4E" w:rsidRPr="002644AA" w14:paraId="4A52DEC5" w14:textId="77777777" w:rsidTr="000C761A">
        <w:trPr>
          <w:trHeight w:val="109"/>
        </w:trPr>
        <w:tc>
          <w:tcPr>
            <w:tcW w:w="832" w:type="pct"/>
          </w:tcPr>
          <w:p w14:paraId="6761AA41" w14:textId="77777777" w:rsidR="002644AA" w:rsidRPr="007772AC" w:rsidRDefault="002644AA" w:rsidP="007772AC">
            <w:pPr>
              <w:pStyle w:val="Tabletext"/>
              <w:ind w:left="0" w:right="0"/>
              <w:rPr>
                <w:sz w:val="20"/>
                <w:szCs w:val="20"/>
              </w:rPr>
            </w:pPr>
            <w:r w:rsidRPr="007772AC">
              <w:rPr>
                <w:sz w:val="20"/>
                <w:szCs w:val="20"/>
              </w:rPr>
              <w:t>CA14707 (GP40835)</w:t>
            </w:r>
          </w:p>
        </w:tc>
        <w:tc>
          <w:tcPr>
            <w:tcW w:w="834" w:type="pct"/>
          </w:tcPr>
          <w:p w14:paraId="28CD6F2F" w14:textId="77777777" w:rsidR="002644AA" w:rsidRPr="007772AC" w:rsidRDefault="002644AA" w:rsidP="007772AC">
            <w:pPr>
              <w:pStyle w:val="Tabletext"/>
              <w:ind w:left="0" w:right="0"/>
              <w:rPr>
                <w:sz w:val="20"/>
                <w:szCs w:val="20"/>
              </w:rPr>
            </w:pPr>
            <w:r w:rsidRPr="007772AC">
              <w:rPr>
                <w:sz w:val="20"/>
                <w:szCs w:val="20"/>
              </w:rPr>
              <w:t xml:space="preserve">Single dose PK: effect of formulation (F1, F2, F2A, F2B) with or without food and PPI </w:t>
            </w:r>
            <w:r w:rsidRPr="007772AC">
              <w:rPr>
                <w:sz w:val="20"/>
                <w:szCs w:val="20"/>
              </w:rPr>
              <w:lastRenderedPageBreak/>
              <w:t xml:space="preserve">(lansoprazole) </w:t>
            </w:r>
          </w:p>
        </w:tc>
        <w:tc>
          <w:tcPr>
            <w:tcW w:w="751" w:type="pct"/>
          </w:tcPr>
          <w:p w14:paraId="6C2F234E" w14:textId="77777777" w:rsidR="002644AA" w:rsidRPr="007772AC" w:rsidRDefault="002644AA" w:rsidP="007772AC">
            <w:pPr>
              <w:pStyle w:val="Tabletext"/>
              <w:ind w:left="0" w:right="0"/>
              <w:rPr>
                <w:sz w:val="20"/>
                <w:szCs w:val="20"/>
              </w:rPr>
            </w:pPr>
            <w:r w:rsidRPr="007772AC">
              <w:rPr>
                <w:sz w:val="20"/>
                <w:szCs w:val="20"/>
              </w:rPr>
              <w:lastRenderedPageBreak/>
              <w:t>PK/ DDI</w:t>
            </w:r>
          </w:p>
        </w:tc>
        <w:tc>
          <w:tcPr>
            <w:tcW w:w="585" w:type="pct"/>
          </w:tcPr>
          <w:p w14:paraId="676A613E" w14:textId="77777777" w:rsidR="002644AA" w:rsidRPr="007772AC" w:rsidRDefault="002644AA" w:rsidP="007772AC">
            <w:pPr>
              <w:pStyle w:val="Tabletext"/>
              <w:ind w:left="0" w:right="0"/>
              <w:rPr>
                <w:sz w:val="20"/>
                <w:szCs w:val="20"/>
              </w:rPr>
            </w:pPr>
            <w:r w:rsidRPr="007772AC">
              <w:rPr>
                <w:sz w:val="20"/>
                <w:szCs w:val="20"/>
              </w:rPr>
              <w:t>800 mg</w:t>
            </w:r>
          </w:p>
        </w:tc>
        <w:tc>
          <w:tcPr>
            <w:tcW w:w="334" w:type="pct"/>
          </w:tcPr>
          <w:p w14:paraId="772175BD" w14:textId="77777777" w:rsidR="002644AA" w:rsidRPr="007772AC" w:rsidRDefault="002644AA" w:rsidP="007772AC">
            <w:pPr>
              <w:pStyle w:val="Tabletext"/>
              <w:ind w:left="0" w:right="0"/>
              <w:rPr>
                <w:sz w:val="20"/>
                <w:szCs w:val="20"/>
              </w:rPr>
            </w:pPr>
            <w:r w:rsidRPr="007772AC">
              <w:rPr>
                <w:sz w:val="20"/>
                <w:szCs w:val="20"/>
              </w:rPr>
              <w:t>65</w:t>
            </w:r>
          </w:p>
        </w:tc>
        <w:tc>
          <w:tcPr>
            <w:tcW w:w="500" w:type="pct"/>
          </w:tcPr>
          <w:p w14:paraId="59AEDB47" w14:textId="77777777" w:rsidR="002644AA" w:rsidRPr="007772AC" w:rsidRDefault="002644AA" w:rsidP="007772AC">
            <w:pPr>
              <w:pStyle w:val="Tabletext"/>
              <w:ind w:left="0" w:right="0"/>
              <w:rPr>
                <w:sz w:val="20"/>
                <w:szCs w:val="20"/>
              </w:rPr>
            </w:pPr>
            <w:r w:rsidRPr="007772AC">
              <w:rPr>
                <w:sz w:val="20"/>
                <w:szCs w:val="20"/>
              </w:rPr>
              <w:t>72</w:t>
            </w:r>
          </w:p>
        </w:tc>
        <w:tc>
          <w:tcPr>
            <w:tcW w:w="585" w:type="pct"/>
          </w:tcPr>
          <w:p w14:paraId="241F2A4E"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5AA6C14F"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5D30BCE6" w14:textId="77777777" w:rsidTr="000C761A">
        <w:trPr>
          <w:trHeight w:val="109"/>
        </w:trPr>
        <w:tc>
          <w:tcPr>
            <w:tcW w:w="832" w:type="pct"/>
          </w:tcPr>
          <w:p w14:paraId="68391B0F" w14:textId="77777777" w:rsidR="002644AA" w:rsidRPr="007772AC" w:rsidRDefault="002644AA" w:rsidP="007772AC">
            <w:pPr>
              <w:pStyle w:val="Tabletext"/>
              <w:ind w:left="0" w:right="0"/>
              <w:rPr>
                <w:sz w:val="20"/>
                <w:szCs w:val="20"/>
              </w:rPr>
            </w:pPr>
            <w:r w:rsidRPr="007772AC">
              <w:rPr>
                <w:sz w:val="20"/>
                <w:szCs w:val="20"/>
              </w:rPr>
              <w:t>RXDX-101-04</w:t>
            </w:r>
          </w:p>
          <w:p w14:paraId="71CFF313" w14:textId="77777777" w:rsidR="002644AA" w:rsidRPr="007772AC" w:rsidRDefault="002644AA" w:rsidP="007772AC">
            <w:pPr>
              <w:pStyle w:val="Tabletext"/>
              <w:ind w:left="0" w:right="0"/>
              <w:rPr>
                <w:sz w:val="20"/>
                <w:szCs w:val="20"/>
              </w:rPr>
            </w:pPr>
            <w:r w:rsidRPr="007772AC">
              <w:rPr>
                <w:sz w:val="20"/>
                <w:szCs w:val="20"/>
              </w:rPr>
              <w:t>(GP40836)</w:t>
            </w:r>
          </w:p>
        </w:tc>
        <w:tc>
          <w:tcPr>
            <w:tcW w:w="834" w:type="pct"/>
          </w:tcPr>
          <w:p w14:paraId="51AD1DEE" w14:textId="77777777" w:rsidR="002644AA" w:rsidRPr="007772AC" w:rsidRDefault="002644AA" w:rsidP="007772AC">
            <w:pPr>
              <w:pStyle w:val="Tabletext"/>
              <w:ind w:left="0" w:right="0"/>
              <w:rPr>
                <w:sz w:val="20"/>
                <w:szCs w:val="20"/>
              </w:rPr>
            </w:pPr>
            <w:r w:rsidRPr="007772AC">
              <w:rPr>
                <w:sz w:val="20"/>
                <w:szCs w:val="20"/>
              </w:rPr>
              <w:t>Single dose PK (F2A): effect of food and race (Caucasian, Japanese)</w:t>
            </w:r>
          </w:p>
        </w:tc>
        <w:tc>
          <w:tcPr>
            <w:tcW w:w="751" w:type="pct"/>
          </w:tcPr>
          <w:p w14:paraId="79622161"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44A771FC" w14:textId="77777777" w:rsidR="002644AA" w:rsidRPr="007772AC" w:rsidRDefault="002644AA" w:rsidP="007772AC">
            <w:pPr>
              <w:pStyle w:val="Tabletext"/>
              <w:ind w:left="0" w:right="0"/>
              <w:rPr>
                <w:sz w:val="20"/>
                <w:szCs w:val="20"/>
              </w:rPr>
            </w:pPr>
            <w:r w:rsidRPr="007772AC">
              <w:rPr>
                <w:sz w:val="20"/>
                <w:szCs w:val="20"/>
              </w:rPr>
              <w:t>400 mg or 600 mg</w:t>
            </w:r>
          </w:p>
        </w:tc>
        <w:tc>
          <w:tcPr>
            <w:tcW w:w="334" w:type="pct"/>
          </w:tcPr>
          <w:p w14:paraId="66CCB22D" w14:textId="77777777" w:rsidR="002644AA" w:rsidRPr="007772AC" w:rsidRDefault="002644AA" w:rsidP="007772AC">
            <w:pPr>
              <w:pStyle w:val="Tabletext"/>
              <w:ind w:left="0" w:right="0"/>
              <w:rPr>
                <w:sz w:val="20"/>
                <w:szCs w:val="20"/>
              </w:rPr>
            </w:pPr>
            <w:r w:rsidRPr="007772AC">
              <w:rPr>
                <w:sz w:val="20"/>
                <w:szCs w:val="20"/>
              </w:rPr>
              <w:t>24</w:t>
            </w:r>
          </w:p>
        </w:tc>
        <w:tc>
          <w:tcPr>
            <w:tcW w:w="500" w:type="pct"/>
          </w:tcPr>
          <w:p w14:paraId="55DC5C30" w14:textId="77777777" w:rsidR="002644AA" w:rsidRPr="007772AC" w:rsidRDefault="002644AA" w:rsidP="007772AC">
            <w:pPr>
              <w:pStyle w:val="Tabletext"/>
              <w:ind w:left="0" w:right="0"/>
              <w:rPr>
                <w:sz w:val="20"/>
                <w:szCs w:val="20"/>
              </w:rPr>
            </w:pPr>
            <w:r w:rsidRPr="007772AC">
              <w:rPr>
                <w:sz w:val="20"/>
                <w:szCs w:val="20"/>
              </w:rPr>
              <w:t>24</w:t>
            </w:r>
          </w:p>
        </w:tc>
        <w:tc>
          <w:tcPr>
            <w:tcW w:w="585" w:type="pct"/>
          </w:tcPr>
          <w:p w14:paraId="01C9703D"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27E37CA0"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3DCF60A2" w14:textId="77777777" w:rsidTr="000C761A">
        <w:trPr>
          <w:trHeight w:val="109"/>
        </w:trPr>
        <w:tc>
          <w:tcPr>
            <w:tcW w:w="832" w:type="pct"/>
          </w:tcPr>
          <w:p w14:paraId="31CBABEE" w14:textId="77777777" w:rsidR="002644AA" w:rsidRPr="007772AC" w:rsidRDefault="002644AA" w:rsidP="007772AC">
            <w:pPr>
              <w:pStyle w:val="Tabletext"/>
              <w:ind w:left="0" w:right="0"/>
              <w:rPr>
                <w:sz w:val="20"/>
                <w:szCs w:val="20"/>
              </w:rPr>
            </w:pPr>
            <w:r w:rsidRPr="007772AC">
              <w:rPr>
                <w:sz w:val="20"/>
                <w:szCs w:val="20"/>
              </w:rPr>
              <w:t>RXDX-101-05 (GP40837)</w:t>
            </w:r>
          </w:p>
        </w:tc>
        <w:tc>
          <w:tcPr>
            <w:tcW w:w="834" w:type="pct"/>
          </w:tcPr>
          <w:p w14:paraId="6D8FA446" w14:textId="6211C3F3" w:rsidR="002644AA" w:rsidRPr="007772AC" w:rsidRDefault="002644AA" w:rsidP="007772AC">
            <w:pPr>
              <w:pStyle w:val="Tabletext"/>
              <w:ind w:left="0" w:right="0"/>
              <w:rPr>
                <w:sz w:val="20"/>
                <w:szCs w:val="20"/>
              </w:rPr>
            </w:pPr>
            <w:r w:rsidRPr="007772AC">
              <w:rPr>
                <w:sz w:val="20"/>
                <w:szCs w:val="20"/>
              </w:rPr>
              <w:t xml:space="preserve">Single dose PK (powder in capsule): </w:t>
            </w:r>
            <w:r w:rsidR="006A19DF" w:rsidRPr="006A19DF">
              <w:rPr>
                <w:sz w:val="20"/>
                <w:szCs w:val="20"/>
              </w:rPr>
              <w:t xml:space="preserve">absorption, distribution, metabolism, and excretion </w:t>
            </w:r>
            <w:r w:rsidR="006A19DF">
              <w:rPr>
                <w:sz w:val="20"/>
                <w:szCs w:val="20"/>
              </w:rPr>
              <w:t>(</w:t>
            </w:r>
            <w:r w:rsidRPr="007772AC">
              <w:rPr>
                <w:sz w:val="20"/>
                <w:szCs w:val="20"/>
              </w:rPr>
              <w:t>ADME</w:t>
            </w:r>
            <w:r w:rsidR="006A19DF">
              <w:rPr>
                <w:sz w:val="20"/>
                <w:szCs w:val="20"/>
              </w:rPr>
              <w:t>)</w:t>
            </w:r>
          </w:p>
        </w:tc>
        <w:tc>
          <w:tcPr>
            <w:tcW w:w="751" w:type="pct"/>
          </w:tcPr>
          <w:p w14:paraId="3A9DF0F7"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5831FDFC"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10E9869D" w14:textId="77777777" w:rsidR="002644AA" w:rsidRPr="007772AC" w:rsidRDefault="002644AA" w:rsidP="007772AC">
            <w:pPr>
              <w:pStyle w:val="Tabletext"/>
              <w:ind w:left="0" w:right="0"/>
              <w:rPr>
                <w:sz w:val="20"/>
                <w:szCs w:val="20"/>
              </w:rPr>
            </w:pPr>
            <w:r w:rsidRPr="007772AC">
              <w:rPr>
                <w:sz w:val="20"/>
                <w:szCs w:val="20"/>
              </w:rPr>
              <w:t>7</w:t>
            </w:r>
          </w:p>
        </w:tc>
        <w:tc>
          <w:tcPr>
            <w:tcW w:w="500" w:type="pct"/>
          </w:tcPr>
          <w:p w14:paraId="69DDF53F" w14:textId="77777777" w:rsidR="002644AA" w:rsidRPr="007772AC" w:rsidRDefault="002644AA" w:rsidP="007772AC">
            <w:pPr>
              <w:pStyle w:val="Tabletext"/>
              <w:ind w:left="0" w:right="0"/>
              <w:rPr>
                <w:sz w:val="20"/>
                <w:szCs w:val="20"/>
              </w:rPr>
            </w:pPr>
            <w:r w:rsidRPr="007772AC">
              <w:rPr>
                <w:sz w:val="20"/>
                <w:szCs w:val="20"/>
              </w:rPr>
              <w:t>7</w:t>
            </w:r>
          </w:p>
        </w:tc>
        <w:tc>
          <w:tcPr>
            <w:tcW w:w="585" w:type="pct"/>
          </w:tcPr>
          <w:p w14:paraId="03166548"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0D382425"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59E47227" w14:textId="77777777" w:rsidTr="000C761A">
        <w:trPr>
          <w:trHeight w:val="109"/>
        </w:trPr>
        <w:tc>
          <w:tcPr>
            <w:tcW w:w="832" w:type="pct"/>
          </w:tcPr>
          <w:p w14:paraId="57BAF25E" w14:textId="77777777" w:rsidR="002644AA" w:rsidRPr="007772AC" w:rsidRDefault="002644AA" w:rsidP="007772AC">
            <w:pPr>
              <w:pStyle w:val="Tabletext"/>
              <w:ind w:left="0" w:right="0"/>
              <w:rPr>
                <w:sz w:val="20"/>
                <w:szCs w:val="20"/>
              </w:rPr>
            </w:pPr>
            <w:r w:rsidRPr="007772AC">
              <w:rPr>
                <w:sz w:val="20"/>
                <w:szCs w:val="20"/>
              </w:rPr>
              <w:t>RXDX-101-06 (GP40829)</w:t>
            </w:r>
          </w:p>
        </w:tc>
        <w:tc>
          <w:tcPr>
            <w:tcW w:w="834" w:type="pct"/>
          </w:tcPr>
          <w:p w14:paraId="39F0F4AA" w14:textId="77777777" w:rsidR="002644AA" w:rsidRPr="007772AC" w:rsidRDefault="002644AA" w:rsidP="007772AC">
            <w:pPr>
              <w:pStyle w:val="Tabletext"/>
              <w:ind w:left="0" w:right="0"/>
              <w:rPr>
                <w:sz w:val="20"/>
                <w:szCs w:val="20"/>
              </w:rPr>
            </w:pPr>
            <w:r w:rsidRPr="007772AC">
              <w:rPr>
                <w:sz w:val="20"/>
                <w:szCs w:val="20"/>
              </w:rPr>
              <w:t>Single dose PK: effect of food and formulation (F1, F400 granules)</w:t>
            </w:r>
          </w:p>
        </w:tc>
        <w:tc>
          <w:tcPr>
            <w:tcW w:w="751" w:type="pct"/>
          </w:tcPr>
          <w:p w14:paraId="6BE6E28A"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138DBE99" w14:textId="77777777" w:rsidR="002644AA" w:rsidRPr="007772AC" w:rsidRDefault="002644AA" w:rsidP="007772AC">
            <w:pPr>
              <w:pStyle w:val="Tabletext"/>
              <w:ind w:left="0" w:right="0"/>
              <w:rPr>
                <w:sz w:val="20"/>
                <w:szCs w:val="20"/>
              </w:rPr>
            </w:pPr>
            <w:r w:rsidRPr="007772AC">
              <w:rPr>
                <w:sz w:val="20"/>
                <w:szCs w:val="20"/>
              </w:rPr>
              <w:t>400 mg or 600 mg</w:t>
            </w:r>
          </w:p>
        </w:tc>
        <w:tc>
          <w:tcPr>
            <w:tcW w:w="334" w:type="pct"/>
          </w:tcPr>
          <w:p w14:paraId="3FD5ADCD" w14:textId="77777777" w:rsidR="002644AA" w:rsidRPr="007772AC" w:rsidRDefault="002644AA" w:rsidP="007772AC">
            <w:pPr>
              <w:pStyle w:val="Tabletext"/>
              <w:ind w:left="0" w:right="0"/>
              <w:rPr>
                <w:sz w:val="20"/>
                <w:szCs w:val="20"/>
              </w:rPr>
            </w:pPr>
            <w:r w:rsidRPr="007772AC">
              <w:rPr>
                <w:sz w:val="20"/>
                <w:szCs w:val="20"/>
              </w:rPr>
              <w:t>16</w:t>
            </w:r>
          </w:p>
        </w:tc>
        <w:tc>
          <w:tcPr>
            <w:tcW w:w="500" w:type="pct"/>
          </w:tcPr>
          <w:p w14:paraId="0379707C" w14:textId="77777777" w:rsidR="002644AA" w:rsidRPr="007772AC" w:rsidRDefault="002644AA" w:rsidP="007772AC">
            <w:pPr>
              <w:pStyle w:val="Tabletext"/>
              <w:ind w:left="0" w:right="0"/>
              <w:rPr>
                <w:sz w:val="20"/>
                <w:szCs w:val="20"/>
              </w:rPr>
            </w:pPr>
            <w:r w:rsidRPr="007772AC">
              <w:rPr>
                <w:sz w:val="20"/>
                <w:szCs w:val="20"/>
              </w:rPr>
              <w:t>16</w:t>
            </w:r>
          </w:p>
        </w:tc>
        <w:tc>
          <w:tcPr>
            <w:tcW w:w="585" w:type="pct"/>
          </w:tcPr>
          <w:p w14:paraId="64DD04CF"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0E0E6925"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597168C0" w14:textId="77777777" w:rsidTr="000C761A">
        <w:trPr>
          <w:trHeight w:val="109"/>
        </w:trPr>
        <w:tc>
          <w:tcPr>
            <w:tcW w:w="832" w:type="pct"/>
          </w:tcPr>
          <w:p w14:paraId="2BFC2779" w14:textId="77777777" w:rsidR="002644AA" w:rsidRPr="007772AC" w:rsidRDefault="002644AA" w:rsidP="007772AC">
            <w:pPr>
              <w:pStyle w:val="Tabletext"/>
              <w:ind w:left="0" w:right="0"/>
              <w:rPr>
                <w:sz w:val="20"/>
                <w:szCs w:val="20"/>
              </w:rPr>
            </w:pPr>
            <w:r w:rsidRPr="007772AC">
              <w:rPr>
                <w:sz w:val="20"/>
                <w:szCs w:val="20"/>
              </w:rPr>
              <w:t>RXDX-101-07 (GP40830)</w:t>
            </w:r>
          </w:p>
        </w:tc>
        <w:tc>
          <w:tcPr>
            <w:tcW w:w="834" w:type="pct"/>
          </w:tcPr>
          <w:p w14:paraId="0383169E" w14:textId="77777777" w:rsidR="002644AA" w:rsidRPr="007772AC" w:rsidRDefault="002644AA" w:rsidP="007772AC">
            <w:pPr>
              <w:pStyle w:val="Tabletext"/>
              <w:ind w:left="0" w:right="0"/>
              <w:rPr>
                <w:sz w:val="20"/>
                <w:szCs w:val="20"/>
              </w:rPr>
            </w:pPr>
            <w:r w:rsidRPr="007772AC">
              <w:rPr>
                <w:sz w:val="20"/>
                <w:szCs w:val="20"/>
              </w:rPr>
              <w:t>Single dose PK: effect of food and formulation (F05, F06, F07, F2A)</w:t>
            </w:r>
          </w:p>
        </w:tc>
        <w:tc>
          <w:tcPr>
            <w:tcW w:w="751" w:type="pct"/>
          </w:tcPr>
          <w:p w14:paraId="57074DB7"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4E3D46A9"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1FCCB1CA" w14:textId="77777777" w:rsidR="002644AA" w:rsidRPr="007772AC" w:rsidRDefault="002644AA" w:rsidP="007772AC">
            <w:pPr>
              <w:pStyle w:val="Tabletext"/>
              <w:ind w:left="0" w:right="0"/>
              <w:rPr>
                <w:sz w:val="20"/>
                <w:szCs w:val="20"/>
              </w:rPr>
            </w:pPr>
            <w:r w:rsidRPr="007772AC">
              <w:rPr>
                <w:sz w:val="20"/>
                <w:szCs w:val="20"/>
              </w:rPr>
              <w:t>48</w:t>
            </w:r>
          </w:p>
        </w:tc>
        <w:tc>
          <w:tcPr>
            <w:tcW w:w="500" w:type="pct"/>
          </w:tcPr>
          <w:p w14:paraId="0ACD578C" w14:textId="77777777" w:rsidR="002644AA" w:rsidRPr="007772AC" w:rsidRDefault="002644AA" w:rsidP="007772AC">
            <w:pPr>
              <w:pStyle w:val="Tabletext"/>
              <w:ind w:left="0" w:right="0"/>
              <w:rPr>
                <w:sz w:val="20"/>
                <w:szCs w:val="20"/>
              </w:rPr>
            </w:pPr>
            <w:r w:rsidRPr="007772AC">
              <w:rPr>
                <w:sz w:val="20"/>
                <w:szCs w:val="20"/>
              </w:rPr>
              <w:t>48</w:t>
            </w:r>
          </w:p>
        </w:tc>
        <w:tc>
          <w:tcPr>
            <w:tcW w:w="585" w:type="pct"/>
          </w:tcPr>
          <w:p w14:paraId="02A43C14"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71A170CD"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209DEFAB" w14:textId="77777777" w:rsidTr="000C761A">
        <w:trPr>
          <w:trHeight w:val="109"/>
        </w:trPr>
        <w:tc>
          <w:tcPr>
            <w:tcW w:w="832" w:type="pct"/>
          </w:tcPr>
          <w:p w14:paraId="6ECC7D77" w14:textId="77777777" w:rsidR="002644AA" w:rsidRPr="007772AC" w:rsidRDefault="002644AA" w:rsidP="007772AC">
            <w:pPr>
              <w:pStyle w:val="Tabletext"/>
              <w:ind w:left="0" w:right="0"/>
              <w:rPr>
                <w:sz w:val="20"/>
                <w:szCs w:val="20"/>
              </w:rPr>
            </w:pPr>
            <w:r w:rsidRPr="007772AC">
              <w:rPr>
                <w:sz w:val="20"/>
                <w:szCs w:val="20"/>
              </w:rPr>
              <w:t>RXDX-101-08 (GP40831)</w:t>
            </w:r>
          </w:p>
        </w:tc>
        <w:tc>
          <w:tcPr>
            <w:tcW w:w="834" w:type="pct"/>
          </w:tcPr>
          <w:p w14:paraId="35F637C4" w14:textId="77777777" w:rsidR="002644AA" w:rsidRPr="007772AC" w:rsidRDefault="002644AA" w:rsidP="007772AC">
            <w:pPr>
              <w:pStyle w:val="Tabletext"/>
              <w:ind w:left="0" w:right="0"/>
              <w:rPr>
                <w:sz w:val="20"/>
                <w:szCs w:val="20"/>
              </w:rPr>
            </w:pPr>
            <w:r w:rsidRPr="007772AC">
              <w:rPr>
                <w:sz w:val="20"/>
                <w:szCs w:val="20"/>
              </w:rPr>
              <w:t>Single dose PK: effect of formulation (F06A - registration scale manufacture, F06B)</w:t>
            </w:r>
          </w:p>
        </w:tc>
        <w:tc>
          <w:tcPr>
            <w:tcW w:w="751" w:type="pct"/>
          </w:tcPr>
          <w:p w14:paraId="41C625A8"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699F747F"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25451D81" w14:textId="77777777" w:rsidR="002644AA" w:rsidRPr="007772AC" w:rsidRDefault="002644AA" w:rsidP="007772AC">
            <w:pPr>
              <w:pStyle w:val="Tabletext"/>
              <w:ind w:left="0" w:right="0"/>
              <w:rPr>
                <w:sz w:val="20"/>
                <w:szCs w:val="20"/>
              </w:rPr>
            </w:pPr>
            <w:r w:rsidRPr="007772AC">
              <w:rPr>
                <w:sz w:val="20"/>
                <w:szCs w:val="20"/>
              </w:rPr>
              <w:t>24</w:t>
            </w:r>
          </w:p>
        </w:tc>
        <w:tc>
          <w:tcPr>
            <w:tcW w:w="500" w:type="pct"/>
          </w:tcPr>
          <w:p w14:paraId="6789B0E2" w14:textId="77777777" w:rsidR="002644AA" w:rsidRPr="007772AC" w:rsidRDefault="002644AA" w:rsidP="007772AC">
            <w:pPr>
              <w:pStyle w:val="Tabletext"/>
              <w:ind w:left="0" w:right="0"/>
              <w:rPr>
                <w:sz w:val="20"/>
                <w:szCs w:val="20"/>
              </w:rPr>
            </w:pPr>
            <w:r w:rsidRPr="007772AC">
              <w:rPr>
                <w:sz w:val="20"/>
                <w:szCs w:val="20"/>
              </w:rPr>
              <w:t>24</w:t>
            </w:r>
          </w:p>
        </w:tc>
        <w:tc>
          <w:tcPr>
            <w:tcW w:w="585" w:type="pct"/>
          </w:tcPr>
          <w:p w14:paraId="2853B1D5"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2DDA0927"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7C5AF110" w14:textId="77777777" w:rsidTr="000C761A">
        <w:trPr>
          <w:trHeight w:val="109"/>
        </w:trPr>
        <w:tc>
          <w:tcPr>
            <w:tcW w:w="832" w:type="pct"/>
          </w:tcPr>
          <w:p w14:paraId="66002612" w14:textId="77777777" w:rsidR="002644AA" w:rsidRPr="007772AC" w:rsidRDefault="002644AA" w:rsidP="007772AC">
            <w:pPr>
              <w:pStyle w:val="Tabletext"/>
              <w:ind w:left="0" w:right="0"/>
              <w:rPr>
                <w:sz w:val="20"/>
                <w:szCs w:val="20"/>
              </w:rPr>
            </w:pPr>
            <w:r w:rsidRPr="007772AC">
              <w:rPr>
                <w:sz w:val="20"/>
                <w:szCs w:val="20"/>
              </w:rPr>
              <w:t>RXDX-101-09 (GP40832)</w:t>
            </w:r>
          </w:p>
        </w:tc>
        <w:tc>
          <w:tcPr>
            <w:tcW w:w="834" w:type="pct"/>
          </w:tcPr>
          <w:p w14:paraId="2EC16E29" w14:textId="77777777" w:rsidR="002644AA" w:rsidRPr="007772AC" w:rsidRDefault="002644AA" w:rsidP="007772AC">
            <w:pPr>
              <w:pStyle w:val="Tabletext"/>
              <w:ind w:left="0" w:right="0"/>
              <w:rPr>
                <w:sz w:val="20"/>
                <w:szCs w:val="20"/>
              </w:rPr>
            </w:pPr>
            <w:r w:rsidRPr="007772AC">
              <w:rPr>
                <w:sz w:val="20"/>
                <w:szCs w:val="20"/>
              </w:rPr>
              <w:t>Single dose PK (F06): effect of steady state PPI</w:t>
            </w:r>
          </w:p>
        </w:tc>
        <w:tc>
          <w:tcPr>
            <w:tcW w:w="751" w:type="pct"/>
          </w:tcPr>
          <w:p w14:paraId="4DABEAC5" w14:textId="77777777" w:rsidR="002644AA" w:rsidRPr="007772AC" w:rsidRDefault="002644AA" w:rsidP="007772AC">
            <w:pPr>
              <w:pStyle w:val="Tabletext"/>
              <w:ind w:left="0" w:right="0"/>
              <w:rPr>
                <w:sz w:val="20"/>
                <w:szCs w:val="20"/>
              </w:rPr>
            </w:pPr>
            <w:r w:rsidRPr="007772AC">
              <w:rPr>
                <w:sz w:val="20"/>
                <w:szCs w:val="20"/>
              </w:rPr>
              <w:t>PK/ DDI</w:t>
            </w:r>
          </w:p>
        </w:tc>
        <w:tc>
          <w:tcPr>
            <w:tcW w:w="585" w:type="pct"/>
          </w:tcPr>
          <w:p w14:paraId="575A532B"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3F357D06" w14:textId="77777777" w:rsidR="002644AA" w:rsidRPr="007772AC" w:rsidRDefault="002644AA" w:rsidP="007772AC">
            <w:pPr>
              <w:pStyle w:val="Tabletext"/>
              <w:ind w:left="0" w:right="0"/>
              <w:rPr>
                <w:sz w:val="20"/>
                <w:szCs w:val="20"/>
              </w:rPr>
            </w:pPr>
            <w:r w:rsidRPr="007772AC">
              <w:rPr>
                <w:sz w:val="20"/>
                <w:szCs w:val="20"/>
              </w:rPr>
              <w:t>19</w:t>
            </w:r>
          </w:p>
        </w:tc>
        <w:tc>
          <w:tcPr>
            <w:tcW w:w="500" w:type="pct"/>
          </w:tcPr>
          <w:p w14:paraId="020A384F" w14:textId="77777777" w:rsidR="002644AA" w:rsidRPr="007772AC" w:rsidRDefault="002644AA" w:rsidP="007772AC">
            <w:pPr>
              <w:pStyle w:val="Tabletext"/>
              <w:ind w:left="0" w:right="0"/>
              <w:rPr>
                <w:sz w:val="20"/>
                <w:szCs w:val="20"/>
              </w:rPr>
            </w:pPr>
            <w:r w:rsidRPr="007772AC">
              <w:rPr>
                <w:sz w:val="20"/>
                <w:szCs w:val="20"/>
              </w:rPr>
              <w:t>19</w:t>
            </w:r>
          </w:p>
        </w:tc>
        <w:tc>
          <w:tcPr>
            <w:tcW w:w="585" w:type="pct"/>
          </w:tcPr>
          <w:p w14:paraId="5D1EDC1B"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03EED480"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3E1D7753" w14:textId="77777777" w:rsidTr="000C761A">
        <w:trPr>
          <w:trHeight w:val="109"/>
        </w:trPr>
        <w:tc>
          <w:tcPr>
            <w:tcW w:w="832" w:type="pct"/>
          </w:tcPr>
          <w:p w14:paraId="47DEE65A" w14:textId="77777777" w:rsidR="002644AA" w:rsidRPr="007772AC" w:rsidRDefault="002644AA" w:rsidP="007772AC">
            <w:pPr>
              <w:pStyle w:val="Tabletext"/>
              <w:ind w:left="0" w:right="0"/>
              <w:rPr>
                <w:sz w:val="20"/>
                <w:szCs w:val="20"/>
              </w:rPr>
            </w:pPr>
            <w:r w:rsidRPr="007772AC">
              <w:rPr>
                <w:sz w:val="20"/>
                <w:szCs w:val="20"/>
              </w:rPr>
              <w:t>RXDX-101-12 (GP40833)</w:t>
            </w:r>
          </w:p>
        </w:tc>
        <w:tc>
          <w:tcPr>
            <w:tcW w:w="834" w:type="pct"/>
          </w:tcPr>
          <w:p w14:paraId="4D37E821" w14:textId="77777777" w:rsidR="002644AA" w:rsidRPr="007772AC" w:rsidRDefault="002644AA" w:rsidP="007772AC">
            <w:pPr>
              <w:pStyle w:val="Tabletext"/>
              <w:ind w:left="0" w:right="0"/>
              <w:rPr>
                <w:sz w:val="20"/>
                <w:szCs w:val="20"/>
              </w:rPr>
            </w:pPr>
            <w:r w:rsidRPr="007772AC">
              <w:rPr>
                <w:sz w:val="20"/>
                <w:szCs w:val="20"/>
              </w:rPr>
              <w:t xml:space="preserve">Single dose PK (F06): effect of strong </w:t>
            </w:r>
            <w:r w:rsidRPr="007772AC">
              <w:rPr>
                <w:sz w:val="20"/>
                <w:szCs w:val="20"/>
              </w:rPr>
              <w:lastRenderedPageBreak/>
              <w:t>CYP3A4 inhibitor (</w:t>
            </w:r>
            <w:proofErr w:type="spellStart"/>
            <w:r w:rsidRPr="007772AC">
              <w:rPr>
                <w:sz w:val="20"/>
                <w:szCs w:val="20"/>
              </w:rPr>
              <w:t>itraconazole</w:t>
            </w:r>
            <w:proofErr w:type="spellEnd"/>
            <w:r w:rsidRPr="007772AC">
              <w:rPr>
                <w:sz w:val="20"/>
                <w:szCs w:val="20"/>
              </w:rPr>
              <w:t>) or inducer (</w:t>
            </w:r>
            <w:proofErr w:type="spellStart"/>
            <w:r w:rsidRPr="007772AC">
              <w:rPr>
                <w:sz w:val="20"/>
                <w:szCs w:val="20"/>
              </w:rPr>
              <w:t>rifampin</w:t>
            </w:r>
            <w:proofErr w:type="spellEnd"/>
            <w:r w:rsidRPr="007772AC">
              <w:rPr>
                <w:sz w:val="20"/>
                <w:szCs w:val="20"/>
              </w:rPr>
              <w:t>)</w:t>
            </w:r>
          </w:p>
        </w:tc>
        <w:tc>
          <w:tcPr>
            <w:tcW w:w="751" w:type="pct"/>
          </w:tcPr>
          <w:p w14:paraId="74D1273B" w14:textId="77777777" w:rsidR="002644AA" w:rsidRPr="007772AC" w:rsidRDefault="002644AA" w:rsidP="007772AC">
            <w:pPr>
              <w:pStyle w:val="Tabletext"/>
              <w:ind w:left="0" w:right="0"/>
              <w:rPr>
                <w:sz w:val="20"/>
                <w:szCs w:val="20"/>
              </w:rPr>
            </w:pPr>
            <w:r w:rsidRPr="007772AC">
              <w:rPr>
                <w:sz w:val="20"/>
                <w:szCs w:val="20"/>
              </w:rPr>
              <w:lastRenderedPageBreak/>
              <w:t>PK/ DDI</w:t>
            </w:r>
          </w:p>
        </w:tc>
        <w:tc>
          <w:tcPr>
            <w:tcW w:w="585" w:type="pct"/>
          </w:tcPr>
          <w:p w14:paraId="16DAFC32" w14:textId="77777777" w:rsidR="002644AA" w:rsidRPr="007772AC" w:rsidRDefault="002644AA" w:rsidP="007772AC">
            <w:pPr>
              <w:pStyle w:val="Tabletext"/>
              <w:ind w:left="0" w:right="0"/>
              <w:rPr>
                <w:sz w:val="20"/>
                <w:szCs w:val="20"/>
              </w:rPr>
            </w:pPr>
            <w:r w:rsidRPr="007772AC">
              <w:rPr>
                <w:sz w:val="20"/>
                <w:szCs w:val="20"/>
              </w:rPr>
              <w:t>100 mg or 600 mg</w:t>
            </w:r>
          </w:p>
        </w:tc>
        <w:tc>
          <w:tcPr>
            <w:tcW w:w="334" w:type="pct"/>
          </w:tcPr>
          <w:p w14:paraId="6A09C415" w14:textId="77777777" w:rsidR="002644AA" w:rsidRPr="007772AC" w:rsidRDefault="002644AA" w:rsidP="007772AC">
            <w:pPr>
              <w:pStyle w:val="Tabletext"/>
              <w:ind w:left="0" w:right="0"/>
              <w:rPr>
                <w:sz w:val="20"/>
                <w:szCs w:val="20"/>
              </w:rPr>
            </w:pPr>
            <w:r w:rsidRPr="007772AC">
              <w:rPr>
                <w:sz w:val="20"/>
                <w:szCs w:val="20"/>
              </w:rPr>
              <w:t>20</w:t>
            </w:r>
          </w:p>
        </w:tc>
        <w:tc>
          <w:tcPr>
            <w:tcW w:w="500" w:type="pct"/>
          </w:tcPr>
          <w:p w14:paraId="13B44322" w14:textId="77777777" w:rsidR="002644AA" w:rsidRPr="007772AC" w:rsidRDefault="002644AA" w:rsidP="007772AC">
            <w:pPr>
              <w:pStyle w:val="Tabletext"/>
              <w:ind w:left="0" w:right="0"/>
              <w:rPr>
                <w:sz w:val="20"/>
                <w:szCs w:val="20"/>
              </w:rPr>
            </w:pPr>
            <w:r w:rsidRPr="007772AC">
              <w:rPr>
                <w:sz w:val="20"/>
                <w:szCs w:val="20"/>
              </w:rPr>
              <w:t>20</w:t>
            </w:r>
          </w:p>
        </w:tc>
        <w:tc>
          <w:tcPr>
            <w:tcW w:w="585" w:type="pct"/>
          </w:tcPr>
          <w:p w14:paraId="0580193E"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1E55013E"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4260CC8A" w14:textId="77777777" w:rsidTr="000C761A">
        <w:trPr>
          <w:trHeight w:val="109"/>
        </w:trPr>
        <w:tc>
          <w:tcPr>
            <w:tcW w:w="832" w:type="pct"/>
          </w:tcPr>
          <w:p w14:paraId="0B776FCA" w14:textId="77777777" w:rsidR="002644AA" w:rsidRPr="007772AC" w:rsidRDefault="002644AA" w:rsidP="007772AC">
            <w:pPr>
              <w:pStyle w:val="Tabletext"/>
              <w:ind w:left="0" w:right="0"/>
              <w:rPr>
                <w:sz w:val="20"/>
                <w:szCs w:val="20"/>
              </w:rPr>
            </w:pPr>
            <w:r w:rsidRPr="007772AC">
              <w:rPr>
                <w:sz w:val="20"/>
                <w:szCs w:val="20"/>
              </w:rPr>
              <w:t>RXDX-101-13 (GP40834)</w:t>
            </w:r>
          </w:p>
        </w:tc>
        <w:tc>
          <w:tcPr>
            <w:tcW w:w="834" w:type="pct"/>
          </w:tcPr>
          <w:p w14:paraId="00085A8C" w14:textId="77777777" w:rsidR="002644AA" w:rsidRPr="007772AC" w:rsidRDefault="002644AA" w:rsidP="007772AC">
            <w:pPr>
              <w:pStyle w:val="Tabletext"/>
              <w:ind w:left="0" w:right="0"/>
              <w:rPr>
                <w:sz w:val="20"/>
                <w:szCs w:val="20"/>
              </w:rPr>
            </w:pPr>
            <w:r w:rsidRPr="007772AC">
              <w:rPr>
                <w:sz w:val="20"/>
                <w:szCs w:val="20"/>
              </w:rPr>
              <w:t>Single dose PK: effect of entrectinib (F2A) on single dose digoxin</w:t>
            </w:r>
          </w:p>
        </w:tc>
        <w:tc>
          <w:tcPr>
            <w:tcW w:w="751" w:type="pct"/>
          </w:tcPr>
          <w:p w14:paraId="5B866F3F" w14:textId="77777777" w:rsidR="002644AA" w:rsidRPr="007772AC" w:rsidRDefault="002644AA" w:rsidP="007772AC">
            <w:pPr>
              <w:pStyle w:val="Tabletext"/>
              <w:ind w:left="0" w:right="0"/>
              <w:rPr>
                <w:sz w:val="20"/>
                <w:szCs w:val="20"/>
              </w:rPr>
            </w:pPr>
            <w:r w:rsidRPr="007772AC">
              <w:rPr>
                <w:sz w:val="20"/>
                <w:szCs w:val="20"/>
              </w:rPr>
              <w:t>PK/ DDI</w:t>
            </w:r>
          </w:p>
        </w:tc>
        <w:tc>
          <w:tcPr>
            <w:tcW w:w="585" w:type="pct"/>
          </w:tcPr>
          <w:p w14:paraId="4F669B2E"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2E5C0C47" w14:textId="77777777" w:rsidR="002644AA" w:rsidRPr="007772AC" w:rsidRDefault="002644AA" w:rsidP="007772AC">
            <w:pPr>
              <w:pStyle w:val="Tabletext"/>
              <w:ind w:left="0" w:right="0"/>
              <w:rPr>
                <w:sz w:val="20"/>
                <w:szCs w:val="20"/>
              </w:rPr>
            </w:pPr>
            <w:r w:rsidRPr="007772AC">
              <w:rPr>
                <w:sz w:val="20"/>
                <w:szCs w:val="20"/>
              </w:rPr>
              <w:t>10</w:t>
            </w:r>
          </w:p>
        </w:tc>
        <w:tc>
          <w:tcPr>
            <w:tcW w:w="500" w:type="pct"/>
          </w:tcPr>
          <w:p w14:paraId="1C4FCE18" w14:textId="77777777" w:rsidR="002644AA" w:rsidRPr="007772AC" w:rsidRDefault="002644AA" w:rsidP="007772AC">
            <w:pPr>
              <w:pStyle w:val="Tabletext"/>
              <w:ind w:left="0" w:right="0"/>
              <w:rPr>
                <w:sz w:val="20"/>
                <w:szCs w:val="20"/>
              </w:rPr>
            </w:pPr>
            <w:r w:rsidRPr="007772AC">
              <w:rPr>
                <w:sz w:val="20"/>
                <w:szCs w:val="20"/>
              </w:rPr>
              <w:t>10</w:t>
            </w:r>
          </w:p>
        </w:tc>
        <w:tc>
          <w:tcPr>
            <w:tcW w:w="585" w:type="pct"/>
          </w:tcPr>
          <w:p w14:paraId="3CA24171"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37B553E8" w14:textId="77777777" w:rsidR="002644AA" w:rsidRPr="007772AC" w:rsidRDefault="002644AA" w:rsidP="007772AC">
            <w:pPr>
              <w:pStyle w:val="Tabletext"/>
              <w:ind w:left="0" w:right="0"/>
              <w:rPr>
                <w:sz w:val="20"/>
                <w:szCs w:val="20"/>
              </w:rPr>
            </w:pPr>
            <w:r w:rsidRPr="007772AC">
              <w:rPr>
                <w:sz w:val="20"/>
                <w:szCs w:val="20"/>
              </w:rPr>
              <w:t>0</w:t>
            </w:r>
          </w:p>
        </w:tc>
      </w:tr>
      <w:tr w:rsidR="00871C4E" w:rsidRPr="002644AA" w14:paraId="41AE2E46" w14:textId="77777777" w:rsidTr="000C761A">
        <w:trPr>
          <w:trHeight w:val="109"/>
        </w:trPr>
        <w:tc>
          <w:tcPr>
            <w:tcW w:w="832" w:type="pct"/>
          </w:tcPr>
          <w:p w14:paraId="16939B22" w14:textId="77777777" w:rsidR="002644AA" w:rsidRPr="007772AC" w:rsidRDefault="002644AA" w:rsidP="007772AC">
            <w:pPr>
              <w:pStyle w:val="Tabletext"/>
              <w:ind w:left="0" w:right="0"/>
              <w:rPr>
                <w:sz w:val="20"/>
                <w:szCs w:val="20"/>
              </w:rPr>
            </w:pPr>
            <w:r w:rsidRPr="007772AC">
              <w:rPr>
                <w:sz w:val="20"/>
                <w:szCs w:val="20"/>
              </w:rPr>
              <w:t>RXDX-101-15</w:t>
            </w:r>
          </w:p>
          <w:p w14:paraId="37B32864" w14:textId="77777777" w:rsidR="002644AA" w:rsidRPr="007772AC" w:rsidRDefault="002644AA" w:rsidP="007772AC">
            <w:pPr>
              <w:pStyle w:val="Tabletext"/>
              <w:ind w:left="0" w:right="0"/>
              <w:rPr>
                <w:sz w:val="20"/>
                <w:szCs w:val="20"/>
              </w:rPr>
            </w:pPr>
            <w:r w:rsidRPr="007772AC">
              <w:rPr>
                <w:sz w:val="20"/>
                <w:szCs w:val="20"/>
              </w:rPr>
              <w:t>(GO40786)</w:t>
            </w:r>
          </w:p>
        </w:tc>
        <w:tc>
          <w:tcPr>
            <w:tcW w:w="834" w:type="pct"/>
          </w:tcPr>
          <w:p w14:paraId="6F215147" w14:textId="77777777" w:rsidR="002644AA" w:rsidRPr="007772AC" w:rsidRDefault="002644AA" w:rsidP="007772AC">
            <w:pPr>
              <w:pStyle w:val="Tabletext"/>
              <w:ind w:left="0" w:right="0"/>
              <w:rPr>
                <w:sz w:val="20"/>
                <w:szCs w:val="20"/>
              </w:rPr>
            </w:pPr>
            <w:r w:rsidRPr="007772AC">
              <w:rPr>
                <w:sz w:val="20"/>
                <w:szCs w:val="20"/>
              </w:rPr>
              <w:t>Single dose PK: effect of food (F06) and formulation (F06, F2A)</w:t>
            </w:r>
          </w:p>
        </w:tc>
        <w:tc>
          <w:tcPr>
            <w:tcW w:w="751" w:type="pct"/>
          </w:tcPr>
          <w:p w14:paraId="6C37FF89" w14:textId="77777777" w:rsidR="002644AA" w:rsidRPr="007772AC" w:rsidRDefault="002644AA" w:rsidP="007772AC">
            <w:pPr>
              <w:pStyle w:val="Tabletext"/>
              <w:ind w:left="0" w:right="0"/>
              <w:rPr>
                <w:sz w:val="20"/>
                <w:szCs w:val="20"/>
              </w:rPr>
            </w:pPr>
            <w:r w:rsidRPr="007772AC">
              <w:rPr>
                <w:sz w:val="20"/>
                <w:szCs w:val="20"/>
              </w:rPr>
              <w:t>PK</w:t>
            </w:r>
          </w:p>
        </w:tc>
        <w:tc>
          <w:tcPr>
            <w:tcW w:w="585" w:type="pct"/>
          </w:tcPr>
          <w:p w14:paraId="3B531698" w14:textId="77777777" w:rsidR="002644AA" w:rsidRPr="007772AC" w:rsidRDefault="002644AA" w:rsidP="007772AC">
            <w:pPr>
              <w:pStyle w:val="Tabletext"/>
              <w:ind w:left="0" w:right="0"/>
              <w:rPr>
                <w:sz w:val="20"/>
                <w:szCs w:val="20"/>
              </w:rPr>
            </w:pPr>
            <w:r w:rsidRPr="007772AC">
              <w:rPr>
                <w:sz w:val="20"/>
                <w:szCs w:val="20"/>
              </w:rPr>
              <w:t>600 mg</w:t>
            </w:r>
          </w:p>
        </w:tc>
        <w:tc>
          <w:tcPr>
            <w:tcW w:w="334" w:type="pct"/>
          </w:tcPr>
          <w:p w14:paraId="7D968761" w14:textId="77777777" w:rsidR="002644AA" w:rsidRPr="007772AC" w:rsidRDefault="002644AA" w:rsidP="007772AC">
            <w:pPr>
              <w:pStyle w:val="Tabletext"/>
              <w:ind w:left="0" w:right="0"/>
              <w:rPr>
                <w:sz w:val="20"/>
                <w:szCs w:val="20"/>
              </w:rPr>
            </w:pPr>
            <w:r w:rsidRPr="007772AC">
              <w:rPr>
                <w:sz w:val="20"/>
                <w:szCs w:val="20"/>
              </w:rPr>
              <w:t>83</w:t>
            </w:r>
          </w:p>
        </w:tc>
        <w:tc>
          <w:tcPr>
            <w:tcW w:w="500" w:type="pct"/>
          </w:tcPr>
          <w:p w14:paraId="12D47CFE" w14:textId="77777777" w:rsidR="002644AA" w:rsidRPr="007772AC" w:rsidRDefault="002644AA" w:rsidP="007772AC">
            <w:pPr>
              <w:pStyle w:val="Tabletext"/>
              <w:ind w:left="0" w:right="0"/>
              <w:rPr>
                <w:sz w:val="20"/>
                <w:szCs w:val="20"/>
              </w:rPr>
            </w:pPr>
            <w:r w:rsidRPr="007772AC">
              <w:rPr>
                <w:sz w:val="20"/>
                <w:szCs w:val="20"/>
              </w:rPr>
              <w:t>83</w:t>
            </w:r>
          </w:p>
        </w:tc>
        <w:tc>
          <w:tcPr>
            <w:tcW w:w="585" w:type="pct"/>
          </w:tcPr>
          <w:p w14:paraId="7CCBCD59" w14:textId="77777777" w:rsidR="002644AA" w:rsidRPr="007772AC" w:rsidRDefault="002644AA" w:rsidP="007772AC">
            <w:pPr>
              <w:pStyle w:val="Tabletext"/>
              <w:ind w:left="0" w:right="0"/>
              <w:rPr>
                <w:sz w:val="20"/>
                <w:szCs w:val="20"/>
              </w:rPr>
            </w:pPr>
            <w:r w:rsidRPr="007772AC">
              <w:rPr>
                <w:sz w:val="20"/>
                <w:szCs w:val="20"/>
              </w:rPr>
              <w:t>0</w:t>
            </w:r>
          </w:p>
        </w:tc>
        <w:tc>
          <w:tcPr>
            <w:tcW w:w="579" w:type="pct"/>
          </w:tcPr>
          <w:p w14:paraId="3191CE90" w14:textId="77777777" w:rsidR="002644AA" w:rsidRPr="007772AC" w:rsidRDefault="002644AA" w:rsidP="007772AC">
            <w:pPr>
              <w:pStyle w:val="Tabletext"/>
              <w:ind w:left="0" w:right="0"/>
              <w:rPr>
                <w:sz w:val="20"/>
                <w:szCs w:val="20"/>
              </w:rPr>
            </w:pPr>
            <w:r w:rsidRPr="007772AC">
              <w:rPr>
                <w:sz w:val="20"/>
                <w:szCs w:val="20"/>
              </w:rPr>
              <w:t>0</w:t>
            </w:r>
          </w:p>
        </w:tc>
      </w:tr>
      <w:tr w:rsidR="00555D6C" w:rsidRPr="002644AA" w14:paraId="1C872D9C" w14:textId="77777777" w:rsidTr="000C761A">
        <w:trPr>
          <w:trHeight w:val="109"/>
        </w:trPr>
        <w:tc>
          <w:tcPr>
            <w:tcW w:w="832" w:type="pct"/>
          </w:tcPr>
          <w:p w14:paraId="1A3A6DA4" w14:textId="1F4D5BC1" w:rsidR="00555D6C" w:rsidRPr="007772AC" w:rsidRDefault="00555D6C" w:rsidP="007772AC">
            <w:pPr>
              <w:pStyle w:val="Tabletext"/>
              <w:rPr>
                <w:sz w:val="20"/>
                <w:szCs w:val="20"/>
              </w:rPr>
            </w:pPr>
            <w:r w:rsidRPr="007772AC">
              <w:rPr>
                <w:sz w:val="20"/>
                <w:szCs w:val="20"/>
              </w:rPr>
              <w:t>GP41048</w:t>
            </w:r>
          </w:p>
        </w:tc>
        <w:tc>
          <w:tcPr>
            <w:tcW w:w="834" w:type="pct"/>
          </w:tcPr>
          <w:p w14:paraId="4E8CEE11" w14:textId="79D41840" w:rsidR="00555D6C" w:rsidRPr="007772AC" w:rsidRDefault="00555D6C" w:rsidP="007772AC">
            <w:pPr>
              <w:pStyle w:val="Tabletext"/>
              <w:rPr>
                <w:sz w:val="20"/>
                <w:szCs w:val="20"/>
              </w:rPr>
            </w:pPr>
            <w:r w:rsidRPr="007772AC">
              <w:rPr>
                <w:sz w:val="20"/>
                <w:szCs w:val="20"/>
              </w:rPr>
              <w:t>Single dose PK: F1 versus F06(preliminary report, dated 11 April 2019)</w:t>
            </w:r>
          </w:p>
        </w:tc>
        <w:tc>
          <w:tcPr>
            <w:tcW w:w="751" w:type="pct"/>
          </w:tcPr>
          <w:p w14:paraId="0F95D294" w14:textId="4A94DFEF" w:rsidR="00555D6C" w:rsidRPr="007772AC" w:rsidRDefault="00555D6C" w:rsidP="007772AC">
            <w:pPr>
              <w:pStyle w:val="Tabletext"/>
              <w:rPr>
                <w:sz w:val="20"/>
                <w:szCs w:val="20"/>
              </w:rPr>
            </w:pPr>
            <w:r w:rsidRPr="007772AC">
              <w:rPr>
                <w:sz w:val="20"/>
                <w:szCs w:val="20"/>
              </w:rPr>
              <w:t>PK</w:t>
            </w:r>
          </w:p>
        </w:tc>
        <w:tc>
          <w:tcPr>
            <w:tcW w:w="585" w:type="pct"/>
          </w:tcPr>
          <w:p w14:paraId="01BC276D" w14:textId="13F74586" w:rsidR="00555D6C" w:rsidRPr="007772AC" w:rsidRDefault="00555D6C" w:rsidP="007772AC">
            <w:pPr>
              <w:pStyle w:val="Tabletext"/>
              <w:rPr>
                <w:sz w:val="20"/>
                <w:szCs w:val="20"/>
              </w:rPr>
            </w:pPr>
            <w:r w:rsidRPr="007772AC">
              <w:rPr>
                <w:sz w:val="20"/>
                <w:szCs w:val="20"/>
              </w:rPr>
              <w:t>600 mg</w:t>
            </w:r>
          </w:p>
        </w:tc>
        <w:tc>
          <w:tcPr>
            <w:tcW w:w="334" w:type="pct"/>
          </w:tcPr>
          <w:p w14:paraId="2A4121CB" w14:textId="22F1B10E" w:rsidR="00555D6C" w:rsidRPr="007772AC" w:rsidRDefault="00555D6C" w:rsidP="007772AC">
            <w:pPr>
              <w:pStyle w:val="Tabletext"/>
              <w:rPr>
                <w:sz w:val="20"/>
                <w:szCs w:val="20"/>
              </w:rPr>
            </w:pPr>
            <w:r>
              <w:rPr>
                <w:sz w:val="20"/>
                <w:szCs w:val="20"/>
              </w:rPr>
              <w:t>14</w:t>
            </w:r>
          </w:p>
        </w:tc>
        <w:tc>
          <w:tcPr>
            <w:tcW w:w="500" w:type="pct"/>
          </w:tcPr>
          <w:p w14:paraId="1FBA2E22" w14:textId="4500FB5A" w:rsidR="00555D6C" w:rsidRPr="007772AC" w:rsidRDefault="00555D6C" w:rsidP="007772AC">
            <w:pPr>
              <w:pStyle w:val="Tabletext"/>
              <w:rPr>
                <w:sz w:val="20"/>
                <w:szCs w:val="20"/>
              </w:rPr>
            </w:pPr>
            <w:r>
              <w:rPr>
                <w:sz w:val="20"/>
                <w:szCs w:val="20"/>
              </w:rPr>
              <w:t>NR</w:t>
            </w:r>
          </w:p>
        </w:tc>
        <w:tc>
          <w:tcPr>
            <w:tcW w:w="585" w:type="pct"/>
          </w:tcPr>
          <w:p w14:paraId="4488A079" w14:textId="4428D068" w:rsidR="00555D6C" w:rsidRPr="007772AC" w:rsidRDefault="00555D6C" w:rsidP="007772AC">
            <w:pPr>
              <w:pStyle w:val="Tabletext"/>
              <w:rPr>
                <w:sz w:val="20"/>
                <w:szCs w:val="20"/>
              </w:rPr>
            </w:pPr>
            <w:r w:rsidRPr="007772AC">
              <w:rPr>
                <w:sz w:val="20"/>
                <w:szCs w:val="20"/>
              </w:rPr>
              <w:t>0</w:t>
            </w:r>
          </w:p>
        </w:tc>
        <w:tc>
          <w:tcPr>
            <w:tcW w:w="579" w:type="pct"/>
          </w:tcPr>
          <w:p w14:paraId="48811ECB" w14:textId="3DD2126D" w:rsidR="00555D6C" w:rsidRPr="007772AC" w:rsidRDefault="00555D6C" w:rsidP="007772AC">
            <w:pPr>
              <w:pStyle w:val="Tabletext"/>
              <w:rPr>
                <w:sz w:val="20"/>
                <w:szCs w:val="20"/>
              </w:rPr>
            </w:pPr>
            <w:r w:rsidRPr="007772AC">
              <w:rPr>
                <w:sz w:val="20"/>
                <w:szCs w:val="20"/>
              </w:rPr>
              <w:t>0</w:t>
            </w:r>
          </w:p>
        </w:tc>
      </w:tr>
    </w:tbl>
    <w:p w14:paraId="02E3B8E1" w14:textId="01AFCE6D" w:rsidR="002644AA" w:rsidRPr="002644AA" w:rsidRDefault="002644AA" w:rsidP="002239A3">
      <w:pPr>
        <w:pStyle w:val="TableDescription"/>
      </w:pPr>
      <w:r w:rsidRPr="002644AA">
        <w:t>F1/F2,F05, F06, F07, F2A, F2B = various entrectinib formulations used in cli</w:t>
      </w:r>
      <w:r w:rsidR="00BA3D07">
        <w:t>nical development</w:t>
      </w:r>
      <w:r w:rsidR="00FD3E0F">
        <w:t>.</w:t>
      </w:r>
    </w:p>
    <w:p w14:paraId="75383ABF" w14:textId="77777777" w:rsidR="002644AA" w:rsidRPr="002644AA" w:rsidRDefault="002644AA" w:rsidP="002239A3">
      <w:pPr>
        <w:pStyle w:val="TableDescription"/>
      </w:pPr>
      <w:r w:rsidRPr="002644AA">
        <w:rPr>
          <w:vertAlign w:val="superscript"/>
        </w:rPr>
        <w:t>A</w:t>
      </w:r>
      <w:r w:rsidRPr="002644AA">
        <w:t xml:space="preserve"> Entrectinib dose (oral)</w:t>
      </w:r>
    </w:p>
    <w:p w14:paraId="09329546" w14:textId="77777777" w:rsidR="002644AA" w:rsidRPr="002644AA" w:rsidRDefault="002644AA" w:rsidP="002239A3">
      <w:pPr>
        <w:pStyle w:val="TableDescription"/>
      </w:pPr>
      <w:r w:rsidRPr="002644AA">
        <w:rPr>
          <w:vertAlign w:val="superscript"/>
        </w:rPr>
        <w:t>B</w:t>
      </w:r>
      <w:r w:rsidRPr="002644AA">
        <w:t xml:space="preserve"> Noted in brackets are patients excluded from the primary efficacy population.</w:t>
      </w:r>
    </w:p>
    <w:p w14:paraId="0963586B" w14:textId="44878BBE" w:rsidR="002644AA" w:rsidRDefault="002644AA" w:rsidP="002239A3">
      <w:pPr>
        <w:pStyle w:val="TableDescription"/>
      </w:pPr>
      <w:r w:rsidRPr="002644AA">
        <w:rPr>
          <w:vertAlign w:val="superscript"/>
        </w:rPr>
        <w:t>C</w:t>
      </w:r>
      <w:r w:rsidRPr="002644AA">
        <w:t xml:space="preserve"> Six of the patients treated had an NTRK fusion and four patients had a ROS1 fusion, however efficacy </w:t>
      </w:r>
      <w:r w:rsidR="00D70FE1">
        <w:t>was not a per-protocol outcome.</w:t>
      </w:r>
    </w:p>
    <w:bookmarkEnd w:id="46"/>
    <w:p w14:paraId="0C226EDA" w14:textId="77777777" w:rsidR="003037EB" w:rsidRPr="003037EB" w:rsidRDefault="003037EB" w:rsidP="003037EB">
      <w:pPr>
        <w:pStyle w:val="Heading4"/>
        <w:rPr>
          <w:rFonts w:asciiTheme="minorHAnsi" w:hAnsiTheme="minorHAnsi" w:cs="Calibri"/>
          <w:sz w:val="19"/>
          <w:szCs w:val="19"/>
        </w:rPr>
      </w:pPr>
      <w:r>
        <w:t>Pharmacology</w:t>
      </w:r>
    </w:p>
    <w:p w14:paraId="41308E0E" w14:textId="77777777" w:rsidR="003037EB" w:rsidRDefault="00837C29" w:rsidP="000556BC">
      <w:pPr>
        <w:pStyle w:val="Heading5"/>
      </w:pPr>
      <w:r>
        <w:t>Pharmacokinetics and clinical pharmacology</w:t>
      </w:r>
    </w:p>
    <w:p w14:paraId="7EC680D4" w14:textId="77777777" w:rsidR="00FF5282" w:rsidRDefault="00FF5282" w:rsidP="000556BC">
      <w:pPr>
        <w:pStyle w:val="Heading6"/>
      </w:pPr>
      <w:r>
        <w:t>Bioavailability</w:t>
      </w:r>
    </w:p>
    <w:p w14:paraId="20494BBD" w14:textId="77777777" w:rsidR="00FF5282" w:rsidRDefault="00FF5282" w:rsidP="00FF5282">
      <w:r>
        <w:t>Absolute oral bioavailability of entrectinib has not been determined. The human mass balance study suggested oral bioavailability is more than 50%.</w:t>
      </w:r>
    </w:p>
    <w:p w14:paraId="22416F7F" w14:textId="215466A0" w:rsidR="00A443D5" w:rsidRPr="00A443D5" w:rsidRDefault="00A443D5" w:rsidP="00A443D5">
      <w:r w:rsidRPr="000C761A">
        <w:rPr>
          <w:i/>
        </w:rPr>
        <w:t>Marketed versus clinical trial formulations</w:t>
      </w:r>
      <w:r w:rsidR="00893EAA">
        <w:rPr>
          <w:i/>
        </w:rPr>
        <w:t>:</w:t>
      </w:r>
      <w:r w:rsidR="00893EAA">
        <w:t xml:space="preserve"> </w:t>
      </w:r>
      <w:r w:rsidRPr="00A443D5">
        <w:t>The proposed market formulation is F06, and the formulation predominantly used in the clinical trials was F2A. F06 and F2A were shown to be b</w:t>
      </w:r>
      <w:r w:rsidR="008168ED">
        <w:t>ioequivalent in S</w:t>
      </w:r>
      <w:r w:rsidRPr="00A443D5">
        <w:t xml:space="preserve">tudy RXDX-101-15 under fasting conditions with geometric mean ratios (GMR) and 90% </w:t>
      </w:r>
      <w:r w:rsidR="00CF2732">
        <w:t>confidence interval</w:t>
      </w:r>
      <w:r w:rsidR="00CF2732" w:rsidRPr="00A443D5">
        <w:t xml:space="preserve"> </w:t>
      </w:r>
      <w:r w:rsidR="00CF2732">
        <w:t>(</w:t>
      </w:r>
      <w:r w:rsidRPr="00A443D5">
        <w:t>CI</w:t>
      </w:r>
      <w:r w:rsidR="00CF2732">
        <w:t>)</w:t>
      </w:r>
      <w:r w:rsidRPr="00A443D5">
        <w:t xml:space="preserve"> within 80% to 125%:</w:t>
      </w:r>
    </w:p>
    <w:p w14:paraId="0ABA2F9B" w14:textId="26F45AEE" w:rsidR="002C6712" w:rsidRDefault="00A443D5" w:rsidP="00661BB7">
      <w:pPr>
        <w:pStyle w:val="ListBullet"/>
      </w:pPr>
      <w:r w:rsidRPr="00A443D5">
        <w:t xml:space="preserve">F06/F2A GMR (90% CI) of </w:t>
      </w:r>
      <w:r w:rsidR="00541360">
        <w:t>maximum concentration</w:t>
      </w:r>
      <w:r w:rsidR="00541360" w:rsidRPr="00A443D5">
        <w:t xml:space="preserve"> </w:t>
      </w:r>
      <w:r w:rsidR="00541360">
        <w:t>(</w:t>
      </w:r>
      <w:proofErr w:type="spellStart"/>
      <w:r w:rsidRPr="00A443D5">
        <w:t>C</w:t>
      </w:r>
      <w:r w:rsidRPr="002C6712">
        <w:rPr>
          <w:vertAlign w:val="subscript"/>
        </w:rPr>
        <w:t>max</w:t>
      </w:r>
      <w:proofErr w:type="spellEnd"/>
      <w:r w:rsidR="00541360">
        <w:t>)</w:t>
      </w:r>
      <w:r w:rsidRPr="00A443D5">
        <w:t xml:space="preserve"> = 0.933 (0.883, 0.986)</w:t>
      </w:r>
    </w:p>
    <w:p w14:paraId="2CDA8686" w14:textId="5493C245" w:rsidR="00A443D5" w:rsidRDefault="00A443D5" w:rsidP="00661BB7">
      <w:pPr>
        <w:pStyle w:val="ListBullet"/>
      </w:pPr>
      <w:r w:rsidRPr="00A443D5">
        <w:lastRenderedPageBreak/>
        <w:t xml:space="preserve">F06/F2A GMR (90% CI) of </w:t>
      </w:r>
      <w:r w:rsidR="002C6712">
        <w:t>are</w:t>
      </w:r>
      <w:r w:rsidR="00FA045C">
        <w:t xml:space="preserve">a under the concentration </w:t>
      </w:r>
      <w:r w:rsidR="002C6712">
        <w:t>time</w:t>
      </w:r>
      <w:r w:rsidR="002C6712" w:rsidRPr="00880DA5">
        <w:t xml:space="preserve"> curve to infinit</w:t>
      </w:r>
      <w:r w:rsidR="00893EAA">
        <w:t>y</w:t>
      </w:r>
      <w:r w:rsidR="002C6712" w:rsidRPr="00880DA5">
        <w:t xml:space="preserve"> </w:t>
      </w:r>
      <w:r w:rsidR="002C6712">
        <w:t>(</w:t>
      </w:r>
      <w:proofErr w:type="spellStart"/>
      <w:r w:rsidRPr="00A443D5">
        <w:t>AUC</w:t>
      </w:r>
      <w:r w:rsidRPr="002C6712">
        <w:rPr>
          <w:vertAlign w:val="subscript"/>
        </w:rPr>
        <w:t>inf</w:t>
      </w:r>
      <w:proofErr w:type="spellEnd"/>
      <w:r w:rsidR="002C6712">
        <w:t>)</w:t>
      </w:r>
      <w:r w:rsidRPr="00A443D5">
        <w:t xml:space="preserve"> = 0.914 (0.854, 0.979)</w:t>
      </w:r>
    </w:p>
    <w:p w14:paraId="447087DB" w14:textId="3C836892" w:rsidR="00FF5282" w:rsidRDefault="00FF5282" w:rsidP="00FF5282">
      <w:r w:rsidRPr="000C761A">
        <w:rPr>
          <w:i/>
        </w:rPr>
        <w:t>Formulations and pH sensitivity</w:t>
      </w:r>
      <w:r w:rsidR="00893EAA">
        <w:rPr>
          <w:i/>
        </w:rPr>
        <w:t>:</w:t>
      </w:r>
      <w:r w:rsidR="00893EAA">
        <w:t xml:space="preserve"> </w:t>
      </w:r>
      <w:r>
        <w:t>Entrectinib has pH dependent solubility: low gastric pH is necessary for good dissolution and absorption with fasted dosing. In the fed state, small intestinal bile salt solubilisation of entrectinib is increased, and gastric absorption plays a less dominant role in absorption, so changes in gastric pH (including due to PPI use) have less of an effect on overall absorption.</w:t>
      </w:r>
    </w:p>
    <w:p w14:paraId="7D1C53C2" w14:textId="2F818F5A" w:rsidR="00A443D5" w:rsidRPr="00A443D5" w:rsidRDefault="00A443D5" w:rsidP="00A443D5">
      <w:r w:rsidRPr="000C761A">
        <w:rPr>
          <w:i/>
        </w:rPr>
        <w:t>Food effect with F06 (market) formulation</w:t>
      </w:r>
      <w:r w:rsidR="00893EAA">
        <w:rPr>
          <w:i/>
        </w:rPr>
        <w:t>:</w:t>
      </w:r>
      <w:r w:rsidR="00893EAA">
        <w:t xml:space="preserve"> </w:t>
      </w:r>
      <w:r w:rsidRPr="00A443D5">
        <w:t>In Study RXDX-101-15, food had no impact on entrectinib exposures when administered as F06: GMR and 90% CI bounds of fasted versus fed (following a high-fat, high-calorie meal) F06 administration were within 80% to 125%:</w:t>
      </w:r>
    </w:p>
    <w:p w14:paraId="42C62945" w14:textId="77777777" w:rsidR="00A443D5" w:rsidRPr="00A443D5" w:rsidRDefault="00A443D5" w:rsidP="00A443D5">
      <w:pPr>
        <w:pStyle w:val="ListBullet"/>
      </w:pPr>
      <w:r w:rsidRPr="00A443D5">
        <w:t xml:space="preserve">Fed/fasted GMR (90% CI) of </w:t>
      </w:r>
      <w:proofErr w:type="spellStart"/>
      <w:r w:rsidRPr="00A443D5">
        <w:t>C</w:t>
      </w:r>
      <w:r w:rsidRPr="002C6712">
        <w:rPr>
          <w:vertAlign w:val="subscript"/>
        </w:rPr>
        <w:t>max</w:t>
      </w:r>
      <w:proofErr w:type="spellEnd"/>
      <w:r w:rsidRPr="00A443D5">
        <w:t xml:space="preserve"> = 1.06 (0.989, 1.15)</w:t>
      </w:r>
    </w:p>
    <w:p w14:paraId="472A1634" w14:textId="77777777" w:rsidR="00A443D5" w:rsidRPr="00A443D5" w:rsidRDefault="00A443D5" w:rsidP="00A443D5">
      <w:pPr>
        <w:pStyle w:val="ListBullet"/>
      </w:pPr>
      <w:r w:rsidRPr="00A443D5">
        <w:t xml:space="preserve">Fed/fasted GMR (90% CI) of </w:t>
      </w:r>
      <w:proofErr w:type="spellStart"/>
      <w:r w:rsidRPr="00A443D5">
        <w:t>AUC</w:t>
      </w:r>
      <w:r w:rsidRPr="002C6712">
        <w:rPr>
          <w:vertAlign w:val="subscript"/>
        </w:rPr>
        <w:t>inf</w:t>
      </w:r>
      <w:proofErr w:type="spellEnd"/>
      <w:r w:rsidRPr="00A443D5">
        <w:t xml:space="preserve"> = 1.15 (1.07, 1.24)</w:t>
      </w:r>
    </w:p>
    <w:p w14:paraId="613DAF97" w14:textId="4F1E6296" w:rsidR="00A443D5" w:rsidRPr="00A443D5" w:rsidRDefault="00CF2732" w:rsidP="00A443D5">
      <w:r w:rsidRPr="000C761A">
        <w:rPr>
          <w:i/>
        </w:rPr>
        <w:t xml:space="preserve">Proton pump inhibitor </w:t>
      </w:r>
      <w:r w:rsidR="00A443D5" w:rsidRPr="000C761A">
        <w:rPr>
          <w:i/>
        </w:rPr>
        <w:t>co-administration with F06 (market) formulation</w:t>
      </w:r>
      <w:r w:rsidR="00893EAA">
        <w:rPr>
          <w:i/>
        </w:rPr>
        <w:t>:</w:t>
      </w:r>
      <w:r w:rsidR="00893EAA">
        <w:t xml:space="preserve"> </w:t>
      </w:r>
      <w:r w:rsidR="00A443D5" w:rsidRPr="00A443D5">
        <w:t xml:space="preserve">In </w:t>
      </w:r>
      <w:r w:rsidR="00871C4E">
        <w:t xml:space="preserve">Study </w:t>
      </w:r>
      <w:r w:rsidR="00A443D5" w:rsidRPr="00A443D5">
        <w:t>RXDX-101-09, 600 mg F06 entrectinib was administered to fasted, healthy volunteers with or without lansoprazole (a PPI). The PPI decreased total exposure and maximum serum concentration by about a quarter:</w:t>
      </w:r>
    </w:p>
    <w:p w14:paraId="168629F2" w14:textId="4D4F1B60" w:rsidR="00A443D5" w:rsidRPr="00A443D5" w:rsidRDefault="00A443D5" w:rsidP="00A443D5">
      <w:pPr>
        <w:pStyle w:val="ListBullet"/>
      </w:pPr>
      <w:r w:rsidRPr="00A443D5">
        <w:t>F06 (fasted)</w:t>
      </w:r>
      <w:r w:rsidR="00871C4E">
        <w:t>:</w:t>
      </w:r>
    </w:p>
    <w:p w14:paraId="3403E695" w14:textId="77777777" w:rsidR="00A443D5" w:rsidRPr="00A443D5" w:rsidRDefault="00A443D5" w:rsidP="00A443D5">
      <w:pPr>
        <w:pStyle w:val="ListBullet2"/>
      </w:pPr>
      <w:r w:rsidRPr="00A443D5">
        <w:t xml:space="preserve">With/without PPI GMR (90% CI) of </w:t>
      </w:r>
      <w:proofErr w:type="spellStart"/>
      <w:r w:rsidRPr="00A443D5">
        <w:t>C</w:t>
      </w:r>
      <w:r w:rsidRPr="002C6712">
        <w:rPr>
          <w:vertAlign w:val="subscript"/>
        </w:rPr>
        <w:t>max</w:t>
      </w:r>
      <w:proofErr w:type="spellEnd"/>
      <w:r w:rsidRPr="00A443D5">
        <w:t xml:space="preserve"> = 0.765 (0.676, 0.866)</w:t>
      </w:r>
    </w:p>
    <w:p w14:paraId="14B1A86A" w14:textId="173F80F8" w:rsidR="00A443D5" w:rsidRPr="00A443D5" w:rsidRDefault="00A443D5" w:rsidP="00A443D5">
      <w:pPr>
        <w:pStyle w:val="ListBullet2"/>
      </w:pPr>
      <w:r w:rsidRPr="00A443D5">
        <w:t xml:space="preserve">With/without PPI GMR (90% CI) of </w:t>
      </w:r>
      <w:proofErr w:type="spellStart"/>
      <w:r w:rsidRPr="00A443D5">
        <w:t>AUC</w:t>
      </w:r>
      <w:r w:rsidRPr="002C6712">
        <w:rPr>
          <w:vertAlign w:val="subscript"/>
        </w:rPr>
        <w:t>inf</w:t>
      </w:r>
      <w:proofErr w:type="spellEnd"/>
      <w:r w:rsidRPr="00A443D5">
        <w:t xml:space="preserve"> = 0.745 (0.647, 0.859)</w:t>
      </w:r>
      <w:r w:rsidR="00871C4E">
        <w:t>.</w:t>
      </w:r>
    </w:p>
    <w:p w14:paraId="7E96AC84" w14:textId="2AE25184" w:rsidR="00A443D5" w:rsidRPr="00A443D5" w:rsidRDefault="00A443D5" w:rsidP="00A443D5">
      <w:r w:rsidRPr="00A443D5">
        <w:t xml:space="preserve">The </w:t>
      </w:r>
      <w:r w:rsidR="00CF2732">
        <w:t>p</w:t>
      </w:r>
      <w:r w:rsidR="00CF2732" w:rsidRPr="00A73D84">
        <w:t>opulation pharma</w:t>
      </w:r>
      <w:r w:rsidR="00CF2732">
        <w:t>cokinetics</w:t>
      </w:r>
      <w:r w:rsidR="00CF2732" w:rsidRPr="00A443D5">
        <w:t xml:space="preserve"> </w:t>
      </w:r>
      <w:r w:rsidR="00CF2732">
        <w:t>(</w:t>
      </w:r>
      <w:r w:rsidRPr="00A443D5">
        <w:t>PPK</w:t>
      </w:r>
      <w:r w:rsidR="00CF2732">
        <w:t>)</w:t>
      </w:r>
      <w:r w:rsidRPr="00A443D5">
        <w:t xml:space="preserve"> model did not indicate an exposure-efficacy relationship at 600 mg</w:t>
      </w:r>
      <w:r w:rsidR="00E9733A">
        <w:t xml:space="preserve"> daily dosing (see section </w:t>
      </w:r>
      <w:r w:rsidR="00871C4E">
        <w:t>‘</w:t>
      </w:r>
      <w:r w:rsidR="00871C4E" w:rsidRPr="00661BB7">
        <w:rPr>
          <w:i/>
        </w:rPr>
        <w:t>Population pharmacokinetic and physiologically based pharmacokinetic modelling</w:t>
      </w:r>
      <w:r w:rsidR="00871C4E">
        <w:t>’, below</w:t>
      </w:r>
      <w:r w:rsidRPr="00A443D5">
        <w:t>), so a 25% change in systemic exposure is not considered clinically meaningful.</w:t>
      </w:r>
    </w:p>
    <w:p w14:paraId="75654520" w14:textId="56B927D7" w:rsidR="00A443D5" w:rsidRPr="00A443D5" w:rsidRDefault="00A443D5" w:rsidP="00A443D5">
      <w:r w:rsidRPr="00A443D5">
        <w:t>The effect of PPI administration under fed conditions was not evaluated for F06, but was assessed with the F2A formulat</w:t>
      </w:r>
      <w:r w:rsidR="00D70FE1">
        <w:t>ion at 800 mg in Study CA14707.</w:t>
      </w:r>
    </w:p>
    <w:p w14:paraId="4919E286" w14:textId="77777777" w:rsidR="00A443D5" w:rsidRPr="00A443D5" w:rsidRDefault="00A443D5" w:rsidP="00A443D5">
      <w:r w:rsidRPr="00A443D5">
        <w:t>There was no significant change of exposure with versus without PPI administration in the fed dosing state:</w:t>
      </w:r>
    </w:p>
    <w:p w14:paraId="0113F8F0" w14:textId="77777777" w:rsidR="00A443D5" w:rsidRPr="00A443D5" w:rsidRDefault="00A443D5" w:rsidP="00A443D5">
      <w:pPr>
        <w:pStyle w:val="ListBullet"/>
      </w:pPr>
      <w:r w:rsidRPr="00A443D5">
        <w:t>F2A (fed)</w:t>
      </w:r>
    </w:p>
    <w:p w14:paraId="7641C2E3" w14:textId="77777777" w:rsidR="00A443D5" w:rsidRPr="00A443D5" w:rsidRDefault="00A443D5" w:rsidP="00A443D5">
      <w:pPr>
        <w:pStyle w:val="ListBullet2"/>
      </w:pPr>
      <w:r w:rsidRPr="00A443D5">
        <w:t xml:space="preserve">With/without PPI GMR (90% CI) of </w:t>
      </w:r>
      <w:proofErr w:type="spellStart"/>
      <w:r w:rsidRPr="00A443D5">
        <w:t>C</w:t>
      </w:r>
      <w:r w:rsidRPr="002C6712">
        <w:rPr>
          <w:vertAlign w:val="subscript"/>
        </w:rPr>
        <w:t>max</w:t>
      </w:r>
      <w:proofErr w:type="spellEnd"/>
      <w:r w:rsidRPr="00A443D5">
        <w:t xml:space="preserve"> = 0.884 (0.741, 1.06)</w:t>
      </w:r>
    </w:p>
    <w:p w14:paraId="71D46F8C" w14:textId="1A422BAE" w:rsidR="00A443D5" w:rsidRDefault="00A443D5" w:rsidP="00FF5282">
      <w:pPr>
        <w:pStyle w:val="ListBullet2"/>
      </w:pPr>
      <w:r w:rsidRPr="00A443D5">
        <w:t xml:space="preserve">With/without PPI GMR (90% CI) of </w:t>
      </w:r>
      <w:proofErr w:type="spellStart"/>
      <w:r w:rsidRPr="00A443D5">
        <w:t>AUC</w:t>
      </w:r>
      <w:r w:rsidRPr="002C6712">
        <w:rPr>
          <w:vertAlign w:val="subscript"/>
        </w:rPr>
        <w:t>inf</w:t>
      </w:r>
      <w:proofErr w:type="spellEnd"/>
      <w:r w:rsidRPr="00A443D5">
        <w:t xml:space="preserve"> = 1.16 (0.901, 1.48)</w:t>
      </w:r>
      <w:r w:rsidR="00893EAA">
        <w:t>.</w:t>
      </w:r>
    </w:p>
    <w:p w14:paraId="4C310868" w14:textId="434965D5" w:rsidR="00FF5282" w:rsidRDefault="00FF5282" w:rsidP="00FF5282">
      <w:pPr>
        <w:pStyle w:val="Heading6"/>
      </w:pPr>
      <w:r>
        <w:t>Absorption</w:t>
      </w:r>
    </w:p>
    <w:p w14:paraId="101C66FC" w14:textId="6291F97D" w:rsidR="00FF5282" w:rsidRDefault="00FF5282" w:rsidP="00FF5282">
      <w:r>
        <w:t>Entrectinib is detectable in plasm</w:t>
      </w:r>
      <w:r w:rsidR="00DD544A">
        <w:t xml:space="preserve">a 0.5 hours after oral dosing. </w:t>
      </w:r>
      <w:r w:rsidR="00871C4E">
        <w:t>M</w:t>
      </w:r>
      <w:r>
        <w:t xml:space="preserve">edian </w:t>
      </w:r>
      <w:r w:rsidR="00871C4E">
        <w:t>time of</w:t>
      </w:r>
      <w:r w:rsidR="00871C4E" w:rsidRPr="00795EA8">
        <w:t xml:space="preserve"> maximum concentration in serum</w:t>
      </w:r>
      <w:r w:rsidR="00871C4E">
        <w:t xml:space="preserve"> </w:t>
      </w:r>
      <w:proofErr w:type="spellStart"/>
      <w:r>
        <w:t>T</w:t>
      </w:r>
      <w:r w:rsidRPr="00CF2732">
        <w:rPr>
          <w:vertAlign w:val="subscript"/>
        </w:rPr>
        <w:t>max</w:t>
      </w:r>
      <w:proofErr w:type="spellEnd"/>
      <w:r>
        <w:t xml:space="preserve"> after oral administr</w:t>
      </w:r>
      <w:r w:rsidR="00007294">
        <w:t>ation of 600 mg entrectinib</w:t>
      </w:r>
      <w:r w:rsidR="009F3A4D">
        <w:t xml:space="preserve"> </w:t>
      </w:r>
      <w:r>
        <w:t>is 4 hours (range 4 to 6 hours).</w:t>
      </w:r>
    </w:p>
    <w:p w14:paraId="2CA785EC" w14:textId="77777777" w:rsidR="00FF5282" w:rsidRDefault="00FF5282" w:rsidP="00FF5282">
      <w:pPr>
        <w:pStyle w:val="Heading6"/>
      </w:pPr>
      <w:r>
        <w:t>Distribution</w:t>
      </w:r>
    </w:p>
    <w:p w14:paraId="31C9874D" w14:textId="2B107A47" w:rsidR="00FF5282" w:rsidRDefault="00FF5282" w:rsidP="00FF5282">
      <w:r>
        <w:t xml:space="preserve">The estimated apparent volume of distribution was 551 L for entrectinib and 81 L for M5 (the </w:t>
      </w:r>
      <w:proofErr w:type="spellStart"/>
      <w:r>
        <w:t>desmethyl</w:t>
      </w:r>
      <w:proofErr w:type="spellEnd"/>
      <w:r>
        <w:t xml:space="preserve"> metabolite, which is the only active metabolite, and has similar </w:t>
      </w:r>
      <w:r w:rsidRPr="00543E5E">
        <w:rPr>
          <w:i/>
        </w:rPr>
        <w:t>in vitro</w:t>
      </w:r>
      <w:r>
        <w:t xml:space="preserve"> potency as entrectinib against the TRK</w:t>
      </w:r>
      <w:r w:rsidR="004F2535">
        <w:t xml:space="preserve"> </w:t>
      </w:r>
      <w:r>
        <w:t>A/B/C and ROS kinases).</w:t>
      </w:r>
    </w:p>
    <w:p w14:paraId="1B586346" w14:textId="77777777" w:rsidR="00FF5282" w:rsidRDefault="00FF5282" w:rsidP="00FF5282">
      <w:r>
        <w:t xml:space="preserve">Plasma protein binding of both entrectinib and M5 is over 99% </w:t>
      </w:r>
      <w:r w:rsidRPr="00326021">
        <w:rPr>
          <w:i/>
        </w:rPr>
        <w:t>in vitro</w:t>
      </w:r>
      <w:r>
        <w:t xml:space="preserve">. The </w:t>
      </w:r>
      <w:r w:rsidRPr="00326021">
        <w:rPr>
          <w:i/>
        </w:rPr>
        <w:t>in vitro</w:t>
      </w:r>
      <w:r>
        <w:t xml:space="preserve"> blood-to-plasma ratio was 1.3 for parent entrectinib and 1.0 for M5.</w:t>
      </w:r>
    </w:p>
    <w:p w14:paraId="28E54727" w14:textId="0A678E5B" w:rsidR="00FF5282" w:rsidRDefault="00FF5282" w:rsidP="00FF5282">
      <w:r w:rsidRPr="00FF5282">
        <w:rPr>
          <w:i/>
        </w:rPr>
        <w:t>In vitro</w:t>
      </w:r>
      <w:r>
        <w:t xml:space="preserve"> data indicate that parent entrectinib is not a substrate of P-</w:t>
      </w:r>
      <w:proofErr w:type="spellStart"/>
      <w:r>
        <w:t>gp</w:t>
      </w:r>
      <w:proofErr w:type="spellEnd"/>
      <w:r>
        <w:t xml:space="preserve">, </w:t>
      </w:r>
      <w:r w:rsidR="004779EE">
        <w:t>b</w:t>
      </w:r>
      <w:r w:rsidR="00541360" w:rsidRPr="00541360">
        <w:t xml:space="preserve">reast cancer resistance protein </w:t>
      </w:r>
      <w:r w:rsidR="00541360">
        <w:t>(</w:t>
      </w:r>
      <w:r>
        <w:t>BC</w:t>
      </w:r>
      <w:r w:rsidR="00541360">
        <w:t>RP),</w:t>
      </w:r>
      <w:r w:rsidR="00CF2732">
        <w:t>o</w:t>
      </w:r>
      <w:r w:rsidR="00CF2732" w:rsidRPr="00F46E5A">
        <w:t>rganic anion transporter family member 1B1</w:t>
      </w:r>
      <w:r w:rsidR="00CF2732">
        <w:t xml:space="preserve"> (</w:t>
      </w:r>
      <w:r>
        <w:t>OATP1B1</w:t>
      </w:r>
      <w:r w:rsidR="00CF2732">
        <w:t>)</w:t>
      </w:r>
      <w:r>
        <w:t xml:space="preserve">, or </w:t>
      </w:r>
      <w:r w:rsidR="00CF2732">
        <w:t>o</w:t>
      </w:r>
      <w:r w:rsidR="00CF2732" w:rsidRPr="00F46E5A">
        <w:t xml:space="preserve">rganic anion transporter family </w:t>
      </w:r>
      <w:r w:rsidR="00CF2732">
        <w:t>member 1B3 (</w:t>
      </w:r>
      <w:r>
        <w:t>OATP1B3</w:t>
      </w:r>
      <w:r w:rsidR="00CF2732">
        <w:t>)</w:t>
      </w:r>
      <w:r>
        <w:t>, although M5 is a substrate of P-</w:t>
      </w:r>
      <w:proofErr w:type="spellStart"/>
      <w:r>
        <w:t>gp</w:t>
      </w:r>
      <w:proofErr w:type="spellEnd"/>
      <w:r>
        <w:t xml:space="preserve"> and </w:t>
      </w:r>
      <w:r w:rsidR="00541360">
        <w:t>BCRP</w:t>
      </w:r>
      <w:r>
        <w:t xml:space="preserve">. Broad tissue penetration was demonstrated in animal models. After a </w:t>
      </w:r>
      <w:r>
        <w:lastRenderedPageBreak/>
        <w:t xml:space="preserve">single </w:t>
      </w:r>
      <w:r w:rsidR="00CF2732">
        <w:t>i</w:t>
      </w:r>
      <w:r w:rsidR="00CF2732" w:rsidRPr="003975D4">
        <w:t>ntravenous</w:t>
      </w:r>
      <w:r w:rsidR="00CF2732">
        <w:t xml:space="preserve"> (</w:t>
      </w:r>
      <w:r>
        <w:t>IV</w:t>
      </w:r>
      <w:r w:rsidR="00CF2732">
        <w:t>)</w:t>
      </w:r>
      <w:r>
        <w:t xml:space="preserve"> infusion in rats, brain to plasma concentration ratios were around 0.6, and when treated with 400 mg/kg entrectinib daily for 2 weeks, reached over 2. In a month</w:t>
      </w:r>
      <w:r w:rsidR="00541360">
        <w:t xml:space="preserve"> </w:t>
      </w:r>
      <w:r>
        <w:t>long study in dogs, distribution to brain was approximately equal to plasma. Dose-dependent anti-tumour activity was also demonstrated in an intracranial mouse implantation model, suggesting blood brain barrier penetration and intracranial activity.</w:t>
      </w:r>
    </w:p>
    <w:p w14:paraId="31C30523" w14:textId="7E61CDBF" w:rsidR="00A443D5" w:rsidRPr="00A443D5" w:rsidRDefault="00FF5282" w:rsidP="00A443D5">
      <w:r w:rsidRPr="000C761A">
        <w:rPr>
          <w:i/>
        </w:rPr>
        <w:t>Steady state exposure in adult patients</w:t>
      </w:r>
      <w:r w:rsidR="00893EAA">
        <w:rPr>
          <w:i/>
        </w:rPr>
        <w:t>:</w:t>
      </w:r>
      <w:r w:rsidR="00893EAA">
        <w:t xml:space="preserve"> </w:t>
      </w:r>
      <w:r w:rsidRPr="002C5CF2">
        <w:t>Dose</w:t>
      </w:r>
      <w:r w:rsidR="004779EE">
        <w:t xml:space="preserve"> </w:t>
      </w:r>
      <w:r w:rsidRPr="002C5CF2">
        <w:t>proportional increases</w:t>
      </w:r>
      <w:r>
        <w:t xml:space="preserve"> were seen in both </w:t>
      </w:r>
      <w:proofErr w:type="spellStart"/>
      <w:r>
        <w:t>C</w:t>
      </w:r>
      <w:r w:rsidRPr="00DD544A">
        <w:rPr>
          <w:vertAlign w:val="subscript"/>
        </w:rPr>
        <w:t>max</w:t>
      </w:r>
      <w:proofErr w:type="spellEnd"/>
      <w:r w:rsidRPr="00DD544A">
        <w:rPr>
          <w:vertAlign w:val="subscript"/>
        </w:rPr>
        <w:t xml:space="preserve"> </w:t>
      </w:r>
      <w:r>
        <w:t xml:space="preserve">and AUC after repeat dosing across the dose range of 200 mg to 800 mg in </w:t>
      </w:r>
      <w:r w:rsidR="00541360">
        <w:t xml:space="preserve">the </w:t>
      </w:r>
      <w:r>
        <w:t>STARTRK-1</w:t>
      </w:r>
      <w:r w:rsidR="0094772D">
        <w:t xml:space="preserve"> trial</w:t>
      </w:r>
      <w:r>
        <w:t>. Steady state in plasma was reached within</w:t>
      </w:r>
      <w:r w:rsidR="00DD544A">
        <w:t xml:space="preserve"> a week for entrectinib and by D</w:t>
      </w:r>
      <w:r>
        <w:t>ay 15 for M5. Between-subject va</w:t>
      </w:r>
      <w:r w:rsidR="00A443D5">
        <w:t>riability was moderate to high.</w:t>
      </w:r>
      <w:r w:rsidR="00A443D5" w:rsidRPr="00A443D5">
        <w:t xml:space="preserve"> </w:t>
      </w:r>
      <w:r w:rsidR="00A443D5">
        <w:t>Exposure to entrectinib in STARTRK-1 and STARTRK-2</w:t>
      </w:r>
      <w:r w:rsidR="0094772D">
        <w:t xml:space="preserve"> trials</w:t>
      </w:r>
      <w:r w:rsidR="00A443D5">
        <w:t xml:space="preserve"> is summarised in Table 4 and Table 5, respectively</w:t>
      </w:r>
      <w:r w:rsidR="00AF115C">
        <w:t>.</w:t>
      </w:r>
    </w:p>
    <w:p w14:paraId="11B18C3C" w14:textId="4743A325" w:rsidR="00A443D5" w:rsidRPr="00A443D5" w:rsidRDefault="00A443D5" w:rsidP="00DA5F84">
      <w:pPr>
        <w:pStyle w:val="TableTitle"/>
      </w:pPr>
      <w:r>
        <w:t xml:space="preserve">Table </w:t>
      </w:r>
      <w:fldSimple w:instr=" SEQ Table \* ARABIC ">
        <w:r w:rsidR="009B407B">
          <w:rPr>
            <w:noProof/>
          </w:rPr>
          <w:t>5</w:t>
        </w:r>
      </w:fldSimple>
      <w:r w:rsidR="00541360">
        <w:t>:</w:t>
      </w:r>
      <w:r w:rsidRPr="00A443D5">
        <w:t xml:space="preserve"> Steady-state </w:t>
      </w:r>
      <w:r w:rsidR="00541360">
        <w:t>pharmacokinetics</w:t>
      </w:r>
      <w:r w:rsidR="00541360" w:rsidRPr="00A443D5">
        <w:t xml:space="preserve"> </w:t>
      </w:r>
      <w:r w:rsidRPr="00A443D5">
        <w:t xml:space="preserve">in adults with solid tumours in STARTRK-1 </w:t>
      </w:r>
      <w:r w:rsidR="0094772D">
        <w:t xml:space="preserve">trial </w:t>
      </w:r>
      <w:r w:rsidRPr="00A443D5">
        <w:t>(at the proposed dosage, using F2A formulation given under fed conditions)</w:t>
      </w:r>
    </w:p>
    <w:tbl>
      <w:tblPr>
        <w:tblStyle w:val="TableTGAblue"/>
        <w:tblW w:w="0" w:type="auto"/>
        <w:tblLayout w:type="fixed"/>
        <w:tblLook w:val="01E0" w:firstRow="1" w:lastRow="1" w:firstColumn="1" w:lastColumn="1" w:noHBand="0" w:noVBand="0"/>
      </w:tblPr>
      <w:tblGrid>
        <w:gridCol w:w="1833"/>
        <w:gridCol w:w="1985"/>
        <w:gridCol w:w="2126"/>
        <w:gridCol w:w="2268"/>
      </w:tblGrid>
      <w:tr w:rsidR="00A443D5" w:rsidRPr="00A443D5" w14:paraId="42FDA0FE" w14:textId="77777777" w:rsidTr="00F9338F">
        <w:trPr>
          <w:cnfStyle w:val="100000000000" w:firstRow="1" w:lastRow="0" w:firstColumn="0" w:lastColumn="0" w:oddVBand="0" w:evenVBand="0" w:oddHBand="0" w:evenHBand="0" w:firstRowFirstColumn="0" w:firstRowLastColumn="0" w:lastRowFirstColumn="0" w:lastRowLastColumn="0"/>
          <w:trHeight w:val="279"/>
        </w:trPr>
        <w:tc>
          <w:tcPr>
            <w:tcW w:w="1833" w:type="dxa"/>
            <w:vMerge w:val="restart"/>
            <w:tcBorders>
              <w:right w:val="single" w:sz="4" w:space="0" w:color="auto"/>
            </w:tcBorders>
          </w:tcPr>
          <w:p w14:paraId="635D887A" w14:textId="77777777" w:rsidR="00A443D5" w:rsidRPr="001823E7" w:rsidRDefault="00A443D5" w:rsidP="00A443D5">
            <w:pPr>
              <w:pStyle w:val="Tabletext"/>
              <w:rPr>
                <w:lang w:val="en-US" w:eastAsia="ja-JP"/>
              </w:rPr>
            </w:pPr>
            <w:r w:rsidRPr="001823E7">
              <w:rPr>
                <w:lang w:val="en-US" w:eastAsia="ja-JP"/>
              </w:rPr>
              <w:t>Time</w:t>
            </w:r>
          </w:p>
        </w:tc>
        <w:tc>
          <w:tcPr>
            <w:tcW w:w="1985" w:type="dxa"/>
            <w:vMerge w:val="restart"/>
            <w:tcBorders>
              <w:left w:val="single" w:sz="4" w:space="0" w:color="auto"/>
              <w:right w:val="single" w:sz="4" w:space="0" w:color="auto"/>
            </w:tcBorders>
          </w:tcPr>
          <w:p w14:paraId="16499062" w14:textId="2AD06339" w:rsidR="00A443D5" w:rsidRPr="001823E7" w:rsidRDefault="00A443D5" w:rsidP="00A443D5">
            <w:pPr>
              <w:pStyle w:val="Tabletext"/>
              <w:rPr>
                <w:lang w:val="en-US" w:eastAsia="ja-JP"/>
              </w:rPr>
            </w:pPr>
            <w:r w:rsidRPr="001823E7">
              <w:rPr>
                <w:lang w:val="en-US" w:eastAsia="ja-JP"/>
              </w:rPr>
              <w:t xml:space="preserve">PK </w:t>
            </w:r>
            <w:r w:rsidR="00986F56">
              <w:rPr>
                <w:lang w:val="en-US" w:eastAsia="ja-JP"/>
              </w:rPr>
              <w:t>p</w:t>
            </w:r>
            <w:r w:rsidRPr="001823E7">
              <w:rPr>
                <w:lang w:val="en-US" w:eastAsia="ja-JP"/>
              </w:rPr>
              <w:t>arameters</w:t>
            </w:r>
          </w:p>
        </w:tc>
        <w:tc>
          <w:tcPr>
            <w:tcW w:w="4394" w:type="dxa"/>
            <w:gridSpan w:val="2"/>
            <w:tcBorders>
              <w:left w:val="single" w:sz="4" w:space="0" w:color="auto"/>
            </w:tcBorders>
          </w:tcPr>
          <w:p w14:paraId="1F34ADD6" w14:textId="567EEEF2" w:rsidR="00A443D5" w:rsidRPr="001823E7" w:rsidRDefault="00A443D5" w:rsidP="00986F56">
            <w:pPr>
              <w:pStyle w:val="Tabletext"/>
              <w:rPr>
                <w:lang w:val="en-US" w:eastAsia="ja-JP"/>
              </w:rPr>
            </w:pPr>
            <w:r w:rsidRPr="001823E7">
              <w:rPr>
                <w:lang w:val="en-US" w:eastAsia="ja-JP"/>
              </w:rPr>
              <w:t xml:space="preserve">Geometric </w:t>
            </w:r>
            <w:r w:rsidR="00986F56">
              <w:rPr>
                <w:lang w:val="en-US" w:eastAsia="ja-JP"/>
              </w:rPr>
              <w:t>m</w:t>
            </w:r>
            <w:r w:rsidRPr="001823E7">
              <w:rPr>
                <w:lang w:val="en-US" w:eastAsia="ja-JP"/>
              </w:rPr>
              <w:t>ean (</w:t>
            </w:r>
            <w:r w:rsidR="00986F56">
              <w:rPr>
                <w:lang w:val="en-US" w:eastAsia="ja-JP"/>
              </w:rPr>
              <w:t>c</w:t>
            </w:r>
            <w:r w:rsidR="005065CE" w:rsidRPr="005065CE">
              <w:rPr>
                <w:lang w:val="en-US" w:eastAsia="ja-JP"/>
              </w:rPr>
              <w:t>oefficient of variation</w:t>
            </w:r>
            <w:r w:rsidR="005065CE">
              <w:rPr>
                <w:lang w:val="en-US" w:eastAsia="ja-JP"/>
              </w:rPr>
              <w:t xml:space="preserve"> (</w:t>
            </w:r>
            <w:r w:rsidRPr="001823E7">
              <w:rPr>
                <w:lang w:val="en-US" w:eastAsia="ja-JP"/>
              </w:rPr>
              <w:t>CV</w:t>
            </w:r>
            <w:r w:rsidR="005065CE">
              <w:rPr>
                <w:lang w:val="en-US" w:eastAsia="ja-JP"/>
              </w:rPr>
              <w:t>)</w:t>
            </w:r>
            <w:r w:rsidRPr="001823E7">
              <w:rPr>
                <w:lang w:val="en-US" w:eastAsia="ja-JP"/>
              </w:rPr>
              <w:t>%)</w:t>
            </w:r>
          </w:p>
        </w:tc>
      </w:tr>
      <w:tr w:rsidR="00A443D5" w:rsidRPr="00A443D5" w14:paraId="5B303A63" w14:textId="77777777" w:rsidTr="00F9338F">
        <w:trPr>
          <w:trHeight w:val="280"/>
        </w:trPr>
        <w:tc>
          <w:tcPr>
            <w:tcW w:w="1833" w:type="dxa"/>
            <w:vMerge/>
            <w:tcBorders>
              <w:top w:val="single" w:sz="8" w:space="0" w:color="000000" w:themeColor="text1"/>
              <w:right w:val="single" w:sz="4" w:space="0" w:color="auto"/>
            </w:tcBorders>
          </w:tcPr>
          <w:p w14:paraId="1715F73C" w14:textId="77777777" w:rsidR="00A443D5" w:rsidRPr="001823E7" w:rsidRDefault="00A443D5" w:rsidP="00A443D5">
            <w:pPr>
              <w:pStyle w:val="Tabletext"/>
              <w:rPr>
                <w:b/>
                <w:lang w:eastAsia="ja-JP"/>
              </w:rPr>
            </w:pPr>
          </w:p>
        </w:tc>
        <w:tc>
          <w:tcPr>
            <w:tcW w:w="1985" w:type="dxa"/>
            <w:vMerge/>
            <w:tcBorders>
              <w:top w:val="nil"/>
              <w:left w:val="single" w:sz="4" w:space="0" w:color="auto"/>
              <w:right w:val="single" w:sz="4" w:space="0" w:color="auto"/>
            </w:tcBorders>
          </w:tcPr>
          <w:p w14:paraId="40BA6CCC" w14:textId="77777777" w:rsidR="00A443D5" w:rsidRPr="001823E7" w:rsidRDefault="00A443D5" w:rsidP="00A443D5">
            <w:pPr>
              <w:pStyle w:val="Tabletext"/>
              <w:rPr>
                <w:b/>
                <w:color w:val="FFFFFF" w:themeColor="background1"/>
                <w:lang w:eastAsia="ja-JP"/>
              </w:rPr>
            </w:pPr>
          </w:p>
        </w:tc>
        <w:tc>
          <w:tcPr>
            <w:tcW w:w="2126" w:type="dxa"/>
            <w:tcBorders>
              <w:left w:val="single" w:sz="4" w:space="0" w:color="auto"/>
            </w:tcBorders>
            <w:shd w:val="clear" w:color="auto" w:fill="0070B5" w:themeFill="text2" w:themeFillTint="BF"/>
          </w:tcPr>
          <w:p w14:paraId="4AECAA32" w14:textId="77777777" w:rsidR="00A443D5" w:rsidRPr="001823E7" w:rsidRDefault="00A443D5" w:rsidP="00A443D5">
            <w:pPr>
              <w:pStyle w:val="Tabletext"/>
              <w:rPr>
                <w:b/>
                <w:color w:val="FFFFFF" w:themeColor="background1"/>
                <w:lang w:val="en-US" w:eastAsia="ja-JP"/>
              </w:rPr>
            </w:pPr>
            <w:r w:rsidRPr="001823E7">
              <w:rPr>
                <w:b/>
                <w:color w:val="FFFFFF" w:themeColor="background1"/>
                <w:lang w:val="en-US" w:eastAsia="ja-JP"/>
              </w:rPr>
              <w:t>Entrectinib</w:t>
            </w:r>
          </w:p>
        </w:tc>
        <w:tc>
          <w:tcPr>
            <w:tcW w:w="2268" w:type="dxa"/>
            <w:shd w:val="clear" w:color="auto" w:fill="0070B5" w:themeFill="text2" w:themeFillTint="BF"/>
          </w:tcPr>
          <w:p w14:paraId="744A2311" w14:textId="77777777" w:rsidR="00A443D5" w:rsidRPr="001823E7" w:rsidRDefault="00A443D5" w:rsidP="00A443D5">
            <w:pPr>
              <w:pStyle w:val="Tabletext"/>
              <w:rPr>
                <w:b/>
                <w:color w:val="FFFFFF" w:themeColor="background1"/>
                <w:lang w:val="en-US" w:eastAsia="ja-JP"/>
              </w:rPr>
            </w:pPr>
            <w:r w:rsidRPr="001823E7">
              <w:rPr>
                <w:b/>
                <w:color w:val="FFFFFF" w:themeColor="background1"/>
                <w:lang w:val="en-US" w:eastAsia="ja-JP"/>
              </w:rPr>
              <w:t>M5</w:t>
            </w:r>
          </w:p>
        </w:tc>
      </w:tr>
      <w:tr w:rsidR="00A443D5" w:rsidRPr="00A443D5" w14:paraId="3E250C67" w14:textId="77777777" w:rsidTr="00F9338F">
        <w:trPr>
          <w:trHeight w:val="279"/>
        </w:trPr>
        <w:tc>
          <w:tcPr>
            <w:tcW w:w="1833" w:type="dxa"/>
            <w:vMerge w:val="restart"/>
          </w:tcPr>
          <w:p w14:paraId="643CC181" w14:textId="7ECEDD9C" w:rsidR="00A443D5" w:rsidRPr="00A443D5" w:rsidRDefault="00A443D5" w:rsidP="00A443D5">
            <w:pPr>
              <w:pStyle w:val="Tabletext"/>
              <w:rPr>
                <w:lang w:val="en-US" w:eastAsia="ja-JP"/>
              </w:rPr>
            </w:pPr>
            <w:r w:rsidRPr="00A443D5">
              <w:rPr>
                <w:lang w:val="en-US" w:eastAsia="ja-JP"/>
              </w:rPr>
              <w:t>Cycle 1 Day 14 (n</w:t>
            </w:r>
            <w:r w:rsidR="00F2463B">
              <w:rPr>
                <w:lang w:val="en-US" w:eastAsia="ja-JP"/>
              </w:rPr>
              <w:t xml:space="preserve"> </w:t>
            </w:r>
            <w:r w:rsidRPr="00A443D5">
              <w:rPr>
                <w:lang w:val="en-US" w:eastAsia="ja-JP"/>
              </w:rPr>
              <w:t>=</w:t>
            </w:r>
            <w:r w:rsidR="00F2463B">
              <w:rPr>
                <w:lang w:val="en-US" w:eastAsia="ja-JP"/>
              </w:rPr>
              <w:t xml:space="preserve"> </w:t>
            </w:r>
            <w:r w:rsidRPr="00A443D5">
              <w:rPr>
                <w:lang w:val="en-US" w:eastAsia="ja-JP"/>
              </w:rPr>
              <w:t>12)</w:t>
            </w:r>
          </w:p>
        </w:tc>
        <w:tc>
          <w:tcPr>
            <w:tcW w:w="1985" w:type="dxa"/>
          </w:tcPr>
          <w:p w14:paraId="09D84E07" w14:textId="77777777" w:rsidR="00A443D5" w:rsidRPr="00A443D5" w:rsidRDefault="00A443D5" w:rsidP="00A443D5">
            <w:pPr>
              <w:pStyle w:val="Tabletext"/>
              <w:rPr>
                <w:lang w:val="en-US" w:eastAsia="ja-JP"/>
              </w:rPr>
            </w:pPr>
            <w:proofErr w:type="spellStart"/>
            <w:r w:rsidRPr="00A443D5">
              <w:rPr>
                <w:lang w:val="en-US" w:eastAsia="ja-JP"/>
              </w:rPr>
              <w:t>C</w:t>
            </w:r>
            <w:r w:rsidRPr="00A443D5">
              <w:rPr>
                <w:vertAlign w:val="subscript"/>
                <w:lang w:val="en-US" w:eastAsia="ja-JP"/>
              </w:rPr>
              <w:t>max</w:t>
            </w:r>
            <w:proofErr w:type="spellEnd"/>
            <w:r w:rsidRPr="00A443D5">
              <w:rPr>
                <w:lang w:val="en-US" w:eastAsia="ja-JP"/>
              </w:rPr>
              <w:t xml:space="preserve"> (</w:t>
            </w:r>
            <w:proofErr w:type="spellStart"/>
            <w:r w:rsidRPr="00A443D5">
              <w:rPr>
                <w:lang w:val="en-US" w:eastAsia="ja-JP"/>
              </w:rPr>
              <w:t>nM</w:t>
            </w:r>
            <w:proofErr w:type="spellEnd"/>
            <w:r w:rsidRPr="00A443D5">
              <w:rPr>
                <w:lang w:val="en-US" w:eastAsia="ja-JP"/>
              </w:rPr>
              <w:t>)</w:t>
            </w:r>
          </w:p>
        </w:tc>
        <w:tc>
          <w:tcPr>
            <w:tcW w:w="2126" w:type="dxa"/>
          </w:tcPr>
          <w:p w14:paraId="4A36260E" w14:textId="77777777" w:rsidR="00A443D5" w:rsidRPr="00A443D5" w:rsidRDefault="00A443D5" w:rsidP="00A443D5">
            <w:pPr>
              <w:pStyle w:val="Tabletext"/>
              <w:rPr>
                <w:lang w:val="en-US" w:eastAsia="ja-JP"/>
              </w:rPr>
            </w:pPr>
            <w:r w:rsidRPr="00A443D5">
              <w:rPr>
                <w:lang w:val="en-US" w:eastAsia="ja-JP"/>
              </w:rPr>
              <w:t>3130 (80%)</w:t>
            </w:r>
          </w:p>
        </w:tc>
        <w:tc>
          <w:tcPr>
            <w:tcW w:w="2268" w:type="dxa"/>
          </w:tcPr>
          <w:p w14:paraId="1A5EB3D1" w14:textId="77777777" w:rsidR="00A443D5" w:rsidRPr="00A443D5" w:rsidRDefault="00A443D5" w:rsidP="00A443D5">
            <w:pPr>
              <w:pStyle w:val="Tabletext"/>
              <w:rPr>
                <w:lang w:val="en-US" w:eastAsia="ja-JP"/>
              </w:rPr>
            </w:pPr>
            <w:r w:rsidRPr="00A443D5">
              <w:rPr>
                <w:lang w:val="en-US" w:eastAsia="ja-JP"/>
              </w:rPr>
              <w:t>1250 (90%)</w:t>
            </w:r>
          </w:p>
        </w:tc>
      </w:tr>
      <w:tr w:rsidR="00A443D5" w:rsidRPr="00A443D5" w14:paraId="2FC6145D" w14:textId="77777777" w:rsidTr="00F9338F">
        <w:trPr>
          <w:trHeight w:val="279"/>
        </w:trPr>
        <w:tc>
          <w:tcPr>
            <w:tcW w:w="1833" w:type="dxa"/>
            <w:vMerge/>
          </w:tcPr>
          <w:p w14:paraId="2E599D17" w14:textId="77777777" w:rsidR="00A443D5" w:rsidRPr="00A443D5" w:rsidRDefault="00A443D5" w:rsidP="00A443D5">
            <w:pPr>
              <w:pStyle w:val="Tabletext"/>
              <w:rPr>
                <w:lang w:eastAsia="ja-JP"/>
              </w:rPr>
            </w:pPr>
          </w:p>
        </w:tc>
        <w:tc>
          <w:tcPr>
            <w:tcW w:w="1985" w:type="dxa"/>
          </w:tcPr>
          <w:p w14:paraId="3EEC54BF" w14:textId="77777777" w:rsidR="00A443D5" w:rsidRPr="00A443D5" w:rsidRDefault="00A443D5" w:rsidP="00A443D5">
            <w:pPr>
              <w:pStyle w:val="Tabletext"/>
              <w:rPr>
                <w:lang w:val="en-US" w:eastAsia="ja-JP"/>
              </w:rPr>
            </w:pPr>
            <w:r w:rsidRPr="00A443D5">
              <w:rPr>
                <w:lang w:val="en-US" w:eastAsia="ja-JP"/>
              </w:rPr>
              <w:t>AUC</w:t>
            </w:r>
            <w:r w:rsidRPr="00A443D5">
              <w:rPr>
                <w:vertAlign w:val="subscript"/>
                <w:lang w:val="en-US" w:eastAsia="ja-JP"/>
              </w:rPr>
              <w:t>0-24</w:t>
            </w:r>
            <w:r w:rsidRPr="00A443D5">
              <w:rPr>
                <w:lang w:val="en-US" w:eastAsia="ja-JP"/>
              </w:rPr>
              <w:t xml:space="preserve"> (</w:t>
            </w:r>
            <w:proofErr w:type="spellStart"/>
            <w:r w:rsidRPr="00A443D5">
              <w:rPr>
                <w:lang w:val="en-US" w:eastAsia="ja-JP"/>
              </w:rPr>
              <w:t>nM</w:t>
            </w:r>
            <w:proofErr w:type="spellEnd"/>
            <w:r w:rsidRPr="00A443D5">
              <w:rPr>
                <w:lang w:val="en-US" w:eastAsia="ja-JP"/>
              </w:rPr>
              <w:t>*h)</w:t>
            </w:r>
          </w:p>
        </w:tc>
        <w:tc>
          <w:tcPr>
            <w:tcW w:w="2126" w:type="dxa"/>
          </w:tcPr>
          <w:p w14:paraId="0B7BF19E" w14:textId="77777777" w:rsidR="00A443D5" w:rsidRPr="00A443D5" w:rsidRDefault="00A443D5" w:rsidP="00A443D5">
            <w:pPr>
              <w:pStyle w:val="Tabletext"/>
              <w:rPr>
                <w:lang w:val="en-US" w:eastAsia="ja-JP"/>
              </w:rPr>
            </w:pPr>
            <w:r w:rsidRPr="00A443D5">
              <w:rPr>
                <w:lang w:val="en-US" w:eastAsia="ja-JP"/>
              </w:rPr>
              <w:t>48000 (77%)</w:t>
            </w:r>
          </w:p>
        </w:tc>
        <w:tc>
          <w:tcPr>
            <w:tcW w:w="2268" w:type="dxa"/>
          </w:tcPr>
          <w:p w14:paraId="2CF0DFCA" w14:textId="77777777" w:rsidR="00A443D5" w:rsidRPr="00A443D5" w:rsidRDefault="00A443D5" w:rsidP="00A443D5">
            <w:pPr>
              <w:pStyle w:val="Tabletext"/>
              <w:rPr>
                <w:lang w:val="en-US" w:eastAsia="ja-JP"/>
              </w:rPr>
            </w:pPr>
            <w:r w:rsidRPr="00A443D5">
              <w:rPr>
                <w:lang w:val="en-US" w:eastAsia="ja-JP"/>
              </w:rPr>
              <w:t>24000 (97%)</w:t>
            </w:r>
          </w:p>
        </w:tc>
      </w:tr>
      <w:tr w:rsidR="00A443D5" w:rsidRPr="00A443D5" w14:paraId="02C32616" w14:textId="77777777" w:rsidTr="00F9338F">
        <w:trPr>
          <w:trHeight w:val="280"/>
        </w:trPr>
        <w:tc>
          <w:tcPr>
            <w:tcW w:w="1833" w:type="dxa"/>
            <w:vMerge w:val="restart"/>
          </w:tcPr>
          <w:p w14:paraId="5D07EE4D" w14:textId="05CDDD9A" w:rsidR="00A443D5" w:rsidRPr="00A443D5" w:rsidRDefault="00A443D5" w:rsidP="00A443D5">
            <w:pPr>
              <w:pStyle w:val="Tabletext"/>
              <w:rPr>
                <w:lang w:val="en-US" w:eastAsia="ja-JP"/>
              </w:rPr>
            </w:pPr>
            <w:r w:rsidRPr="00A443D5">
              <w:rPr>
                <w:lang w:val="en-US" w:eastAsia="ja-JP"/>
              </w:rPr>
              <w:t>Cycle 1 Day 28 (n</w:t>
            </w:r>
            <w:r w:rsidR="00F2463B">
              <w:rPr>
                <w:lang w:val="en-US" w:eastAsia="ja-JP"/>
              </w:rPr>
              <w:t xml:space="preserve"> </w:t>
            </w:r>
            <w:r w:rsidRPr="00A443D5">
              <w:rPr>
                <w:lang w:val="en-US" w:eastAsia="ja-JP"/>
              </w:rPr>
              <w:t>=</w:t>
            </w:r>
            <w:r w:rsidR="00F2463B">
              <w:rPr>
                <w:lang w:val="en-US" w:eastAsia="ja-JP"/>
              </w:rPr>
              <w:t xml:space="preserve"> </w:t>
            </w:r>
            <w:r w:rsidRPr="00A443D5">
              <w:rPr>
                <w:lang w:val="en-US" w:eastAsia="ja-JP"/>
              </w:rPr>
              <w:t>8)</w:t>
            </w:r>
          </w:p>
        </w:tc>
        <w:tc>
          <w:tcPr>
            <w:tcW w:w="1985" w:type="dxa"/>
          </w:tcPr>
          <w:p w14:paraId="144DFADC" w14:textId="77777777" w:rsidR="00A443D5" w:rsidRPr="00A443D5" w:rsidRDefault="00A443D5" w:rsidP="00A443D5">
            <w:pPr>
              <w:pStyle w:val="Tabletext"/>
              <w:rPr>
                <w:lang w:val="en-US" w:eastAsia="ja-JP"/>
              </w:rPr>
            </w:pPr>
            <w:proofErr w:type="spellStart"/>
            <w:r w:rsidRPr="00A443D5">
              <w:rPr>
                <w:lang w:val="en-US" w:eastAsia="ja-JP"/>
              </w:rPr>
              <w:t>C</w:t>
            </w:r>
            <w:r w:rsidRPr="00A443D5">
              <w:rPr>
                <w:vertAlign w:val="subscript"/>
                <w:lang w:val="en-US" w:eastAsia="ja-JP"/>
              </w:rPr>
              <w:t>max</w:t>
            </w:r>
            <w:proofErr w:type="spellEnd"/>
            <w:r w:rsidRPr="00A443D5">
              <w:rPr>
                <w:lang w:val="en-US" w:eastAsia="ja-JP"/>
              </w:rPr>
              <w:t xml:space="preserve"> (</w:t>
            </w:r>
            <w:proofErr w:type="spellStart"/>
            <w:r w:rsidRPr="00A443D5">
              <w:rPr>
                <w:lang w:val="en-US" w:eastAsia="ja-JP"/>
              </w:rPr>
              <w:t>nM</w:t>
            </w:r>
            <w:proofErr w:type="spellEnd"/>
            <w:r w:rsidRPr="00A443D5">
              <w:rPr>
                <w:lang w:val="en-US" w:eastAsia="ja-JP"/>
              </w:rPr>
              <w:t>)</w:t>
            </w:r>
          </w:p>
        </w:tc>
        <w:tc>
          <w:tcPr>
            <w:tcW w:w="2126" w:type="dxa"/>
          </w:tcPr>
          <w:p w14:paraId="0E9D7934" w14:textId="77777777" w:rsidR="00A443D5" w:rsidRPr="00A443D5" w:rsidRDefault="00A443D5" w:rsidP="00A443D5">
            <w:pPr>
              <w:pStyle w:val="Tabletext"/>
              <w:rPr>
                <w:lang w:val="en-US" w:eastAsia="ja-JP"/>
              </w:rPr>
            </w:pPr>
            <w:r w:rsidRPr="00A443D5">
              <w:rPr>
                <w:lang w:val="en-US" w:eastAsia="ja-JP"/>
              </w:rPr>
              <w:t>2660 (64%)</w:t>
            </w:r>
          </w:p>
        </w:tc>
        <w:tc>
          <w:tcPr>
            <w:tcW w:w="2268" w:type="dxa"/>
          </w:tcPr>
          <w:p w14:paraId="4A3F8AF8" w14:textId="77777777" w:rsidR="00A443D5" w:rsidRPr="00A443D5" w:rsidRDefault="00A443D5" w:rsidP="00A443D5">
            <w:pPr>
              <w:pStyle w:val="Tabletext"/>
              <w:rPr>
                <w:lang w:val="en-US" w:eastAsia="ja-JP"/>
              </w:rPr>
            </w:pPr>
            <w:r w:rsidRPr="00A443D5">
              <w:rPr>
                <w:lang w:val="en-US" w:eastAsia="ja-JP"/>
              </w:rPr>
              <w:t>703 (83%)</w:t>
            </w:r>
          </w:p>
        </w:tc>
      </w:tr>
      <w:tr w:rsidR="00A443D5" w:rsidRPr="00A443D5" w14:paraId="02911984" w14:textId="77777777" w:rsidTr="00F9338F">
        <w:trPr>
          <w:trHeight w:val="279"/>
        </w:trPr>
        <w:tc>
          <w:tcPr>
            <w:tcW w:w="1833" w:type="dxa"/>
            <w:vMerge/>
          </w:tcPr>
          <w:p w14:paraId="1398D33E" w14:textId="77777777" w:rsidR="00A443D5" w:rsidRPr="00A443D5" w:rsidRDefault="00A443D5" w:rsidP="00A443D5">
            <w:pPr>
              <w:pStyle w:val="Tabletext"/>
              <w:rPr>
                <w:lang w:eastAsia="ja-JP"/>
              </w:rPr>
            </w:pPr>
          </w:p>
        </w:tc>
        <w:tc>
          <w:tcPr>
            <w:tcW w:w="1985" w:type="dxa"/>
          </w:tcPr>
          <w:p w14:paraId="68EC9C4F" w14:textId="77777777" w:rsidR="00A443D5" w:rsidRPr="00A443D5" w:rsidRDefault="00A443D5" w:rsidP="00A443D5">
            <w:pPr>
              <w:pStyle w:val="Tabletext"/>
              <w:rPr>
                <w:lang w:val="en-US" w:eastAsia="ja-JP"/>
              </w:rPr>
            </w:pPr>
            <w:r w:rsidRPr="00A443D5">
              <w:rPr>
                <w:lang w:val="en-US" w:eastAsia="ja-JP"/>
              </w:rPr>
              <w:t>AUC</w:t>
            </w:r>
            <w:r w:rsidRPr="00A443D5">
              <w:rPr>
                <w:vertAlign w:val="subscript"/>
                <w:lang w:val="en-US" w:eastAsia="ja-JP"/>
              </w:rPr>
              <w:t>0-24</w:t>
            </w:r>
            <w:r w:rsidRPr="00A443D5">
              <w:rPr>
                <w:lang w:val="en-US" w:eastAsia="ja-JP"/>
              </w:rPr>
              <w:t xml:space="preserve"> (</w:t>
            </w:r>
            <w:proofErr w:type="spellStart"/>
            <w:r w:rsidRPr="00A443D5">
              <w:rPr>
                <w:lang w:val="en-US" w:eastAsia="ja-JP"/>
              </w:rPr>
              <w:t>nM</w:t>
            </w:r>
            <w:proofErr w:type="spellEnd"/>
            <w:r w:rsidRPr="00A443D5">
              <w:rPr>
                <w:lang w:val="en-US" w:eastAsia="ja-JP"/>
              </w:rPr>
              <w:t>*h)</w:t>
            </w:r>
          </w:p>
        </w:tc>
        <w:tc>
          <w:tcPr>
            <w:tcW w:w="2126" w:type="dxa"/>
          </w:tcPr>
          <w:p w14:paraId="583568AD" w14:textId="77777777" w:rsidR="00A443D5" w:rsidRPr="00A443D5" w:rsidRDefault="00A443D5" w:rsidP="00A443D5">
            <w:pPr>
              <w:pStyle w:val="Tabletext"/>
              <w:rPr>
                <w:lang w:val="en-US" w:eastAsia="ja-JP"/>
              </w:rPr>
            </w:pPr>
            <w:r w:rsidRPr="00A443D5">
              <w:rPr>
                <w:lang w:val="en-US" w:eastAsia="ja-JP"/>
              </w:rPr>
              <w:t>72800 (42%)</w:t>
            </w:r>
          </w:p>
        </w:tc>
        <w:tc>
          <w:tcPr>
            <w:tcW w:w="2268" w:type="dxa"/>
          </w:tcPr>
          <w:p w14:paraId="13FD96DB" w14:textId="77777777" w:rsidR="00A443D5" w:rsidRPr="00A443D5" w:rsidRDefault="00A443D5" w:rsidP="00A443D5">
            <w:pPr>
              <w:pStyle w:val="Tabletext"/>
              <w:rPr>
                <w:lang w:val="en-US" w:eastAsia="ja-JP"/>
              </w:rPr>
            </w:pPr>
            <w:r w:rsidRPr="00A443D5">
              <w:rPr>
                <w:lang w:val="en-US" w:eastAsia="ja-JP"/>
              </w:rPr>
              <w:t>24600 (46%)</w:t>
            </w:r>
          </w:p>
        </w:tc>
      </w:tr>
    </w:tbl>
    <w:p w14:paraId="169E5D99" w14:textId="0B2A2E82" w:rsidR="00BD04CD" w:rsidRDefault="00BD04CD" w:rsidP="00BD04CD">
      <w:pPr>
        <w:pStyle w:val="TableDescription"/>
        <w:rPr>
          <w:rFonts w:cs="Calibri"/>
          <w:color w:val="000000"/>
          <w:szCs w:val="22"/>
        </w:rPr>
      </w:pPr>
      <w:r w:rsidRPr="00A443D5">
        <w:rPr>
          <w:lang w:val="en-US" w:eastAsia="ja-JP"/>
        </w:rPr>
        <w:t>AUC</w:t>
      </w:r>
      <w:r w:rsidRPr="00A443D5">
        <w:rPr>
          <w:vertAlign w:val="subscript"/>
          <w:lang w:val="en-US" w:eastAsia="ja-JP"/>
        </w:rPr>
        <w:t>0-24</w:t>
      </w:r>
      <w:r>
        <w:rPr>
          <w:vertAlign w:val="subscript"/>
          <w:lang w:val="en-US" w:eastAsia="ja-JP"/>
        </w:rPr>
        <w:t xml:space="preserve">: </w:t>
      </w:r>
      <w:r w:rsidRPr="002B01B1">
        <w:rPr>
          <w:rFonts w:cs="Calibri"/>
          <w:color w:val="000000"/>
          <w:szCs w:val="22"/>
        </w:rPr>
        <w:t>Area under the plasma concentration time curve during 24 hours</w:t>
      </w:r>
      <w:r w:rsidR="00986F56">
        <w:rPr>
          <w:rFonts w:cs="Calibri"/>
          <w:color w:val="000000"/>
          <w:szCs w:val="22"/>
        </w:rPr>
        <w:t>.</w:t>
      </w:r>
    </w:p>
    <w:p w14:paraId="6C46E4ED" w14:textId="2E5697D5" w:rsidR="00986F56" w:rsidRDefault="00986F56" w:rsidP="00BD04CD">
      <w:pPr>
        <w:pStyle w:val="TableDescription"/>
      </w:pPr>
      <w:r>
        <w:t xml:space="preserve">Source: </w:t>
      </w:r>
      <w:r w:rsidRPr="00A443D5">
        <w:t>reproduced from th</w:t>
      </w:r>
      <w:r>
        <w:t>e FDA multidisciplinary review.</w:t>
      </w:r>
      <w:r>
        <w:fldChar w:fldCharType="begin"/>
      </w:r>
      <w:r>
        <w:instrText xml:space="preserve"> NOTEREF _Ref50554541 \f \h </w:instrText>
      </w:r>
      <w:r>
        <w:fldChar w:fldCharType="separate"/>
      </w:r>
      <w:r w:rsidRPr="005743D8">
        <w:rPr>
          <w:rStyle w:val="FootnoteReference"/>
        </w:rPr>
        <w:t>12</w:t>
      </w:r>
      <w:r>
        <w:fldChar w:fldCharType="end"/>
      </w:r>
    </w:p>
    <w:p w14:paraId="138C9B26" w14:textId="22080080" w:rsidR="00A443D5" w:rsidRPr="00A443D5" w:rsidRDefault="00A443D5" w:rsidP="00DA5F84">
      <w:pPr>
        <w:pStyle w:val="TableTitle"/>
      </w:pPr>
      <w:r>
        <w:t xml:space="preserve">Table </w:t>
      </w:r>
      <w:fldSimple w:instr=" SEQ Table \* ARABIC ">
        <w:r w:rsidR="009B407B">
          <w:rPr>
            <w:noProof/>
          </w:rPr>
          <w:t>6</w:t>
        </w:r>
      </w:fldSimple>
      <w:r w:rsidR="00541360">
        <w:rPr>
          <w:noProof/>
        </w:rPr>
        <w:t>:</w:t>
      </w:r>
      <w:r>
        <w:t xml:space="preserve"> </w:t>
      </w:r>
      <w:r w:rsidR="00541360">
        <w:t>Pharmacokinetics</w:t>
      </w:r>
      <w:r w:rsidR="00541360" w:rsidRPr="00A443D5">
        <w:t xml:space="preserve"> </w:t>
      </w:r>
      <w:r w:rsidRPr="00A443D5">
        <w:t>in adults (n</w:t>
      </w:r>
      <w:r w:rsidR="00F2463B">
        <w:t xml:space="preserve"> </w:t>
      </w:r>
      <w:r w:rsidRPr="00A443D5">
        <w:t>=</w:t>
      </w:r>
      <w:r w:rsidR="00F2463B">
        <w:t xml:space="preserve"> </w:t>
      </w:r>
      <w:r w:rsidRPr="00A443D5">
        <w:t xml:space="preserve">203) with solid tumours in </w:t>
      </w:r>
      <w:r w:rsidR="00541360">
        <w:t xml:space="preserve">the </w:t>
      </w:r>
      <w:r w:rsidRPr="00A443D5">
        <w:t xml:space="preserve">STARTRK-2 </w:t>
      </w:r>
      <w:r w:rsidR="00541360">
        <w:t xml:space="preserve">trial </w:t>
      </w:r>
      <w:r w:rsidRPr="00A443D5">
        <w:t>(at the proposed dosage, using predominantly the F2A formulation given under fed conditions)</w:t>
      </w:r>
      <w:r w:rsidR="002C5CF2">
        <w:fldChar w:fldCharType="begin"/>
      </w:r>
      <w:r w:rsidR="002C5CF2">
        <w:instrText xml:space="preserve"> NOTEREF _Ref50554541 \f \h </w:instrText>
      </w:r>
      <w:r w:rsidR="002C5CF2">
        <w:fldChar w:fldCharType="separate"/>
      </w:r>
      <w:r w:rsidR="005743D8" w:rsidRPr="005743D8">
        <w:rPr>
          <w:rStyle w:val="FootnoteReference"/>
        </w:rPr>
        <w:t>12</w:t>
      </w:r>
      <w:r w:rsidR="002C5CF2">
        <w:fldChar w:fldCharType="end"/>
      </w:r>
    </w:p>
    <w:tbl>
      <w:tblPr>
        <w:tblStyle w:val="TableTGAblue"/>
        <w:tblW w:w="0" w:type="auto"/>
        <w:tblLayout w:type="fixed"/>
        <w:tblLook w:val="01E0" w:firstRow="1" w:lastRow="1" w:firstColumn="1" w:lastColumn="1" w:noHBand="0" w:noVBand="0"/>
      </w:tblPr>
      <w:tblGrid>
        <w:gridCol w:w="1366"/>
        <w:gridCol w:w="2452"/>
        <w:gridCol w:w="2126"/>
        <w:gridCol w:w="2268"/>
      </w:tblGrid>
      <w:tr w:rsidR="00A443D5" w:rsidRPr="00A443D5" w14:paraId="0B12F324" w14:textId="77777777" w:rsidTr="00F9338F">
        <w:trPr>
          <w:cnfStyle w:val="100000000000" w:firstRow="1" w:lastRow="0" w:firstColumn="0" w:lastColumn="0" w:oddVBand="0" w:evenVBand="0" w:oddHBand="0" w:evenHBand="0" w:firstRowFirstColumn="0" w:firstRowLastColumn="0" w:lastRowFirstColumn="0" w:lastRowLastColumn="0"/>
          <w:trHeight w:val="279"/>
        </w:trPr>
        <w:tc>
          <w:tcPr>
            <w:tcW w:w="1366" w:type="dxa"/>
            <w:vMerge w:val="restart"/>
            <w:tcBorders>
              <w:top w:val="single" w:sz="4" w:space="0" w:color="auto"/>
              <w:left w:val="single" w:sz="4" w:space="0" w:color="auto"/>
              <w:bottom w:val="single" w:sz="4" w:space="0" w:color="auto"/>
              <w:right w:val="single" w:sz="4" w:space="0" w:color="auto"/>
            </w:tcBorders>
          </w:tcPr>
          <w:p w14:paraId="773A669B" w14:textId="03B4FE4A" w:rsidR="00A443D5" w:rsidRPr="001823E7" w:rsidRDefault="00A443D5" w:rsidP="00F9338F">
            <w:pPr>
              <w:pStyle w:val="Tabletext"/>
              <w:ind w:left="0"/>
              <w:rPr>
                <w:lang w:val="en-US" w:eastAsia="ja-JP"/>
              </w:rPr>
            </w:pPr>
            <w:r w:rsidRPr="001823E7">
              <w:rPr>
                <w:lang w:val="en-US" w:eastAsia="ja-JP"/>
              </w:rPr>
              <w:t>Time</w:t>
            </w:r>
          </w:p>
        </w:tc>
        <w:tc>
          <w:tcPr>
            <w:tcW w:w="2452" w:type="dxa"/>
            <w:vMerge w:val="restart"/>
            <w:tcBorders>
              <w:top w:val="single" w:sz="4" w:space="0" w:color="auto"/>
              <w:left w:val="single" w:sz="4" w:space="0" w:color="auto"/>
              <w:bottom w:val="single" w:sz="4" w:space="0" w:color="auto"/>
              <w:right w:val="single" w:sz="4" w:space="0" w:color="auto"/>
            </w:tcBorders>
          </w:tcPr>
          <w:p w14:paraId="2B3BC4DB" w14:textId="4E0FA821" w:rsidR="00A443D5" w:rsidRPr="001823E7" w:rsidRDefault="00A443D5" w:rsidP="00F9338F">
            <w:pPr>
              <w:pStyle w:val="Tabletext"/>
              <w:ind w:left="0"/>
              <w:rPr>
                <w:lang w:val="en-US" w:eastAsia="ja-JP"/>
              </w:rPr>
            </w:pPr>
            <w:r w:rsidRPr="001823E7">
              <w:rPr>
                <w:lang w:val="en-US" w:eastAsia="ja-JP"/>
              </w:rPr>
              <w:t xml:space="preserve">PK </w:t>
            </w:r>
            <w:r w:rsidR="00541360">
              <w:rPr>
                <w:lang w:val="en-US" w:eastAsia="ja-JP"/>
              </w:rPr>
              <w:t>p</w:t>
            </w:r>
            <w:r w:rsidRPr="001823E7">
              <w:rPr>
                <w:lang w:val="en-US" w:eastAsia="ja-JP"/>
              </w:rPr>
              <w:t>arameters</w:t>
            </w:r>
          </w:p>
        </w:tc>
        <w:tc>
          <w:tcPr>
            <w:tcW w:w="4394" w:type="dxa"/>
            <w:gridSpan w:val="2"/>
            <w:tcBorders>
              <w:left w:val="single" w:sz="4" w:space="0" w:color="auto"/>
            </w:tcBorders>
          </w:tcPr>
          <w:p w14:paraId="2EFBC074" w14:textId="4634B780" w:rsidR="00A443D5" w:rsidRPr="001823E7" w:rsidRDefault="00A443D5" w:rsidP="00A443D5">
            <w:pPr>
              <w:pStyle w:val="Tabletext"/>
              <w:rPr>
                <w:lang w:val="en-US" w:eastAsia="ja-JP"/>
              </w:rPr>
            </w:pPr>
            <w:r w:rsidRPr="001823E7">
              <w:rPr>
                <w:lang w:val="en-US" w:eastAsia="ja-JP"/>
              </w:rPr>
              <w:t xml:space="preserve">Geometric </w:t>
            </w:r>
            <w:r w:rsidR="00541360">
              <w:rPr>
                <w:lang w:val="en-US" w:eastAsia="ja-JP"/>
              </w:rPr>
              <w:t>m</w:t>
            </w:r>
            <w:r w:rsidRPr="001823E7">
              <w:rPr>
                <w:lang w:val="en-US" w:eastAsia="ja-JP"/>
              </w:rPr>
              <w:t>ean (CV%)</w:t>
            </w:r>
          </w:p>
        </w:tc>
      </w:tr>
      <w:tr w:rsidR="00A443D5" w:rsidRPr="00A443D5" w14:paraId="1DB9234F" w14:textId="77777777" w:rsidTr="00F9338F">
        <w:trPr>
          <w:trHeight w:val="280"/>
        </w:trPr>
        <w:tc>
          <w:tcPr>
            <w:tcW w:w="1366" w:type="dxa"/>
            <w:vMerge/>
            <w:tcBorders>
              <w:top w:val="single" w:sz="4" w:space="0" w:color="auto"/>
              <w:left w:val="single" w:sz="4" w:space="0" w:color="auto"/>
              <w:bottom w:val="single" w:sz="4" w:space="0" w:color="auto"/>
              <w:right w:val="single" w:sz="4" w:space="0" w:color="auto"/>
            </w:tcBorders>
          </w:tcPr>
          <w:p w14:paraId="71066D1D" w14:textId="77777777" w:rsidR="00A443D5" w:rsidRPr="001823E7" w:rsidRDefault="00A443D5" w:rsidP="00A443D5">
            <w:pPr>
              <w:pStyle w:val="Tabletext"/>
              <w:rPr>
                <w:b/>
                <w:lang w:eastAsia="ja-JP"/>
              </w:rPr>
            </w:pPr>
          </w:p>
        </w:tc>
        <w:tc>
          <w:tcPr>
            <w:tcW w:w="2452" w:type="dxa"/>
            <w:vMerge/>
            <w:tcBorders>
              <w:top w:val="single" w:sz="4" w:space="0" w:color="auto"/>
              <w:left w:val="single" w:sz="4" w:space="0" w:color="auto"/>
              <w:bottom w:val="single" w:sz="4" w:space="0" w:color="auto"/>
              <w:right w:val="single" w:sz="4" w:space="0" w:color="auto"/>
            </w:tcBorders>
          </w:tcPr>
          <w:p w14:paraId="1E94E4DA" w14:textId="77777777" w:rsidR="00A443D5" w:rsidRPr="001823E7" w:rsidRDefault="00A443D5" w:rsidP="00A443D5">
            <w:pPr>
              <w:pStyle w:val="Tabletext"/>
              <w:rPr>
                <w:b/>
                <w:lang w:eastAsia="ja-JP"/>
              </w:rPr>
            </w:pPr>
          </w:p>
        </w:tc>
        <w:tc>
          <w:tcPr>
            <w:tcW w:w="2126" w:type="dxa"/>
            <w:tcBorders>
              <w:left w:val="single" w:sz="4" w:space="0" w:color="auto"/>
            </w:tcBorders>
            <w:shd w:val="clear" w:color="auto" w:fill="0070B5" w:themeFill="text2" w:themeFillTint="BF"/>
          </w:tcPr>
          <w:p w14:paraId="511C47A6" w14:textId="77777777" w:rsidR="00A443D5" w:rsidRPr="001823E7" w:rsidRDefault="00A443D5" w:rsidP="00A443D5">
            <w:pPr>
              <w:pStyle w:val="Tabletext"/>
              <w:rPr>
                <w:b/>
                <w:color w:val="FFFFFF" w:themeColor="background1"/>
                <w:lang w:val="en-US" w:eastAsia="ja-JP"/>
              </w:rPr>
            </w:pPr>
            <w:r w:rsidRPr="001823E7">
              <w:rPr>
                <w:b/>
                <w:color w:val="FFFFFF" w:themeColor="background1"/>
                <w:lang w:val="en-US" w:eastAsia="ja-JP"/>
              </w:rPr>
              <w:t>Entrectinib</w:t>
            </w:r>
          </w:p>
        </w:tc>
        <w:tc>
          <w:tcPr>
            <w:tcW w:w="2268" w:type="dxa"/>
            <w:shd w:val="clear" w:color="auto" w:fill="0070B5" w:themeFill="text2" w:themeFillTint="BF"/>
          </w:tcPr>
          <w:p w14:paraId="44F59DF2" w14:textId="77777777" w:rsidR="00A443D5" w:rsidRPr="001823E7" w:rsidRDefault="00A443D5" w:rsidP="00A443D5">
            <w:pPr>
              <w:pStyle w:val="Tabletext"/>
              <w:rPr>
                <w:b/>
                <w:color w:val="FFFFFF" w:themeColor="background1"/>
                <w:lang w:val="en-US" w:eastAsia="ja-JP"/>
              </w:rPr>
            </w:pPr>
            <w:r w:rsidRPr="001823E7">
              <w:rPr>
                <w:b/>
                <w:color w:val="FFFFFF" w:themeColor="background1"/>
                <w:lang w:val="en-US" w:eastAsia="ja-JP"/>
              </w:rPr>
              <w:t>M5</w:t>
            </w:r>
          </w:p>
        </w:tc>
      </w:tr>
      <w:tr w:rsidR="00A443D5" w:rsidRPr="00A443D5" w14:paraId="30088C0F" w14:textId="77777777" w:rsidTr="00F9338F">
        <w:trPr>
          <w:trHeight w:val="279"/>
        </w:trPr>
        <w:tc>
          <w:tcPr>
            <w:tcW w:w="1366" w:type="dxa"/>
            <w:vMerge w:val="restart"/>
            <w:tcBorders>
              <w:top w:val="single" w:sz="4" w:space="0" w:color="auto"/>
            </w:tcBorders>
          </w:tcPr>
          <w:p w14:paraId="628C51BB" w14:textId="77777777" w:rsidR="00A443D5" w:rsidRPr="00A443D5" w:rsidRDefault="00A443D5" w:rsidP="00A443D5">
            <w:pPr>
              <w:pStyle w:val="Tabletext"/>
              <w:rPr>
                <w:lang w:val="en-US" w:eastAsia="ja-JP"/>
              </w:rPr>
            </w:pPr>
            <w:r w:rsidRPr="00A443D5">
              <w:rPr>
                <w:lang w:val="en-US" w:eastAsia="ja-JP"/>
              </w:rPr>
              <w:t>Day 1</w:t>
            </w:r>
          </w:p>
        </w:tc>
        <w:tc>
          <w:tcPr>
            <w:tcW w:w="2452" w:type="dxa"/>
            <w:tcBorders>
              <w:top w:val="single" w:sz="4" w:space="0" w:color="auto"/>
            </w:tcBorders>
          </w:tcPr>
          <w:p w14:paraId="3C287070" w14:textId="77777777" w:rsidR="00A443D5" w:rsidRPr="00A443D5" w:rsidRDefault="00A443D5" w:rsidP="00A443D5">
            <w:pPr>
              <w:pStyle w:val="Tabletext"/>
              <w:rPr>
                <w:lang w:val="en-US" w:eastAsia="ja-JP"/>
              </w:rPr>
            </w:pPr>
            <w:proofErr w:type="spellStart"/>
            <w:r w:rsidRPr="00A443D5">
              <w:rPr>
                <w:lang w:val="en-US" w:eastAsia="ja-JP"/>
              </w:rPr>
              <w:t>C</w:t>
            </w:r>
            <w:r w:rsidRPr="00A443D5">
              <w:rPr>
                <w:vertAlign w:val="subscript"/>
                <w:lang w:val="en-US" w:eastAsia="ja-JP"/>
              </w:rPr>
              <w:t>max</w:t>
            </w:r>
            <w:proofErr w:type="spellEnd"/>
            <w:r w:rsidRPr="00A443D5">
              <w:rPr>
                <w:lang w:val="en-US" w:eastAsia="ja-JP"/>
              </w:rPr>
              <w:t xml:space="preserve"> (</w:t>
            </w:r>
            <w:proofErr w:type="spellStart"/>
            <w:r w:rsidRPr="00A443D5">
              <w:rPr>
                <w:lang w:val="en-US" w:eastAsia="ja-JP"/>
              </w:rPr>
              <w:t>nM</w:t>
            </w:r>
            <w:proofErr w:type="spellEnd"/>
            <w:r w:rsidRPr="00A443D5">
              <w:rPr>
                <w:lang w:val="en-US" w:eastAsia="ja-JP"/>
              </w:rPr>
              <w:t>)</w:t>
            </w:r>
          </w:p>
        </w:tc>
        <w:tc>
          <w:tcPr>
            <w:tcW w:w="2126" w:type="dxa"/>
          </w:tcPr>
          <w:p w14:paraId="766E5C0A" w14:textId="77777777" w:rsidR="00A443D5" w:rsidRPr="00A443D5" w:rsidRDefault="00A443D5" w:rsidP="00A443D5">
            <w:pPr>
              <w:pStyle w:val="Tabletext"/>
              <w:rPr>
                <w:lang w:val="en-US" w:eastAsia="ja-JP"/>
              </w:rPr>
            </w:pPr>
            <w:r w:rsidRPr="00A443D5">
              <w:rPr>
                <w:lang w:val="en-US" w:eastAsia="ja-JP"/>
              </w:rPr>
              <w:t>1590 (50%)</w:t>
            </w:r>
          </w:p>
        </w:tc>
        <w:tc>
          <w:tcPr>
            <w:tcW w:w="2268" w:type="dxa"/>
          </w:tcPr>
          <w:p w14:paraId="02CDE64B" w14:textId="77777777" w:rsidR="00A443D5" w:rsidRPr="00A443D5" w:rsidRDefault="00A443D5" w:rsidP="00A443D5">
            <w:pPr>
              <w:pStyle w:val="Tabletext"/>
              <w:rPr>
                <w:lang w:val="en-US" w:eastAsia="ja-JP"/>
              </w:rPr>
            </w:pPr>
            <w:r w:rsidRPr="00A443D5">
              <w:rPr>
                <w:lang w:val="en-US" w:eastAsia="ja-JP"/>
              </w:rPr>
              <w:t>545 (82%)</w:t>
            </w:r>
          </w:p>
        </w:tc>
      </w:tr>
      <w:tr w:rsidR="00A443D5" w:rsidRPr="00A443D5" w14:paraId="78A5D5DE" w14:textId="77777777" w:rsidTr="00F9338F">
        <w:trPr>
          <w:trHeight w:val="279"/>
        </w:trPr>
        <w:tc>
          <w:tcPr>
            <w:tcW w:w="1366" w:type="dxa"/>
            <w:vMerge/>
          </w:tcPr>
          <w:p w14:paraId="52F1F9DC" w14:textId="77777777" w:rsidR="00A443D5" w:rsidRPr="00A443D5" w:rsidRDefault="00A443D5" w:rsidP="00A443D5">
            <w:pPr>
              <w:pStyle w:val="Tabletext"/>
              <w:rPr>
                <w:lang w:eastAsia="ja-JP"/>
              </w:rPr>
            </w:pPr>
          </w:p>
        </w:tc>
        <w:tc>
          <w:tcPr>
            <w:tcW w:w="2452" w:type="dxa"/>
          </w:tcPr>
          <w:p w14:paraId="280B58AC" w14:textId="77777777" w:rsidR="00A443D5" w:rsidRPr="00A443D5" w:rsidRDefault="00A443D5" w:rsidP="00A443D5">
            <w:pPr>
              <w:pStyle w:val="Tabletext"/>
              <w:rPr>
                <w:lang w:val="en-US" w:eastAsia="ja-JP"/>
              </w:rPr>
            </w:pPr>
            <w:r w:rsidRPr="00A443D5">
              <w:rPr>
                <w:lang w:val="en-US" w:eastAsia="ja-JP"/>
              </w:rPr>
              <w:t>AUC</w:t>
            </w:r>
            <w:r w:rsidRPr="00A443D5">
              <w:rPr>
                <w:vertAlign w:val="subscript"/>
                <w:lang w:val="en-US" w:eastAsia="ja-JP"/>
              </w:rPr>
              <w:t>0-24</w:t>
            </w:r>
            <w:r w:rsidRPr="00A443D5">
              <w:rPr>
                <w:lang w:val="en-US" w:eastAsia="ja-JP"/>
              </w:rPr>
              <w:t xml:space="preserve"> (</w:t>
            </w:r>
            <w:proofErr w:type="spellStart"/>
            <w:r w:rsidRPr="00A443D5">
              <w:rPr>
                <w:lang w:val="en-US" w:eastAsia="ja-JP"/>
              </w:rPr>
              <w:t>nM</w:t>
            </w:r>
            <w:proofErr w:type="spellEnd"/>
            <w:r w:rsidRPr="00A443D5">
              <w:rPr>
                <w:lang w:val="en-US" w:eastAsia="ja-JP"/>
              </w:rPr>
              <w:t>*h)</w:t>
            </w:r>
          </w:p>
        </w:tc>
        <w:tc>
          <w:tcPr>
            <w:tcW w:w="2126" w:type="dxa"/>
          </w:tcPr>
          <w:p w14:paraId="5655799A" w14:textId="77777777" w:rsidR="00A443D5" w:rsidRPr="00A443D5" w:rsidRDefault="00A443D5" w:rsidP="00A443D5">
            <w:pPr>
              <w:pStyle w:val="Tabletext"/>
              <w:rPr>
                <w:lang w:val="en-US" w:eastAsia="ja-JP"/>
              </w:rPr>
            </w:pPr>
            <w:r w:rsidRPr="00A443D5">
              <w:rPr>
                <w:lang w:val="en-US" w:eastAsia="ja-JP"/>
              </w:rPr>
              <w:t>2700 (47%)</w:t>
            </w:r>
          </w:p>
        </w:tc>
        <w:tc>
          <w:tcPr>
            <w:tcW w:w="2268" w:type="dxa"/>
          </w:tcPr>
          <w:p w14:paraId="2826EED9" w14:textId="77777777" w:rsidR="00A443D5" w:rsidRPr="00A443D5" w:rsidRDefault="00A443D5" w:rsidP="00A443D5">
            <w:pPr>
              <w:pStyle w:val="Tabletext"/>
              <w:rPr>
                <w:lang w:val="en-US" w:eastAsia="ja-JP"/>
              </w:rPr>
            </w:pPr>
            <w:r w:rsidRPr="00A443D5">
              <w:rPr>
                <w:lang w:val="en-US" w:eastAsia="ja-JP"/>
              </w:rPr>
              <w:t>9590 (79%)</w:t>
            </w:r>
          </w:p>
        </w:tc>
      </w:tr>
      <w:tr w:rsidR="00A443D5" w:rsidRPr="00A443D5" w14:paraId="1CFAB6E4" w14:textId="77777777" w:rsidTr="00F9338F">
        <w:trPr>
          <w:trHeight w:val="280"/>
        </w:trPr>
        <w:tc>
          <w:tcPr>
            <w:tcW w:w="1366" w:type="dxa"/>
            <w:vMerge w:val="restart"/>
          </w:tcPr>
          <w:p w14:paraId="0D0A9A17" w14:textId="77777777" w:rsidR="00A443D5" w:rsidRPr="00A443D5" w:rsidRDefault="00A443D5" w:rsidP="00A443D5">
            <w:pPr>
              <w:pStyle w:val="Tabletext"/>
              <w:rPr>
                <w:lang w:val="en-US" w:eastAsia="ja-JP"/>
              </w:rPr>
            </w:pPr>
            <w:r w:rsidRPr="00A443D5">
              <w:rPr>
                <w:lang w:val="en-US" w:eastAsia="ja-JP"/>
              </w:rPr>
              <w:t>Steady-state</w:t>
            </w:r>
          </w:p>
        </w:tc>
        <w:tc>
          <w:tcPr>
            <w:tcW w:w="2452" w:type="dxa"/>
          </w:tcPr>
          <w:p w14:paraId="6AC62252" w14:textId="77777777" w:rsidR="00A443D5" w:rsidRPr="00A443D5" w:rsidRDefault="00A443D5" w:rsidP="00A443D5">
            <w:pPr>
              <w:pStyle w:val="Tabletext"/>
              <w:rPr>
                <w:lang w:val="en-US" w:eastAsia="ja-JP"/>
              </w:rPr>
            </w:pPr>
            <w:proofErr w:type="spellStart"/>
            <w:r w:rsidRPr="00A443D5">
              <w:rPr>
                <w:lang w:val="en-US" w:eastAsia="ja-JP"/>
              </w:rPr>
              <w:t>C</w:t>
            </w:r>
            <w:r w:rsidRPr="00A443D5">
              <w:rPr>
                <w:vertAlign w:val="subscript"/>
                <w:lang w:val="en-US" w:eastAsia="ja-JP"/>
              </w:rPr>
              <w:t>max</w:t>
            </w:r>
            <w:proofErr w:type="spellEnd"/>
            <w:r w:rsidRPr="00A443D5">
              <w:rPr>
                <w:lang w:val="en-US" w:eastAsia="ja-JP"/>
              </w:rPr>
              <w:t xml:space="preserve"> (</w:t>
            </w:r>
            <w:proofErr w:type="spellStart"/>
            <w:r w:rsidRPr="00A443D5">
              <w:rPr>
                <w:lang w:val="en-US" w:eastAsia="ja-JP"/>
              </w:rPr>
              <w:t>nM</w:t>
            </w:r>
            <w:proofErr w:type="spellEnd"/>
            <w:r w:rsidRPr="00A443D5">
              <w:rPr>
                <w:lang w:val="en-US" w:eastAsia="ja-JP"/>
              </w:rPr>
              <w:t>)</w:t>
            </w:r>
          </w:p>
        </w:tc>
        <w:tc>
          <w:tcPr>
            <w:tcW w:w="2126" w:type="dxa"/>
          </w:tcPr>
          <w:p w14:paraId="4E1F85F2" w14:textId="77777777" w:rsidR="00A443D5" w:rsidRPr="00A443D5" w:rsidRDefault="00A443D5" w:rsidP="00A443D5">
            <w:pPr>
              <w:pStyle w:val="Tabletext"/>
              <w:rPr>
                <w:lang w:val="en-US" w:eastAsia="ja-JP"/>
              </w:rPr>
            </w:pPr>
            <w:r w:rsidRPr="00A443D5">
              <w:rPr>
                <w:lang w:val="en-US" w:eastAsia="ja-JP"/>
              </w:rPr>
              <w:t>2860 (47%)</w:t>
            </w:r>
          </w:p>
        </w:tc>
        <w:tc>
          <w:tcPr>
            <w:tcW w:w="2268" w:type="dxa"/>
          </w:tcPr>
          <w:p w14:paraId="2A626CF5" w14:textId="77777777" w:rsidR="00A443D5" w:rsidRPr="00A443D5" w:rsidRDefault="00A443D5" w:rsidP="00A443D5">
            <w:pPr>
              <w:pStyle w:val="Tabletext"/>
              <w:rPr>
                <w:lang w:val="en-US" w:eastAsia="ja-JP"/>
              </w:rPr>
            </w:pPr>
            <w:r w:rsidRPr="00A443D5">
              <w:rPr>
                <w:lang w:val="en-US" w:eastAsia="ja-JP"/>
              </w:rPr>
              <w:t>995 (72%)</w:t>
            </w:r>
          </w:p>
        </w:tc>
      </w:tr>
      <w:tr w:rsidR="00A443D5" w:rsidRPr="00A443D5" w14:paraId="15BFA564" w14:textId="77777777" w:rsidTr="00F9338F">
        <w:trPr>
          <w:trHeight w:val="279"/>
        </w:trPr>
        <w:tc>
          <w:tcPr>
            <w:tcW w:w="1366" w:type="dxa"/>
            <w:vMerge/>
          </w:tcPr>
          <w:p w14:paraId="59471208" w14:textId="77777777" w:rsidR="00A443D5" w:rsidRPr="00A443D5" w:rsidRDefault="00A443D5" w:rsidP="00A443D5">
            <w:pPr>
              <w:pStyle w:val="Tabletext"/>
              <w:rPr>
                <w:lang w:eastAsia="ja-JP"/>
              </w:rPr>
            </w:pPr>
          </w:p>
        </w:tc>
        <w:tc>
          <w:tcPr>
            <w:tcW w:w="2452" w:type="dxa"/>
          </w:tcPr>
          <w:p w14:paraId="168BA882" w14:textId="77777777" w:rsidR="00A443D5" w:rsidRPr="00A443D5" w:rsidRDefault="00A443D5" w:rsidP="00A443D5">
            <w:pPr>
              <w:pStyle w:val="Tabletext"/>
              <w:rPr>
                <w:lang w:val="en-US" w:eastAsia="ja-JP"/>
              </w:rPr>
            </w:pPr>
            <w:r w:rsidRPr="00A443D5">
              <w:rPr>
                <w:lang w:val="en-US" w:eastAsia="ja-JP"/>
              </w:rPr>
              <w:t>AUC</w:t>
            </w:r>
            <w:r w:rsidRPr="00A443D5">
              <w:rPr>
                <w:vertAlign w:val="subscript"/>
                <w:lang w:val="en-US" w:eastAsia="ja-JP"/>
              </w:rPr>
              <w:t>0-24</w:t>
            </w:r>
            <w:r w:rsidRPr="00A443D5">
              <w:rPr>
                <w:lang w:val="en-US" w:eastAsia="ja-JP"/>
              </w:rPr>
              <w:t xml:space="preserve"> (</w:t>
            </w:r>
            <w:proofErr w:type="spellStart"/>
            <w:r w:rsidRPr="00A443D5">
              <w:rPr>
                <w:lang w:val="en-US" w:eastAsia="ja-JP"/>
              </w:rPr>
              <w:t>nM</w:t>
            </w:r>
            <w:proofErr w:type="spellEnd"/>
            <w:r w:rsidRPr="00A443D5">
              <w:rPr>
                <w:lang w:val="en-US" w:eastAsia="ja-JP"/>
              </w:rPr>
              <w:t>*h)</w:t>
            </w:r>
          </w:p>
        </w:tc>
        <w:tc>
          <w:tcPr>
            <w:tcW w:w="2126" w:type="dxa"/>
          </w:tcPr>
          <w:p w14:paraId="06CC306A" w14:textId="77777777" w:rsidR="00A443D5" w:rsidRPr="00A443D5" w:rsidRDefault="00A443D5" w:rsidP="00A443D5">
            <w:pPr>
              <w:pStyle w:val="Tabletext"/>
              <w:rPr>
                <w:lang w:val="en-US" w:eastAsia="ja-JP"/>
              </w:rPr>
            </w:pPr>
            <w:r w:rsidRPr="00A443D5">
              <w:rPr>
                <w:lang w:val="en-US" w:eastAsia="ja-JP"/>
              </w:rPr>
              <w:t>51700 (48%)</w:t>
            </w:r>
          </w:p>
        </w:tc>
        <w:tc>
          <w:tcPr>
            <w:tcW w:w="2268" w:type="dxa"/>
          </w:tcPr>
          <w:p w14:paraId="6269F3ED" w14:textId="77777777" w:rsidR="00A443D5" w:rsidRPr="00A443D5" w:rsidRDefault="00A443D5" w:rsidP="00A443D5">
            <w:pPr>
              <w:pStyle w:val="Tabletext"/>
              <w:rPr>
                <w:lang w:val="en-US" w:eastAsia="ja-JP"/>
              </w:rPr>
            </w:pPr>
            <w:r w:rsidRPr="00A443D5">
              <w:rPr>
                <w:lang w:val="en-US" w:eastAsia="ja-JP"/>
              </w:rPr>
              <w:t>19000 (71%)</w:t>
            </w:r>
          </w:p>
        </w:tc>
      </w:tr>
    </w:tbl>
    <w:p w14:paraId="5944C6E7" w14:textId="203DA5AB" w:rsidR="00986F56" w:rsidRDefault="00986F56" w:rsidP="00661BB7">
      <w:pPr>
        <w:pStyle w:val="TableDescription"/>
      </w:pPr>
      <w:r>
        <w:t xml:space="preserve">Source: </w:t>
      </w:r>
      <w:r w:rsidRPr="00A443D5">
        <w:t>reproduced from th</w:t>
      </w:r>
      <w:r>
        <w:t>e FDA multidisciplinary review.</w:t>
      </w:r>
      <w:r>
        <w:fldChar w:fldCharType="begin"/>
      </w:r>
      <w:r>
        <w:instrText xml:space="preserve"> NOTEREF _Ref50554541 \f \h </w:instrText>
      </w:r>
      <w:r>
        <w:fldChar w:fldCharType="separate"/>
      </w:r>
      <w:r w:rsidRPr="005743D8">
        <w:rPr>
          <w:rStyle w:val="FootnoteReference"/>
        </w:rPr>
        <w:t>12</w:t>
      </w:r>
      <w:r>
        <w:fldChar w:fldCharType="end"/>
      </w:r>
    </w:p>
    <w:p w14:paraId="6CA9E832" w14:textId="2F688F0E" w:rsidR="000556BC" w:rsidRDefault="000556BC" w:rsidP="00661BB7">
      <w:pPr>
        <w:pStyle w:val="Heading7"/>
      </w:pPr>
      <w:r>
        <w:t>Steady state exposure in paediatric patients</w:t>
      </w:r>
    </w:p>
    <w:p w14:paraId="4D3DAA45" w14:textId="472EDEA2" w:rsidR="000556BC" w:rsidRDefault="000556BC" w:rsidP="000556BC">
      <w:r>
        <w:t xml:space="preserve">PK data from </w:t>
      </w:r>
      <w:r w:rsidR="00541360">
        <w:t xml:space="preserve">the </w:t>
      </w:r>
      <w:r>
        <w:t>STARTRK-NG</w:t>
      </w:r>
      <w:r w:rsidR="00746CED">
        <w:t xml:space="preserve"> trial</w:t>
      </w:r>
      <w:r>
        <w:t xml:space="preserve"> indicate</w:t>
      </w:r>
      <w:r w:rsidR="002C5CF2">
        <w:t>s</w:t>
      </w:r>
      <w:r>
        <w:t xml:space="preserve"> that steady state exposures with a paediatric dose of 400 mg/m</w:t>
      </w:r>
      <w:r w:rsidRPr="002C5CF2">
        <w:rPr>
          <w:vertAlign w:val="superscript"/>
        </w:rPr>
        <w:t>2</w:t>
      </w:r>
      <w:r>
        <w:t xml:space="preserve"> (F1 formulation) daily are at the lower end of steady state exposures observed in adults with 600 mg (F2A) daily, and that steady state exposures with a paediatric dose of 550 mg/m</w:t>
      </w:r>
      <w:r w:rsidRPr="002C5CF2">
        <w:rPr>
          <w:vertAlign w:val="superscript"/>
        </w:rPr>
        <w:t>2</w:t>
      </w:r>
      <w:r>
        <w:t xml:space="preserve"> (F1) formulation are generally higher than the median exposure observed in adults. Paediatric PK data also indicates large inter-subject variability.</w:t>
      </w:r>
    </w:p>
    <w:p w14:paraId="51B9E651" w14:textId="77777777" w:rsidR="000556BC" w:rsidRDefault="000556BC" w:rsidP="000556BC">
      <w:pPr>
        <w:pStyle w:val="Heading6"/>
      </w:pPr>
      <w:r>
        <w:lastRenderedPageBreak/>
        <w:t>Metabolism</w:t>
      </w:r>
    </w:p>
    <w:p w14:paraId="63C595AE" w14:textId="52A7627C" w:rsidR="000556BC" w:rsidRDefault="000556BC" w:rsidP="000556BC">
      <w:r w:rsidRPr="00347426">
        <w:rPr>
          <w:i/>
        </w:rPr>
        <w:t>In vitro</w:t>
      </w:r>
      <w:r>
        <w:t xml:space="preserve">, the majority (90%) of entrectinib metabolism is mediated by CYP3A4, with a smaller fraction attributable to </w:t>
      </w:r>
      <w:r w:rsidR="005065CE" w:rsidRPr="00795EA8">
        <w:t>UDP-glucuronosyltransferase 1-4</w:t>
      </w:r>
      <w:r w:rsidR="005065CE">
        <w:t xml:space="preserve"> (</w:t>
      </w:r>
      <w:r w:rsidRPr="005065CE">
        <w:t>UGT1</w:t>
      </w:r>
      <w:r w:rsidR="00543E5E" w:rsidRPr="005065CE">
        <w:t>A4</w:t>
      </w:r>
      <w:r w:rsidR="005065CE">
        <w:t>)</w:t>
      </w:r>
      <w:r w:rsidR="00543E5E">
        <w:t xml:space="preserve">. The main metabolites </w:t>
      </w:r>
      <w:r w:rsidR="00543E5E" w:rsidRPr="00543E5E">
        <w:rPr>
          <w:i/>
        </w:rPr>
        <w:t>in vivo</w:t>
      </w:r>
      <w:r>
        <w:t xml:space="preserve"> were formed by oxidation, N-demet</w:t>
      </w:r>
      <w:r w:rsidR="005065CE">
        <w:t>hylation and N-</w:t>
      </w:r>
      <w:proofErr w:type="spellStart"/>
      <w:r w:rsidR="005065CE">
        <w:t>glucuronidation</w:t>
      </w:r>
      <w:proofErr w:type="spellEnd"/>
      <w:r w:rsidR="005065CE">
        <w:t>.</w:t>
      </w:r>
    </w:p>
    <w:p w14:paraId="2E0C0F66" w14:textId="0BBD487C" w:rsidR="000556BC" w:rsidRDefault="000556BC" w:rsidP="000556BC">
      <w:r>
        <w:t>M5 formation and degradation appear to both be mediated by CYP3A4. M5 is clinically relevant with a metabolite-to-parent ratio of 0.41 (by AUC) at steady state in patients: at 24 hours after a (radiolabelled) oral dose, parent entrectinib, M5 and the glucur</w:t>
      </w:r>
      <w:r w:rsidR="005065CE">
        <w:t xml:space="preserve">onide metabolite M11 comprised about </w:t>
      </w:r>
      <w:r>
        <w:t>70%, 12% and 19% of the</w:t>
      </w:r>
      <w:r w:rsidR="005065CE">
        <w:t xml:space="preserve"> plasma exposure, respectively.</w:t>
      </w:r>
    </w:p>
    <w:p w14:paraId="1FB79812" w14:textId="49213174" w:rsidR="000556BC" w:rsidRDefault="000556BC" w:rsidP="000556BC">
      <w:r>
        <w:t xml:space="preserve">In the </w:t>
      </w:r>
      <w:r w:rsidR="00CB7588">
        <w:t>Phase II</w:t>
      </w:r>
      <w:r>
        <w:t xml:space="preserve"> STARTRK-2</w:t>
      </w:r>
      <w:r w:rsidR="00541360">
        <w:t xml:space="preserve"> trial</w:t>
      </w:r>
      <w:r>
        <w:t>, at the recommended dose of 600 mg daily, the geometric mean (CV</w:t>
      </w:r>
      <w:r w:rsidR="004E146F">
        <w:t xml:space="preserve"> </w:t>
      </w:r>
      <w:r>
        <w:t>%) accumulation ratio of entrectinib exposure was 1.87 (20%) for ent</w:t>
      </w:r>
      <w:r w:rsidR="005065CE">
        <w:t>rectinib and 1.97 (21%) for M5.</w:t>
      </w:r>
    </w:p>
    <w:p w14:paraId="6151A01C" w14:textId="77777777" w:rsidR="000556BC" w:rsidRDefault="000556BC" w:rsidP="000556BC">
      <w:pPr>
        <w:pStyle w:val="Heading6"/>
      </w:pPr>
      <w:r>
        <w:t>Excretion</w:t>
      </w:r>
    </w:p>
    <w:p w14:paraId="2D7F48A0" w14:textId="25FE9942" w:rsidR="00A73D84" w:rsidRPr="00A73D84" w:rsidRDefault="00A73D84" w:rsidP="00A73D84">
      <w:r w:rsidRPr="00A73D84">
        <w:t xml:space="preserve">The mean total radiolabelled material excreted during 13 days after a single 600 mg oral </w:t>
      </w:r>
      <w:proofErr w:type="spellStart"/>
      <w:r w:rsidRPr="00A73D84">
        <w:t>ente</w:t>
      </w:r>
      <w:r w:rsidR="005065CE">
        <w:t>rctinib</w:t>
      </w:r>
      <w:proofErr w:type="spellEnd"/>
      <w:r w:rsidR="005065CE">
        <w:t xml:space="preserve"> dose was 86% (range 72% to </w:t>
      </w:r>
      <w:r w:rsidRPr="00A73D84">
        <w:t>91%) of the administered radioactive dose: 3% was urinary and 83% faecal. Parent entrectinib (36%) and M5 (22%) accounted for the largest fractions of radiolabelled excreta.</w:t>
      </w:r>
    </w:p>
    <w:p w14:paraId="0711E27E" w14:textId="0EE8F0A9" w:rsidR="00A73D84" w:rsidRPr="00A73D84" w:rsidRDefault="00A73D84" w:rsidP="00A73D84">
      <w:r w:rsidRPr="00A73D84">
        <w:t>Blood and plasma radioactivity profiles were consistent with a two</w:t>
      </w:r>
      <w:r w:rsidR="00541360">
        <w:t xml:space="preserve"> </w:t>
      </w:r>
      <w:r w:rsidRPr="00A73D84">
        <w:t xml:space="preserve">compartment model with a rapid redistribution </w:t>
      </w:r>
      <w:r w:rsidR="00CB7588">
        <w:t>phase</w:t>
      </w:r>
      <w:r w:rsidRPr="00A73D84">
        <w:t>. PPK analysis estimated:</w:t>
      </w:r>
    </w:p>
    <w:p w14:paraId="542AB05F" w14:textId="6A98831F" w:rsidR="00A73D84" w:rsidRPr="00A73D84" w:rsidRDefault="00A73D84" w:rsidP="00A73D84">
      <w:pPr>
        <w:pStyle w:val="ListBullet"/>
      </w:pPr>
      <w:r w:rsidRPr="00A73D84">
        <w:t>Geometric mean clearance = 19.6 L/hour (ent</w:t>
      </w:r>
      <w:r w:rsidR="004E146F">
        <w:t>rectinib) and 52.4 L/hour (M5) (for a 70</w:t>
      </w:r>
      <w:r w:rsidR="00541360">
        <w:t> </w:t>
      </w:r>
      <w:r w:rsidR="004E146F">
        <w:t>kg patient)</w:t>
      </w:r>
    </w:p>
    <w:p w14:paraId="04BD19FC" w14:textId="6DD04AEB" w:rsidR="00A73D84" w:rsidRPr="00A73D84" w:rsidRDefault="00A73D84" w:rsidP="00A73D84">
      <w:pPr>
        <w:pStyle w:val="ListBullet"/>
      </w:pPr>
      <w:r w:rsidRPr="00A73D84">
        <w:t>Geometric mean (CV</w:t>
      </w:r>
      <w:r w:rsidR="004E146F">
        <w:t xml:space="preserve"> </w:t>
      </w:r>
      <w:r w:rsidRPr="00A73D84">
        <w:t>%) terminal elimination half-life was approximately 19 hours (17%) for entrect</w:t>
      </w:r>
      <w:r w:rsidR="002C6712">
        <w:t>inib and 44 hours (16%) for M5.</w:t>
      </w:r>
    </w:p>
    <w:p w14:paraId="659A9A7B" w14:textId="77777777" w:rsidR="00A73D84" w:rsidRPr="00A73D84" w:rsidRDefault="00A73D84" w:rsidP="00A73D84">
      <w:pPr>
        <w:pStyle w:val="Heading6"/>
      </w:pPr>
      <w:r w:rsidRPr="00A73D84">
        <w:t>Comparability between patients and healthy volunteers</w:t>
      </w:r>
    </w:p>
    <w:p w14:paraId="1AA21E1C" w14:textId="7C1CD8AB" w:rsidR="00A73D84" w:rsidRDefault="00A73D84" w:rsidP="00347426">
      <w:r w:rsidRPr="00A73D84">
        <w:t xml:space="preserve">Data from </w:t>
      </w:r>
      <w:r w:rsidR="008168ED">
        <w:t>Study</w:t>
      </w:r>
      <w:r w:rsidRPr="00A73D84">
        <w:t xml:space="preserve"> RXDX-101-07 and </w:t>
      </w:r>
      <w:r w:rsidR="00541360">
        <w:t xml:space="preserve">the </w:t>
      </w:r>
      <w:r w:rsidRPr="00A73D84">
        <w:t xml:space="preserve">STARTRK-1 </w:t>
      </w:r>
      <w:r w:rsidR="0094772D">
        <w:t xml:space="preserve">trial </w:t>
      </w:r>
      <w:r w:rsidRPr="00A73D84">
        <w:t>(both conducted with F2A and dosed under fed conditions) indicates that the PK of entrectinib and M5 are comparable between patients and healthy volunteers. The variability of exposure parameters (</w:t>
      </w:r>
      <w:proofErr w:type="spellStart"/>
      <w:r w:rsidRPr="00A73D84">
        <w:t>C</w:t>
      </w:r>
      <w:r w:rsidRPr="002C6712">
        <w:rPr>
          <w:vertAlign w:val="subscript"/>
        </w:rPr>
        <w:t>max</w:t>
      </w:r>
      <w:proofErr w:type="spellEnd"/>
      <w:r w:rsidRPr="00A73D84">
        <w:t xml:space="preserve"> and AUC</w:t>
      </w:r>
      <w:r w:rsidRPr="002C6712">
        <w:rPr>
          <w:vertAlign w:val="subscript"/>
        </w:rPr>
        <w:t>0-24</w:t>
      </w:r>
      <w:r w:rsidRPr="00A73D84">
        <w:t xml:space="preserve"> for both entrectinib and M5) was higher for patients than for healthy adults (</w:t>
      </w:r>
      <w:r w:rsidR="005065CE">
        <w:t xml:space="preserve">CV of 48 to 82% and 25 to </w:t>
      </w:r>
      <w:r w:rsidRPr="00A73D84">
        <w:t>29%, respectively).</w:t>
      </w:r>
    </w:p>
    <w:p w14:paraId="22C1B390" w14:textId="18BC276E" w:rsidR="00A73D84" w:rsidRPr="00A73D84" w:rsidRDefault="00054378" w:rsidP="00A73D84">
      <w:pPr>
        <w:pStyle w:val="Heading5"/>
      </w:pPr>
      <w:r>
        <w:t>Drug-drug interaction</w:t>
      </w:r>
      <w:r w:rsidR="00380930">
        <w:t>s</w:t>
      </w:r>
    </w:p>
    <w:p w14:paraId="7C12717A" w14:textId="37734FB1" w:rsidR="00A73D84" w:rsidRPr="00A73D84" w:rsidRDefault="00A73D84" w:rsidP="002F69BF">
      <w:pPr>
        <w:pStyle w:val="TableTitle"/>
      </w:pPr>
      <w:r>
        <w:t xml:space="preserve">Table </w:t>
      </w:r>
      <w:fldSimple w:instr=" SEQ Table \* ARABIC ">
        <w:r w:rsidR="009B407B">
          <w:rPr>
            <w:noProof/>
          </w:rPr>
          <w:t>7</w:t>
        </w:r>
      </w:fldSimple>
      <w:r w:rsidR="00541360">
        <w:rPr>
          <w:noProof/>
        </w:rPr>
        <w:t>:</w:t>
      </w:r>
      <w:r>
        <w:t xml:space="preserve"> </w:t>
      </w:r>
      <w:r w:rsidRPr="00A73D84">
        <w:t xml:space="preserve">Findings of dedicated </w:t>
      </w:r>
      <w:r w:rsidR="00541360">
        <w:t xml:space="preserve">drug-drug interaction </w:t>
      </w:r>
      <w:r w:rsidR="002C6712">
        <w:t>studies</w:t>
      </w:r>
    </w:p>
    <w:tbl>
      <w:tblPr>
        <w:tblStyle w:val="TableGrid1"/>
        <w:tblW w:w="8591" w:type="dxa"/>
        <w:tblCellMar>
          <w:left w:w="57" w:type="dxa"/>
          <w:right w:w="57" w:type="dxa"/>
        </w:tblCellMar>
        <w:tblLook w:val="04A0" w:firstRow="1" w:lastRow="0" w:firstColumn="1" w:lastColumn="0" w:noHBand="0" w:noVBand="1"/>
      </w:tblPr>
      <w:tblGrid>
        <w:gridCol w:w="1889"/>
        <w:gridCol w:w="3351"/>
        <w:gridCol w:w="3351"/>
      </w:tblGrid>
      <w:tr w:rsidR="00A73D84" w:rsidRPr="00A73D84" w14:paraId="6F9C834B" w14:textId="77777777" w:rsidTr="005D6EA2">
        <w:trPr>
          <w:tblHeader/>
        </w:trPr>
        <w:tc>
          <w:tcPr>
            <w:tcW w:w="1889" w:type="dxa"/>
            <w:shd w:val="clear" w:color="auto" w:fill="006DA7" w:themeFill="accent3"/>
          </w:tcPr>
          <w:p w14:paraId="6A98512D" w14:textId="77777777" w:rsidR="00A73D84" w:rsidRPr="001823E7" w:rsidRDefault="00A73D84" w:rsidP="00A73D84">
            <w:pPr>
              <w:pStyle w:val="Tabletext"/>
              <w:rPr>
                <w:b/>
                <w:color w:val="FFFFFF" w:themeColor="background1"/>
              </w:rPr>
            </w:pPr>
            <w:r w:rsidRPr="001823E7">
              <w:rPr>
                <w:b/>
                <w:color w:val="FFFFFF" w:themeColor="background1"/>
              </w:rPr>
              <w:t>Study</w:t>
            </w:r>
          </w:p>
        </w:tc>
        <w:tc>
          <w:tcPr>
            <w:tcW w:w="6702" w:type="dxa"/>
            <w:gridSpan w:val="2"/>
            <w:shd w:val="clear" w:color="auto" w:fill="006DA7" w:themeFill="accent3"/>
          </w:tcPr>
          <w:p w14:paraId="706F0EED" w14:textId="77777777" w:rsidR="00A73D84" w:rsidRPr="001823E7" w:rsidRDefault="00A73D84" w:rsidP="00A73D84">
            <w:pPr>
              <w:pStyle w:val="Tabletext"/>
              <w:rPr>
                <w:b/>
                <w:color w:val="FFFFFF" w:themeColor="background1"/>
              </w:rPr>
            </w:pPr>
            <w:r w:rsidRPr="001823E7">
              <w:rPr>
                <w:b/>
                <w:color w:val="FFFFFF" w:themeColor="background1"/>
              </w:rPr>
              <w:t>Findings</w:t>
            </w:r>
          </w:p>
        </w:tc>
      </w:tr>
      <w:tr w:rsidR="00A73D84" w:rsidRPr="00A73D84" w14:paraId="7F0054A3" w14:textId="77777777" w:rsidTr="00D61D03">
        <w:tc>
          <w:tcPr>
            <w:tcW w:w="1889" w:type="dxa"/>
          </w:tcPr>
          <w:p w14:paraId="6265D559" w14:textId="77777777" w:rsidR="00A73D84" w:rsidRPr="00A73D84" w:rsidRDefault="00A73D84" w:rsidP="00A73D84">
            <w:pPr>
              <w:pStyle w:val="Tabletext"/>
            </w:pPr>
            <w:r w:rsidRPr="00A73D84">
              <w:t>RXDX-101-12 (</w:t>
            </w:r>
            <w:proofErr w:type="spellStart"/>
            <w:r w:rsidRPr="00A73D84">
              <w:t>itraconazole</w:t>
            </w:r>
            <w:proofErr w:type="spellEnd"/>
            <w:r w:rsidRPr="00A73D84">
              <w:t xml:space="preserve"> and </w:t>
            </w:r>
            <w:proofErr w:type="spellStart"/>
            <w:r w:rsidRPr="00A73D84">
              <w:t>rifampin</w:t>
            </w:r>
            <w:proofErr w:type="spellEnd"/>
            <w:r w:rsidRPr="00A73D84">
              <w:t>, in healthy volunteers)</w:t>
            </w:r>
          </w:p>
        </w:tc>
        <w:tc>
          <w:tcPr>
            <w:tcW w:w="3351" w:type="dxa"/>
          </w:tcPr>
          <w:p w14:paraId="77B68FF8" w14:textId="77777777" w:rsidR="00A73D84" w:rsidRPr="00A73D84" w:rsidRDefault="00A73D84" w:rsidP="00A73D84">
            <w:pPr>
              <w:pStyle w:val="Tabletext"/>
            </w:pPr>
            <w:r w:rsidRPr="00A73D84">
              <w:t>Entrectinib exposure (single 600 mg oral dose) was increased by co-administration of a potent CYP3A inhibitor (</w:t>
            </w:r>
            <w:proofErr w:type="spellStart"/>
            <w:r w:rsidRPr="00A73D84">
              <w:t>itraconazole</w:t>
            </w:r>
            <w:proofErr w:type="spellEnd"/>
            <w:r w:rsidRPr="00A73D84">
              <w:t xml:space="preserve"> 200 mg orally daily for 10 days):</w:t>
            </w:r>
          </w:p>
          <w:p w14:paraId="31BE18BA" w14:textId="6170429A" w:rsidR="00A73D84" w:rsidRPr="004779EE" w:rsidRDefault="00A73D84" w:rsidP="00661BB7">
            <w:pPr>
              <w:pStyle w:val="ListBullet"/>
              <w:rPr>
                <w:szCs w:val="19"/>
              </w:rPr>
            </w:pPr>
            <w:proofErr w:type="spellStart"/>
            <w:r w:rsidRPr="00661BB7">
              <w:rPr>
                <w:sz w:val="19"/>
                <w:szCs w:val="19"/>
              </w:rPr>
              <w:t>C</w:t>
            </w:r>
            <w:r w:rsidRPr="00661BB7">
              <w:rPr>
                <w:sz w:val="19"/>
                <w:szCs w:val="19"/>
                <w:vertAlign w:val="subscript"/>
              </w:rPr>
              <w:t>max</w:t>
            </w:r>
            <w:proofErr w:type="spellEnd"/>
            <w:r w:rsidRPr="00661BB7">
              <w:rPr>
                <w:sz w:val="19"/>
                <w:szCs w:val="19"/>
              </w:rPr>
              <w:t xml:space="preserve"> ratio: 1.73 </w:t>
            </w:r>
            <w:r w:rsidR="00541360" w:rsidRPr="00661BB7">
              <w:rPr>
                <w:sz w:val="19"/>
                <w:szCs w:val="19"/>
              </w:rPr>
              <w:t>(</w:t>
            </w:r>
            <w:r w:rsidRPr="00661BB7">
              <w:rPr>
                <w:sz w:val="19"/>
                <w:szCs w:val="19"/>
              </w:rPr>
              <w:t>90% CI: 1.37, 2.18</w:t>
            </w:r>
            <w:r w:rsidR="00541360" w:rsidRPr="00661BB7">
              <w:rPr>
                <w:sz w:val="19"/>
                <w:szCs w:val="19"/>
              </w:rPr>
              <w:t>)</w:t>
            </w:r>
          </w:p>
          <w:p w14:paraId="64C76651" w14:textId="7006D05D" w:rsidR="00A73D84" w:rsidRPr="004779EE" w:rsidRDefault="00A73D84" w:rsidP="00661BB7">
            <w:pPr>
              <w:pStyle w:val="ListBullet"/>
              <w:rPr>
                <w:szCs w:val="19"/>
              </w:rPr>
            </w:pPr>
            <w:proofErr w:type="spellStart"/>
            <w:r w:rsidRPr="00661BB7">
              <w:rPr>
                <w:sz w:val="19"/>
                <w:szCs w:val="19"/>
              </w:rPr>
              <w:t>AUC</w:t>
            </w:r>
            <w:r w:rsidRPr="00661BB7">
              <w:rPr>
                <w:sz w:val="19"/>
                <w:szCs w:val="19"/>
                <w:vertAlign w:val="subscript"/>
              </w:rPr>
              <w:t>inf</w:t>
            </w:r>
            <w:proofErr w:type="spellEnd"/>
            <w:r w:rsidRPr="00661BB7">
              <w:rPr>
                <w:sz w:val="19"/>
                <w:szCs w:val="19"/>
              </w:rPr>
              <w:t xml:space="preserve"> ratio: 6.04 </w:t>
            </w:r>
            <w:r w:rsidR="00541360" w:rsidRPr="00661BB7">
              <w:rPr>
                <w:sz w:val="19"/>
                <w:szCs w:val="19"/>
              </w:rPr>
              <w:t>(</w:t>
            </w:r>
            <w:r w:rsidRPr="00661BB7">
              <w:rPr>
                <w:sz w:val="19"/>
                <w:szCs w:val="19"/>
              </w:rPr>
              <w:t>90% CI: 4.54, 8.04</w:t>
            </w:r>
            <w:r w:rsidR="00541360" w:rsidRPr="00661BB7">
              <w:rPr>
                <w:sz w:val="19"/>
                <w:szCs w:val="19"/>
              </w:rPr>
              <w:t>)</w:t>
            </w:r>
          </w:p>
          <w:p w14:paraId="50AD2DF5" w14:textId="77777777" w:rsidR="00A73D84" w:rsidRPr="00A73D84" w:rsidRDefault="00A73D84" w:rsidP="00A73D84">
            <w:pPr>
              <w:pStyle w:val="Tabletext"/>
            </w:pPr>
            <w:r w:rsidRPr="00A73D84">
              <w:t>M5 exposure was also increased</w:t>
            </w:r>
          </w:p>
        </w:tc>
        <w:tc>
          <w:tcPr>
            <w:tcW w:w="3351" w:type="dxa"/>
          </w:tcPr>
          <w:p w14:paraId="1EC8E580" w14:textId="77777777" w:rsidR="00A73D84" w:rsidRPr="00A73D84" w:rsidRDefault="00A73D84" w:rsidP="00A73D84">
            <w:pPr>
              <w:pStyle w:val="Tabletext"/>
            </w:pPr>
            <w:r w:rsidRPr="00A73D84">
              <w:t>Entrectinib exposure (single 600 mg oral dose) was decreased by co-administration of a potent CYP3A inducer (</w:t>
            </w:r>
            <w:proofErr w:type="spellStart"/>
            <w:r w:rsidRPr="00A73D84">
              <w:t>rifampin</w:t>
            </w:r>
            <w:proofErr w:type="spellEnd"/>
            <w:r w:rsidRPr="00A73D84">
              <w:t xml:space="preserve"> 600 mg orally daily for 16 days):</w:t>
            </w:r>
          </w:p>
          <w:p w14:paraId="1C191CA5" w14:textId="2061BE74" w:rsidR="00A73D84" w:rsidRPr="004779EE" w:rsidRDefault="002C6712" w:rsidP="00661BB7">
            <w:pPr>
              <w:pStyle w:val="ListBullet"/>
              <w:rPr>
                <w:szCs w:val="19"/>
              </w:rPr>
            </w:pPr>
            <w:proofErr w:type="spellStart"/>
            <w:r w:rsidRPr="00661BB7">
              <w:rPr>
                <w:sz w:val="19"/>
                <w:szCs w:val="19"/>
              </w:rPr>
              <w:t>C</w:t>
            </w:r>
            <w:r w:rsidRPr="00661BB7">
              <w:rPr>
                <w:sz w:val="19"/>
                <w:szCs w:val="19"/>
                <w:vertAlign w:val="subscript"/>
              </w:rPr>
              <w:t>max</w:t>
            </w:r>
            <w:proofErr w:type="spellEnd"/>
            <w:r w:rsidR="00A73D84" w:rsidRPr="00661BB7">
              <w:rPr>
                <w:sz w:val="19"/>
                <w:szCs w:val="19"/>
              </w:rPr>
              <w:t xml:space="preserve"> ratio: 0.44 </w:t>
            </w:r>
            <w:r w:rsidR="00541360" w:rsidRPr="00661BB7">
              <w:rPr>
                <w:sz w:val="19"/>
                <w:szCs w:val="19"/>
              </w:rPr>
              <w:t>(</w:t>
            </w:r>
            <w:r w:rsidR="00A73D84" w:rsidRPr="00661BB7">
              <w:rPr>
                <w:sz w:val="19"/>
                <w:szCs w:val="19"/>
              </w:rPr>
              <w:t>90% CI: 0.35, 0.56</w:t>
            </w:r>
            <w:r w:rsidR="00541360" w:rsidRPr="00661BB7">
              <w:rPr>
                <w:sz w:val="19"/>
                <w:szCs w:val="19"/>
              </w:rPr>
              <w:t>)</w:t>
            </w:r>
          </w:p>
          <w:p w14:paraId="0A6CA1D0" w14:textId="4944B3BE" w:rsidR="00A73D84" w:rsidRPr="004779EE" w:rsidRDefault="00A73D84" w:rsidP="00661BB7">
            <w:pPr>
              <w:pStyle w:val="ListBullet"/>
              <w:rPr>
                <w:szCs w:val="19"/>
              </w:rPr>
            </w:pPr>
            <w:proofErr w:type="spellStart"/>
            <w:r w:rsidRPr="00661BB7">
              <w:rPr>
                <w:sz w:val="19"/>
                <w:szCs w:val="19"/>
              </w:rPr>
              <w:t>AUC</w:t>
            </w:r>
            <w:r w:rsidRPr="00661BB7">
              <w:rPr>
                <w:sz w:val="19"/>
                <w:szCs w:val="19"/>
                <w:vertAlign w:val="subscript"/>
              </w:rPr>
              <w:t>inf</w:t>
            </w:r>
            <w:proofErr w:type="spellEnd"/>
            <w:r w:rsidRPr="00661BB7">
              <w:rPr>
                <w:sz w:val="19"/>
                <w:szCs w:val="19"/>
              </w:rPr>
              <w:t xml:space="preserve"> ratio: 0.23 </w:t>
            </w:r>
            <w:r w:rsidR="00541360" w:rsidRPr="00661BB7">
              <w:rPr>
                <w:sz w:val="19"/>
                <w:szCs w:val="19"/>
              </w:rPr>
              <w:t>(</w:t>
            </w:r>
            <w:r w:rsidRPr="00661BB7">
              <w:rPr>
                <w:sz w:val="19"/>
                <w:szCs w:val="19"/>
              </w:rPr>
              <w:t>90% CI 0.18, 0.30</w:t>
            </w:r>
            <w:r w:rsidR="00541360" w:rsidRPr="00661BB7">
              <w:rPr>
                <w:sz w:val="19"/>
                <w:szCs w:val="19"/>
              </w:rPr>
              <w:t>)</w:t>
            </w:r>
          </w:p>
          <w:p w14:paraId="04886110" w14:textId="77777777" w:rsidR="00A73D84" w:rsidRPr="00A73D84" w:rsidRDefault="00A73D84" w:rsidP="00A73D84">
            <w:pPr>
              <w:pStyle w:val="Tabletext"/>
            </w:pPr>
            <w:r w:rsidRPr="00A73D84">
              <w:t>M5 exposure was also decreased</w:t>
            </w:r>
          </w:p>
        </w:tc>
      </w:tr>
      <w:tr w:rsidR="00A73D84" w:rsidRPr="00A73D84" w14:paraId="73CDB969" w14:textId="77777777" w:rsidTr="00D61D03">
        <w:tc>
          <w:tcPr>
            <w:tcW w:w="1889" w:type="dxa"/>
          </w:tcPr>
          <w:p w14:paraId="4ABBE966" w14:textId="77777777" w:rsidR="00A73D84" w:rsidRPr="00A73D84" w:rsidRDefault="00A73D84" w:rsidP="00A73D84">
            <w:pPr>
              <w:pStyle w:val="Tabletext"/>
            </w:pPr>
            <w:r w:rsidRPr="00A73D84">
              <w:t>RXDX-101-13 (digoxin, in healthy volunteers)</w:t>
            </w:r>
          </w:p>
        </w:tc>
        <w:tc>
          <w:tcPr>
            <w:tcW w:w="6702" w:type="dxa"/>
            <w:gridSpan w:val="2"/>
          </w:tcPr>
          <w:p w14:paraId="25F5D562" w14:textId="7B92DC98" w:rsidR="00A73D84" w:rsidRPr="00A73D84" w:rsidRDefault="00A73D84" w:rsidP="00A73D84">
            <w:pPr>
              <w:pStyle w:val="Tabletext"/>
            </w:pPr>
            <w:r w:rsidRPr="00595893">
              <w:rPr>
                <w:i/>
              </w:rPr>
              <w:t>In vitro</w:t>
            </w:r>
            <w:r w:rsidRPr="00A73D84">
              <w:t xml:space="preserve"> transporter studies suggested a potential inhibitory effect of entrectinib and M5 on </w:t>
            </w:r>
            <w:r w:rsidR="00BB62DA">
              <w:t>P-</w:t>
            </w:r>
            <w:proofErr w:type="spellStart"/>
            <w:r w:rsidR="00BB62DA">
              <w:t>gp</w:t>
            </w:r>
            <w:proofErr w:type="spellEnd"/>
            <w:r w:rsidR="00BB62DA">
              <w:t>, BCRP, OATP1B1, and MATE1.</w:t>
            </w:r>
          </w:p>
          <w:p w14:paraId="6307D695" w14:textId="77777777" w:rsidR="00A73D84" w:rsidRPr="00A73D84" w:rsidRDefault="00A73D84" w:rsidP="00A73D84">
            <w:pPr>
              <w:pStyle w:val="Tabletext"/>
            </w:pPr>
            <w:r w:rsidRPr="00A73D84">
              <w:lastRenderedPageBreak/>
              <w:t>In healthy volunteers, digoxin exposure (single 0.5 mg oral dose) was increased by co-administration of entrectinib (single 600 mg oral dose):</w:t>
            </w:r>
          </w:p>
          <w:p w14:paraId="3EC004FF" w14:textId="77777777" w:rsidR="00A73D84" w:rsidRPr="004779EE" w:rsidRDefault="00A73D84" w:rsidP="00661BB7">
            <w:pPr>
              <w:pStyle w:val="ListBullet"/>
              <w:rPr>
                <w:szCs w:val="19"/>
              </w:rPr>
            </w:pPr>
            <w:proofErr w:type="spellStart"/>
            <w:r w:rsidRPr="00661BB7">
              <w:rPr>
                <w:sz w:val="19"/>
                <w:szCs w:val="19"/>
              </w:rPr>
              <w:t>T</w:t>
            </w:r>
            <w:r w:rsidRPr="00661BB7">
              <w:rPr>
                <w:sz w:val="19"/>
                <w:szCs w:val="19"/>
                <w:vertAlign w:val="subscript"/>
              </w:rPr>
              <w:t>max</w:t>
            </w:r>
            <w:proofErr w:type="spellEnd"/>
            <w:r w:rsidRPr="00661BB7">
              <w:rPr>
                <w:sz w:val="19"/>
                <w:szCs w:val="19"/>
              </w:rPr>
              <w:t xml:space="preserve"> was delayed by around 1 hour</w:t>
            </w:r>
          </w:p>
          <w:p w14:paraId="678C6F92" w14:textId="6A908122" w:rsidR="00A73D84" w:rsidRPr="004779EE" w:rsidRDefault="00A73D84" w:rsidP="00661BB7">
            <w:pPr>
              <w:pStyle w:val="ListBullet"/>
              <w:rPr>
                <w:szCs w:val="19"/>
              </w:rPr>
            </w:pPr>
            <w:proofErr w:type="spellStart"/>
            <w:r w:rsidRPr="00661BB7">
              <w:rPr>
                <w:sz w:val="19"/>
                <w:szCs w:val="19"/>
              </w:rPr>
              <w:t>C</w:t>
            </w:r>
            <w:r w:rsidRPr="00661BB7">
              <w:rPr>
                <w:sz w:val="19"/>
                <w:szCs w:val="19"/>
                <w:vertAlign w:val="subscript"/>
              </w:rPr>
              <w:t>max</w:t>
            </w:r>
            <w:proofErr w:type="spellEnd"/>
            <w:r w:rsidRPr="00661BB7">
              <w:rPr>
                <w:sz w:val="19"/>
                <w:szCs w:val="19"/>
              </w:rPr>
              <w:t xml:space="preserve"> ratio: 1.28 </w:t>
            </w:r>
            <w:r w:rsidR="00541360" w:rsidRPr="00661BB7">
              <w:rPr>
                <w:sz w:val="19"/>
                <w:szCs w:val="19"/>
              </w:rPr>
              <w:t>(</w:t>
            </w:r>
            <w:r w:rsidRPr="00661BB7">
              <w:rPr>
                <w:sz w:val="19"/>
                <w:szCs w:val="19"/>
              </w:rPr>
              <w:t>90% CI: 0.98, 1.67</w:t>
            </w:r>
            <w:r w:rsidR="00541360" w:rsidRPr="00661BB7">
              <w:rPr>
                <w:sz w:val="19"/>
                <w:szCs w:val="19"/>
              </w:rPr>
              <w:t>)</w:t>
            </w:r>
          </w:p>
          <w:p w14:paraId="11A11214" w14:textId="35904CF4" w:rsidR="00A73D84" w:rsidRPr="004779EE" w:rsidRDefault="00A73D84" w:rsidP="00661BB7">
            <w:pPr>
              <w:pStyle w:val="ListBullet"/>
              <w:rPr>
                <w:szCs w:val="19"/>
              </w:rPr>
            </w:pPr>
            <w:proofErr w:type="spellStart"/>
            <w:r w:rsidRPr="00661BB7">
              <w:rPr>
                <w:sz w:val="19"/>
                <w:szCs w:val="19"/>
              </w:rPr>
              <w:t>AUC</w:t>
            </w:r>
            <w:r w:rsidRPr="00661BB7">
              <w:rPr>
                <w:sz w:val="19"/>
                <w:szCs w:val="19"/>
                <w:vertAlign w:val="subscript"/>
              </w:rPr>
              <w:t>inf</w:t>
            </w:r>
            <w:proofErr w:type="spellEnd"/>
            <w:r w:rsidRPr="00661BB7">
              <w:rPr>
                <w:sz w:val="19"/>
                <w:szCs w:val="19"/>
              </w:rPr>
              <w:t xml:space="preserve"> ratio: 1.18 </w:t>
            </w:r>
            <w:r w:rsidR="00541360" w:rsidRPr="00661BB7">
              <w:rPr>
                <w:sz w:val="19"/>
                <w:szCs w:val="19"/>
              </w:rPr>
              <w:t>(</w:t>
            </w:r>
            <w:r w:rsidRPr="00661BB7">
              <w:rPr>
                <w:sz w:val="19"/>
                <w:szCs w:val="19"/>
              </w:rPr>
              <w:t>90% CI: 1.06, 1.32</w:t>
            </w:r>
            <w:r w:rsidR="00541360" w:rsidRPr="00661BB7">
              <w:rPr>
                <w:sz w:val="19"/>
                <w:szCs w:val="19"/>
              </w:rPr>
              <w:t>)</w:t>
            </w:r>
          </w:p>
          <w:p w14:paraId="6B3F3B2A" w14:textId="77777777" w:rsidR="00A73D84" w:rsidRPr="00A73D84" w:rsidRDefault="00A73D84" w:rsidP="00A73D84">
            <w:pPr>
              <w:pStyle w:val="Tabletext"/>
            </w:pPr>
            <w:r w:rsidRPr="00A73D84">
              <w:t>These data indicate a weak effect of entrectinib and M5 on P-</w:t>
            </w:r>
            <w:proofErr w:type="spellStart"/>
            <w:r w:rsidRPr="00A73D84">
              <w:t>gp</w:t>
            </w:r>
            <w:proofErr w:type="spellEnd"/>
            <w:r w:rsidRPr="00A73D84">
              <w:t>, and are reported in the FDA label.</w:t>
            </w:r>
          </w:p>
        </w:tc>
      </w:tr>
      <w:tr w:rsidR="00A73D84" w:rsidRPr="00A73D84" w14:paraId="1FFA714D" w14:textId="77777777" w:rsidTr="00D61D03">
        <w:trPr>
          <w:trHeight w:val="329"/>
        </w:trPr>
        <w:tc>
          <w:tcPr>
            <w:tcW w:w="1889" w:type="dxa"/>
          </w:tcPr>
          <w:p w14:paraId="364ED46D" w14:textId="77777777" w:rsidR="00A73D84" w:rsidRPr="00A73D84" w:rsidRDefault="00A73D84" w:rsidP="00A73D84">
            <w:pPr>
              <w:pStyle w:val="Tabletext"/>
            </w:pPr>
            <w:r w:rsidRPr="00A73D84">
              <w:lastRenderedPageBreak/>
              <w:t>RXDX-101-14 (midazolam, in patients)</w:t>
            </w:r>
          </w:p>
        </w:tc>
        <w:tc>
          <w:tcPr>
            <w:tcW w:w="6702" w:type="dxa"/>
            <w:gridSpan w:val="2"/>
          </w:tcPr>
          <w:p w14:paraId="09382701" w14:textId="59E24F4D" w:rsidR="00A73D84" w:rsidRPr="00A73D84" w:rsidRDefault="00A73D84" w:rsidP="00A73D84">
            <w:pPr>
              <w:pStyle w:val="Tabletext"/>
            </w:pPr>
            <w:r w:rsidRPr="00595893">
              <w:rPr>
                <w:i/>
              </w:rPr>
              <w:t>In vitro</w:t>
            </w:r>
            <w:r w:rsidRPr="00A73D84">
              <w:t>, entrectinib and M5 showed the potential to inhibit CYP3A4/5, CYP2D6, and CYP2C8/9 and entrectinib showed t</w:t>
            </w:r>
            <w:r w:rsidR="00BB62DA">
              <w:t>he potential to inhibit CYP3A4.</w:t>
            </w:r>
          </w:p>
          <w:p w14:paraId="4A3CF6D4" w14:textId="77777777" w:rsidR="00A73D84" w:rsidRPr="00A73D84" w:rsidRDefault="00A73D84" w:rsidP="00A73D84">
            <w:pPr>
              <w:pStyle w:val="Tabletext"/>
            </w:pPr>
            <w:r w:rsidRPr="00A73D84">
              <w:t>In patients with solid tumours:</w:t>
            </w:r>
          </w:p>
          <w:p w14:paraId="1FD5F5F7" w14:textId="77777777" w:rsidR="00A73D84" w:rsidRPr="004779EE" w:rsidRDefault="00A73D84" w:rsidP="00661BB7">
            <w:pPr>
              <w:pStyle w:val="ListBullet"/>
              <w:rPr>
                <w:szCs w:val="19"/>
              </w:rPr>
            </w:pPr>
            <w:r w:rsidRPr="00661BB7">
              <w:rPr>
                <w:sz w:val="19"/>
                <w:szCs w:val="19"/>
              </w:rPr>
              <w:t>Multiple daily doses (but not a single dose) of 600 mg entrectinib increased exposure to midazolam by 50%.</w:t>
            </w:r>
          </w:p>
          <w:p w14:paraId="6E49BB20" w14:textId="77777777" w:rsidR="00A73D84" w:rsidRPr="004779EE" w:rsidRDefault="00A73D84" w:rsidP="00661BB7">
            <w:pPr>
              <w:pStyle w:val="ListBullet"/>
              <w:rPr>
                <w:szCs w:val="19"/>
              </w:rPr>
            </w:pPr>
            <w:r w:rsidRPr="00661BB7">
              <w:rPr>
                <w:sz w:val="19"/>
                <w:szCs w:val="19"/>
              </w:rPr>
              <w:t xml:space="preserve">Multiple daily doses and a single dose of 600 mg entrectinib decreased </w:t>
            </w:r>
            <w:proofErr w:type="spellStart"/>
            <w:r w:rsidRPr="00661BB7">
              <w:rPr>
                <w:sz w:val="19"/>
                <w:szCs w:val="19"/>
              </w:rPr>
              <w:t>C</w:t>
            </w:r>
            <w:r w:rsidRPr="00661BB7">
              <w:rPr>
                <w:sz w:val="19"/>
                <w:szCs w:val="19"/>
                <w:vertAlign w:val="subscript"/>
              </w:rPr>
              <w:t>max</w:t>
            </w:r>
            <w:proofErr w:type="spellEnd"/>
            <w:r w:rsidRPr="00661BB7">
              <w:rPr>
                <w:sz w:val="19"/>
                <w:szCs w:val="19"/>
              </w:rPr>
              <w:t xml:space="preserve"> of midazolam by 21% and 34%, respectively.</w:t>
            </w:r>
          </w:p>
          <w:p w14:paraId="1D9CB5E2" w14:textId="77777777" w:rsidR="00A73D84" w:rsidRPr="00A73D84" w:rsidRDefault="00A73D84" w:rsidP="00661BB7">
            <w:pPr>
              <w:pStyle w:val="ListBullet"/>
            </w:pPr>
            <w:r w:rsidRPr="00661BB7">
              <w:rPr>
                <w:sz w:val="19"/>
                <w:szCs w:val="19"/>
              </w:rPr>
              <w:t>Induction of CYP3A4 by entrectinib was not apparent.</w:t>
            </w:r>
          </w:p>
        </w:tc>
      </w:tr>
    </w:tbl>
    <w:p w14:paraId="65D95469" w14:textId="46F7E853" w:rsidR="00A73D84" w:rsidRPr="00A73D84" w:rsidRDefault="00555D6C" w:rsidP="00A73D84">
      <w:pPr>
        <w:pStyle w:val="Heading5"/>
      </w:pPr>
      <w:r>
        <w:t xml:space="preserve">Dose </w:t>
      </w:r>
      <w:r w:rsidR="00A73D84" w:rsidRPr="00A73D84">
        <w:t>selection</w:t>
      </w:r>
    </w:p>
    <w:p w14:paraId="5D883E3F" w14:textId="6A3A5AE7" w:rsidR="00A73D84" w:rsidRPr="00A73D84" w:rsidRDefault="00A73D84" w:rsidP="00A73D84">
      <w:r w:rsidRPr="00A73D84">
        <w:t xml:space="preserve">In </w:t>
      </w:r>
      <w:r w:rsidR="00DF49C5">
        <w:t xml:space="preserve">the </w:t>
      </w:r>
      <w:r w:rsidRPr="00A73D84">
        <w:t>STARTRK-1</w:t>
      </w:r>
      <w:r w:rsidR="0094772D">
        <w:t xml:space="preserve"> trial</w:t>
      </w:r>
      <w:r w:rsidRPr="00A73D84">
        <w:t xml:space="preserve">, using the F2A formulation, there were no </w:t>
      </w:r>
      <w:r w:rsidR="00054378">
        <w:t>DLT</w:t>
      </w:r>
      <w:r w:rsidRPr="00A73D84">
        <w:t xml:space="preserve"> reported at the 100</w:t>
      </w:r>
      <w:r w:rsidR="00380930">
        <w:t> </w:t>
      </w:r>
      <w:r w:rsidRPr="00A73D84">
        <w:t>mg/m</w:t>
      </w:r>
      <w:r w:rsidRPr="002C5CF2">
        <w:rPr>
          <w:vertAlign w:val="superscript"/>
        </w:rPr>
        <w:t>2</w:t>
      </w:r>
      <w:r w:rsidR="002C5CF2">
        <w:t>, 200 mg/</w:t>
      </w:r>
      <w:r w:rsidR="002C5CF2" w:rsidRPr="00A73D84">
        <w:t>m</w:t>
      </w:r>
      <w:r w:rsidR="002C5CF2" w:rsidRPr="002C5CF2">
        <w:rPr>
          <w:vertAlign w:val="superscript"/>
        </w:rPr>
        <w:t>2</w:t>
      </w:r>
      <w:r w:rsidR="002C5CF2">
        <w:t xml:space="preserve"> and 400 mg/</w:t>
      </w:r>
      <w:r w:rsidR="002C5CF2" w:rsidRPr="00A73D84">
        <w:t>m</w:t>
      </w:r>
      <w:r w:rsidR="002C5CF2" w:rsidRPr="002C5CF2">
        <w:rPr>
          <w:vertAlign w:val="superscript"/>
        </w:rPr>
        <w:t>2</w:t>
      </w:r>
      <w:r w:rsidR="00BB62DA">
        <w:t xml:space="preserve"> dose levels.</w:t>
      </w:r>
      <w:r w:rsidRPr="00A73D84">
        <w:t xml:space="preserve"> At the 800 mg dose level</w:t>
      </w:r>
      <w:r w:rsidR="00DF49C5">
        <w:t>,</w:t>
      </w:r>
      <w:r w:rsidRPr="00A73D84">
        <w:t xml:space="preserve"> two patients reported DLT: </w:t>
      </w:r>
      <w:r w:rsidR="00F40A0C">
        <w:t>G</w:t>
      </w:r>
      <w:r w:rsidR="00F40A0C" w:rsidRPr="00A56ACE">
        <w:t>rade</w:t>
      </w:r>
      <w:r w:rsidRPr="00A73D84">
        <w:t xml:space="preserve"> 3 fatigue and </w:t>
      </w:r>
      <w:r w:rsidR="00F40A0C">
        <w:t>G</w:t>
      </w:r>
      <w:r w:rsidR="00F40A0C" w:rsidRPr="00A56ACE">
        <w:t>rade</w:t>
      </w:r>
      <w:r w:rsidR="00846E09">
        <w:t xml:space="preserve"> 3 disturbance in attention. </w:t>
      </w:r>
      <w:r w:rsidRPr="00A73D84">
        <w:t xml:space="preserve">The </w:t>
      </w:r>
      <w:r w:rsidR="00DF49C5">
        <w:t>MTD</w:t>
      </w:r>
      <w:r w:rsidRPr="00A73D84">
        <w:t xml:space="preserve"> was therefore 600 mg </w:t>
      </w:r>
      <w:proofErr w:type="spellStart"/>
      <w:r w:rsidRPr="00A73D84">
        <w:t>entrecinib</w:t>
      </w:r>
      <w:proofErr w:type="spellEnd"/>
      <w:r w:rsidRPr="00A73D84">
        <w:t xml:space="preserve"> F2A formulation administered once daily under fed conditions, and this was declared the </w:t>
      </w:r>
      <w:r w:rsidR="00C41A0F">
        <w:t>RP2D</w:t>
      </w:r>
      <w:r w:rsidRPr="00A73D84">
        <w:t>. This was the only dose studied in STARTRK-2.</w:t>
      </w:r>
    </w:p>
    <w:p w14:paraId="4EC8EBA0" w14:textId="27BBEC85" w:rsidR="00A73D84" w:rsidRPr="00A73D84" w:rsidRDefault="00A73D84" w:rsidP="00A73D84">
      <w:r w:rsidRPr="00A73D84">
        <w:t xml:space="preserve">For </w:t>
      </w:r>
      <w:r w:rsidR="00DF49C5">
        <w:t xml:space="preserve">the </w:t>
      </w:r>
      <w:r w:rsidRPr="00A73D84">
        <w:t>STARTRK-NG</w:t>
      </w:r>
      <w:r w:rsidR="00746CED">
        <w:t xml:space="preserve"> trial</w:t>
      </w:r>
      <w:r w:rsidRPr="00A73D84">
        <w:t>, 250 mg/</w:t>
      </w:r>
      <w:r w:rsidR="002C5CF2" w:rsidRPr="00A73D84">
        <w:t>m</w:t>
      </w:r>
      <w:r w:rsidR="002C5CF2" w:rsidRPr="002C5CF2">
        <w:rPr>
          <w:vertAlign w:val="superscript"/>
        </w:rPr>
        <w:t>2</w:t>
      </w:r>
      <w:r w:rsidRPr="00A73D84">
        <w:t xml:space="preserve"> was selected as the starting dose</w:t>
      </w:r>
      <w:r w:rsidR="00BB62DA">
        <w:t xml:space="preserve"> for escalation based on being about </w:t>
      </w:r>
      <w:r w:rsidRPr="00A73D84">
        <w:t>60% of the adult RP2D and PBPK mo</w:t>
      </w:r>
      <w:r w:rsidR="00BB62DA">
        <w:t>delling.</w:t>
      </w:r>
    </w:p>
    <w:p w14:paraId="0D0432D1" w14:textId="5D26D859" w:rsidR="00A73D84" w:rsidRPr="00A73D84" w:rsidRDefault="00A73D84" w:rsidP="00A73D84">
      <w:r w:rsidRPr="00A73D84">
        <w:t xml:space="preserve">In </w:t>
      </w:r>
      <w:r w:rsidR="00DF49C5">
        <w:t xml:space="preserve">the </w:t>
      </w:r>
      <w:r w:rsidRPr="00A73D84">
        <w:t>STARTRK-NG</w:t>
      </w:r>
      <w:r w:rsidR="00746CED">
        <w:t xml:space="preserve"> trial</w:t>
      </w:r>
      <w:r w:rsidRPr="00A73D84">
        <w:t>, four (25.0%) patients reported DL</w:t>
      </w:r>
      <w:r w:rsidR="002C5CF2">
        <w:t>Ts: one (14.3%) at the 550 mg/</w:t>
      </w:r>
      <w:r w:rsidR="002C5CF2" w:rsidRPr="00A73D84">
        <w:t>m</w:t>
      </w:r>
      <w:r w:rsidR="002C5CF2" w:rsidRPr="002C5CF2">
        <w:rPr>
          <w:vertAlign w:val="superscript"/>
        </w:rPr>
        <w:t>2</w:t>
      </w:r>
      <w:r w:rsidRPr="00A73D84">
        <w:t xml:space="preserve"> dose level and three (100%) at th</w:t>
      </w:r>
      <w:r w:rsidR="002C5CF2">
        <w:t>e 750 mg/</w:t>
      </w:r>
      <w:r w:rsidR="002C5CF2" w:rsidRPr="00A73D84">
        <w:t>m</w:t>
      </w:r>
      <w:r w:rsidR="002C5CF2" w:rsidRPr="002C5CF2">
        <w:rPr>
          <w:vertAlign w:val="superscript"/>
        </w:rPr>
        <w:t>2</w:t>
      </w:r>
      <w:r w:rsidR="002C5CF2">
        <w:t xml:space="preserve"> dose level. </w:t>
      </w:r>
      <w:r w:rsidRPr="00A73D84">
        <w:t>The RP2D was therefore determined to be 550 mg/</w:t>
      </w:r>
      <w:r w:rsidR="002C5CF2" w:rsidRPr="00A73D84">
        <w:t>m</w:t>
      </w:r>
      <w:r w:rsidR="002C5CF2" w:rsidRPr="002C5CF2">
        <w:rPr>
          <w:vertAlign w:val="superscript"/>
        </w:rPr>
        <w:t>2</w:t>
      </w:r>
      <w:r w:rsidRPr="00A73D84">
        <w:t>.</w:t>
      </w:r>
    </w:p>
    <w:p w14:paraId="751E3FA8" w14:textId="23B548BA" w:rsidR="00A73D84" w:rsidRPr="00A73D84" w:rsidRDefault="00054378" w:rsidP="00A73D84">
      <w:pPr>
        <w:pStyle w:val="Heading5"/>
      </w:pPr>
      <w:r>
        <w:t>Population pharmacokinetic</w:t>
      </w:r>
      <w:r w:rsidR="00A73D84" w:rsidRPr="00A73D84">
        <w:t xml:space="preserve"> and physiologica</w:t>
      </w:r>
      <w:r>
        <w:t>lly based pharmacokinetic</w:t>
      </w:r>
      <w:r w:rsidR="00A73D84" w:rsidRPr="00A73D84">
        <w:t xml:space="preserve"> modelling</w:t>
      </w:r>
    </w:p>
    <w:p w14:paraId="247D1807" w14:textId="59E5BD98" w:rsidR="00A73D84" w:rsidRPr="00A73D84" w:rsidRDefault="00A73D84" w:rsidP="00661BB7">
      <w:pPr>
        <w:pStyle w:val="Heading6"/>
      </w:pPr>
      <w:r w:rsidRPr="00A73D84">
        <w:t>Study 1091319 (</w:t>
      </w:r>
      <w:r w:rsidR="00DF49C5" w:rsidRPr="00A73D84">
        <w:t xml:space="preserve">population </w:t>
      </w:r>
      <w:r w:rsidR="00DF49C5">
        <w:t>pharmacokinetics</w:t>
      </w:r>
      <w:r w:rsidRPr="00A73D84">
        <w:t xml:space="preserve">): population </w:t>
      </w:r>
      <w:r w:rsidR="00DF49C5">
        <w:t>pharmacokinetics</w:t>
      </w:r>
      <w:r w:rsidR="00DF49C5" w:rsidRPr="00A73D84">
        <w:t xml:space="preserve"> </w:t>
      </w:r>
      <w:r w:rsidRPr="00A73D84">
        <w:t>modelling in NONMEM</w:t>
      </w:r>
      <w:r w:rsidR="00DF49C5">
        <w:t>;</w:t>
      </w:r>
      <w:r w:rsidR="00F46E5A">
        <w:rPr>
          <w:rStyle w:val="FootnoteReference"/>
        </w:rPr>
        <w:footnoteReference w:id="18"/>
      </w:r>
    </w:p>
    <w:p w14:paraId="6E0F9217" w14:textId="336B37C0" w:rsidR="00A73D84" w:rsidRPr="00A73D84" w:rsidRDefault="00DF49C5" w:rsidP="00A73D84">
      <w:r w:rsidRPr="00A73D84">
        <w:t>Study 1091319</w:t>
      </w:r>
      <w:r w:rsidR="00070635">
        <w:t xml:space="preserve"> </w:t>
      </w:r>
      <w:r w:rsidR="00FA045C">
        <w:t xml:space="preserve">included plasma concentration </w:t>
      </w:r>
      <w:r w:rsidR="00A73D84" w:rsidRPr="00A73D84">
        <w:t xml:space="preserve">time data from </w:t>
      </w:r>
      <w:r>
        <w:t>the S</w:t>
      </w:r>
      <w:r w:rsidR="00A73D84" w:rsidRPr="00A73D84">
        <w:t>TART</w:t>
      </w:r>
      <w:r w:rsidR="004E146F">
        <w:t>RK-1, STARTRK</w:t>
      </w:r>
      <w:r w:rsidR="00380930">
        <w:noBreakHyphen/>
      </w:r>
      <w:r w:rsidR="004E146F">
        <w:t>2 and STARTRK-NG</w:t>
      </w:r>
      <w:r w:rsidR="0094772D">
        <w:t xml:space="preserve"> trials</w:t>
      </w:r>
      <w:r w:rsidR="004E146F">
        <w:t>.</w:t>
      </w:r>
    </w:p>
    <w:p w14:paraId="66647C7B" w14:textId="56538A0E" w:rsidR="00A73D84" w:rsidRPr="00A73D84" w:rsidRDefault="00A73D84" w:rsidP="00A73D84">
      <w:r w:rsidRPr="00A73D84">
        <w:t xml:space="preserve">The modelling software, techniques, selection criteria and validation </w:t>
      </w:r>
      <w:r w:rsidR="00BB62DA">
        <w:t xml:space="preserve">method were appropriate. </w:t>
      </w:r>
      <w:r w:rsidRPr="00A73D84">
        <w:t xml:space="preserve">Entrectinib conformed to a one-compartment model with first order elimination. Clearance and volume of distribution were </w:t>
      </w:r>
      <w:proofErr w:type="spellStart"/>
      <w:r w:rsidRPr="00A73D84">
        <w:t>allometrically</w:t>
      </w:r>
      <w:proofErr w:type="spellEnd"/>
      <w:r w:rsidRPr="00A73D84">
        <w:t xml:space="preserve"> scaled with exponents</w:t>
      </w:r>
      <w:r w:rsidR="00BB62DA">
        <w:t xml:space="preserve"> of 0.75 and 1.0, respectively.</w:t>
      </w:r>
      <w:r w:rsidRPr="00A73D84">
        <w:t xml:space="preserve"> No clinically significant covariates were identified, although there was a covariate effect for the F1 formulation on bioavailability.</w:t>
      </w:r>
    </w:p>
    <w:p w14:paraId="38086BE7" w14:textId="77777777" w:rsidR="00A73D84" w:rsidRPr="00A73D84" w:rsidRDefault="00A73D84" w:rsidP="00A73D84">
      <w:r w:rsidRPr="00A73D84">
        <w:t>The effect of hepatic function was not explored and the sample size was limited for many covariates. The model did not include a maturation function (limiting ability to estimate doses in infants and young children) and did not account for ontogeny of CYP3A4.</w:t>
      </w:r>
    </w:p>
    <w:p w14:paraId="36204201" w14:textId="286F8683" w:rsidR="00A73D84" w:rsidRPr="00A73D84" w:rsidRDefault="00A73D84" w:rsidP="00A73D84">
      <w:r w:rsidRPr="00A73D84">
        <w:lastRenderedPageBreak/>
        <w:t>The M5 component of the model was limited, but suitable for simulating plasma concentration time curves for M5 with the 600 mg dose and deriving</w:t>
      </w:r>
      <w:r w:rsidR="004E146F">
        <w:t xml:space="preserve"> secondary exposure parameters.</w:t>
      </w:r>
    </w:p>
    <w:p w14:paraId="0E90E5FA" w14:textId="23DC0876" w:rsidR="00A73D84" w:rsidRPr="00A73D84" w:rsidRDefault="00FA045C" w:rsidP="00A73D84">
      <w:r>
        <w:t xml:space="preserve">The exposure </w:t>
      </w:r>
      <w:r w:rsidR="00A73D84" w:rsidRPr="00A73D84">
        <w:t>response analyses were plausible a</w:t>
      </w:r>
      <w:r>
        <w:t xml:space="preserve">nd did not indicate an exposure </w:t>
      </w:r>
      <w:r w:rsidR="00A73D84" w:rsidRPr="00A73D84">
        <w:t xml:space="preserve">response relationship for efficacy at the proposed dosage. The risk of serious and higher </w:t>
      </w:r>
      <w:r w:rsidR="00F40A0C">
        <w:t>G</w:t>
      </w:r>
      <w:r w:rsidR="00F40A0C" w:rsidRPr="00A56ACE">
        <w:t>rade</w:t>
      </w:r>
      <w:r w:rsidR="00A73D84" w:rsidRPr="00A73D84">
        <w:t xml:space="preserve"> (3+) adverse events appears to be correlated with increasing exposure, particularly with patients who received high exposure with da</w:t>
      </w:r>
      <w:r w:rsidR="00BB62DA">
        <w:t>ily doses of about 800 mg or higher.</w:t>
      </w:r>
    </w:p>
    <w:p w14:paraId="67D3517A" w14:textId="443A9FC0" w:rsidR="00A73D84" w:rsidRPr="00A73D84" w:rsidRDefault="00A73D84" w:rsidP="00A73D84">
      <w:r w:rsidRPr="00A73D84">
        <w:t>The data was not able to suppor</w:t>
      </w:r>
      <w:r w:rsidR="00FA045C">
        <w:t xml:space="preserve">t a concentration </w:t>
      </w:r>
      <w:r w:rsidR="00FF75BA">
        <w:t>QT analysis.</w:t>
      </w:r>
    </w:p>
    <w:p w14:paraId="30E9B539" w14:textId="6FDAE87A" w:rsidR="00A73D84" w:rsidRPr="00A73D84" w:rsidRDefault="00A73D84" w:rsidP="00A73D84">
      <w:r w:rsidRPr="00A73D84">
        <w:t>There were limited PK data from Study RXDX-101-03 (conducted in children and adolescents) and these data i</w:t>
      </w:r>
      <w:r w:rsidR="00FF75BA">
        <w:t>ndicated dose proportionality.</w:t>
      </w:r>
    </w:p>
    <w:p w14:paraId="10DA27DF" w14:textId="3FE8B3B1" w:rsidR="00A73D84" w:rsidRPr="00A73D84" w:rsidRDefault="00A73D84" w:rsidP="00661BB7">
      <w:pPr>
        <w:pStyle w:val="Heading6"/>
      </w:pPr>
      <w:r w:rsidRPr="00A73D84">
        <w:t>Study 1091111 (</w:t>
      </w:r>
      <w:r w:rsidR="00DF49C5">
        <w:t>p</w:t>
      </w:r>
      <w:r w:rsidR="00DF49C5" w:rsidRPr="00DF49C5">
        <w:t>hysiologically-based pharmacokinetics</w:t>
      </w:r>
      <w:r w:rsidRPr="00A73D84">
        <w:t xml:space="preserve">): physiologically based absorption modelling in </w:t>
      </w:r>
      <w:proofErr w:type="spellStart"/>
      <w:r w:rsidRPr="00A73D84">
        <w:t>GastroPlus</w:t>
      </w:r>
      <w:proofErr w:type="spellEnd"/>
    </w:p>
    <w:p w14:paraId="1C385986" w14:textId="1330D14A" w:rsidR="00A73D84" w:rsidRPr="00A73D84" w:rsidRDefault="00A73D84" w:rsidP="00A73D84">
      <w:r w:rsidRPr="00A73D84">
        <w:t>This stud</w:t>
      </w:r>
      <w:r w:rsidR="00FA045C">
        <w:t xml:space="preserve">y included plasma concentration </w:t>
      </w:r>
      <w:r w:rsidRPr="00A73D84">
        <w:t>time data from:</w:t>
      </w:r>
    </w:p>
    <w:p w14:paraId="38CF3668" w14:textId="0B48AA5E" w:rsidR="00A73D84" w:rsidRPr="00A73D84" w:rsidRDefault="00A73D84" w:rsidP="001F3F8C">
      <w:pPr>
        <w:pStyle w:val="ListBullet"/>
      </w:pPr>
      <w:r w:rsidRPr="00A73D84">
        <w:t xml:space="preserve">Study RXDX-101-05 for a formulation with </w:t>
      </w:r>
      <w:proofErr w:type="spellStart"/>
      <w:r w:rsidRPr="00A73D84">
        <w:t>acidulant</w:t>
      </w:r>
      <w:proofErr w:type="spellEnd"/>
      <w:r w:rsidRPr="00A73D84">
        <w:t xml:space="preserve"> in the fasted state</w:t>
      </w:r>
    </w:p>
    <w:p w14:paraId="00670DA0" w14:textId="4F6A751D" w:rsidR="00A73D84" w:rsidRPr="00A73D84" w:rsidRDefault="00A73D84" w:rsidP="001F3F8C">
      <w:pPr>
        <w:pStyle w:val="ListBullet"/>
      </w:pPr>
      <w:r w:rsidRPr="00A73D84">
        <w:t>Study RXDX-101-08 for a 600 mg dose in the fasted and fed states.</w:t>
      </w:r>
    </w:p>
    <w:p w14:paraId="0C825E70" w14:textId="04749472" w:rsidR="00A73D84" w:rsidRPr="00A73D84" w:rsidRDefault="00A73D84" w:rsidP="001F3F8C">
      <w:pPr>
        <w:pStyle w:val="ListBullet"/>
      </w:pPr>
      <w:r w:rsidRPr="00A73D84">
        <w:t>Study RXDX-101-09 for a 600 mg F06 dose with PPI</w:t>
      </w:r>
    </w:p>
    <w:p w14:paraId="006DA1B8" w14:textId="16FEB4BB" w:rsidR="00A73D84" w:rsidRPr="00A73D84" w:rsidRDefault="00A73D84" w:rsidP="001F3F8C">
      <w:pPr>
        <w:pStyle w:val="ListBullet"/>
      </w:pPr>
      <w:r w:rsidRPr="00A73D84">
        <w:t>Study CA14707 for 800 mg F2A in the fasted and fed states with and without PPI</w:t>
      </w:r>
    </w:p>
    <w:p w14:paraId="08E1C616" w14:textId="042AAE34" w:rsidR="00A73D84" w:rsidRPr="00A73D84" w:rsidRDefault="00A73D84" w:rsidP="001F3F8C">
      <w:pPr>
        <w:pStyle w:val="ListBullet"/>
      </w:pPr>
      <w:r w:rsidRPr="00A73D84">
        <w:t xml:space="preserve">Study CA14707 for the F1 formulation (without </w:t>
      </w:r>
      <w:proofErr w:type="spellStart"/>
      <w:r w:rsidRPr="00A73D84">
        <w:t>acidulant</w:t>
      </w:r>
      <w:proofErr w:type="spellEnd"/>
      <w:r w:rsidRPr="00A73D84">
        <w:t>) with PPI, fasted and fed</w:t>
      </w:r>
    </w:p>
    <w:p w14:paraId="5878F1B1" w14:textId="27F50B25" w:rsidR="00A73D84" w:rsidRPr="00A73D84" w:rsidRDefault="00A73D84" w:rsidP="001F3F8C">
      <w:pPr>
        <w:pStyle w:val="ListBullet"/>
      </w:pPr>
      <w:r w:rsidRPr="00A73D84">
        <w:t xml:space="preserve">Study RXDX-101-12 for </w:t>
      </w:r>
      <w:proofErr w:type="spellStart"/>
      <w:r w:rsidRPr="00A73D84">
        <w:t>itraconazole</w:t>
      </w:r>
      <w:proofErr w:type="spellEnd"/>
      <w:r w:rsidRPr="00A73D84">
        <w:t xml:space="preserve"> effect</w:t>
      </w:r>
    </w:p>
    <w:p w14:paraId="32DCFE7A" w14:textId="5F89A6A8" w:rsidR="00A73D84" w:rsidRPr="00A73D84" w:rsidRDefault="00A73D84" w:rsidP="001F3F8C">
      <w:pPr>
        <w:pStyle w:val="ListBullet"/>
      </w:pPr>
      <w:r w:rsidRPr="00A73D84">
        <w:t>Study RXDX-101-03 for paediatric patients aged 4 to 20 years</w:t>
      </w:r>
    </w:p>
    <w:p w14:paraId="631B65D6" w14:textId="54305229" w:rsidR="00A73D84" w:rsidRPr="00A73D84" w:rsidRDefault="00A73D84" w:rsidP="00A73D84">
      <w:r w:rsidRPr="00A73D84">
        <w:t>The recommended paediatric dose regimen based on the simula</w:t>
      </w:r>
      <w:r w:rsidR="002C5CF2">
        <w:t>tion in this study was 300</w:t>
      </w:r>
      <w:r w:rsidR="00380930">
        <w:t> </w:t>
      </w:r>
      <w:r w:rsidR="002C5CF2">
        <w:t>mg/</w:t>
      </w:r>
      <w:r w:rsidR="002C5CF2" w:rsidRPr="00A73D84">
        <w:t>m</w:t>
      </w:r>
      <w:r w:rsidR="002C5CF2" w:rsidRPr="002C5CF2">
        <w:rPr>
          <w:vertAlign w:val="superscript"/>
        </w:rPr>
        <w:t>2</w:t>
      </w:r>
      <w:r w:rsidRPr="00A73D84">
        <w:t xml:space="preserve"> for children weighing 15 kg o</w:t>
      </w:r>
      <w:r w:rsidR="00BB62DA">
        <w:t>r more.</w:t>
      </w:r>
    </w:p>
    <w:p w14:paraId="2D1EA294" w14:textId="04F413C8" w:rsidR="00A73D84" w:rsidRPr="00A73D84" w:rsidRDefault="00A73D84" w:rsidP="00A73D84">
      <w:r w:rsidRPr="00A73D84">
        <w:t xml:space="preserve">The simulations are plausible and analysis was conducted according to best practice and using all the available data. They therefore represent the best available prediction for dose in </w:t>
      </w:r>
      <w:r w:rsidR="00BB62DA">
        <w:t xml:space="preserve">patients below 4 years of age. </w:t>
      </w:r>
      <w:r w:rsidRPr="00A73D84">
        <w:t>However, the reliance of the simulation on untested assumptions means the predictions alone are not sufficient to support dosing in this population, and require con</w:t>
      </w:r>
      <w:r w:rsidR="00BB62DA">
        <w:t>firmation in a clinical study.</w:t>
      </w:r>
    </w:p>
    <w:p w14:paraId="0B4FC775" w14:textId="454D910C" w:rsidR="00A73D84" w:rsidRPr="00A73D84" w:rsidRDefault="00A73D84" w:rsidP="00661BB7">
      <w:pPr>
        <w:pStyle w:val="Heading6"/>
      </w:pPr>
      <w:r w:rsidRPr="00A73D84">
        <w:t>Study 1091399 (</w:t>
      </w:r>
      <w:r w:rsidR="00DF49C5">
        <w:t>physiologically-based pharmacokinetics</w:t>
      </w:r>
      <w:r w:rsidRPr="00A73D84">
        <w:t xml:space="preserve">): physiologically based CYP3A4 modelling in </w:t>
      </w:r>
      <w:proofErr w:type="spellStart"/>
      <w:r w:rsidRPr="00A73D84">
        <w:t>Simcyp</w:t>
      </w:r>
      <w:proofErr w:type="spellEnd"/>
      <w:r w:rsidRPr="00A73D84">
        <w:t xml:space="preserve"> and paediatric dose recommendation</w:t>
      </w:r>
    </w:p>
    <w:p w14:paraId="0EA3961E" w14:textId="71FF2EC9" w:rsidR="00A73D84" w:rsidRPr="00A73D84" w:rsidRDefault="00A73D84" w:rsidP="00A73D84">
      <w:r w:rsidRPr="00A73D84">
        <w:t xml:space="preserve">The </w:t>
      </w:r>
      <w:proofErr w:type="spellStart"/>
      <w:r w:rsidRPr="00A73D84">
        <w:t>SimCyp</w:t>
      </w:r>
      <w:proofErr w:type="spellEnd"/>
      <w:r w:rsidRPr="00A73D84">
        <w:t xml:space="preserve"> model was developed following the </w:t>
      </w:r>
      <w:proofErr w:type="spellStart"/>
      <w:r w:rsidRPr="00A73D84">
        <w:t>GastroPlus</w:t>
      </w:r>
      <w:proofErr w:type="spellEnd"/>
      <w:r w:rsidRPr="00A73D84">
        <w:t xml:space="preserve"> analysis (</w:t>
      </w:r>
      <w:r w:rsidR="008168ED">
        <w:t>Study</w:t>
      </w:r>
      <w:r w:rsidRPr="00A73D84">
        <w:t xml:space="preserve"> 1091111) and utilised </w:t>
      </w:r>
      <w:r w:rsidRPr="00661BB7">
        <w:rPr>
          <w:i/>
        </w:rPr>
        <w:t>in</w:t>
      </w:r>
      <w:r w:rsidR="00DF49C5" w:rsidRPr="00661BB7">
        <w:rPr>
          <w:i/>
        </w:rPr>
        <w:t xml:space="preserve"> </w:t>
      </w:r>
      <w:r w:rsidRPr="00661BB7">
        <w:rPr>
          <w:i/>
        </w:rPr>
        <w:t>vitro</w:t>
      </w:r>
      <w:r w:rsidRPr="00A73D84">
        <w:t xml:space="preserve"> data, in addition to data from the following clinical studies:</w:t>
      </w:r>
    </w:p>
    <w:p w14:paraId="34C2C2BC" w14:textId="7D2D85B0" w:rsidR="00A73D84" w:rsidRPr="00A73D84" w:rsidRDefault="00A73D84" w:rsidP="001F3F8C">
      <w:pPr>
        <w:pStyle w:val="ListBullet"/>
      </w:pPr>
      <w:r w:rsidRPr="00A73D84">
        <w:t>Study RXDX-101-12 (</w:t>
      </w:r>
      <w:proofErr w:type="spellStart"/>
      <w:r w:rsidRPr="00A73D84">
        <w:t>itraconazole</w:t>
      </w:r>
      <w:proofErr w:type="spellEnd"/>
      <w:r w:rsidRPr="00A73D84">
        <w:t xml:space="preserve"> and </w:t>
      </w:r>
      <w:proofErr w:type="spellStart"/>
      <w:r w:rsidRPr="00A73D84">
        <w:t>rifampin</w:t>
      </w:r>
      <w:proofErr w:type="spellEnd"/>
      <w:r w:rsidRPr="00A73D84">
        <w:t xml:space="preserve"> DDI) in healthy volunteers</w:t>
      </w:r>
    </w:p>
    <w:p w14:paraId="2EB564DD" w14:textId="6FF5CA1D" w:rsidR="00A73D84" w:rsidRPr="00A73D84" w:rsidRDefault="00A73D84" w:rsidP="001F3F8C">
      <w:pPr>
        <w:pStyle w:val="ListBullet"/>
      </w:pPr>
      <w:r w:rsidRPr="00A73D84">
        <w:t>Study RXDX-101-14 (</w:t>
      </w:r>
      <w:r w:rsidR="00380930">
        <w:t>m</w:t>
      </w:r>
      <w:r w:rsidRPr="00A73D84">
        <w:t xml:space="preserve">idazolam DDI) </w:t>
      </w:r>
      <w:r w:rsidR="00380930">
        <w:t>in</w:t>
      </w:r>
      <w:r w:rsidRPr="00A73D84">
        <w:t xml:space="preserve"> solid tumour patients</w:t>
      </w:r>
    </w:p>
    <w:p w14:paraId="7FEB3F75" w14:textId="72292C54" w:rsidR="00A73D84" w:rsidRPr="00A73D84" w:rsidRDefault="00A73D84" w:rsidP="001F3F8C">
      <w:pPr>
        <w:pStyle w:val="ListBullet"/>
      </w:pPr>
      <w:r w:rsidRPr="00A73D84">
        <w:t>Study RXDX-101-04 in healthy volunteers</w:t>
      </w:r>
    </w:p>
    <w:p w14:paraId="7EEE6F26" w14:textId="2BC0796F" w:rsidR="00A73D84" w:rsidRPr="00A73D84" w:rsidRDefault="00A73D84" w:rsidP="001F3F8C">
      <w:pPr>
        <w:pStyle w:val="ListBullet"/>
      </w:pPr>
      <w:r w:rsidRPr="00A73D84">
        <w:t>Study RXDX-101-01 (open-label Phase I/</w:t>
      </w:r>
      <w:proofErr w:type="spellStart"/>
      <w:r w:rsidRPr="00A73D84">
        <w:t>Ib</w:t>
      </w:r>
      <w:proofErr w:type="spellEnd"/>
      <w:r w:rsidRPr="00A73D84">
        <w:t>, F2A formulation part) in patients</w:t>
      </w:r>
    </w:p>
    <w:p w14:paraId="1C2B0A8E" w14:textId="1A219904" w:rsidR="00A73D84" w:rsidRPr="00A73D84" w:rsidRDefault="00A73D84" w:rsidP="001F3F8C">
      <w:pPr>
        <w:pStyle w:val="ListBullet"/>
      </w:pPr>
      <w:r w:rsidRPr="00A73D84">
        <w:t>Study RXDX-101-02 (open-label Global Phase II, F2A formulation) in patients</w:t>
      </w:r>
    </w:p>
    <w:p w14:paraId="3A40A5E7" w14:textId="0295E29D" w:rsidR="00A73D84" w:rsidRPr="00A73D84" w:rsidRDefault="00A73D84" w:rsidP="001F3F8C">
      <w:pPr>
        <w:pStyle w:val="ListBullet"/>
      </w:pPr>
      <w:r w:rsidRPr="00A73D84">
        <w:t>Study RXDX-101-03 (open-label Phase I/</w:t>
      </w:r>
      <w:proofErr w:type="spellStart"/>
      <w:r w:rsidRPr="00A73D84">
        <w:t>Ib</w:t>
      </w:r>
      <w:proofErr w:type="spellEnd"/>
      <w:r w:rsidRPr="00A73D84">
        <w:t>) in children and adolescents with solid tumours</w:t>
      </w:r>
    </w:p>
    <w:p w14:paraId="5D297139" w14:textId="5D7C4006" w:rsidR="00A73D84" w:rsidRPr="00A73D84" w:rsidRDefault="00A73D84" w:rsidP="00A73D84">
      <w:r w:rsidRPr="00A73D84">
        <w:t xml:space="preserve">No clinically significant effect of entrectinib on ethinylestradiol is predicted, with a modelled AUC ratio of 1.13 and </w:t>
      </w:r>
      <w:proofErr w:type="spellStart"/>
      <w:r w:rsidRPr="00A73D84">
        <w:t>C</w:t>
      </w:r>
      <w:r w:rsidRPr="002C6712">
        <w:rPr>
          <w:vertAlign w:val="subscript"/>
        </w:rPr>
        <w:t>max</w:t>
      </w:r>
      <w:proofErr w:type="spellEnd"/>
      <w:r w:rsidRPr="00A73D84">
        <w:t xml:space="preserve"> ratio of 1.12. The simulated effect of moderate CYP3A4 inhibitors (erythromycin) on entrectinib is to increase AUC around 3 fold, with a </w:t>
      </w:r>
      <w:proofErr w:type="spellStart"/>
      <w:r w:rsidRPr="00A73D84">
        <w:t>C</w:t>
      </w:r>
      <w:r w:rsidRPr="002C6712">
        <w:rPr>
          <w:vertAlign w:val="subscript"/>
        </w:rPr>
        <w:t>max</w:t>
      </w:r>
      <w:proofErr w:type="spellEnd"/>
      <w:r w:rsidRPr="00A73D84">
        <w:t xml:space="preserve"> ratio of 1.77. The predictions for DDI with moderate CYP3A4 inhibitors and on the oral contraceptive pill are</w:t>
      </w:r>
      <w:r w:rsidR="00BB62DA">
        <w:t xml:space="preserve"> plausible and well supported.</w:t>
      </w:r>
    </w:p>
    <w:p w14:paraId="19E97D8A" w14:textId="21F95BFE" w:rsidR="00A73D84" w:rsidRPr="00A73D84" w:rsidRDefault="00A73D84" w:rsidP="00A73D84">
      <w:r w:rsidRPr="00A73D84">
        <w:lastRenderedPageBreak/>
        <w:t>The recommended paediatric dose regimen based on the simula</w:t>
      </w:r>
      <w:r w:rsidR="002C5CF2">
        <w:t>tion in this study was 300</w:t>
      </w:r>
      <w:r w:rsidR="00380930">
        <w:t> </w:t>
      </w:r>
      <w:r w:rsidR="002C5CF2">
        <w:t>mg/</w:t>
      </w:r>
      <w:r w:rsidR="002C5CF2" w:rsidRPr="00A73D84">
        <w:t>m</w:t>
      </w:r>
      <w:r w:rsidR="002C5CF2" w:rsidRPr="002C5CF2">
        <w:rPr>
          <w:vertAlign w:val="superscript"/>
        </w:rPr>
        <w:t>2</w:t>
      </w:r>
      <w:r w:rsidRPr="00A73D84">
        <w:t xml:space="preserve"> for children age</w:t>
      </w:r>
      <w:r w:rsidR="002C5CF2">
        <w:t>d 6 months to 4 years; 250 mg/</w:t>
      </w:r>
      <w:r w:rsidR="002C5CF2" w:rsidRPr="00A73D84">
        <w:t>m</w:t>
      </w:r>
      <w:r w:rsidR="002C5CF2" w:rsidRPr="002C5CF2">
        <w:rPr>
          <w:vertAlign w:val="superscript"/>
        </w:rPr>
        <w:t>2</w:t>
      </w:r>
      <w:r w:rsidRPr="00A73D84">
        <w:t xml:space="preserve"> for children a</w:t>
      </w:r>
      <w:r w:rsidR="002C5CF2">
        <w:t>ged 1 to 6</w:t>
      </w:r>
      <w:r w:rsidR="00380930">
        <w:t> </w:t>
      </w:r>
      <w:r w:rsidR="002C5CF2">
        <w:t>month</w:t>
      </w:r>
      <w:r w:rsidR="00380930">
        <w:t>s</w:t>
      </w:r>
      <w:r w:rsidR="002C5CF2">
        <w:t>); and 150 mg/</w:t>
      </w:r>
      <w:r w:rsidR="002C5CF2" w:rsidRPr="002C5CF2">
        <w:t xml:space="preserve"> </w:t>
      </w:r>
      <w:r w:rsidR="002C5CF2" w:rsidRPr="00A73D84">
        <w:t>m</w:t>
      </w:r>
      <w:r w:rsidR="002C5CF2" w:rsidRPr="002C5CF2">
        <w:rPr>
          <w:vertAlign w:val="superscript"/>
        </w:rPr>
        <w:t>2</w:t>
      </w:r>
      <w:r w:rsidRPr="00A73D84">
        <w:t xml:space="preserve"> for children aged from 0 to 1 months. The predictions for dosing for patients below 4 years of age are based on the best available evidence but require clinical trial confirmation with observed data from the age group.</w:t>
      </w:r>
    </w:p>
    <w:p w14:paraId="2D81C4D7" w14:textId="53B41AAA" w:rsidR="00A73D84" w:rsidRPr="00A73D84" w:rsidRDefault="00A73D84" w:rsidP="00661BB7">
      <w:pPr>
        <w:pStyle w:val="Heading6"/>
      </w:pPr>
      <w:r w:rsidRPr="00A73D84">
        <w:t xml:space="preserve">Paediatric dosing and </w:t>
      </w:r>
      <w:r w:rsidR="00DF49C5">
        <w:t>population pharmacokinetics</w:t>
      </w:r>
    </w:p>
    <w:p w14:paraId="66693E4D" w14:textId="69B592E7" w:rsidR="00A73D84" w:rsidRPr="00A73D84" w:rsidRDefault="00A73D84" w:rsidP="00A73D84">
      <w:r w:rsidRPr="00A73D84">
        <w:t>The TGA population pharmacokinetics working group (PPK-WG) reviewed the PPK and PBPK modelling submitted by the sponsor, as well as the modelling performed by the FDA, as describ</w:t>
      </w:r>
      <w:r w:rsidR="00FF75BA">
        <w:t>ed in the FDA review document.</w:t>
      </w:r>
      <w:r w:rsidR="00FF75BA">
        <w:fldChar w:fldCharType="begin"/>
      </w:r>
      <w:r w:rsidR="00FF75BA">
        <w:instrText xml:space="preserve"> NOTEREF _Ref50554541 \f \h </w:instrText>
      </w:r>
      <w:r w:rsidR="00FF75BA">
        <w:fldChar w:fldCharType="separate"/>
      </w:r>
      <w:r w:rsidR="005743D8" w:rsidRPr="005743D8">
        <w:rPr>
          <w:rStyle w:val="FootnoteReference"/>
        </w:rPr>
        <w:t>12</w:t>
      </w:r>
      <w:r w:rsidR="00FF75BA">
        <w:fldChar w:fldCharType="end"/>
      </w:r>
    </w:p>
    <w:p w14:paraId="709FF108" w14:textId="69F523BA" w:rsidR="00A73D84" w:rsidRPr="00A73D84" w:rsidRDefault="00A73D84" w:rsidP="00A73D84">
      <w:r w:rsidRPr="000C761A">
        <w:rPr>
          <w:i/>
        </w:rPr>
        <w:t>Sponsor modelling</w:t>
      </w:r>
      <w:r w:rsidR="00380930">
        <w:rPr>
          <w:i/>
        </w:rPr>
        <w:t>:</w:t>
      </w:r>
      <w:r w:rsidR="00380930">
        <w:t xml:space="preserve"> </w:t>
      </w:r>
      <w:r w:rsidR="006D5B63">
        <w:t>The s</w:t>
      </w:r>
      <w:r w:rsidRPr="00A73D84">
        <w:t xml:space="preserve">ponsor simulated dose regimens for paediatric patients in </w:t>
      </w:r>
      <w:r w:rsidR="008168ED">
        <w:t>Study</w:t>
      </w:r>
      <w:r w:rsidRPr="00A73D84">
        <w:t xml:space="preserve"> 1091319 (PPK) and </w:t>
      </w:r>
      <w:r w:rsidR="000E000D">
        <w:t>S</w:t>
      </w:r>
      <w:r w:rsidRPr="00A73D84">
        <w:t>tudy 1091399 (PBPK), and made dos</w:t>
      </w:r>
      <w:r w:rsidR="002C5CF2">
        <w:t>ing recommendations of 300 mg/</w:t>
      </w:r>
      <w:r w:rsidR="002C5CF2" w:rsidRPr="00A73D84">
        <w:t>m</w:t>
      </w:r>
      <w:r w:rsidR="002C5CF2" w:rsidRPr="002C5CF2">
        <w:rPr>
          <w:vertAlign w:val="superscript"/>
        </w:rPr>
        <w:t>2</w:t>
      </w:r>
      <w:r w:rsidRPr="00A73D84">
        <w:t xml:space="preserve"> based</w:t>
      </w:r>
      <w:r w:rsidR="006D5B63">
        <w:t xml:space="preserve"> on the former.</w:t>
      </w:r>
      <w:r w:rsidRPr="00A73D84">
        <w:t xml:space="preserve"> Fu</w:t>
      </w:r>
      <w:r w:rsidR="006D5B63">
        <w:t>rther PBPK simulations led the s</w:t>
      </w:r>
      <w:r w:rsidRPr="00A73D84">
        <w:t>ponsor to develop the fixed dosi</w:t>
      </w:r>
      <w:r>
        <w:t>ng strategy outlined in Table 7</w:t>
      </w:r>
      <w:r w:rsidRPr="00A73D84">
        <w:t>, which has not been tested in a clinical study. Paediatric patients treated in the STA</w:t>
      </w:r>
      <w:r w:rsidR="00746CED">
        <w:t xml:space="preserve">RTRK-NG trial (see section, safety, Study </w:t>
      </w:r>
      <w:r w:rsidR="00BB62DA">
        <w:t>RXDX-101-03/CO40778</w:t>
      </w:r>
      <w:r w:rsidR="00746CED">
        <w:t xml:space="preserve"> (STARTRK-NG trial)</w:t>
      </w:r>
      <w:r w:rsidR="00746CED" w:rsidRPr="00BB62DA">
        <w:t xml:space="preserve"> </w:t>
      </w:r>
      <w:r w:rsidR="00BB62DA" w:rsidRPr="00BB62DA">
        <w:t>description</w:t>
      </w:r>
      <w:r w:rsidRPr="00A73D84">
        <w:t>) were treat</w:t>
      </w:r>
      <w:r w:rsidR="002C5CF2">
        <w:t>ed at initial doses of 250 mg/</w:t>
      </w:r>
      <w:r w:rsidR="002C5CF2" w:rsidRPr="00A73D84">
        <w:t>m</w:t>
      </w:r>
      <w:r w:rsidR="002C5CF2" w:rsidRPr="002C5CF2">
        <w:rPr>
          <w:vertAlign w:val="superscript"/>
        </w:rPr>
        <w:t>2</w:t>
      </w:r>
      <w:r w:rsidR="002C5CF2">
        <w:t xml:space="preserve"> (n</w:t>
      </w:r>
      <w:r w:rsidR="00F2463B">
        <w:t xml:space="preserve"> </w:t>
      </w:r>
      <w:r w:rsidR="002C5CF2">
        <w:t>=</w:t>
      </w:r>
      <w:r w:rsidR="00F2463B">
        <w:t xml:space="preserve"> </w:t>
      </w:r>
      <w:r w:rsidR="002C5CF2">
        <w:t>3), 400</w:t>
      </w:r>
      <w:r w:rsidR="00380930">
        <w:t> </w:t>
      </w:r>
      <w:r w:rsidR="002C5CF2">
        <w:t>mg/</w:t>
      </w:r>
      <w:r w:rsidR="002C5CF2" w:rsidRPr="00A73D84">
        <w:t>m</w:t>
      </w:r>
      <w:r w:rsidR="002C5CF2" w:rsidRPr="002C5CF2">
        <w:rPr>
          <w:vertAlign w:val="superscript"/>
        </w:rPr>
        <w:t>2</w:t>
      </w:r>
      <w:r w:rsidR="002C5CF2">
        <w:t xml:space="preserve"> (n</w:t>
      </w:r>
      <w:r w:rsidR="00F2463B">
        <w:t xml:space="preserve"> </w:t>
      </w:r>
      <w:r w:rsidR="002C5CF2">
        <w:t>=</w:t>
      </w:r>
      <w:r w:rsidR="00F2463B">
        <w:t xml:space="preserve"> </w:t>
      </w:r>
      <w:r w:rsidR="002C5CF2">
        <w:t>3), 550 mg/</w:t>
      </w:r>
      <w:r w:rsidR="002C5CF2" w:rsidRPr="00A73D84">
        <w:t>m</w:t>
      </w:r>
      <w:r w:rsidR="002C5CF2" w:rsidRPr="002C5CF2">
        <w:rPr>
          <w:vertAlign w:val="superscript"/>
        </w:rPr>
        <w:t>2</w:t>
      </w:r>
      <w:r w:rsidR="002C5CF2">
        <w:t xml:space="preserve"> (n</w:t>
      </w:r>
      <w:r w:rsidR="00F2463B">
        <w:t xml:space="preserve"> </w:t>
      </w:r>
      <w:r w:rsidR="002C5CF2">
        <w:t>=</w:t>
      </w:r>
      <w:r w:rsidR="00F2463B">
        <w:t xml:space="preserve"> </w:t>
      </w:r>
      <w:r w:rsidR="002C5CF2">
        <w:t>7), or 750 mg/</w:t>
      </w:r>
      <w:r w:rsidR="002C5CF2" w:rsidRPr="00A73D84">
        <w:t>m</w:t>
      </w:r>
      <w:r w:rsidR="002C5CF2" w:rsidRPr="002C5CF2">
        <w:rPr>
          <w:vertAlign w:val="superscript"/>
        </w:rPr>
        <w:t>2</w:t>
      </w:r>
      <w:r w:rsidRPr="00A73D84">
        <w:t xml:space="preserve"> (n</w:t>
      </w:r>
      <w:r w:rsidR="00F2463B">
        <w:t xml:space="preserve"> </w:t>
      </w:r>
      <w:r w:rsidRPr="00A73D84">
        <w:t>=</w:t>
      </w:r>
      <w:r w:rsidR="00F2463B">
        <w:t xml:space="preserve"> </w:t>
      </w:r>
      <w:r w:rsidRPr="00A73D84">
        <w:t>3).</w:t>
      </w:r>
    </w:p>
    <w:p w14:paraId="42EEB4B8" w14:textId="20824331" w:rsidR="00A73D84" w:rsidRPr="00A73D84" w:rsidRDefault="00A73D84" w:rsidP="002F69BF">
      <w:pPr>
        <w:pStyle w:val="TableTitle"/>
      </w:pPr>
      <w:r>
        <w:t xml:space="preserve">Table </w:t>
      </w:r>
      <w:fldSimple w:instr=" SEQ Table \* ARABIC ">
        <w:r w:rsidR="009B407B">
          <w:rPr>
            <w:noProof/>
          </w:rPr>
          <w:t>8</w:t>
        </w:r>
      </w:fldSimple>
      <w:r w:rsidR="004779EE">
        <w:rPr>
          <w:noProof/>
        </w:rPr>
        <w:t>:</w:t>
      </w:r>
      <w:r w:rsidR="00431C48">
        <w:t xml:space="preserve"> </w:t>
      </w:r>
      <w:r w:rsidR="004779EE">
        <w:t xml:space="preserve">Body surface area </w:t>
      </w:r>
      <w:r w:rsidRPr="00A73D84">
        <w:t>based dosing categories proposed by the sponsor</w:t>
      </w:r>
    </w:p>
    <w:p w14:paraId="5A97D793" w14:textId="77777777" w:rsidR="00A73D84" w:rsidRPr="00A73D84" w:rsidRDefault="00A73D84" w:rsidP="005D6EA2">
      <w:r w:rsidRPr="00A73D84">
        <w:rPr>
          <w:noProof/>
          <w:lang w:eastAsia="en-AU"/>
        </w:rPr>
        <w:drawing>
          <wp:inline distT="0" distB="0" distL="0" distR="0" wp14:anchorId="7B9E4C16" wp14:editId="25B58528">
            <wp:extent cx="4993005" cy="1701165"/>
            <wp:effectExtent l="0" t="0" r="0" b="0"/>
            <wp:docPr id="1" name="Picture 1" descr="Body surface area based dosing categories propos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3005" cy="1701165"/>
                    </a:xfrm>
                    <a:prstGeom prst="rect">
                      <a:avLst/>
                    </a:prstGeom>
                    <a:noFill/>
                  </pic:spPr>
                </pic:pic>
              </a:graphicData>
            </a:graphic>
          </wp:inline>
        </w:drawing>
      </w:r>
    </w:p>
    <w:p w14:paraId="0E360F5A" w14:textId="77777777" w:rsidR="00A73D84" w:rsidRPr="00A73D84" w:rsidRDefault="00A73D84" w:rsidP="00A73D84">
      <w:r w:rsidRPr="00A73D84">
        <w:t>The proposed PI contains very similar dosing recommendations, with the second dose reduction for category III amended to match that for category II, and for category IV amended to match category V.</w:t>
      </w:r>
    </w:p>
    <w:p w14:paraId="19D6D9AD" w14:textId="4FE90997" w:rsidR="00A73D84" w:rsidRPr="00A73D84" w:rsidRDefault="00380930" w:rsidP="00A73D84">
      <w:r w:rsidRPr="000C761A">
        <w:rPr>
          <w:i/>
        </w:rPr>
        <w:t xml:space="preserve">United States </w:t>
      </w:r>
      <w:r w:rsidR="004779EE" w:rsidRPr="000C761A">
        <w:rPr>
          <w:i/>
        </w:rPr>
        <w:t xml:space="preserve">Food and Drug Administration </w:t>
      </w:r>
      <w:r w:rsidR="00A73D84" w:rsidRPr="000C761A">
        <w:rPr>
          <w:i/>
        </w:rPr>
        <w:t>modelling</w:t>
      </w:r>
      <w:r w:rsidRPr="000C761A">
        <w:rPr>
          <w:i/>
        </w:rPr>
        <w:t>:</w:t>
      </w:r>
      <w:r>
        <w:t xml:space="preserve"> </w:t>
      </w:r>
      <w:r w:rsidR="00A73D84" w:rsidRPr="00A73D84">
        <w:t>The FDA conducted their own independent PPK modelling, and on the basis of that, recommended:</w:t>
      </w:r>
      <w:r w:rsidR="004779EE">
        <w:fldChar w:fldCharType="begin"/>
      </w:r>
      <w:r w:rsidR="004779EE">
        <w:instrText xml:space="preserve"> NOTEREF _Ref53476754 \f \h </w:instrText>
      </w:r>
      <w:r w:rsidR="004779EE">
        <w:fldChar w:fldCharType="separate"/>
      </w:r>
      <w:r w:rsidR="004779EE" w:rsidRPr="00661BB7">
        <w:rPr>
          <w:rStyle w:val="FootnoteReference"/>
        </w:rPr>
        <w:t>12</w:t>
      </w:r>
      <w:r w:rsidR="004779EE">
        <w:fldChar w:fldCharType="end"/>
      </w:r>
    </w:p>
    <w:p w14:paraId="62697C84" w14:textId="77777777" w:rsidR="00A73D84" w:rsidRPr="00A73D84" w:rsidRDefault="00A73D84" w:rsidP="001E1CF4">
      <w:pPr>
        <w:pStyle w:val="ListBullet"/>
      </w:pPr>
      <w:r w:rsidRPr="00A73D84">
        <w:t>For paediatric patients age 12 years and older (adolescents)</w:t>
      </w:r>
    </w:p>
    <w:p w14:paraId="03DAB66A" w14:textId="6B490A18" w:rsidR="00A73D84" w:rsidRPr="00A73D84" w:rsidRDefault="00A73D84" w:rsidP="001E1CF4">
      <w:pPr>
        <w:pStyle w:val="ListBullet2"/>
      </w:pPr>
      <w:r w:rsidRPr="00A73D84">
        <w:t xml:space="preserve">600 mg </w:t>
      </w:r>
      <w:r w:rsidR="00380930">
        <w:t>once a day (</w:t>
      </w:r>
      <w:r w:rsidRPr="00A73D84">
        <w:t>QD</w:t>
      </w:r>
      <w:r w:rsidR="00380930">
        <w:t>)</w:t>
      </w:r>
      <w:r w:rsidR="002C5CF2">
        <w:t xml:space="preserve"> for patients with BSA &gt; 1.50 </w:t>
      </w:r>
      <w:r w:rsidR="002C5CF2" w:rsidRPr="00A73D84">
        <w:t>m</w:t>
      </w:r>
      <w:r w:rsidR="002C5CF2" w:rsidRPr="002C5CF2">
        <w:rPr>
          <w:vertAlign w:val="superscript"/>
        </w:rPr>
        <w:t>2</w:t>
      </w:r>
    </w:p>
    <w:p w14:paraId="7894A78B" w14:textId="3F17AF6E" w:rsidR="00A73D84" w:rsidRPr="00A73D84" w:rsidRDefault="00A73D84" w:rsidP="001E1CF4">
      <w:pPr>
        <w:pStyle w:val="ListBullet2"/>
      </w:pPr>
      <w:r w:rsidRPr="00A73D84">
        <w:t>500 mg QD for patients w</w:t>
      </w:r>
      <w:r w:rsidR="002C5CF2">
        <w:t xml:space="preserve">ith BSA between 1.11 and 1.50 </w:t>
      </w:r>
      <w:r w:rsidR="002C5CF2" w:rsidRPr="00A73D84">
        <w:t>m</w:t>
      </w:r>
      <w:r w:rsidR="002C5CF2" w:rsidRPr="002C5CF2">
        <w:rPr>
          <w:vertAlign w:val="superscript"/>
        </w:rPr>
        <w:t>2</w:t>
      </w:r>
    </w:p>
    <w:p w14:paraId="79EC71AF" w14:textId="2CD9F11E" w:rsidR="00A73D84" w:rsidRPr="00A73D84" w:rsidRDefault="00A73D84" w:rsidP="001E1CF4">
      <w:pPr>
        <w:pStyle w:val="ListBullet2"/>
      </w:pPr>
      <w:r w:rsidRPr="00A73D84">
        <w:t>400 mg QD for patients w</w:t>
      </w:r>
      <w:r w:rsidR="002C5CF2">
        <w:t xml:space="preserve">ith BSA between 0.91 and 1.10 </w:t>
      </w:r>
      <w:r w:rsidR="002C5CF2" w:rsidRPr="00A73D84">
        <w:t>m</w:t>
      </w:r>
      <w:r w:rsidR="002C5CF2" w:rsidRPr="002C5CF2">
        <w:rPr>
          <w:vertAlign w:val="superscript"/>
        </w:rPr>
        <w:t>2</w:t>
      </w:r>
    </w:p>
    <w:p w14:paraId="7ED23FE1" w14:textId="77777777" w:rsidR="00A73D84" w:rsidRPr="00A73D84" w:rsidRDefault="00A73D84" w:rsidP="001E1CF4">
      <w:pPr>
        <w:pStyle w:val="ListBullet"/>
      </w:pPr>
      <w:r w:rsidRPr="00A73D84">
        <w:t>For paediatric patients aged under 12 years</w:t>
      </w:r>
    </w:p>
    <w:p w14:paraId="62E99DF0" w14:textId="2B46E6FC" w:rsidR="00A73D84" w:rsidRPr="00A73D84" w:rsidRDefault="00351F3A" w:rsidP="001E1CF4">
      <w:pPr>
        <w:pStyle w:val="ListBullet2"/>
      </w:pPr>
      <w:r>
        <w:t>‘</w:t>
      </w:r>
      <w:r w:rsidR="00A73D84" w:rsidRPr="00F357A6">
        <w:t>there are insufficient data available to determine a dose with the to-be-marketed formulation that can achieve comparable exposure to adults at the recommended dose of 600 mg QD</w:t>
      </w:r>
      <w:r w:rsidR="00A73D84" w:rsidRPr="00F9338F">
        <w:t>.</w:t>
      </w:r>
      <w:r>
        <w:t>’</w:t>
      </w:r>
    </w:p>
    <w:p w14:paraId="375CDC20" w14:textId="4DCA8775" w:rsidR="00A73D84" w:rsidRPr="00A73D84" w:rsidRDefault="00A73D84" w:rsidP="00A73D84">
      <w:r w:rsidRPr="00A73D84">
        <w:t>The FDA report</w:t>
      </w:r>
      <w:r w:rsidR="00FB2BA7">
        <w:t>;</w:t>
      </w:r>
      <w:r w:rsidR="00CB4BDD">
        <w:fldChar w:fldCharType="begin"/>
      </w:r>
      <w:r w:rsidR="00CB4BDD">
        <w:instrText xml:space="preserve"> NOTEREF _Ref50554541 \f \h </w:instrText>
      </w:r>
      <w:r w:rsidR="00CB4BDD">
        <w:fldChar w:fldCharType="separate"/>
      </w:r>
      <w:r w:rsidR="005743D8" w:rsidRPr="005743D8">
        <w:rPr>
          <w:rStyle w:val="FootnoteReference"/>
        </w:rPr>
        <w:t>12</w:t>
      </w:r>
      <w:r w:rsidR="00CB4BDD">
        <w:fldChar w:fldCharType="end"/>
      </w:r>
      <w:r w:rsidRPr="00A73D84">
        <w:t xml:space="preserve"> describes results from two modelling scenarios: one in which the power coefficient of weight effect on clearance was estimated (scenario 1) and a second that used the assumption of </w:t>
      </w:r>
      <w:proofErr w:type="spellStart"/>
      <w:r w:rsidRPr="00A73D84">
        <w:t>allometric</w:t>
      </w:r>
      <w:proofErr w:type="spellEnd"/>
      <w:r w:rsidRPr="00A73D84">
        <w:t xml:space="preserve"> scaling, where the power coefficient of weight on clearance was fixed to 0.75 (scenario 2). The model under scenario 2 predicted exposures that were 20% and 30% higher for adolescents wi</w:t>
      </w:r>
      <w:r w:rsidR="002C5CF2">
        <w:t xml:space="preserve">th BSAs between 1.11 and 1.50 </w:t>
      </w:r>
      <w:r w:rsidR="002C5CF2" w:rsidRPr="00A73D84">
        <w:t>m</w:t>
      </w:r>
      <w:r w:rsidR="002C5CF2" w:rsidRPr="002C5CF2">
        <w:rPr>
          <w:vertAlign w:val="superscript"/>
        </w:rPr>
        <w:t>2</w:t>
      </w:r>
      <w:r w:rsidR="002C5CF2">
        <w:t xml:space="preserve"> or 0.91 and 1.10 </w:t>
      </w:r>
      <w:r w:rsidR="002C5CF2" w:rsidRPr="00A73D84">
        <w:t>m</w:t>
      </w:r>
      <w:r w:rsidR="002C5CF2" w:rsidRPr="002C5CF2">
        <w:rPr>
          <w:vertAlign w:val="superscript"/>
        </w:rPr>
        <w:t>2</w:t>
      </w:r>
      <w:r w:rsidRPr="00A73D84">
        <w:t>, respectively, than the exposures actually observed for ad</w:t>
      </w:r>
      <w:r>
        <w:t>ults at those BSAs (see Table 8</w:t>
      </w:r>
      <w:r w:rsidRPr="00A73D84">
        <w:t xml:space="preserve">). Based on this data, they determined that the model based on </w:t>
      </w:r>
      <w:proofErr w:type="spellStart"/>
      <w:r w:rsidRPr="00A73D84">
        <w:t>allometric</w:t>
      </w:r>
      <w:proofErr w:type="spellEnd"/>
      <w:r w:rsidRPr="00A73D84">
        <w:t xml:space="preserve"> scaling </w:t>
      </w:r>
      <w:r w:rsidRPr="00A73D84">
        <w:lastRenderedPageBreak/>
        <w:t>assumptions (</w:t>
      </w:r>
      <w:r w:rsidR="00BD04CD">
        <w:t>for example</w:t>
      </w:r>
      <w:r w:rsidR="00464396">
        <w:t xml:space="preserve"> </w:t>
      </w:r>
      <w:r w:rsidRPr="00A73D84">
        <w:t>using the fixed power co-efficient of 0.75) was likely to overestimate exposure for those BSA categories.</w:t>
      </w:r>
    </w:p>
    <w:p w14:paraId="00758C99" w14:textId="696B320C" w:rsidR="00A73D84" w:rsidRPr="00A73D84" w:rsidRDefault="00A73D84" w:rsidP="002F69BF">
      <w:pPr>
        <w:pStyle w:val="TableTitle"/>
      </w:pPr>
      <w:r>
        <w:t xml:space="preserve">Table </w:t>
      </w:r>
      <w:fldSimple w:instr=" SEQ Table \* ARABIC ">
        <w:r w:rsidR="009B407B">
          <w:rPr>
            <w:noProof/>
          </w:rPr>
          <w:t>9</w:t>
        </w:r>
      </w:fldSimple>
      <w:r w:rsidR="00D22FB4">
        <w:rPr>
          <w:noProof/>
        </w:rPr>
        <w:t>:</w:t>
      </w:r>
      <w:r>
        <w:t xml:space="preserve"> </w:t>
      </w:r>
      <w:r w:rsidRPr="00A73D84">
        <w:t xml:space="preserve">Predicted </w:t>
      </w:r>
      <w:r w:rsidR="00D22FB4">
        <w:t>pharmacokinetic</w:t>
      </w:r>
      <w:r w:rsidR="00D22FB4" w:rsidRPr="00A73D84">
        <w:t xml:space="preserve"> </w:t>
      </w:r>
      <w:r w:rsidRPr="00A73D84">
        <w:t>exposure in p</w:t>
      </w:r>
      <w:r w:rsidR="00D22FB4">
        <w:t>a</w:t>
      </w:r>
      <w:r w:rsidRPr="00A73D84">
        <w:t>ediatric patients 12 years and older (</w:t>
      </w:r>
      <w:r w:rsidR="00D22FB4">
        <w:t>population pharmacokinetics</w:t>
      </w:r>
      <w:r w:rsidRPr="00A73D84">
        <w:t>)</w:t>
      </w:r>
      <w:r w:rsidR="00134048">
        <w:t xml:space="preserve"> </w:t>
      </w:r>
    </w:p>
    <w:p w14:paraId="389F7C4F" w14:textId="0468BE9B" w:rsidR="00A73D84" w:rsidRDefault="00A73D84" w:rsidP="00CE2749">
      <w:r w:rsidRPr="00A73D84">
        <w:rPr>
          <w:noProof/>
          <w:lang w:eastAsia="en-AU"/>
        </w:rPr>
        <w:drawing>
          <wp:inline distT="0" distB="0" distL="0" distR="0" wp14:anchorId="7DECA9A1" wp14:editId="7981CCFE">
            <wp:extent cx="5377180" cy="3169920"/>
            <wp:effectExtent l="0" t="0" r="0" b="0"/>
            <wp:docPr id="2" name="Picture 2" descr="Predicted PK exposure in pediatric patients 12 years and older (PopPK) extracted from FDA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7180" cy="3169920"/>
                    </a:xfrm>
                    <a:prstGeom prst="rect">
                      <a:avLst/>
                    </a:prstGeom>
                    <a:noFill/>
                  </pic:spPr>
                </pic:pic>
              </a:graphicData>
            </a:graphic>
          </wp:inline>
        </w:drawing>
      </w:r>
    </w:p>
    <w:p w14:paraId="4164FF06" w14:textId="789993EF" w:rsidR="008A30D9" w:rsidRPr="00A73D84" w:rsidRDefault="00986F56" w:rsidP="00661BB7">
      <w:pPr>
        <w:pStyle w:val="TableDescription"/>
        <w:rPr>
          <w:b/>
        </w:rPr>
      </w:pPr>
      <w:r>
        <w:t>Extracted from FDA report.</w:t>
      </w:r>
      <w:r w:rsidR="008A30D9">
        <w:fldChar w:fldCharType="begin"/>
      </w:r>
      <w:r w:rsidR="008A30D9">
        <w:instrText xml:space="preserve"> NOTEREF _Ref50554541 \f \h  \* MERGEFORMAT </w:instrText>
      </w:r>
      <w:r w:rsidR="008A30D9">
        <w:fldChar w:fldCharType="separate"/>
      </w:r>
      <w:r w:rsidR="008A30D9" w:rsidRPr="005743D8">
        <w:rPr>
          <w:rStyle w:val="FootnoteReference"/>
        </w:rPr>
        <w:t>12</w:t>
      </w:r>
      <w:r w:rsidR="008A30D9">
        <w:fldChar w:fldCharType="end"/>
      </w:r>
    </w:p>
    <w:p w14:paraId="5970BB6A" w14:textId="77777777" w:rsidR="00A73D84" w:rsidRPr="00A73D84" w:rsidRDefault="00A73D84" w:rsidP="00A73D84">
      <w:r w:rsidRPr="00A73D84">
        <w:t>Regarding dosing in patients under 12 years old, the FDA notes:</w:t>
      </w:r>
    </w:p>
    <w:p w14:paraId="54D2B935" w14:textId="19EE3420" w:rsidR="00A73D84" w:rsidRPr="00A73D84" w:rsidRDefault="00351F3A" w:rsidP="00351F3A">
      <w:pPr>
        <w:ind w:left="360"/>
      </w:pPr>
      <w:r>
        <w:t>‘</w:t>
      </w:r>
      <w:r w:rsidR="00A73D84" w:rsidRPr="00A73D84">
        <w:t xml:space="preserve">…while the assumption of </w:t>
      </w:r>
      <w:proofErr w:type="spellStart"/>
      <w:r w:rsidR="00A73D84" w:rsidRPr="00A73D84">
        <w:t>allometric</w:t>
      </w:r>
      <w:proofErr w:type="spellEnd"/>
      <w:r w:rsidR="00A73D84" w:rsidRPr="00A73D84">
        <w:t xml:space="preserve"> scaling is, in general, reasonable for </w:t>
      </w:r>
      <w:proofErr w:type="spellStart"/>
      <w:r w:rsidR="00A73D84" w:rsidRPr="00A73D84">
        <w:t>pediatric</w:t>
      </w:r>
      <w:proofErr w:type="spellEnd"/>
      <w:r w:rsidR="00A73D84" w:rsidRPr="00A73D84">
        <w:t xml:space="preserve"> patients less than 12 years of age, this assumption is not supported by the observed PK data of entrectinib in adult patients and additional data will be required to determine a reasonably safe and effective dose in these younger </w:t>
      </w:r>
      <w:proofErr w:type="spellStart"/>
      <w:r w:rsidR="00A73D84" w:rsidRPr="00A73D84">
        <w:t>pediatric</w:t>
      </w:r>
      <w:proofErr w:type="spellEnd"/>
      <w:r w:rsidR="00A73D84" w:rsidRPr="00A73D84">
        <w:t xml:space="preserve"> patients.</w:t>
      </w:r>
      <w:r>
        <w:t>’</w:t>
      </w:r>
    </w:p>
    <w:p w14:paraId="3D075087" w14:textId="6E24CBBA" w:rsidR="00A73D84" w:rsidRPr="00A73D84" w:rsidRDefault="00A73D84" w:rsidP="00A73D84">
      <w:r w:rsidRPr="000C761A">
        <w:rPr>
          <w:i/>
        </w:rPr>
        <w:t>TGA PPK working group advice</w:t>
      </w:r>
      <w:r w:rsidR="00380930">
        <w:rPr>
          <w:i/>
        </w:rPr>
        <w:t>:</w:t>
      </w:r>
      <w:r w:rsidR="00380930">
        <w:t xml:space="preserve"> </w:t>
      </w:r>
      <w:proofErr w:type="spellStart"/>
      <w:r w:rsidRPr="00A73D84">
        <w:t>Allometric</w:t>
      </w:r>
      <w:proofErr w:type="spellEnd"/>
      <w:r w:rsidRPr="00A73D84">
        <w:t xml:space="preserve"> scaling using the fixed exponent of 0.75 may not be adequate to determine dosing for young children due to the rapid maturational changes that take place in organ systems affecting drug</w:t>
      </w:r>
      <w:r w:rsidR="006D5B63">
        <w:t xml:space="preserve"> disposition during childhood. </w:t>
      </w:r>
      <w:r w:rsidRPr="00A73D84">
        <w:t xml:space="preserve">Exponents in neonates based on </w:t>
      </w:r>
      <w:proofErr w:type="spellStart"/>
      <w:r w:rsidRPr="00A73D84">
        <w:t>propofol</w:t>
      </w:r>
      <w:proofErr w:type="spellEnd"/>
      <w:r w:rsidRPr="00A73D84">
        <w:t xml:space="preserve"> databases, for</w:t>
      </w:r>
      <w:r w:rsidR="006D5B63">
        <w:t xml:space="preserve"> example, are between 1 and 2. </w:t>
      </w:r>
      <w:r w:rsidRPr="00A73D84">
        <w:t>The other option is to incorporate a maturation function between 0</w:t>
      </w:r>
      <w:r w:rsidR="00D22FB4">
        <w:t xml:space="preserve"> to </w:t>
      </w:r>
      <w:r w:rsidRPr="00A73D84">
        <w:t xml:space="preserve">2 years to account for maturation while maintaining </w:t>
      </w:r>
      <w:proofErr w:type="spellStart"/>
      <w:r w:rsidRPr="00A73D84">
        <w:t>allometry</w:t>
      </w:r>
      <w:proofErr w:type="spellEnd"/>
      <w:r w:rsidRPr="00A73D84">
        <w:t xml:space="preserve"> in the model.</w:t>
      </w:r>
    </w:p>
    <w:p w14:paraId="5CA911D9" w14:textId="4AE488B0" w:rsidR="00A73D84" w:rsidRPr="00A73D84" w:rsidRDefault="00A73D84" w:rsidP="00A73D84">
      <w:r w:rsidRPr="00A73D84">
        <w:t xml:space="preserve">Given the mechanism of metabolism of entrectinib (predominantly through CYP3A4), it is expected that this compound should follow the rules of </w:t>
      </w:r>
      <w:proofErr w:type="spellStart"/>
      <w:r w:rsidRPr="00A73D84">
        <w:t>allometry</w:t>
      </w:r>
      <w:proofErr w:type="spellEnd"/>
      <w:r w:rsidRPr="00A73D84">
        <w:t xml:space="preserve"> quite closely (such as a compound like fentanyl or </w:t>
      </w:r>
      <w:proofErr w:type="spellStart"/>
      <w:r w:rsidRPr="00A73D84">
        <w:t>propofol</w:t>
      </w:r>
      <w:proofErr w:type="spellEnd"/>
      <w:r w:rsidRPr="00A73D84">
        <w:t xml:space="preserve">). That a co-efficient of 0.31 rather than 0.75 reasonably describes the data at hand could indicate a lack of sufficient range of weight and age data to estimate the </w:t>
      </w:r>
      <w:proofErr w:type="spellStart"/>
      <w:r w:rsidRPr="00A73D84">
        <w:t>a</w:t>
      </w:r>
      <w:r w:rsidR="00FB2BA7">
        <w:t>llometric</w:t>
      </w:r>
      <w:proofErr w:type="spellEnd"/>
      <w:r w:rsidR="00FB2BA7">
        <w:t xml:space="preserve"> scale appropriately. </w:t>
      </w:r>
      <w:r w:rsidRPr="00A73D84">
        <w:t>Of concern is that e</w:t>
      </w:r>
      <w:r w:rsidR="00FB2BA7">
        <w:t xml:space="preserve">stimating the </w:t>
      </w:r>
      <w:proofErr w:type="spellStart"/>
      <w:r w:rsidR="00FB2BA7">
        <w:t>allometric</w:t>
      </w:r>
      <w:proofErr w:type="spellEnd"/>
      <w:r w:rsidR="00FB2BA7">
        <w:t xml:space="preserve"> scale, </w:t>
      </w:r>
      <w:r w:rsidRPr="00A73D84">
        <w:t>while describing the data well – limits the validity of extrapolation to patients outside the age or weight range of the studied population. Given that there is not sufficient data to discern whether a 0.75 exponent is appropriate, nor to confirm what the appropriate model is, it is necessary to conclude that there is insufficient data in the under</w:t>
      </w:r>
      <w:r w:rsidR="00D22FB4">
        <w:t xml:space="preserve"> </w:t>
      </w:r>
      <w:r w:rsidRPr="00A73D84">
        <w:t>12</w:t>
      </w:r>
      <w:r w:rsidR="00D22FB4">
        <w:t xml:space="preserve"> </w:t>
      </w:r>
      <w:r w:rsidRPr="00A73D84">
        <w:t>years age group to allow a recommendation for dosing.</w:t>
      </w:r>
    </w:p>
    <w:p w14:paraId="24EC21D8" w14:textId="68578BC9" w:rsidR="00A73D84" w:rsidRDefault="00A73D84" w:rsidP="00347426">
      <w:r w:rsidRPr="00A73D84">
        <w:t>Dose modelling is supportable for the adolescent age group, as renal capacity and hepatic enzyme expression approach ad</w:t>
      </w:r>
      <w:r w:rsidR="006D5B63">
        <w:t xml:space="preserve">ult levels from around age 12. </w:t>
      </w:r>
      <w:r w:rsidRPr="00A73D84">
        <w:t>The BSA</w:t>
      </w:r>
      <w:r w:rsidR="00D22FB4">
        <w:t xml:space="preserve"> </w:t>
      </w:r>
      <w:r w:rsidRPr="00A73D84">
        <w:t>based dosing approach as per the FD</w:t>
      </w:r>
      <w:r w:rsidR="006D5B63">
        <w:t>A approval is preferred to the s</w:t>
      </w:r>
      <w:r w:rsidRPr="00A73D84">
        <w:t>ponsor’s proposed BSA</w:t>
      </w:r>
      <w:r w:rsidR="00D22FB4">
        <w:t xml:space="preserve"> </w:t>
      </w:r>
      <w:r w:rsidRPr="00A73D84">
        <w:t>based dosing, as it provides a smoother dose ad</w:t>
      </w:r>
      <w:r w:rsidR="00F9338F">
        <w:t>justment across BSA categories.</w:t>
      </w:r>
    </w:p>
    <w:p w14:paraId="0D97DDD8" w14:textId="0B41A9D4" w:rsidR="007B6132" w:rsidRDefault="00D22FB4" w:rsidP="00555280">
      <w:pPr>
        <w:pStyle w:val="Heading4"/>
      </w:pPr>
      <w:r>
        <w:lastRenderedPageBreak/>
        <w:t>Pharmacology</w:t>
      </w:r>
      <w:r w:rsidR="00E54651">
        <w:t>-related</w:t>
      </w:r>
      <w:r>
        <w:t xml:space="preserve"> conclusions</w:t>
      </w:r>
    </w:p>
    <w:p w14:paraId="162654F4" w14:textId="77777777" w:rsidR="00A57706" w:rsidRPr="009C0CE3" w:rsidRDefault="00A57706" w:rsidP="00A57706">
      <w:pPr>
        <w:rPr>
          <w:rFonts w:asciiTheme="minorHAnsi" w:hAnsiTheme="minorHAnsi" w:cs="Calibri"/>
        </w:rPr>
      </w:pPr>
      <w:r w:rsidRPr="009C0CE3">
        <w:rPr>
          <w:rFonts w:asciiTheme="minorHAnsi" w:hAnsiTheme="minorHAnsi" w:cs="Calibri"/>
        </w:rPr>
        <w:t>The main clinical pharmacology-related recommendations supported by the dossier are:</w:t>
      </w:r>
    </w:p>
    <w:p w14:paraId="0FB50603" w14:textId="5A14983F" w:rsidR="00E0654F" w:rsidRDefault="00E0654F" w:rsidP="00E0654F">
      <w:pPr>
        <w:pStyle w:val="ListBullet"/>
        <w:rPr>
          <w:lang w:eastAsia="zh-TW"/>
        </w:rPr>
      </w:pPr>
      <w:r w:rsidRPr="00E0654F">
        <w:rPr>
          <w:lang w:eastAsia="zh-TW"/>
        </w:rPr>
        <w:t>Bioequivalence in adults was demonstrated between the primary clinical trial f</w:t>
      </w:r>
      <w:r>
        <w:rPr>
          <w:lang w:eastAsia="zh-TW"/>
        </w:rPr>
        <w:t>ormulation (F2A) and the market intended formulation (F06) in S</w:t>
      </w:r>
      <w:r w:rsidRPr="00E0654F">
        <w:rPr>
          <w:lang w:eastAsia="zh-TW"/>
        </w:rPr>
        <w:t>tudy RXDX-101-15.</w:t>
      </w:r>
    </w:p>
    <w:p w14:paraId="29A387A1" w14:textId="3A1D438B" w:rsidR="00A57706" w:rsidRDefault="00A57706" w:rsidP="00A57706">
      <w:pPr>
        <w:pStyle w:val="ListBullet"/>
        <w:rPr>
          <w:lang w:eastAsia="zh-TW"/>
        </w:rPr>
      </w:pPr>
      <w:r w:rsidRPr="009C0CE3">
        <w:t>The recommended dosage in adults is 600 mg daily, with or without food.</w:t>
      </w:r>
    </w:p>
    <w:p w14:paraId="0197021C" w14:textId="5B3EC8A4" w:rsidR="00A57706" w:rsidRPr="00612800" w:rsidRDefault="00A57706" w:rsidP="00A57706">
      <w:pPr>
        <w:pStyle w:val="ListBullet"/>
        <w:rPr>
          <w:rFonts w:eastAsiaTheme="minorHAnsi"/>
          <w:lang w:eastAsia="zh-TW"/>
        </w:rPr>
      </w:pPr>
      <w:r w:rsidRPr="008315FD">
        <w:t xml:space="preserve">Dosing in adolescent patients (between the ages of 12 and 18) is able to be supported, based on PPK modelling. </w:t>
      </w:r>
      <w:r w:rsidRPr="00351957">
        <w:t>The BSA</w:t>
      </w:r>
      <w:r w:rsidR="00E0654F">
        <w:t xml:space="preserve"> </w:t>
      </w:r>
      <w:r w:rsidRPr="00351957">
        <w:t xml:space="preserve">based dosing approach </w:t>
      </w:r>
      <w:r>
        <w:t>approved by the</w:t>
      </w:r>
      <w:r w:rsidRPr="00351957">
        <w:t xml:space="preserve"> FDA </w:t>
      </w:r>
      <w:r>
        <w:t xml:space="preserve">is supported by the </w:t>
      </w:r>
      <w:r w:rsidR="00E0654F">
        <w:t xml:space="preserve">TGA’s </w:t>
      </w:r>
      <w:r>
        <w:t>PPK working group.</w:t>
      </w:r>
    </w:p>
    <w:p w14:paraId="19389EC0" w14:textId="77777777" w:rsidR="00A57706" w:rsidRPr="008315FD" w:rsidRDefault="00A57706" w:rsidP="00A57706">
      <w:pPr>
        <w:pStyle w:val="ListBullet"/>
        <w:rPr>
          <w:rFonts w:eastAsiaTheme="minorHAnsi"/>
          <w:lang w:eastAsia="zh-TW"/>
        </w:rPr>
      </w:pPr>
      <w:r>
        <w:t>B</w:t>
      </w:r>
      <w:r w:rsidRPr="008315FD">
        <w:t xml:space="preserve">ecause of a paucity of suitable paediatric data and the failure of </w:t>
      </w:r>
      <w:proofErr w:type="spellStart"/>
      <w:r w:rsidRPr="008315FD">
        <w:t>allometric</w:t>
      </w:r>
      <w:proofErr w:type="spellEnd"/>
      <w:r w:rsidRPr="008315FD">
        <w:t xml:space="preserve"> scaling using a fixed exponent of 0.75 to adequately predict observed exposure in adult and adolescent patients, a safe and effective dose can’t be established for paediatric patients under the age of 12.</w:t>
      </w:r>
    </w:p>
    <w:p w14:paraId="2C2EF688" w14:textId="5A9A8089" w:rsidR="00A57706" w:rsidRPr="009C0CE3" w:rsidRDefault="00A57706" w:rsidP="00A57706">
      <w:pPr>
        <w:pStyle w:val="ListBullet"/>
        <w:rPr>
          <w:lang w:eastAsia="zh-TW"/>
        </w:rPr>
      </w:pPr>
      <w:r w:rsidRPr="009C0CE3">
        <w:t>No dose adjustment is required in mild hepatic impairment</w:t>
      </w:r>
      <w:r w:rsidR="00380930">
        <w:t>:</w:t>
      </w:r>
    </w:p>
    <w:p w14:paraId="20B48907" w14:textId="31D81653" w:rsidR="00A57706" w:rsidRPr="009C0CE3" w:rsidRDefault="00380930" w:rsidP="00A57706">
      <w:pPr>
        <w:pStyle w:val="ListBullet2"/>
        <w:rPr>
          <w:lang w:eastAsia="zh-TW"/>
        </w:rPr>
      </w:pPr>
      <w:r>
        <w:t>t</w:t>
      </w:r>
      <w:r w:rsidR="00A57706" w:rsidRPr="009C0CE3">
        <w:t>he effect of moderate or severe hepatic impairment on entrectinib PK is unknown. A post-market requirement of</w:t>
      </w:r>
      <w:r w:rsidR="00F357A6">
        <w:t xml:space="preserve"> marketing approval for the US s</w:t>
      </w:r>
      <w:r w:rsidR="00A57706" w:rsidRPr="009C0CE3">
        <w:t>ponsor of entrectinib is that a study be conducted to clarify this.</w:t>
      </w:r>
    </w:p>
    <w:p w14:paraId="48F9838F" w14:textId="4439370C" w:rsidR="00A57706" w:rsidRPr="009C0CE3" w:rsidRDefault="00A57706" w:rsidP="00A57706">
      <w:pPr>
        <w:pStyle w:val="ListBullet"/>
        <w:rPr>
          <w:lang w:eastAsia="zh-TW"/>
        </w:rPr>
      </w:pPr>
      <w:r w:rsidRPr="009C0CE3">
        <w:t>No dose adjustment is required in mild or moderate renal impairment</w:t>
      </w:r>
      <w:r w:rsidR="00380930">
        <w:t>:</w:t>
      </w:r>
    </w:p>
    <w:p w14:paraId="2738D503" w14:textId="31738177" w:rsidR="00A57706" w:rsidRPr="009C0CE3" w:rsidRDefault="00380930" w:rsidP="00A57706">
      <w:pPr>
        <w:pStyle w:val="ListBullet2"/>
        <w:rPr>
          <w:lang w:eastAsia="zh-TW"/>
        </w:rPr>
      </w:pPr>
      <w:r>
        <w:t>t</w:t>
      </w:r>
      <w:r w:rsidR="00A57706" w:rsidRPr="009C0CE3">
        <w:t>he effect of severe renal impairment on entrectinib PK is unknown, but not predicted to be clinically significant as entrectinib shows minimal renal clearance.</w:t>
      </w:r>
    </w:p>
    <w:p w14:paraId="4A509DF8" w14:textId="40D10C4D" w:rsidR="00A57706" w:rsidRPr="009C0CE3" w:rsidRDefault="00A57706" w:rsidP="00A57706">
      <w:pPr>
        <w:pStyle w:val="ListBullet"/>
        <w:rPr>
          <w:lang w:eastAsia="zh-TW"/>
        </w:rPr>
      </w:pPr>
      <w:r w:rsidRPr="009C0CE3">
        <w:rPr>
          <w:lang w:eastAsia="zh-TW"/>
        </w:rPr>
        <w:t>Avoid concomitant use with strong and moderate CYP3A4 inducers.</w:t>
      </w:r>
    </w:p>
    <w:p w14:paraId="11C910AF" w14:textId="77777777" w:rsidR="00A57706" w:rsidRPr="009C0CE3" w:rsidRDefault="00A57706" w:rsidP="00A57706">
      <w:pPr>
        <w:pStyle w:val="ListBullet"/>
        <w:rPr>
          <w:lang w:eastAsia="zh-TW"/>
        </w:rPr>
      </w:pPr>
      <w:r>
        <w:rPr>
          <w:lang w:eastAsia="zh-TW"/>
        </w:rPr>
        <w:t>If</w:t>
      </w:r>
      <w:r w:rsidRPr="009C0CE3">
        <w:rPr>
          <w:lang w:eastAsia="zh-TW"/>
        </w:rPr>
        <w:t xml:space="preserve"> concomitant use with strong or moderate CYP3A4 inhibitors</w:t>
      </w:r>
      <w:r>
        <w:rPr>
          <w:lang w:eastAsia="zh-TW"/>
        </w:rPr>
        <w:t xml:space="preserve"> can’t be avoided</w:t>
      </w:r>
      <w:r w:rsidRPr="009C0CE3">
        <w:rPr>
          <w:lang w:eastAsia="zh-TW"/>
        </w:rPr>
        <w:t>, reduce adult entrectinib dose to 100 mg daily (strong inhibitors) or 200 mg daily (moderate inhibitors), respectively.</w:t>
      </w:r>
    </w:p>
    <w:p w14:paraId="6991B807" w14:textId="5F3C563D" w:rsidR="00456765" w:rsidRDefault="00F2175D" w:rsidP="00F2175D">
      <w:pPr>
        <w:pStyle w:val="Heading4"/>
      </w:pPr>
      <w:r>
        <w:t>Efficacy</w:t>
      </w:r>
    </w:p>
    <w:p w14:paraId="607F7F7B" w14:textId="77777777" w:rsidR="00F2175D" w:rsidRPr="00661BB7" w:rsidRDefault="00F2175D" w:rsidP="00017B2C">
      <w:pPr>
        <w:pStyle w:val="Heading5"/>
      </w:pPr>
      <w:bookmarkStart w:id="48" w:name="_Ref32481723"/>
      <w:r w:rsidRPr="00661BB7">
        <w:t>Clinical studies that contributed efficacy data</w:t>
      </w:r>
      <w:bookmarkEnd w:id="48"/>
    </w:p>
    <w:p w14:paraId="28C55600" w14:textId="722A0401" w:rsidR="00F2175D" w:rsidRDefault="00F2175D" w:rsidP="00F2175D">
      <w:r w:rsidRPr="00F2175D">
        <w:t xml:space="preserve">Of the studies described only </w:t>
      </w:r>
      <w:r w:rsidR="00E0654F">
        <w:t xml:space="preserve">the </w:t>
      </w:r>
      <w:r w:rsidRPr="00F2175D">
        <w:t>ALKA</w:t>
      </w:r>
      <w:r w:rsidR="00B3760D">
        <w:t xml:space="preserve"> trial</w:t>
      </w:r>
      <w:r w:rsidRPr="00F2175D">
        <w:t>, STARTRK-1</w:t>
      </w:r>
      <w:r w:rsidR="00B3760D">
        <w:t xml:space="preserve"> trial</w:t>
      </w:r>
      <w:r w:rsidRPr="00F2175D">
        <w:t xml:space="preserve"> and STARTRK-2</w:t>
      </w:r>
      <w:r w:rsidR="00B3760D">
        <w:t xml:space="preserve"> trial</w:t>
      </w:r>
      <w:r w:rsidRPr="00F2175D">
        <w:t xml:space="preserve"> contributed data to the main efficacy analyses for the two submitted indications.</w:t>
      </w:r>
    </w:p>
    <w:p w14:paraId="56DB0337" w14:textId="638661D6" w:rsidR="00D61D03" w:rsidRDefault="00654B14" w:rsidP="00661BB7">
      <w:pPr>
        <w:pStyle w:val="Heading6"/>
      </w:pPr>
      <w:r>
        <w:t>Study ALKA-372-001/GO40783 (ALKA trial)</w:t>
      </w:r>
    </w:p>
    <w:p w14:paraId="232BB440" w14:textId="61201C98" w:rsidR="00017B2C" w:rsidRPr="00017B2C" w:rsidRDefault="00017B2C" w:rsidP="00661BB7">
      <w:pPr>
        <w:pStyle w:val="TableTitle"/>
      </w:pPr>
      <w:r>
        <w:t xml:space="preserve">Table </w:t>
      </w:r>
      <w:fldSimple w:instr=" SEQ Table \* ARABIC ">
        <w:r w:rsidR="009B407B">
          <w:rPr>
            <w:noProof/>
          </w:rPr>
          <w:t>10</w:t>
        </w:r>
      </w:fldSimple>
      <w:r>
        <w:t>: Study ALKA-372-001/GO40783 (ALKA trial)</w:t>
      </w:r>
      <w:r w:rsidRPr="00D61D03">
        <w:t xml:space="preserve"> description</w:t>
      </w:r>
    </w:p>
    <w:tbl>
      <w:tblPr>
        <w:tblStyle w:val="TableTGAblue"/>
        <w:tblW w:w="8755" w:type="dxa"/>
        <w:tblLook w:val="04A0" w:firstRow="1" w:lastRow="0" w:firstColumn="1" w:lastColumn="0" w:noHBand="0" w:noVBand="1"/>
      </w:tblPr>
      <w:tblGrid>
        <w:gridCol w:w="1266"/>
        <w:gridCol w:w="7489"/>
      </w:tblGrid>
      <w:tr w:rsidR="00D61D03" w:rsidRPr="00D61D03" w14:paraId="369F3B1B" w14:textId="77777777" w:rsidTr="00F9338F">
        <w:trPr>
          <w:cnfStyle w:val="100000000000" w:firstRow="1" w:lastRow="0" w:firstColumn="0" w:lastColumn="0" w:oddVBand="0" w:evenVBand="0" w:oddHBand="0" w:evenHBand="0" w:firstRowFirstColumn="0" w:firstRowLastColumn="0" w:lastRowFirstColumn="0" w:lastRowLastColumn="0"/>
        </w:trPr>
        <w:tc>
          <w:tcPr>
            <w:tcW w:w="8755" w:type="dxa"/>
            <w:gridSpan w:val="2"/>
          </w:tcPr>
          <w:p w14:paraId="2B17442D" w14:textId="77777777" w:rsidR="00D61D03" w:rsidRPr="001823E7" w:rsidRDefault="00D61D03" w:rsidP="00661BB7">
            <w:pPr>
              <w:pStyle w:val="Tabletext"/>
              <w:ind w:left="0" w:right="0"/>
            </w:pPr>
            <w:r w:rsidRPr="001823E7">
              <w:t>Study description</w:t>
            </w:r>
          </w:p>
        </w:tc>
      </w:tr>
      <w:tr w:rsidR="00D61D03" w:rsidRPr="00D61D03" w14:paraId="7AAA34AA" w14:textId="77777777" w:rsidTr="00CE2749">
        <w:tc>
          <w:tcPr>
            <w:tcW w:w="1266" w:type="dxa"/>
          </w:tcPr>
          <w:p w14:paraId="15AB3C99" w14:textId="77777777" w:rsidR="00D61D03" w:rsidRPr="00D61D03" w:rsidRDefault="00D61D03" w:rsidP="00661BB7">
            <w:pPr>
              <w:pStyle w:val="Tabletext"/>
              <w:ind w:left="0" w:right="0"/>
            </w:pPr>
            <w:r w:rsidRPr="00D61D03">
              <w:t>Population</w:t>
            </w:r>
          </w:p>
          <w:p w14:paraId="65407F7D" w14:textId="7734AAE9" w:rsidR="00D61D03" w:rsidRPr="00D61D03" w:rsidRDefault="00D61D03" w:rsidP="00661BB7">
            <w:pPr>
              <w:pStyle w:val="Tabletext"/>
              <w:ind w:left="0" w:right="0"/>
            </w:pPr>
            <w:r w:rsidRPr="00D61D03">
              <w:t>(enrolled</w:t>
            </w:r>
            <w:r w:rsidR="00F2463B">
              <w:t xml:space="preserve"> </w:t>
            </w:r>
            <w:r w:rsidRPr="00D61D03">
              <w:t>=</w:t>
            </w:r>
            <w:r w:rsidR="00F2463B">
              <w:t xml:space="preserve"> </w:t>
            </w:r>
            <w:r w:rsidRPr="00D61D03">
              <w:t>58)</w:t>
            </w:r>
          </w:p>
        </w:tc>
        <w:tc>
          <w:tcPr>
            <w:tcW w:w="7489" w:type="dxa"/>
          </w:tcPr>
          <w:p w14:paraId="7667CA4E" w14:textId="29612D05" w:rsidR="00D61D03" w:rsidRPr="00D61D03" w:rsidRDefault="00BD04CD" w:rsidP="00661BB7">
            <w:pPr>
              <w:pStyle w:val="Tabletext"/>
              <w:ind w:left="0" w:right="0"/>
            </w:pPr>
            <w:r>
              <w:t>Phase I</w:t>
            </w:r>
            <w:r w:rsidR="00D61D03" w:rsidRPr="00D61D03">
              <w:t>, first-in-human, open label, dose escalation (3</w:t>
            </w:r>
            <w:r w:rsidR="00E0654F">
              <w:t xml:space="preserve"> </w:t>
            </w:r>
            <w:r w:rsidR="00D61D03" w:rsidRPr="00D61D03">
              <w:t>+</w:t>
            </w:r>
            <w:r w:rsidR="00E0654F">
              <w:t xml:space="preserve"> </w:t>
            </w:r>
            <w:r w:rsidR="00D61D03" w:rsidRPr="00D61D03">
              <w:t>3 design) in adu</w:t>
            </w:r>
            <w:r w:rsidR="00FB2BA7">
              <w:t xml:space="preserve">lts </w:t>
            </w:r>
            <w:r w:rsidR="009C0A48">
              <w:t>with NTRK1/2/3, ROS1 or ALK +</w:t>
            </w:r>
            <w:r w:rsidR="00D61D03" w:rsidRPr="00D61D03">
              <w:t xml:space="preserve"> </w:t>
            </w:r>
            <w:proofErr w:type="spellStart"/>
            <w:r w:rsidR="00D61D03" w:rsidRPr="00D61D03">
              <w:t>adv</w:t>
            </w:r>
            <w:proofErr w:type="spellEnd"/>
            <w:r w:rsidR="00D61D03" w:rsidRPr="00D61D03">
              <w:t>/met</w:t>
            </w:r>
            <w:r w:rsidR="00FB2BA7">
              <w:t xml:space="preserve"> solid tumours.</w:t>
            </w:r>
          </w:p>
          <w:p w14:paraId="06C901C2" w14:textId="77777777" w:rsidR="00D61D03" w:rsidRPr="00D61D03" w:rsidRDefault="00D61D03" w:rsidP="00661BB7">
            <w:pPr>
              <w:pStyle w:val="Tabletext"/>
              <w:ind w:left="0" w:right="0"/>
            </w:pPr>
            <w:r w:rsidRPr="00D61D03">
              <w:t>Inclusion criteria (abridged):</w:t>
            </w:r>
          </w:p>
          <w:p w14:paraId="685526D9" w14:textId="0019B1F5" w:rsidR="00D61D03" w:rsidRPr="00070635" w:rsidRDefault="00D61D03" w:rsidP="00070635">
            <w:pPr>
              <w:pStyle w:val="ListBullet"/>
              <w:rPr>
                <w:sz w:val="19"/>
                <w:szCs w:val="19"/>
              </w:rPr>
            </w:pPr>
            <w:proofErr w:type="spellStart"/>
            <w:r w:rsidRPr="00E0654F">
              <w:rPr>
                <w:sz w:val="19"/>
                <w:szCs w:val="19"/>
              </w:rPr>
              <w:t>Histo</w:t>
            </w:r>
            <w:proofErr w:type="spellEnd"/>
            <w:r w:rsidRPr="00E0654F">
              <w:rPr>
                <w:sz w:val="19"/>
                <w:szCs w:val="19"/>
              </w:rPr>
              <w:t>/</w:t>
            </w:r>
            <w:proofErr w:type="spellStart"/>
            <w:r w:rsidRPr="00E0654F">
              <w:rPr>
                <w:sz w:val="19"/>
                <w:szCs w:val="19"/>
              </w:rPr>
              <w:t>cytologically</w:t>
            </w:r>
            <w:proofErr w:type="spellEnd"/>
            <w:r w:rsidRPr="00E0654F">
              <w:rPr>
                <w:sz w:val="19"/>
                <w:szCs w:val="19"/>
              </w:rPr>
              <w:t xml:space="preserve"> confirmed diagnosis of solid cancer with TRKA, TRKB, TRKC,</w:t>
            </w:r>
            <w:r w:rsidR="00070635">
              <w:rPr>
                <w:sz w:val="19"/>
                <w:szCs w:val="19"/>
              </w:rPr>
              <w:t xml:space="preserve"> </w:t>
            </w:r>
            <w:r w:rsidR="00070635" w:rsidRPr="00E0654F">
              <w:rPr>
                <w:sz w:val="19"/>
                <w:szCs w:val="19"/>
              </w:rPr>
              <w:t>ROS1, or ALK genetic alterations, with no acceptable therapeutic options</w:t>
            </w:r>
          </w:p>
          <w:p w14:paraId="59D4A4C4" w14:textId="08C2DD6C" w:rsidR="00D61D03" w:rsidRPr="003714A5" w:rsidRDefault="00D61D03" w:rsidP="00E0654F">
            <w:pPr>
              <w:pStyle w:val="ListBullet"/>
              <w:rPr>
                <w:sz w:val="19"/>
                <w:szCs w:val="19"/>
              </w:rPr>
            </w:pPr>
            <w:r w:rsidRPr="003714A5">
              <w:rPr>
                <w:sz w:val="19"/>
                <w:szCs w:val="19"/>
              </w:rPr>
              <w:t>Tissue for analysis available</w:t>
            </w:r>
          </w:p>
          <w:p w14:paraId="4DC1D4E9" w14:textId="77777777" w:rsidR="00D61D03" w:rsidRPr="003714A5" w:rsidRDefault="00D61D03" w:rsidP="00E0654F">
            <w:pPr>
              <w:pStyle w:val="ListBullet"/>
              <w:rPr>
                <w:sz w:val="19"/>
                <w:szCs w:val="19"/>
              </w:rPr>
            </w:pPr>
            <w:r w:rsidRPr="003714A5">
              <w:rPr>
                <w:sz w:val="19"/>
                <w:szCs w:val="19"/>
              </w:rPr>
              <w:t>Prior therapy was allowed except therapies targeted against the genetic alteration present</w:t>
            </w:r>
          </w:p>
          <w:p w14:paraId="2011C317" w14:textId="77777777" w:rsidR="00D61D03" w:rsidRPr="003714A5" w:rsidRDefault="00D61D03" w:rsidP="00E0654F">
            <w:pPr>
              <w:pStyle w:val="ListBullet"/>
              <w:rPr>
                <w:sz w:val="19"/>
                <w:szCs w:val="19"/>
              </w:rPr>
            </w:pPr>
            <w:r w:rsidRPr="003714A5">
              <w:rPr>
                <w:sz w:val="19"/>
                <w:szCs w:val="19"/>
              </w:rPr>
              <w:t>CNS involvement ok if controlled/asymptomatic</w:t>
            </w:r>
          </w:p>
          <w:p w14:paraId="64761807" w14:textId="0B6D5ABC" w:rsidR="00D61D03" w:rsidRPr="00E0654F" w:rsidRDefault="00D61D03" w:rsidP="00E0654F">
            <w:pPr>
              <w:pStyle w:val="ListBullet"/>
              <w:rPr>
                <w:sz w:val="19"/>
                <w:szCs w:val="19"/>
              </w:rPr>
            </w:pPr>
            <w:r w:rsidRPr="003714A5">
              <w:rPr>
                <w:sz w:val="19"/>
                <w:szCs w:val="19"/>
              </w:rPr>
              <w:lastRenderedPageBreak/>
              <w:t>ECOG</w:t>
            </w:r>
            <w:bookmarkStart w:id="49" w:name="_Ref51226462"/>
            <w:r w:rsidR="004E146F" w:rsidRPr="003714A5">
              <w:rPr>
                <w:sz w:val="19"/>
                <w:szCs w:val="19"/>
              </w:rPr>
              <w:t>;</w:t>
            </w:r>
            <w:r w:rsidR="00A75CC0" w:rsidRPr="00661BB7">
              <w:rPr>
                <w:rStyle w:val="FootnoteReference"/>
                <w:szCs w:val="22"/>
              </w:rPr>
              <w:footnoteReference w:id="19"/>
            </w:r>
            <w:bookmarkEnd w:id="49"/>
            <w:r w:rsidRPr="00E0654F">
              <w:rPr>
                <w:sz w:val="19"/>
                <w:szCs w:val="19"/>
              </w:rPr>
              <w:t xml:space="preserve"> no worse than 2, life expectancy at least 3 months</w:t>
            </w:r>
          </w:p>
          <w:p w14:paraId="2184BA1C" w14:textId="77777777" w:rsidR="00D61D03" w:rsidRPr="00D61D03" w:rsidRDefault="00D61D03" w:rsidP="00661BB7">
            <w:pPr>
              <w:pStyle w:val="Tabletext"/>
              <w:ind w:left="0" w:right="0"/>
            </w:pPr>
            <w:r w:rsidRPr="00D61D03">
              <w:t>Exclusion criteria (abridged):</w:t>
            </w:r>
          </w:p>
          <w:p w14:paraId="7BE4776B" w14:textId="77777777" w:rsidR="00D61D03" w:rsidRPr="00E0654F" w:rsidRDefault="00D61D03" w:rsidP="00E0654F">
            <w:pPr>
              <w:pStyle w:val="ListBullet"/>
              <w:rPr>
                <w:sz w:val="19"/>
                <w:szCs w:val="19"/>
              </w:rPr>
            </w:pPr>
            <w:r w:rsidRPr="00E0654F">
              <w:rPr>
                <w:sz w:val="19"/>
                <w:szCs w:val="19"/>
              </w:rPr>
              <w:t>Standard (significant medical/surgical illnesses, inadequate organ function, reproductive status)</w:t>
            </w:r>
          </w:p>
          <w:p w14:paraId="06C64D5E" w14:textId="38004768" w:rsidR="00D61D03" w:rsidRPr="00E0654F" w:rsidRDefault="00D61D03" w:rsidP="00E0654F">
            <w:pPr>
              <w:pStyle w:val="ListBullet"/>
              <w:rPr>
                <w:sz w:val="19"/>
                <w:szCs w:val="19"/>
              </w:rPr>
            </w:pPr>
            <w:r w:rsidRPr="00E0654F">
              <w:rPr>
                <w:sz w:val="19"/>
                <w:szCs w:val="19"/>
              </w:rPr>
              <w:t>Elevated QT</w:t>
            </w:r>
            <w:r w:rsidR="00E6742E">
              <w:rPr>
                <w:sz w:val="19"/>
                <w:szCs w:val="19"/>
              </w:rPr>
              <w:t xml:space="preserve"> risk</w:t>
            </w:r>
            <w:r w:rsidR="00BA3D07" w:rsidRPr="00E0654F">
              <w:rPr>
                <w:sz w:val="19"/>
                <w:szCs w:val="19"/>
              </w:rPr>
              <w:t>;</w:t>
            </w:r>
            <w:r w:rsidR="00070635" w:rsidRPr="007B0C16">
              <w:rPr>
                <w:sz w:val="19"/>
                <w:szCs w:val="19"/>
                <w:vertAlign w:val="superscript"/>
              </w:rPr>
              <w:t>14</w:t>
            </w:r>
            <w:r w:rsidRPr="00E0654F">
              <w:rPr>
                <w:sz w:val="19"/>
                <w:szCs w:val="19"/>
              </w:rPr>
              <w:t xml:space="preserve"> </w:t>
            </w:r>
          </w:p>
          <w:p w14:paraId="0092CE9E" w14:textId="77777777" w:rsidR="00D61D03" w:rsidRPr="00E0654F" w:rsidRDefault="00D61D03" w:rsidP="00E0654F">
            <w:pPr>
              <w:pStyle w:val="ListBullet"/>
              <w:rPr>
                <w:sz w:val="19"/>
                <w:szCs w:val="19"/>
              </w:rPr>
            </w:pPr>
            <w:r w:rsidRPr="00E0654F">
              <w:rPr>
                <w:sz w:val="19"/>
                <w:szCs w:val="19"/>
              </w:rPr>
              <w:t>Interstitial lung disease</w:t>
            </w:r>
          </w:p>
          <w:p w14:paraId="1B0D311B" w14:textId="77777777" w:rsidR="00D61D03" w:rsidRPr="00D61D03" w:rsidRDefault="00D61D03" w:rsidP="00661BB7">
            <w:pPr>
              <w:pStyle w:val="Tabletext"/>
              <w:ind w:left="0" w:right="0"/>
            </w:pPr>
            <w:r w:rsidRPr="00D61D03">
              <w:t>Location: 2 sites in Italy</w:t>
            </w:r>
          </w:p>
          <w:p w14:paraId="6421AB01" w14:textId="53B6B8E7" w:rsidR="00D61D03" w:rsidRPr="00D61D03" w:rsidRDefault="00D61D03" w:rsidP="00661BB7">
            <w:pPr>
              <w:pStyle w:val="Tabletext"/>
              <w:ind w:left="0" w:right="0"/>
            </w:pPr>
            <w:r w:rsidRPr="00D61D03">
              <w:t>Commenced 2012. Data cut-off for interim report 31 May 2018.</w:t>
            </w:r>
          </w:p>
        </w:tc>
      </w:tr>
      <w:tr w:rsidR="00D61D03" w:rsidRPr="00D61D03" w14:paraId="66103553" w14:textId="77777777" w:rsidTr="00CE2749">
        <w:tc>
          <w:tcPr>
            <w:tcW w:w="1266" w:type="dxa"/>
          </w:tcPr>
          <w:p w14:paraId="6EB36A78" w14:textId="77777777" w:rsidR="00D61D03" w:rsidRPr="00D61D03" w:rsidRDefault="00D61D03" w:rsidP="00661BB7">
            <w:pPr>
              <w:pStyle w:val="Tabletext"/>
              <w:ind w:left="0" w:right="0"/>
            </w:pPr>
            <w:r w:rsidRPr="00D61D03">
              <w:lastRenderedPageBreak/>
              <w:t>Intervention</w:t>
            </w:r>
          </w:p>
        </w:tc>
        <w:tc>
          <w:tcPr>
            <w:tcW w:w="7489" w:type="dxa"/>
          </w:tcPr>
          <w:p w14:paraId="74088297" w14:textId="77777777" w:rsidR="00D61D03" w:rsidRPr="00D61D03" w:rsidRDefault="00D61D03" w:rsidP="00661BB7">
            <w:pPr>
              <w:pStyle w:val="Tabletext"/>
              <w:ind w:left="0" w:right="0"/>
            </w:pPr>
            <w:r w:rsidRPr="00D61D03">
              <w:t>Formulation: F1</w:t>
            </w:r>
          </w:p>
          <w:p w14:paraId="0586C495" w14:textId="40D7638D" w:rsidR="00D61D03" w:rsidRPr="00D61D03" w:rsidRDefault="000D3F89" w:rsidP="00661BB7">
            <w:pPr>
              <w:pStyle w:val="Tabletext"/>
              <w:ind w:left="0" w:right="0"/>
            </w:pPr>
            <w:r>
              <w:t xml:space="preserve">Dose range: 100 to </w:t>
            </w:r>
            <w:r w:rsidR="00D61D03" w:rsidRPr="00D61D03">
              <w:t>1600 mg/day</w:t>
            </w:r>
          </w:p>
          <w:p w14:paraId="1E3046FF" w14:textId="77777777" w:rsidR="00D61D03" w:rsidRPr="00D61D03" w:rsidRDefault="00D61D03" w:rsidP="00661BB7">
            <w:pPr>
              <w:pStyle w:val="Tabletext"/>
              <w:ind w:left="0" w:right="0"/>
            </w:pPr>
            <w:r w:rsidRPr="00D61D03">
              <w:t>Dose schedules (cycle = 28 days):</w:t>
            </w:r>
          </w:p>
          <w:p w14:paraId="3D206753" w14:textId="55F6AF88" w:rsidR="00D61D03" w:rsidRPr="003576A2" w:rsidRDefault="00D61D03" w:rsidP="00661BB7">
            <w:pPr>
              <w:pStyle w:val="ListBullet"/>
              <w:rPr>
                <w:szCs w:val="19"/>
              </w:rPr>
            </w:pPr>
            <w:r w:rsidRPr="00661BB7">
              <w:rPr>
                <w:sz w:val="19"/>
                <w:szCs w:val="19"/>
              </w:rPr>
              <w:t>Schedule A: 4 days on, 3</w:t>
            </w:r>
            <w:r w:rsidR="003714A5">
              <w:rPr>
                <w:sz w:val="19"/>
                <w:szCs w:val="19"/>
              </w:rPr>
              <w:t xml:space="preserve"> </w:t>
            </w:r>
            <w:r w:rsidRPr="00661BB7">
              <w:rPr>
                <w:sz w:val="19"/>
                <w:szCs w:val="19"/>
              </w:rPr>
              <w:t>days off schedule for 3 weeks, followed by a 7</w:t>
            </w:r>
            <w:r w:rsidR="00E0654F">
              <w:rPr>
                <w:sz w:val="19"/>
                <w:szCs w:val="19"/>
              </w:rPr>
              <w:t xml:space="preserve"> </w:t>
            </w:r>
            <w:r w:rsidRPr="00661BB7">
              <w:rPr>
                <w:sz w:val="19"/>
                <w:szCs w:val="19"/>
              </w:rPr>
              <w:t>day rest period in a 4</w:t>
            </w:r>
            <w:r w:rsidR="00E0654F">
              <w:rPr>
                <w:sz w:val="19"/>
                <w:szCs w:val="19"/>
              </w:rPr>
              <w:t xml:space="preserve"> </w:t>
            </w:r>
            <w:r w:rsidRPr="00661BB7">
              <w:rPr>
                <w:sz w:val="19"/>
                <w:szCs w:val="19"/>
              </w:rPr>
              <w:t>week cycle; fasted condition; once or twice daily d</w:t>
            </w:r>
            <w:r w:rsidR="00FB2BA7" w:rsidRPr="00661BB7">
              <w:rPr>
                <w:sz w:val="19"/>
                <w:szCs w:val="19"/>
              </w:rPr>
              <w:t>osing.</w:t>
            </w:r>
            <w:r w:rsidR="002B37D6" w:rsidRPr="00661BB7">
              <w:rPr>
                <w:sz w:val="19"/>
                <w:szCs w:val="19"/>
              </w:rPr>
              <w:t xml:space="preserve"> Starting dose 100 mg/m</w:t>
            </w:r>
            <w:r w:rsidR="002B37D6" w:rsidRPr="00661BB7">
              <w:rPr>
                <w:sz w:val="19"/>
                <w:szCs w:val="19"/>
                <w:vertAlign w:val="superscript"/>
              </w:rPr>
              <w:t>2</w:t>
            </w:r>
            <w:r w:rsidRPr="00661BB7">
              <w:rPr>
                <w:sz w:val="19"/>
                <w:szCs w:val="19"/>
              </w:rPr>
              <w:t>/day</w:t>
            </w:r>
          </w:p>
          <w:p w14:paraId="1F28A7F5" w14:textId="73B8CB9F" w:rsidR="00D61D03" w:rsidRPr="003576A2" w:rsidRDefault="00D61D03" w:rsidP="00661BB7">
            <w:pPr>
              <w:pStyle w:val="ListBullet"/>
              <w:rPr>
                <w:szCs w:val="19"/>
              </w:rPr>
            </w:pPr>
            <w:r w:rsidRPr="00661BB7">
              <w:rPr>
                <w:sz w:val="19"/>
                <w:szCs w:val="19"/>
              </w:rPr>
              <w:t>Schedule B: continuous daily dosing in a 4</w:t>
            </w:r>
            <w:r w:rsidR="00E0654F">
              <w:rPr>
                <w:sz w:val="19"/>
                <w:szCs w:val="19"/>
              </w:rPr>
              <w:t xml:space="preserve"> </w:t>
            </w:r>
            <w:r w:rsidRPr="00661BB7">
              <w:rPr>
                <w:sz w:val="19"/>
                <w:szCs w:val="19"/>
              </w:rPr>
              <w:t>week cycle; fed condition; once or twice daily d</w:t>
            </w:r>
            <w:r w:rsidR="002B37D6" w:rsidRPr="00661BB7">
              <w:rPr>
                <w:sz w:val="19"/>
                <w:szCs w:val="19"/>
              </w:rPr>
              <w:t>o</w:t>
            </w:r>
            <w:r w:rsidR="00FB2BA7" w:rsidRPr="00661BB7">
              <w:rPr>
                <w:sz w:val="19"/>
                <w:szCs w:val="19"/>
              </w:rPr>
              <w:t xml:space="preserve">sing. </w:t>
            </w:r>
            <w:r w:rsidR="002B37D6" w:rsidRPr="00661BB7">
              <w:rPr>
                <w:sz w:val="19"/>
                <w:szCs w:val="19"/>
              </w:rPr>
              <w:t>Starting dose 200 mg/m</w:t>
            </w:r>
            <w:r w:rsidR="002B37D6" w:rsidRPr="00661BB7">
              <w:rPr>
                <w:sz w:val="19"/>
                <w:szCs w:val="19"/>
                <w:vertAlign w:val="superscript"/>
              </w:rPr>
              <w:t>2</w:t>
            </w:r>
            <w:r w:rsidRPr="00661BB7">
              <w:rPr>
                <w:sz w:val="19"/>
                <w:szCs w:val="19"/>
              </w:rPr>
              <w:t>/day</w:t>
            </w:r>
          </w:p>
          <w:p w14:paraId="75C01C72" w14:textId="2A93853E" w:rsidR="00D61D03" w:rsidRPr="00D61D03" w:rsidRDefault="00D61D03" w:rsidP="00661BB7">
            <w:pPr>
              <w:pStyle w:val="ListBullet"/>
            </w:pPr>
            <w:r w:rsidRPr="00661BB7">
              <w:rPr>
                <w:sz w:val="19"/>
                <w:szCs w:val="19"/>
              </w:rPr>
              <w:t>Schedule C: 4 days on, 3</w:t>
            </w:r>
            <w:r w:rsidR="003714A5">
              <w:rPr>
                <w:sz w:val="19"/>
                <w:szCs w:val="19"/>
              </w:rPr>
              <w:t xml:space="preserve"> </w:t>
            </w:r>
            <w:r w:rsidRPr="00661BB7">
              <w:rPr>
                <w:sz w:val="19"/>
                <w:szCs w:val="19"/>
              </w:rPr>
              <w:t>days off schedule in a 4</w:t>
            </w:r>
            <w:r w:rsidR="00E0654F">
              <w:rPr>
                <w:sz w:val="19"/>
                <w:szCs w:val="19"/>
              </w:rPr>
              <w:t xml:space="preserve"> </w:t>
            </w:r>
            <w:r w:rsidRPr="00661BB7">
              <w:rPr>
                <w:sz w:val="19"/>
                <w:szCs w:val="19"/>
              </w:rPr>
              <w:t>week cycle; fed condition; once or twice daily d</w:t>
            </w:r>
            <w:r w:rsidR="00FB2BA7" w:rsidRPr="00661BB7">
              <w:rPr>
                <w:sz w:val="19"/>
                <w:szCs w:val="19"/>
              </w:rPr>
              <w:t>osing.</w:t>
            </w:r>
            <w:r w:rsidR="002B37D6" w:rsidRPr="00661BB7">
              <w:rPr>
                <w:sz w:val="19"/>
                <w:szCs w:val="19"/>
              </w:rPr>
              <w:t xml:space="preserve"> Starting dose 400 mg/m</w:t>
            </w:r>
            <w:r w:rsidR="002B37D6" w:rsidRPr="00661BB7">
              <w:rPr>
                <w:sz w:val="19"/>
                <w:szCs w:val="19"/>
                <w:vertAlign w:val="superscript"/>
              </w:rPr>
              <w:t>2</w:t>
            </w:r>
            <w:r w:rsidR="00FB2BA7" w:rsidRPr="00661BB7">
              <w:rPr>
                <w:sz w:val="19"/>
                <w:szCs w:val="19"/>
              </w:rPr>
              <w:t>/day</w:t>
            </w:r>
          </w:p>
        </w:tc>
      </w:tr>
      <w:tr w:rsidR="00D61D03" w:rsidRPr="00D61D03" w14:paraId="367F9B9D" w14:textId="77777777" w:rsidTr="00CE2749">
        <w:trPr>
          <w:trHeight w:val="380"/>
        </w:trPr>
        <w:tc>
          <w:tcPr>
            <w:tcW w:w="1266" w:type="dxa"/>
          </w:tcPr>
          <w:p w14:paraId="16DAB15C" w14:textId="77777777" w:rsidR="00D61D03" w:rsidRPr="00D61D03" w:rsidRDefault="00D61D03" w:rsidP="00661BB7">
            <w:pPr>
              <w:pStyle w:val="Tabletext"/>
              <w:ind w:left="0" w:right="0"/>
            </w:pPr>
            <w:r w:rsidRPr="00D61D03">
              <w:t>Endpoints</w:t>
            </w:r>
          </w:p>
        </w:tc>
        <w:tc>
          <w:tcPr>
            <w:tcW w:w="7489" w:type="dxa"/>
          </w:tcPr>
          <w:p w14:paraId="5ED2C1BB" w14:textId="786B639A" w:rsidR="00D61D03" w:rsidRPr="00D61D03" w:rsidRDefault="00D61D03" w:rsidP="00661BB7">
            <w:pPr>
              <w:pStyle w:val="Tabletext"/>
              <w:ind w:left="0" w:right="0"/>
            </w:pPr>
            <w:r w:rsidRPr="00D61D03">
              <w:t>Primary:</w:t>
            </w:r>
          </w:p>
          <w:p w14:paraId="565EFC52" w14:textId="2183268E" w:rsidR="00D61D03" w:rsidRPr="00E0654F" w:rsidRDefault="00D61D03" w:rsidP="00E0654F">
            <w:pPr>
              <w:pStyle w:val="ListBullet"/>
              <w:rPr>
                <w:sz w:val="19"/>
                <w:szCs w:val="19"/>
              </w:rPr>
            </w:pPr>
            <w:r w:rsidRPr="00E0654F">
              <w:rPr>
                <w:sz w:val="19"/>
                <w:szCs w:val="19"/>
              </w:rPr>
              <w:t xml:space="preserve">To determine the MTD and </w:t>
            </w:r>
            <w:r w:rsidR="00054378" w:rsidRPr="00E0654F">
              <w:rPr>
                <w:sz w:val="19"/>
                <w:szCs w:val="19"/>
              </w:rPr>
              <w:t>DLT</w:t>
            </w:r>
          </w:p>
          <w:p w14:paraId="1502CA61" w14:textId="4AD9011B" w:rsidR="00D61D03" w:rsidRPr="00D61D03" w:rsidRDefault="00D61D03" w:rsidP="00661BB7">
            <w:pPr>
              <w:pStyle w:val="Tabletext"/>
              <w:ind w:left="0" w:right="0"/>
            </w:pPr>
            <w:r w:rsidRPr="00D61D03">
              <w:t>Secondary:</w:t>
            </w:r>
          </w:p>
          <w:p w14:paraId="271AB6FE" w14:textId="77777777" w:rsidR="00D61D03" w:rsidRPr="00E0654F" w:rsidRDefault="00D61D03" w:rsidP="00E0654F">
            <w:pPr>
              <w:pStyle w:val="ListBullet"/>
              <w:rPr>
                <w:sz w:val="19"/>
                <w:szCs w:val="19"/>
              </w:rPr>
            </w:pPr>
            <w:r w:rsidRPr="00E0654F">
              <w:rPr>
                <w:sz w:val="19"/>
                <w:szCs w:val="19"/>
              </w:rPr>
              <w:t>To define the safety profile of entrectinib</w:t>
            </w:r>
          </w:p>
          <w:p w14:paraId="46EAFA40" w14:textId="77777777" w:rsidR="00D61D03" w:rsidRPr="00E0654F" w:rsidRDefault="00D61D03" w:rsidP="00E0654F">
            <w:pPr>
              <w:pStyle w:val="ListBullet"/>
              <w:rPr>
                <w:sz w:val="19"/>
                <w:szCs w:val="19"/>
              </w:rPr>
            </w:pPr>
            <w:r w:rsidRPr="00E0654F">
              <w:rPr>
                <w:sz w:val="19"/>
                <w:szCs w:val="19"/>
              </w:rPr>
              <w:t>To evaluate the PK of entrectinib in plasma</w:t>
            </w:r>
          </w:p>
          <w:p w14:paraId="3F8F4A22" w14:textId="77777777" w:rsidR="00D61D03" w:rsidRPr="00E0654F" w:rsidRDefault="00D61D03" w:rsidP="00E0654F">
            <w:pPr>
              <w:pStyle w:val="ListBullet"/>
              <w:rPr>
                <w:sz w:val="19"/>
                <w:szCs w:val="19"/>
              </w:rPr>
            </w:pPr>
            <w:r w:rsidRPr="00E0654F">
              <w:rPr>
                <w:sz w:val="19"/>
                <w:szCs w:val="19"/>
              </w:rPr>
              <w:t xml:space="preserve">To document any </w:t>
            </w:r>
            <w:proofErr w:type="spellStart"/>
            <w:r w:rsidRPr="00E0654F">
              <w:rPr>
                <w:sz w:val="19"/>
                <w:szCs w:val="19"/>
              </w:rPr>
              <w:t>antitumour</w:t>
            </w:r>
            <w:proofErr w:type="spellEnd"/>
            <w:r w:rsidRPr="00E0654F">
              <w:rPr>
                <w:sz w:val="19"/>
                <w:szCs w:val="19"/>
              </w:rPr>
              <w:t xml:space="preserve"> activity of entrectinib (by imaging)</w:t>
            </w:r>
          </w:p>
          <w:p w14:paraId="771BCEDE" w14:textId="77777777" w:rsidR="00D61D03" w:rsidRPr="003714A5" w:rsidRDefault="00D61D03" w:rsidP="003714A5">
            <w:pPr>
              <w:pStyle w:val="ListBullet"/>
              <w:rPr>
                <w:sz w:val="19"/>
                <w:szCs w:val="19"/>
              </w:rPr>
            </w:pPr>
            <w:r w:rsidRPr="003714A5">
              <w:rPr>
                <w:sz w:val="19"/>
                <w:szCs w:val="19"/>
              </w:rPr>
              <w:t>Up to 5 target lesions per patient identified by imaging at start of study and end of last cycle.</w:t>
            </w:r>
          </w:p>
          <w:p w14:paraId="00DC16A9" w14:textId="77777777" w:rsidR="00D61D03" w:rsidRPr="00D61D03" w:rsidRDefault="00D61D03" w:rsidP="00661BB7">
            <w:pPr>
              <w:pStyle w:val="Tabletext"/>
              <w:ind w:left="0" w:right="0"/>
            </w:pPr>
            <w:r w:rsidRPr="00D61D03">
              <w:t>Analysis populations:</w:t>
            </w:r>
          </w:p>
          <w:p w14:paraId="2DBA4A09" w14:textId="5468CFAF" w:rsidR="00D61D03" w:rsidRPr="003576A2" w:rsidRDefault="00F2463B" w:rsidP="00661BB7">
            <w:pPr>
              <w:pStyle w:val="ListBullet"/>
              <w:rPr>
                <w:szCs w:val="19"/>
              </w:rPr>
            </w:pPr>
            <w:r w:rsidRPr="00661BB7">
              <w:rPr>
                <w:sz w:val="19"/>
                <w:szCs w:val="19"/>
              </w:rPr>
              <w:t>PK (</w:t>
            </w:r>
            <w:r w:rsidR="00D61D03" w:rsidRPr="00661BB7">
              <w:rPr>
                <w:sz w:val="19"/>
                <w:szCs w:val="19"/>
              </w:rPr>
              <w:t>n</w:t>
            </w:r>
            <w:r w:rsidRPr="00661BB7">
              <w:rPr>
                <w:sz w:val="19"/>
                <w:szCs w:val="19"/>
              </w:rPr>
              <w:t xml:space="preserve"> </w:t>
            </w:r>
            <w:r w:rsidR="00D61D03" w:rsidRPr="00661BB7">
              <w:rPr>
                <w:sz w:val="19"/>
                <w:szCs w:val="19"/>
              </w:rPr>
              <w:t>=</w:t>
            </w:r>
            <w:r w:rsidRPr="00661BB7">
              <w:rPr>
                <w:sz w:val="19"/>
                <w:szCs w:val="19"/>
              </w:rPr>
              <w:t xml:space="preserve"> 57)</w:t>
            </w:r>
            <w:r w:rsidR="00FF75BA" w:rsidRPr="00661BB7">
              <w:rPr>
                <w:sz w:val="19"/>
                <w:szCs w:val="19"/>
              </w:rPr>
              <w:t xml:space="preserve">, </w:t>
            </w:r>
            <w:r w:rsidRPr="00661BB7">
              <w:rPr>
                <w:sz w:val="19"/>
                <w:szCs w:val="19"/>
              </w:rPr>
              <w:t>Safety (</w:t>
            </w:r>
            <w:r w:rsidR="00D61D03" w:rsidRPr="00661BB7">
              <w:rPr>
                <w:sz w:val="19"/>
                <w:szCs w:val="19"/>
              </w:rPr>
              <w:t>n</w:t>
            </w:r>
            <w:r w:rsidRPr="00661BB7">
              <w:rPr>
                <w:sz w:val="19"/>
                <w:szCs w:val="19"/>
              </w:rPr>
              <w:t xml:space="preserve"> </w:t>
            </w:r>
            <w:r w:rsidR="00D61D03" w:rsidRPr="00661BB7">
              <w:rPr>
                <w:sz w:val="19"/>
                <w:szCs w:val="19"/>
              </w:rPr>
              <w:t>=</w:t>
            </w:r>
            <w:r w:rsidRPr="00661BB7">
              <w:rPr>
                <w:sz w:val="19"/>
                <w:szCs w:val="19"/>
              </w:rPr>
              <w:t xml:space="preserve"> 57)</w:t>
            </w:r>
          </w:p>
          <w:p w14:paraId="5EB6FBE5" w14:textId="77777777" w:rsidR="00D61D03" w:rsidRPr="003576A2" w:rsidRDefault="00D61D03" w:rsidP="00661BB7">
            <w:pPr>
              <w:pStyle w:val="ListBullet"/>
              <w:rPr>
                <w:szCs w:val="19"/>
              </w:rPr>
            </w:pPr>
            <w:r w:rsidRPr="00661BB7">
              <w:rPr>
                <w:sz w:val="19"/>
                <w:szCs w:val="19"/>
              </w:rPr>
              <w:lastRenderedPageBreak/>
              <w:t>Number of patients included in Primary Analysis Set for the NTRK indication = 1</w:t>
            </w:r>
          </w:p>
          <w:p w14:paraId="2CEA605D" w14:textId="77777777" w:rsidR="00D61D03" w:rsidRPr="00D61D03" w:rsidRDefault="00D61D03" w:rsidP="00661BB7">
            <w:pPr>
              <w:pStyle w:val="ListBullet"/>
            </w:pPr>
            <w:r w:rsidRPr="00661BB7">
              <w:rPr>
                <w:sz w:val="19"/>
                <w:szCs w:val="19"/>
              </w:rPr>
              <w:t>Number of patients included in Primary Analysis Set for the ROS1 indication = 9</w:t>
            </w:r>
          </w:p>
        </w:tc>
      </w:tr>
    </w:tbl>
    <w:p w14:paraId="5881A8FB" w14:textId="238C08DF" w:rsidR="00D61D03" w:rsidRDefault="00654B14" w:rsidP="00661BB7">
      <w:pPr>
        <w:pStyle w:val="Heading6"/>
      </w:pPr>
      <w:r>
        <w:lastRenderedPageBreak/>
        <w:t xml:space="preserve">Study </w:t>
      </w:r>
      <w:r w:rsidR="00D61D03" w:rsidRPr="00D61D03">
        <w:t>RXDX-101-01/GO40784</w:t>
      </w:r>
      <w:r>
        <w:t xml:space="preserve"> (STARTRK-1 trial)</w:t>
      </w:r>
    </w:p>
    <w:p w14:paraId="42F0E16C" w14:textId="7E8616EB" w:rsidR="00017B2C" w:rsidRPr="00017B2C" w:rsidRDefault="00017B2C" w:rsidP="00661BB7">
      <w:pPr>
        <w:pStyle w:val="TableTitle"/>
      </w:pPr>
      <w:r>
        <w:t xml:space="preserve">Table </w:t>
      </w:r>
      <w:fldSimple w:instr=" SEQ Table \* ARABIC ">
        <w:r w:rsidR="009B407B">
          <w:rPr>
            <w:noProof/>
          </w:rPr>
          <w:t>11</w:t>
        </w:r>
      </w:fldSimple>
      <w:r>
        <w:t xml:space="preserve">: Study </w:t>
      </w:r>
      <w:r w:rsidRPr="00D61D03">
        <w:t>RXDX-101-01/GO40784</w:t>
      </w:r>
      <w:r>
        <w:t xml:space="preserve"> (STARTRK-1 trial) </w:t>
      </w:r>
      <w:r w:rsidRPr="00D61D03">
        <w:t>description</w:t>
      </w:r>
    </w:p>
    <w:tbl>
      <w:tblPr>
        <w:tblStyle w:val="TableTGAblue"/>
        <w:tblW w:w="8755" w:type="dxa"/>
        <w:tblLook w:val="04A0" w:firstRow="1" w:lastRow="0" w:firstColumn="1" w:lastColumn="0" w:noHBand="0" w:noVBand="1"/>
      </w:tblPr>
      <w:tblGrid>
        <w:gridCol w:w="1266"/>
        <w:gridCol w:w="7489"/>
      </w:tblGrid>
      <w:tr w:rsidR="00D61D03" w:rsidRPr="00D61D03" w14:paraId="0951F5D0" w14:textId="77777777" w:rsidTr="00F9338F">
        <w:trPr>
          <w:cnfStyle w:val="100000000000" w:firstRow="1" w:lastRow="0" w:firstColumn="0" w:lastColumn="0" w:oddVBand="0" w:evenVBand="0" w:oddHBand="0" w:evenHBand="0" w:firstRowFirstColumn="0" w:firstRowLastColumn="0" w:lastRowFirstColumn="0" w:lastRowLastColumn="0"/>
        </w:trPr>
        <w:tc>
          <w:tcPr>
            <w:tcW w:w="8755" w:type="dxa"/>
            <w:gridSpan w:val="2"/>
          </w:tcPr>
          <w:p w14:paraId="013C81F3" w14:textId="77777777" w:rsidR="00D61D03" w:rsidRPr="001823E7" w:rsidRDefault="00D61D03" w:rsidP="00661BB7">
            <w:pPr>
              <w:pStyle w:val="Tabletext"/>
              <w:ind w:left="0" w:right="0"/>
            </w:pPr>
            <w:r w:rsidRPr="001823E7">
              <w:t>Study description</w:t>
            </w:r>
          </w:p>
        </w:tc>
      </w:tr>
      <w:tr w:rsidR="00D61D03" w:rsidRPr="00D61D03" w14:paraId="3324A82B" w14:textId="77777777" w:rsidTr="00CE2749">
        <w:tc>
          <w:tcPr>
            <w:tcW w:w="1266" w:type="dxa"/>
          </w:tcPr>
          <w:p w14:paraId="284FD853" w14:textId="7CAF0FB4" w:rsidR="00D61D03" w:rsidRPr="00D61D03" w:rsidRDefault="00D61D03" w:rsidP="00661BB7">
            <w:pPr>
              <w:pStyle w:val="Tabletext"/>
              <w:ind w:left="0" w:right="0"/>
            </w:pPr>
            <w:r w:rsidRPr="00D61D03">
              <w:t>Population (enrolled</w:t>
            </w:r>
            <w:r w:rsidR="00F2463B">
              <w:t xml:space="preserve"> </w:t>
            </w:r>
            <w:r w:rsidRPr="00D61D03">
              <w:t>=</w:t>
            </w:r>
            <w:r w:rsidR="00F2463B">
              <w:t xml:space="preserve"> </w:t>
            </w:r>
            <w:r w:rsidRPr="00D61D03">
              <w:t>76)</w:t>
            </w:r>
          </w:p>
        </w:tc>
        <w:tc>
          <w:tcPr>
            <w:tcW w:w="7489" w:type="dxa"/>
          </w:tcPr>
          <w:p w14:paraId="1A2AAA21" w14:textId="67CD0BCC" w:rsidR="00D61D03" w:rsidRPr="00D61D03" w:rsidRDefault="00BD04CD" w:rsidP="00661BB7">
            <w:pPr>
              <w:pStyle w:val="Tabletext"/>
              <w:ind w:left="0" w:right="0"/>
            </w:pPr>
            <w:r>
              <w:t>Phase I</w:t>
            </w:r>
            <w:r w:rsidR="00D61D03" w:rsidRPr="00D61D03">
              <w:t>, open label, dose escalation (3</w:t>
            </w:r>
            <w:r w:rsidR="003714A5">
              <w:t xml:space="preserve"> </w:t>
            </w:r>
            <w:r w:rsidR="00D61D03" w:rsidRPr="00D61D03">
              <w:t>+</w:t>
            </w:r>
            <w:r w:rsidR="003714A5">
              <w:t xml:space="preserve"> </w:t>
            </w:r>
            <w:r w:rsidR="00D61D03" w:rsidRPr="00D61D03">
              <w:t xml:space="preserve">3 design) and dose expansion study in adults with relapsed or refractory </w:t>
            </w:r>
            <w:proofErr w:type="spellStart"/>
            <w:r w:rsidR="00D61D03" w:rsidRPr="00D61D03">
              <w:t>adv</w:t>
            </w:r>
            <w:proofErr w:type="spellEnd"/>
            <w:r w:rsidR="00D61D03" w:rsidRPr="00D61D03">
              <w:t>/met solid tumours, including tumours with NTRK1/2/3, ROS1 or ALK molecular alteration.</w:t>
            </w:r>
          </w:p>
          <w:p w14:paraId="7286A520" w14:textId="4ACB8637" w:rsidR="00D61D03" w:rsidRPr="00351F3A" w:rsidRDefault="003714A5" w:rsidP="00661BB7">
            <w:pPr>
              <w:pStyle w:val="Tabletext"/>
              <w:ind w:left="0" w:right="0"/>
            </w:pPr>
            <w:r>
              <w:t xml:space="preserve">The </w:t>
            </w:r>
            <w:r w:rsidR="00FB2BA7">
              <w:t>Delegate note</w:t>
            </w:r>
            <w:r>
              <w:t>s that t</w:t>
            </w:r>
            <w:r w:rsidR="00D61D03" w:rsidRPr="00351F3A">
              <w:t>he submitted report states:</w:t>
            </w:r>
          </w:p>
          <w:p w14:paraId="3279AD18" w14:textId="5D3ABE7A" w:rsidR="00D61D03" w:rsidRPr="008F5D7D" w:rsidRDefault="00351F3A" w:rsidP="00661BB7">
            <w:pPr>
              <w:pStyle w:val="Tabletext"/>
              <w:ind w:left="720"/>
            </w:pPr>
            <w:r>
              <w:t>‘</w:t>
            </w:r>
            <w:r w:rsidR="00D61D03" w:rsidRPr="008F5D7D">
              <w:t xml:space="preserve">At least 15 patients were anticipated to </w:t>
            </w:r>
            <w:proofErr w:type="spellStart"/>
            <w:r w:rsidR="00D61D03" w:rsidRPr="008F5D7D">
              <w:t>enroll</w:t>
            </w:r>
            <w:proofErr w:type="spellEnd"/>
            <w:r w:rsidR="00D61D03" w:rsidRPr="008F5D7D">
              <w:t xml:space="preserve"> into the dose escalation segment of the study. The actual number of patients enrolled was 76. As of the </w:t>
            </w:r>
            <w:proofErr w:type="spellStart"/>
            <w:r w:rsidR="00D61D03" w:rsidRPr="008F5D7D">
              <w:t>enrollment</w:t>
            </w:r>
            <w:proofErr w:type="spellEnd"/>
            <w:r w:rsidR="00D61D03" w:rsidRPr="008F5D7D">
              <w:t xml:space="preserve"> </w:t>
            </w:r>
            <w:proofErr w:type="spellStart"/>
            <w:r w:rsidR="00D61D03" w:rsidRPr="008F5D7D">
              <w:t>cutoff</w:t>
            </w:r>
            <w:proofErr w:type="spellEnd"/>
            <w:r w:rsidR="00D61D03" w:rsidRPr="008F5D7D">
              <w:t xml:space="preserve"> of 30 Nov</w:t>
            </w:r>
            <w:r w:rsidR="003714A5">
              <w:t>ember</w:t>
            </w:r>
            <w:r w:rsidR="00D61D03" w:rsidRPr="008F5D7D">
              <w:t xml:space="preserve"> 2017, no patients were enrolled in the </w:t>
            </w:r>
            <w:r>
              <w:t>ongoing dose expansion segment.</w:t>
            </w:r>
          </w:p>
          <w:p w14:paraId="00F23DED" w14:textId="41138258" w:rsidR="00D61D03" w:rsidRPr="00D61D03" w:rsidRDefault="00D61D03" w:rsidP="00661BB7">
            <w:pPr>
              <w:pStyle w:val="Tabletext"/>
              <w:ind w:left="720" w:right="0"/>
            </w:pPr>
            <w:r w:rsidRPr="008F5D7D">
              <w:t>Presumably patients wh</w:t>
            </w:r>
            <w:r w:rsidR="0094772D">
              <w:t>o at the time of STARTRK-1 trial</w:t>
            </w:r>
            <w:r w:rsidRPr="008F5D7D">
              <w:t xml:space="preserve"> design were envisioned to continue in the dose expansion segment were instead enrolled in STARTRK-2.</w:t>
            </w:r>
            <w:r w:rsidR="00351F3A">
              <w:t>’</w:t>
            </w:r>
          </w:p>
          <w:p w14:paraId="683E5628" w14:textId="77777777" w:rsidR="00D61D03" w:rsidRPr="00D61D03" w:rsidRDefault="00D61D03" w:rsidP="00661BB7">
            <w:pPr>
              <w:pStyle w:val="Tabletext"/>
              <w:ind w:left="0" w:right="0"/>
            </w:pPr>
            <w:r w:rsidRPr="00D61D03">
              <w:t>Inclusion criteria (abridged):</w:t>
            </w:r>
          </w:p>
          <w:p w14:paraId="3A7C2B0D" w14:textId="77777777" w:rsidR="00D61D03" w:rsidRPr="003714A5" w:rsidRDefault="00D61D03" w:rsidP="003714A5">
            <w:pPr>
              <w:pStyle w:val="ListBullet"/>
              <w:rPr>
                <w:sz w:val="19"/>
                <w:szCs w:val="19"/>
              </w:rPr>
            </w:pPr>
            <w:proofErr w:type="spellStart"/>
            <w:r w:rsidRPr="003714A5">
              <w:rPr>
                <w:sz w:val="19"/>
                <w:szCs w:val="19"/>
              </w:rPr>
              <w:t>Histo</w:t>
            </w:r>
            <w:proofErr w:type="spellEnd"/>
            <w:r w:rsidRPr="003714A5">
              <w:rPr>
                <w:sz w:val="19"/>
                <w:szCs w:val="19"/>
              </w:rPr>
              <w:t>/</w:t>
            </w:r>
            <w:proofErr w:type="spellStart"/>
            <w:r w:rsidRPr="003714A5">
              <w:rPr>
                <w:sz w:val="19"/>
                <w:szCs w:val="19"/>
              </w:rPr>
              <w:t>cytologically</w:t>
            </w:r>
            <w:proofErr w:type="spellEnd"/>
            <w:r w:rsidRPr="003714A5">
              <w:rPr>
                <w:sz w:val="19"/>
                <w:szCs w:val="19"/>
              </w:rPr>
              <w:t xml:space="preserve"> confirmed diagnosis of solid cancer, with no acceptable therapeutic options</w:t>
            </w:r>
          </w:p>
          <w:p w14:paraId="488C73F4" w14:textId="3CD247CB" w:rsidR="00D61D03" w:rsidRPr="002F4F02" w:rsidRDefault="00D61D03" w:rsidP="003714A5">
            <w:pPr>
              <w:pStyle w:val="ListBullet"/>
              <w:rPr>
                <w:sz w:val="19"/>
                <w:szCs w:val="19"/>
              </w:rPr>
            </w:pPr>
            <w:r w:rsidRPr="003714A5">
              <w:rPr>
                <w:sz w:val="19"/>
                <w:szCs w:val="19"/>
              </w:rPr>
              <w:t>NTRK1/2/3, ROS1 or ALK gene rearrangement required (dose expansion segment only; preferred but not required for dose escalation segment), predicted to result in a functional kinase, with no concomitant oth</w:t>
            </w:r>
            <w:r w:rsidRPr="002F4F02">
              <w:rPr>
                <w:sz w:val="19"/>
                <w:szCs w:val="19"/>
              </w:rPr>
              <w:t>er driver mutation (</w:t>
            </w:r>
            <w:r w:rsidR="00BD04CD" w:rsidRPr="002F4F02">
              <w:rPr>
                <w:sz w:val="19"/>
                <w:szCs w:val="19"/>
              </w:rPr>
              <w:t>for example</w:t>
            </w:r>
            <w:r w:rsidRPr="002F4F02">
              <w:rPr>
                <w:sz w:val="19"/>
                <w:szCs w:val="19"/>
              </w:rPr>
              <w:t xml:space="preserve"> EGFR or KRAS)</w:t>
            </w:r>
          </w:p>
          <w:p w14:paraId="4F493680" w14:textId="40EF1255" w:rsidR="00D61D03" w:rsidRPr="003714A5" w:rsidRDefault="00D61D03" w:rsidP="003714A5">
            <w:pPr>
              <w:pStyle w:val="ListBullet"/>
              <w:rPr>
                <w:sz w:val="19"/>
                <w:szCs w:val="19"/>
              </w:rPr>
            </w:pPr>
            <w:r w:rsidRPr="002F4F02">
              <w:rPr>
                <w:sz w:val="19"/>
                <w:szCs w:val="19"/>
              </w:rPr>
              <w:t xml:space="preserve">Measurable disease by </w:t>
            </w:r>
            <w:r w:rsidR="00FB2BA7" w:rsidRPr="002F4F02">
              <w:rPr>
                <w:sz w:val="19"/>
                <w:szCs w:val="19"/>
              </w:rPr>
              <w:t>local assessment per RECIST;</w:t>
            </w:r>
            <w:bookmarkStart w:id="50" w:name="_Ref52176997"/>
            <w:r w:rsidR="00070635" w:rsidRPr="000C761A">
              <w:rPr>
                <w:sz w:val="19"/>
                <w:szCs w:val="19"/>
                <w:vertAlign w:val="superscript"/>
              </w:rPr>
              <w:t>18</w:t>
            </w:r>
            <w:bookmarkEnd w:id="50"/>
            <w:r w:rsidR="00FB2BA7" w:rsidRPr="003714A5">
              <w:rPr>
                <w:sz w:val="19"/>
                <w:szCs w:val="19"/>
              </w:rPr>
              <w:t>v1.1</w:t>
            </w:r>
          </w:p>
          <w:p w14:paraId="46BCA4B1" w14:textId="77777777" w:rsidR="00D61D03" w:rsidRPr="003714A5" w:rsidRDefault="00D61D03" w:rsidP="002F4F02">
            <w:pPr>
              <w:pStyle w:val="ListBullet"/>
              <w:rPr>
                <w:sz w:val="19"/>
                <w:szCs w:val="19"/>
              </w:rPr>
            </w:pPr>
            <w:r w:rsidRPr="003714A5">
              <w:rPr>
                <w:sz w:val="19"/>
                <w:szCs w:val="19"/>
              </w:rPr>
              <w:t>Tissue for analysis if clinically feasible (dose expansion only)</w:t>
            </w:r>
          </w:p>
          <w:p w14:paraId="4E06EC1F" w14:textId="77777777" w:rsidR="00D61D03" w:rsidRPr="002F4F02" w:rsidRDefault="00D61D03" w:rsidP="002F4F02">
            <w:pPr>
              <w:pStyle w:val="ListBullet"/>
              <w:rPr>
                <w:sz w:val="19"/>
                <w:szCs w:val="19"/>
              </w:rPr>
            </w:pPr>
            <w:r w:rsidRPr="002F4F02">
              <w:rPr>
                <w:sz w:val="19"/>
                <w:szCs w:val="19"/>
              </w:rPr>
              <w:t xml:space="preserve">Prior therapy was allowed including </w:t>
            </w:r>
            <w:proofErr w:type="spellStart"/>
            <w:r w:rsidRPr="002F4F02">
              <w:rPr>
                <w:sz w:val="19"/>
                <w:szCs w:val="19"/>
              </w:rPr>
              <w:t>crizotinib</w:t>
            </w:r>
            <w:proofErr w:type="spellEnd"/>
            <w:r w:rsidRPr="002F4F02">
              <w:rPr>
                <w:sz w:val="19"/>
                <w:szCs w:val="19"/>
              </w:rPr>
              <w:t xml:space="preserve"> and </w:t>
            </w:r>
            <w:proofErr w:type="spellStart"/>
            <w:r w:rsidRPr="002F4F02">
              <w:rPr>
                <w:sz w:val="19"/>
                <w:szCs w:val="19"/>
              </w:rPr>
              <w:t>ceritinib</w:t>
            </w:r>
            <w:proofErr w:type="spellEnd"/>
            <w:r w:rsidRPr="002F4F02">
              <w:rPr>
                <w:sz w:val="19"/>
                <w:szCs w:val="19"/>
              </w:rPr>
              <w:t xml:space="preserve"> and investigational drugs</w:t>
            </w:r>
          </w:p>
          <w:p w14:paraId="7A9D4896" w14:textId="77777777" w:rsidR="00D61D03" w:rsidRPr="002F4F02" w:rsidRDefault="00D61D03" w:rsidP="002F4F02">
            <w:pPr>
              <w:pStyle w:val="ListBullet"/>
              <w:rPr>
                <w:sz w:val="19"/>
                <w:szCs w:val="19"/>
              </w:rPr>
            </w:pPr>
            <w:r w:rsidRPr="002F4F02">
              <w:rPr>
                <w:sz w:val="19"/>
                <w:szCs w:val="19"/>
              </w:rPr>
              <w:t>CNS involvement ok if controlled/asymptomatic</w:t>
            </w:r>
          </w:p>
          <w:p w14:paraId="7EF68ED6" w14:textId="77777777" w:rsidR="00D61D03" w:rsidRPr="002F4F02" w:rsidRDefault="00D61D03" w:rsidP="002F4F02">
            <w:pPr>
              <w:pStyle w:val="ListBullet"/>
              <w:rPr>
                <w:sz w:val="19"/>
                <w:szCs w:val="19"/>
              </w:rPr>
            </w:pPr>
            <w:r w:rsidRPr="002F4F02">
              <w:rPr>
                <w:sz w:val="19"/>
                <w:szCs w:val="19"/>
              </w:rPr>
              <w:t>ECOG no worse than 2, life expectancy at least 3 months</w:t>
            </w:r>
          </w:p>
          <w:p w14:paraId="53D29AC2" w14:textId="77777777" w:rsidR="00D61D03" w:rsidRPr="00D61D03" w:rsidRDefault="00D61D03" w:rsidP="00661BB7">
            <w:pPr>
              <w:pStyle w:val="Tabletext"/>
              <w:ind w:left="0" w:right="0"/>
            </w:pPr>
            <w:r w:rsidRPr="00D61D03">
              <w:t>Exclusion criteria (abridged):</w:t>
            </w:r>
          </w:p>
          <w:p w14:paraId="5187D76C" w14:textId="648EFAA6" w:rsidR="00D61D03" w:rsidRPr="003714A5" w:rsidRDefault="00FB2BA7" w:rsidP="003714A5">
            <w:pPr>
              <w:pStyle w:val="ListBullet"/>
              <w:rPr>
                <w:sz w:val="19"/>
                <w:szCs w:val="19"/>
              </w:rPr>
            </w:pPr>
            <w:r w:rsidRPr="003714A5">
              <w:rPr>
                <w:sz w:val="19"/>
                <w:szCs w:val="19"/>
              </w:rPr>
              <w:t>Prior entrectinib</w:t>
            </w:r>
          </w:p>
          <w:p w14:paraId="636026FE" w14:textId="77777777" w:rsidR="00D61D03" w:rsidRPr="003714A5" w:rsidRDefault="00D61D03" w:rsidP="003714A5">
            <w:pPr>
              <w:pStyle w:val="ListBullet"/>
              <w:rPr>
                <w:sz w:val="19"/>
                <w:szCs w:val="19"/>
              </w:rPr>
            </w:pPr>
            <w:r w:rsidRPr="003714A5">
              <w:rPr>
                <w:sz w:val="19"/>
                <w:szCs w:val="19"/>
              </w:rPr>
              <w:t>Standard (significant medical/surgical illnesses, inadequate organ function, reproductive status)</w:t>
            </w:r>
          </w:p>
          <w:p w14:paraId="7AC4D987" w14:textId="18031F28" w:rsidR="00D61D03" w:rsidRPr="002F4F02" w:rsidRDefault="00FB2BA7" w:rsidP="002F4F02">
            <w:pPr>
              <w:pStyle w:val="ListBullet"/>
              <w:rPr>
                <w:sz w:val="19"/>
                <w:szCs w:val="19"/>
              </w:rPr>
            </w:pPr>
            <w:r w:rsidRPr="002F4F02">
              <w:rPr>
                <w:sz w:val="19"/>
                <w:szCs w:val="19"/>
              </w:rPr>
              <w:t>Elevated QT risk</w:t>
            </w:r>
          </w:p>
          <w:p w14:paraId="6CDA0886" w14:textId="1B4209A4" w:rsidR="00D61D03" w:rsidRPr="002F4F02" w:rsidRDefault="00555640" w:rsidP="002F4F02">
            <w:pPr>
              <w:pStyle w:val="ListBullet"/>
              <w:rPr>
                <w:sz w:val="19"/>
                <w:szCs w:val="19"/>
              </w:rPr>
            </w:pPr>
            <w:r w:rsidRPr="002F4F02">
              <w:rPr>
                <w:sz w:val="19"/>
                <w:szCs w:val="19"/>
              </w:rPr>
              <w:t>Peripheral neuropathy G</w:t>
            </w:r>
            <w:r w:rsidR="00D61D03" w:rsidRPr="002F4F02">
              <w:rPr>
                <w:sz w:val="19"/>
                <w:szCs w:val="19"/>
              </w:rPr>
              <w:t>rade 2 or higher</w:t>
            </w:r>
          </w:p>
          <w:p w14:paraId="0385FFE2" w14:textId="61C7DCC3" w:rsidR="00D61D03" w:rsidRPr="002F4F02" w:rsidRDefault="00FB2BA7" w:rsidP="002F4F02">
            <w:pPr>
              <w:pStyle w:val="ListBullet"/>
              <w:rPr>
                <w:sz w:val="19"/>
                <w:szCs w:val="19"/>
              </w:rPr>
            </w:pPr>
            <w:r w:rsidRPr="002F4F02">
              <w:rPr>
                <w:sz w:val="19"/>
                <w:szCs w:val="19"/>
              </w:rPr>
              <w:t>Interstitial lung disease</w:t>
            </w:r>
          </w:p>
          <w:p w14:paraId="46B636AD" w14:textId="69DD18C8" w:rsidR="00D61D03" w:rsidRPr="002F4F02" w:rsidRDefault="00D61D03" w:rsidP="002F4F02">
            <w:pPr>
              <w:pStyle w:val="ListBullet"/>
              <w:rPr>
                <w:sz w:val="19"/>
                <w:szCs w:val="19"/>
              </w:rPr>
            </w:pPr>
            <w:r w:rsidRPr="002F4F02">
              <w:rPr>
                <w:sz w:val="19"/>
                <w:szCs w:val="19"/>
              </w:rPr>
              <w:t>Recruitment for a particular molecular alteration would be stopped if no responses were</w:t>
            </w:r>
            <w:r w:rsidR="00FB2BA7" w:rsidRPr="002F4F02">
              <w:rPr>
                <w:sz w:val="19"/>
                <w:szCs w:val="19"/>
              </w:rPr>
              <w:t xml:space="preserve"> seen after 6 enrolled patients</w:t>
            </w:r>
          </w:p>
          <w:p w14:paraId="575C5FD1" w14:textId="77777777" w:rsidR="00D61D03" w:rsidRPr="00D61D03" w:rsidRDefault="00D61D03" w:rsidP="00661BB7">
            <w:pPr>
              <w:pStyle w:val="Tabletext"/>
              <w:ind w:left="0" w:right="0"/>
            </w:pPr>
            <w:r w:rsidRPr="00D61D03">
              <w:t>Location: 11 sites in the US, Spain and South Korea</w:t>
            </w:r>
          </w:p>
          <w:p w14:paraId="0DD4AE05" w14:textId="2D4C5F73" w:rsidR="00D61D03" w:rsidRPr="00D61D03" w:rsidRDefault="00D61D03" w:rsidP="00661BB7">
            <w:pPr>
              <w:pStyle w:val="Tabletext"/>
              <w:ind w:left="0" w:right="0"/>
            </w:pPr>
            <w:r w:rsidRPr="00D61D03">
              <w:t>Ongoing. Commenced July 2014. Data cut-off for interim report 31</w:t>
            </w:r>
            <w:r w:rsidR="00FB2BA7">
              <w:t xml:space="preserve"> May 2018.</w:t>
            </w:r>
          </w:p>
        </w:tc>
      </w:tr>
      <w:tr w:rsidR="00D61D03" w:rsidRPr="00D61D03" w14:paraId="63C795A1" w14:textId="77777777" w:rsidTr="00CE2749">
        <w:trPr>
          <w:trHeight w:val="2416"/>
        </w:trPr>
        <w:tc>
          <w:tcPr>
            <w:tcW w:w="1266" w:type="dxa"/>
          </w:tcPr>
          <w:p w14:paraId="205455DC" w14:textId="77777777" w:rsidR="00D61D03" w:rsidRPr="00D61D03" w:rsidRDefault="00D61D03" w:rsidP="00661BB7">
            <w:pPr>
              <w:pStyle w:val="Tabletext"/>
              <w:ind w:left="0" w:right="0"/>
            </w:pPr>
            <w:r w:rsidRPr="00D61D03">
              <w:lastRenderedPageBreak/>
              <w:t>Intervention</w:t>
            </w:r>
          </w:p>
        </w:tc>
        <w:tc>
          <w:tcPr>
            <w:tcW w:w="7489" w:type="dxa"/>
          </w:tcPr>
          <w:p w14:paraId="5E6EA366" w14:textId="77777777" w:rsidR="00D61D03" w:rsidRPr="00D61D03" w:rsidRDefault="00D61D03" w:rsidP="00661BB7">
            <w:pPr>
              <w:pStyle w:val="Tabletext"/>
              <w:ind w:left="0" w:right="0"/>
            </w:pPr>
            <w:r w:rsidRPr="00D61D03">
              <w:t>Formulations: F1 and F2A</w:t>
            </w:r>
          </w:p>
          <w:p w14:paraId="557F6F06" w14:textId="65F68BA7" w:rsidR="00D61D03" w:rsidRPr="00D61D03" w:rsidRDefault="00D61D03" w:rsidP="00661BB7">
            <w:pPr>
              <w:pStyle w:val="Tabletext"/>
              <w:ind w:left="0" w:right="0"/>
            </w:pPr>
            <w:r w:rsidRPr="00D61D03">
              <w:t>Dose range: 100</w:t>
            </w:r>
            <w:r w:rsidR="003714A5">
              <w:t xml:space="preserve"> to </w:t>
            </w:r>
            <w:r w:rsidRPr="00D61D03">
              <w:t>800 mg/day</w:t>
            </w:r>
          </w:p>
          <w:p w14:paraId="14D31365" w14:textId="0FF60F8A" w:rsidR="00D61D03" w:rsidRDefault="00D61D03" w:rsidP="00661BB7">
            <w:pPr>
              <w:pStyle w:val="Tabletext"/>
              <w:ind w:left="0" w:right="0"/>
            </w:pPr>
            <w:r w:rsidRPr="00D61D03">
              <w:t>Cycle = 28 days</w:t>
            </w:r>
          </w:p>
          <w:p w14:paraId="6DBECB51" w14:textId="6A5079C5" w:rsidR="003714A5" w:rsidRDefault="003714A5" w:rsidP="00661BB7">
            <w:pPr>
              <w:pStyle w:val="Tabletext"/>
              <w:ind w:left="0" w:right="0"/>
            </w:pPr>
            <w:r>
              <w:t>Dose schedule:</w:t>
            </w:r>
          </w:p>
          <w:p w14:paraId="2C5C72FA" w14:textId="564F128E" w:rsidR="003714A5" w:rsidRPr="003576A2" w:rsidRDefault="003714A5" w:rsidP="00661BB7">
            <w:pPr>
              <w:pStyle w:val="ListBullet"/>
              <w:rPr>
                <w:szCs w:val="19"/>
              </w:rPr>
            </w:pPr>
            <w:r w:rsidRPr="00661BB7">
              <w:rPr>
                <w:sz w:val="19"/>
                <w:szCs w:val="19"/>
              </w:rPr>
              <w:t>Dose escalation segment: commenced at 100 mg/m</w:t>
            </w:r>
            <w:r w:rsidRPr="00661BB7">
              <w:rPr>
                <w:sz w:val="19"/>
                <w:szCs w:val="19"/>
                <w:vertAlign w:val="superscript"/>
              </w:rPr>
              <w:t>2</w:t>
            </w:r>
            <w:r w:rsidRPr="00661BB7">
              <w:rPr>
                <w:sz w:val="19"/>
                <w:szCs w:val="19"/>
              </w:rPr>
              <w:t>, with dose escalations of 100% until MTD was reached</w:t>
            </w:r>
          </w:p>
          <w:p w14:paraId="3287BE3C" w14:textId="6F85AB0C" w:rsidR="003714A5" w:rsidRPr="003576A2" w:rsidRDefault="003714A5" w:rsidP="00661BB7">
            <w:pPr>
              <w:pStyle w:val="ListBullet"/>
              <w:rPr>
                <w:szCs w:val="19"/>
              </w:rPr>
            </w:pPr>
            <w:r w:rsidRPr="00661BB7">
              <w:rPr>
                <w:sz w:val="19"/>
                <w:szCs w:val="19"/>
              </w:rPr>
              <w:t>Dose expansion segment: A flat dose would be chosen derived from the BSA-based RP2D, and this flat dose was administered to a further cohort of patients.</w:t>
            </w:r>
          </w:p>
          <w:p w14:paraId="69CFCBBA" w14:textId="77777777" w:rsidR="00D61D03" w:rsidRPr="00D61D03" w:rsidRDefault="00D61D03" w:rsidP="00661BB7">
            <w:pPr>
              <w:pStyle w:val="Tabletext"/>
              <w:ind w:left="0" w:right="0"/>
            </w:pPr>
          </w:p>
        </w:tc>
      </w:tr>
      <w:tr w:rsidR="00D61D03" w:rsidRPr="00D61D03" w14:paraId="7FB23CA3" w14:textId="77777777" w:rsidTr="00CE2749">
        <w:trPr>
          <w:trHeight w:val="484"/>
        </w:trPr>
        <w:tc>
          <w:tcPr>
            <w:tcW w:w="1266" w:type="dxa"/>
          </w:tcPr>
          <w:p w14:paraId="7AC43360" w14:textId="77777777" w:rsidR="00D61D03" w:rsidRPr="00D61D03" w:rsidRDefault="00D61D03" w:rsidP="00661BB7">
            <w:pPr>
              <w:pStyle w:val="Tabletext"/>
              <w:ind w:left="0" w:right="0"/>
            </w:pPr>
            <w:r w:rsidRPr="00D61D03">
              <w:t>Endpoints</w:t>
            </w:r>
          </w:p>
        </w:tc>
        <w:tc>
          <w:tcPr>
            <w:tcW w:w="7489" w:type="dxa"/>
          </w:tcPr>
          <w:p w14:paraId="13321A28" w14:textId="749C0729" w:rsidR="002F4F02" w:rsidRDefault="002F4F02" w:rsidP="00661BB7">
            <w:pPr>
              <w:pStyle w:val="Tabletext"/>
              <w:ind w:left="0" w:right="0"/>
            </w:pPr>
            <w:r w:rsidRPr="00D61D03">
              <w:t>Primary endpoints</w:t>
            </w:r>
            <w:r>
              <w:t>:</w:t>
            </w:r>
          </w:p>
          <w:p w14:paraId="599BAD28" w14:textId="6784FAFB" w:rsidR="002F4F02" w:rsidRPr="003576A2" w:rsidRDefault="002F4F02" w:rsidP="00661BB7">
            <w:pPr>
              <w:pStyle w:val="ListBullet"/>
              <w:rPr>
                <w:szCs w:val="19"/>
              </w:rPr>
            </w:pPr>
            <w:r w:rsidRPr="00661BB7">
              <w:rPr>
                <w:sz w:val="19"/>
                <w:szCs w:val="19"/>
              </w:rPr>
              <w:t>Dose escalation segment: DLT, MTD, R2PD</w:t>
            </w:r>
          </w:p>
          <w:p w14:paraId="5BFA4DB6" w14:textId="257A25EF" w:rsidR="002F4F02" w:rsidRPr="003576A2" w:rsidRDefault="002F4F02" w:rsidP="00661BB7">
            <w:pPr>
              <w:pStyle w:val="ListBullet"/>
              <w:rPr>
                <w:szCs w:val="19"/>
              </w:rPr>
            </w:pPr>
            <w:r w:rsidRPr="00661BB7">
              <w:rPr>
                <w:sz w:val="19"/>
                <w:szCs w:val="19"/>
              </w:rPr>
              <w:t>Dose expansion segment: efficacy (ORR)</w:t>
            </w:r>
          </w:p>
          <w:p w14:paraId="5A0E0F86" w14:textId="6E94E2C4" w:rsidR="002F4F02" w:rsidRDefault="002F4F02" w:rsidP="00661BB7">
            <w:pPr>
              <w:pStyle w:val="Tabletext"/>
              <w:ind w:left="0" w:right="0"/>
            </w:pPr>
            <w:r w:rsidRPr="00D61D03">
              <w:t>Secondary endpoints</w:t>
            </w:r>
            <w:r>
              <w:t>:</w:t>
            </w:r>
          </w:p>
          <w:p w14:paraId="60CC5E6E" w14:textId="64F799FF" w:rsidR="002F4F02" w:rsidRPr="003576A2" w:rsidRDefault="002F4F02" w:rsidP="00661BB7">
            <w:pPr>
              <w:pStyle w:val="ListBullet"/>
              <w:rPr>
                <w:szCs w:val="19"/>
              </w:rPr>
            </w:pPr>
            <w:r w:rsidRPr="00661BB7">
              <w:rPr>
                <w:sz w:val="19"/>
                <w:szCs w:val="19"/>
              </w:rPr>
              <w:t>Dose escalation segment</w:t>
            </w:r>
          </w:p>
          <w:p w14:paraId="523FE087" w14:textId="77777777" w:rsidR="002F4F02" w:rsidRPr="003576A2" w:rsidRDefault="002F4F02" w:rsidP="00661BB7">
            <w:pPr>
              <w:pStyle w:val="ListBullet2"/>
              <w:rPr>
                <w:szCs w:val="19"/>
              </w:rPr>
            </w:pPr>
            <w:r w:rsidRPr="00661BB7">
              <w:rPr>
                <w:sz w:val="19"/>
                <w:szCs w:val="19"/>
              </w:rPr>
              <w:t>Safety and tolerability of entrectinib</w:t>
            </w:r>
          </w:p>
          <w:p w14:paraId="77957D32" w14:textId="77777777" w:rsidR="002F4F02" w:rsidRPr="003576A2" w:rsidRDefault="002F4F02" w:rsidP="00661BB7">
            <w:pPr>
              <w:pStyle w:val="ListBullet2"/>
              <w:rPr>
                <w:szCs w:val="19"/>
              </w:rPr>
            </w:pPr>
            <w:r w:rsidRPr="00661BB7">
              <w:rPr>
                <w:sz w:val="19"/>
                <w:szCs w:val="19"/>
              </w:rPr>
              <w:t>PK of entrectinib in plasma</w:t>
            </w:r>
          </w:p>
          <w:p w14:paraId="3CF0E56B" w14:textId="77777777" w:rsidR="002F4F02" w:rsidRPr="003576A2" w:rsidRDefault="002F4F02" w:rsidP="00661BB7">
            <w:pPr>
              <w:pStyle w:val="ListBullet2"/>
              <w:rPr>
                <w:szCs w:val="19"/>
              </w:rPr>
            </w:pPr>
            <w:r w:rsidRPr="00661BB7">
              <w:rPr>
                <w:sz w:val="19"/>
                <w:szCs w:val="19"/>
              </w:rPr>
              <w:t>Efficacy: ORR, clinical benefit rate (CBR), duration of response (DOR), progression-free survival (PFS), overall survival (OS).</w:t>
            </w:r>
          </w:p>
          <w:p w14:paraId="09DBB657" w14:textId="057C4A3E" w:rsidR="002F4F02" w:rsidRPr="003576A2" w:rsidRDefault="002F4F02" w:rsidP="00661BB7">
            <w:pPr>
              <w:pStyle w:val="ListBullet2"/>
              <w:rPr>
                <w:szCs w:val="19"/>
              </w:rPr>
            </w:pPr>
            <w:r w:rsidRPr="00661BB7">
              <w:rPr>
                <w:sz w:val="19"/>
                <w:szCs w:val="19"/>
              </w:rPr>
              <w:t>Pharmacodynamics (PD)</w:t>
            </w:r>
          </w:p>
          <w:p w14:paraId="0C38DF8E" w14:textId="4A3FD3FA" w:rsidR="002F4F02" w:rsidRPr="003576A2" w:rsidRDefault="002F4F02" w:rsidP="00661BB7">
            <w:pPr>
              <w:pStyle w:val="ListBullet"/>
              <w:rPr>
                <w:szCs w:val="19"/>
              </w:rPr>
            </w:pPr>
            <w:r w:rsidRPr="00661BB7">
              <w:rPr>
                <w:sz w:val="19"/>
                <w:szCs w:val="19"/>
              </w:rPr>
              <w:t>Dose expansion segment</w:t>
            </w:r>
          </w:p>
          <w:p w14:paraId="0AEAEAAE" w14:textId="77777777" w:rsidR="002F4F02" w:rsidRPr="003576A2" w:rsidRDefault="002F4F02" w:rsidP="00661BB7">
            <w:pPr>
              <w:pStyle w:val="ListBullet2"/>
              <w:rPr>
                <w:szCs w:val="19"/>
              </w:rPr>
            </w:pPr>
            <w:r w:rsidRPr="00661BB7">
              <w:rPr>
                <w:sz w:val="19"/>
                <w:szCs w:val="19"/>
              </w:rPr>
              <w:t>Efficacy: CBR, DOR, PFS, OS</w:t>
            </w:r>
          </w:p>
          <w:p w14:paraId="7139C430" w14:textId="7AE39F62" w:rsidR="002F4F02" w:rsidRPr="003576A2" w:rsidRDefault="002F4F02" w:rsidP="00661BB7">
            <w:pPr>
              <w:pStyle w:val="ListBullet2"/>
              <w:rPr>
                <w:szCs w:val="19"/>
              </w:rPr>
            </w:pPr>
            <w:r w:rsidRPr="00661BB7">
              <w:rPr>
                <w:sz w:val="19"/>
                <w:szCs w:val="19"/>
              </w:rPr>
              <w:t>Intracranial response;</w:t>
            </w:r>
            <w:r w:rsidRPr="00661BB7">
              <w:rPr>
                <w:sz w:val="19"/>
                <w:szCs w:val="19"/>
                <w:vertAlign w:val="superscript"/>
              </w:rPr>
              <w:footnoteReference w:id="20"/>
            </w:r>
          </w:p>
          <w:p w14:paraId="5028615E" w14:textId="77777777" w:rsidR="002F4F02" w:rsidRPr="003576A2" w:rsidRDefault="002F4F02" w:rsidP="00661BB7">
            <w:pPr>
              <w:pStyle w:val="ListBullet2"/>
              <w:rPr>
                <w:szCs w:val="19"/>
              </w:rPr>
            </w:pPr>
            <w:r w:rsidRPr="00661BB7">
              <w:rPr>
                <w:sz w:val="19"/>
                <w:szCs w:val="19"/>
              </w:rPr>
              <w:t>PK</w:t>
            </w:r>
          </w:p>
          <w:p w14:paraId="382C3DC6" w14:textId="77777777" w:rsidR="002F4F02" w:rsidRPr="003576A2" w:rsidRDefault="002F4F02" w:rsidP="00661BB7">
            <w:pPr>
              <w:pStyle w:val="ListBullet2"/>
              <w:rPr>
                <w:szCs w:val="19"/>
              </w:rPr>
            </w:pPr>
            <w:r w:rsidRPr="00661BB7">
              <w:rPr>
                <w:sz w:val="19"/>
                <w:szCs w:val="19"/>
              </w:rPr>
              <w:t>PD</w:t>
            </w:r>
          </w:p>
          <w:p w14:paraId="0DB3F2DE" w14:textId="144A9A9E" w:rsidR="002F4F02" w:rsidRPr="003576A2" w:rsidRDefault="002F4F02" w:rsidP="00661BB7">
            <w:pPr>
              <w:pStyle w:val="ListBullet2"/>
              <w:rPr>
                <w:szCs w:val="19"/>
              </w:rPr>
            </w:pPr>
            <w:r w:rsidRPr="00661BB7">
              <w:rPr>
                <w:sz w:val="19"/>
                <w:szCs w:val="19"/>
              </w:rPr>
              <w:t>Safety</w:t>
            </w:r>
          </w:p>
          <w:p w14:paraId="23007C21" w14:textId="33CB2408" w:rsidR="00D61D03" w:rsidRPr="00D61D03" w:rsidRDefault="00D61D03" w:rsidP="00661BB7">
            <w:pPr>
              <w:pStyle w:val="Tabletext"/>
              <w:ind w:left="0" w:right="0"/>
            </w:pPr>
            <w:r w:rsidRPr="00D61D03">
              <w:t>Measurement of efficacy:</w:t>
            </w:r>
          </w:p>
          <w:p w14:paraId="64A6D188" w14:textId="6A613AA3" w:rsidR="00D61D03" w:rsidRPr="003576A2" w:rsidRDefault="00D61D03" w:rsidP="00661BB7">
            <w:pPr>
              <w:pStyle w:val="ListBullet"/>
              <w:rPr>
                <w:szCs w:val="19"/>
              </w:rPr>
            </w:pPr>
            <w:r w:rsidRPr="00661BB7">
              <w:rPr>
                <w:sz w:val="19"/>
                <w:szCs w:val="19"/>
              </w:rPr>
              <w:t>Assessed using RECIST</w:t>
            </w:r>
            <w:r w:rsidR="009C0A48" w:rsidRPr="00661BB7">
              <w:rPr>
                <w:sz w:val="19"/>
                <w:szCs w:val="19"/>
              </w:rPr>
              <w:t>;</w:t>
            </w:r>
            <w:r w:rsidR="009C0A48" w:rsidRPr="00661BB7">
              <w:rPr>
                <w:sz w:val="19"/>
                <w:szCs w:val="19"/>
              </w:rPr>
              <w:fldChar w:fldCharType="begin"/>
            </w:r>
            <w:r w:rsidR="009C0A48" w:rsidRPr="00661BB7">
              <w:rPr>
                <w:sz w:val="19"/>
                <w:szCs w:val="19"/>
              </w:rPr>
              <w:instrText xml:space="preserve"> NOTEREF _Ref52176997 \f \h </w:instrText>
            </w:r>
            <w:r w:rsidR="002F4F02" w:rsidRPr="00661BB7">
              <w:rPr>
                <w:sz w:val="19"/>
                <w:szCs w:val="19"/>
              </w:rPr>
              <w:instrText xml:space="preserve"> \* MERGEFORMAT </w:instrText>
            </w:r>
            <w:r w:rsidR="009C0A48" w:rsidRPr="00661BB7">
              <w:rPr>
                <w:sz w:val="19"/>
                <w:szCs w:val="19"/>
              </w:rPr>
            </w:r>
            <w:r w:rsidR="009C0A48" w:rsidRPr="00661BB7">
              <w:rPr>
                <w:sz w:val="19"/>
                <w:szCs w:val="19"/>
              </w:rPr>
              <w:fldChar w:fldCharType="separate"/>
            </w:r>
            <w:r w:rsidR="005743D8" w:rsidRPr="00661BB7">
              <w:rPr>
                <w:rStyle w:val="FootnoteReference"/>
                <w:sz w:val="19"/>
                <w:szCs w:val="19"/>
              </w:rPr>
              <w:t>19</w:t>
            </w:r>
            <w:r w:rsidR="009C0A48" w:rsidRPr="00661BB7">
              <w:rPr>
                <w:sz w:val="19"/>
                <w:szCs w:val="19"/>
              </w:rPr>
              <w:fldChar w:fldCharType="end"/>
            </w:r>
            <w:r w:rsidRPr="00661BB7">
              <w:rPr>
                <w:sz w:val="19"/>
                <w:szCs w:val="19"/>
              </w:rPr>
              <w:t xml:space="preserve"> v1.1</w:t>
            </w:r>
          </w:p>
          <w:p w14:paraId="6EC13C8C" w14:textId="1A949C8E" w:rsidR="00D61D03" w:rsidRPr="003576A2" w:rsidRDefault="00D61D03" w:rsidP="00661BB7">
            <w:pPr>
              <w:pStyle w:val="ListBullet"/>
              <w:rPr>
                <w:szCs w:val="19"/>
              </w:rPr>
            </w:pPr>
            <w:r w:rsidRPr="00661BB7">
              <w:rPr>
                <w:sz w:val="19"/>
                <w:szCs w:val="19"/>
              </w:rPr>
              <w:t xml:space="preserve">Thorax, abdomen and brain imaging was done at </w:t>
            </w:r>
            <w:r w:rsidR="00957601" w:rsidRPr="00661BB7">
              <w:rPr>
                <w:sz w:val="19"/>
                <w:szCs w:val="19"/>
              </w:rPr>
              <w:t>Baseline</w:t>
            </w:r>
            <w:r w:rsidRPr="00661BB7">
              <w:rPr>
                <w:sz w:val="19"/>
                <w:szCs w:val="19"/>
              </w:rPr>
              <w:t>, end of cycle 1, then every 2 subsequent cycles</w:t>
            </w:r>
          </w:p>
          <w:p w14:paraId="063CC784" w14:textId="77777777" w:rsidR="00D61D03" w:rsidRPr="003576A2" w:rsidRDefault="00D61D03" w:rsidP="00661BB7">
            <w:pPr>
              <w:pStyle w:val="ListBullet"/>
              <w:rPr>
                <w:szCs w:val="19"/>
              </w:rPr>
            </w:pPr>
            <w:r w:rsidRPr="00661BB7">
              <w:rPr>
                <w:sz w:val="19"/>
                <w:szCs w:val="19"/>
              </w:rPr>
              <w:t>Blinded central review was undertaken</w:t>
            </w:r>
          </w:p>
          <w:p w14:paraId="64BEC1C8" w14:textId="77777777" w:rsidR="00D61D03" w:rsidRPr="00D61D03" w:rsidRDefault="00D61D03" w:rsidP="00661BB7">
            <w:pPr>
              <w:pStyle w:val="Tabletext"/>
              <w:ind w:left="0" w:right="0"/>
            </w:pPr>
            <w:r w:rsidRPr="00D61D03">
              <w:t>Analysis populations:</w:t>
            </w:r>
          </w:p>
          <w:p w14:paraId="4521EA05" w14:textId="3E586D72" w:rsidR="00D61D03" w:rsidRPr="003576A2" w:rsidRDefault="000262E4" w:rsidP="00661BB7">
            <w:pPr>
              <w:pStyle w:val="ListBullet"/>
              <w:rPr>
                <w:szCs w:val="19"/>
              </w:rPr>
            </w:pPr>
            <w:r w:rsidRPr="00661BB7">
              <w:rPr>
                <w:sz w:val="19"/>
                <w:szCs w:val="19"/>
              </w:rPr>
              <w:t>PK (</w:t>
            </w:r>
            <w:r w:rsidR="00D61D03" w:rsidRPr="00661BB7">
              <w:rPr>
                <w:sz w:val="19"/>
                <w:szCs w:val="19"/>
              </w:rPr>
              <w:t>n</w:t>
            </w:r>
            <w:r w:rsidR="00BF7C39" w:rsidRPr="00661BB7">
              <w:rPr>
                <w:sz w:val="19"/>
                <w:szCs w:val="19"/>
              </w:rPr>
              <w:t xml:space="preserve"> </w:t>
            </w:r>
            <w:r w:rsidR="00D61D03" w:rsidRPr="00661BB7">
              <w:rPr>
                <w:sz w:val="19"/>
                <w:szCs w:val="19"/>
              </w:rPr>
              <w:t>=</w:t>
            </w:r>
            <w:r w:rsidR="00BF7C39" w:rsidRPr="00661BB7">
              <w:rPr>
                <w:sz w:val="19"/>
                <w:szCs w:val="19"/>
              </w:rPr>
              <w:t xml:space="preserve"> </w:t>
            </w:r>
            <w:r w:rsidRPr="00661BB7">
              <w:rPr>
                <w:sz w:val="19"/>
                <w:szCs w:val="19"/>
              </w:rPr>
              <w:t>74)</w:t>
            </w:r>
            <w:r w:rsidR="00FF75BA" w:rsidRPr="00661BB7">
              <w:rPr>
                <w:sz w:val="19"/>
                <w:szCs w:val="19"/>
              </w:rPr>
              <w:t xml:space="preserve">, </w:t>
            </w:r>
            <w:r w:rsidR="00F81AE1">
              <w:rPr>
                <w:sz w:val="19"/>
                <w:szCs w:val="19"/>
              </w:rPr>
              <w:t>s</w:t>
            </w:r>
            <w:r w:rsidR="00D61D03" w:rsidRPr="00661BB7">
              <w:rPr>
                <w:sz w:val="19"/>
                <w:szCs w:val="19"/>
              </w:rPr>
              <w:t>afet</w:t>
            </w:r>
            <w:r w:rsidRPr="00661BB7">
              <w:rPr>
                <w:sz w:val="19"/>
                <w:szCs w:val="19"/>
              </w:rPr>
              <w:t>y (</w:t>
            </w:r>
            <w:r w:rsidR="00D61D03" w:rsidRPr="00661BB7">
              <w:rPr>
                <w:sz w:val="19"/>
                <w:szCs w:val="19"/>
              </w:rPr>
              <w:t>n</w:t>
            </w:r>
            <w:r w:rsidR="00BF7C39" w:rsidRPr="00661BB7">
              <w:rPr>
                <w:sz w:val="19"/>
                <w:szCs w:val="19"/>
              </w:rPr>
              <w:t xml:space="preserve"> </w:t>
            </w:r>
            <w:r w:rsidR="00D61D03" w:rsidRPr="00661BB7">
              <w:rPr>
                <w:sz w:val="19"/>
                <w:szCs w:val="19"/>
              </w:rPr>
              <w:t>=</w:t>
            </w:r>
            <w:r w:rsidR="00BF7C39" w:rsidRPr="00661BB7">
              <w:rPr>
                <w:sz w:val="19"/>
                <w:szCs w:val="19"/>
              </w:rPr>
              <w:t xml:space="preserve"> </w:t>
            </w:r>
            <w:r w:rsidR="00D61D03" w:rsidRPr="00661BB7">
              <w:rPr>
                <w:sz w:val="19"/>
                <w:szCs w:val="19"/>
              </w:rPr>
              <w:t>7</w:t>
            </w:r>
            <w:r w:rsidRPr="00661BB7">
              <w:rPr>
                <w:sz w:val="19"/>
                <w:szCs w:val="19"/>
              </w:rPr>
              <w:t>6)</w:t>
            </w:r>
          </w:p>
          <w:p w14:paraId="411B9F2D" w14:textId="77777777" w:rsidR="00D61D03" w:rsidRPr="003576A2" w:rsidRDefault="00D61D03" w:rsidP="00661BB7">
            <w:pPr>
              <w:pStyle w:val="ListBullet"/>
              <w:rPr>
                <w:szCs w:val="19"/>
              </w:rPr>
            </w:pPr>
            <w:r w:rsidRPr="00661BB7">
              <w:rPr>
                <w:sz w:val="19"/>
                <w:szCs w:val="19"/>
              </w:rPr>
              <w:t>Number of patients included in Primary Analysis Set for the NTRK indication = 3 (1 excluded due to having a CNS primary)</w:t>
            </w:r>
          </w:p>
          <w:p w14:paraId="5BB667A0" w14:textId="7C74AADB" w:rsidR="00FF75BA" w:rsidRPr="00D61D03" w:rsidRDefault="00D61D03" w:rsidP="00661BB7">
            <w:pPr>
              <w:pStyle w:val="ListBullet"/>
            </w:pPr>
            <w:r w:rsidRPr="00661BB7">
              <w:rPr>
                <w:sz w:val="19"/>
                <w:szCs w:val="19"/>
              </w:rPr>
              <w:t>Number of patients included in Primary Analysis Set for the ROS1 indication = 7</w:t>
            </w:r>
          </w:p>
        </w:tc>
      </w:tr>
    </w:tbl>
    <w:p w14:paraId="73CD3F69" w14:textId="34420B83" w:rsidR="00D61D03" w:rsidRDefault="00654B14" w:rsidP="007D2F65">
      <w:pPr>
        <w:pStyle w:val="Heading6"/>
      </w:pPr>
      <w:r>
        <w:lastRenderedPageBreak/>
        <w:t xml:space="preserve">Study </w:t>
      </w:r>
      <w:r w:rsidR="00D61D03" w:rsidRPr="00D61D03">
        <w:t>RXDX-101-02/GO40782</w:t>
      </w:r>
      <w:r>
        <w:t xml:space="preserve"> (STARTRK-2 trial)</w:t>
      </w:r>
    </w:p>
    <w:p w14:paraId="4FC396A2" w14:textId="46C7ABA1" w:rsidR="00017B2C" w:rsidRPr="00017B2C" w:rsidRDefault="00017B2C" w:rsidP="007D2F65">
      <w:pPr>
        <w:pStyle w:val="TableTitle"/>
      </w:pPr>
      <w:r>
        <w:t xml:space="preserve">Table </w:t>
      </w:r>
      <w:fldSimple w:instr=" SEQ Table \* ARABIC ">
        <w:r w:rsidR="009B407B">
          <w:rPr>
            <w:noProof/>
          </w:rPr>
          <w:t>12</w:t>
        </w:r>
      </w:fldSimple>
      <w:r>
        <w:t xml:space="preserve">: Study </w:t>
      </w:r>
      <w:r w:rsidRPr="00D61D03">
        <w:t>RXDX-101-02/GO40782</w:t>
      </w:r>
      <w:r>
        <w:t xml:space="preserve"> (STARTRK-2 trial) </w:t>
      </w:r>
      <w:r w:rsidRPr="00D61D03">
        <w:t>description</w:t>
      </w:r>
    </w:p>
    <w:tbl>
      <w:tblPr>
        <w:tblStyle w:val="TableTGAblue"/>
        <w:tblW w:w="8755" w:type="dxa"/>
        <w:tblLook w:val="04A0" w:firstRow="1" w:lastRow="0" w:firstColumn="1" w:lastColumn="0" w:noHBand="0" w:noVBand="1"/>
      </w:tblPr>
      <w:tblGrid>
        <w:gridCol w:w="1408"/>
        <w:gridCol w:w="7347"/>
      </w:tblGrid>
      <w:tr w:rsidR="00D61D03" w:rsidRPr="00D61D03" w14:paraId="29339816" w14:textId="77777777" w:rsidTr="00F9338F">
        <w:trPr>
          <w:cnfStyle w:val="100000000000" w:firstRow="1" w:lastRow="0" w:firstColumn="0" w:lastColumn="0" w:oddVBand="0" w:evenVBand="0" w:oddHBand="0" w:evenHBand="0" w:firstRowFirstColumn="0" w:firstRowLastColumn="0" w:lastRowFirstColumn="0" w:lastRowLastColumn="0"/>
        </w:trPr>
        <w:tc>
          <w:tcPr>
            <w:tcW w:w="8755" w:type="dxa"/>
            <w:gridSpan w:val="2"/>
          </w:tcPr>
          <w:p w14:paraId="24068546" w14:textId="77777777" w:rsidR="00D61D03" w:rsidRPr="001823E7" w:rsidRDefault="00D61D03" w:rsidP="00661BB7">
            <w:pPr>
              <w:pStyle w:val="Tabletext"/>
              <w:ind w:left="0" w:right="0"/>
            </w:pPr>
            <w:r w:rsidRPr="001823E7">
              <w:t>Study description</w:t>
            </w:r>
          </w:p>
        </w:tc>
      </w:tr>
      <w:tr w:rsidR="00D61D03" w:rsidRPr="00D61D03" w14:paraId="0E460710" w14:textId="77777777" w:rsidTr="00CE2749">
        <w:tc>
          <w:tcPr>
            <w:tcW w:w="1408" w:type="dxa"/>
          </w:tcPr>
          <w:p w14:paraId="3B5E4CAC" w14:textId="274C6AB4" w:rsidR="00D61D03" w:rsidRPr="00D61D03" w:rsidRDefault="00D61D03" w:rsidP="00661BB7">
            <w:pPr>
              <w:pStyle w:val="Tabletext"/>
              <w:ind w:left="0" w:right="0"/>
            </w:pPr>
            <w:r w:rsidRPr="00D61D03">
              <w:t>Population</w:t>
            </w:r>
          </w:p>
          <w:p w14:paraId="2BB043AB" w14:textId="524DDDAB" w:rsidR="00D61D03" w:rsidRPr="00D61D03" w:rsidRDefault="00D61D03" w:rsidP="00661BB7">
            <w:pPr>
              <w:pStyle w:val="Tabletext"/>
              <w:ind w:left="0" w:right="0"/>
            </w:pPr>
            <w:r w:rsidRPr="00D61D03">
              <w:t>(enrolled</w:t>
            </w:r>
            <w:r w:rsidR="00BF7C39">
              <w:t xml:space="preserve"> </w:t>
            </w:r>
            <w:r w:rsidRPr="00D61D03">
              <w:t>=</w:t>
            </w:r>
            <w:r w:rsidR="00BF7C39">
              <w:t xml:space="preserve"> </w:t>
            </w:r>
            <w:r w:rsidRPr="00D61D03">
              <w:t>207)</w:t>
            </w:r>
          </w:p>
        </w:tc>
        <w:tc>
          <w:tcPr>
            <w:tcW w:w="7347" w:type="dxa"/>
          </w:tcPr>
          <w:p w14:paraId="179EBA54" w14:textId="39A63CF4" w:rsidR="00D61D03" w:rsidRPr="00D61D03" w:rsidRDefault="00BF7C39" w:rsidP="00661BB7">
            <w:pPr>
              <w:pStyle w:val="Tabletext"/>
              <w:ind w:left="0" w:right="0"/>
            </w:pPr>
            <w:r>
              <w:t>Phase II</w:t>
            </w:r>
            <w:r w:rsidR="00D61D03" w:rsidRPr="00D61D03">
              <w:t>, open</w:t>
            </w:r>
            <w:r w:rsidR="00F81AE1">
              <w:t xml:space="preserve"> </w:t>
            </w:r>
            <w:r w:rsidR="00D61D03" w:rsidRPr="00D61D03">
              <w:t xml:space="preserve">label, basket study in adults with NTRK1/2/3, ROS1 or ALK+ </w:t>
            </w:r>
            <w:proofErr w:type="spellStart"/>
            <w:r w:rsidR="00D61D03" w:rsidRPr="00D61D03">
              <w:t>adv</w:t>
            </w:r>
            <w:proofErr w:type="spellEnd"/>
            <w:r w:rsidR="00D61D03" w:rsidRPr="00D61D03">
              <w:t>/met solid tumours excluding ALK+NSCLC, with a ventricular repolarisation sub-study.</w:t>
            </w:r>
          </w:p>
          <w:p w14:paraId="3F5EF518" w14:textId="77777777" w:rsidR="00D61D03" w:rsidRPr="00D61D03" w:rsidRDefault="00D61D03" w:rsidP="00661BB7">
            <w:pPr>
              <w:pStyle w:val="Tabletext"/>
              <w:ind w:left="0" w:right="0"/>
            </w:pPr>
            <w:r w:rsidRPr="00D61D03">
              <w:t>Inclusion criteria (abridged):</w:t>
            </w:r>
          </w:p>
          <w:p w14:paraId="38ED659F" w14:textId="628C5C66" w:rsidR="00D61D03" w:rsidRPr="00F81AE1" w:rsidRDefault="00D61D03" w:rsidP="00F81AE1">
            <w:pPr>
              <w:pStyle w:val="ListBullet"/>
              <w:rPr>
                <w:sz w:val="19"/>
                <w:szCs w:val="19"/>
              </w:rPr>
            </w:pPr>
            <w:proofErr w:type="spellStart"/>
            <w:r w:rsidRPr="00F81AE1">
              <w:rPr>
                <w:sz w:val="19"/>
                <w:szCs w:val="19"/>
              </w:rPr>
              <w:t>Histo</w:t>
            </w:r>
            <w:proofErr w:type="spellEnd"/>
            <w:r w:rsidRPr="00F81AE1">
              <w:rPr>
                <w:sz w:val="19"/>
                <w:szCs w:val="19"/>
              </w:rPr>
              <w:t>/</w:t>
            </w:r>
            <w:proofErr w:type="spellStart"/>
            <w:r w:rsidRPr="00F81AE1">
              <w:rPr>
                <w:sz w:val="19"/>
                <w:szCs w:val="19"/>
              </w:rPr>
              <w:t>cytologically</w:t>
            </w:r>
            <w:proofErr w:type="spellEnd"/>
            <w:r w:rsidRPr="00F81AE1">
              <w:rPr>
                <w:sz w:val="19"/>
                <w:szCs w:val="19"/>
              </w:rPr>
              <w:t xml:space="preserve"> confirmed diagnosis of solid cancer, with NTRK1/2/3, ROS1 or ALK gene rearrangement predicted to result in a functional kinase, and with no concomitant other driver mutation (</w:t>
            </w:r>
            <w:r w:rsidR="00BD04CD" w:rsidRPr="00F81AE1">
              <w:rPr>
                <w:sz w:val="19"/>
                <w:szCs w:val="19"/>
              </w:rPr>
              <w:t>for example</w:t>
            </w:r>
            <w:r w:rsidRPr="00F81AE1">
              <w:rPr>
                <w:sz w:val="19"/>
                <w:szCs w:val="19"/>
              </w:rPr>
              <w:t xml:space="preserve"> EGFR or KRAS) </w:t>
            </w:r>
          </w:p>
          <w:p w14:paraId="06605EAE" w14:textId="3C712264" w:rsidR="00D61D03" w:rsidRPr="00661BB7" w:rsidRDefault="00D61D03" w:rsidP="00661BB7">
            <w:pPr>
              <w:pStyle w:val="ListBullet2"/>
              <w:rPr>
                <w:sz w:val="19"/>
                <w:szCs w:val="19"/>
              </w:rPr>
            </w:pPr>
            <w:r w:rsidRPr="00661BB7">
              <w:rPr>
                <w:sz w:val="19"/>
                <w:szCs w:val="19"/>
              </w:rPr>
              <w:t>Diagno</w:t>
            </w:r>
            <w:r w:rsidR="00351F3A" w:rsidRPr="00661BB7">
              <w:rPr>
                <w:sz w:val="19"/>
                <w:szCs w:val="19"/>
              </w:rPr>
              <w:t>stic testing for enrolment was ‘</w:t>
            </w:r>
            <w:r w:rsidRPr="00661BB7">
              <w:rPr>
                <w:sz w:val="19"/>
                <w:szCs w:val="19"/>
              </w:rPr>
              <w:t xml:space="preserve">as determined by </w:t>
            </w:r>
            <w:proofErr w:type="spellStart"/>
            <w:r w:rsidRPr="00661BB7">
              <w:rPr>
                <w:sz w:val="19"/>
                <w:szCs w:val="19"/>
              </w:rPr>
              <w:t>Ignyta’s</w:t>
            </w:r>
            <w:proofErr w:type="spellEnd"/>
            <w:r w:rsidRPr="00661BB7">
              <w:rPr>
                <w:sz w:val="19"/>
                <w:szCs w:val="19"/>
              </w:rPr>
              <w:t xml:space="preserve"> CAP/CLIA laboratory or by any nucleic acid-based diagnostic testing method performed at a local CLIA-certified or equivalently-a</w:t>
            </w:r>
            <w:r w:rsidR="00351F3A" w:rsidRPr="00661BB7">
              <w:rPr>
                <w:sz w:val="19"/>
                <w:szCs w:val="19"/>
              </w:rPr>
              <w:t>ccredited diagnostic laboratory’</w:t>
            </w:r>
          </w:p>
          <w:p w14:paraId="3A1CEB7D" w14:textId="77777777" w:rsidR="00D61D03" w:rsidRPr="00661BB7" w:rsidRDefault="00D61D03" w:rsidP="00661BB7">
            <w:pPr>
              <w:pStyle w:val="ListBullet3"/>
              <w:rPr>
                <w:sz w:val="19"/>
                <w:szCs w:val="19"/>
              </w:rPr>
            </w:pPr>
            <w:r w:rsidRPr="00661BB7">
              <w:rPr>
                <w:sz w:val="19"/>
                <w:szCs w:val="19"/>
              </w:rPr>
              <w:t xml:space="preserve">Where enrolled on local molecular testing, tissue for central confirmation at </w:t>
            </w:r>
            <w:proofErr w:type="spellStart"/>
            <w:r w:rsidRPr="00661BB7">
              <w:rPr>
                <w:sz w:val="19"/>
                <w:szCs w:val="19"/>
              </w:rPr>
              <w:t>Igynta’s</w:t>
            </w:r>
            <w:proofErr w:type="spellEnd"/>
            <w:r w:rsidRPr="00661BB7">
              <w:rPr>
                <w:sz w:val="19"/>
                <w:szCs w:val="19"/>
              </w:rPr>
              <w:t xml:space="preserve"> lab was required</w:t>
            </w:r>
          </w:p>
          <w:p w14:paraId="0282EFAF" w14:textId="77777777" w:rsidR="00D61D03" w:rsidRPr="00661BB7" w:rsidRDefault="00D61D03" w:rsidP="00661BB7">
            <w:pPr>
              <w:pStyle w:val="ListBullet2"/>
              <w:rPr>
                <w:sz w:val="19"/>
                <w:szCs w:val="19"/>
              </w:rPr>
            </w:pPr>
            <w:r w:rsidRPr="00661BB7">
              <w:rPr>
                <w:sz w:val="19"/>
                <w:szCs w:val="19"/>
              </w:rPr>
              <w:t>In the US only, haematology patients who fulfilled criteria otherwise could be enrolled on single-patient protocols</w:t>
            </w:r>
          </w:p>
          <w:p w14:paraId="7431B4CF" w14:textId="1A26EF34" w:rsidR="00D61D03" w:rsidRPr="00F81AE1" w:rsidRDefault="00D61D03" w:rsidP="00EE0BFE">
            <w:pPr>
              <w:pStyle w:val="ListBullet"/>
              <w:rPr>
                <w:sz w:val="19"/>
                <w:szCs w:val="19"/>
              </w:rPr>
            </w:pPr>
            <w:r w:rsidRPr="00F81AE1">
              <w:rPr>
                <w:sz w:val="19"/>
                <w:szCs w:val="19"/>
              </w:rPr>
              <w:t>Measurable disease by local assessment per RECIST</w:t>
            </w:r>
            <w:r w:rsidR="00FB2BA7" w:rsidRPr="00F81AE1">
              <w:rPr>
                <w:sz w:val="19"/>
                <w:szCs w:val="19"/>
              </w:rPr>
              <w:t>;</w:t>
            </w:r>
            <w:r w:rsidR="00FB2BA7" w:rsidRPr="00661BB7">
              <w:rPr>
                <w:rStyle w:val="FootnoteReference"/>
              </w:rPr>
              <w:fldChar w:fldCharType="begin"/>
            </w:r>
            <w:r w:rsidR="00FB2BA7" w:rsidRPr="00661BB7">
              <w:rPr>
                <w:rStyle w:val="FootnoteReference"/>
                <w:szCs w:val="22"/>
              </w:rPr>
              <w:instrText xml:space="preserve"> NOTEREF _Ref52176997 \f \h </w:instrText>
            </w:r>
            <w:r w:rsidR="00F81AE1" w:rsidRPr="00661BB7">
              <w:rPr>
                <w:rStyle w:val="FootnoteReference"/>
              </w:rPr>
              <w:instrText xml:space="preserve"> \* MERGEFORMAT </w:instrText>
            </w:r>
            <w:r w:rsidR="00FB2BA7" w:rsidRPr="00661BB7">
              <w:rPr>
                <w:rStyle w:val="FootnoteReference"/>
              </w:rPr>
            </w:r>
            <w:r w:rsidR="00FB2BA7" w:rsidRPr="00661BB7">
              <w:rPr>
                <w:rStyle w:val="FootnoteReference"/>
              </w:rPr>
              <w:fldChar w:fldCharType="separate"/>
            </w:r>
            <w:r w:rsidR="005743D8" w:rsidRPr="00EE0BFE">
              <w:rPr>
                <w:rStyle w:val="FootnoteReference"/>
              </w:rPr>
              <w:t>19</w:t>
            </w:r>
            <w:r w:rsidR="00FB2BA7" w:rsidRPr="00661BB7">
              <w:rPr>
                <w:rStyle w:val="FootnoteReference"/>
              </w:rPr>
              <w:fldChar w:fldCharType="end"/>
            </w:r>
            <w:r w:rsidRPr="00F81AE1">
              <w:rPr>
                <w:sz w:val="19"/>
                <w:szCs w:val="19"/>
              </w:rPr>
              <w:t xml:space="preserve"> v1.1</w:t>
            </w:r>
          </w:p>
          <w:p w14:paraId="31F257CC" w14:textId="77777777" w:rsidR="00D61D03" w:rsidRPr="00661BB7" w:rsidRDefault="00D61D03" w:rsidP="00661BB7">
            <w:pPr>
              <w:pStyle w:val="ListBullet2"/>
              <w:rPr>
                <w:sz w:val="19"/>
                <w:szCs w:val="19"/>
              </w:rPr>
            </w:pPr>
            <w:r w:rsidRPr="00661BB7">
              <w:rPr>
                <w:sz w:val="19"/>
                <w:szCs w:val="19"/>
              </w:rPr>
              <w:t>If not, could be enrolled for non-efficacy endpoints (‘non-evaluable for primary endpoint’ cohort)</w:t>
            </w:r>
          </w:p>
          <w:p w14:paraId="391EFB8F" w14:textId="77777777" w:rsidR="00D61D03" w:rsidRPr="00F81AE1" w:rsidRDefault="00D61D03" w:rsidP="00EE0BFE">
            <w:pPr>
              <w:pStyle w:val="ListBullet"/>
              <w:rPr>
                <w:sz w:val="19"/>
                <w:szCs w:val="19"/>
              </w:rPr>
            </w:pPr>
            <w:r w:rsidRPr="00F81AE1">
              <w:rPr>
                <w:sz w:val="19"/>
                <w:szCs w:val="19"/>
              </w:rPr>
              <w:t>Prior therapy was allowed, but not targeted inhibitors for that molecular alteration (approved or investigational)</w:t>
            </w:r>
          </w:p>
          <w:p w14:paraId="74A57D9B" w14:textId="397D3402" w:rsidR="00D61D03" w:rsidRPr="00661BB7" w:rsidRDefault="00D61D03" w:rsidP="00661BB7">
            <w:pPr>
              <w:pStyle w:val="ListBullet2"/>
              <w:rPr>
                <w:sz w:val="19"/>
                <w:szCs w:val="19"/>
              </w:rPr>
            </w:pPr>
            <w:r w:rsidRPr="00661BB7">
              <w:rPr>
                <w:sz w:val="19"/>
                <w:szCs w:val="19"/>
              </w:rPr>
              <w:t xml:space="preserve">One exception: prior </w:t>
            </w:r>
            <w:proofErr w:type="spellStart"/>
            <w:r w:rsidRPr="00661BB7">
              <w:rPr>
                <w:sz w:val="19"/>
                <w:szCs w:val="19"/>
              </w:rPr>
              <w:t>crizotinib</w:t>
            </w:r>
            <w:proofErr w:type="spellEnd"/>
            <w:r w:rsidRPr="00661BB7">
              <w:rPr>
                <w:sz w:val="19"/>
                <w:szCs w:val="19"/>
              </w:rPr>
              <w:t xml:space="preserve"> was allowed for ALK or ROS1-rearranged tumours, if they presented with CNS</w:t>
            </w:r>
            <w:r w:rsidR="00F81AE1">
              <w:rPr>
                <w:sz w:val="19"/>
                <w:szCs w:val="19"/>
              </w:rPr>
              <w:t xml:space="preserve"> </w:t>
            </w:r>
            <w:r w:rsidRPr="00661BB7">
              <w:rPr>
                <w:sz w:val="19"/>
                <w:szCs w:val="19"/>
              </w:rPr>
              <w:t xml:space="preserve">only progression and stable </w:t>
            </w:r>
            <w:proofErr w:type="spellStart"/>
            <w:r w:rsidRPr="00661BB7">
              <w:rPr>
                <w:sz w:val="19"/>
                <w:szCs w:val="19"/>
              </w:rPr>
              <w:t>extracranial</w:t>
            </w:r>
            <w:proofErr w:type="spellEnd"/>
            <w:r w:rsidRPr="00661BB7">
              <w:rPr>
                <w:sz w:val="19"/>
                <w:szCs w:val="19"/>
              </w:rPr>
              <w:t xml:space="preserve"> disease.</w:t>
            </w:r>
          </w:p>
          <w:p w14:paraId="0BD0894A" w14:textId="77777777" w:rsidR="00D61D03" w:rsidRPr="00F81AE1" w:rsidRDefault="00D61D03" w:rsidP="00EE0BFE">
            <w:pPr>
              <w:pStyle w:val="ListBullet"/>
              <w:rPr>
                <w:sz w:val="19"/>
                <w:szCs w:val="19"/>
              </w:rPr>
            </w:pPr>
            <w:r w:rsidRPr="00F81AE1">
              <w:rPr>
                <w:sz w:val="19"/>
                <w:szCs w:val="19"/>
              </w:rPr>
              <w:t>CNS involvement ok if controlled/asymptomatic</w:t>
            </w:r>
          </w:p>
          <w:p w14:paraId="6ED7BFDE" w14:textId="193A9892" w:rsidR="00D61D03" w:rsidRPr="00F81AE1" w:rsidRDefault="00D61D03" w:rsidP="00EE0BFE">
            <w:pPr>
              <w:pStyle w:val="ListBullet"/>
              <w:rPr>
                <w:sz w:val="19"/>
                <w:szCs w:val="19"/>
              </w:rPr>
            </w:pPr>
            <w:r w:rsidRPr="00F81AE1">
              <w:rPr>
                <w:sz w:val="19"/>
                <w:szCs w:val="19"/>
              </w:rPr>
              <w:t>ECOG</w:t>
            </w:r>
            <w:r w:rsidR="009C0A48" w:rsidRPr="00F81AE1">
              <w:rPr>
                <w:sz w:val="19"/>
                <w:szCs w:val="19"/>
              </w:rPr>
              <w:t>;</w:t>
            </w:r>
            <w:r w:rsidR="009C0A48" w:rsidRPr="00F81AE1">
              <w:rPr>
                <w:sz w:val="19"/>
                <w:szCs w:val="19"/>
              </w:rPr>
              <w:fldChar w:fldCharType="begin"/>
            </w:r>
            <w:r w:rsidR="009C0A48" w:rsidRPr="00EE0BFE">
              <w:rPr>
                <w:sz w:val="19"/>
                <w:szCs w:val="19"/>
              </w:rPr>
              <w:instrText xml:space="preserve"> NOTEREF _Ref51226462 \f \h </w:instrText>
            </w:r>
            <w:r w:rsidR="00F81AE1" w:rsidRPr="00661BB7">
              <w:rPr>
                <w:sz w:val="19"/>
                <w:szCs w:val="19"/>
              </w:rPr>
              <w:instrText xml:space="preserve"> \* MERGEFORMAT </w:instrText>
            </w:r>
            <w:r w:rsidR="009C0A48" w:rsidRPr="00F81AE1">
              <w:rPr>
                <w:sz w:val="19"/>
                <w:szCs w:val="19"/>
              </w:rPr>
            </w:r>
            <w:r w:rsidR="009C0A48" w:rsidRPr="00F81AE1">
              <w:rPr>
                <w:sz w:val="19"/>
                <w:szCs w:val="19"/>
              </w:rPr>
              <w:fldChar w:fldCharType="separate"/>
            </w:r>
            <w:r w:rsidR="005743D8" w:rsidRPr="00661BB7">
              <w:rPr>
                <w:rStyle w:val="FootnoteReference"/>
                <w:sz w:val="19"/>
                <w:szCs w:val="19"/>
                <w:vertAlign w:val="baseline"/>
              </w:rPr>
              <w:t>18</w:t>
            </w:r>
            <w:r w:rsidR="009C0A48" w:rsidRPr="00F81AE1">
              <w:rPr>
                <w:sz w:val="19"/>
                <w:szCs w:val="19"/>
              </w:rPr>
              <w:fldChar w:fldCharType="end"/>
            </w:r>
            <w:r w:rsidRPr="00F81AE1">
              <w:rPr>
                <w:sz w:val="19"/>
                <w:szCs w:val="19"/>
              </w:rPr>
              <w:t xml:space="preserve"> no worse than 2, life expectancy at least 4 weeks</w:t>
            </w:r>
          </w:p>
          <w:p w14:paraId="65E88814" w14:textId="77777777" w:rsidR="00D61D03" w:rsidRPr="00D61D03" w:rsidRDefault="00D61D03" w:rsidP="00661BB7">
            <w:pPr>
              <w:pStyle w:val="Tabletext"/>
              <w:ind w:left="0" w:right="0"/>
            </w:pPr>
            <w:r w:rsidRPr="00D61D03">
              <w:t>Exclusion criteria (abridged):</w:t>
            </w:r>
          </w:p>
          <w:p w14:paraId="24B95EC7" w14:textId="134102A0" w:rsidR="00D61D03" w:rsidRPr="00F81AE1" w:rsidRDefault="00D61D03" w:rsidP="00F81AE1">
            <w:pPr>
              <w:pStyle w:val="ListBullet"/>
              <w:rPr>
                <w:sz w:val="19"/>
                <w:szCs w:val="19"/>
              </w:rPr>
            </w:pPr>
            <w:r w:rsidRPr="00F81AE1">
              <w:rPr>
                <w:sz w:val="19"/>
                <w:szCs w:val="19"/>
              </w:rPr>
              <w:t>Prior entrectinib</w:t>
            </w:r>
          </w:p>
          <w:p w14:paraId="7675C744" w14:textId="77777777" w:rsidR="00D61D03" w:rsidRPr="008A30D9" w:rsidRDefault="00D61D03" w:rsidP="00F81AE1">
            <w:pPr>
              <w:pStyle w:val="ListBullet"/>
              <w:rPr>
                <w:sz w:val="19"/>
                <w:szCs w:val="19"/>
              </w:rPr>
            </w:pPr>
            <w:r w:rsidRPr="008A30D9">
              <w:rPr>
                <w:sz w:val="19"/>
                <w:szCs w:val="19"/>
              </w:rPr>
              <w:t>Standard (significant medical/surgical illnesses, inadequate organ function, reproductive status)</w:t>
            </w:r>
          </w:p>
          <w:p w14:paraId="1F6A66C7" w14:textId="400E7C0E" w:rsidR="00D61D03" w:rsidRPr="008A30D9" w:rsidRDefault="00D61D03" w:rsidP="008A30D9">
            <w:pPr>
              <w:pStyle w:val="ListBullet"/>
              <w:rPr>
                <w:sz w:val="19"/>
                <w:szCs w:val="19"/>
              </w:rPr>
            </w:pPr>
            <w:r w:rsidRPr="008A30D9">
              <w:rPr>
                <w:sz w:val="19"/>
                <w:szCs w:val="19"/>
              </w:rPr>
              <w:t>Elevated QT risk</w:t>
            </w:r>
          </w:p>
          <w:p w14:paraId="4FF5A97F" w14:textId="5230C180" w:rsidR="00D61D03" w:rsidRPr="002B4C4B" w:rsidRDefault="00D61D03" w:rsidP="002B4C4B">
            <w:pPr>
              <w:pStyle w:val="ListBullet"/>
              <w:rPr>
                <w:sz w:val="19"/>
                <w:szCs w:val="19"/>
              </w:rPr>
            </w:pPr>
            <w:r w:rsidRPr="002B4C4B">
              <w:rPr>
                <w:sz w:val="19"/>
                <w:szCs w:val="19"/>
              </w:rPr>
              <w:t xml:space="preserve">Peripheral neuropathy </w:t>
            </w:r>
            <w:r w:rsidR="00F40A0C" w:rsidRPr="002B4C4B">
              <w:rPr>
                <w:sz w:val="19"/>
                <w:szCs w:val="19"/>
              </w:rPr>
              <w:t>G</w:t>
            </w:r>
            <w:r w:rsidRPr="002B4C4B">
              <w:rPr>
                <w:sz w:val="19"/>
                <w:szCs w:val="19"/>
              </w:rPr>
              <w:t>rade 2 or higher</w:t>
            </w:r>
          </w:p>
          <w:p w14:paraId="707CF7D7" w14:textId="06BA0D51" w:rsidR="00D61D03" w:rsidRPr="00F81AE1" w:rsidRDefault="00D61D03" w:rsidP="00EE0BFE">
            <w:pPr>
              <w:pStyle w:val="ListBullet"/>
              <w:rPr>
                <w:sz w:val="19"/>
                <w:szCs w:val="19"/>
              </w:rPr>
            </w:pPr>
            <w:r w:rsidRPr="00EE0BFE">
              <w:rPr>
                <w:sz w:val="19"/>
                <w:szCs w:val="19"/>
              </w:rPr>
              <w:t>Previous interstitial lung disease other than radiation therapy</w:t>
            </w:r>
            <w:r w:rsidR="00F81AE1">
              <w:rPr>
                <w:sz w:val="19"/>
                <w:szCs w:val="19"/>
              </w:rPr>
              <w:t xml:space="preserve"> </w:t>
            </w:r>
            <w:r w:rsidRPr="00F81AE1">
              <w:rPr>
                <w:sz w:val="19"/>
                <w:szCs w:val="19"/>
              </w:rPr>
              <w:t>linked</w:t>
            </w:r>
          </w:p>
          <w:p w14:paraId="0B9A2EB1" w14:textId="5F43E0BC" w:rsidR="00D61D03" w:rsidRPr="00D61D03" w:rsidRDefault="00D61D03" w:rsidP="00661BB7">
            <w:pPr>
              <w:pStyle w:val="Tabletext"/>
              <w:ind w:left="0" w:right="0"/>
            </w:pPr>
            <w:r w:rsidRPr="00D61D03">
              <w:t>Location: 84 sites in 15 countries (Australia, Belgium, France, Germany, Hong Kong, Italy, Japan, Korea, The Netherlands, Poland, Singapore, Spain, Taiwan, United Kingdom and the USA)</w:t>
            </w:r>
          </w:p>
          <w:p w14:paraId="34FDF8FE" w14:textId="2A9D82F1" w:rsidR="00D61D03" w:rsidRPr="00D61D03" w:rsidRDefault="00D61D03" w:rsidP="00661BB7">
            <w:pPr>
              <w:pStyle w:val="Tabletext"/>
              <w:ind w:left="0" w:right="0"/>
            </w:pPr>
            <w:r w:rsidRPr="00D61D03">
              <w:t xml:space="preserve">Ongoing. Commenced November 2015. Data cut-off for interim report 31 May 2018. </w:t>
            </w:r>
          </w:p>
        </w:tc>
      </w:tr>
      <w:tr w:rsidR="00D61D03" w:rsidRPr="00D61D03" w14:paraId="62CB5745" w14:textId="77777777" w:rsidTr="00CE2749">
        <w:tc>
          <w:tcPr>
            <w:tcW w:w="1408" w:type="dxa"/>
          </w:tcPr>
          <w:p w14:paraId="2F899BAC" w14:textId="77777777" w:rsidR="00D61D03" w:rsidRPr="00D61D03" w:rsidRDefault="00D61D03" w:rsidP="00661BB7">
            <w:pPr>
              <w:pStyle w:val="Tabletext"/>
              <w:ind w:left="0" w:right="0"/>
            </w:pPr>
            <w:r w:rsidRPr="00D61D03">
              <w:t>Intervention</w:t>
            </w:r>
          </w:p>
        </w:tc>
        <w:tc>
          <w:tcPr>
            <w:tcW w:w="7347" w:type="dxa"/>
          </w:tcPr>
          <w:p w14:paraId="4D25EB6D" w14:textId="77777777" w:rsidR="00D61D03" w:rsidRPr="00D61D03" w:rsidRDefault="00D61D03" w:rsidP="00661BB7">
            <w:pPr>
              <w:pStyle w:val="Tabletext"/>
              <w:ind w:left="0" w:right="0"/>
            </w:pPr>
            <w:r w:rsidRPr="00D61D03">
              <w:t>Formulation: F2A (4 patients got F1).</w:t>
            </w:r>
          </w:p>
          <w:p w14:paraId="42C59B8D" w14:textId="77777777" w:rsidR="00D61D03" w:rsidRPr="00D61D03" w:rsidRDefault="00D61D03" w:rsidP="00661BB7">
            <w:pPr>
              <w:pStyle w:val="Tabletext"/>
              <w:ind w:left="0" w:right="0"/>
            </w:pPr>
            <w:r w:rsidRPr="00D61D03">
              <w:t>Dose: 600 mg daily, in continuous cycles of 28 days</w:t>
            </w:r>
          </w:p>
          <w:p w14:paraId="31ED39BA" w14:textId="77777777" w:rsidR="00D61D03" w:rsidRPr="00D61D03" w:rsidRDefault="00D61D03" w:rsidP="00661BB7">
            <w:pPr>
              <w:pStyle w:val="Tabletext"/>
              <w:ind w:left="0" w:right="0"/>
            </w:pPr>
            <w:r w:rsidRPr="00D61D03">
              <w:t xml:space="preserve">Dose reductions or interruptions </w:t>
            </w:r>
          </w:p>
          <w:p w14:paraId="74CC75AD" w14:textId="77B518F6" w:rsidR="00D61D03" w:rsidRPr="00D61D03" w:rsidRDefault="00D61D03" w:rsidP="00661BB7">
            <w:pPr>
              <w:pStyle w:val="Tabletext"/>
              <w:ind w:left="0" w:right="0"/>
            </w:pPr>
            <w:r w:rsidRPr="00D61D03">
              <w:t>Crossover</w:t>
            </w:r>
          </w:p>
        </w:tc>
      </w:tr>
      <w:tr w:rsidR="00D61D03" w:rsidRPr="00D61D03" w14:paraId="6F691445" w14:textId="77777777" w:rsidTr="00CE2749">
        <w:tc>
          <w:tcPr>
            <w:tcW w:w="1408" w:type="dxa"/>
          </w:tcPr>
          <w:p w14:paraId="2DDFE1C9" w14:textId="77777777" w:rsidR="00D61D03" w:rsidRPr="00D61D03" w:rsidRDefault="00D61D03" w:rsidP="00661BB7">
            <w:pPr>
              <w:pStyle w:val="Tabletext"/>
              <w:ind w:left="0" w:right="0"/>
            </w:pPr>
            <w:r w:rsidRPr="00D61D03">
              <w:lastRenderedPageBreak/>
              <w:t>Endpoints</w:t>
            </w:r>
          </w:p>
        </w:tc>
        <w:tc>
          <w:tcPr>
            <w:tcW w:w="7347" w:type="dxa"/>
          </w:tcPr>
          <w:p w14:paraId="00E5AF32" w14:textId="798B8528" w:rsidR="00D61D03" w:rsidRPr="00D61D03" w:rsidRDefault="00D61D03" w:rsidP="00661BB7">
            <w:pPr>
              <w:pStyle w:val="Tabletext"/>
              <w:ind w:left="0" w:right="0"/>
            </w:pPr>
            <w:r w:rsidRPr="00D61D03">
              <w:t>Primary:</w:t>
            </w:r>
          </w:p>
          <w:p w14:paraId="067EB61C" w14:textId="6D5431DC" w:rsidR="00D61D03" w:rsidRPr="008A30D9" w:rsidRDefault="00D61D03" w:rsidP="00F81AE1">
            <w:pPr>
              <w:pStyle w:val="ListBullet"/>
              <w:rPr>
                <w:sz w:val="19"/>
                <w:szCs w:val="19"/>
              </w:rPr>
            </w:pPr>
            <w:r w:rsidRPr="00F81AE1">
              <w:rPr>
                <w:sz w:val="19"/>
                <w:szCs w:val="19"/>
              </w:rPr>
              <w:t>ORR in each basket (defined by molecular al</w:t>
            </w:r>
            <w:r w:rsidR="009C0A48" w:rsidRPr="00F81AE1">
              <w:rPr>
                <w:sz w:val="19"/>
                <w:szCs w:val="19"/>
              </w:rPr>
              <w:t>teration), by BICR using RECIST;</w:t>
            </w:r>
            <w:r w:rsidR="009C0A48" w:rsidRPr="00661BB7">
              <w:rPr>
                <w:rStyle w:val="FootnoteReference"/>
              </w:rPr>
              <w:fldChar w:fldCharType="begin"/>
            </w:r>
            <w:r w:rsidR="009C0A48" w:rsidRPr="00661BB7">
              <w:rPr>
                <w:rStyle w:val="FootnoteReference"/>
                <w:szCs w:val="22"/>
              </w:rPr>
              <w:instrText xml:space="preserve"> NOTEREF _Ref52176997 \f \h </w:instrText>
            </w:r>
            <w:r w:rsidR="00F81AE1" w:rsidRPr="00661BB7">
              <w:rPr>
                <w:rStyle w:val="FootnoteReference"/>
              </w:rPr>
              <w:instrText xml:space="preserve"> \* MERGEFORMAT </w:instrText>
            </w:r>
            <w:r w:rsidR="009C0A48" w:rsidRPr="00661BB7">
              <w:rPr>
                <w:rStyle w:val="FootnoteReference"/>
              </w:rPr>
            </w:r>
            <w:r w:rsidR="009C0A48" w:rsidRPr="00661BB7">
              <w:rPr>
                <w:rStyle w:val="FootnoteReference"/>
              </w:rPr>
              <w:fldChar w:fldCharType="separate"/>
            </w:r>
            <w:r w:rsidR="005743D8" w:rsidRPr="00EE0BFE">
              <w:rPr>
                <w:rStyle w:val="FootnoteReference"/>
              </w:rPr>
              <w:t>19</w:t>
            </w:r>
            <w:r w:rsidR="009C0A48" w:rsidRPr="00661BB7">
              <w:rPr>
                <w:rStyle w:val="FootnoteReference"/>
              </w:rPr>
              <w:fldChar w:fldCharType="end"/>
            </w:r>
            <w:r w:rsidR="009C0A48" w:rsidRPr="00F81AE1">
              <w:rPr>
                <w:sz w:val="19"/>
                <w:szCs w:val="19"/>
              </w:rPr>
              <w:t xml:space="preserve"> </w:t>
            </w:r>
            <w:r w:rsidRPr="00F81AE1">
              <w:rPr>
                <w:sz w:val="19"/>
                <w:szCs w:val="19"/>
              </w:rPr>
              <w:t xml:space="preserve">v1.1, confirmed responses only (repeat imaging </w:t>
            </w:r>
            <w:r w:rsidR="00CE2749">
              <w:sym w:font="Symbol" w:char="F0B3"/>
            </w:r>
            <w:r w:rsidRPr="00F81AE1">
              <w:rPr>
                <w:sz w:val="19"/>
                <w:szCs w:val="19"/>
              </w:rPr>
              <w:t>4 weeks after initially documented)</w:t>
            </w:r>
          </w:p>
          <w:p w14:paraId="461CF257" w14:textId="78805008" w:rsidR="00D61D03" w:rsidRPr="00D61D03" w:rsidRDefault="00D61D03" w:rsidP="00661BB7">
            <w:pPr>
              <w:pStyle w:val="Tabletext"/>
              <w:ind w:left="0" w:right="0"/>
            </w:pPr>
            <w:r w:rsidRPr="00D61D03">
              <w:t>Secondary:</w:t>
            </w:r>
          </w:p>
          <w:p w14:paraId="5F89D259" w14:textId="77777777" w:rsidR="00D61D03" w:rsidRPr="00F81AE1" w:rsidRDefault="00D61D03" w:rsidP="00F81AE1">
            <w:pPr>
              <w:pStyle w:val="ListBullet"/>
              <w:rPr>
                <w:sz w:val="19"/>
                <w:szCs w:val="19"/>
              </w:rPr>
            </w:pPr>
            <w:r w:rsidRPr="00F81AE1">
              <w:rPr>
                <w:sz w:val="19"/>
                <w:szCs w:val="19"/>
              </w:rPr>
              <w:t>DOR, time to response (TTR), CBR</w:t>
            </w:r>
          </w:p>
          <w:p w14:paraId="455779A6" w14:textId="20C2B0D7" w:rsidR="00D61D03" w:rsidRPr="002B4C4B" w:rsidRDefault="00D61D03" w:rsidP="00F81AE1">
            <w:pPr>
              <w:pStyle w:val="ListBullet"/>
              <w:rPr>
                <w:sz w:val="19"/>
                <w:szCs w:val="19"/>
              </w:rPr>
            </w:pPr>
            <w:r w:rsidRPr="008A30D9">
              <w:rPr>
                <w:sz w:val="19"/>
                <w:szCs w:val="19"/>
              </w:rPr>
              <w:t xml:space="preserve">Intracranial response and CNS PFS in patients with measurable CNS disease at </w:t>
            </w:r>
            <w:r w:rsidR="00957601" w:rsidRPr="002B4C4B">
              <w:rPr>
                <w:sz w:val="19"/>
                <w:szCs w:val="19"/>
              </w:rPr>
              <w:t>Baseline</w:t>
            </w:r>
            <w:r w:rsidRPr="002B4C4B">
              <w:rPr>
                <w:sz w:val="19"/>
                <w:szCs w:val="19"/>
              </w:rPr>
              <w:t xml:space="preserve"> per RANO or RANO-BM</w:t>
            </w:r>
          </w:p>
          <w:p w14:paraId="47E29C90" w14:textId="77777777" w:rsidR="00D61D03" w:rsidRPr="00EE0BFE" w:rsidRDefault="00D61D03" w:rsidP="008A30D9">
            <w:pPr>
              <w:pStyle w:val="ListBullet"/>
              <w:rPr>
                <w:sz w:val="19"/>
                <w:szCs w:val="19"/>
              </w:rPr>
            </w:pPr>
            <w:r w:rsidRPr="00EE0BFE">
              <w:rPr>
                <w:sz w:val="19"/>
                <w:szCs w:val="19"/>
              </w:rPr>
              <w:t>PFS and OS</w:t>
            </w:r>
          </w:p>
          <w:p w14:paraId="5B9D102F" w14:textId="77777777" w:rsidR="00D61D03" w:rsidRPr="00EE0BFE" w:rsidRDefault="00D61D03" w:rsidP="002B4C4B">
            <w:pPr>
              <w:pStyle w:val="ListBullet"/>
              <w:rPr>
                <w:sz w:val="19"/>
                <w:szCs w:val="19"/>
              </w:rPr>
            </w:pPr>
            <w:r w:rsidRPr="00EE0BFE">
              <w:rPr>
                <w:sz w:val="19"/>
                <w:szCs w:val="19"/>
              </w:rPr>
              <w:t>To define the safety and tolerability</w:t>
            </w:r>
          </w:p>
          <w:p w14:paraId="3382CD0B" w14:textId="77777777" w:rsidR="00D61D03" w:rsidRPr="00EE0BFE" w:rsidRDefault="00D61D03" w:rsidP="00EE0BFE">
            <w:pPr>
              <w:pStyle w:val="ListBullet"/>
              <w:rPr>
                <w:sz w:val="19"/>
                <w:szCs w:val="19"/>
              </w:rPr>
            </w:pPr>
            <w:r w:rsidRPr="00EE0BFE">
              <w:rPr>
                <w:sz w:val="19"/>
                <w:szCs w:val="19"/>
              </w:rPr>
              <w:t>PK and PK-PD</w:t>
            </w:r>
          </w:p>
          <w:p w14:paraId="3C00DD0A" w14:textId="77777777" w:rsidR="00D61D03" w:rsidRPr="00EE0BFE" w:rsidRDefault="00D61D03" w:rsidP="00EE0BFE">
            <w:pPr>
              <w:pStyle w:val="ListBullet"/>
              <w:rPr>
                <w:sz w:val="19"/>
                <w:szCs w:val="19"/>
              </w:rPr>
            </w:pPr>
            <w:r w:rsidRPr="00EE0BFE">
              <w:rPr>
                <w:sz w:val="19"/>
                <w:szCs w:val="19"/>
              </w:rPr>
              <w:t xml:space="preserve">To evaluate the effect of entrectinib on ventricular repolarisation (ECG/QT </w:t>
            </w:r>
            <w:proofErr w:type="spellStart"/>
            <w:r w:rsidRPr="00EE0BFE">
              <w:rPr>
                <w:sz w:val="19"/>
                <w:szCs w:val="19"/>
              </w:rPr>
              <w:t>substudy</w:t>
            </w:r>
            <w:proofErr w:type="spellEnd"/>
            <w:r w:rsidRPr="00EE0BFE">
              <w:rPr>
                <w:sz w:val="19"/>
                <w:szCs w:val="19"/>
              </w:rPr>
              <w:t>)</w:t>
            </w:r>
          </w:p>
          <w:p w14:paraId="2FEC7576" w14:textId="6B74B2E4" w:rsidR="00D61D03" w:rsidRPr="00EE0BFE" w:rsidRDefault="00D61D03" w:rsidP="00EE0BFE">
            <w:pPr>
              <w:pStyle w:val="ListBullet"/>
              <w:rPr>
                <w:sz w:val="19"/>
                <w:szCs w:val="19"/>
              </w:rPr>
            </w:pPr>
            <w:r w:rsidRPr="00EE0BFE">
              <w:rPr>
                <w:sz w:val="19"/>
                <w:szCs w:val="19"/>
              </w:rPr>
              <w:t>Patient-reported outcomes (PRO): treatment-related symptoms and general health status</w:t>
            </w:r>
          </w:p>
          <w:p w14:paraId="7BE57182" w14:textId="3FF1AF0D" w:rsidR="00D61D03" w:rsidRPr="00D61D03" w:rsidRDefault="00D61D03" w:rsidP="00661BB7">
            <w:pPr>
              <w:pStyle w:val="Tabletext"/>
              <w:ind w:left="0" w:right="0"/>
            </w:pPr>
            <w:r w:rsidRPr="00D61D03">
              <w:t>Sensitivity analyses included analyses by investigator.</w:t>
            </w:r>
          </w:p>
          <w:p w14:paraId="4234BBEA" w14:textId="37518FB6" w:rsidR="00D61D03" w:rsidRPr="00D61D03" w:rsidRDefault="00D61D03" w:rsidP="00661BB7">
            <w:pPr>
              <w:pStyle w:val="Tabletext"/>
              <w:ind w:left="0" w:right="0"/>
            </w:pPr>
            <w:r w:rsidRPr="00D61D03">
              <w:t>The submitted interim clinical study report (CSR) only reports analysis of the primary and secondary objectives for NTRK 1/2/3 and R</w:t>
            </w:r>
            <w:r w:rsidR="009C0A48">
              <w:t>OS1-positive tumours (not ALK).</w:t>
            </w:r>
          </w:p>
          <w:p w14:paraId="7C19E65B" w14:textId="77777777" w:rsidR="00D61D03" w:rsidRPr="00D61D03" w:rsidRDefault="00D61D03" w:rsidP="00661BB7">
            <w:pPr>
              <w:pStyle w:val="Tabletext"/>
              <w:ind w:left="0" w:right="0"/>
            </w:pPr>
            <w:r w:rsidRPr="00D61D03">
              <w:t>Analysis populations:</w:t>
            </w:r>
          </w:p>
          <w:p w14:paraId="08A735E9" w14:textId="77777777" w:rsidR="00D61D03" w:rsidRPr="003576A2" w:rsidRDefault="00D61D03" w:rsidP="00661BB7">
            <w:pPr>
              <w:pStyle w:val="ListBullet"/>
              <w:rPr>
                <w:szCs w:val="19"/>
              </w:rPr>
            </w:pPr>
            <w:r w:rsidRPr="00661BB7">
              <w:rPr>
                <w:sz w:val="19"/>
                <w:szCs w:val="19"/>
              </w:rPr>
              <w:t>Of the 207 patients enrolled, 206 received at least one dose of entrectinib: 63 in the NTRK basket, 105 in the ROS1 basket, and 38 in the ‘other’ basket.</w:t>
            </w:r>
          </w:p>
          <w:p w14:paraId="55863692" w14:textId="6D8B3086" w:rsidR="00D61D03" w:rsidRPr="003576A2" w:rsidRDefault="000262E4" w:rsidP="00661BB7">
            <w:pPr>
              <w:pStyle w:val="ListBullet"/>
              <w:rPr>
                <w:szCs w:val="19"/>
              </w:rPr>
            </w:pPr>
            <w:r w:rsidRPr="00661BB7">
              <w:rPr>
                <w:sz w:val="19"/>
                <w:szCs w:val="19"/>
              </w:rPr>
              <w:t>PK (</w:t>
            </w:r>
            <w:r w:rsidR="00D61D03" w:rsidRPr="00661BB7">
              <w:rPr>
                <w:sz w:val="19"/>
                <w:szCs w:val="19"/>
              </w:rPr>
              <w:t>n</w:t>
            </w:r>
            <w:r w:rsidR="00BF7C39" w:rsidRPr="00661BB7">
              <w:rPr>
                <w:sz w:val="19"/>
                <w:szCs w:val="19"/>
              </w:rPr>
              <w:t xml:space="preserve"> </w:t>
            </w:r>
            <w:r w:rsidR="00D61D03" w:rsidRPr="00661BB7">
              <w:rPr>
                <w:sz w:val="19"/>
                <w:szCs w:val="19"/>
              </w:rPr>
              <w:t>=</w:t>
            </w:r>
            <w:r w:rsidR="00BF7C39" w:rsidRPr="00661BB7">
              <w:rPr>
                <w:sz w:val="19"/>
                <w:szCs w:val="19"/>
              </w:rPr>
              <w:t xml:space="preserve"> </w:t>
            </w:r>
            <w:r w:rsidRPr="00661BB7">
              <w:rPr>
                <w:sz w:val="19"/>
                <w:szCs w:val="19"/>
              </w:rPr>
              <w:t>203)</w:t>
            </w:r>
            <w:r w:rsidR="00FF75BA" w:rsidRPr="00661BB7">
              <w:rPr>
                <w:sz w:val="19"/>
                <w:szCs w:val="19"/>
              </w:rPr>
              <w:t xml:space="preserve">, </w:t>
            </w:r>
            <w:r w:rsidR="00F81AE1">
              <w:rPr>
                <w:sz w:val="19"/>
                <w:szCs w:val="19"/>
              </w:rPr>
              <w:t>s</w:t>
            </w:r>
            <w:r w:rsidRPr="00661BB7">
              <w:rPr>
                <w:sz w:val="19"/>
                <w:szCs w:val="19"/>
              </w:rPr>
              <w:t>afety (</w:t>
            </w:r>
            <w:r w:rsidR="00D61D03" w:rsidRPr="00661BB7">
              <w:rPr>
                <w:sz w:val="19"/>
                <w:szCs w:val="19"/>
              </w:rPr>
              <w:t>n</w:t>
            </w:r>
            <w:r w:rsidR="00BF7C39" w:rsidRPr="00661BB7">
              <w:rPr>
                <w:sz w:val="19"/>
                <w:szCs w:val="19"/>
              </w:rPr>
              <w:t xml:space="preserve"> </w:t>
            </w:r>
            <w:r w:rsidR="00D61D03" w:rsidRPr="00661BB7">
              <w:rPr>
                <w:sz w:val="19"/>
                <w:szCs w:val="19"/>
              </w:rPr>
              <w:t>=</w:t>
            </w:r>
            <w:r w:rsidR="00BF7C39" w:rsidRPr="00661BB7">
              <w:rPr>
                <w:sz w:val="19"/>
                <w:szCs w:val="19"/>
              </w:rPr>
              <w:t xml:space="preserve"> </w:t>
            </w:r>
            <w:r w:rsidRPr="00661BB7">
              <w:rPr>
                <w:sz w:val="19"/>
                <w:szCs w:val="19"/>
              </w:rPr>
              <w:t>206)</w:t>
            </w:r>
          </w:p>
          <w:p w14:paraId="18E86060" w14:textId="76535BCA" w:rsidR="00D61D03" w:rsidRPr="003576A2" w:rsidRDefault="00D61D03" w:rsidP="00661BB7">
            <w:pPr>
              <w:pStyle w:val="ListBullet"/>
              <w:rPr>
                <w:szCs w:val="19"/>
              </w:rPr>
            </w:pPr>
            <w:r w:rsidRPr="00661BB7">
              <w:rPr>
                <w:sz w:val="19"/>
                <w:szCs w:val="19"/>
              </w:rPr>
              <w:t xml:space="preserve">Number of patients included in Primary Analysis Set for the NTRK indication = 57 (excluded from the primary efficacy analysis were 5 patients with primary CNS tumours, as well as 1 patient with non-measurable disease at </w:t>
            </w:r>
            <w:r w:rsidR="00957601" w:rsidRPr="00661BB7">
              <w:rPr>
                <w:sz w:val="19"/>
                <w:szCs w:val="19"/>
              </w:rPr>
              <w:t>Baseline</w:t>
            </w:r>
            <w:r w:rsidRPr="00661BB7">
              <w:rPr>
                <w:sz w:val="19"/>
                <w:szCs w:val="19"/>
              </w:rPr>
              <w:t>)</w:t>
            </w:r>
          </w:p>
          <w:p w14:paraId="3640CF9A" w14:textId="6B70FD90" w:rsidR="00D61D03" w:rsidRPr="00D61D03" w:rsidRDefault="00D61D03" w:rsidP="00661BB7">
            <w:pPr>
              <w:pStyle w:val="ListBullet"/>
            </w:pPr>
            <w:r w:rsidRPr="00661BB7">
              <w:rPr>
                <w:sz w:val="19"/>
                <w:szCs w:val="19"/>
              </w:rPr>
              <w:t>Number of patients included in Primary Analysis Set for the ROS1 indication = 35</w:t>
            </w:r>
          </w:p>
        </w:tc>
      </w:tr>
    </w:tbl>
    <w:p w14:paraId="2B5A83BF" w14:textId="0897DA01" w:rsidR="0096567C" w:rsidRDefault="0096567C" w:rsidP="006421E2">
      <w:pPr>
        <w:pStyle w:val="Heading5"/>
      </w:pPr>
      <w:r w:rsidRPr="0096567C">
        <w:t>ROS1 integrated efficacy analysis</w:t>
      </w:r>
    </w:p>
    <w:p w14:paraId="449317D1" w14:textId="4CBA3ADC" w:rsidR="008A30D9" w:rsidRPr="008A30D9" w:rsidRDefault="008A30D9" w:rsidP="00661BB7">
      <w:pPr>
        <w:pStyle w:val="Heading6"/>
      </w:pPr>
      <w:r>
        <w:t>Methodology</w:t>
      </w:r>
    </w:p>
    <w:p w14:paraId="3B34CF1F" w14:textId="78141401" w:rsidR="0096567C" w:rsidRPr="0096567C" w:rsidRDefault="0096567C" w:rsidP="0096567C">
      <w:pPr>
        <w:rPr>
          <w:lang w:val="en-US"/>
        </w:rPr>
      </w:pPr>
      <w:r w:rsidRPr="0096567C">
        <w:rPr>
          <w:lang w:val="en-US"/>
        </w:rPr>
        <w:t xml:space="preserve">The integrated efficacy analysis for </w:t>
      </w:r>
      <w:r w:rsidR="0029686F">
        <w:rPr>
          <w:lang w:val="en-US"/>
        </w:rPr>
        <w:t>ROS1 that was submitted by the s</w:t>
      </w:r>
      <w:r w:rsidRPr="0096567C">
        <w:rPr>
          <w:lang w:val="en-US"/>
        </w:rPr>
        <w:t>ponsor included data for the first co</w:t>
      </w:r>
      <w:r w:rsidR="002E2BCA">
        <w:rPr>
          <w:lang w:val="en-US"/>
        </w:rPr>
        <w:t>nsecutive 53 patients with ROS1 fusion</w:t>
      </w:r>
      <w:r w:rsidR="008A30D9">
        <w:rPr>
          <w:lang w:val="en-US"/>
        </w:rPr>
        <w:t xml:space="preserve"> </w:t>
      </w:r>
      <w:r w:rsidRPr="0096567C">
        <w:rPr>
          <w:lang w:val="en-US"/>
        </w:rPr>
        <w:t xml:space="preserve">positive solid </w:t>
      </w:r>
      <w:proofErr w:type="spellStart"/>
      <w:r w:rsidRPr="0096567C">
        <w:rPr>
          <w:lang w:val="en-US"/>
        </w:rPr>
        <w:t>tumours</w:t>
      </w:r>
      <w:proofErr w:type="spellEnd"/>
      <w:r w:rsidRPr="0096567C">
        <w:rPr>
          <w:lang w:val="en-US"/>
        </w:rPr>
        <w:t xml:space="preserve"> who were enrolled in ALKA, STARTRK-1 or STARTRK-2</w:t>
      </w:r>
      <w:r w:rsidR="00B3760D">
        <w:rPr>
          <w:lang w:val="en-US"/>
        </w:rPr>
        <w:t xml:space="preserve"> trial</w:t>
      </w:r>
      <w:r w:rsidR="00E6742E">
        <w:rPr>
          <w:lang w:val="en-US"/>
        </w:rPr>
        <w:t>s</w:t>
      </w:r>
      <w:r w:rsidRPr="0096567C">
        <w:rPr>
          <w:lang w:val="en-US"/>
        </w:rPr>
        <w:t>, who had measurable disease by RECIST</w:t>
      </w:r>
      <w:r w:rsidR="00E6742E">
        <w:rPr>
          <w:lang w:val="en-US"/>
        </w:rPr>
        <w:t xml:space="preserve"> v1.1 criteria (per investigator)</w:t>
      </w:r>
      <w:r w:rsidR="009C0A48">
        <w:rPr>
          <w:lang w:val="en-US"/>
        </w:rPr>
        <w:t>;</w:t>
      </w:r>
      <w:r w:rsidR="009C0A48">
        <w:rPr>
          <w:lang w:val="en-US"/>
        </w:rPr>
        <w:fldChar w:fldCharType="begin"/>
      </w:r>
      <w:r w:rsidR="009C0A48">
        <w:rPr>
          <w:lang w:val="en-US"/>
        </w:rPr>
        <w:instrText xml:space="preserve"> NOTEREF _Ref52176997 \f \h </w:instrText>
      </w:r>
      <w:r w:rsidR="009C0A48">
        <w:rPr>
          <w:lang w:val="en-US"/>
        </w:rPr>
      </w:r>
      <w:r w:rsidR="009C0A48">
        <w:rPr>
          <w:lang w:val="en-US"/>
        </w:rPr>
        <w:fldChar w:fldCharType="separate"/>
      </w:r>
      <w:r w:rsidR="005743D8" w:rsidRPr="005743D8">
        <w:rPr>
          <w:rStyle w:val="FootnoteReference"/>
        </w:rPr>
        <w:t>19</w:t>
      </w:r>
      <w:r w:rsidR="009C0A48">
        <w:rPr>
          <w:lang w:val="en-US"/>
        </w:rPr>
        <w:fldChar w:fldCharType="end"/>
      </w:r>
      <w:r w:rsidRPr="0096567C">
        <w:rPr>
          <w:lang w:val="en-US"/>
        </w:rPr>
        <w:t xml:space="preserve"> v1.1 and who had at least 12</w:t>
      </w:r>
      <w:r w:rsidR="00E6742E">
        <w:rPr>
          <w:lang w:val="en-US"/>
        </w:rPr>
        <w:t> </w:t>
      </w:r>
      <w:r w:rsidRPr="0096567C">
        <w:rPr>
          <w:lang w:val="en-US"/>
        </w:rPr>
        <w:t xml:space="preserve">months of follow-up from the time of first </w:t>
      </w:r>
      <w:proofErr w:type="spellStart"/>
      <w:r>
        <w:rPr>
          <w:lang w:val="en-US"/>
        </w:rPr>
        <w:t>tumour</w:t>
      </w:r>
      <w:proofErr w:type="spellEnd"/>
      <w:r>
        <w:rPr>
          <w:lang w:val="en-US"/>
        </w:rPr>
        <w:t xml:space="preserve"> response</w:t>
      </w:r>
      <w:r w:rsidR="008A30D9">
        <w:rPr>
          <w:lang w:val="en-US"/>
        </w:rPr>
        <w:t>.</w:t>
      </w:r>
    </w:p>
    <w:p w14:paraId="7372A268" w14:textId="70B65165" w:rsidR="0096567C" w:rsidRPr="0096567C" w:rsidRDefault="00F40A0C" w:rsidP="0096567C">
      <w:pPr>
        <w:rPr>
          <w:lang w:val="en-US"/>
        </w:rPr>
      </w:pPr>
      <w:r>
        <w:rPr>
          <w:lang w:val="en-US"/>
        </w:rPr>
        <w:t xml:space="preserve">In </w:t>
      </w:r>
      <w:r w:rsidR="008A30D9">
        <w:rPr>
          <w:lang w:val="en-US"/>
        </w:rPr>
        <w:t xml:space="preserve">the </w:t>
      </w:r>
      <w:r>
        <w:rPr>
          <w:lang w:val="en-US"/>
        </w:rPr>
        <w:t>STARTRK-1</w:t>
      </w:r>
      <w:r w:rsidR="00B3760D">
        <w:rPr>
          <w:lang w:val="en-US"/>
        </w:rPr>
        <w:t xml:space="preserve"> trial</w:t>
      </w:r>
      <w:r>
        <w:rPr>
          <w:lang w:val="en-US"/>
        </w:rPr>
        <w:t xml:space="preserve"> and ALKA </w:t>
      </w:r>
      <w:r w:rsidR="00B3760D">
        <w:rPr>
          <w:lang w:val="en-US"/>
        </w:rPr>
        <w:t xml:space="preserve">trial </w:t>
      </w:r>
      <w:r>
        <w:rPr>
          <w:lang w:val="en-US"/>
        </w:rPr>
        <w:t>(</w:t>
      </w:r>
      <w:r w:rsidR="0096567C" w:rsidRPr="0096567C">
        <w:rPr>
          <w:lang w:val="en-US"/>
        </w:rPr>
        <w:t>which contributed</w:t>
      </w:r>
      <w:r>
        <w:rPr>
          <w:lang w:val="en-US"/>
        </w:rPr>
        <w:t xml:space="preserve"> 16 patients to the ROS1 cohort)</w:t>
      </w:r>
      <w:r w:rsidR="0096567C" w:rsidRPr="0096567C">
        <w:rPr>
          <w:lang w:val="en-US"/>
        </w:rPr>
        <w:t>, patients could only be enrolled for whom no alternative effective standard therapy was available or for whom standard therapy was considered unsuitable or intolerable.</w:t>
      </w:r>
    </w:p>
    <w:p w14:paraId="2D8DAB73" w14:textId="6053A043" w:rsidR="008378FF" w:rsidRDefault="0096567C" w:rsidP="0096567C">
      <w:pPr>
        <w:rPr>
          <w:lang w:val="en-US"/>
        </w:rPr>
      </w:pPr>
      <w:r w:rsidRPr="0096567C">
        <w:rPr>
          <w:lang w:val="en-US"/>
        </w:rPr>
        <w:t>A previous agreement with the FDA had been that the analysis should only include patients who were ROS1-inhibitor naïve, and two patients who</w:t>
      </w:r>
      <w:r w:rsidR="00E6742E">
        <w:rPr>
          <w:lang w:val="en-US"/>
        </w:rPr>
        <w:t xml:space="preserve"> ha</w:t>
      </w:r>
      <w:r w:rsidRPr="0096567C">
        <w:rPr>
          <w:lang w:val="en-US"/>
        </w:rPr>
        <w:t xml:space="preserve">d received prior </w:t>
      </w:r>
      <w:proofErr w:type="spellStart"/>
      <w:r w:rsidRPr="0096567C">
        <w:rPr>
          <w:lang w:val="en-US"/>
        </w:rPr>
        <w:t>c</w:t>
      </w:r>
      <w:r w:rsidR="00855EB6">
        <w:rPr>
          <w:lang w:val="en-US"/>
        </w:rPr>
        <w:t>rizotinib</w:t>
      </w:r>
      <w:proofErr w:type="spellEnd"/>
      <w:r w:rsidR="00855EB6">
        <w:rPr>
          <w:lang w:val="en-US"/>
        </w:rPr>
        <w:t xml:space="preserve"> were included in the s</w:t>
      </w:r>
      <w:r w:rsidRPr="0096567C">
        <w:rPr>
          <w:lang w:val="en-US"/>
        </w:rPr>
        <w:t>ponsor’s analyses. The FDA removed these two patients from the</w:t>
      </w:r>
      <w:r w:rsidR="00351F3A">
        <w:rPr>
          <w:lang w:val="en-US"/>
        </w:rPr>
        <w:t xml:space="preserve"> analysis set, renaming it the ‘Primary Analysis Set’</w:t>
      </w:r>
      <w:r w:rsidRPr="0096567C">
        <w:rPr>
          <w:lang w:val="en-US"/>
        </w:rPr>
        <w:t>. The Primary Analysis Set was further redefined as it was discovered two patients had less than 12 months’ follow up from date of response. The final FDA-defined Primary Analysis Set</w:t>
      </w:r>
      <w:r w:rsidR="008A30D9">
        <w:rPr>
          <w:lang w:val="en-US"/>
        </w:rPr>
        <w:t>;</w:t>
      </w:r>
      <w:r w:rsidR="00855EB6">
        <w:rPr>
          <w:lang w:val="en-US"/>
        </w:rPr>
        <w:fldChar w:fldCharType="begin"/>
      </w:r>
      <w:r w:rsidR="00855EB6">
        <w:rPr>
          <w:lang w:val="en-US"/>
        </w:rPr>
        <w:instrText xml:space="preserve"> NOTEREF _Ref50554541 \f \h </w:instrText>
      </w:r>
      <w:r w:rsidR="00855EB6">
        <w:rPr>
          <w:lang w:val="en-US"/>
        </w:rPr>
      </w:r>
      <w:r w:rsidR="00855EB6">
        <w:rPr>
          <w:lang w:val="en-US"/>
        </w:rPr>
        <w:fldChar w:fldCharType="separate"/>
      </w:r>
      <w:r w:rsidR="005743D8" w:rsidRPr="005743D8">
        <w:rPr>
          <w:rStyle w:val="FootnoteReference"/>
        </w:rPr>
        <w:t>12</w:t>
      </w:r>
      <w:r w:rsidR="00855EB6">
        <w:rPr>
          <w:lang w:val="en-US"/>
        </w:rPr>
        <w:fldChar w:fldCharType="end"/>
      </w:r>
      <w:r w:rsidRPr="0096567C">
        <w:rPr>
          <w:lang w:val="en-US"/>
        </w:rPr>
        <w:t xml:space="preserve"> therefore consisted of the first co</w:t>
      </w:r>
      <w:r w:rsidR="002E2BCA">
        <w:rPr>
          <w:lang w:val="en-US"/>
        </w:rPr>
        <w:t>nsecutive 51 patients with ROS1 fusion-</w:t>
      </w:r>
      <w:r w:rsidRPr="0096567C">
        <w:rPr>
          <w:lang w:val="en-US"/>
        </w:rPr>
        <w:t xml:space="preserve">positive solid </w:t>
      </w:r>
      <w:proofErr w:type="spellStart"/>
      <w:r w:rsidRPr="0096567C">
        <w:rPr>
          <w:lang w:val="en-US"/>
        </w:rPr>
        <w:t>tumours</w:t>
      </w:r>
      <w:proofErr w:type="spellEnd"/>
      <w:r w:rsidRPr="0096567C">
        <w:rPr>
          <w:lang w:val="en-US"/>
        </w:rPr>
        <w:t xml:space="preserve"> who were </w:t>
      </w:r>
      <w:r w:rsidRPr="0096567C">
        <w:rPr>
          <w:lang w:val="en-US"/>
        </w:rPr>
        <w:lastRenderedPageBreak/>
        <w:t>enrolled in ALKA, STARTRK-1 or STARTRK-2</w:t>
      </w:r>
      <w:r w:rsidR="00B3760D">
        <w:rPr>
          <w:lang w:val="en-US"/>
        </w:rPr>
        <w:t xml:space="preserve"> trial</w:t>
      </w:r>
      <w:r w:rsidRPr="0096567C">
        <w:rPr>
          <w:lang w:val="en-US"/>
        </w:rPr>
        <w:t>, who had measurable disease and at least 12 months of follow-up from the time of po</w:t>
      </w:r>
      <w:r w:rsidR="00855EB6">
        <w:rPr>
          <w:lang w:val="en-US"/>
        </w:rPr>
        <w:t xml:space="preserve">st-treatment </w:t>
      </w:r>
      <w:proofErr w:type="spellStart"/>
      <w:r w:rsidR="00855EB6">
        <w:rPr>
          <w:lang w:val="en-US"/>
        </w:rPr>
        <w:t>tumour</w:t>
      </w:r>
      <w:proofErr w:type="spellEnd"/>
      <w:r w:rsidR="00855EB6">
        <w:rPr>
          <w:lang w:val="en-US"/>
        </w:rPr>
        <w:t xml:space="preserve"> assessment.</w:t>
      </w:r>
    </w:p>
    <w:p w14:paraId="1B99993C" w14:textId="5E13ABBB" w:rsidR="00BC7655" w:rsidRDefault="0096567C" w:rsidP="0096567C">
      <w:pPr>
        <w:rPr>
          <w:lang w:val="en-US"/>
        </w:rPr>
      </w:pPr>
      <w:r w:rsidRPr="0096567C">
        <w:rPr>
          <w:lang w:val="en-US"/>
        </w:rPr>
        <w:t>Two further analysis sets were described in the integrated review. These were larger pooled populations, consisting of all patients from ALKA, STARTRK-1 or STARTRK-2</w:t>
      </w:r>
      <w:r w:rsidR="00B3760D">
        <w:rPr>
          <w:lang w:val="en-US"/>
        </w:rPr>
        <w:t xml:space="preserve"> trial</w:t>
      </w:r>
      <w:r w:rsidRPr="0096567C">
        <w:rPr>
          <w:lang w:val="en-US"/>
        </w:rPr>
        <w:t xml:space="preserve"> who had ROS1 fusion-positive NSCLC, regardless of duration of follow-up and with ECOG performance status of less than 2:</w:t>
      </w:r>
    </w:p>
    <w:p w14:paraId="2BA2A21B" w14:textId="3756649F" w:rsidR="0096567C" w:rsidRPr="0096567C" w:rsidRDefault="0096567C" w:rsidP="00D61D03">
      <w:pPr>
        <w:pStyle w:val="ListBullet"/>
        <w:rPr>
          <w:lang w:val="en-US"/>
        </w:rPr>
      </w:pPr>
      <w:r w:rsidRPr="0096567C">
        <w:rPr>
          <w:lang w:val="en-US"/>
        </w:rPr>
        <w:t>Efficac</w:t>
      </w:r>
      <w:r w:rsidR="009C0A48">
        <w:rPr>
          <w:lang w:val="en-US"/>
        </w:rPr>
        <w:t>y Analysis Set (n</w:t>
      </w:r>
      <w:r w:rsidR="00BF7C39">
        <w:rPr>
          <w:lang w:val="en-US"/>
        </w:rPr>
        <w:t xml:space="preserve"> </w:t>
      </w:r>
      <w:r w:rsidR="009C0A48">
        <w:rPr>
          <w:lang w:val="en-US"/>
        </w:rPr>
        <w:t>=</w:t>
      </w:r>
      <w:r w:rsidR="00BF7C39">
        <w:rPr>
          <w:lang w:val="en-US"/>
        </w:rPr>
        <w:t xml:space="preserve"> </w:t>
      </w:r>
      <w:r w:rsidR="009C0A48">
        <w:rPr>
          <w:lang w:val="en-US"/>
        </w:rPr>
        <w:t>103):</w:t>
      </w:r>
    </w:p>
    <w:p w14:paraId="1931BBE7" w14:textId="77777777" w:rsidR="0096567C" w:rsidRPr="0096567C" w:rsidRDefault="0096567C" w:rsidP="00D61D03">
      <w:pPr>
        <w:pStyle w:val="ListBullet2"/>
        <w:rPr>
          <w:lang w:val="en-US"/>
        </w:rPr>
      </w:pPr>
      <w:r w:rsidRPr="0096567C">
        <w:rPr>
          <w:lang w:val="en-US"/>
        </w:rPr>
        <w:t>Could have measurable or unmeasurable disease per investigator</w:t>
      </w:r>
    </w:p>
    <w:p w14:paraId="24025B72" w14:textId="5B4D2AAA" w:rsidR="0096567C" w:rsidRPr="0096567C" w:rsidRDefault="0096567C" w:rsidP="00D61D03">
      <w:pPr>
        <w:pStyle w:val="ListBullet2"/>
        <w:rPr>
          <w:lang w:val="en-US"/>
        </w:rPr>
      </w:pPr>
      <w:r w:rsidRPr="0096567C">
        <w:rPr>
          <w:lang w:val="en-US"/>
        </w:rPr>
        <w:t>ROS1 inhibitor-naïve (n</w:t>
      </w:r>
      <w:r w:rsidR="00BF7C39">
        <w:rPr>
          <w:lang w:val="en-US"/>
        </w:rPr>
        <w:t xml:space="preserve"> </w:t>
      </w:r>
      <w:r w:rsidRPr="0096567C">
        <w:rPr>
          <w:lang w:val="en-US"/>
        </w:rPr>
        <w:t>=</w:t>
      </w:r>
      <w:r w:rsidR="00BF7C39">
        <w:rPr>
          <w:lang w:val="en-US"/>
        </w:rPr>
        <w:t xml:space="preserve"> </w:t>
      </w:r>
      <w:r w:rsidRPr="0096567C">
        <w:rPr>
          <w:lang w:val="en-US"/>
        </w:rPr>
        <w:t xml:space="preserve">101) or prior </w:t>
      </w:r>
      <w:proofErr w:type="spellStart"/>
      <w:r w:rsidRPr="0096567C">
        <w:rPr>
          <w:lang w:val="en-US"/>
        </w:rPr>
        <w:t>crizotinib</w:t>
      </w:r>
      <w:proofErr w:type="spellEnd"/>
      <w:r w:rsidRPr="0096567C">
        <w:rPr>
          <w:lang w:val="en-US"/>
        </w:rPr>
        <w:t xml:space="preserve"> (n</w:t>
      </w:r>
      <w:r w:rsidR="00BF7C39">
        <w:rPr>
          <w:lang w:val="en-US"/>
        </w:rPr>
        <w:t xml:space="preserve"> </w:t>
      </w:r>
      <w:r w:rsidRPr="0096567C">
        <w:rPr>
          <w:lang w:val="en-US"/>
        </w:rPr>
        <w:t>=</w:t>
      </w:r>
      <w:r w:rsidR="00BF7C39">
        <w:rPr>
          <w:lang w:val="en-US"/>
        </w:rPr>
        <w:t xml:space="preserve"> </w:t>
      </w:r>
      <w:r w:rsidRPr="0096567C">
        <w:rPr>
          <w:lang w:val="en-US"/>
        </w:rPr>
        <w:t>2)</w:t>
      </w:r>
      <w:r w:rsidR="00E6742E">
        <w:rPr>
          <w:lang w:val="en-US"/>
        </w:rPr>
        <w:t>.</w:t>
      </w:r>
    </w:p>
    <w:p w14:paraId="097AE5AE" w14:textId="3F48319F" w:rsidR="0096567C" w:rsidRPr="0096567C" w:rsidRDefault="009C0A48" w:rsidP="00D61D03">
      <w:pPr>
        <w:pStyle w:val="ListBullet"/>
        <w:rPr>
          <w:lang w:val="en-US"/>
        </w:rPr>
      </w:pPr>
      <w:r>
        <w:rPr>
          <w:lang w:val="en-US"/>
        </w:rPr>
        <w:t>Measurable Disease Set (n</w:t>
      </w:r>
      <w:r w:rsidR="00BF7C39">
        <w:rPr>
          <w:lang w:val="en-US"/>
        </w:rPr>
        <w:t xml:space="preserve"> </w:t>
      </w:r>
      <w:r>
        <w:rPr>
          <w:lang w:val="en-US"/>
        </w:rPr>
        <w:t>=</w:t>
      </w:r>
      <w:r w:rsidR="00BF7C39">
        <w:rPr>
          <w:lang w:val="en-US"/>
        </w:rPr>
        <w:t xml:space="preserve"> </w:t>
      </w:r>
      <w:r>
        <w:rPr>
          <w:lang w:val="en-US"/>
        </w:rPr>
        <w:t>94):</w:t>
      </w:r>
    </w:p>
    <w:p w14:paraId="4AC9FFB4" w14:textId="56437C92" w:rsidR="0096567C" w:rsidRPr="0096567C" w:rsidRDefault="0096567C" w:rsidP="00D61D03">
      <w:pPr>
        <w:pStyle w:val="ListBullet2"/>
        <w:rPr>
          <w:lang w:val="en-US"/>
        </w:rPr>
      </w:pPr>
      <w:r w:rsidRPr="0096567C">
        <w:rPr>
          <w:lang w:val="en-US"/>
        </w:rPr>
        <w:t>Measurable disease per investigator</w:t>
      </w:r>
    </w:p>
    <w:p w14:paraId="42637EC6" w14:textId="31A1AB6D" w:rsidR="0096567C" w:rsidRPr="0096567C" w:rsidRDefault="0096567C" w:rsidP="00D61D03">
      <w:pPr>
        <w:pStyle w:val="ListBullet2"/>
        <w:rPr>
          <w:lang w:val="en-US"/>
        </w:rPr>
      </w:pPr>
      <w:r w:rsidRPr="0096567C">
        <w:rPr>
          <w:lang w:val="en-US"/>
        </w:rPr>
        <w:t>ROS1 inhibitor-naïve (n</w:t>
      </w:r>
      <w:r w:rsidR="00BF7C39">
        <w:rPr>
          <w:lang w:val="en-US"/>
        </w:rPr>
        <w:t xml:space="preserve"> </w:t>
      </w:r>
      <w:r w:rsidRPr="0096567C">
        <w:rPr>
          <w:lang w:val="en-US"/>
        </w:rPr>
        <w:t>=</w:t>
      </w:r>
      <w:r w:rsidR="00BF7C39">
        <w:rPr>
          <w:lang w:val="en-US"/>
        </w:rPr>
        <w:t xml:space="preserve"> </w:t>
      </w:r>
      <w:r w:rsidRPr="0096567C">
        <w:rPr>
          <w:lang w:val="en-US"/>
        </w:rPr>
        <w:t xml:space="preserve">92) or prior </w:t>
      </w:r>
      <w:proofErr w:type="spellStart"/>
      <w:r w:rsidRPr="0096567C">
        <w:rPr>
          <w:lang w:val="en-US"/>
        </w:rPr>
        <w:t>crizotinib</w:t>
      </w:r>
      <w:proofErr w:type="spellEnd"/>
      <w:r w:rsidRPr="0096567C">
        <w:rPr>
          <w:lang w:val="en-US"/>
        </w:rPr>
        <w:t xml:space="preserve"> (n</w:t>
      </w:r>
      <w:r w:rsidR="00BF7C39">
        <w:rPr>
          <w:lang w:val="en-US"/>
        </w:rPr>
        <w:t xml:space="preserve"> </w:t>
      </w:r>
      <w:r w:rsidRPr="0096567C">
        <w:rPr>
          <w:lang w:val="en-US"/>
        </w:rPr>
        <w:t>=</w:t>
      </w:r>
      <w:r w:rsidR="00BF7C39">
        <w:rPr>
          <w:lang w:val="en-US"/>
        </w:rPr>
        <w:t xml:space="preserve"> </w:t>
      </w:r>
      <w:r w:rsidRPr="0096567C">
        <w:rPr>
          <w:lang w:val="en-US"/>
        </w:rPr>
        <w:t>2)</w:t>
      </w:r>
      <w:r w:rsidR="00E6742E">
        <w:rPr>
          <w:lang w:val="en-US"/>
        </w:rPr>
        <w:t>.</w:t>
      </w:r>
    </w:p>
    <w:p w14:paraId="7E03385C" w14:textId="0F70670B" w:rsidR="0096567C" w:rsidRPr="0096567C" w:rsidRDefault="0096567C" w:rsidP="0096567C">
      <w:pPr>
        <w:rPr>
          <w:lang w:val="en-US"/>
        </w:rPr>
      </w:pPr>
      <w:r w:rsidRPr="0096567C">
        <w:rPr>
          <w:lang w:val="en-US"/>
        </w:rPr>
        <w:t>The TGA assessment of benefit-risk focusses on the ROS1 Primary Anal</w:t>
      </w:r>
      <w:r w:rsidR="00007294">
        <w:rPr>
          <w:lang w:val="en-US"/>
        </w:rPr>
        <w:t>ysis Set as defined by the FDA</w:t>
      </w:r>
      <w:r w:rsidR="00855EB6">
        <w:rPr>
          <w:lang w:val="en-US"/>
        </w:rPr>
        <w:t>.</w:t>
      </w:r>
      <w:r w:rsidR="00855EB6">
        <w:rPr>
          <w:lang w:val="en-US"/>
        </w:rPr>
        <w:fldChar w:fldCharType="begin"/>
      </w:r>
      <w:r w:rsidR="00855EB6">
        <w:rPr>
          <w:lang w:val="en-US"/>
        </w:rPr>
        <w:instrText xml:space="preserve"> NOTEREF _Ref50554541 \f \h </w:instrText>
      </w:r>
      <w:r w:rsidR="00855EB6">
        <w:rPr>
          <w:lang w:val="en-US"/>
        </w:rPr>
      </w:r>
      <w:r w:rsidR="00855EB6">
        <w:rPr>
          <w:lang w:val="en-US"/>
        </w:rPr>
        <w:fldChar w:fldCharType="separate"/>
      </w:r>
      <w:r w:rsidR="005743D8" w:rsidRPr="005743D8">
        <w:rPr>
          <w:rStyle w:val="FootnoteReference"/>
        </w:rPr>
        <w:t>12</w:t>
      </w:r>
      <w:r w:rsidR="00855EB6">
        <w:rPr>
          <w:lang w:val="en-US"/>
        </w:rPr>
        <w:fldChar w:fldCharType="end"/>
      </w:r>
    </w:p>
    <w:p w14:paraId="5C9617BB" w14:textId="77777777" w:rsidR="0096567C" w:rsidRPr="0096567C" w:rsidRDefault="0096567C" w:rsidP="000C761A">
      <w:pPr>
        <w:pStyle w:val="Heading6"/>
      </w:pPr>
      <w:r w:rsidRPr="0096567C">
        <w:t>Efficacy measures</w:t>
      </w:r>
    </w:p>
    <w:p w14:paraId="051959F2" w14:textId="77777777" w:rsidR="0096567C" w:rsidRPr="0096567C" w:rsidRDefault="0096567C" w:rsidP="0096567C">
      <w:pPr>
        <w:rPr>
          <w:lang w:val="en-US"/>
        </w:rPr>
      </w:pPr>
      <w:r w:rsidRPr="0096567C">
        <w:rPr>
          <w:lang w:val="en-US"/>
        </w:rPr>
        <w:t>The following efficacy measures contributed to the TGA risk-benefit analysis:</w:t>
      </w:r>
    </w:p>
    <w:p w14:paraId="389C59CE" w14:textId="4854087E" w:rsidR="0096567C" w:rsidRPr="0096567C" w:rsidRDefault="0096567C" w:rsidP="00D61D03">
      <w:pPr>
        <w:pStyle w:val="ListBullet"/>
        <w:rPr>
          <w:lang w:val="en-US"/>
        </w:rPr>
      </w:pPr>
      <w:r w:rsidRPr="0096567C">
        <w:rPr>
          <w:lang w:val="en-US"/>
        </w:rPr>
        <w:t>Objective Respon</w:t>
      </w:r>
      <w:r w:rsidR="00B15B4D">
        <w:rPr>
          <w:lang w:val="en-US"/>
        </w:rPr>
        <w:t>se Rate</w:t>
      </w:r>
      <w:r w:rsidR="00E6742E">
        <w:rPr>
          <w:lang w:val="en-US"/>
        </w:rPr>
        <w:t>:</w:t>
      </w:r>
    </w:p>
    <w:p w14:paraId="612DF2D9" w14:textId="24A4A2FA" w:rsidR="0096567C" w:rsidRPr="0096567C" w:rsidRDefault="0096567C" w:rsidP="00D61D03">
      <w:pPr>
        <w:pStyle w:val="ListBullet2"/>
        <w:rPr>
          <w:lang w:val="en-US"/>
        </w:rPr>
      </w:pPr>
      <w:r w:rsidRPr="0096567C">
        <w:rPr>
          <w:lang w:val="en-US"/>
        </w:rPr>
        <w:t>The proportion of patients with confirmed complete response (CR) or partial response) per RECIST</w:t>
      </w:r>
      <w:r w:rsidR="00E6742E">
        <w:rPr>
          <w:lang w:val="en-US"/>
        </w:rPr>
        <w:t xml:space="preserve"> criteria (version 1 by blinded independent central review (BICR).</w:t>
      </w:r>
      <w:r w:rsidR="00430D89">
        <w:rPr>
          <w:lang w:val="en-US"/>
        </w:rPr>
        <w:fldChar w:fldCharType="begin"/>
      </w:r>
      <w:r w:rsidR="00430D89">
        <w:rPr>
          <w:lang w:val="en-US"/>
        </w:rPr>
        <w:instrText xml:space="preserve"> NOTEREF _Ref52176997 \f \h </w:instrText>
      </w:r>
      <w:r w:rsidR="00430D89">
        <w:rPr>
          <w:lang w:val="en-US"/>
        </w:rPr>
      </w:r>
      <w:r w:rsidR="00430D89">
        <w:rPr>
          <w:lang w:val="en-US"/>
        </w:rPr>
        <w:fldChar w:fldCharType="separate"/>
      </w:r>
      <w:r w:rsidR="005743D8" w:rsidRPr="005743D8">
        <w:rPr>
          <w:rStyle w:val="FootnoteReference"/>
        </w:rPr>
        <w:t>19</w:t>
      </w:r>
      <w:r w:rsidR="00430D89">
        <w:rPr>
          <w:lang w:val="en-US"/>
        </w:rPr>
        <w:fldChar w:fldCharType="end"/>
      </w:r>
    </w:p>
    <w:p w14:paraId="3ACA65D2" w14:textId="77777777" w:rsidR="0096567C" w:rsidRPr="0096567C" w:rsidRDefault="0096567C" w:rsidP="00D61D03">
      <w:pPr>
        <w:pStyle w:val="ListBullet2"/>
        <w:rPr>
          <w:lang w:val="en-US"/>
        </w:rPr>
      </w:pPr>
      <w:r w:rsidRPr="0096567C">
        <w:rPr>
          <w:lang w:val="en-US"/>
        </w:rPr>
        <w:t>Non-responders included:</w:t>
      </w:r>
    </w:p>
    <w:p w14:paraId="01B0EDDA" w14:textId="77777777" w:rsidR="0096567C" w:rsidRPr="0096567C" w:rsidRDefault="0096567C" w:rsidP="00D61D03">
      <w:pPr>
        <w:pStyle w:val="ListBullet3"/>
        <w:rPr>
          <w:lang w:val="en-US"/>
        </w:rPr>
      </w:pPr>
      <w:r w:rsidRPr="0096567C">
        <w:rPr>
          <w:lang w:val="en-US"/>
        </w:rPr>
        <w:t>Response not confirmed</w:t>
      </w:r>
    </w:p>
    <w:p w14:paraId="7BA17F63" w14:textId="5F3C52F4" w:rsidR="0096567C" w:rsidRPr="0096567C" w:rsidRDefault="0096567C" w:rsidP="00D61D03">
      <w:pPr>
        <w:pStyle w:val="ListBullet3"/>
        <w:rPr>
          <w:lang w:val="en-US"/>
        </w:rPr>
      </w:pPr>
      <w:r w:rsidRPr="0096567C">
        <w:rPr>
          <w:lang w:val="en-US"/>
        </w:rPr>
        <w:t xml:space="preserve">Missing baseline or </w:t>
      </w:r>
      <w:r w:rsidR="00E01317">
        <w:rPr>
          <w:lang w:val="en-US"/>
        </w:rPr>
        <w:t xml:space="preserve">post </w:t>
      </w:r>
      <w:r w:rsidR="00E6742E">
        <w:rPr>
          <w:lang w:val="en-US"/>
        </w:rPr>
        <w:t>b</w:t>
      </w:r>
      <w:r w:rsidR="00CB4BDD">
        <w:rPr>
          <w:lang w:val="en-US"/>
        </w:rPr>
        <w:t xml:space="preserve">aseline </w:t>
      </w:r>
      <w:proofErr w:type="spellStart"/>
      <w:r w:rsidR="00CB4BDD">
        <w:rPr>
          <w:lang w:val="en-US"/>
        </w:rPr>
        <w:t>tumour</w:t>
      </w:r>
      <w:proofErr w:type="spellEnd"/>
      <w:r w:rsidR="00CB4BDD">
        <w:rPr>
          <w:lang w:val="en-US"/>
        </w:rPr>
        <w:t xml:space="preserve"> assessment</w:t>
      </w:r>
    </w:p>
    <w:p w14:paraId="7DA0E5D6" w14:textId="5BC0F9FB" w:rsidR="0096567C" w:rsidRPr="0096567C" w:rsidRDefault="0096567C" w:rsidP="00D61D03">
      <w:pPr>
        <w:pStyle w:val="ListBullet3"/>
        <w:rPr>
          <w:lang w:val="en-US"/>
        </w:rPr>
      </w:pPr>
      <w:r w:rsidRPr="0096567C">
        <w:rPr>
          <w:lang w:val="en-US"/>
        </w:rPr>
        <w:t>Discontinued for any reason prior to post-</w:t>
      </w:r>
      <w:r w:rsidR="00E6742E">
        <w:rPr>
          <w:lang w:val="en-US"/>
        </w:rPr>
        <w:t>b</w:t>
      </w:r>
      <w:r w:rsidR="00E01317">
        <w:rPr>
          <w:lang w:val="en-US"/>
        </w:rPr>
        <w:t>aseline</w:t>
      </w:r>
      <w:r w:rsidRPr="0096567C">
        <w:rPr>
          <w:lang w:val="en-US"/>
        </w:rPr>
        <w:t xml:space="preserve"> response evaluation</w:t>
      </w:r>
    </w:p>
    <w:p w14:paraId="209E30AA" w14:textId="12C11705" w:rsidR="0096567C" w:rsidRPr="0096567C" w:rsidRDefault="0096567C" w:rsidP="00D61D03">
      <w:pPr>
        <w:pStyle w:val="ListBullet"/>
        <w:rPr>
          <w:lang w:val="en-US"/>
        </w:rPr>
      </w:pPr>
      <w:r w:rsidRPr="0096567C">
        <w:rPr>
          <w:lang w:val="en-US"/>
        </w:rPr>
        <w:t>Duration of Response (DOR, in months) in responders</w:t>
      </w:r>
      <w:r w:rsidR="00E6742E">
        <w:rPr>
          <w:lang w:val="en-US"/>
        </w:rPr>
        <w:t>:</w:t>
      </w:r>
    </w:p>
    <w:p w14:paraId="6FBDAF37" w14:textId="1F92ADF3" w:rsidR="0096567C" w:rsidRPr="0096567C" w:rsidRDefault="0096567C" w:rsidP="00D61D03">
      <w:pPr>
        <w:pStyle w:val="ListBullet2"/>
        <w:rPr>
          <w:lang w:val="en-US"/>
        </w:rPr>
      </w:pPr>
      <w:r w:rsidRPr="0096567C">
        <w:rPr>
          <w:lang w:val="en-US"/>
        </w:rPr>
        <w:t>Date of first objective response to first documentation of radiographic disease progression or death due to a</w:t>
      </w:r>
      <w:r w:rsidR="00007294">
        <w:rPr>
          <w:lang w:val="en-US"/>
        </w:rPr>
        <w:t>ny cause, whichever was earlier.</w:t>
      </w:r>
    </w:p>
    <w:p w14:paraId="5AF7B96E" w14:textId="4EB86945" w:rsidR="0096567C" w:rsidRPr="0096567C" w:rsidRDefault="0096567C" w:rsidP="00D61D03">
      <w:pPr>
        <w:pStyle w:val="ListBullet2"/>
        <w:rPr>
          <w:lang w:val="en-US"/>
        </w:rPr>
      </w:pPr>
      <w:r w:rsidRPr="0096567C">
        <w:rPr>
          <w:lang w:val="en-US"/>
        </w:rPr>
        <w:t xml:space="preserve">If no death or progression: censored at last </w:t>
      </w:r>
      <w:proofErr w:type="spellStart"/>
      <w:r w:rsidRPr="0096567C">
        <w:rPr>
          <w:lang w:val="en-US"/>
        </w:rPr>
        <w:t>tumour</w:t>
      </w:r>
      <w:proofErr w:type="spellEnd"/>
      <w:r w:rsidRPr="0096567C">
        <w:rPr>
          <w:lang w:val="en-US"/>
        </w:rPr>
        <w:t xml:space="preserve"> a</w:t>
      </w:r>
      <w:r w:rsidR="00CB4BDD">
        <w:rPr>
          <w:lang w:val="en-US"/>
        </w:rPr>
        <w:t>ssessment date prior to cut</w:t>
      </w:r>
      <w:r w:rsidR="00E6742E">
        <w:rPr>
          <w:lang w:val="en-US"/>
        </w:rPr>
        <w:noBreakHyphen/>
      </w:r>
      <w:r w:rsidR="00CB4BDD">
        <w:rPr>
          <w:lang w:val="en-US"/>
        </w:rPr>
        <w:t>off.</w:t>
      </w:r>
    </w:p>
    <w:p w14:paraId="6C9192E4" w14:textId="654243F6" w:rsidR="0096567C" w:rsidRPr="0096567C" w:rsidRDefault="0096567C" w:rsidP="00D61D03">
      <w:pPr>
        <w:pStyle w:val="ListBullet"/>
        <w:rPr>
          <w:lang w:val="en-US"/>
        </w:rPr>
      </w:pPr>
      <w:r w:rsidRPr="0096567C">
        <w:rPr>
          <w:lang w:val="en-US"/>
        </w:rPr>
        <w:t>Intracranial ORR (IC-ORR)</w:t>
      </w:r>
      <w:r w:rsidR="00E6742E">
        <w:rPr>
          <w:lang w:val="en-US"/>
        </w:rPr>
        <w:t>:</w:t>
      </w:r>
    </w:p>
    <w:p w14:paraId="27BD1E2E" w14:textId="733A9329" w:rsidR="0096567C" w:rsidRPr="0096567C" w:rsidRDefault="0096567C" w:rsidP="00D61D03">
      <w:pPr>
        <w:pStyle w:val="ListBullet2"/>
        <w:rPr>
          <w:lang w:val="en-US"/>
        </w:rPr>
      </w:pPr>
      <w:r w:rsidRPr="0096567C">
        <w:rPr>
          <w:lang w:val="en-US"/>
        </w:rPr>
        <w:t xml:space="preserve">Confirmed ORR in patients with measurable CNS disease at </w:t>
      </w:r>
      <w:r w:rsidR="00E01317">
        <w:rPr>
          <w:lang w:val="en-US"/>
        </w:rPr>
        <w:t>Baseline</w:t>
      </w:r>
      <w:r w:rsidRPr="0096567C">
        <w:rPr>
          <w:lang w:val="en-US"/>
        </w:rPr>
        <w:t>, per RECIST v</w:t>
      </w:r>
      <w:r w:rsidR="00D03796">
        <w:rPr>
          <w:lang w:val="en-US"/>
        </w:rPr>
        <w:t xml:space="preserve">ersion </w:t>
      </w:r>
      <w:r w:rsidRPr="0096567C">
        <w:rPr>
          <w:lang w:val="en-US"/>
        </w:rPr>
        <w:t>1</w:t>
      </w:r>
      <w:r w:rsidR="00D03796">
        <w:rPr>
          <w:lang w:val="en-US"/>
        </w:rPr>
        <w:t xml:space="preserve"> criteria</w:t>
      </w:r>
      <w:r w:rsidRPr="0096567C">
        <w:rPr>
          <w:lang w:val="en-US"/>
        </w:rPr>
        <w:t xml:space="preserve"> or RANO for primary CNS </w:t>
      </w:r>
      <w:proofErr w:type="spellStart"/>
      <w:r w:rsidRPr="0096567C">
        <w:rPr>
          <w:lang w:val="en-US"/>
        </w:rPr>
        <w:t>tumours</w:t>
      </w:r>
      <w:proofErr w:type="spellEnd"/>
      <w:r w:rsidRPr="0096567C">
        <w:rPr>
          <w:lang w:val="en-US"/>
        </w:rPr>
        <w:t>, by BICR</w:t>
      </w:r>
      <w:r w:rsidR="00007294">
        <w:rPr>
          <w:lang w:val="en-US"/>
        </w:rPr>
        <w:t>.</w:t>
      </w:r>
    </w:p>
    <w:p w14:paraId="1D3B8D2D" w14:textId="6A91286B" w:rsidR="0096567C" w:rsidRPr="0096567C" w:rsidRDefault="0096567C" w:rsidP="00D61D03">
      <w:pPr>
        <w:pStyle w:val="ListBullet2"/>
        <w:rPr>
          <w:lang w:val="en-US"/>
        </w:rPr>
      </w:pPr>
      <w:r w:rsidRPr="0096567C">
        <w:rPr>
          <w:lang w:val="en-US"/>
        </w:rPr>
        <w:t>Reported for measurable and non-measurable disease</w:t>
      </w:r>
      <w:r w:rsidR="00007294">
        <w:rPr>
          <w:lang w:val="en-US"/>
        </w:rPr>
        <w:t>.</w:t>
      </w:r>
    </w:p>
    <w:p w14:paraId="10A3AF3F" w14:textId="77777777" w:rsidR="0096567C" w:rsidRPr="0096567C" w:rsidRDefault="0096567C" w:rsidP="00D61D03">
      <w:pPr>
        <w:pStyle w:val="ListBullet"/>
        <w:rPr>
          <w:lang w:val="en-US"/>
        </w:rPr>
      </w:pPr>
      <w:r w:rsidRPr="0096567C">
        <w:rPr>
          <w:lang w:val="en-US"/>
        </w:rPr>
        <w:t>Intracranial DOR (IC-DOR, months) in intracranial responders</w:t>
      </w:r>
    </w:p>
    <w:p w14:paraId="7286CAB1" w14:textId="56861BB3" w:rsidR="0096567C" w:rsidRPr="0096567C" w:rsidRDefault="0096567C" w:rsidP="00D61D03">
      <w:pPr>
        <w:pStyle w:val="ListBullet2"/>
        <w:rPr>
          <w:lang w:val="en-US"/>
        </w:rPr>
      </w:pPr>
      <w:r w:rsidRPr="0096567C">
        <w:rPr>
          <w:lang w:val="en-US"/>
        </w:rPr>
        <w:t>Date of first intracranial response to first documentation of radiographic CNS disease progression or date of death due to an</w:t>
      </w:r>
      <w:r w:rsidR="00007294">
        <w:rPr>
          <w:lang w:val="en-US"/>
        </w:rPr>
        <w:t>y cause, whichever was earlier.</w:t>
      </w:r>
    </w:p>
    <w:p w14:paraId="3CB0D47E" w14:textId="51D8F64B" w:rsidR="0096567C" w:rsidRPr="00D61D03" w:rsidRDefault="0096567C" w:rsidP="00D61D03">
      <w:pPr>
        <w:pStyle w:val="ListBullet2"/>
        <w:rPr>
          <w:lang w:val="en-US"/>
        </w:rPr>
      </w:pPr>
      <w:r w:rsidRPr="0096567C">
        <w:rPr>
          <w:lang w:val="en-US"/>
        </w:rPr>
        <w:t xml:space="preserve">If no death within 30 days of last dose, and no CNS disease progression censored at the last </w:t>
      </w:r>
      <w:proofErr w:type="spellStart"/>
      <w:r w:rsidRPr="0096567C">
        <w:rPr>
          <w:lang w:val="en-US"/>
        </w:rPr>
        <w:t>tumour</w:t>
      </w:r>
      <w:proofErr w:type="spellEnd"/>
      <w:r w:rsidRPr="0096567C">
        <w:rPr>
          <w:lang w:val="en-US"/>
        </w:rPr>
        <w:t xml:space="preserve"> assessment date prior to any date of subsequent anticancer therapy, including surgery or radiotherapy to the brain</w:t>
      </w:r>
      <w:r w:rsidR="00007294">
        <w:t>.</w:t>
      </w:r>
    </w:p>
    <w:p w14:paraId="0295E52B" w14:textId="77777777" w:rsidR="00D61D03" w:rsidRPr="00D61D03" w:rsidRDefault="00D61D03" w:rsidP="00D61D03">
      <w:pPr>
        <w:rPr>
          <w:lang w:val="en-US"/>
        </w:rPr>
      </w:pPr>
      <w:r w:rsidRPr="00D61D03">
        <w:rPr>
          <w:lang w:val="en-US"/>
        </w:rPr>
        <w:t xml:space="preserve">Descriptive analysis of results in patients with ROS1-positive NSCLC previously treated with </w:t>
      </w:r>
      <w:proofErr w:type="spellStart"/>
      <w:r w:rsidRPr="00D61D03">
        <w:rPr>
          <w:lang w:val="en-US"/>
        </w:rPr>
        <w:t>crizotinib</w:t>
      </w:r>
      <w:proofErr w:type="spellEnd"/>
      <w:r w:rsidRPr="00D61D03">
        <w:rPr>
          <w:lang w:val="en-US"/>
        </w:rPr>
        <w:t xml:space="preserve"> was also provided.</w:t>
      </w:r>
    </w:p>
    <w:p w14:paraId="4B855E57" w14:textId="4AA23B33" w:rsidR="00D61D03" w:rsidRPr="00D61D03" w:rsidRDefault="00D61D03" w:rsidP="00D61D03">
      <w:pPr>
        <w:rPr>
          <w:lang w:val="en-US"/>
        </w:rPr>
      </w:pPr>
      <w:r w:rsidRPr="00D61D03">
        <w:rPr>
          <w:lang w:val="en-US"/>
        </w:rPr>
        <w:lastRenderedPageBreak/>
        <w:t xml:space="preserve">A number of other </w:t>
      </w:r>
      <w:r w:rsidR="00B14979">
        <w:rPr>
          <w:lang w:val="en-US"/>
        </w:rPr>
        <w:t>endpoints were included in the s</w:t>
      </w:r>
      <w:r w:rsidRPr="00D61D03">
        <w:rPr>
          <w:lang w:val="en-US"/>
        </w:rPr>
        <w:t xml:space="preserve">ponsor’s analysis of efficacy (for both indications). </w:t>
      </w:r>
      <w:r w:rsidR="00134048">
        <w:rPr>
          <w:lang w:val="en-US"/>
        </w:rPr>
        <w:t>Regarding these, the FDA noted:</w:t>
      </w:r>
      <w:r w:rsidR="00134048">
        <w:rPr>
          <w:lang w:val="en-US"/>
        </w:rPr>
        <w:fldChar w:fldCharType="begin"/>
      </w:r>
      <w:r w:rsidR="00134048">
        <w:rPr>
          <w:lang w:val="en-US"/>
        </w:rPr>
        <w:instrText xml:space="preserve"> NOTEREF _Ref50554541 \f \h </w:instrText>
      </w:r>
      <w:r w:rsidR="00134048">
        <w:rPr>
          <w:lang w:val="en-US"/>
        </w:rPr>
      </w:r>
      <w:r w:rsidR="00134048">
        <w:rPr>
          <w:lang w:val="en-US"/>
        </w:rPr>
        <w:fldChar w:fldCharType="separate"/>
      </w:r>
      <w:r w:rsidR="005743D8" w:rsidRPr="005743D8">
        <w:rPr>
          <w:rStyle w:val="FootnoteReference"/>
        </w:rPr>
        <w:t>12</w:t>
      </w:r>
      <w:r w:rsidR="00134048">
        <w:rPr>
          <w:lang w:val="en-US"/>
        </w:rPr>
        <w:fldChar w:fldCharType="end"/>
      </w:r>
    </w:p>
    <w:p w14:paraId="56810088" w14:textId="058A0054" w:rsidR="00D61D03" w:rsidRPr="00D61D03" w:rsidRDefault="00351F3A" w:rsidP="00351F3A">
      <w:pPr>
        <w:ind w:left="720"/>
        <w:rPr>
          <w:lang w:val="en-US"/>
        </w:rPr>
      </w:pPr>
      <w:r>
        <w:rPr>
          <w:lang w:val="en-US"/>
        </w:rPr>
        <w:t>‘</w:t>
      </w:r>
      <w:r w:rsidR="00B15B4D">
        <w:rPr>
          <w:lang w:val="en-US"/>
        </w:rPr>
        <w:t>Clinical Benefit Rate</w:t>
      </w:r>
      <w:r w:rsidR="00D61D03" w:rsidRPr="00D61D03">
        <w:rPr>
          <w:lang w:val="en-US"/>
        </w:rPr>
        <w:t>, which includes stable disease, is not an acceptable endpoint in a single arm study; this endpoint was not evaluated in this review.</w:t>
      </w:r>
    </w:p>
    <w:p w14:paraId="2DFE327B" w14:textId="77777777" w:rsidR="00D61D03" w:rsidRPr="00D61D03" w:rsidRDefault="00D61D03" w:rsidP="00351F3A">
      <w:pPr>
        <w:ind w:left="720"/>
        <w:rPr>
          <w:lang w:val="en-US"/>
        </w:rPr>
      </w:pPr>
      <w:r w:rsidRPr="00D61D03">
        <w:rPr>
          <w:lang w:val="en-US"/>
        </w:rPr>
        <w:t>Time-to-event endpoints such as OS or PFS are not interpretable in a single-arm study; the results of PFS, OS and other time-to-event endpoints, with the exception of DOR and IC-DOR, were not evaluated in this review.</w:t>
      </w:r>
    </w:p>
    <w:p w14:paraId="2D012F22" w14:textId="241CB604" w:rsidR="00D61D03" w:rsidRPr="00D61D03" w:rsidRDefault="00D61D03" w:rsidP="00351F3A">
      <w:pPr>
        <w:ind w:left="720"/>
        <w:rPr>
          <w:lang w:val="en-US"/>
        </w:rPr>
      </w:pPr>
      <w:r w:rsidRPr="00D61D03">
        <w:rPr>
          <w:lang w:val="en-US"/>
        </w:rPr>
        <w:t>There were very few patients who completed QLQ-CR29;</w:t>
      </w:r>
      <w:r w:rsidR="00D03796">
        <w:rPr>
          <w:rStyle w:val="FootnoteReference"/>
          <w:lang w:val="en-US"/>
        </w:rPr>
        <w:footnoteReference w:id="21"/>
      </w:r>
      <w:r w:rsidRPr="00D61D03">
        <w:rPr>
          <w:lang w:val="en-US"/>
        </w:rPr>
        <w:t xml:space="preserve"> therefore, no results for QLQ-CR29 are presented in this review.</w:t>
      </w:r>
    </w:p>
    <w:p w14:paraId="2179F41C" w14:textId="399255E8" w:rsidR="00D61D03" w:rsidRPr="00D61D03" w:rsidRDefault="00D61D03" w:rsidP="00351F3A">
      <w:pPr>
        <w:ind w:left="720"/>
        <w:rPr>
          <w:lang w:val="en-US"/>
        </w:rPr>
      </w:pPr>
      <w:r w:rsidRPr="00D61D03">
        <w:rPr>
          <w:lang w:val="en-US"/>
        </w:rPr>
        <w:t>Although the study protocol further defined the improvement or worsening of global QOL functioning domains and symptom domains based on 10-point change, there was no agreement on the clinically meaningful threshold (</w:t>
      </w:r>
      <w:r w:rsidR="00BD04CD">
        <w:rPr>
          <w:lang w:val="en-US"/>
        </w:rPr>
        <w:t>for example</w:t>
      </w:r>
      <w:r w:rsidR="00BF7C39">
        <w:rPr>
          <w:lang w:val="en-US"/>
        </w:rPr>
        <w:t xml:space="preserve"> change of </w:t>
      </w:r>
      <w:r w:rsidR="00CE2749">
        <w:sym w:font="Symbol" w:char="F0B3"/>
      </w:r>
      <w:r w:rsidR="00BF7C39">
        <w:rPr>
          <w:lang w:val="en-US"/>
        </w:rPr>
        <w:t xml:space="preserve"> 10 </w:t>
      </w:r>
      <w:r w:rsidRPr="00D61D03">
        <w:rPr>
          <w:lang w:val="en-US"/>
        </w:rPr>
        <w:t xml:space="preserve">point) for the symptom subscale </w:t>
      </w:r>
      <w:r w:rsidR="00F357A6">
        <w:rPr>
          <w:lang w:val="en-US"/>
        </w:rPr>
        <w:t>score between FDA and Genentech.</w:t>
      </w:r>
      <w:r w:rsidR="00351F3A">
        <w:rPr>
          <w:lang w:val="en-US"/>
        </w:rPr>
        <w:t>’</w:t>
      </w:r>
    </w:p>
    <w:p w14:paraId="0B6D72EA" w14:textId="060B2318" w:rsidR="00D61D03" w:rsidRDefault="00D61D03" w:rsidP="00D61D03">
      <w:pPr>
        <w:rPr>
          <w:lang w:val="en-US"/>
        </w:rPr>
      </w:pPr>
      <w:r w:rsidRPr="00D61D03">
        <w:rPr>
          <w:lang w:val="en-US"/>
        </w:rPr>
        <w:t>These endpoints did not contribute significantly to the risk-benefit analysis for either of the TGA submissions, and are not discussed further in this overview.</w:t>
      </w:r>
    </w:p>
    <w:p w14:paraId="6E5C1BC1" w14:textId="36F4B055" w:rsidR="00D61D03" w:rsidRDefault="00D61D03" w:rsidP="000C761A">
      <w:pPr>
        <w:pStyle w:val="Heading6"/>
      </w:pPr>
      <w:r>
        <w:t>Statistical analysis plan</w:t>
      </w:r>
    </w:p>
    <w:p w14:paraId="5EA1B193" w14:textId="759C76B3" w:rsidR="00D61D03" w:rsidRDefault="00D61D03" w:rsidP="00D61D03">
      <w:r>
        <w:t>The statistical analysis plan (SAP) specified a final analysis</w:t>
      </w:r>
      <w:r w:rsidR="009C0A48">
        <w:t xml:space="preserve"> after enrolment of about </w:t>
      </w:r>
      <w:r>
        <w:t>50</w:t>
      </w:r>
      <w:r w:rsidR="00D03796">
        <w:t> </w:t>
      </w:r>
      <w:r>
        <w:t xml:space="preserve">patients with </w:t>
      </w:r>
      <w:r w:rsidRPr="000C761A">
        <w:rPr>
          <w:i/>
        </w:rPr>
        <w:t>ROS1</w:t>
      </w:r>
      <w:r w:rsidR="008A30D9">
        <w:t xml:space="preserve"> </w:t>
      </w:r>
      <w:r>
        <w:t xml:space="preserve">positive NSCLC, and that responding patients would have at least 12 months of efficacy follow-up. The sample size of 50 was chosen to provide 82% power to exclude 50% from the lower bound of a two-sided 95% </w:t>
      </w:r>
      <w:r w:rsidR="00CF2732">
        <w:t>CI</w:t>
      </w:r>
      <w:r>
        <w:t>, based on an assumed true ORR of 70%.</w:t>
      </w:r>
    </w:p>
    <w:p w14:paraId="7C2634FB" w14:textId="684CB94E" w:rsidR="00D61D03" w:rsidRDefault="00D61D03" w:rsidP="00D61D03">
      <w:r>
        <w:t>A response rate that excludes 50% or higher was stated to be considered clinically meaningful. Justification of the pre</w:t>
      </w:r>
      <w:r w:rsidR="008A30D9">
        <w:t>-</w:t>
      </w:r>
      <w:r>
        <w:t>specified threshold for clinical signific</w:t>
      </w:r>
      <w:r w:rsidR="00134048">
        <w:t>ance (50%) is not given by the s</w:t>
      </w:r>
      <w:r>
        <w:t>ponsor but was agreed to in discussion with the FDA.</w:t>
      </w:r>
    </w:p>
    <w:p w14:paraId="60CB868E" w14:textId="107D9E2D" w:rsidR="00D61D03" w:rsidRDefault="00D61D03" w:rsidP="00D61D03">
      <w:r>
        <w:t>Consecutive enrolment was cho</w:t>
      </w:r>
      <w:r w:rsidR="00994AD0">
        <w:t>sen to minimise selection bias.</w:t>
      </w:r>
    </w:p>
    <w:p w14:paraId="7AF5DBB6" w14:textId="25255B54" w:rsidR="00D61D03" w:rsidRDefault="00D61D03" w:rsidP="00D61D03">
      <w:r>
        <w:t>Point estimates with 95% 2</w:t>
      </w:r>
      <w:r w:rsidR="008A30D9">
        <w:t xml:space="preserve"> </w:t>
      </w:r>
      <w:r>
        <w:t>sided CIs were reported, but formal significance testing was not performed and p-values not reported. Multiplicity was also not addressed, justified based on the rarity of the population and expectation o</w:t>
      </w:r>
      <w:r w:rsidR="00994AD0">
        <w:t>f significant clinical benefit.</w:t>
      </w:r>
    </w:p>
    <w:p w14:paraId="64FB31CA" w14:textId="77777777" w:rsidR="00D61D03" w:rsidRPr="00D61D03" w:rsidRDefault="00D61D03" w:rsidP="0029686F">
      <w:pPr>
        <w:pStyle w:val="Heading6"/>
      </w:pPr>
      <w:r w:rsidRPr="00D61D03">
        <w:t>Enrolled ROS1 fusion-positive NSCLC population</w:t>
      </w:r>
    </w:p>
    <w:p w14:paraId="3088A14A" w14:textId="51496ADE" w:rsidR="00D61D03" w:rsidRDefault="00D61D03" w:rsidP="00D61D03">
      <w:r w:rsidRPr="000C761A">
        <w:rPr>
          <w:i/>
        </w:rPr>
        <w:t>Disposition</w:t>
      </w:r>
      <w:r w:rsidR="00D03796">
        <w:t xml:space="preserve">: </w:t>
      </w:r>
      <w:r>
        <w:t>Death was the most common reason for study discontinuation (36%) and progressive disease was the most common reason for treatment discontinuation (77%), consistent with the studied indication.</w:t>
      </w:r>
    </w:p>
    <w:p w14:paraId="152BD718" w14:textId="4E06715F" w:rsidR="00D61D03" w:rsidRDefault="00D61D03" w:rsidP="00D61D03">
      <w:r w:rsidRPr="000C761A">
        <w:rPr>
          <w:i/>
        </w:rPr>
        <w:t>Protocol deviations</w:t>
      </w:r>
      <w:r w:rsidR="00D03796">
        <w:rPr>
          <w:i/>
        </w:rPr>
        <w:t>:</w:t>
      </w:r>
      <w:r w:rsidR="00D03796">
        <w:t xml:space="preserve"> </w:t>
      </w:r>
      <w:r>
        <w:t>Protocol deviations within the ROS1 Primary Analysis Set were reviewed, and were not likely to have altered the assessment of safety or efficacy in patients with ROS1-positive NSCLC.</w:t>
      </w:r>
    </w:p>
    <w:p w14:paraId="4476D7EB" w14:textId="558B7AE6" w:rsidR="00D61D03" w:rsidRDefault="00D61D03" w:rsidP="00D61D03">
      <w:r w:rsidRPr="000C761A">
        <w:rPr>
          <w:i/>
        </w:rPr>
        <w:t>Baseline characteristics</w:t>
      </w:r>
      <w:r w:rsidR="00D03796">
        <w:t xml:space="preserve">: </w:t>
      </w:r>
      <w:r>
        <w:t>Baseline demographics, disease and treatment characteristics of the 51 patients in the ROS1 Primary Analysi</w:t>
      </w:r>
      <w:r w:rsidR="00B14979">
        <w:t xml:space="preserve">s Set are summarised in </w:t>
      </w:r>
      <w:r w:rsidR="00B14979">
        <w:fldChar w:fldCharType="begin"/>
      </w:r>
      <w:r w:rsidR="00B14979">
        <w:instrText xml:space="preserve"> REF _Ref51145077 \h </w:instrText>
      </w:r>
      <w:r w:rsidR="00B14979">
        <w:fldChar w:fldCharType="separate"/>
      </w:r>
      <w:r w:rsidR="005743D8">
        <w:t xml:space="preserve">Table </w:t>
      </w:r>
      <w:r w:rsidR="005743D8">
        <w:rPr>
          <w:noProof/>
        </w:rPr>
        <w:t>9</w:t>
      </w:r>
      <w:r w:rsidR="00B14979">
        <w:fldChar w:fldCharType="end"/>
      </w:r>
      <w:r>
        <w:t>.</w:t>
      </w:r>
    </w:p>
    <w:p w14:paraId="0C2FFA7A" w14:textId="7D1D33BD" w:rsidR="00D61D03" w:rsidRPr="00EE0BFE" w:rsidRDefault="00D61D03" w:rsidP="00EE0BFE">
      <w:pPr>
        <w:pStyle w:val="TableTitle"/>
      </w:pPr>
      <w:bookmarkStart w:id="51" w:name="_Ref51145077"/>
      <w:bookmarkStart w:id="52" w:name="_Ref51145071"/>
      <w:r w:rsidRPr="00EE0BFE">
        <w:lastRenderedPageBreak/>
        <w:t xml:space="preserve">Table </w:t>
      </w:r>
      <w:fldSimple w:instr=" SEQ Table \* ARABIC ">
        <w:r w:rsidR="009B407B">
          <w:rPr>
            <w:noProof/>
          </w:rPr>
          <w:t>13</w:t>
        </w:r>
      </w:fldSimple>
      <w:bookmarkEnd w:id="51"/>
      <w:r w:rsidR="008A30D9" w:rsidRPr="00EE0BFE">
        <w:t>:</w:t>
      </w:r>
      <w:r w:rsidRPr="00EE0BFE">
        <w:t xml:space="preserve"> Baseline demographics and characteristics of the ROS1 Primary Analysis Set</w:t>
      </w:r>
      <w:bookmarkEnd w:id="52"/>
    </w:p>
    <w:tbl>
      <w:tblPr>
        <w:tblStyle w:val="TableTGAblue"/>
        <w:tblW w:w="4748" w:type="pct"/>
        <w:tblLook w:val="01E0" w:firstRow="1" w:lastRow="1" w:firstColumn="1" w:lastColumn="1" w:noHBand="0" w:noVBand="0"/>
      </w:tblPr>
      <w:tblGrid>
        <w:gridCol w:w="2124"/>
        <w:gridCol w:w="1415"/>
        <w:gridCol w:w="3120"/>
        <w:gridCol w:w="1407"/>
      </w:tblGrid>
      <w:tr w:rsidR="003576A2" w:rsidRPr="00D61D03" w14:paraId="301C36EE" w14:textId="77777777" w:rsidTr="001F1814">
        <w:trPr>
          <w:cnfStyle w:val="100000000000" w:firstRow="1" w:lastRow="0" w:firstColumn="0" w:lastColumn="0" w:oddVBand="0" w:evenVBand="0" w:oddHBand="0" w:evenHBand="0" w:firstRowFirstColumn="0" w:firstRowLastColumn="0" w:lastRowFirstColumn="0" w:lastRowLastColumn="0"/>
          <w:trHeight w:val="20"/>
        </w:trPr>
        <w:tc>
          <w:tcPr>
            <w:tcW w:w="1317" w:type="pct"/>
            <w:tcBorders>
              <w:top w:val="single" w:sz="4" w:space="0" w:color="auto"/>
              <w:left w:val="single" w:sz="4" w:space="0" w:color="auto"/>
              <w:bottom w:val="single" w:sz="4" w:space="0" w:color="auto"/>
              <w:right w:val="single" w:sz="4" w:space="0" w:color="auto"/>
            </w:tcBorders>
            <w:vAlign w:val="center"/>
          </w:tcPr>
          <w:p w14:paraId="27A8C1BC" w14:textId="385BC5BE" w:rsidR="003576A2" w:rsidRPr="00D61D03" w:rsidRDefault="003576A2" w:rsidP="00661BB7">
            <w:pPr>
              <w:pStyle w:val="Tabletext"/>
              <w:keepNext w:val="0"/>
              <w:ind w:left="0" w:right="0"/>
            </w:pPr>
            <w:r w:rsidRPr="00D61D03">
              <w:t>Baseline characteristics</w:t>
            </w:r>
          </w:p>
        </w:tc>
        <w:tc>
          <w:tcPr>
            <w:tcW w:w="877" w:type="pct"/>
            <w:tcBorders>
              <w:top w:val="single" w:sz="4" w:space="0" w:color="auto"/>
              <w:left w:val="single" w:sz="4" w:space="0" w:color="auto"/>
              <w:bottom w:val="single" w:sz="4" w:space="0" w:color="auto"/>
              <w:right w:val="single" w:sz="4" w:space="0" w:color="auto"/>
            </w:tcBorders>
            <w:vAlign w:val="center"/>
          </w:tcPr>
          <w:p w14:paraId="101D119B" w14:textId="721D2E4D" w:rsidR="003576A2" w:rsidRPr="00D61D03" w:rsidRDefault="003576A2" w:rsidP="00661BB7">
            <w:pPr>
              <w:pStyle w:val="Tabletext"/>
              <w:keepNext w:val="0"/>
              <w:ind w:left="0" w:right="0"/>
            </w:pPr>
            <w:r w:rsidRPr="00D61D03">
              <w:rPr>
                <w:lang w:val="en-US"/>
              </w:rPr>
              <w:t xml:space="preserve">ROS1 </w:t>
            </w:r>
            <w:r w:rsidRPr="00D61D03">
              <w:t>Primary Analysis Set (n</w:t>
            </w:r>
            <w:r>
              <w:t xml:space="preserve"> </w:t>
            </w:r>
            <w:r w:rsidRPr="00D61D03">
              <w:t>=</w:t>
            </w:r>
            <w:r>
              <w:t xml:space="preserve"> </w:t>
            </w:r>
            <w:r w:rsidRPr="00D61D03">
              <w:t>51)</w:t>
            </w:r>
          </w:p>
        </w:tc>
        <w:tc>
          <w:tcPr>
            <w:tcW w:w="1934" w:type="pct"/>
            <w:tcBorders>
              <w:top w:val="single" w:sz="4" w:space="0" w:color="auto"/>
              <w:left w:val="single" w:sz="4" w:space="0" w:color="auto"/>
              <w:bottom w:val="single" w:sz="4" w:space="0" w:color="auto"/>
              <w:right w:val="single" w:sz="4" w:space="0" w:color="auto"/>
            </w:tcBorders>
            <w:vAlign w:val="center"/>
          </w:tcPr>
          <w:p w14:paraId="463925A6" w14:textId="4210C5C7" w:rsidR="003576A2" w:rsidRPr="00D61D03" w:rsidRDefault="003576A2" w:rsidP="00661BB7">
            <w:pPr>
              <w:pStyle w:val="Tabletext"/>
              <w:keepNext w:val="0"/>
              <w:ind w:left="0" w:right="0"/>
            </w:pPr>
            <w:r w:rsidRPr="00D61D03">
              <w:t>Baseline characteristics</w:t>
            </w:r>
          </w:p>
        </w:tc>
        <w:tc>
          <w:tcPr>
            <w:tcW w:w="872" w:type="pct"/>
            <w:tcBorders>
              <w:top w:val="single" w:sz="4" w:space="0" w:color="auto"/>
              <w:left w:val="single" w:sz="4" w:space="0" w:color="auto"/>
              <w:bottom w:val="single" w:sz="4" w:space="0" w:color="auto"/>
              <w:right w:val="single" w:sz="4" w:space="0" w:color="auto"/>
            </w:tcBorders>
            <w:vAlign w:val="center"/>
          </w:tcPr>
          <w:p w14:paraId="0049F3D7" w14:textId="2F83FCD3" w:rsidR="003576A2" w:rsidRPr="00D61D03" w:rsidRDefault="003576A2" w:rsidP="00CE2749">
            <w:pPr>
              <w:pStyle w:val="Tabletext"/>
              <w:keepNext w:val="0"/>
              <w:ind w:left="0" w:right="0"/>
            </w:pPr>
            <w:r w:rsidRPr="00D61D03">
              <w:rPr>
                <w:lang w:val="en-US"/>
              </w:rPr>
              <w:t>ROS1 Primary Analysis</w:t>
            </w:r>
            <w:r w:rsidR="00CE2749">
              <w:rPr>
                <w:lang w:val="en-US"/>
              </w:rPr>
              <w:t xml:space="preserve"> </w:t>
            </w:r>
            <w:r w:rsidRPr="00D61D03">
              <w:t>Set (n</w:t>
            </w:r>
            <w:r>
              <w:t xml:space="preserve"> </w:t>
            </w:r>
            <w:r w:rsidRPr="00D61D03">
              <w:t>=</w:t>
            </w:r>
            <w:r>
              <w:t xml:space="preserve"> </w:t>
            </w:r>
            <w:r w:rsidRPr="00D61D03">
              <w:t>51)</w:t>
            </w:r>
          </w:p>
        </w:tc>
      </w:tr>
      <w:tr w:rsidR="003576A2" w:rsidRPr="00D61D03" w14:paraId="33498474" w14:textId="77777777" w:rsidTr="001F1814">
        <w:trPr>
          <w:trHeight w:val="20"/>
        </w:trPr>
        <w:tc>
          <w:tcPr>
            <w:tcW w:w="1317" w:type="pct"/>
            <w:tcBorders>
              <w:top w:val="single" w:sz="4" w:space="0" w:color="auto"/>
            </w:tcBorders>
            <w:vAlign w:val="center"/>
          </w:tcPr>
          <w:p w14:paraId="4574084D" w14:textId="77777777" w:rsidR="003576A2" w:rsidRPr="00661BB7" w:rsidRDefault="003576A2" w:rsidP="001F1814">
            <w:pPr>
              <w:pStyle w:val="Tabletext"/>
              <w:ind w:left="0" w:right="0"/>
              <w:rPr>
                <w:b/>
              </w:rPr>
            </w:pPr>
            <w:r w:rsidRPr="00661BB7">
              <w:rPr>
                <w:b/>
              </w:rPr>
              <w:t xml:space="preserve">Age, years </w:t>
            </w:r>
          </w:p>
        </w:tc>
        <w:tc>
          <w:tcPr>
            <w:tcW w:w="877" w:type="pct"/>
            <w:tcBorders>
              <w:top w:val="single" w:sz="4" w:space="0" w:color="auto"/>
              <w:right w:val="single" w:sz="4" w:space="0" w:color="auto"/>
            </w:tcBorders>
            <w:vAlign w:val="center"/>
          </w:tcPr>
          <w:p w14:paraId="0F6F50E9" w14:textId="77777777" w:rsidR="003576A2" w:rsidRPr="00661BB7" w:rsidRDefault="003576A2" w:rsidP="001F1814">
            <w:pPr>
              <w:pStyle w:val="Tabletext"/>
              <w:ind w:left="0" w:right="0"/>
              <w:rPr>
                <w:b/>
              </w:rPr>
            </w:pPr>
          </w:p>
        </w:tc>
        <w:tc>
          <w:tcPr>
            <w:tcW w:w="1934" w:type="pct"/>
            <w:tcBorders>
              <w:top w:val="single" w:sz="4" w:space="0" w:color="auto"/>
              <w:left w:val="single" w:sz="4" w:space="0" w:color="auto"/>
            </w:tcBorders>
            <w:vAlign w:val="center"/>
          </w:tcPr>
          <w:p w14:paraId="3C7FB371" w14:textId="08B38A2D" w:rsidR="003576A2" w:rsidRPr="00661BB7" w:rsidRDefault="003576A2" w:rsidP="001F1814">
            <w:pPr>
              <w:pStyle w:val="Tabletext"/>
              <w:ind w:left="0" w:right="0"/>
              <w:rPr>
                <w:b/>
              </w:rPr>
            </w:pPr>
            <w:r w:rsidRPr="00661BB7">
              <w:rPr>
                <w:b/>
              </w:rPr>
              <w:t>Number of prior systemic therapies for this cancer</w:t>
            </w:r>
          </w:p>
        </w:tc>
        <w:tc>
          <w:tcPr>
            <w:tcW w:w="872" w:type="pct"/>
            <w:tcBorders>
              <w:top w:val="single" w:sz="4" w:space="0" w:color="auto"/>
            </w:tcBorders>
            <w:vAlign w:val="center"/>
          </w:tcPr>
          <w:p w14:paraId="0A13C3C1" w14:textId="77777777" w:rsidR="003576A2" w:rsidRPr="00D61D03" w:rsidRDefault="003576A2" w:rsidP="001F1814">
            <w:pPr>
              <w:pStyle w:val="Tabletext"/>
              <w:ind w:left="0" w:right="0"/>
            </w:pPr>
          </w:p>
        </w:tc>
      </w:tr>
      <w:tr w:rsidR="003576A2" w:rsidRPr="00D61D03" w14:paraId="0F00DC70" w14:textId="77777777" w:rsidTr="001F1814">
        <w:trPr>
          <w:trHeight w:val="20"/>
        </w:trPr>
        <w:tc>
          <w:tcPr>
            <w:tcW w:w="1317" w:type="pct"/>
            <w:vAlign w:val="center"/>
          </w:tcPr>
          <w:p w14:paraId="266B189B" w14:textId="77777777" w:rsidR="003576A2" w:rsidRPr="00D61D03" w:rsidRDefault="003576A2" w:rsidP="001F1814">
            <w:pPr>
              <w:pStyle w:val="Tabletext"/>
              <w:ind w:left="0" w:right="0"/>
            </w:pPr>
            <w:r w:rsidRPr="00D61D03">
              <w:t>Median (min, max)</w:t>
            </w:r>
          </w:p>
        </w:tc>
        <w:tc>
          <w:tcPr>
            <w:tcW w:w="877" w:type="pct"/>
            <w:tcBorders>
              <w:right w:val="single" w:sz="4" w:space="0" w:color="auto"/>
            </w:tcBorders>
            <w:vAlign w:val="center"/>
          </w:tcPr>
          <w:p w14:paraId="759BAA34" w14:textId="77777777" w:rsidR="003576A2" w:rsidRPr="00D61D03" w:rsidRDefault="003576A2" w:rsidP="001F1814">
            <w:pPr>
              <w:pStyle w:val="Tabletext"/>
              <w:ind w:left="0" w:right="0"/>
            </w:pPr>
            <w:r w:rsidRPr="00D61D03">
              <w:t>53 (27, 72)</w:t>
            </w:r>
          </w:p>
        </w:tc>
        <w:tc>
          <w:tcPr>
            <w:tcW w:w="1934" w:type="pct"/>
            <w:tcBorders>
              <w:left w:val="single" w:sz="4" w:space="0" w:color="auto"/>
            </w:tcBorders>
            <w:vAlign w:val="center"/>
          </w:tcPr>
          <w:p w14:paraId="6FDD7A0F" w14:textId="2D1AE8F8" w:rsidR="003576A2" w:rsidRPr="00D61D03" w:rsidRDefault="003576A2" w:rsidP="001F1814">
            <w:pPr>
              <w:pStyle w:val="Tabletext"/>
              <w:ind w:left="0" w:right="0"/>
            </w:pPr>
            <w:r w:rsidRPr="00D61D03">
              <w:t>0</w:t>
            </w:r>
          </w:p>
        </w:tc>
        <w:tc>
          <w:tcPr>
            <w:tcW w:w="872" w:type="pct"/>
            <w:vAlign w:val="center"/>
          </w:tcPr>
          <w:p w14:paraId="1EA08451" w14:textId="77777777" w:rsidR="003576A2" w:rsidRPr="00D61D03" w:rsidRDefault="003576A2" w:rsidP="001F1814">
            <w:pPr>
              <w:pStyle w:val="Tabletext"/>
              <w:ind w:left="0" w:right="0"/>
            </w:pPr>
            <w:r w:rsidRPr="00D61D03">
              <w:t>7 (13.7%)</w:t>
            </w:r>
          </w:p>
        </w:tc>
      </w:tr>
      <w:tr w:rsidR="003576A2" w:rsidRPr="00D61D03" w14:paraId="139498F8" w14:textId="77777777" w:rsidTr="001F1814">
        <w:trPr>
          <w:trHeight w:val="20"/>
        </w:trPr>
        <w:tc>
          <w:tcPr>
            <w:tcW w:w="1317" w:type="pct"/>
            <w:vAlign w:val="center"/>
          </w:tcPr>
          <w:p w14:paraId="2F157354" w14:textId="77777777" w:rsidR="003576A2" w:rsidRPr="00661BB7" w:rsidRDefault="003576A2" w:rsidP="001F1814">
            <w:pPr>
              <w:pStyle w:val="Tabletext"/>
              <w:ind w:left="0" w:right="0"/>
              <w:rPr>
                <w:b/>
              </w:rPr>
            </w:pPr>
            <w:r w:rsidRPr="00661BB7">
              <w:rPr>
                <w:b/>
              </w:rPr>
              <w:t>Age group, n</w:t>
            </w:r>
          </w:p>
        </w:tc>
        <w:tc>
          <w:tcPr>
            <w:tcW w:w="877" w:type="pct"/>
            <w:tcBorders>
              <w:right w:val="single" w:sz="4" w:space="0" w:color="auto"/>
            </w:tcBorders>
            <w:vAlign w:val="center"/>
          </w:tcPr>
          <w:p w14:paraId="64F631A8" w14:textId="77777777" w:rsidR="003576A2" w:rsidRPr="00D61D03" w:rsidRDefault="003576A2" w:rsidP="001F1814">
            <w:pPr>
              <w:pStyle w:val="Tabletext"/>
              <w:ind w:left="0" w:right="0"/>
            </w:pPr>
          </w:p>
        </w:tc>
        <w:tc>
          <w:tcPr>
            <w:tcW w:w="1934" w:type="pct"/>
            <w:tcBorders>
              <w:left w:val="single" w:sz="4" w:space="0" w:color="auto"/>
            </w:tcBorders>
            <w:vAlign w:val="center"/>
          </w:tcPr>
          <w:p w14:paraId="53DBF98F" w14:textId="48979D19" w:rsidR="003576A2" w:rsidRPr="00D61D03" w:rsidRDefault="003576A2" w:rsidP="001F1814">
            <w:pPr>
              <w:pStyle w:val="Tabletext"/>
              <w:ind w:left="0" w:right="0"/>
            </w:pPr>
            <w:r w:rsidRPr="00D61D03">
              <w:t>1 or 2</w:t>
            </w:r>
          </w:p>
        </w:tc>
        <w:tc>
          <w:tcPr>
            <w:tcW w:w="872" w:type="pct"/>
            <w:vAlign w:val="center"/>
          </w:tcPr>
          <w:p w14:paraId="3901C2A2" w14:textId="77777777" w:rsidR="003576A2" w:rsidRPr="00D61D03" w:rsidRDefault="003576A2" w:rsidP="001F1814">
            <w:pPr>
              <w:pStyle w:val="Tabletext"/>
              <w:ind w:left="0" w:right="0"/>
            </w:pPr>
            <w:r w:rsidRPr="00D61D03">
              <w:t>20 (39.2%)</w:t>
            </w:r>
          </w:p>
        </w:tc>
      </w:tr>
      <w:tr w:rsidR="003576A2" w:rsidRPr="00D61D03" w14:paraId="33A72405" w14:textId="77777777" w:rsidTr="001F1814">
        <w:trPr>
          <w:trHeight w:val="20"/>
        </w:trPr>
        <w:tc>
          <w:tcPr>
            <w:tcW w:w="1317" w:type="pct"/>
            <w:vAlign w:val="center"/>
          </w:tcPr>
          <w:p w14:paraId="46BD2CF2" w14:textId="28213C95" w:rsidR="003576A2" w:rsidRPr="00D61D03" w:rsidRDefault="00CE2749" w:rsidP="001F1814">
            <w:pPr>
              <w:pStyle w:val="Tabletext"/>
              <w:ind w:left="0" w:right="0"/>
            </w:pPr>
            <w:r>
              <w:sym w:font="Symbol" w:char="F0B3"/>
            </w:r>
            <w:r w:rsidR="003576A2">
              <w:t xml:space="preserve"> </w:t>
            </w:r>
            <w:r w:rsidR="003576A2" w:rsidRPr="00D61D03">
              <w:t>65</w:t>
            </w:r>
          </w:p>
        </w:tc>
        <w:tc>
          <w:tcPr>
            <w:tcW w:w="877" w:type="pct"/>
            <w:tcBorders>
              <w:right w:val="single" w:sz="4" w:space="0" w:color="auto"/>
            </w:tcBorders>
            <w:vAlign w:val="center"/>
          </w:tcPr>
          <w:p w14:paraId="62722B5C" w14:textId="77777777" w:rsidR="003576A2" w:rsidRPr="00D61D03" w:rsidRDefault="003576A2" w:rsidP="001F1814">
            <w:pPr>
              <w:pStyle w:val="Tabletext"/>
              <w:ind w:left="0" w:right="0"/>
            </w:pPr>
            <w:r w:rsidRPr="00D61D03">
              <w:t>10 (19.6%)</w:t>
            </w:r>
          </w:p>
        </w:tc>
        <w:tc>
          <w:tcPr>
            <w:tcW w:w="1934" w:type="pct"/>
            <w:tcBorders>
              <w:left w:val="single" w:sz="4" w:space="0" w:color="auto"/>
            </w:tcBorders>
            <w:vAlign w:val="center"/>
          </w:tcPr>
          <w:p w14:paraId="50F65465" w14:textId="1284CC22" w:rsidR="003576A2" w:rsidRPr="00D61D03" w:rsidRDefault="00CE2749" w:rsidP="001F1814">
            <w:pPr>
              <w:pStyle w:val="Tabletext"/>
              <w:ind w:left="0" w:right="0"/>
            </w:pPr>
            <w:r>
              <w:sym w:font="Symbol" w:char="F0B3"/>
            </w:r>
            <w:r w:rsidR="003576A2">
              <w:t xml:space="preserve"> </w:t>
            </w:r>
            <w:r w:rsidR="003576A2" w:rsidRPr="00D61D03">
              <w:t>3</w:t>
            </w:r>
          </w:p>
        </w:tc>
        <w:tc>
          <w:tcPr>
            <w:tcW w:w="872" w:type="pct"/>
            <w:vAlign w:val="center"/>
          </w:tcPr>
          <w:p w14:paraId="151076B8" w14:textId="77777777" w:rsidR="003576A2" w:rsidRPr="00D61D03" w:rsidRDefault="003576A2" w:rsidP="001F1814">
            <w:pPr>
              <w:pStyle w:val="Tabletext"/>
              <w:ind w:left="0" w:right="0"/>
            </w:pPr>
            <w:r w:rsidRPr="00D61D03">
              <w:t>24 (47.1%)</w:t>
            </w:r>
          </w:p>
        </w:tc>
      </w:tr>
      <w:tr w:rsidR="003576A2" w:rsidRPr="00D61D03" w14:paraId="4DE7C14B" w14:textId="77777777" w:rsidTr="001F1814">
        <w:trPr>
          <w:trHeight w:val="20"/>
        </w:trPr>
        <w:tc>
          <w:tcPr>
            <w:tcW w:w="1317" w:type="pct"/>
            <w:vAlign w:val="center"/>
          </w:tcPr>
          <w:p w14:paraId="2E1DAFFB" w14:textId="41C2C00D" w:rsidR="003576A2" w:rsidRPr="00D61D03" w:rsidRDefault="003576A2" w:rsidP="001F1814">
            <w:pPr>
              <w:pStyle w:val="Tabletext"/>
              <w:ind w:left="0" w:right="0"/>
            </w:pPr>
            <w:r w:rsidRPr="00D61D03">
              <w:t>&lt;</w:t>
            </w:r>
            <w:r>
              <w:t xml:space="preserve"> </w:t>
            </w:r>
            <w:r w:rsidRPr="00D61D03">
              <w:t>65</w:t>
            </w:r>
          </w:p>
        </w:tc>
        <w:tc>
          <w:tcPr>
            <w:tcW w:w="877" w:type="pct"/>
            <w:tcBorders>
              <w:right w:val="single" w:sz="4" w:space="0" w:color="auto"/>
            </w:tcBorders>
            <w:vAlign w:val="center"/>
          </w:tcPr>
          <w:p w14:paraId="43F4F3B2" w14:textId="77777777" w:rsidR="003576A2" w:rsidRPr="00D61D03" w:rsidRDefault="003576A2" w:rsidP="001F1814">
            <w:pPr>
              <w:pStyle w:val="Tabletext"/>
              <w:ind w:left="0" w:right="0"/>
            </w:pPr>
            <w:r w:rsidRPr="00D61D03">
              <w:t>41 (80.4%)</w:t>
            </w:r>
          </w:p>
        </w:tc>
        <w:tc>
          <w:tcPr>
            <w:tcW w:w="1934" w:type="pct"/>
            <w:tcBorders>
              <w:left w:val="single" w:sz="4" w:space="0" w:color="auto"/>
            </w:tcBorders>
            <w:vAlign w:val="center"/>
          </w:tcPr>
          <w:p w14:paraId="2735C064" w14:textId="0ABA67E8" w:rsidR="003576A2" w:rsidRPr="00661BB7" w:rsidRDefault="003576A2" w:rsidP="001F1814">
            <w:pPr>
              <w:pStyle w:val="Tabletext"/>
              <w:ind w:left="0" w:right="0"/>
              <w:rPr>
                <w:b/>
              </w:rPr>
            </w:pPr>
            <w:r w:rsidRPr="00661BB7">
              <w:rPr>
                <w:b/>
              </w:rPr>
              <w:t>Prior systemic therapy for metastatic disease</w:t>
            </w:r>
          </w:p>
        </w:tc>
        <w:tc>
          <w:tcPr>
            <w:tcW w:w="872" w:type="pct"/>
            <w:vAlign w:val="center"/>
          </w:tcPr>
          <w:p w14:paraId="5422962B" w14:textId="77777777" w:rsidR="003576A2" w:rsidRPr="00D61D03" w:rsidRDefault="003576A2" w:rsidP="001F1814">
            <w:pPr>
              <w:pStyle w:val="Tabletext"/>
              <w:ind w:left="0" w:right="0"/>
            </w:pPr>
          </w:p>
        </w:tc>
      </w:tr>
      <w:tr w:rsidR="003576A2" w:rsidRPr="00D61D03" w14:paraId="458DA272" w14:textId="77777777" w:rsidTr="001F1814">
        <w:trPr>
          <w:trHeight w:val="20"/>
        </w:trPr>
        <w:tc>
          <w:tcPr>
            <w:tcW w:w="1317" w:type="pct"/>
            <w:vAlign w:val="center"/>
          </w:tcPr>
          <w:p w14:paraId="4EEF33A3" w14:textId="77777777" w:rsidR="003576A2" w:rsidRPr="00661BB7" w:rsidRDefault="003576A2" w:rsidP="001F1814">
            <w:pPr>
              <w:pStyle w:val="Tabletext"/>
              <w:ind w:left="0" w:right="0"/>
              <w:rPr>
                <w:b/>
              </w:rPr>
            </w:pPr>
            <w:r w:rsidRPr="00661BB7">
              <w:rPr>
                <w:b/>
              </w:rPr>
              <w:t>Gender, n</w:t>
            </w:r>
          </w:p>
        </w:tc>
        <w:tc>
          <w:tcPr>
            <w:tcW w:w="877" w:type="pct"/>
            <w:tcBorders>
              <w:right w:val="single" w:sz="4" w:space="0" w:color="auto"/>
            </w:tcBorders>
            <w:vAlign w:val="center"/>
          </w:tcPr>
          <w:p w14:paraId="499CC271" w14:textId="77777777" w:rsidR="003576A2" w:rsidRPr="00D61D03" w:rsidRDefault="003576A2" w:rsidP="001F1814">
            <w:pPr>
              <w:pStyle w:val="Tabletext"/>
              <w:ind w:left="0" w:right="0"/>
            </w:pPr>
          </w:p>
        </w:tc>
        <w:tc>
          <w:tcPr>
            <w:tcW w:w="1934" w:type="pct"/>
            <w:tcBorders>
              <w:left w:val="single" w:sz="4" w:space="0" w:color="auto"/>
            </w:tcBorders>
            <w:vAlign w:val="center"/>
          </w:tcPr>
          <w:p w14:paraId="1DDC34CE" w14:textId="69612AB1" w:rsidR="003576A2" w:rsidRPr="00D61D03" w:rsidRDefault="003576A2" w:rsidP="001F1814">
            <w:pPr>
              <w:pStyle w:val="Tabletext"/>
              <w:ind w:left="0" w:right="0"/>
            </w:pPr>
            <w:r w:rsidRPr="00D61D03">
              <w:t>None</w:t>
            </w:r>
          </w:p>
        </w:tc>
        <w:tc>
          <w:tcPr>
            <w:tcW w:w="872" w:type="pct"/>
            <w:vAlign w:val="center"/>
          </w:tcPr>
          <w:p w14:paraId="23E28ED1" w14:textId="77777777" w:rsidR="003576A2" w:rsidRPr="00D61D03" w:rsidRDefault="003576A2" w:rsidP="001F1814">
            <w:pPr>
              <w:pStyle w:val="Tabletext"/>
              <w:ind w:left="0" w:right="0"/>
            </w:pPr>
            <w:r w:rsidRPr="00D61D03">
              <w:t>17 (33.3%)</w:t>
            </w:r>
          </w:p>
        </w:tc>
      </w:tr>
      <w:tr w:rsidR="003576A2" w:rsidRPr="00D61D03" w14:paraId="1C28C862" w14:textId="77777777" w:rsidTr="001F1814">
        <w:trPr>
          <w:trHeight w:val="20"/>
        </w:trPr>
        <w:tc>
          <w:tcPr>
            <w:tcW w:w="1317" w:type="pct"/>
            <w:vAlign w:val="center"/>
          </w:tcPr>
          <w:p w14:paraId="659DC3EE" w14:textId="77777777" w:rsidR="003576A2" w:rsidRPr="00D61D03" w:rsidRDefault="003576A2" w:rsidP="001F1814">
            <w:pPr>
              <w:pStyle w:val="Tabletext"/>
              <w:ind w:left="0" w:right="0"/>
            </w:pPr>
            <w:r w:rsidRPr="00D61D03">
              <w:t>Female</w:t>
            </w:r>
          </w:p>
        </w:tc>
        <w:tc>
          <w:tcPr>
            <w:tcW w:w="877" w:type="pct"/>
            <w:tcBorders>
              <w:right w:val="single" w:sz="4" w:space="0" w:color="auto"/>
            </w:tcBorders>
            <w:vAlign w:val="center"/>
          </w:tcPr>
          <w:p w14:paraId="70727D77" w14:textId="77777777" w:rsidR="003576A2" w:rsidRPr="00D61D03" w:rsidRDefault="003576A2" w:rsidP="001F1814">
            <w:pPr>
              <w:pStyle w:val="Tabletext"/>
              <w:ind w:left="0" w:right="0"/>
            </w:pPr>
            <w:r w:rsidRPr="00D61D03">
              <w:t>34 (66.7%)</w:t>
            </w:r>
          </w:p>
        </w:tc>
        <w:tc>
          <w:tcPr>
            <w:tcW w:w="1934" w:type="pct"/>
            <w:tcBorders>
              <w:left w:val="single" w:sz="4" w:space="0" w:color="auto"/>
            </w:tcBorders>
            <w:vAlign w:val="center"/>
          </w:tcPr>
          <w:p w14:paraId="73442FAB" w14:textId="2244D5B9" w:rsidR="003576A2" w:rsidRPr="00D61D03" w:rsidRDefault="003576A2" w:rsidP="001F1814">
            <w:pPr>
              <w:pStyle w:val="Tabletext"/>
              <w:ind w:left="0" w:right="0"/>
            </w:pPr>
            <w:r w:rsidRPr="00D61D03">
              <w:t>Platinum-based chemotherapy*</w:t>
            </w:r>
          </w:p>
        </w:tc>
        <w:tc>
          <w:tcPr>
            <w:tcW w:w="872" w:type="pct"/>
            <w:vAlign w:val="center"/>
          </w:tcPr>
          <w:p w14:paraId="19E5B3A0" w14:textId="77777777" w:rsidR="003576A2" w:rsidRPr="00D61D03" w:rsidRDefault="003576A2" w:rsidP="001F1814">
            <w:pPr>
              <w:pStyle w:val="Tabletext"/>
              <w:ind w:left="0" w:right="0"/>
            </w:pPr>
            <w:r w:rsidRPr="00D61D03">
              <w:t>34 (66.7%)</w:t>
            </w:r>
          </w:p>
        </w:tc>
      </w:tr>
      <w:tr w:rsidR="003576A2" w:rsidRPr="00D61D03" w14:paraId="57CD3EE0" w14:textId="77777777" w:rsidTr="001F1814">
        <w:trPr>
          <w:trHeight w:val="20"/>
        </w:trPr>
        <w:tc>
          <w:tcPr>
            <w:tcW w:w="1317" w:type="pct"/>
            <w:vAlign w:val="center"/>
          </w:tcPr>
          <w:p w14:paraId="639C2779" w14:textId="77777777" w:rsidR="003576A2" w:rsidRPr="00D61D03" w:rsidRDefault="003576A2" w:rsidP="001F1814">
            <w:pPr>
              <w:pStyle w:val="Tabletext"/>
              <w:ind w:left="0" w:right="0"/>
            </w:pPr>
            <w:r w:rsidRPr="00D61D03">
              <w:t>Male</w:t>
            </w:r>
          </w:p>
        </w:tc>
        <w:tc>
          <w:tcPr>
            <w:tcW w:w="877" w:type="pct"/>
            <w:tcBorders>
              <w:right w:val="single" w:sz="4" w:space="0" w:color="auto"/>
            </w:tcBorders>
            <w:vAlign w:val="center"/>
          </w:tcPr>
          <w:p w14:paraId="78A33EEB" w14:textId="77777777" w:rsidR="003576A2" w:rsidRPr="00D61D03" w:rsidRDefault="003576A2" w:rsidP="001F1814">
            <w:pPr>
              <w:pStyle w:val="Tabletext"/>
              <w:ind w:left="0" w:right="0"/>
            </w:pPr>
            <w:r w:rsidRPr="00D61D03">
              <w:t>17 (33.3%)</w:t>
            </w:r>
          </w:p>
        </w:tc>
        <w:tc>
          <w:tcPr>
            <w:tcW w:w="1934" w:type="pct"/>
            <w:tcBorders>
              <w:left w:val="single" w:sz="4" w:space="0" w:color="auto"/>
            </w:tcBorders>
            <w:vAlign w:val="center"/>
          </w:tcPr>
          <w:p w14:paraId="29B1C824" w14:textId="204100AF" w:rsidR="003576A2" w:rsidRPr="00661BB7" w:rsidRDefault="003576A2" w:rsidP="001F1814">
            <w:pPr>
              <w:pStyle w:val="Tabletext"/>
              <w:ind w:left="0" w:right="0"/>
              <w:rPr>
                <w:b/>
              </w:rPr>
            </w:pPr>
            <w:r w:rsidRPr="00661BB7">
              <w:rPr>
                <w:b/>
              </w:rPr>
              <w:t>Extent of disease at start of treatment</w:t>
            </w:r>
          </w:p>
        </w:tc>
        <w:tc>
          <w:tcPr>
            <w:tcW w:w="872" w:type="pct"/>
            <w:vAlign w:val="center"/>
          </w:tcPr>
          <w:p w14:paraId="2457CFD7" w14:textId="77777777" w:rsidR="003576A2" w:rsidRPr="00D61D03" w:rsidRDefault="003576A2" w:rsidP="001F1814">
            <w:pPr>
              <w:pStyle w:val="Tabletext"/>
              <w:ind w:left="0" w:right="0"/>
            </w:pPr>
          </w:p>
        </w:tc>
      </w:tr>
      <w:tr w:rsidR="003576A2" w:rsidRPr="00D61D03" w14:paraId="4B27559F" w14:textId="77777777" w:rsidTr="001F1814">
        <w:trPr>
          <w:trHeight w:val="20"/>
        </w:trPr>
        <w:tc>
          <w:tcPr>
            <w:tcW w:w="1317" w:type="pct"/>
            <w:vAlign w:val="center"/>
          </w:tcPr>
          <w:p w14:paraId="77F1F40F" w14:textId="77777777" w:rsidR="003576A2" w:rsidRPr="00661BB7" w:rsidRDefault="003576A2" w:rsidP="001F1814">
            <w:pPr>
              <w:pStyle w:val="Tabletext"/>
              <w:ind w:left="0" w:right="0"/>
              <w:rPr>
                <w:b/>
              </w:rPr>
            </w:pPr>
            <w:r w:rsidRPr="00661BB7">
              <w:rPr>
                <w:b/>
              </w:rPr>
              <w:t>Race, n</w:t>
            </w:r>
          </w:p>
        </w:tc>
        <w:tc>
          <w:tcPr>
            <w:tcW w:w="877" w:type="pct"/>
            <w:tcBorders>
              <w:right w:val="single" w:sz="4" w:space="0" w:color="auto"/>
            </w:tcBorders>
            <w:vAlign w:val="center"/>
          </w:tcPr>
          <w:p w14:paraId="182CD7BE" w14:textId="77777777" w:rsidR="003576A2" w:rsidRPr="00D61D03" w:rsidRDefault="003576A2" w:rsidP="001F1814">
            <w:pPr>
              <w:pStyle w:val="Tabletext"/>
              <w:ind w:left="0" w:right="0"/>
            </w:pPr>
          </w:p>
        </w:tc>
        <w:tc>
          <w:tcPr>
            <w:tcW w:w="1934" w:type="pct"/>
            <w:tcBorders>
              <w:left w:val="single" w:sz="4" w:space="0" w:color="auto"/>
            </w:tcBorders>
            <w:vAlign w:val="center"/>
          </w:tcPr>
          <w:p w14:paraId="0B5D43E8" w14:textId="11951C10" w:rsidR="003576A2" w:rsidRPr="00D61D03" w:rsidRDefault="003576A2" w:rsidP="001F1814">
            <w:pPr>
              <w:pStyle w:val="Tabletext"/>
              <w:ind w:left="0" w:right="0"/>
            </w:pPr>
            <w:r w:rsidRPr="00D61D03">
              <w:t>Locali</w:t>
            </w:r>
            <w:r>
              <w:t>s</w:t>
            </w:r>
            <w:r w:rsidRPr="00D61D03">
              <w:t>ed</w:t>
            </w:r>
            <w:r>
              <w:t>***</w:t>
            </w:r>
          </w:p>
        </w:tc>
        <w:tc>
          <w:tcPr>
            <w:tcW w:w="872" w:type="pct"/>
            <w:vAlign w:val="center"/>
          </w:tcPr>
          <w:p w14:paraId="1402D162" w14:textId="77777777" w:rsidR="003576A2" w:rsidRPr="00D61D03" w:rsidRDefault="003576A2" w:rsidP="001F1814">
            <w:pPr>
              <w:pStyle w:val="Tabletext"/>
              <w:ind w:left="0" w:right="0"/>
            </w:pPr>
            <w:r w:rsidRPr="00D61D03">
              <w:t>1 (2.0%)</w:t>
            </w:r>
          </w:p>
        </w:tc>
      </w:tr>
      <w:tr w:rsidR="003576A2" w:rsidRPr="00D61D03" w14:paraId="3EB71E99" w14:textId="77777777" w:rsidTr="001F1814">
        <w:trPr>
          <w:trHeight w:val="20"/>
        </w:trPr>
        <w:tc>
          <w:tcPr>
            <w:tcW w:w="1317" w:type="pct"/>
            <w:vAlign w:val="center"/>
          </w:tcPr>
          <w:p w14:paraId="3F0C975E" w14:textId="77777777" w:rsidR="003576A2" w:rsidRPr="00D61D03" w:rsidRDefault="003576A2" w:rsidP="001F1814">
            <w:pPr>
              <w:pStyle w:val="Tabletext"/>
              <w:ind w:left="0" w:right="0"/>
            </w:pPr>
            <w:r w:rsidRPr="00D61D03">
              <w:t>Asian</w:t>
            </w:r>
          </w:p>
        </w:tc>
        <w:tc>
          <w:tcPr>
            <w:tcW w:w="877" w:type="pct"/>
            <w:tcBorders>
              <w:right w:val="single" w:sz="4" w:space="0" w:color="auto"/>
            </w:tcBorders>
            <w:vAlign w:val="center"/>
          </w:tcPr>
          <w:p w14:paraId="6117CC7C" w14:textId="77777777" w:rsidR="003576A2" w:rsidRPr="00D61D03" w:rsidRDefault="003576A2" w:rsidP="001F1814">
            <w:pPr>
              <w:pStyle w:val="Tabletext"/>
              <w:ind w:left="0" w:right="0"/>
            </w:pPr>
            <w:r w:rsidRPr="00D61D03">
              <w:t>19 (37.3%)</w:t>
            </w:r>
          </w:p>
        </w:tc>
        <w:tc>
          <w:tcPr>
            <w:tcW w:w="1934" w:type="pct"/>
            <w:tcBorders>
              <w:left w:val="single" w:sz="4" w:space="0" w:color="auto"/>
            </w:tcBorders>
            <w:vAlign w:val="center"/>
          </w:tcPr>
          <w:p w14:paraId="690C9AFE" w14:textId="20624ADF" w:rsidR="003576A2" w:rsidRPr="00D61D03" w:rsidRDefault="003576A2" w:rsidP="001F1814">
            <w:pPr>
              <w:pStyle w:val="Tabletext"/>
              <w:ind w:left="0" w:right="0"/>
            </w:pPr>
            <w:r w:rsidRPr="00D61D03">
              <w:t xml:space="preserve">Local </w:t>
            </w:r>
            <w:r>
              <w:t>a</w:t>
            </w:r>
            <w:r w:rsidRPr="00D61D03">
              <w:t>dvanced</w:t>
            </w:r>
          </w:p>
        </w:tc>
        <w:tc>
          <w:tcPr>
            <w:tcW w:w="872" w:type="pct"/>
            <w:vAlign w:val="center"/>
          </w:tcPr>
          <w:p w14:paraId="23A2FC55" w14:textId="77777777" w:rsidR="003576A2" w:rsidRPr="00D61D03" w:rsidRDefault="003576A2" w:rsidP="001F1814">
            <w:pPr>
              <w:pStyle w:val="Tabletext"/>
              <w:ind w:left="0" w:right="0"/>
            </w:pPr>
            <w:r w:rsidRPr="00D61D03">
              <w:t>2 (03.9%)</w:t>
            </w:r>
          </w:p>
        </w:tc>
      </w:tr>
      <w:tr w:rsidR="003576A2" w:rsidRPr="00D61D03" w14:paraId="2D7DD97F" w14:textId="77777777" w:rsidTr="001F1814">
        <w:trPr>
          <w:trHeight w:val="20"/>
        </w:trPr>
        <w:tc>
          <w:tcPr>
            <w:tcW w:w="1317" w:type="pct"/>
            <w:vAlign w:val="center"/>
          </w:tcPr>
          <w:p w14:paraId="121DA5A2" w14:textId="77777777" w:rsidR="003576A2" w:rsidRPr="00D61D03" w:rsidRDefault="003576A2" w:rsidP="001F1814">
            <w:pPr>
              <w:pStyle w:val="Tabletext"/>
              <w:ind w:left="0" w:right="0"/>
            </w:pPr>
            <w:r w:rsidRPr="00D61D03">
              <w:t>Black or African American</w:t>
            </w:r>
          </w:p>
        </w:tc>
        <w:tc>
          <w:tcPr>
            <w:tcW w:w="877" w:type="pct"/>
            <w:tcBorders>
              <w:right w:val="single" w:sz="4" w:space="0" w:color="auto"/>
            </w:tcBorders>
            <w:vAlign w:val="center"/>
          </w:tcPr>
          <w:p w14:paraId="1667E75C" w14:textId="77777777" w:rsidR="003576A2" w:rsidRPr="00D61D03" w:rsidRDefault="003576A2" w:rsidP="001F1814">
            <w:pPr>
              <w:pStyle w:val="Tabletext"/>
              <w:ind w:left="0" w:right="0"/>
            </w:pPr>
            <w:r w:rsidRPr="00D61D03">
              <w:t>3 (5.9%)</w:t>
            </w:r>
          </w:p>
        </w:tc>
        <w:tc>
          <w:tcPr>
            <w:tcW w:w="1934" w:type="pct"/>
            <w:tcBorders>
              <w:left w:val="single" w:sz="4" w:space="0" w:color="auto"/>
            </w:tcBorders>
            <w:vAlign w:val="center"/>
          </w:tcPr>
          <w:p w14:paraId="2B236E0B" w14:textId="75DF1FEB" w:rsidR="003576A2" w:rsidRPr="00D61D03" w:rsidRDefault="003576A2" w:rsidP="001F1814">
            <w:pPr>
              <w:pStyle w:val="Tabletext"/>
              <w:ind w:left="0" w:right="0"/>
            </w:pPr>
            <w:r w:rsidRPr="00D61D03">
              <w:t xml:space="preserve">Metastatic </w:t>
            </w:r>
            <w:r>
              <w:t>d</w:t>
            </w:r>
            <w:r w:rsidRPr="00D61D03">
              <w:t>isease</w:t>
            </w:r>
          </w:p>
        </w:tc>
        <w:tc>
          <w:tcPr>
            <w:tcW w:w="872" w:type="pct"/>
            <w:vAlign w:val="center"/>
          </w:tcPr>
          <w:p w14:paraId="094169A0" w14:textId="77777777" w:rsidR="003576A2" w:rsidRPr="00D61D03" w:rsidRDefault="003576A2" w:rsidP="001F1814">
            <w:pPr>
              <w:pStyle w:val="Tabletext"/>
              <w:ind w:left="0" w:right="0"/>
            </w:pPr>
            <w:r w:rsidRPr="00D61D03">
              <w:t>48 (94.1%)</w:t>
            </w:r>
          </w:p>
        </w:tc>
      </w:tr>
      <w:tr w:rsidR="003576A2" w:rsidRPr="00D61D03" w14:paraId="24ED10F9" w14:textId="77777777" w:rsidTr="001F1814">
        <w:trPr>
          <w:trHeight w:val="20"/>
        </w:trPr>
        <w:tc>
          <w:tcPr>
            <w:tcW w:w="1317" w:type="pct"/>
            <w:vAlign w:val="center"/>
          </w:tcPr>
          <w:p w14:paraId="500DA3B8" w14:textId="77777777" w:rsidR="003576A2" w:rsidRPr="00D61D03" w:rsidRDefault="003576A2" w:rsidP="001F1814">
            <w:pPr>
              <w:pStyle w:val="Tabletext"/>
              <w:ind w:left="0" w:right="0"/>
            </w:pPr>
            <w:r w:rsidRPr="00D61D03">
              <w:t>White</w:t>
            </w:r>
          </w:p>
        </w:tc>
        <w:tc>
          <w:tcPr>
            <w:tcW w:w="877" w:type="pct"/>
            <w:tcBorders>
              <w:right w:val="single" w:sz="4" w:space="0" w:color="auto"/>
            </w:tcBorders>
            <w:vAlign w:val="center"/>
          </w:tcPr>
          <w:p w14:paraId="364EA7BB" w14:textId="77777777" w:rsidR="003576A2" w:rsidRPr="00D61D03" w:rsidRDefault="003576A2" w:rsidP="001F1814">
            <w:pPr>
              <w:pStyle w:val="Tabletext"/>
              <w:ind w:left="0" w:right="0"/>
            </w:pPr>
            <w:r w:rsidRPr="00D61D03">
              <w:t>29 (56.9%)</w:t>
            </w:r>
          </w:p>
        </w:tc>
        <w:tc>
          <w:tcPr>
            <w:tcW w:w="1934" w:type="pct"/>
            <w:tcBorders>
              <w:left w:val="single" w:sz="4" w:space="0" w:color="auto"/>
            </w:tcBorders>
            <w:vAlign w:val="center"/>
          </w:tcPr>
          <w:p w14:paraId="02857B44" w14:textId="411594C5" w:rsidR="003576A2" w:rsidRPr="00661BB7" w:rsidRDefault="003576A2" w:rsidP="001F1814">
            <w:pPr>
              <w:pStyle w:val="Tabletext"/>
              <w:ind w:left="0" w:right="0"/>
              <w:rPr>
                <w:b/>
              </w:rPr>
            </w:pPr>
            <w:r w:rsidRPr="00661BB7">
              <w:rPr>
                <w:b/>
              </w:rPr>
              <w:t>Histology</w:t>
            </w:r>
          </w:p>
        </w:tc>
        <w:tc>
          <w:tcPr>
            <w:tcW w:w="872" w:type="pct"/>
            <w:vAlign w:val="center"/>
          </w:tcPr>
          <w:p w14:paraId="55D69A5F" w14:textId="77777777" w:rsidR="003576A2" w:rsidRPr="00D61D03" w:rsidRDefault="003576A2" w:rsidP="001F1814">
            <w:pPr>
              <w:pStyle w:val="Tabletext"/>
              <w:ind w:left="0" w:right="0"/>
            </w:pPr>
          </w:p>
        </w:tc>
      </w:tr>
      <w:tr w:rsidR="003576A2" w:rsidRPr="00D61D03" w14:paraId="1EED1CDA" w14:textId="77777777" w:rsidTr="001F1814">
        <w:trPr>
          <w:trHeight w:val="20"/>
        </w:trPr>
        <w:tc>
          <w:tcPr>
            <w:tcW w:w="1317" w:type="pct"/>
            <w:vAlign w:val="center"/>
          </w:tcPr>
          <w:p w14:paraId="35B0DE80" w14:textId="77777777" w:rsidR="003576A2" w:rsidRPr="00661BB7" w:rsidRDefault="003576A2" w:rsidP="001F1814">
            <w:pPr>
              <w:pStyle w:val="Tabletext"/>
              <w:ind w:left="0" w:right="0"/>
              <w:rPr>
                <w:b/>
              </w:rPr>
            </w:pPr>
            <w:r w:rsidRPr="00661BB7">
              <w:rPr>
                <w:b/>
              </w:rPr>
              <w:t>Ethnicity</w:t>
            </w:r>
          </w:p>
        </w:tc>
        <w:tc>
          <w:tcPr>
            <w:tcW w:w="877" w:type="pct"/>
            <w:tcBorders>
              <w:right w:val="single" w:sz="4" w:space="0" w:color="auto"/>
            </w:tcBorders>
            <w:vAlign w:val="center"/>
          </w:tcPr>
          <w:p w14:paraId="5D549742" w14:textId="77777777" w:rsidR="003576A2" w:rsidRPr="00D61D03" w:rsidRDefault="003576A2" w:rsidP="001F1814">
            <w:pPr>
              <w:pStyle w:val="Tabletext"/>
              <w:ind w:left="0" w:right="0"/>
            </w:pPr>
          </w:p>
        </w:tc>
        <w:tc>
          <w:tcPr>
            <w:tcW w:w="1934" w:type="pct"/>
            <w:tcBorders>
              <w:left w:val="single" w:sz="4" w:space="0" w:color="auto"/>
            </w:tcBorders>
            <w:vAlign w:val="center"/>
          </w:tcPr>
          <w:p w14:paraId="113BB91D" w14:textId="378561D1" w:rsidR="003576A2" w:rsidRPr="00D61D03" w:rsidRDefault="003576A2" w:rsidP="001F1814">
            <w:pPr>
              <w:pStyle w:val="Tabletext"/>
              <w:ind w:left="0" w:right="0"/>
            </w:pPr>
            <w:r w:rsidRPr="00D61D03">
              <w:t>Adenocarcinoma</w:t>
            </w:r>
          </w:p>
        </w:tc>
        <w:tc>
          <w:tcPr>
            <w:tcW w:w="872" w:type="pct"/>
            <w:vAlign w:val="center"/>
          </w:tcPr>
          <w:p w14:paraId="3B3943DC" w14:textId="77777777" w:rsidR="003576A2" w:rsidRPr="00D61D03" w:rsidRDefault="003576A2" w:rsidP="001F1814">
            <w:pPr>
              <w:pStyle w:val="Tabletext"/>
              <w:ind w:left="0" w:right="0"/>
            </w:pPr>
            <w:r w:rsidRPr="00D61D03">
              <w:t>48 (94.1%)</w:t>
            </w:r>
          </w:p>
        </w:tc>
      </w:tr>
      <w:tr w:rsidR="003576A2" w:rsidRPr="00D61D03" w14:paraId="68E33747" w14:textId="77777777" w:rsidTr="001F1814">
        <w:trPr>
          <w:trHeight w:val="20"/>
        </w:trPr>
        <w:tc>
          <w:tcPr>
            <w:tcW w:w="1317" w:type="pct"/>
            <w:vAlign w:val="center"/>
          </w:tcPr>
          <w:p w14:paraId="09788714" w14:textId="77777777" w:rsidR="003576A2" w:rsidRPr="00D61D03" w:rsidRDefault="003576A2" w:rsidP="001F1814">
            <w:pPr>
              <w:pStyle w:val="Tabletext"/>
              <w:ind w:left="0" w:right="0"/>
            </w:pPr>
            <w:r w:rsidRPr="00D61D03">
              <w:t>Hispanic or Latino</w:t>
            </w:r>
          </w:p>
        </w:tc>
        <w:tc>
          <w:tcPr>
            <w:tcW w:w="877" w:type="pct"/>
            <w:tcBorders>
              <w:right w:val="single" w:sz="4" w:space="0" w:color="auto"/>
            </w:tcBorders>
            <w:vAlign w:val="center"/>
          </w:tcPr>
          <w:p w14:paraId="6FE2C05C" w14:textId="77777777" w:rsidR="003576A2" w:rsidRPr="00D61D03" w:rsidRDefault="003576A2" w:rsidP="001F1814">
            <w:pPr>
              <w:pStyle w:val="Tabletext"/>
              <w:ind w:left="0" w:right="0"/>
            </w:pPr>
            <w:r w:rsidRPr="00D61D03">
              <w:t>2 (3.9%)</w:t>
            </w:r>
          </w:p>
        </w:tc>
        <w:tc>
          <w:tcPr>
            <w:tcW w:w="1934" w:type="pct"/>
            <w:tcBorders>
              <w:left w:val="single" w:sz="4" w:space="0" w:color="auto"/>
            </w:tcBorders>
            <w:vAlign w:val="center"/>
          </w:tcPr>
          <w:p w14:paraId="68FA8F2B" w14:textId="76AC075B" w:rsidR="003576A2" w:rsidRPr="00D61D03" w:rsidRDefault="003576A2" w:rsidP="001F1814">
            <w:pPr>
              <w:pStyle w:val="Tabletext"/>
              <w:ind w:left="0" w:right="0"/>
            </w:pPr>
            <w:r w:rsidRPr="00D61D03">
              <w:t>Others</w:t>
            </w:r>
          </w:p>
        </w:tc>
        <w:tc>
          <w:tcPr>
            <w:tcW w:w="872" w:type="pct"/>
            <w:vAlign w:val="center"/>
          </w:tcPr>
          <w:p w14:paraId="6F53474D" w14:textId="77777777" w:rsidR="003576A2" w:rsidRPr="00D61D03" w:rsidRDefault="003576A2" w:rsidP="001F1814">
            <w:pPr>
              <w:pStyle w:val="Tabletext"/>
              <w:ind w:left="0" w:right="0"/>
            </w:pPr>
            <w:r w:rsidRPr="00D61D03">
              <w:t>3 (5.9%)</w:t>
            </w:r>
          </w:p>
        </w:tc>
      </w:tr>
      <w:tr w:rsidR="003576A2" w:rsidRPr="00D61D03" w14:paraId="411F67C7" w14:textId="77777777" w:rsidTr="001F1814">
        <w:trPr>
          <w:trHeight w:val="20"/>
        </w:trPr>
        <w:tc>
          <w:tcPr>
            <w:tcW w:w="1317" w:type="pct"/>
            <w:vAlign w:val="center"/>
          </w:tcPr>
          <w:p w14:paraId="6FCC849E" w14:textId="77777777" w:rsidR="003576A2" w:rsidRPr="00D61D03" w:rsidRDefault="003576A2" w:rsidP="001F1814">
            <w:pPr>
              <w:pStyle w:val="Tabletext"/>
              <w:ind w:left="0" w:right="0"/>
            </w:pPr>
            <w:r w:rsidRPr="00D61D03">
              <w:t>Not Hispanic or Latino</w:t>
            </w:r>
          </w:p>
        </w:tc>
        <w:tc>
          <w:tcPr>
            <w:tcW w:w="877" w:type="pct"/>
            <w:tcBorders>
              <w:right w:val="single" w:sz="4" w:space="0" w:color="auto"/>
            </w:tcBorders>
            <w:vAlign w:val="center"/>
          </w:tcPr>
          <w:p w14:paraId="14089BD6" w14:textId="77777777" w:rsidR="003576A2" w:rsidRPr="00D61D03" w:rsidRDefault="003576A2" w:rsidP="001F1814">
            <w:pPr>
              <w:pStyle w:val="Tabletext"/>
              <w:ind w:left="0" w:right="0"/>
            </w:pPr>
            <w:r w:rsidRPr="00D61D03">
              <w:t>38 (74.5%)</w:t>
            </w:r>
          </w:p>
        </w:tc>
        <w:tc>
          <w:tcPr>
            <w:tcW w:w="1934" w:type="pct"/>
            <w:tcBorders>
              <w:left w:val="single" w:sz="4" w:space="0" w:color="auto"/>
            </w:tcBorders>
            <w:vAlign w:val="center"/>
          </w:tcPr>
          <w:p w14:paraId="294F0CBA" w14:textId="4F4F50CB" w:rsidR="003576A2" w:rsidRPr="00661BB7" w:rsidRDefault="003576A2" w:rsidP="001F1814">
            <w:pPr>
              <w:pStyle w:val="Tabletext"/>
              <w:ind w:left="0" w:right="0"/>
              <w:rPr>
                <w:b/>
              </w:rPr>
            </w:pPr>
            <w:r w:rsidRPr="00661BB7">
              <w:rPr>
                <w:b/>
              </w:rPr>
              <w:t>CNS measurable disease at Baseline (BICR)</w:t>
            </w:r>
          </w:p>
        </w:tc>
        <w:tc>
          <w:tcPr>
            <w:tcW w:w="872" w:type="pct"/>
            <w:vAlign w:val="center"/>
          </w:tcPr>
          <w:p w14:paraId="58A806F2" w14:textId="77777777" w:rsidR="003576A2" w:rsidRPr="00D61D03" w:rsidRDefault="003576A2" w:rsidP="001F1814">
            <w:pPr>
              <w:pStyle w:val="Tabletext"/>
              <w:ind w:left="0" w:right="0"/>
            </w:pPr>
          </w:p>
        </w:tc>
      </w:tr>
      <w:tr w:rsidR="003576A2" w:rsidRPr="00D61D03" w14:paraId="54D3DB73" w14:textId="77777777" w:rsidTr="001F1814">
        <w:trPr>
          <w:trHeight w:val="20"/>
        </w:trPr>
        <w:tc>
          <w:tcPr>
            <w:tcW w:w="1317" w:type="pct"/>
            <w:vAlign w:val="center"/>
          </w:tcPr>
          <w:p w14:paraId="6CDD0C6A" w14:textId="77777777" w:rsidR="003576A2" w:rsidRPr="00D61D03" w:rsidRDefault="003576A2" w:rsidP="001F1814">
            <w:pPr>
              <w:pStyle w:val="Tabletext"/>
              <w:ind w:left="0" w:right="0"/>
            </w:pPr>
            <w:r w:rsidRPr="00D61D03">
              <w:t>Missing</w:t>
            </w:r>
          </w:p>
        </w:tc>
        <w:tc>
          <w:tcPr>
            <w:tcW w:w="877" w:type="pct"/>
            <w:tcBorders>
              <w:right w:val="single" w:sz="4" w:space="0" w:color="auto"/>
            </w:tcBorders>
            <w:vAlign w:val="center"/>
          </w:tcPr>
          <w:p w14:paraId="77323784" w14:textId="77777777" w:rsidR="003576A2" w:rsidRPr="00D61D03" w:rsidRDefault="003576A2" w:rsidP="001F1814">
            <w:pPr>
              <w:pStyle w:val="Tabletext"/>
              <w:ind w:left="0" w:right="0"/>
            </w:pPr>
            <w:r w:rsidRPr="00D61D03">
              <w:t>9 (17.7%)</w:t>
            </w:r>
          </w:p>
        </w:tc>
        <w:tc>
          <w:tcPr>
            <w:tcW w:w="1934" w:type="pct"/>
            <w:tcBorders>
              <w:left w:val="single" w:sz="4" w:space="0" w:color="auto"/>
            </w:tcBorders>
            <w:vAlign w:val="center"/>
          </w:tcPr>
          <w:p w14:paraId="5C88AA47" w14:textId="69FC06D3" w:rsidR="003576A2" w:rsidRPr="00D61D03" w:rsidRDefault="003576A2" w:rsidP="001F1814">
            <w:pPr>
              <w:pStyle w:val="Tabletext"/>
              <w:ind w:left="0" w:right="0"/>
            </w:pPr>
            <w:r w:rsidRPr="00D61D03">
              <w:t>No</w:t>
            </w:r>
          </w:p>
        </w:tc>
        <w:tc>
          <w:tcPr>
            <w:tcW w:w="872" w:type="pct"/>
            <w:vAlign w:val="center"/>
          </w:tcPr>
          <w:p w14:paraId="01F95238" w14:textId="77777777" w:rsidR="003576A2" w:rsidRPr="00D61D03" w:rsidRDefault="003576A2" w:rsidP="001F1814">
            <w:pPr>
              <w:pStyle w:val="Tabletext"/>
              <w:ind w:left="0" w:right="0"/>
            </w:pPr>
            <w:r w:rsidRPr="00D61D03">
              <w:t>7 (13.7%)</w:t>
            </w:r>
          </w:p>
        </w:tc>
      </w:tr>
      <w:tr w:rsidR="003576A2" w:rsidRPr="00D61D03" w14:paraId="38A6339F" w14:textId="77777777" w:rsidTr="001F1814">
        <w:trPr>
          <w:trHeight w:val="20"/>
        </w:trPr>
        <w:tc>
          <w:tcPr>
            <w:tcW w:w="1317" w:type="pct"/>
            <w:vAlign w:val="center"/>
          </w:tcPr>
          <w:p w14:paraId="5E96B1F4" w14:textId="77777777" w:rsidR="003576A2" w:rsidRPr="00D61D03" w:rsidRDefault="003576A2" w:rsidP="001F1814">
            <w:pPr>
              <w:pStyle w:val="Tabletext"/>
              <w:ind w:left="0" w:right="0"/>
            </w:pPr>
            <w:r w:rsidRPr="00D61D03">
              <w:t>Unknown or Not Reported</w:t>
            </w:r>
          </w:p>
        </w:tc>
        <w:tc>
          <w:tcPr>
            <w:tcW w:w="877" w:type="pct"/>
            <w:tcBorders>
              <w:right w:val="single" w:sz="4" w:space="0" w:color="auto"/>
            </w:tcBorders>
            <w:vAlign w:val="center"/>
          </w:tcPr>
          <w:p w14:paraId="5635D30D" w14:textId="77777777" w:rsidR="003576A2" w:rsidRPr="00D61D03" w:rsidRDefault="003576A2" w:rsidP="001F1814">
            <w:pPr>
              <w:pStyle w:val="Tabletext"/>
              <w:ind w:left="0" w:right="0"/>
            </w:pPr>
            <w:r w:rsidRPr="00D61D03">
              <w:t>2 (3.9%)</w:t>
            </w:r>
          </w:p>
        </w:tc>
        <w:tc>
          <w:tcPr>
            <w:tcW w:w="1934" w:type="pct"/>
            <w:tcBorders>
              <w:left w:val="single" w:sz="4" w:space="0" w:color="auto"/>
            </w:tcBorders>
            <w:vAlign w:val="center"/>
          </w:tcPr>
          <w:p w14:paraId="69EE8BC3" w14:textId="59907177" w:rsidR="003576A2" w:rsidRPr="00D61D03" w:rsidRDefault="003576A2" w:rsidP="001F1814">
            <w:pPr>
              <w:pStyle w:val="Tabletext"/>
              <w:ind w:left="0" w:right="0"/>
            </w:pPr>
            <w:r w:rsidRPr="00D61D03">
              <w:t>Yes</w:t>
            </w:r>
          </w:p>
        </w:tc>
        <w:tc>
          <w:tcPr>
            <w:tcW w:w="872" w:type="pct"/>
            <w:vAlign w:val="center"/>
          </w:tcPr>
          <w:p w14:paraId="7F74A335" w14:textId="77777777" w:rsidR="003576A2" w:rsidRPr="00D61D03" w:rsidRDefault="003576A2" w:rsidP="001F1814">
            <w:pPr>
              <w:pStyle w:val="Tabletext"/>
              <w:ind w:left="0" w:right="0"/>
            </w:pPr>
            <w:r w:rsidRPr="00D61D03">
              <w:t>12 (23.5%)</w:t>
            </w:r>
          </w:p>
        </w:tc>
      </w:tr>
      <w:tr w:rsidR="003576A2" w:rsidRPr="00D61D03" w14:paraId="2CF04662" w14:textId="77777777" w:rsidTr="001F1814">
        <w:trPr>
          <w:trHeight w:val="20"/>
        </w:trPr>
        <w:tc>
          <w:tcPr>
            <w:tcW w:w="1317" w:type="pct"/>
            <w:vAlign w:val="center"/>
          </w:tcPr>
          <w:p w14:paraId="5B172EE8" w14:textId="77777777" w:rsidR="003576A2" w:rsidRPr="00661BB7" w:rsidRDefault="003576A2" w:rsidP="001F1814">
            <w:pPr>
              <w:pStyle w:val="Tabletext"/>
              <w:ind w:left="0" w:right="0"/>
              <w:rPr>
                <w:b/>
              </w:rPr>
            </w:pPr>
            <w:r w:rsidRPr="00661BB7">
              <w:rPr>
                <w:b/>
              </w:rPr>
              <w:t>Region, n</w:t>
            </w:r>
          </w:p>
        </w:tc>
        <w:tc>
          <w:tcPr>
            <w:tcW w:w="877" w:type="pct"/>
            <w:tcBorders>
              <w:right w:val="single" w:sz="4" w:space="0" w:color="auto"/>
            </w:tcBorders>
            <w:vAlign w:val="center"/>
          </w:tcPr>
          <w:p w14:paraId="236F5373" w14:textId="77777777" w:rsidR="003576A2" w:rsidRPr="00D61D03" w:rsidRDefault="003576A2" w:rsidP="001F1814">
            <w:pPr>
              <w:pStyle w:val="Tabletext"/>
              <w:ind w:left="0" w:right="0"/>
            </w:pPr>
          </w:p>
        </w:tc>
        <w:tc>
          <w:tcPr>
            <w:tcW w:w="1934" w:type="pct"/>
            <w:tcBorders>
              <w:left w:val="single" w:sz="4" w:space="0" w:color="auto"/>
            </w:tcBorders>
            <w:vAlign w:val="center"/>
          </w:tcPr>
          <w:p w14:paraId="00E11C1A" w14:textId="48CB274A" w:rsidR="003576A2" w:rsidRPr="00661BB7" w:rsidRDefault="003576A2" w:rsidP="001F1814">
            <w:pPr>
              <w:pStyle w:val="Tabletext"/>
              <w:ind w:left="0" w:right="0"/>
              <w:rPr>
                <w:b/>
              </w:rPr>
            </w:pPr>
            <w:r w:rsidRPr="00661BB7">
              <w:rPr>
                <w:b/>
              </w:rPr>
              <w:t>CNS metastases at Baseline (BICR)</w:t>
            </w:r>
          </w:p>
        </w:tc>
        <w:tc>
          <w:tcPr>
            <w:tcW w:w="872" w:type="pct"/>
            <w:vAlign w:val="center"/>
          </w:tcPr>
          <w:p w14:paraId="56FFC332" w14:textId="77777777" w:rsidR="003576A2" w:rsidRPr="00D61D03" w:rsidRDefault="003576A2" w:rsidP="001F1814">
            <w:pPr>
              <w:pStyle w:val="Tabletext"/>
              <w:ind w:left="0" w:right="0"/>
            </w:pPr>
          </w:p>
        </w:tc>
      </w:tr>
      <w:tr w:rsidR="003576A2" w:rsidRPr="00D61D03" w14:paraId="40AF5711" w14:textId="77777777" w:rsidTr="001F1814">
        <w:trPr>
          <w:trHeight w:val="20"/>
        </w:trPr>
        <w:tc>
          <w:tcPr>
            <w:tcW w:w="1317" w:type="pct"/>
            <w:vAlign w:val="center"/>
          </w:tcPr>
          <w:p w14:paraId="18C8EE27" w14:textId="77777777" w:rsidR="003576A2" w:rsidRPr="00D61D03" w:rsidRDefault="003576A2" w:rsidP="001F1814">
            <w:pPr>
              <w:pStyle w:val="Tabletext"/>
              <w:ind w:left="0" w:right="0"/>
            </w:pPr>
            <w:r w:rsidRPr="00D61D03">
              <w:t>North America</w:t>
            </w:r>
          </w:p>
        </w:tc>
        <w:tc>
          <w:tcPr>
            <w:tcW w:w="877" w:type="pct"/>
            <w:tcBorders>
              <w:right w:val="single" w:sz="4" w:space="0" w:color="auto"/>
            </w:tcBorders>
            <w:vAlign w:val="center"/>
          </w:tcPr>
          <w:p w14:paraId="6F650BC2" w14:textId="77777777" w:rsidR="003576A2" w:rsidRPr="00D61D03" w:rsidRDefault="003576A2" w:rsidP="001F1814">
            <w:pPr>
              <w:pStyle w:val="Tabletext"/>
              <w:ind w:left="0" w:right="0"/>
            </w:pPr>
            <w:r w:rsidRPr="00D61D03">
              <w:t>14 (28.3%)</w:t>
            </w:r>
          </w:p>
        </w:tc>
        <w:tc>
          <w:tcPr>
            <w:tcW w:w="1934" w:type="pct"/>
            <w:tcBorders>
              <w:left w:val="single" w:sz="4" w:space="0" w:color="auto"/>
            </w:tcBorders>
            <w:vAlign w:val="center"/>
          </w:tcPr>
          <w:p w14:paraId="1280F728" w14:textId="3A5795F1" w:rsidR="003576A2" w:rsidRPr="00D61D03" w:rsidRDefault="003576A2" w:rsidP="001F1814">
            <w:pPr>
              <w:pStyle w:val="Tabletext"/>
              <w:ind w:left="0" w:right="0"/>
            </w:pPr>
            <w:r w:rsidRPr="00D61D03">
              <w:t>No</w:t>
            </w:r>
          </w:p>
        </w:tc>
        <w:tc>
          <w:tcPr>
            <w:tcW w:w="872" w:type="pct"/>
            <w:vAlign w:val="center"/>
          </w:tcPr>
          <w:p w14:paraId="78967FBC" w14:textId="77777777" w:rsidR="003576A2" w:rsidRPr="00D61D03" w:rsidRDefault="003576A2" w:rsidP="001F1814">
            <w:pPr>
              <w:pStyle w:val="Tabletext"/>
              <w:ind w:left="0" w:right="0"/>
            </w:pPr>
            <w:r w:rsidRPr="00D61D03">
              <w:t>32 (62.8%)</w:t>
            </w:r>
          </w:p>
        </w:tc>
      </w:tr>
      <w:tr w:rsidR="003576A2" w:rsidRPr="00D61D03" w14:paraId="1762F40F" w14:textId="77777777" w:rsidTr="001F1814">
        <w:trPr>
          <w:trHeight w:val="20"/>
        </w:trPr>
        <w:tc>
          <w:tcPr>
            <w:tcW w:w="1317" w:type="pct"/>
            <w:vAlign w:val="center"/>
          </w:tcPr>
          <w:p w14:paraId="21AC061D" w14:textId="77777777" w:rsidR="003576A2" w:rsidRPr="00D61D03" w:rsidRDefault="003576A2" w:rsidP="001F1814">
            <w:pPr>
              <w:pStyle w:val="Tabletext"/>
              <w:ind w:left="0" w:right="0"/>
            </w:pPr>
            <w:r w:rsidRPr="00D61D03">
              <w:t>Europe</w:t>
            </w:r>
          </w:p>
        </w:tc>
        <w:tc>
          <w:tcPr>
            <w:tcW w:w="877" w:type="pct"/>
            <w:tcBorders>
              <w:right w:val="single" w:sz="4" w:space="0" w:color="auto"/>
            </w:tcBorders>
            <w:vAlign w:val="center"/>
          </w:tcPr>
          <w:p w14:paraId="5F733F54" w14:textId="77777777" w:rsidR="003576A2" w:rsidRPr="00D61D03" w:rsidRDefault="003576A2" w:rsidP="001F1814">
            <w:pPr>
              <w:pStyle w:val="Tabletext"/>
              <w:ind w:left="0" w:right="0"/>
            </w:pPr>
            <w:r w:rsidRPr="00D61D03">
              <w:t>19 (35.9%)</w:t>
            </w:r>
          </w:p>
        </w:tc>
        <w:tc>
          <w:tcPr>
            <w:tcW w:w="1934" w:type="pct"/>
            <w:tcBorders>
              <w:left w:val="single" w:sz="4" w:space="0" w:color="auto"/>
            </w:tcBorders>
            <w:vAlign w:val="center"/>
          </w:tcPr>
          <w:p w14:paraId="63516D94" w14:textId="650C5236" w:rsidR="003576A2" w:rsidRPr="00D61D03" w:rsidRDefault="003576A2" w:rsidP="001F1814">
            <w:pPr>
              <w:pStyle w:val="Tabletext"/>
              <w:ind w:left="0" w:right="0"/>
            </w:pPr>
            <w:r w:rsidRPr="00D61D03">
              <w:t>Yes</w:t>
            </w:r>
          </w:p>
        </w:tc>
        <w:tc>
          <w:tcPr>
            <w:tcW w:w="872" w:type="pct"/>
            <w:vAlign w:val="center"/>
          </w:tcPr>
          <w:p w14:paraId="45E5AE77" w14:textId="77777777" w:rsidR="003576A2" w:rsidRPr="00D61D03" w:rsidRDefault="003576A2" w:rsidP="001F1814">
            <w:pPr>
              <w:pStyle w:val="Tabletext"/>
              <w:ind w:left="0" w:right="0"/>
            </w:pPr>
            <w:r w:rsidRPr="00D61D03">
              <w:t>19 (37.2%)</w:t>
            </w:r>
          </w:p>
        </w:tc>
      </w:tr>
      <w:tr w:rsidR="003576A2" w:rsidRPr="00D61D03" w14:paraId="784383F4" w14:textId="77777777" w:rsidTr="001F1814">
        <w:trPr>
          <w:trHeight w:val="20"/>
        </w:trPr>
        <w:tc>
          <w:tcPr>
            <w:tcW w:w="1317" w:type="pct"/>
            <w:vAlign w:val="center"/>
          </w:tcPr>
          <w:p w14:paraId="4A399B58" w14:textId="77777777" w:rsidR="003576A2" w:rsidRPr="00D61D03" w:rsidRDefault="003576A2" w:rsidP="001F1814">
            <w:pPr>
              <w:pStyle w:val="Tabletext"/>
              <w:ind w:left="0" w:right="0"/>
            </w:pPr>
            <w:r w:rsidRPr="00D61D03">
              <w:lastRenderedPageBreak/>
              <w:t>Hong Kong, Japan, Korean, Singapore, and Taiwan</w:t>
            </w:r>
          </w:p>
        </w:tc>
        <w:tc>
          <w:tcPr>
            <w:tcW w:w="877" w:type="pct"/>
            <w:tcBorders>
              <w:right w:val="single" w:sz="4" w:space="0" w:color="auto"/>
            </w:tcBorders>
            <w:vAlign w:val="center"/>
          </w:tcPr>
          <w:p w14:paraId="1F096C24" w14:textId="77777777" w:rsidR="003576A2" w:rsidRPr="00D61D03" w:rsidRDefault="003576A2" w:rsidP="001F1814">
            <w:pPr>
              <w:pStyle w:val="Tabletext"/>
              <w:ind w:left="0" w:right="0"/>
            </w:pPr>
            <w:r w:rsidRPr="00D61D03">
              <w:t>18 (35.9%)</w:t>
            </w:r>
          </w:p>
        </w:tc>
        <w:tc>
          <w:tcPr>
            <w:tcW w:w="1934" w:type="pct"/>
            <w:tcBorders>
              <w:left w:val="single" w:sz="4" w:space="0" w:color="auto"/>
            </w:tcBorders>
            <w:vAlign w:val="center"/>
          </w:tcPr>
          <w:p w14:paraId="47866D81" w14:textId="2DE3C494" w:rsidR="003576A2" w:rsidRPr="00661BB7" w:rsidRDefault="003576A2" w:rsidP="001F1814">
            <w:pPr>
              <w:pStyle w:val="Tabletext"/>
              <w:ind w:left="0" w:right="0"/>
              <w:rPr>
                <w:b/>
              </w:rPr>
            </w:pPr>
            <w:r w:rsidRPr="00661BB7">
              <w:rPr>
                <w:b/>
              </w:rPr>
              <w:t>CNS metastases at Baseline (INV)</w:t>
            </w:r>
          </w:p>
        </w:tc>
        <w:tc>
          <w:tcPr>
            <w:tcW w:w="872" w:type="pct"/>
            <w:vAlign w:val="center"/>
          </w:tcPr>
          <w:p w14:paraId="0B23D232" w14:textId="77777777" w:rsidR="003576A2" w:rsidRPr="00D61D03" w:rsidRDefault="003576A2" w:rsidP="001F1814">
            <w:pPr>
              <w:pStyle w:val="Tabletext"/>
              <w:ind w:left="0" w:right="0"/>
            </w:pPr>
          </w:p>
        </w:tc>
      </w:tr>
      <w:tr w:rsidR="003576A2" w:rsidRPr="00D61D03" w14:paraId="57BD2EB9" w14:textId="77777777" w:rsidTr="001F1814">
        <w:trPr>
          <w:trHeight w:val="20"/>
        </w:trPr>
        <w:tc>
          <w:tcPr>
            <w:tcW w:w="1317" w:type="pct"/>
            <w:vAlign w:val="center"/>
          </w:tcPr>
          <w:p w14:paraId="512A25E5" w14:textId="77777777" w:rsidR="003576A2" w:rsidRPr="00661BB7" w:rsidRDefault="003576A2" w:rsidP="001F1814">
            <w:pPr>
              <w:pStyle w:val="Tabletext"/>
              <w:ind w:left="0" w:right="0"/>
              <w:rPr>
                <w:b/>
              </w:rPr>
            </w:pPr>
            <w:r w:rsidRPr="00661BB7">
              <w:rPr>
                <w:b/>
              </w:rPr>
              <w:t>ECOG performance status</w:t>
            </w:r>
          </w:p>
        </w:tc>
        <w:tc>
          <w:tcPr>
            <w:tcW w:w="877" w:type="pct"/>
            <w:tcBorders>
              <w:right w:val="single" w:sz="4" w:space="0" w:color="auto"/>
            </w:tcBorders>
            <w:vAlign w:val="center"/>
          </w:tcPr>
          <w:p w14:paraId="58FC9E94" w14:textId="77777777" w:rsidR="003576A2" w:rsidRPr="00D61D03" w:rsidRDefault="003576A2" w:rsidP="001F1814">
            <w:pPr>
              <w:pStyle w:val="Tabletext"/>
              <w:ind w:left="0" w:right="0"/>
            </w:pPr>
          </w:p>
        </w:tc>
        <w:tc>
          <w:tcPr>
            <w:tcW w:w="1934" w:type="pct"/>
            <w:tcBorders>
              <w:left w:val="single" w:sz="4" w:space="0" w:color="auto"/>
            </w:tcBorders>
            <w:vAlign w:val="center"/>
          </w:tcPr>
          <w:p w14:paraId="6E5C6C2E" w14:textId="1311F645" w:rsidR="003576A2" w:rsidRPr="00D61D03" w:rsidRDefault="003576A2" w:rsidP="001F1814">
            <w:pPr>
              <w:pStyle w:val="Tabletext"/>
              <w:ind w:left="0" w:right="0"/>
            </w:pPr>
            <w:r w:rsidRPr="00D61D03">
              <w:t>No</w:t>
            </w:r>
          </w:p>
        </w:tc>
        <w:tc>
          <w:tcPr>
            <w:tcW w:w="872" w:type="pct"/>
            <w:vAlign w:val="center"/>
          </w:tcPr>
          <w:p w14:paraId="6AAF076F" w14:textId="77777777" w:rsidR="003576A2" w:rsidRPr="00D61D03" w:rsidRDefault="003576A2" w:rsidP="001F1814">
            <w:pPr>
              <w:pStyle w:val="Tabletext"/>
              <w:ind w:left="0" w:right="0"/>
            </w:pPr>
            <w:r w:rsidRPr="00D61D03">
              <w:t>29 (56.9%)</w:t>
            </w:r>
          </w:p>
        </w:tc>
      </w:tr>
      <w:tr w:rsidR="003576A2" w:rsidRPr="00D61D03" w14:paraId="44146D7D" w14:textId="77777777" w:rsidTr="001F1814">
        <w:trPr>
          <w:trHeight w:val="20"/>
        </w:trPr>
        <w:tc>
          <w:tcPr>
            <w:tcW w:w="1317" w:type="pct"/>
            <w:vAlign w:val="center"/>
          </w:tcPr>
          <w:p w14:paraId="0FB663A6" w14:textId="77777777" w:rsidR="003576A2" w:rsidRPr="00D61D03" w:rsidRDefault="003576A2" w:rsidP="001F1814">
            <w:pPr>
              <w:pStyle w:val="Tabletext"/>
              <w:ind w:left="0" w:right="0"/>
            </w:pPr>
            <w:r w:rsidRPr="00D61D03">
              <w:t>0</w:t>
            </w:r>
          </w:p>
        </w:tc>
        <w:tc>
          <w:tcPr>
            <w:tcW w:w="877" w:type="pct"/>
            <w:tcBorders>
              <w:right w:val="single" w:sz="4" w:space="0" w:color="auto"/>
            </w:tcBorders>
            <w:vAlign w:val="center"/>
          </w:tcPr>
          <w:p w14:paraId="6319951E" w14:textId="77777777" w:rsidR="003576A2" w:rsidRPr="00D61D03" w:rsidRDefault="003576A2" w:rsidP="001F1814">
            <w:pPr>
              <w:pStyle w:val="Tabletext"/>
              <w:ind w:left="0" w:right="0"/>
            </w:pPr>
            <w:r w:rsidRPr="00D61D03">
              <w:t>19 (37.2%)</w:t>
            </w:r>
          </w:p>
        </w:tc>
        <w:tc>
          <w:tcPr>
            <w:tcW w:w="1934" w:type="pct"/>
            <w:tcBorders>
              <w:left w:val="single" w:sz="4" w:space="0" w:color="auto"/>
            </w:tcBorders>
            <w:vAlign w:val="center"/>
          </w:tcPr>
          <w:p w14:paraId="677A9A7B" w14:textId="277762D8" w:rsidR="003576A2" w:rsidRPr="00D61D03" w:rsidRDefault="003576A2" w:rsidP="001F1814">
            <w:pPr>
              <w:pStyle w:val="Tabletext"/>
              <w:ind w:left="0" w:right="0"/>
            </w:pPr>
            <w:r w:rsidRPr="00D61D03">
              <w:t>Yes</w:t>
            </w:r>
          </w:p>
        </w:tc>
        <w:tc>
          <w:tcPr>
            <w:tcW w:w="872" w:type="pct"/>
            <w:vAlign w:val="center"/>
          </w:tcPr>
          <w:p w14:paraId="658540D1" w14:textId="77777777" w:rsidR="003576A2" w:rsidRPr="00D61D03" w:rsidRDefault="003576A2" w:rsidP="001F1814">
            <w:pPr>
              <w:pStyle w:val="Tabletext"/>
              <w:ind w:left="0" w:right="0"/>
            </w:pPr>
            <w:r w:rsidRPr="00D61D03">
              <w:t>22 (43.1%)</w:t>
            </w:r>
          </w:p>
        </w:tc>
      </w:tr>
      <w:tr w:rsidR="003576A2" w:rsidRPr="00D61D03" w14:paraId="67CFB7D8" w14:textId="77777777" w:rsidTr="001F1814">
        <w:trPr>
          <w:trHeight w:val="20"/>
        </w:trPr>
        <w:tc>
          <w:tcPr>
            <w:tcW w:w="1317" w:type="pct"/>
            <w:vAlign w:val="center"/>
          </w:tcPr>
          <w:p w14:paraId="5EB92CE6" w14:textId="77777777" w:rsidR="003576A2" w:rsidRPr="00D61D03" w:rsidRDefault="003576A2" w:rsidP="001F1814">
            <w:pPr>
              <w:pStyle w:val="Tabletext"/>
              <w:ind w:left="0" w:right="0"/>
            </w:pPr>
            <w:r w:rsidRPr="00D61D03">
              <w:t>1</w:t>
            </w:r>
          </w:p>
        </w:tc>
        <w:tc>
          <w:tcPr>
            <w:tcW w:w="877" w:type="pct"/>
            <w:tcBorders>
              <w:right w:val="single" w:sz="4" w:space="0" w:color="auto"/>
            </w:tcBorders>
            <w:vAlign w:val="center"/>
          </w:tcPr>
          <w:p w14:paraId="00FC6141" w14:textId="77777777" w:rsidR="003576A2" w:rsidRPr="00D61D03" w:rsidRDefault="003576A2" w:rsidP="001F1814">
            <w:pPr>
              <w:pStyle w:val="Tabletext"/>
              <w:ind w:left="0" w:right="0"/>
            </w:pPr>
            <w:r w:rsidRPr="00D61D03">
              <w:t>26 (51.0%)</w:t>
            </w:r>
          </w:p>
        </w:tc>
        <w:tc>
          <w:tcPr>
            <w:tcW w:w="1934" w:type="pct"/>
            <w:tcBorders>
              <w:left w:val="single" w:sz="4" w:space="0" w:color="auto"/>
            </w:tcBorders>
            <w:vAlign w:val="center"/>
          </w:tcPr>
          <w:p w14:paraId="6D2BAB17" w14:textId="6EEED23D" w:rsidR="003576A2" w:rsidRPr="00661BB7" w:rsidRDefault="003576A2" w:rsidP="001F1814">
            <w:pPr>
              <w:pStyle w:val="Tabletext"/>
              <w:ind w:left="0" w:right="0"/>
              <w:rPr>
                <w:b/>
              </w:rPr>
            </w:pPr>
            <w:r w:rsidRPr="00661BB7">
              <w:rPr>
                <w:b/>
              </w:rPr>
              <w:t>Any prior radiotherapy of the brain**</w:t>
            </w:r>
          </w:p>
        </w:tc>
        <w:tc>
          <w:tcPr>
            <w:tcW w:w="872" w:type="pct"/>
            <w:vAlign w:val="center"/>
          </w:tcPr>
          <w:p w14:paraId="3F4F7F34" w14:textId="77777777" w:rsidR="003576A2" w:rsidRPr="00D61D03" w:rsidRDefault="003576A2" w:rsidP="001F1814">
            <w:pPr>
              <w:pStyle w:val="Tabletext"/>
              <w:ind w:left="0" w:right="0"/>
            </w:pPr>
          </w:p>
        </w:tc>
      </w:tr>
      <w:tr w:rsidR="003576A2" w:rsidRPr="00D61D03" w14:paraId="56CFC8F6" w14:textId="77777777" w:rsidTr="001F1814">
        <w:trPr>
          <w:trHeight w:val="20"/>
        </w:trPr>
        <w:tc>
          <w:tcPr>
            <w:tcW w:w="1317" w:type="pct"/>
            <w:vAlign w:val="center"/>
          </w:tcPr>
          <w:p w14:paraId="26CCBE06" w14:textId="77777777" w:rsidR="003576A2" w:rsidRPr="00D61D03" w:rsidRDefault="003576A2" w:rsidP="001F1814">
            <w:pPr>
              <w:pStyle w:val="Tabletext"/>
              <w:ind w:left="0" w:right="0"/>
            </w:pPr>
            <w:r w:rsidRPr="00D61D03">
              <w:t>2</w:t>
            </w:r>
          </w:p>
        </w:tc>
        <w:tc>
          <w:tcPr>
            <w:tcW w:w="877" w:type="pct"/>
            <w:tcBorders>
              <w:right w:val="single" w:sz="4" w:space="0" w:color="auto"/>
            </w:tcBorders>
            <w:vAlign w:val="center"/>
          </w:tcPr>
          <w:p w14:paraId="17A2BCE1" w14:textId="77777777" w:rsidR="003576A2" w:rsidRPr="00D61D03" w:rsidRDefault="003576A2" w:rsidP="001F1814">
            <w:pPr>
              <w:pStyle w:val="Tabletext"/>
              <w:ind w:left="0" w:right="0"/>
            </w:pPr>
            <w:r w:rsidRPr="00D61D03">
              <w:t>6 (11.8%)</w:t>
            </w:r>
          </w:p>
        </w:tc>
        <w:tc>
          <w:tcPr>
            <w:tcW w:w="1934" w:type="pct"/>
            <w:tcBorders>
              <w:left w:val="single" w:sz="4" w:space="0" w:color="auto"/>
            </w:tcBorders>
            <w:vAlign w:val="center"/>
          </w:tcPr>
          <w:p w14:paraId="5934CF44" w14:textId="535B5F7F" w:rsidR="003576A2" w:rsidRPr="00D61D03" w:rsidRDefault="003576A2" w:rsidP="001F1814">
            <w:pPr>
              <w:pStyle w:val="Tabletext"/>
              <w:ind w:left="0" w:right="0"/>
            </w:pPr>
            <w:r w:rsidRPr="00D61D03">
              <w:t>No</w:t>
            </w:r>
          </w:p>
        </w:tc>
        <w:tc>
          <w:tcPr>
            <w:tcW w:w="872" w:type="pct"/>
            <w:vAlign w:val="center"/>
          </w:tcPr>
          <w:p w14:paraId="5A004123" w14:textId="77777777" w:rsidR="003576A2" w:rsidRPr="00D61D03" w:rsidRDefault="003576A2" w:rsidP="001F1814">
            <w:pPr>
              <w:pStyle w:val="Tabletext"/>
              <w:ind w:left="0" w:right="0"/>
            </w:pPr>
            <w:r w:rsidRPr="00D61D03">
              <w:t>37 (72.6%)</w:t>
            </w:r>
          </w:p>
        </w:tc>
      </w:tr>
      <w:tr w:rsidR="003576A2" w:rsidRPr="00D61D03" w14:paraId="78F50261" w14:textId="77777777" w:rsidTr="001F1814">
        <w:trPr>
          <w:trHeight w:val="20"/>
        </w:trPr>
        <w:tc>
          <w:tcPr>
            <w:tcW w:w="1317" w:type="pct"/>
            <w:vAlign w:val="center"/>
          </w:tcPr>
          <w:p w14:paraId="7C5D58C2" w14:textId="77777777" w:rsidR="003576A2" w:rsidRPr="00661BB7" w:rsidRDefault="003576A2" w:rsidP="001F1814">
            <w:pPr>
              <w:pStyle w:val="Tabletext"/>
              <w:ind w:left="0" w:right="0"/>
              <w:rPr>
                <w:b/>
              </w:rPr>
            </w:pPr>
            <w:r w:rsidRPr="00661BB7">
              <w:rPr>
                <w:b/>
              </w:rPr>
              <w:t>Smoking status</w:t>
            </w:r>
          </w:p>
        </w:tc>
        <w:tc>
          <w:tcPr>
            <w:tcW w:w="877" w:type="pct"/>
            <w:tcBorders>
              <w:right w:val="single" w:sz="4" w:space="0" w:color="auto"/>
            </w:tcBorders>
            <w:vAlign w:val="center"/>
          </w:tcPr>
          <w:p w14:paraId="2423110D" w14:textId="77777777" w:rsidR="003576A2" w:rsidRPr="00D61D03" w:rsidRDefault="003576A2" w:rsidP="001F1814">
            <w:pPr>
              <w:pStyle w:val="Tabletext"/>
              <w:ind w:left="0" w:right="0"/>
            </w:pPr>
          </w:p>
        </w:tc>
        <w:tc>
          <w:tcPr>
            <w:tcW w:w="1934" w:type="pct"/>
            <w:tcBorders>
              <w:left w:val="single" w:sz="4" w:space="0" w:color="auto"/>
            </w:tcBorders>
            <w:vAlign w:val="center"/>
          </w:tcPr>
          <w:p w14:paraId="7051DBE3" w14:textId="7980C2D3" w:rsidR="003576A2" w:rsidRPr="00D61D03" w:rsidRDefault="003576A2" w:rsidP="001F1814">
            <w:pPr>
              <w:pStyle w:val="Tabletext"/>
              <w:ind w:left="0" w:right="0"/>
            </w:pPr>
            <w:r w:rsidRPr="00D61D03">
              <w:t>Yes</w:t>
            </w:r>
          </w:p>
        </w:tc>
        <w:tc>
          <w:tcPr>
            <w:tcW w:w="872" w:type="pct"/>
            <w:vAlign w:val="center"/>
          </w:tcPr>
          <w:p w14:paraId="0F6D8E33" w14:textId="77777777" w:rsidR="003576A2" w:rsidRPr="00D61D03" w:rsidRDefault="003576A2" w:rsidP="001F1814">
            <w:pPr>
              <w:pStyle w:val="Tabletext"/>
              <w:ind w:left="0" w:right="0"/>
            </w:pPr>
            <w:r w:rsidRPr="00D61D03">
              <w:t>14 (27.4%)</w:t>
            </w:r>
          </w:p>
        </w:tc>
      </w:tr>
      <w:tr w:rsidR="003576A2" w:rsidRPr="00D61D03" w14:paraId="2FD2BEE4" w14:textId="77777777" w:rsidTr="001F1814">
        <w:trPr>
          <w:trHeight w:val="20"/>
        </w:trPr>
        <w:tc>
          <w:tcPr>
            <w:tcW w:w="1317" w:type="pct"/>
            <w:vAlign w:val="center"/>
          </w:tcPr>
          <w:p w14:paraId="6A694ADB" w14:textId="77777777" w:rsidR="003576A2" w:rsidRPr="00D61D03" w:rsidRDefault="003576A2" w:rsidP="001F1814">
            <w:pPr>
              <w:pStyle w:val="Tabletext"/>
              <w:ind w:left="0" w:right="0"/>
            </w:pPr>
            <w:r w:rsidRPr="00D61D03">
              <w:t>Never</w:t>
            </w:r>
          </w:p>
        </w:tc>
        <w:tc>
          <w:tcPr>
            <w:tcW w:w="877" w:type="pct"/>
            <w:tcBorders>
              <w:right w:val="single" w:sz="4" w:space="0" w:color="auto"/>
            </w:tcBorders>
            <w:vAlign w:val="center"/>
          </w:tcPr>
          <w:p w14:paraId="6469AB11" w14:textId="77777777" w:rsidR="003576A2" w:rsidRPr="00D61D03" w:rsidRDefault="003576A2" w:rsidP="001F1814">
            <w:pPr>
              <w:pStyle w:val="Tabletext"/>
              <w:ind w:left="0" w:right="0"/>
            </w:pPr>
            <w:r w:rsidRPr="00D61D03">
              <w:t>29 (56.9%)</w:t>
            </w:r>
          </w:p>
        </w:tc>
        <w:tc>
          <w:tcPr>
            <w:tcW w:w="1934" w:type="pct"/>
            <w:tcBorders>
              <w:left w:val="single" w:sz="4" w:space="0" w:color="auto"/>
            </w:tcBorders>
            <w:vAlign w:val="center"/>
          </w:tcPr>
          <w:p w14:paraId="44D4A083" w14:textId="4E9F0A7E" w:rsidR="003576A2" w:rsidRPr="00D61D03" w:rsidRDefault="003576A2" w:rsidP="001F1814">
            <w:pPr>
              <w:pStyle w:val="Tabletext"/>
              <w:ind w:left="0" w:right="0"/>
            </w:pPr>
          </w:p>
        </w:tc>
        <w:tc>
          <w:tcPr>
            <w:tcW w:w="872" w:type="pct"/>
            <w:vAlign w:val="center"/>
          </w:tcPr>
          <w:p w14:paraId="2C1EACAA" w14:textId="77777777" w:rsidR="003576A2" w:rsidRPr="00D61D03" w:rsidRDefault="003576A2" w:rsidP="001F1814">
            <w:pPr>
              <w:pStyle w:val="Tabletext"/>
              <w:ind w:left="0" w:right="0"/>
            </w:pPr>
          </w:p>
        </w:tc>
      </w:tr>
      <w:tr w:rsidR="003576A2" w:rsidRPr="00D61D03" w14:paraId="55E43983" w14:textId="77777777" w:rsidTr="001F1814">
        <w:trPr>
          <w:trHeight w:val="20"/>
        </w:trPr>
        <w:tc>
          <w:tcPr>
            <w:tcW w:w="1317" w:type="pct"/>
            <w:vAlign w:val="center"/>
          </w:tcPr>
          <w:p w14:paraId="42F1EF18" w14:textId="77777777" w:rsidR="003576A2" w:rsidRPr="00D61D03" w:rsidRDefault="003576A2" w:rsidP="001F1814">
            <w:pPr>
              <w:pStyle w:val="Tabletext"/>
              <w:ind w:left="0" w:right="0"/>
            </w:pPr>
            <w:r w:rsidRPr="00D61D03">
              <w:t>Former/Current</w:t>
            </w:r>
          </w:p>
        </w:tc>
        <w:tc>
          <w:tcPr>
            <w:tcW w:w="877" w:type="pct"/>
            <w:tcBorders>
              <w:right w:val="single" w:sz="4" w:space="0" w:color="auto"/>
            </w:tcBorders>
            <w:vAlign w:val="center"/>
          </w:tcPr>
          <w:p w14:paraId="566E4362" w14:textId="77777777" w:rsidR="003576A2" w:rsidRPr="00D61D03" w:rsidRDefault="003576A2" w:rsidP="001F1814">
            <w:pPr>
              <w:pStyle w:val="Tabletext"/>
              <w:ind w:left="0" w:right="0"/>
            </w:pPr>
            <w:r w:rsidRPr="00D61D03">
              <w:t>22 (43.1%)</w:t>
            </w:r>
          </w:p>
        </w:tc>
        <w:tc>
          <w:tcPr>
            <w:tcW w:w="1934" w:type="pct"/>
            <w:tcBorders>
              <w:left w:val="single" w:sz="4" w:space="0" w:color="auto"/>
            </w:tcBorders>
            <w:vAlign w:val="center"/>
          </w:tcPr>
          <w:p w14:paraId="5F1BF45F" w14:textId="47DBF421" w:rsidR="003576A2" w:rsidRPr="00D61D03" w:rsidRDefault="003576A2" w:rsidP="001F1814">
            <w:pPr>
              <w:pStyle w:val="Tabletext"/>
              <w:ind w:left="0" w:right="0"/>
            </w:pPr>
          </w:p>
        </w:tc>
        <w:tc>
          <w:tcPr>
            <w:tcW w:w="872" w:type="pct"/>
            <w:vAlign w:val="center"/>
          </w:tcPr>
          <w:p w14:paraId="4E7ABE52" w14:textId="77777777" w:rsidR="003576A2" w:rsidRPr="00D61D03" w:rsidRDefault="003576A2" w:rsidP="001F1814">
            <w:pPr>
              <w:pStyle w:val="Tabletext"/>
              <w:ind w:left="0" w:right="0"/>
            </w:pPr>
          </w:p>
        </w:tc>
      </w:tr>
    </w:tbl>
    <w:p w14:paraId="6E94CB09" w14:textId="269B071F" w:rsidR="008A30D9" w:rsidRPr="008A30D9" w:rsidRDefault="008A30D9" w:rsidP="008A30D9">
      <w:pPr>
        <w:pStyle w:val="TableDescription"/>
      </w:pPr>
      <w:r w:rsidRPr="008A30D9">
        <w:t>Derived from FDA multidisciplinary review;</w:t>
      </w:r>
      <w:r w:rsidRPr="00661BB7">
        <w:rPr>
          <w:rStyle w:val="FootnoteReference"/>
        </w:rPr>
        <w:fldChar w:fldCharType="begin"/>
      </w:r>
      <w:r w:rsidRPr="00661BB7">
        <w:rPr>
          <w:rStyle w:val="FootnoteReference"/>
        </w:rPr>
        <w:instrText xml:space="preserve"> NOTEREF _Ref50554541 \f \h  \* MERGEFORMAT </w:instrText>
      </w:r>
      <w:r w:rsidRPr="00661BB7">
        <w:rPr>
          <w:rStyle w:val="FootnoteReference"/>
        </w:rPr>
      </w:r>
      <w:r w:rsidRPr="00661BB7">
        <w:rPr>
          <w:rStyle w:val="FootnoteReference"/>
        </w:rPr>
        <w:fldChar w:fldCharType="separate"/>
      </w:r>
      <w:r w:rsidRPr="00EE0BFE">
        <w:rPr>
          <w:rStyle w:val="FootnoteReference"/>
        </w:rPr>
        <w:t>12</w:t>
      </w:r>
      <w:r w:rsidRPr="00661BB7">
        <w:rPr>
          <w:rStyle w:val="FootnoteReference"/>
        </w:rPr>
        <w:fldChar w:fldCharType="end"/>
      </w:r>
      <w:r w:rsidRPr="008A30D9">
        <w:t xml:space="preserve"> for </w:t>
      </w:r>
      <w:r>
        <w:t xml:space="preserve">the </w:t>
      </w:r>
      <w:r w:rsidRPr="008A30D9">
        <w:t>ROS1 indication.</w:t>
      </w:r>
    </w:p>
    <w:p w14:paraId="2F7F3BBF" w14:textId="0CD1FAF2" w:rsidR="00D61D03" w:rsidRPr="00D61D03" w:rsidRDefault="00D61D03" w:rsidP="00D61D03">
      <w:pPr>
        <w:pStyle w:val="TableDescription"/>
      </w:pPr>
      <w:r w:rsidRPr="00D61D03">
        <w:t xml:space="preserve">*One patient started treatment with entrectinib within 6 months of completion of platinum-based </w:t>
      </w:r>
      <w:proofErr w:type="spellStart"/>
      <w:r w:rsidRPr="00D61D03">
        <w:t>neoadjuvant</w:t>
      </w:r>
      <w:proofErr w:type="spellEnd"/>
      <w:r w:rsidRPr="00D61D03">
        <w:t>/adjuvant chemotherapy</w:t>
      </w:r>
    </w:p>
    <w:p w14:paraId="3F23CA1B" w14:textId="0B18DE21" w:rsidR="00D61D03" w:rsidRDefault="00D61D03" w:rsidP="00D61D03">
      <w:pPr>
        <w:pStyle w:val="TableDescription"/>
        <w:rPr>
          <w:rFonts w:asciiTheme="minorHAnsi" w:hAnsiTheme="minorHAnsi" w:cs="Calibri"/>
        </w:rPr>
      </w:pPr>
      <w:r w:rsidRPr="00D61D03">
        <w:rPr>
          <w:rFonts w:asciiTheme="minorHAnsi" w:hAnsiTheme="minorHAnsi" w:cs="Calibri"/>
        </w:rPr>
        <w:t>**One patient who had prior radiotherapy of the brain was missing data for time from end of prior radiotherapy to first dose of entrectinib</w:t>
      </w:r>
    </w:p>
    <w:p w14:paraId="5DC5BDC4" w14:textId="3377E1F1" w:rsidR="002B4C4B" w:rsidRPr="004E2811" w:rsidRDefault="002B4C4B" w:rsidP="002B4C4B">
      <w:pPr>
        <w:pStyle w:val="TableDescription"/>
        <w:rPr>
          <w:rFonts w:asciiTheme="minorHAnsi" w:hAnsiTheme="minorHAnsi" w:cs="Calibri"/>
        </w:rPr>
      </w:pPr>
      <w:r>
        <w:rPr>
          <w:rFonts w:asciiTheme="minorHAnsi" w:hAnsiTheme="minorHAnsi" w:cs="Calibri"/>
        </w:rPr>
        <w:t xml:space="preserve">*** The ROS1 summary of clinical efficacy in the dossier states that one patient in the Efficacy Evaluable Analysis Set, from </w:t>
      </w:r>
      <w:r w:rsidR="006D7EB5">
        <w:rPr>
          <w:rFonts w:asciiTheme="minorHAnsi" w:hAnsiTheme="minorHAnsi" w:cs="Calibri"/>
        </w:rPr>
        <w:t xml:space="preserve">the </w:t>
      </w:r>
      <w:r>
        <w:rPr>
          <w:rFonts w:asciiTheme="minorHAnsi" w:hAnsiTheme="minorHAnsi" w:cs="Calibri"/>
        </w:rPr>
        <w:t>ALKA</w:t>
      </w:r>
      <w:r w:rsidR="006D7EB5">
        <w:rPr>
          <w:rFonts w:asciiTheme="minorHAnsi" w:hAnsiTheme="minorHAnsi" w:cs="Calibri"/>
        </w:rPr>
        <w:t xml:space="preserve"> trial</w:t>
      </w:r>
      <w:r>
        <w:rPr>
          <w:rFonts w:asciiTheme="minorHAnsi" w:hAnsiTheme="minorHAnsi" w:cs="Calibri"/>
        </w:rPr>
        <w:t>, had extent of disease ‘localized’. This must have been referring to status at time of diagnosis, however, as the ALKA</w:t>
      </w:r>
      <w:r w:rsidR="006D7EB5">
        <w:rPr>
          <w:rFonts w:asciiTheme="minorHAnsi" w:hAnsiTheme="minorHAnsi" w:cs="Calibri"/>
        </w:rPr>
        <w:t xml:space="preserve"> trial</w:t>
      </w:r>
      <w:r>
        <w:rPr>
          <w:rFonts w:asciiTheme="minorHAnsi" w:hAnsiTheme="minorHAnsi" w:cs="Calibri"/>
        </w:rPr>
        <w:t xml:space="preserve"> CSR states that all patients had metastatic (n = 55) or locally advanced (n = 2) disease at time of study entry.</w:t>
      </w:r>
    </w:p>
    <w:p w14:paraId="0F79153C" w14:textId="77777777" w:rsidR="00D61D03" w:rsidRPr="00D61D03" w:rsidRDefault="00D61D03" w:rsidP="0029686F">
      <w:pPr>
        <w:pStyle w:val="Heading6"/>
      </w:pPr>
      <w:r w:rsidRPr="00D61D03">
        <w:t>Diagnostic testing in the ROS1-efficacy set</w:t>
      </w:r>
    </w:p>
    <w:p w14:paraId="333055A5" w14:textId="46F7054D" w:rsidR="00D61D03" w:rsidRPr="00D61D03" w:rsidRDefault="00D61D03" w:rsidP="00D61D03">
      <w:r w:rsidRPr="00D61D03">
        <w:t xml:space="preserve">All patients included in the ROS1 Primary Analysis Set for ROS1 had a </w:t>
      </w:r>
      <w:r w:rsidRPr="000C761A">
        <w:rPr>
          <w:i/>
        </w:rPr>
        <w:t>ROS1</w:t>
      </w:r>
      <w:r w:rsidRPr="00D61D03">
        <w:t xml:space="preserve"> gene fusion that was predicted to translate into a fusion protein with a functional kinase domain (other mutations or evidence of second drivers such as EGFR alterations were not </w:t>
      </w:r>
      <w:r w:rsidR="00994AD0">
        <w:t>considered efficacy-evaluable).</w:t>
      </w:r>
    </w:p>
    <w:p w14:paraId="60527348" w14:textId="013F9712" w:rsidR="00D61D03" w:rsidRPr="00D61D03" w:rsidRDefault="00D61D03" w:rsidP="00D61D03">
      <w:r w:rsidRPr="000C761A">
        <w:rPr>
          <w:i/>
        </w:rPr>
        <w:t xml:space="preserve">ROS1 </w:t>
      </w:r>
      <w:r w:rsidRPr="00D61D03">
        <w:t>positivity for initial enrolment of the 51 patients included in the effic</w:t>
      </w:r>
      <w:r w:rsidR="00994AD0">
        <w:t>acy analysis was determined by:</w:t>
      </w:r>
    </w:p>
    <w:p w14:paraId="561D70EA" w14:textId="2461E760" w:rsidR="00D61D03" w:rsidRPr="00D61D03" w:rsidRDefault="00B14979" w:rsidP="00B14979">
      <w:pPr>
        <w:pStyle w:val="ListBullet"/>
      </w:pPr>
      <w:r>
        <w:t>N</w:t>
      </w:r>
      <w:r w:rsidRPr="00B14979">
        <w:t>ext generation sequencing (</w:t>
      </w:r>
      <w:r w:rsidR="00D61D03" w:rsidRPr="00B14979">
        <w:t>NGS</w:t>
      </w:r>
      <w:r w:rsidRPr="00B14979">
        <w:t>)</w:t>
      </w:r>
      <w:r>
        <w:rPr>
          <w:rStyle w:val="FootnoteReference"/>
        </w:rPr>
        <w:footnoteReference w:id="22"/>
      </w:r>
      <w:r w:rsidR="000262E4">
        <w:t xml:space="preserve"> in 72% of patients (</w:t>
      </w:r>
      <w:r w:rsidR="00D61D03" w:rsidRPr="00D61D03">
        <w:t>n</w:t>
      </w:r>
      <w:r w:rsidR="00BF7C39">
        <w:t xml:space="preserve"> </w:t>
      </w:r>
      <w:r w:rsidR="00D61D03" w:rsidRPr="00D61D03">
        <w:t>=</w:t>
      </w:r>
      <w:r w:rsidR="00BF7C39">
        <w:t xml:space="preserve"> </w:t>
      </w:r>
      <w:r w:rsidR="00D61D03" w:rsidRPr="00D61D03">
        <w:t>36</w:t>
      </w:r>
      <w:r w:rsidR="000262E4">
        <w:t>)</w:t>
      </w:r>
    </w:p>
    <w:p w14:paraId="4281A018" w14:textId="3AC47E25" w:rsidR="00D61D03" w:rsidRPr="00D61D03" w:rsidRDefault="000262E4" w:rsidP="00D61D03">
      <w:pPr>
        <w:pStyle w:val="ListBullet2"/>
      </w:pPr>
      <w:r>
        <w:t>53% by RNA-based NGS (</w:t>
      </w:r>
      <w:r w:rsidR="00D61D03" w:rsidRPr="00D61D03">
        <w:t>n</w:t>
      </w:r>
      <w:r w:rsidR="00BF7C39">
        <w:t xml:space="preserve"> </w:t>
      </w:r>
      <w:r w:rsidR="00D61D03" w:rsidRPr="00D61D03">
        <w:t>=</w:t>
      </w:r>
      <w:r w:rsidR="00BF7C39">
        <w:t xml:space="preserve"> </w:t>
      </w:r>
      <w:r>
        <w:t>27)</w:t>
      </w:r>
    </w:p>
    <w:p w14:paraId="01E77F75" w14:textId="4A6F81BB" w:rsidR="00D61D03" w:rsidRPr="00D61D03" w:rsidRDefault="000262E4" w:rsidP="00D61D03">
      <w:pPr>
        <w:pStyle w:val="ListBullet2"/>
      </w:pPr>
      <w:r>
        <w:t>14% by DNA-based NGS (</w:t>
      </w:r>
      <w:r w:rsidR="003D2605">
        <w:t>n</w:t>
      </w:r>
      <w:r w:rsidR="00BF7C39">
        <w:t xml:space="preserve"> </w:t>
      </w:r>
      <w:r w:rsidR="003D2605">
        <w:t>=</w:t>
      </w:r>
      <w:r w:rsidR="00BF7C39">
        <w:t xml:space="preserve"> </w:t>
      </w:r>
      <w:r>
        <w:t>7)</w:t>
      </w:r>
    </w:p>
    <w:p w14:paraId="29114A9A" w14:textId="7352EE57" w:rsidR="00D61D03" w:rsidRPr="00D61D03" w:rsidRDefault="000262E4" w:rsidP="00D61D03">
      <w:pPr>
        <w:pStyle w:val="ListBullet2"/>
      </w:pPr>
      <w:r>
        <w:t>4% by DNA and RNA-based NGS (</w:t>
      </w:r>
      <w:r w:rsidR="00D61D03" w:rsidRPr="00D61D03">
        <w:t>n</w:t>
      </w:r>
      <w:r w:rsidR="00BF7C39">
        <w:t xml:space="preserve"> </w:t>
      </w:r>
      <w:r w:rsidR="00D61D03" w:rsidRPr="00D61D03">
        <w:t>=</w:t>
      </w:r>
      <w:r w:rsidR="00BF7C39">
        <w:t xml:space="preserve"> </w:t>
      </w:r>
      <w:r>
        <w:t>2)</w:t>
      </w:r>
    </w:p>
    <w:p w14:paraId="1767B80A" w14:textId="44E183D5" w:rsidR="00D61D03" w:rsidRPr="00D61D03" w:rsidRDefault="00B14979" w:rsidP="00D61D03">
      <w:pPr>
        <w:pStyle w:val="ListBullet"/>
      </w:pPr>
      <w:r w:rsidRPr="00B14979">
        <w:t xml:space="preserve">Fluorescence </w:t>
      </w:r>
      <w:r w:rsidRPr="00B14979">
        <w:rPr>
          <w:i/>
        </w:rPr>
        <w:t>in situ</w:t>
      </w:r>
      <w:r w:rsidRPr="00B14979">
        <w:t xml:space="preserve"> hybridi</w:t>
      </w:r>
      <w:r w:rsidR="006D7EB5">
        <w:t>s</w:t>
      </w:r>
      <w:r w:rsidRPr="00B14979">
        <w:t>ation (</w:t>
      </w:r>
      <w:r w:rsidR="00D61D03" w:rsidRPr="00B14979">
        <w:t>FISH</w:t>
      </w:r>
      <w:r w:rsidRPr="00B14979">
        <w:t>)</w:t>
      </w:r>
      <w:r>
        <w:rPr>
          <w:rStyle w:val="FootnoteReference"/>
        </w:rPr>
        <w:footnoteReference w:id="23"/>
      </w:r>
      <w:r w:rsidR="000262E4">
        <w:t xml:space="preserve"> in 29% of patients (</w:t>
      </w:r>
      <w:r w:rsidR="003D2605">
        <w:t>n</w:t>
      </w:r>
      <w:r w:rsidR="00BF7C39">
        <w:t xml:space="preserve"> </w:t>
      </w:r>
      <w:r w:rsidR="003D2605">
        <w:t>=</w:t>
      </w:r>
      <w:r w:rsidR="00BF7C39">
        <w:t xml:space="preserve"> </w:t>
      </w:r>
      <w:r w:rsidR="000262E4">
        <w:t>15)</w:t>
      </w:r>
    </w:p>
    <w:p w14:paraId="44F66FA6" w14:textId="1CF1214B" w:rsidR="00D61D03" w:rsidRPr="00D61D03" w:rsidRDefault="00D61D03" w:rsidP="00D61D03">
      <w:r w:rsidRPr="000C761A">
        <w:rPr>
          <w:i/>
        </w:rPr>
        <w:lastRenderedPageBreak/>
        <w:t>ROS1</w:t>
      </w:r>
      <w:r w:rsidRPr="00D61D03">
        <w:t xml:space="preserve"> fusion was confirmed centrally, where possible, by the clinical trial a</w:t>
      </w:r>
      <w:bookmarkStart w:id="53" w:name="_Ref51157695"/>
      <w:r w:rsidR="003D2605">
        <w:t xml:space="preserve">ssay (Pharos </w:t>
      </w:r>
      <w:proofErr w:type="spellStart"/>
      <w:r w:rsidR="003D2605">
        <w:t>Trailblaze</w:t>
      </w:r>
      <w:proofErr w:type="spellEnd"/>
      <w:r w:rsidR="006D7EB5">
        <w:t>).</w:t>
      </w:r>
      <w:r w:rsidR="00FF7182">
        <w:rPr>
          <w:rStyle w:val="FootnoteReference"/>
        </w:rPr>
        <w:footnoteReference w:id="24"/>
      </w:r>
      <w:bookmarkEnd w:id="53"/>
      <w:r w:rsidRPr="00D61D03">
        <w:t xml:space="preserve"> Out of the 53 patients in the ROS1 Primary Analysis Set, 30 patients (59%) had a Pharos result available, and overall 39 (76%) had either prospective or central, retrospective laboratory confirmation of </w:t>
      </w:r>
      <w:r w:rsidRPr="000C761A">
        <w:rPr>
          <w:i/>
        </w:rPr>
        <w:t>ROS1</w:t>
      </w:r>
      <w:r w:rsidRPr="00D61D03">
        <w:t xml:space="preserve"> positivity using an analytically validated NGS test.</w:t>
      </w:r>
    </w:p>
    <w:p w14:paraId="3D25FEAF" w14:textId="77777777" w:rsidR="00D61D03" w:rsidRPr="00D61D03" w:rsidRDefault="00D61D03" w:rsidP="00D61D03">
      <w:r w:rsidRPr="00D61D03">
        <w:t>No tissue is available for retesting.</w:t>
      </w:r>
    </w:p>
    <w:p w14:paraId="42D39E92" w14:textId="6E3735CB" w:rsidR="00D61D03" w:rsidRPr="00D61D03" w:rsidRDefault="00D61D03" w:rsidP="00D61D03">
      <w:pPr>
        <w:pStyle w:val="TableTitle"/>
      </w:pPr>
      <w:r>
        <w:t xml:space="preserve">Table </w:t>
      </w:r>
      <w:fldSimple w:instr=" SEQ Table \* ARABIC ">
        <w:r w:rsidR="009B407B">
          <w:rPr>
            <w:noProof/>
          </w:rPr>
          <w:t>14</w:t>
        </w:r>
      </w:fldSimple>
      <w:r w:rsidR="00363D1C">
        <w:rPr>
          <w:noProof/>
        </w:rPr>
        <w:t>:</w:t>
      </w:r>
      <w:r>
        <w:t xml:space="preserve"> </w:t>
      </w:r>
      <w:r w:rsidRPr="00D61D03">
        <w:t>Diagnostic testing in the ROS1 primary analysis set</w:t>
      </w:r>
    </w:p>
    <w:tbl>
      <w:tblPr>
        <w:tblStyle w:val="TableTGAblue"/>
        <w:tblW w:w="8484" w:type="dxa"/>
        <w:tblLayout w:type="fixed"/>
        <w:tblLook w:val="01E0" w:firstRow="1" w:lastRow="1" w:firstColumn="1" w:lastColumn="1" w:noHBand="0" w:noVBand="0"/>
      </w:tblPr>
      <w:tblGrid>
        <w:gridCol w:w="1408"/>
        <w:gridCol w:w="1415"/>
        <w:gridCol w:w="1415"/>
        <w:gridCol w:w="1415"/>
        <w:gridCol w:w="1415"/>
        <w:gridCol w:w="1416"/>
      </w:tblGrid>
      <w:tr w:rsidR="00D61D03" w:rsidRPr="00D61D03" w14:paraId="5BED7B2B" w14:textId="77777777" w:rsidTr="001230B5">
        <w:trPr>
          <w:cnfStyle w:val="100000000000" w:firstRow="1" w:lastRow="0" w:firstColumn="0" w:lastColumn="0" w:oddVBand="0" w:evenVBand="0" w:oddHBand="0" w:evenHBand="0" w:firstRowFirstColumn="0" w:firstRowLastColumn="0" w:lastRowFirstColumn="0" w:lastRowLastColumn="0"/>
          <w:trHeight w:val="20"/>
        </w:trPr>
        <w:tc>
          <w:tcPr>
            <w:tcW w:w="1408" w:type="dxa"/>
            <w:tcBorders>
              <w:top w:val="single" w:sz="4" w:space="0" w:color="auto"/>
              <w:left w:val="single" w:sz="4" w:space="0" w:color="auto"/>
              <w:bottom w:val="single" w:sz="4" w:space="0" w:color="auto"/>
              <w:right w:val="single" w:sz="4" w:space="0" w:color="auto"/>
            </w:tcBorders>
          </w:tcPr>
          <w:p w14:paraId="4B771CAF" w14:textId="565549FC" w:rsidR="00D61D03" w:rsidRPr="00D61D03" w:rsidRDefault="00B3760D" w:rsidP="00661BB7">
            <w:pPr>
              <w:pStyle w:val="Tabletext"/>
              <w:ind w:left="0" w:right="0"/>
            </w:pPr>
            <w:r>
              <w:rPr>
                <w:lang w:val="en-US"/>
              </w:rPr>
              <w:t>Trial</w:t>
            </w:r>
          </w:p>
        </w:tc>
        <w:tc>
          <w:tcPr>
            <w:tcW w:w="1415" w:type="dxa"/>
            <w:tcBorders>
              <w:top w:val="single" w:sz="4" w:space="0" w:color="auto"/>
              <w:left w:val="single" w:sz="4" w:space="0" w:color="auto"/>
              <w:bottom w:val="single" w:sz="4" w:space="0" w:color="auto"/>
              <w:right w:val="single" w:sz="4" w:space="0" w:color="auto"/>
            </w:tcBorders>
          </w:tcPr>
          <w:p w14:paraId="339430A7" w14:textId="77777777" w:rsidR="00D61D03" w:rsidRPr="00D61D03" w:rsidRDefault="00D61D03" w:rsidP="00661BB7">
            <w:pPr>
              <w:pStyle w:val="Tabletext"/>
              <w:ind w:left="0" w:right="0"/>
              <w:rPr>
                <w:lang w:val="en-US"/>
              </w:rPr>
            </w:pPr>
            <w:r w:rsidRPr="00D61D03">
              <w:rPr>
                <w:lang w:val="en-US"/>
              </w:rPr>
              <w:t>Patient</w:t>
            </w:r>
          </w:p>
          <w:p w14:paraId="571B50A8" w14:textId="77777777" w:rsidR="00D61D03" w:rsidRPr="00D61D03" w:rsidRDefault="00D61D03" w:rsidP="00661BB7">
            <w:pPr>
              <w:pStyle w:val="Tabletext"/>
              <w:ind w:left="0" w:right="0"/>
            </w:pPr>
            <w:r w:rsidRPr="00D61D03">
              <w:rPr>
                <w:lang w:val="en-US"/>
              </w:rPr>
              <w:t>(n)</w:t>
            </w:r>
          </w:p>
        </w:tc>
        <w:tc>
          <w:tcPr>
            <w:tcW w:w="1415" w:type="dxa"/>
            <w:tcBorders>
              <w:top w:val="single" w:sz="4" w:space="0" w:color="auto"/>
              <w:left w:val="single" w:sz="4" w:space="0" w:color="auto"/>
              <w:bottom w:val="single" w:sz="4" w:space="0" w:color="auto"/>
              <w:right w:val="single" w:sz="4" w:space="0" w:color="auto"/>
            </w:tcBorders>
          </w:tcPr>
          <w:p w14:paraId="4DF21CA4" w14:textId="77777777" w:rsidR="00D61D03" w:rsidRPr="00D61D03" w:rsidRDefault="00D61D03" w:rsidP="00661BB7">
            <w:pPr>
              <w:pStyle w:val="Tabletext"/>
              <w:ind w:left="0" w:right="0"/>
            </w:pPr>
            <w:r w:rsidRPr="00D61D03">
              <w:rPr>
                <w:lang w:val="en-US"/>
              </w:rPr>
              <w:t>Test type</w:t>
            </w:r>
          </w:p>
        </w:tc>
        <w:tc>
          <w:tcPr>
            <w:tcW w:w="1415" w:type="dxa"/>
            <w:tcBorders>
              <w:top w:val="single" w:sz="4" w:space="0" w:color="auto"/>
              <w:left w:val="single" w:sz="4" w:space="0" w:color="auto"/>
              <w:bottom w:val="single" w:sz="4" w:space="0" w:color="auto"/>
              <w:right w:val="single" w:sz="4" w:space="0" w:color="auto"/>
            </w:tcBorders>
          </w:tcPr>
          <w:p w14:paraId="5C4190B9" w14:textId="77777777" w:rsidR="00D61D03" w:rsidRPr="00D61D03" w:rsidRDefault="00D61D03" w:rsidP="00661BB7">
            <w:pPr>
              <w:pStyle w:val="Tabletext"/>
              <w:ind w:left="0" w:right="0"/>
            </w:pPr>
            <w:r w:rsidRPr="00D61D03">
              <w:rPr>
                <w:lang w:val="en-US"/>
              </w:rPr>
              <w:t>Fusion partner</w:t>
            </w:r>
          </w:p>
        </w:tc>
        <w:tc>
          <w:tcPr>
            <w:tcW w:w="1415" w:type="dxa"/>
            <w:tcBorders>
              <w:top w:val="single" w:sz="4" w:space="0" w:color="auto"/>
              <w:left w:val="single" w:sz="4" w:space="0" w:color="auto"/>
              <w:bottom w:val="single" w:sz="4" w:space="0" w:color="auto"/>
              <w:right w:val="single" w:sz="4" w:space="0" w:color="auto"/>
            </w:tcBorders>
          </w:tcPr>
          <w:p w14:paraId="5A59FE8B" w14:textId="77777777" w:rsidR="00D61D03" w:rsidRPr="000C761A" w:rsidRDefault="00D61D03" w:rsidP="00661BB7">
            <w:pPr>
              <w:pStyle w:val="Tabletext"/>
              <w:ind w:left="0" w:right="0"/>
              <w:rPr>
                <w:lang w:val="fr-CH"/>
              </w:rPr>
            </w:pPr>
            <w:r w:rsidRPr="000C761A">
              <w:rPr>
                <w:lang w:val="fr-CH"/>
              </w:rPr>
              <w:t xml:space="preserve">Concomitant </w:t>
            </w:r>
            <w:proofErr w:type="spellStart"/>
            <w:r w:rsidRPr="000C761A">
              <w:rPr>
                <w:lang w:val="fr-CH"/>
              </w:rPr>
              <w:t>oncodriver</w:t>
            </w:r>
            <w:proofErr w:type="spellEnd"/>
            <w:r w:rsidRPr="000C761A">
              <w:rPr>
                <w:lang w:val="fr-CH"/>
              </w:rPr>
              <w:t xml:space="preserve"> </w:t>
            </w:r>
            <w:proofErr w:type="spellStart"/>
            <w:r w:rsidRPr="000C761A">
              <w:rPr>
                <w:lang w:val="fr-CH"/>
              </w:rPr>
              <w:t>assessed</w:t>
            </w:r>
            <w:proofErr w:type="spellEnd"/>
            <w:r w:rsidRPr="000C761A">
              <w:rPr>
                <w:lang w:val="fr-CH"/>
              </w:rPr>
              <w:t xml:space="preserve"> (Y/N)</w:t>
            </w:r>
          </w:p>
        </w:tc>
        <w:tc>
          <w:tcPr>
            <w:tcW w:w="1416" w:type="dxa"/>
            <w:tcBorders>
              <w:top w:val="single" w:sz="4" w:space="0" w:color="auto"/>
              <w:left w:val="single" w:sz="4" w:space="0" w:color="auto"/>
              <w:bottom w:val="single" w:sz="4" w:space="0" w:color="auto"/>
              <w:right w:val="single" w:sz="4" w:space="0" w:color="auto"/>
            </w:tcBorders>
          </w:tcPr>
          <w:p w14:paraId="49870592" w14:textId="58238786" w:rsidR="00D61D03" w:rsidRPr="00D61D03" w:rsidRDefault="00D61D03" w:rsidP="00661BB7">
            <w:pPr>
              <w:pStyle w:val="Tabletext"/>
              <w:ind w:left="0" w:right="0"/>
            </w:pPr>
            <w:r w:rsidRPr="00D61D03">
              <w:rPr>
                <w:lang w:val="en-US"/>
              </w:rPr>
              <w:t>Tissue available for re-testing</w:t>
            </w:r>
          </w:p>
        </w:tc>
      </w:tr>
      <w:tr w:rsidR="00D61D03" w:rsidRPr="00D61D03" w14:paraId="497253E2" w14:textId="77777777" w:rsidTr="001230B5">
        <w:trPr>
          <w:trHeight w:val="20"/>
        </w:trPr>
        <w:tc>
          <w:tcPr>
            <w:tcW w:w="1408" w:type="dxa"/>
            <w:tcBorders>
              <w:top w:val="single" w:sz="4" w:space="0" w:color="auto"/>
            </w:tcBorders>
          </w:tcPr>
          <w:p w14:paraId="409B0540" w14:textId="77777777" w:rsidR="00D61D03" w:rsidRPr="00D61D03" w:rsidRDefault="00D61D03" w:rsidP="00661BB7">
            <w:pPr>
              <w:pStyle w:val="Tabletext"/>
              <w:ind w:left="0" w:right="0"/>
            </w:pPr>
            <w:r w:rsidRPr="00D61D03">
              <w:rPr>
                <w:lang w:val="en-US"/>
              </w:rPr>
              <w:t>ALKA</w:t>
            </w:r>
          </w:p>
        </w:tc>
        <w:tc>
          <w:tcPr>
            <w:tcW w:w="1415" w:type="dxa"/>
            <w:tcBorders>
              <w:top w:val="single" w:sz="4" w:space="0" w:color="auto"/>
            </w:tcBorders>
          </w:tcPr>
          <w:p w14:paraId="16253FEB" w14:textId="77777777" w:rsidR="00D61D03" w:rsidRPr="00D61D03" w:rsidRDefault="00D61D03" w:rsidP="00661BB7">
            <w:pPr>
              <w:pStyle w:val="Tabletext"/>
              <w:ind w:left="0" w:right="0"/>
            </w:pPr>
            <w:r w:rsidRPr="00D61D03">
              <w:rPr>
                <w:lang w:val="en-US"/>
              </w:rPr>
              <w:t>9</w:t>
            </w:r>
          </w:p>
        </w:tc>
        <w:tc>
          <w:tcPr>
            <w:tcW w:w="1415" w:type="dxa"/>
            <w:tcBorders>
              <w:top w:val="single" w:sz="4" w:space="0" w:color="auto"/>
            </w:tcBorders>
          </w:tcPr>
          <w:p w14:paraId="2E11E1C7" w14:textId="77777777" w:rsidR="00D61D03" w:rsidRPr="00D61D03" w:rsidRDefault="00D61D03" w:rsidP="00661BB7">
            <w:pPr>
              <w:pStyle w:val="Tabletext"/>
              <w:ind w:left="0" w:right="0"/>
            </w:pPr>
            <w:r w:rsidRPr="00D61D03">
              <w:rPr>
                <w:lang w:val="en-US"/>
              </w:rPr>
              <w:t>FISH*</w:t>
            </w:r>
          </w:p>
        </w:tc>
        <w:tc>
          <w:tcPr>
            <w:tcW w:w="1415" w:type="dxa"/>
            <w:tcBorders>
              <w:top w:val="single" w:sz="4" w:space="0" w:color="auto"/>
            </w:tcBorders>
          </w:tcPr>
          <w:p w14:paraId="7F0F6D1A" w14:textId="77777777" w:rsidR="00D61D03" w:rsidRPr="00D61D03" w:rsidRDefault="00D61D03" w:rsidP="00661BB7">
            <w:pPr>
              <w:pStyle w:val="Tabletext"/>
              <w:ind w:left="0" w:right="0"/>
            </w:pPr>
            <w:r w:rsidRPr="00D61D03">
              <w:rPr>
                <w:lang w:val="en-US"/>
              </w:rPr>
              <w:t>UNK</w:t>
            </w:r>
          </w:p>
        </w:tc>
        <w:tc>
          <w:tcPr>
            <w:tcW w:w="1415" w:type="dxa"/>
            <w:tcBorders>
              <w:top w:val="single" w:sz="4" w:space="0" w:color="auto"/>
            </w:tcBorders>
          </w:tcPr>
          <w:p w14:paraId="0DD9682C" w14:textId="77777777" w:rsidR="00D61D03" w:rsidRPr="00D61D03" w:rsidRDefault="00D61D03" w:rsidP="00661BB7">
            <w:pPr>
              <w:pStyle w:val="Tabletext"/>
              <w:ind w:left="0" w:right="0"/>
            </w:pPr>
            <w:r w:rsidRPr="00D61D03">
              <w:rPr>
                <w:lang w:val="en-US"/>
              </w:rPr>
              <w:t>N</w:t>
            </w:r>
          </w:p>
        </w:tc>
        <w:tc>
          <w:tcPr>
            <w:tcW w:w="1416" w:type="dxa"/>
            <w:tcBorders>
              <w:top w:val="single" w:sz="4" w:space="0" w:color="auto"/>
            </w:tcBorders>
          </w:tcPr>
          <w:p w14:paraId="687E1ED9" w14:textId="77777777" w:rsidR="00D61D03" w:rsidRPr="00D61D03" w:rsidRDefault="00D61D03" w:rsidP="00661BB7">
            <w:pPr>
              <w:pStyle w:val="Tabletext"/>
              <w:ind w:left="0" w:right="0"/>
            </w:pPr>
            <w:r w:rsidRPr="00D61D03">
              <w:rPr>
                <w:lang w:val="en-US"/>
              </w:rPr>
              <w:t>N</w:t>
            </w:r>
          </w:p>
        </w:tc>
      </w:tr>
      <w:tr w:rsidR="00D61D03" w:rsidRPr="00D61D03" w14:paraId="0AEF02E9" w14:textId="77777777" w:rsidTr="001230B5">
        <w:trPr>
          <w:trHeight w:val="20"/>
        </w:trPr>
        <w:tc>
          <w:tcPr>
            <w:tcW w:w="1408" w:type="dxa"/>
            <w:vMerge w:val="restart"/>
          </w:tcPr>
          <w:p w14:paraId="4208D1E7" w14:textId="77777777" w:rsidR="00D61D03" w:rsidRPr="00D61D03" w:rsidRDefault="00D61D03" w:rsidP="00661BB7">
            <w:pPr>
              <w:pStyle w:val="Tabletext"/>
              <w:ind w:left="0" w:right="0"/>
            </w:pPr>
            <w:r w:rsidRPr="00D61D03">
              <w:rPr>
                <w:lang w:val="en-US"/>
              </w:rPr>
              <w:t>STARTRK-1</w:t>
            </w:r>
          </w:p>
        </w:tc>
        <w:tc>
          <w:tcPr>
            <w:tcW w:w="1415" w:type="dxa"/>
          </w:tcPr>
          <w:p w14:paraId="67696BB9" w14:textId="77777777" w:rsidR="00D61D03" w:rsidRPr="00D61D03" w:rsidRDefault="00D61D03" w:rsidP="00661BB7">
            <w:pPr>
              <w:pStyle w:val="Tabletext"/>
              <w:ind w:left="0" w:right="0"/>
            </w:pPr>
            <w:r w:rsidRPr="00D61D03">
              <w:rPr>
                <w:lang w:val="en-US"/>
              </w:rPr>
              <w:t>6</w:t>
            </w:r>
          </w:p>
        </w:tc>
        <w:tc>
          <w:tcPr>
            <w:tcW w:w="1415" w:type="dxa"/>
          </w:tcPr>
          <w:p w14:paraId="52568C1F" w14:textId="77777777" w:rsidR="00D61D03" w:rsidRPr="00D61D03" w:rsidRDefault="00D61D03" w:rsidP="00661BB7">
            <w:pPr>
              <w:pStyle w:val="Tabletext"/>
              <w:ind w:left="0" w:right="0"/>
            </w:pPr>
            <w:r w:rsidRPr="00D61D03">
              <w:rPr>
                <w:lang w:val="en-US"/>
              </w:rPr>
              <w:t>FISH</w:t>
            </w:r>
          </w:p>
        </w:tc>
        <w:tc>
          <w:tcPr>
            <w:tcW w:w="1415" w:type="dxa"/>
          </w:tcPr>
          <w:p w14:paraId="5D4A5B06" w14:textId="77777777" w:rsidR="00D61D03" w:rsidRPr="00D61D03" w:rsidRDefault="00D61D03" w:rsidP="00661BB7">
            <w:pPr>
              <w:pStyle w:val="Tabletext"/>
              <w:ind w:left="0" w:right="0"/>
            </w:pPr>
            <w:r w:rsidRPr="00D61D03">
              <w:rPr>
                <w:lang w:val="en-US"/>
              </w:rPr>
              <w:t>UNK</w:t>
            </w:r>
          </w:p>
        </w:tc>
        <w:tc>
          <w:tcPr>
            <w:tcW w:w="1415" w:type="dxa"/>
          </w:tcPr>
          <w:p w14:paraId="0892E640" w14:textId="77777777" w:rsidR="00D61D03" w:rsidRPr="00D61D03" w:rsidRDefault="00D61D03" w:rsidP="00661BB7">
            <w:pPr>
              <w:pStyle w:val="Tabletext"/>
              <w:ind w:left="0" w:right="0"/>
            </w:pPr>
            <w:r w:rsidRPr="00D61D03">
              <w:rPr>
                <w:lang w:val="en-US"/>
              </w:rPr>
              <w:t>N</w:t>
            </w:r>
          </w:p>
        </w:tc>
        <w:tc>
          <w:tcPr>
            <w:tcW w:w="1416" w:type="dxa"/>
          </w:tcPr>
          <w:p w14:paraId="0697DC67" w14:textId="77777777" w:rsidR="00D61D03" w:rsidRPr="00D61D03" w:rsidRDefault="00D61D03" w:rsidP="00661BB7">
            <w:pPr>
              <w:pStyle w:val="Tabletext"/>
              <w:ind w:left="0" w:right="0"/>
            </w:pPr>
            <w:r w:rsidRPr="00D61D03">
              <w:rPr>
                <w:lang w:val="en-US"/>
              </w:rPr>
              <w:t>N</w:t>
            </w:r>
          </w:p>
        </w:tc>
      </w:tr>
      <w:tr w:rsidR="00D61D03" w:rsidRPr="00D61D03" w14:paraId="3AD8FD7F" w14:textId="77777777" w:rsidTr="001230B5">
        <w:trPr>
          <w:trHeight w:val="20"/>
        </w:trPr>
        <w:tc>
          <w:tcPr>
            <w:tcW w:w="1408" w:type="dxa"/>
            <w:vMerge/>
          </w:tcPr>
          <w:p w14:paraId="0E4F4D8F" w14:textId="77777777" w:rsidR="00D61D03" w:rsidRPr="00D61D03" w:rsidRDefault="00D61D03" w:rsidP="00661BB7">
            <w:pPr>
              <w:pStyle w:val="Tabletext"/>
              <w:ind w:left="0" w:right="0"/>
            </w:pPr>
          </w:p>
        </w:tc>
        <w:tc>
          <w:tcPr>
            <w:tcW w:w="1415" w:type="dxa"/>
          </w:tcPr>
          <w:p w14:paraId="135F212C" w14:textId="77777777" w:rsidR="00D61D03" w:rsidRPr="00D61D03" w:rsidRDefault="00D61D03" w:rsidP="00661BB7">
            <w:pPr>
              <w:pStyle w:val="Tabletext"/>
              <w:ind w:left="0" w:right="0"/>
            </w:pPr>
            <w:r w:rsidRPr="00D61D03">
              <w:rPr>
                <w:lang w:val="en-US"/>
              </w:rPr>
              <w:t>1</w:t>
            </w:r>
          </w:p>
        </w:tc>
        <w:tc>
          <w:tcPr>
            <w:tcW w:w="1415" w:type="dxa"/>
          </w:tcPr>
          <w:p w14:paraId="43884DA1" w14:textId="77777777" w:rsidR="00D61D03" w:rsidRPr="00D61D03" w:rsidRDefault="00D61D03" w:rsidP="00661BB7">
            <w:pPr>
              <w:pStyle w:val="Tabletext"/>
              <w:ind w:left="0" w:right="0"/>
            </w:pPr>
            <w:r w:rsidRPr="00D61D03">
              <w:rPr>
                <w:lang w:val="en-US"/>
              </w:rPr>
              <w:t>NGS</w:t>
            </w:r>
          </w:p>
        </w:tc>
        <w:tc>
          <w:tcPr>
            <w:tcW w:w="1415" w:type="dxa"/>
          </w:tcPr>
          <w:p w14:paraId="5F16FF9D" w14:textId="77777777" w:rsidR="00D61D03" w:rsidRPr="00D61D03" w:rsidRDefault="00D61D03" w:rsidP="00661BB7">
            <w:pPr>
              <w:pStyle w:val="Tabletext"/>
              <w:ind w:left="0" w:right="0"/>
            </w:pPr>
            <w:r w:rsidRPr="00D61D03">
              <w:rPr>
                <w:i/>
                <w:lang w:val="en-US"/>
              </w:rPr>
              <w:t>CD74-ROS1</w:t>
            </w:r>
          </w:p>
        </w:tc>
        <w:tc>
          <w:tcPr>
            <w:tcW w:w="1415" w:type="dxa"/>
          </w:tcPr>
          <w:p w14:paraId="105919FB" w14:textId="77777777" w:rsidR="00D61D03" w:rsidRPr="00D61D03" w:rsidRDefault="00D61D03" w:rsidP="00661BB7">
            <w:pPr>
              <w:pStyle w:val="Tabletext"/>
              <w:ind w:left="0" w:right="0"/>
            </w:pPr>
            <w:r w:rsidRPr="00D61D03">
              <w:rPr>
                <w:lang w:val="en-US"/>
              </w:rPr>
              <w:t>N</w:t>
            </w:r>
          </w:p>
        </w:tc>
        <w:tc>
          <w:tcPr>
            <w:tcW w:w="1416" w:type="dxa"/>
          </w:tcPr>
          <w:p w14:paraId="454673E5" w14:textId="77777777" w:rsidR="00D61D03" w:rsidRPr="00D61D03" w:rsidRDefault="00D61D03" w:rsidP="00661BB7">
            <w:pPr>
              <w:pStyle w:val="Tabletext"/>
              <w:ind w:left="0" w:right="0"/>
            </w:pPr>
            <w:r w:rsidRPr="00D61D03">
              <w:rPr>
                <w:lang w:val="en-US"/>
              </w:rPr>
              <w:t>N</w:t>
            </w:r>
          </w:p>
        </w:tc>
      </w:tr>
      <w:tr w:rsidR="00D61D03" w:rsidRPr="00D61D03" w14:paraId="17485C4A" w14:textId="77777777" w:rsidTr="001230B5">
        <w:trPr>
          <w:trHeight w:val="20"/>
        </w:trPr>
        <w:tc>
          <w:tcPr>
            <w:tcW w:w="1408" w:type="dxa"/>
            <w:vMerge w:val="restart"/>
          </w:tcPr>
          <w:p w14:paraId="3181BACB" w14:textId="77777777" w:rsidR="00D61D03" w:rsidRPr="00D61D03" w:rsidRDefault="00D61D03" w:rsidP="00661BB7">
            <w:pPr>
              <w:pStyle w:val="Tabletext"/>
              <w:ind w:left="0" w:right="0"/>
            </w:pPr>
            <w:r w:rsidRPr="00D61D03">
              <w:rPr>
                <w:lang w:val="en-US"/>
              </w:rPr>
              <w:t>STARTRK-2</w:t>
            </w:r>
          </w:p>
        </w:tc>
        <w:tc>
          <w:tcPr>
            <w:tcW w:w="1415" w:type="dxa"/>
          </w:tcPr>
          <w:p w14:paraId="58E7C66D" w14:textId="77777777" w:rsidR="00D61D03" w:rsidRPr="00D61D03" w:rsidRDefault="00D61D03" w:rsidP="00661BB7">
            <w:pPr>
              <w:pStyle w:val="Tabletext"/>
              <w:ind w:left="0" w:right="0"/>
            </w:pPr>
            <w:r w:rsidRPr="00D61D03">
              <w:rPr>
                <w:lang w:val="en-US"/>
              </w:rPr>
              <w:t>18</w:t>
            </w:r>
          </w:p>
        </w:tc>
        <w:tc>
          <w:tcPr>
            <w:tcW w:w="1415" w:type="dxa"/>
          </w:tcPr>
          <w:p w14:paraId="4EB424C7" w14:textId="77777777" w:rsidR="00D61D03" w:rsidRPr="00D61D03" w:rsidRDefault="00D61D03" w:rsidP="00661BB7">
            <w:pPr>
              <w:pStyle w:val="Tabletext"/>
              <w:ind w:left="0" w:right="0"/>
            </w:pPr>
            <w:r w:rsidRPr="00D61D03">
              <w:rPr>
                <w:lang w:val="en-US"/>
              </w:rPr>
              <w:t>NGS</w:t>
            </w:r>
          </w:p>
        </w:tc>
        <w:tc>
          <w:tcPr>
            <w:tcW w:w="1415" w:type="dxa"/>
          </w:tcPr>
          <w:p w14:paraId="6FF3D6AF" w14:textId="77777777" w:rsidR="00D61D03" w:rsidRPr="00D61D03" w:rsidRDefault="00D61D03" w:rsidP="00661BB7">
            <w:pPr>
              <w:pStyle w:val="Tabletext"/>
              <w:ind w:left="0" w:right="0"/>
            </w:pPr>
            <w:r w:rsidRPr="00D61D03">
              <w:rPr>
                <w:i/>
                <w:lang w:val="en-US"/>
              </w:rPr>
              <w:t>CD74-ROS1</w:t>
            </w:r>
          </w:p>
        </w:tc>
        <w:tc>
          <w:tcPr>
            <w:tcW w:w="1415" w:type="dxa"/>
          </w:tcPr>
          <w:p w14:paraId="787FE318" w14:textId="77777777" w:rsidR="00D61D03" w:rsidRPr="00D61D03" w:rsidRDefault="00D61D03" w:rsidP="00661BB7">
            <w:pPr>
              <w:pStyle w:val="Tabletext"/>
              <w:ind w:left="0" w:right="0"/>
              <w:rPr>
                <w:lang w:val="en-US"/>
              </w:rPr>
            </w:pPr>
            <w:r w:rsidRPr="00D61D03">
              <w:rPr>
                <w:lang w:val="en-US"/>
              </w:rPr>
              <w:t>N in 11</w:t>
            </w:r>
          </w:p>
          <w:p w14:paraId="5D3802BB" w14:textId="77777777" w:rsidR="00D61D03" w:rsidRPr="00D61D03" w:rsidRDefault="00D61D03" w:rsidP="00661BB7">
            <w:pPr>
              <w:pStyle w:val="Tabletext"/>
              <w:ind w:left="0" w:right="0"/>
            </w:pPr>
            <w:r w:rsidRPr="00D61D03">
              <w:rPr>
                <w:lang w:val="en-US"/>
              </w:rPr>
              <w:t>Y in 7</w:t>
            </w:r>
          </w:p>
        </w:tc>
        <w:tc>
          <w:tcPr>
            <w:tcW w:w="1416" w:type="dxa"/>
          </w:tcPr>
          <w:p w14:paraId="48CDB93E" w14:textId="77777777" w:rsidR="00D61D03" w:rsidRPr="00D61D03" w:rsidRDefault="00D61D03" w:rsidP="00661BB7">
            <w:pPr>
              <w:pStyle w:val="Tabletext"/>
              <w:ind w:left="0" w:right="0"/>
            </w:pPr>
            <w:r w:rsidRPr="00D61D03">
              <w:rPr>
                <w:lang w:val="en-US"/>
              </w:rPr>
              <w:t>N</w:t>
            </w:r>
          </w:p>
        </w:tc>
      </w:tr>
      <w:tr w:rsidR="00D61D03" w:rsidRPr="00D61D03" w14:paraId="19568D0A" w14:textId="77777777" w:rsidTr="001230B5">
        <w:trPr>
          <w:trHeight w:val="20"/>
        </w:trPr>
        <w:tc>
          <w:tcPr>
            <w:tcW w:w="1408" w:type="dxa"/>
            <w:vMerge/>
          </w:tcPr>
          <w:p w14:paraId="4E09316A" w14:textId="77777777" w:rsidR="00D61D03" w:rsidRPr="00D61D03" w:rsidRDefault="00D61D03" w:rsidP="00661BB7">
            <w:pPr>
              <w:pStyle w:val="Tabletext"/>
              <w:ind w:left="0" w:right="0"/>
            </w:pPr>
          </w:p>
        </w:tc>
        <w:tc>
          <w:tcPr>
            <w:tcW w:w="1415" w:type="dxa"/>
          </w:tcPr>
          <w:p w14:paraId="51B981A1" w14:textId="77777777" w:rsidR="00D61D03" w:rsidRPr="00D61D03" w:rsidRDefault="00D61D03" w:rsidP="00661BB7">
            <w:pPr>
              <w:pStyle w:val="Tabletext"/>
              <w:ind w:left="0" w:right="0"/>
            </w:pPr>
            <w:r w:rsidRPr="00D61D03">
              <w:rPr>
                <w:lang w:val="en-US"/>
              </w:rPr>
              <w:t>5</w:t>
            </w:r>
          </w:p>
        </w:tc>
        <w:tc>
          <w:tcPr>
            <w:tcW w:w="1415" w:type="dxa"/>
          </w:tcPr>
          <w:p w14:paraId="54AEDA53" w14:textId="77777777" w:rsidR="00D61D03" w:rsidRPr="00D61D03" w:rsidRDefault="00D61D03" w:rsidP="00661BB7">
            <w:pPr>
              <w:pStyle w:val="Tabletext"/>
              <w:ind w:left="0" w:right="0"/>
            </w:pPr>
            <w:r w:rsidRPr="00D61D03">
              <w:rPr>
                <w:lang w:val="en-US"/>
              </w:rPr>
              <w:t>NGS</w:t>
            </w:r>
          </w:p>
        </w:tc>
        <w:tc>
          <w:tcPr>
            <w:tcW w:w="1415" w:type="dxa"/>
          </w:tcPr>
          <w:p w14:paraId="52FA7E03" w14:textId="77777777" w:rsidR="00D61D03" w:rsidRPr="00D61D03" w:rsidRDefault="00D61D03" w:rsidP="00661BB7">
            <w:pPr>
              <w:pStyle w:val="Tabletext"/>
              <w:ind w:left="0" w:right="0"/>
            </w:pPr>
            <w:r w:rsidRPr="00D61D03">
              <w:rPr>
                <w:i/>
                <w:lang w:val="en-US"/>
              </w:rPr>
              <w:t>SDC4-ROS1</w:t>
            </w:r>
          </w:p>
        </w:tc>
        <w:tc>
          <w:tcPr>
            <w:tcW w:w="1415" w:type="dxa"/>
          </w:tcPr>
          <w:p w14:paraId="6EC12D73" w14:textId="77777777" w:rsidR="00D61D03" w:rsidRPr="00D61D03" w:rsidRDefault="00D61D03" w:rsidP="00661BB7">
            <w:pPr>
              <w:pStyle w:val="Tabletext"/>
              <w:ind w:left="0" w:right="0"/>
            </w:pPr>
            <w:r w:rsidRPr="00D61D03">
              <w:rPr>
                <w:lang w:val="en-US"/>
              </w:rPr>
              <w:t>N</w:t>
            </w:r>
          </w:p>
        </w:tc>
        <w:tc>
          <w:tcPr>
            <w:tcW w:w="1416" w:type="dxa"/>
          </w:tcPr>
          <w:p w14:paraId="03F9985B" w14:textId="77777777" w:rsidR="00D61D03" w:rsidRPr="00D61D03" w:rsidRDefault="00D61D03" w:rsidP="00661BB7">
            <w:pPr>
              <w:pStyle w:val="Tabletext"/>
              <w:ind w:left="0" w:right="0"/>
            </w:pPr>
            <w:r w:rsidRPr="00D61D03">
              <w:rPr>
                <w:lang w:val="en-US"/>
              </w:rPr>
              <w:t>N</w:t>
            </w:r>
          </w:p>
        </w:tc>
      </w:tr>
      <w:tr w:rsidR="00D61D03" w:rsidRPr="00D61D03" w14:paraId="231D0CA1" w14:textId="77777777" w:rsidTr="001230B5">
        <w:trPr>
          <w:trHeight w:val="20"/>
        </w:trPr>
        <w:tc>
          <w:tcPr>
            <w:tcW w:w="1408" w:type="dxa"/>
            <w:vMerge/>
          </w:tcPr>
          <w:p w14:paraId="286D7208" w14:textId="77777777" w:rsidR="00D61D03" w:rsidRPr="00D61D03" w:rsidRDefault="00D61D03" w:rsidP="00661BB7">
            <w:pPr>
              <w:pStyle w:val="Tabletext"/>
              <w:ind w:left="0" w:right="0"/>
            </w:pPr>
          </w:p>
        </w:tc>
        <w:tc>
          <w:tcPr>
            <w:tcW w:w="1415" w:type="dxa"/>
          </w:tcPr>
          <w:p w14:paraId="09BC55A1" w14:textId="77777777" w:rsidR="00D61D03" w:rsidRPr="00D61D03" w:rsidRDefault="00D61D03" w:rsidP="00661BB7">
            <w:pPr>
              <w:pStyle w:val="Tabletext"/>
              <w:ind w:left="0" w:right="0"/>
            </w:pPr>
            <w:r w:rsidRPr="00D61D03">
              <w:rPr>
                <w:lang w:val="en-US"/>
              </w:rPr>
              <w:t>2</w:t>
            </w:r>
          </w:p>
        </w:tc>
        <w:tc>
          <w:tcPr>
            <w:tcW w:w="1415" w:type="dxa"/>
          </w:tcPr>
          <w:p w14:paraId="192DC839" w14:textId="77777777" w:rsidR="00D61D03" w:rsidRPr="00D61D03" w:rsidRDefault="00D61D03" w:rsidP="00661BB7">
            <w:pPr>
              <w:pStyle w:val="Tabletext"/>
              <w:ind w:left="0" w:right="0"/>
            </w:pPr>
            <w:r w:rsidRPr="00D61D03">
              <w:rPr>
                <w:lang w:val="en-US"/>
              </w:rPr>
              <w:t>NGS</w:t>
            </w:r>
          </w:p>
        </w:tc>
        <w:tc>
          <w:tcPr>
            <w:tcW w:w="1415" w:type="dxa"/>
          </w:tcPr>
          <w:p w14:paraId="0C66F82B" w14:textId="77777777" w:rsidR="00D61D03" w:rsidRPr="00D61D03" w:rsidRDefault="00D61D03" w:rsidP="00661BB7">
            <w:pPr>
              <w:pStyle w:val="Tabletext"/>
              <w:ind w:left="0" w:right="0"/>
            </w:pPr>
            <w:r w:rsidRPr="00D61D03">
              <w:rPr>
                <w:i/>
                <w:lang w:val="en-US"/>
              </w:rPr>
              <w:t>TPM3- ROS1</w:t>
            </w:r>
          </w:p>
        </w:tc>
        <w:tc>
          <w:tcPr>
            <w:tcW w:w="1415" w:type="dxa"/>
          </w:tcPr>
          <w:p w14:paraId="654B4BB5" w14:textId="77777777" w:rsidR="00D61D03" w:rsidRPr="00D61D03" w:rsidRDefault="00D61D03" w:rsidP="00661BB7">
            <w:pPr>
              <w:pStyle w:val="Tabletext"/>
              <w:ind w:left="0" w:right="0"/>
              <w:rPr>
                <w:lang w:val="en-US"/>
              </w:rPr>
            </w:pPr>
            <w:r w:rsidRPr="00D61D03">
              <w:rPr>
                <w:lang w:val="en-US"/>
              </w:rPr>
              <w:t>N in 1</w:t>
            </w:r>
          </w:p>
          <w:p w14:paraId="14A4408A" w14:textId="77777777" w:rsidR="00D61D03" w:rsidRPr="00D61D03" w:rsidRDefault="00D61D03" w:rsidP="00661BB7">
            <w:pPr>
              <w:pStyle w:val="Tabletext"/>
              <w:ind w:left="0" w:right="0"/>
            </w:pPr>
            <w:r w:rsidRPr="00D61D03">
              <w:rPr>
                <w:lang w:val="en-US"/>
              </w:rPr>
              <w:t>Y in 1</w:t>
            </w:r>
          </w:p>
        </w:tc>
        <w:tc>
          <w:tcPr>
            <w:tcW w:w="1416" w:type="dxa"/>
          </w:tcPr>
          <w:p w14:paraId="7C4CA32E" w14:textId="77777777" w:rsidR="00D61D03" w:rsidRPr="00D61D03" w:rsidRDefault="00D61D03" w:rsidP="00661BB7">
            <w:pPr>
              <w:pStyle w:val="Tabletext"/>
              <w:ind w:left="0" w:right="0"/>
            </w:pPr>
            <w:r w:rsidRPr="00D61D03">
              <w:rPr>
                <w:lang w:val="en-US"/>
              </w:rPr>
              <w:t>N</w:t>
            </w:r>
          </w:p>
        </w:tc>
      </w:tr>
      <w:tr w:rsidR="00D61D03" w:rsidRPr="00D61D03" w14:paraId="53D3F1B8" w14:textId="77777777" w:rsidTr="001230B5">
        <w:trPr>
          <w:trHeight w:val="20"/>
        </w:trPr>
        <w:tc>
          <w:tcPr>
            <w:tcW w:w="1408" w:type="dxa"/>
            <w:vMerge/>
          </w:tcPr>
          <w:p w14:paraId="2C7A4C23" w14:textId="77777777" w:rsidR="00D61D03" w:rsidRPr="00D61D03" w:rsidRDefault="00D61D03" w:rsidP="00661BB7">
            <w:pPr>
              <w:pStyle w:val="Tabletext"/>
              <w:ind w:left="0" w:right="0"/>
            </w:pPr>
          </w:p>
        </w:tc>
        <w:tc>
          <w:tcPr>
            <w:tcW w:w="1415" w:type="dxa"/>
          </w:tcPr>
          <w:p w14:paraId="6AC7B7C6" w14:textId="77777777" w:rsidR="00D61D03" w:rsidRPr="00D61D03" w:rsidRDefault="00D61D03" w:rsidP="00661BB7">
            <w:pPr>
              <w:pStyle w:val="Tabletext"/>
              <w:ind w:left="0" w:right="0"/>
            </w:pPr>
            <w:r w:rsidRPr="00D61D03">
              <w:rPr>
                <w:lang w:val="en-US"/>
              </w:rPr>
              <w:t>7</w:t>
            </w:r>
          </w:p>
        </w:tc>
        <w:tc>
          <w:tcPr>
            <w:tcW w:w="1415" w:type="dxa"/>
          </w:tcPr>
          <w:p w14:paraId="0AE217B3" w14:textId="77777777" w:rsidR="00D61D03" w:rsidRPr="00D61D03" w:rsidRDefault="00D61D03" w:rsidP="00661BB7">
            <w:pPr>
              <w:pStyle w:val="Tabletext"/>
              <w:ind w:left="0" w:right="0"/>
            </w:pPr>
            <w:r w:rsidRPr="00D61D03">
              <w:rPr>
                <w:lang w:val="en-US"/>
              </w:rPr>
              <w:t>NGS</w:t>
            </w:r>
          </w:p>
        </w:tc>
        <w:tc>
          <w:tcPr>
            <w:tcW w:w="1415" w:type="dxa"/>
          </w:tcPr>
          <w:p w14:paraId="1EB3EFBE" w14:textId="77777777" w:rsidR="00D61D03" w:rsidRPr="00D61D03" w:rsidRDefault="00D61D03" w:rsidP="00661BB7">
            <w:pPr>
              <w:pStyle w:val="Tabletext"/>
              <w:ind w:left="0" w:right="0"/>
            </w:pPr>
            <w:r w:rsidRPr="00D61D03">
              <w:rPr>
                <w:i/>
                <w:lang w:val="en-US"/>
              </w:rPr>
              <w:t>SLC34A2- ROS1</w:t>
            </w:r>
          </w:p>
        </w:tc>
        <w:tc>
          <w:tcPr>
            <w:tcW w:w="1415" w:type="dxa"/>
          </w:tcPr>
          <w:p w14:paraId="78010AF6" w14:textId="77777777" w:rsidR="00D61D03" w:rsidRPr="00D61D03" w:rsidRDefault="00D61D03" w:rsidP="00661BB7">
            <w:pPr>
              <w:pStyle w:val="Tabletext"/>
              <w:ind w:left="0" w:right="0"/>
            </w:pPr>
            <w:r w:rsidRPr="00D61D03">
              <w:rPr>
                <w:lang w:val="en-US"/>
              </w:rPr>
              <w:t>N</w:t>
            </w:r>
          </w:p>
        </w:tc>
        <w:tc>
          <w:tcPr>
            <w:tcW w:w="1416" w:type="dxa"/>
          </w:tcPr>
          <w:p w14:paraId="5B0E6F62" w14:textId="77777777" w:rsidR="00D61D03" w:rsidRPr="00D61D03" w:rsidRDefault="00D61D03" w:rsidP="00661BB7">
            <w:pPr>
              <w:pStyle w:val="Tabletext"/>
              <w:ind w:left="0" w:right="0"/>
            </w:pPr>
            <w:r w:rsidRPr="00D61D03">
              <w:rPr>
                <w:lang w:val="en-US"/>
              </w:rPr>
              <w:t>N</w:t>
            </w:r>
          </w:p>
        </w:tc>
      </w:tr>
      <w:tr w:rsidR="00D61D03" w:rsidRPr="00D61D03" w14:paraId="323BF7D6" w14:textId="77777777" w:rsidTr="001230B5">
        <w:trPr>
          <w:trHeight w:val="20"/>
        </w:trPr>
        <w:tc>
          <w:tcPr>
            <w:tcW w:w="1408" w:type="dxa"/>
            <w:vMerge/>
          </w:tcPr>
          <w:p w14:paraId="04ED07FF" w14:textId="77777777" w:rsidR="00D61D03" w:rsidRPr="00D61D03" w:rsidRDefault="00D61D03" w:rsidP="00661BB7">
            <w:pPr>
              <w:pStyle w:val="Tabletext"/>
              <w:ind w:left="0" w:right="0"/>
            </w:pPr>
          </w:p>
        </w:tc>
        <w:tc>
          <w:tcPr>
            <w:tcW w:w="1415" w:type="dxa"/>
          </w:tcPr>
          <w:p w14:paraId="1458878C" w14:textId="77777777" w:rsidR="00D61D03" w:rsidRPr="00D61D03" w:rsidRDefault="00D61D03" w:rsidP="00661BB7">
            <w:pPr>
              <w:pStyle w:val="Tabletext"/>
              <w:ind w:left="0" w:right="0"/>
            </w:pPr>
            <w:r w:rsidRPr="00D61D03">
              <w:rPr>
                <w:lang w:val="en-US"/>
              </w:rPr>
              <w:t>3</w:t>
            </w:r>
          </w:p>
        </w:tc>
        <w:tc>
          <w:tcPr>
            <w:tcW w:w="1415" w:type="dxa"/>
          </w:tcPr>
          <w:p w14:paraId="2354CB65" w14:textId="77777777" w:rsidR="00D61D03" w:rsidRPr="00D61D03" w:rsidRDefault="00D61D03" w:rsidP="00661BB7">
            <w:pPr>
              <w:pStyle w:val="Tabletext"/>
              <w:ind w:left="0" w:right="0"/>
            </w:pPr>
            <w:r w:rsidRPr="00D61D03">
              <w:rPr>
                <w:lang w:val="en-US"/>
              </w:rPr>
              <w:t>NGS</w:t>
            </w:r>
          </w:p>
        </w:tc>
        <w:tc>
          <w:tcPr>
            <w:tcW w:w="1415" w:type="dxa"/>
          </w:tcPr>
          <w:p w14:paraId="070BAAC0" w14:textId="77777777" w:rsidR="00D61D03" w:rsidRPr="00D61D03" w:rsidRDefault="00D61D03" w:rsidP="00661BB7">
            <w:pPr>
              <w:pStyle w:val="Tabletext"/>
              <w:ind w:left="0" w:right="0"/>
            </w:pPr>
            <w:r w:rsidRPr="00D61D03">
              <w:rPr>
                <w:i/>
                <w:lang w:val="en-US"/>
              </w:rPr>
              <w:t>EZR-ROS1</w:t>
            </w:r>
          </w:p>
        </w:tc>
        <w:tc>
          <w:tcPr>
            <w:tcW w:w="1415" w:type="dxa"/>
          </w:tcPr>
          <w:p w14:paraId="65A23F0C" w14:textId="77777777" w:rsidR="00D61D03" w:rsidRPr="00D61D03" w:rsidRDefault="00D61D03" w:rsidP="00661BB7">
            <w:pPr>
              <w:pStyle w:val="Tabletext"/>
              <w:ind w:left="0" w:right="0"/>
            </w:pPr>
            <w:r w:rsidRPr="00D61D03">
              <w:rPr>
                <w:lang w:val="en-US"/>
              </w:rPr>
              <w:t>N</w:t>
            </w:r>
          </w:p>
        </w:tc>
        <w:tc>
          <w:tcPr>
            <w:tcW w:w="1416" w:type="dxa"/>
          </w:tcPr>
          <w:p w14:paraId="1C598B26" w14:textId="77777777" w:rsidR="00D61D03" w:rsidRPr="00D61D03" w:rsidRDefault="00D61D03" w:rsidP="00661BB7">
            <w:pPr>
              <w:pStyle w:val="Tabletext"/>
              <w:ind w:left="0" w:right="0"/>
            </w:pPr>
            <w:r w:rsidRPr="00D61D03">
              <w:rPr>
                <w:lang w:val="en-US"/>
              </w:rPr>
              <w:t>N</w:t>
            </w:r>
          </w:p>
        </w:tc>
      </w:tr>
    </w:tbl>
    <w:p w14:paraId="419FAE13" w14:textId="7152D34A" w:rsidR="00D61D03" w:rsidRPr="00D61D03" w:rsidRDefault="00D61D03" w:rsidP="00D61D03">
      <w:pPr>
        <w:pStyle w:val="TableDescription"/>
        <w:rPr>
          <w:rFonts w:asciiTheme="minorHAnsi" w:hAnsiTheme="minorHAnsi" w:cs="Calibri"/>
          <w:lang w:val="en-US"/>
        </w:rPr>
      </w:pPr>
      <w:r w:rsidRPr="00D61D03">
        <w:t>* Re-testing with RNA-based NGS identified fusion partners in three of these patients: SDC4-ROS1, CD74-ROS1 and EZR-ROS1</w:t>
      </w:r>
      <w:r w:rsidRPr="00D61D03">
        <w:rPr>
          <w:rFonts w:asciiTheme="minorHAnsi" w:hAnsiTheme="minorHAnsi" w:cs="Calibri"/>
          <w:i/>
          <w:lang w:val="en-US"/>
        </w:rPr>
        <w:t>.</w:t>
      </w:r>
    </w:p>
    <w:p w14:paraId="778F648B" w14:textId="7DE2250D" w:rsidR="00D61D03" w:rsidRPr="00D61D03" w:rsidRDefault="00D61D03" w:rsidP="0029686F">
      <w:pPr>
        <w:pStyle w:val="Heading6"/>
      </w:pPr>
      <w:r w:rsidRPr="00D61D03">
        <w:t xml:space="preserve">Results in patient with ROS fusion-positive </w:t>
      </w:r>
      <w:r w:rsidR="00363D1C">
        <w:t>non-small cell lung cancer</w:t>
      </w:r>
    </w:p>
    <w:p w14:paraId="54D1A715" w14:textId="45F8F0F2" w:rsidR="00D61D03" w:rsidRPr="00D61D03" w:rsidRDefault="00CD0560" w:rsidP="00D61D03">
      <w:r w:rsidRPr="000C761A">
        <w:rPr>
          <w:i/>
        </w:rPr>
        <w:t>O</w:t>
      </w:r>
      <w:r w:rsidR="00B15B4D" w:rsidRPr="000C761A">
        <w:rPr>
          <w:i/>
        </w:rPr>
        <w:t>bjective response rate</w:t>
      </w:r>
      <w:r w:rsidR="00D61D03" w:rsidRPr="000C761A">
        <w:rPr>
          <w:i/>
        </w:rPr>
        <w:t xml:space="preserve"> and </w:t>
      </w:r>
      <w:r w:rsidRPr="000C761A">
        <w:rPr>
          <w:i/>
        </w:rPr>
        <w:t>duration of response</w:t>
      </w:r>
      <w:r w:rsidR="006D7EB5">
        <w:t xml:space="preserve">: </w:t>
      </w:r>
      <w:r w:rsidR="00D61D03" w:rsidRPr="00D61D03">
        <w:t xml:space="preserve">The results of FDA’s analyses of ORR and DOR according to </w:t>
      </w:r>
      <w:r w:rsidRPr="00CD0560">
        <w:t>blinded independent central review</w:t>
      </w:r>
      <w:r>
        <w:t xml:space="preserve"> (</w:t>
      </w:r>
      <w:r w:rsidR="00363D1C" w:rsidRPr="00D61D03">
        <w:t>BI</w:t>
      </w:r>
      <w:r w:rsidR="00363D1C">
        <w:t>CR</w:t>
      </w:r>
      <w:r>
        <w:t>)</w:t>
      </w:r>
      <w:r w:rsidR="00D61D03" w:rsidRPr="00D61D03">
        <w:t xml:space="preserve"> for the ROS1 Primary Analysis S</w:t>
      </w:r>
      <w:r>
        <w:t>et (as defined</w:t>
      </w:r>
      <w:r w:rsidR="00D61D03" w:rsidRPr="00D61D03">
        <w:t xml:space="preserve"> a</w:t>
      </w:r>
      <w:r>
        <w:t xml:space="preserve">bove) are summarised in </w:t>
      </w:r>
      <w:r>
        <w:fldChar w:fldCharType="begin"/>
      </w:r>
      <w:r>
        <w:instrText xml:space="preserve"> REF _Ref51147130 \h </w:instrText>
      </w:r>
      <w:r>
        <w:fldChar w:fldCharType="separate"/>
      </w:r>
      <w:r w:rsidR="005743D8">
        <w:t xml:space="preserve">Table </w:t>
      </w:r>
      <w:r w:rsidR="005743D8">
        <w:rPr>
          <w:noProof/>
        </w:rPr>
        <w:t>11</w:t>
      </w:r>
      <w:r>
        <w:fldChar w:fldCharType="end"/>
      </w:r>
      <w:r>
        <w:t xml:space="preserve">. </w:t>
      </w:r>
      <w:r w:rsidR="00D61D03" w:rsidRPr="00D61D03">
        <w:t>The cut-off date for final analysis was 31 May 2018 for ORR and 31 October 2018 for DOR, as the latter incorporated u</w:t>
      </w:r>
      <w:r w:rsidR="00F357A6">
        <w:t>pdated data sent to FDA by the s</w:t>
      </w:r>
      <w:r w:rsidR="00D61D03" w:rsidRPr="00D61D03">
        <w:t>ponsor during their review.</w:t>
      </w:r>
    </w:p>
    <w:p w14:paraId="36244733" w14:textId="0C83DA1A" w:rsidR="006421E2" w:rsidRPr="006421E2" w:rsidRDefault="006421E2" w:rsidP="006421E2">
      <w:pPr>
        <w:pStyle w:val="TableTitle"/>
      </w:pPr>
      <w:bookmarkStart w:id="54" w:name="_Ref51147130"/>
      <w:r>
        <w:lastRenderedPageBreak/>
        <w:t xml:space="preserve">Table </w:t>
      </w:r>
      <w:fldSimple w:instr=" SEQ Table \* ARABIC ">
        <w:r w:rsidR="009B407B">
          <w:rPr>
            <w:noProof/>
          </w:rPr>
          <w:t>15</w:t>
        </w:r>
      </w:fldSimple>
      <w:bookmarkEnd w:id="54"/>
      <w:r w:rsidR="00363D1C">
        <w:rPr>
          <w:noProof/>
        </w:rPr>
        <w:t xml:space="preserve">: </w:t>
      </w:r>
      <w:r w:rsidRPr="006421E2">
        <w:t>Efficacy analysis in the ROS1 Primary Analysis Set, per RECIST</w:t>
      </w:r>
      <w:r w:rsidR="003D2605">
        <w:t>;</w:t>
      </w:r>
      <w:r w:rsidR="003D2605">
        <w:fldChar w:fldCharType="begin"/>
      </w:r>
      <w:r w:rsidR="003D2605">
        <w:instrText xml:space="preserve"> NOTEREF _Ref52176997 \f \h </w:instrText>
      </w:r>
      <w:r w:rsidR="003D2605">
        <w:fldChar w:fldCharType="separate"/>
      </w:r>
      <w:r w:rsidR="005743D8" w:rsidRPr="005743D8">
        <w:rPr>
          <w:rStyle w:val="FootnoteReference"/>
        </w:rPr>
        <w:t>19</w:t>
      </w:r>
      <w:r w:rsidR="003D2605">
        <w:fldChar w:fldCharType="end"/>
      </w:r>
      <w:r w:rsidRPr="006421E2">
        <w:t xml:space="preserve"> </w:t>
      </w:r>
      <w:r w:rsidR="00430D89">
        <w:t>v</w:t>
      </w:r>
      <w:r w:rsidRPr="006421E2">
        <w:t xml:space="preserve">1.1 by </w:t>
      </w:r>
      <w:r w:rsidR="00986F56">
        <w:t>blinded independent central review</w:t>
      </w:r>
    </w:p>
    <w:tbl>
      <w:tblPr>
        <w:tblStyle w:val="TableTGAblue"/>
        <w:tblW w:w="8495" w:type="dxa"/>
        <w:tblLayout w:type="fixed"/>
        <w:tblLook w:val="01E0" w:firstRow="1" w:lastRow="1" w:firstColumn="1" w:lastColumn="1" w:noHBand="0" w:noVBand="0"/>
      </w:tblPr>
      <w:tblGrid>
        <w:gridCol w:w="3534"/>
        <w:gridCol w:w="2693"/>
        <w:gridCol w:w="2268"/>
      </w:tblGrid>
      <w:tr w:rsidR="006421E2" w:rsidRPr="006421E2" w14:paraId="02B238C2" w14:textId="77777777" w:rsidTr="001230B5">
        <w:trPr>
          <w:cnfStyle w:val="100000000000" w:firstRow="1" w:lastRow="0" w:firstColumn="0" w:lastColumn="0" w:oddVBand="0" w:evenVBand="0" w:oddHBand="0" w:evenHBand="0" w:firstRowFirstColumn="0" w:firstRowLastColumn="0" w:lastRowFirstColumn="0" w:lastRowLastColumn="0"/>
          <w:trHeight w:val="20"/>
        </w:trPr>
        <w:tc>
          <w:tcPr>
            <w:tcW w:w="3534" w:type="dxa"/>
            <w:tcBorders>
              <w:top w:val="single" w:sz="4" w:space="0" w:color="auto"/>
              <w:left w:val="single" w:sz="4" w:space="0" w:color="auto"/>
              <w:bottom w:val="single" w:sz="4" w:space="0" w:color="auto"/>
              <w:right w:val="single" w:sz="4" w:space="0" w:color="auto"/>
            </w:tcBorders>
          </w:tcPr>
          <w:p w14:paraId="28CC4326" w14:textId="77777777" w:rsidR="006421E2" w:rsidRPr="006421E2" w:rsidRDefault="006421E2" w:rsidP="006421E2">
            <w:pPr>
              <w:pStyle w:val="Tabletext"/>
            </w:pPr>
            <w:r w:rsidRPr="006421E2">
              <w:t>Objective Response Rate (ORR)</w:t>
            </w:r>
          </w:p>
        </w:tc>
        <w:tc>
          <w:tcPr>
            <w:tcW w:w="4961" w:type="dxa"/>
            <w:gridSpan w:val="2"/>
            <w:tcBorders>
              <w:top w:val="single" w:sz="4" w:space="0" w:color="auto"/>
              <w:left w:val="single" w:sz="4" w:space="0" w:color="auto"/>
              <w:bottom w:val="single" w:sz="4" w:space="0" w:color="auto"/>
              <w:right w:val="single" w:sz="4" w:space="0" w:color="auto"/>
            </w:tcBorders>
          </w:tcPr>
          <w:p w14:paraId="3F38D78E" w14:textId="460F7EC5" w:rsidR="006421E2" w:rsidRPr="006421E2" w:rsidRDefault="003D2605" w:rsidP="007D2F65">
            <w:pPr>
              <w:pStyle w:val="Tabletext"/>
              <w:jc w:val="center"/>
            </w:pPr>
            <w:r>
              <w:t>E</w:t>
            </w:r>
            <w:r w:rsidR="006421E2" w:rsidRPr="006421E2">
              <w:t>ntrectinib (n</w:t>
            </w:r>
            <w:r w:rsidR="00BF7C39">
              <w:t xml:space="preserve"> </w:t>
            </w:r>
            <w:r w:rsidR="006421E2" w:rsidRPr="006421E2">
              <w:t>=</w:t>
            </w:r>
            <w:r w:rsidR="00BF7C39">
              <w:t xml:space="preserve"> </w:t>
            </w:r>
            <w:r w:rsidR="006421E2" w:rsidRPr="006421E2">
              <w:t>51)</w:t>
            </w:r>
          </w:p>
        </w:tc>
      </w:tr>
      <w:tr w:rsidR="006421E2" w:rsidRPr="006421E2" w14:paraId="44F061EE" w14:textId="77777777" w:rsidTr="001230B5">
        <w:trPr>
          <w:trHeight w:val="20"/>
        </w:trPr>
        <w:tc>
          <w:tcPr>
            <w:tcW w:w="3534" w:type="dxa"/>
            <w:tcBorders>
              <w:top w:val="single" w:sz="4" w:space="0" w:color="auto"/>
            </w:tcBorders>
          </w:tcPr>
          <w:p w14:paraId="0A38199C" w14:textId="77777777" w:rsidR="006421E2" w:rsidRPr="006421E2" w:rsidRDefault="006421E2" w:rsidP="006421E2">
            <w:pPr>
              <w:pStyle w:val="Tabletext"/>
            </w:pPr>
            <w:r w:rsidRPr="006421E2">
              <w:t>Responders, n</w:t>
            </w:r>
          </w:p>
        </w:tc>
        <w:tc>
          <w:tcPr>
            <w:tcW w:w="2693" w:type="dxa"/>
            <w:tcBorders>
              <w:top w:val="single" w:sz="4" w:space="0" w:color="auto"/>
            </w:tcBorders>
          </w:tcPr>
          <w:p w14:paraId="253B32D1" w14:textId="77777777" w:rsidR="006421E2" w:rsidRPr="006421E2" w:rsidRDefault="006421E2" w:rsidP="006421E2">
            <w:pPr>
              <w:pStyle w:val="Tabletext"/>
            </w:pPr>
            <w:r w:rsidRPr="006421E2">
              <w:t>40</w:t>
            </w:r>
          </w:p>
        </w:tc>
        <w:tc>
          <w:tcPr>
            <w:tcW w:w="2268" w:type="dxa"/>
            <w:tcBorders>
              <w:top w:val="single" w:sz="4" w:space="0" w:color="auto"/>
            </w:tcBorders>
          </w:tcPr>
          <w:p w14:paraId="6B194EC9" w14:textId="77777777" w:rsidR="006421E2" w:rsidRPr="006421E2" w:rsidRDefault="006421E2" w:rsidP="006421E2">
            <w:pPr>
              <w:pStyle w:val="Tabletext"/>
            </w:pPr>
          </w:p>
        </w:tc>
      </w:tr>
      <w:tr w:rsidR="006421E2" w:rsidRPr="006421E2" w14:paraId="5A4B77D1" w14:textId="77777777" w:rsidTr="001230B5">
        <w:trPr>
          <w:trHeight w:val="20"/>
        </w:trPr>
        <w:tc>
          <w:tcPr>
            <w:tcW w:w="3534" w:type="dxa"/>
          </w:tcPr>
          <w:p w14:paraId="54E9AEB7" w14:textId="77777777" w:rsidR="006421E2" w:rsidRPr="006421E2" w:rsidRDefault="006421E2" w:rsidP="007D2F65">
            <w:pPr>
              <w:pStyle w:val="Tabletext"/>
              <w:jc w:val="right"/>
            </w:pPr>
            <w:r w:rsidRPr="006421E2">
              <w:t>CR</w:t>
            </w:r>
          </w:p>
        </w:tc>
        <w:tc>
          <w:tcPr>
            <w:tcW w:w="2693" w:type="dxa"/>
          </w:tcPr>
          <w:p w14:paraId="23E098B8" w14:textId="77777777" w:rsidR="006421E2" w:rsidRPr="006421E2" w:rsidRDefault="006421E2" w:rsidP="006421E2">
            <w:pPr>
              <w:pStyle w:val="Tabletext"/>
            </w:pPr>
            <w:r w:rsidRPr="006421E2">
              <w:t>3 (5.9%)</w:t>
            </w:r>
          </w:p>
        </w:tc>
        <w:tc>
          <w:tcPr>
            <w:tcW w:w="2268" w:type="dxa"/>
          </w:tcPr>
          <w:p w14:paraId="7A4F9671" w14:textId="77777777" w:rsidR="006421E2" w:rsidRPr="006421E2" w:rsidRDefault="006421E2" w:rsidP="006421E2">
            <w:pPr>
              <w:pStyle w:val="Tabletext"/>
            </w:pPr>
          </w:p>
        </w:tc>
      </w:tr>
      <w:tr w:rsidR="006421E2" w:rsidRPr="006421E2" w14:paraId="381446DE" w14:textId="77777777" w:rsidTr="001230B5">
        <w:trPr>
          <w:trHeight w:val="20"/>
        </w:trPr>
        <w:tc>
          <w:tcPr>
            <w:tcW w:w="3534" w:type="dxa"/>
          </w:tcPr>
          <w:p w14:paraId="1C40760D" w14:textId="77777777" w:rsidR="006421E2" w:rsidRPr="006421E2" w:rsidRDefault="006421E2" w:rsidP="007D2F65">
            <w:pPr>
              <w:pStyle w:val="Tabletext"/>
              <w:jc w:val="right"/>
            </w:pPr>
            <w:r w:rsidRPr="006421E2">
              <w:t>PR</w:t>
            </w:r>
          </w:p>
        </w:tc>
        <w:tc>
          <w:tcPr>
            <w:tcW w:w="2693" w:type="dxa"/>
          </w:tcPr>
          <w:p w14:paraId="6FFDA47D" w14:textId="77777777" w:rsidR="006421E2" w:rsidRPr="006421E2" w:rsidRDefault="006421E2" w:rsidP="006421E2">
            <w:pPr>
              <w:pStyle w:val="Tabletext"/>
            </w:pPr>
            <w:r w:rsidRPr="006421E2">
              <w:t>37 (72.5%)</w:t>
            </w:r>
          </w:p>
        </w:tc>
        <w:tc>
          <w:tcPr>
            <w:tcW w:w="2268" w:type="dxa"/>
          </w:tcPr>
          <w:p w14:paraId="709C5275" w14:textId="77777777" w:rsidR="006421E2" w:rsidRPr="006421E2" w:rsidRDefault="006421E2" w:rsidP="006421E2">
            <w:pPr>
              <w:pStyle w:val="Tabletext"/>
            </w:pPr>
          </w:p>
        </w:tc>
      </w:tr>
      <w:tr w:rsidR="006421E2" w:rsidRPr="006421E2" w14:paraId="3872FEB9" w14:textId="77777777" w:rsidTr="001230B5">
        <w:trPr>
          <w:trHeight w:val="20"/>
        </w:trPr>
        <w:tc>
          <w:tcPr>
            <w:tcW w:w="3534" w:type="dxa"/>
          </w:tcPr>
          <w:p w14:paraId="7CEF8FEE" w14:textId="77777777" w:rsidR="006421E2" w:rsidRPr="006421E2" w:rsidRDefault="006421E2" w:rsidP="006421E2">
            <w:pPr>
              <w:pStyle w:val="Tabletext"/>
            </w:pPr>
            <w:r w:rsidRPr="006421E2">
              <w:t>ORR (95%CI)</w:t>
            </w:r>
          </w:p>
        </w:tc>
        <w:tc>
          <w:tcPr>
            <w:tcW w:w="2693" w:type="dxa"/>
          </w:tcPr>
          <w:p w14:paraId="5B8C2AFD" w14:textId="0B71EF0F" w:rsidR="006421E2" w:rsidRPr="006421E2" w:rsidRDefault="006421E2" w:rsidP="001F1814">
            <w:pPr>
              <w:pStyle w:val="Tabletext"/>
            </w:pPr>
            <w:r w:rsidRPr="006421E2">
              <w:t>78.4% (64.7%, 88.7%)</w:t>
            </w:r>
          </w:p>
        </w:tc>
        <w:tc>
          <w:tcPr>
            <w:tcW w:w="2268" w:type="dxa"/>
          </w:tcPr>
          <w:p w14:paraId="2B5A0B5F" w14:textId="77777777" w:rsidR="006421E2" w:rsidRPr="006421E2" w:rsidRDefault="006421E2" w:rsidP="006421E2">
            <w:pPr>
              <w:pStyle w:val="Tabletext"/>
            </w:pPr>
          </w:p>
        </w:tc>
      </w:tr>
      <w:tr w:rsidR="006421E2" w:rsidRPr="006421E2" w14:paraId="7A61E1BC" w14:textId="77777777" w:rsidTr="001230B5">
        <w:trPr>
          <w:trHeight w:val="20"/>
        </w:trPr>
        <w:tc>
          <w:tcPr>
            <w:tcW w:w="3534" w:type="dxa"/>
          </w:tcPr>
          <w:p w14:paraId="2EA2D66D" w14:textId="5303814A" w:rsidR="006421E2" w:rsidRPr="006421E2" w:rsidRDefault="006421E2" w:rsidP="006421E2">
            <w:pPr>
              <w:pStyle w:val="Tabletext"/>
              <w:rPr>
                <w:i/>
              </w:rPr>
            </w:pPr>
            <w:r w:rsidRPr="006421E2">
              <w:rPr>
                <w:i/>
              </w:rPr>
              <w:t xml:space="preserve">Date of </w:t>
            </w:r>
            <w:r w:rsidR="00363D1C">
              <w:rPr>
                <w:i/>
              </w:rPr>
              <w:t>d</w:t>
            </w:r>
            <w:r w:rsidRPr="006421E2">
              <w:rPr>
                <w:i/>
              </w:rPr>
              <w:t xml:space="preserve">ata </w:t>
            </w:r>
            <w:r w:rsidR="00363D1C" w:rsidRPr="006421E2">
              <w:rPr>
                <w:i/>
              </w:rPr>
              <w:t>cut off</w:t>
            </w:r>
          </w:p>
        </w:tc>
        <w:tc>
          <w:tcPr>
            <w:tcW w:w="2693" w:type="dxa"/>
          </w:tcPr>
          <w:p w14:paraId="3808D78F" w14:textId="4883CCD3" w:rsidR="006421E2" w:rsidRPr="006421E2" w:rsidRDefault="00363D1C" w:rsidP="006421E2">
            <w:pPr>
              <w:pStyle w:val="Tabletext"/>
              <w:rPr>
                <w:i/>
              </w:rPr>
            </w:pPr>
            <w:r>
              <w:rPr>
                <w:i/>
              </w:rPr>
              <w:t>31 May</w:t>
            </w:r>
            <w:r w:rsidR="006421E2" w:rsidRPr="006421E2">
              <w:rPr>
                <w:i/>
              </w:rPr>
              <w:t xml:space="preserve"> 2018</w:t>
            </w:r>
          </w:p>
        </w:tc>
        <w:tc>
          <w:tcPr>
            <w:tcW w:w="2268" w:type="dxa"/>
          </w:tcPr>
          <w:p w14:paraId="4642591F" w14:textId="0355856F" w:rsidR="006421E2" w:rsidRPr="006421E2" w:rsidRDefault="00363D1C" w:rsidP="006421E2">
            <w:pPr>
              <w:pStyle w:val="Tabletext"/>
              <w:rPr>
                <w:i/>
              </w:rPr>
            </w:pPr>
            <w:r>
              <w:rPr>
                <w:i/>
              </w:rPr>
              <w:t>31 October</w:t>
            </w:r>
            <w:r w:rsidR="006421E2" w:rsidRPr="006421E2">
              <w:rPr>
                <w:i/>
              </w:rPr>
              <w:t xml:space="preserve"> 2018</w:t>
            </w:r>
          </w:p>
        </w:tc>
      </w:tr>
      <w:tr w:rsidR="006421E2" w:rsidRPr="006421E2" w14:paraId="1D220B16" w14:textId="77777777" w:rsidTr="001230B5">
        <w:trPr>
          <w:trHeight w:val="20"/>
        </w:trPr>
        <w:tc>
          <w:tcPr>
            <w:tcW w:w="3534" w:type="dxa"/>
          </w:tcPr>
          <w:p w14:paraId="181DE395" w14:textId="77777777" w:rsidR="006421E2" w:rsidRPr="006421E2" w:rsidRDefault="006421E2" w:rsidP="006421E2">
            <w:pPr>
              <w:pStyle w:val="Tabletext"/>
            </w:pPr>
            <w:r w:rsidRPr="006421E2">
              <w:t>Median DOR in months (95% CI)*</w:t>
            </w:r>
          </w:p>
        </w:tc>
        <w:tc>
          <w:tcPr>
            <w:tcW w:w="2693" w:type="dxa"/>
          </w:tcPr>
          <w:p w14:paraId="4DB08F63" w14:textId="77777777" w:rsidR="006421E2" w:rsidRPr="006421E2" w:rsidRDefault="006421E2" w:rsidP="006421E2">
            <w:pPr>
              <w:pStyle w:val="Tabletext"/>
            </w:pPr>
            <w:r w:rsidRPr="006421E2">
              <w:t>15.7 (9.5, 34.8)</w:t>
            </w:r>
          </w:p>
        </w:tc>
        <w:tc>
          <w:tcPr>
            <w:tcW w:w="2268" w:type="dxa"/>
          </w:tcPr>
          <w:p w14:paraId="0979B504" w14:textId="77777777" w:rsidR="006421E2" w:rsidRPr="006421E2" w:rsidRDefault="006421E2" w:rsidP="006421E2">
            <w:pPr>
              <w:pStyle w:val="Tabletext"/>
            </w:pPr>
            <w:r w:rsidRPr="006421E2">
              <w:t>15.7 (11.4, 34.8)</w:t>
            </w:r>
          </w:p>
        </w:tc>
      </w:tr>
      <w:tr w:rsidR="006421E2" w:rsidRPr="006421E2" w14:paraId="259C77FC" w14:textId="77777777" w:rsidTr="001230B5">
        <w:trPr>
          <w:trHeight w:val="20"/>
        </w:trPr>
        <w:tc>
          <w:tcPr>
            <w:tcW w:w="3534" w:type="dxa"/>
          </w:tcPr>
          <w:p w14:paraId="3E0FFA0C" w14:textId="275D586A" w:rsidR="006421E2" w:rsidRPr="006421E2" w:rsidRDefault="00BF7C39" w:rsidP="006421E2">
            <w:pPr>
              <w:pStyle w:val="Tabletext"/>
            </w:pPr>
            <w:r>
              <w:t xml:space="preserve">DOR </w:t>
            </w:r>
            <w:r w:rsidR="00CE2749">
              <w:sym w:font="Symbol" w:char="F0B3"/>
            </w:r>
            <w:r>
              <w:t xml:space="preserve"> </w:t>
            </w:r>
            <w:r w:rsidR="006421E2" w:rsidRPr="006421E2">
              <w:t>6 months**, n (%)</w:t>
            </w:r>
          </w:p>
        </w:tc>
        <w:tc>
          <w:tcPr>
            <w:tcW w:w="2693" w:type="dxa"/>
          </w:tcPr>
          <w:p w14:paraId="05F87AE6" w14:textId="77777777" w:rsidR="006421E2" w:rsidRPr="006421E2" w:rsidRDefault="006421E2" w:rsidP="006421E2">
            <w:pPr>
              <w:pStyle w:val="Tabletext"/>
            </w:pPr>
            <w:r w:rsidRPr="006421E2">
              <w:t>30 (75.0)</w:t>
            </w:r>
          </w:p>
        </w:tc>
        <w:tc>
          <w:tcPr>
            <w:tcW w:w="2268" w:type="dxa"/>
          </w:tcPr>
          <w:p w14:paraId="288F898C" w14:textId="77777777" w:rsidR="006421E2" w:rsidRPr="006421E2" w:rsidRDefault="006421E2" w:rsidP="006421E2">
            <w:pPr>
              <w:pStyle w:val="Tabletext"/>
            </w:pPr>
            <w:r w:rsidRPr="006421E2">
              <w:t>30 (75.0)</w:t>
            </w:r>
          </w:p>
        </w:tc>
      </w:tr>
      <w:tr w:rsidR="006421E2" w:rsidRPr="006421E2" w14:paraId="082D1AA9" w14:textId="77777777" w:rsidTr="001230B5">
        <w:trPr>
          <w:trHeight w:val="20"/>
        </w:trPr>
        <w:tc>
          <w:tcPr>
            <w:tcW w:w="3534" w:type="dxa"/>
          </w:tcPr>
          <w:p w14:paraId="7EB3B3E4" w14:textId="2EE979A7" w:rsidR="006421E2" w:rsidRPr="006421E2" w:rsidRDefault="00BF7C39" w:rsidP="006421E2">
            <w:pPr>
              <w:pStyle w:val="Tabletext"/>
            </w:pPr>
            <w:r>
              <w:t xml:space="preserve">DOR </w:t>
            </w:r>
            <w:r w:rsidR="00CE2749">
              <w:sym w:font="Symbol" w:char="F0B3"/>
            </w:r>
            <w:r>
              <w:t xml:space="preserve"> </w:t>
            </w:r>
            <w:r w:rsidR="006421E2" w:rsidRPr="006421E2">
              <w:t>9 months**, n (%)</w:t>
            </w:r>
          </w:p>
        </w:tc>
        <w:tc>
          <w:tcPr>
            <w:tcW w:w="2693" w:type="dxa"/>
          </w:tcPr>
          <w:p w14:paraId="4F093E9E" w14:textId="77777777" w:rsidR="006421E2" w:rsidRPr="006421E2" w:rsidRDefault="006421E2" w:rsidP="006421E2">
            <w:pPr>
              <w:pStyle w:val="Tabletext"/>
            </w:pPr>
            <w:r w:rsidRPr="006421E2">
              <w:t>27 (67.5)</w:t>
            </w:r>
          </w:p>
        </w:tc>
        <w:tc>
          <w:tcPr>
            <w:tcW w:w="2268" w:type="dxa"/>
          </w:tcPr>
          <w:p w14:paraId="30B418ED" w14:textId="77777777" w:rsidR="006421E2" w:rsidRPr="006421E2" w:rsidRDefault="006421E2" w:rsidP="006421E2">
            <w:pPr>
              <w:pStyle w:val="Tabletext"/>
            </w:pPr>
            <w:r w:rsidRPr="006421E2">
              <w:t>28 (70.0)</w:t>
            </w:r>
          </w:p>
        </w:tc>
      </w:tr>
      <w:tr w:rsidR="006421E2" w:rsidRPr="006421E2" w14:paraId="488BC7E2" w14:textId="77777777" w:rsidTr="001230B5">
        <w:trPr>
          <w:trHeight w:val="20"/>
        </w:trPr>
        <w:tc>
          <w:tcPr>
            <w:tcW w:w="3534" w:type="dxa"/>
          </w:tcPr>
          <w:p w14:paraId="456481B6" w14:textId="18C485DC" w:rsidR="006421E2" w:rsidRPr="006421E2" w:rsidRDefault="00BF7C39" w:rsidP="006421E2">
            <w:pPr>
              <w:pStyle w:val="Tabletext"/>
            </w:pPr>
            <w:r>
              <w:t xml:space="preserve">DOR </w:t>
            </w:r>
            <w:r w:rsidR="00CE2749">
              <w:sym w:font="Symbol" w:char="F0B3"/>
            </w:r>
            <w:r>
              <w:t xml:space="preserve"> </w:t>
            </w:r>
            <w:r w:rsidR="006421E2" w:rsidRPr="006421E2">
              <w:t>12 months**, n (%)</w:t>
            </w:r>
          </w:p>
        </w:tc>
        <w:tc>
          <w:tcPr>
            <w:tcW w:w="2693" w:type="dxa"/>
          </w:tcPr>
          <w:p w14:paraId="3BD1056C" w14:textId="77777777" w:rsidR="006421E2" w:rsidRPr="006421E2" w:rsidRDefault="006421E2" w:rsidP="006421E2">
            <w:pPr>
              <w:pStyle w:val="Tabletext"/>
            </w:pPr>
            <w:r w:rsidRPr="006421E2">
              <w:t>17 (42.5)</w:t>
            </w:r>
          </w:p>
        </w:tc>
        <w:tc>
          <w:tcPr>
            <w:tcW w:w="2268" w:type="dxa"/>
          </w:tcPr>
          <w:p w14:paraId="5CC9E60F" w14:textId="77777777" w:rsidR="006421E2" w:rsidRPr="006421E2" w:rsidRDefault="006421E2" w:rsidP="006421E2">
            <w:pPr>
              <w:pStyle w:val="Tabletext"/>
            </w:pPr>
            <w:r w:rsidRPr="006421E2">
              <w:t>22 (55.0)</w:t>
            </w:r>
          </w:p>
        </w:tc>
      </w:tr>
      <w:tr w:rsidR="006421E2" w:rsidRPr="006421E2" w14:paraId="4C349DA0" w14:textId="77777777" w:rsidTr="001230B5">
        <w:trPr>
          <w:trHeight w:val="20"/>
        </w:trPr>
        <w:tc>
          <w:tcPr>
            <w:tcW w:w="3534" w:type="dxa"/>
          </w:tcPr>
          <w:p w14:paraId="357FFB4D" w14:textId="211875E4" w:rsidR="006421E2" w:rsidRPr="006421E2" w:rsidRDefault="00BF7C39" w:rsidP="006421E2">
            <w:pPr>
              <w:pStyle w:val="Tabletext"/>
            </w:pPr>
            <w:r>
              <w:t xml:space="preserve">DOR </w:t>
            </w:r>
            <w:r w:rsidR="00CE2749">
              <w:sym w:font="Symbol" w:char="F0B3"/>
            </w:r>
            <w:r>
              <w:t xml:space="preserve"> </w:t>
            </w:r>
            <w:r w:rsidR="006421E2" w:rsidRPr="006421E2">
              <w:t>18 months**, n (%)</w:t>
            </w:r>
          </w:p>
        </w:tc>
        <w:tc>
          <w:tcPr>
            <w:tcW w:w="2693" w:type="dxa"/>
          </w:tcPr>
          <w:p w14:paraId="09D8766B" w14:textId="77777777" w:rsidR="006421E2" w:rsidRPr="006421E2" w:rsidRDefault="006421E2" w:rsidP="006421E2">
            <w:pPr>
              <w:pStyle w:val="Tabletext"/>
            </w:pPr>
            <w:r w:rsidRPr="006421E2">
              <w:t>7 (17.5)</w:t>
            </w:r>
          </w:p>
        </w:tc>
        <w:tc>
          <w:tcPr>
            <w:tcW w:w="2268" w:type="dxa"/>
          </w:tcPr>
          <w:p w14:paraId="50439840" w14:textId="77777777" w:rsidR="006421E2" w:rsidRPr="006421E2" w:rsidRDefault="006421E2" w:rsidP="006421E2">
            <w:pPr>
              <w:pStyle w:val="Tabletext"/>
            </w:pPr>
            <w:r w:rsidRPr="006421E2">
              <w:t>12 (30.0)</w:t>
            </w:r>
          </w:p>
        </w:tc>
      </w:tr>
    </w:tbl>
    <w:p w14:paraId="198FDCD1" w14:textId="00FD0C26" w:rsidR="006421E2" w:rsidRPr="006421E2" w:rsidRDefault="006421E2" w:rsidP="006421E2">
      <w:pPr>
        <w:pStyle w:val="TableDescription"/>
      </w:pPr>
      <w:r w:rsidRPr="006421E2">
        <w:t xml:space="preserve">*Kaplan-Meier estimate. Among the 40 responders, 21 events (17 disease progression and 4 deaths) had occurred at the time of data cut-off on </w:t>
      </w:r>
      <w:r w:rsidR="00363D1C">
        <w:t>31 October</w:t>
      </w:r>
      <w:r w:rsidRPr="006421E2">
        <w:t xml:space="preserve"> 2018</w:t>
      </w:r>
    </w:p>
    <w:p w14:paraId="3F1701A9" w14:textId="3A1FD8A4" w:rsidR="006421E2" w:rsidRDefault="006421E2" w:rsidP="006421E2">
      <w:pPr>
        <w:pStyle w:val="TableDescription"/>
      </w:pPr>
      <w:r w:rsidRPr="006421E2">
        <w:t>**Observed DOR</w:t>
      </w:r>
    </w:p>
    <w:p w14:paraId="72C6D5D4" w14:textId="294378A4" w:rsidR="00986F56" w:rsidRPr="006421E2" w:rsidRDefault="00986F56" w:rsidP="006421E2">
      <w:pPr>
        <w:pStyle w:val="TableDescription"/>
      </w:pPr>
      <w:r>
        <w:t>Source: efficacy analysis from the FDA multidisciplinary review.</w:t>
      </w:r>
      <w:r>
        <w:fldChar w:fldCharType="begin"/>
      </w:r>
      <w:r>
        <w:instrText xml:space="preserve"> NOTEREF _Ref50554541 \f \h </w:instrText>
      </w:r>
      <w:r>
        <w:fldChar w:fldCharType="separate"/>
      </w:r>
      <w:r>
        <w:rPr>
          <w:rStyle w:val="FootnoteReference"/>
        </w:rPr>
        <w:t>12</w:t>
      </w:r>
      <w:r>
        <w:fldChar w:fldCharType="end"/>
      </w:r>
    </w:p>
    <w:p w14:paraId="1AE81174" w14:textId="4032AD18" w:rsidR="006421E2" w:rsidRPr="006421E2" w:rsidRDefault="006421E2" w:rsidP="006421E2">
      <w:r w:rsidRPr="006421E2">
        <w:t>The FDA conducted sensitivity analyses in the Efficacy Analysis</w:t>
      </w:r>
      <w:r w:rsidR="008A28DD">
        <w:t xml:space="preserve"> Set and Measurable Disease Set</w:t>
      </w:r>
      <w:r w:rsidR="003D2605">
        <w:t>.</w:t>
      </w:r>
      <w:r w:rsidR="008A28DD">
        <w:fldChar w:fldCharType="begin"/>
      </w:r>
      <w:r w:rsidR="008A28DD">
        <w:instrText xml:space="preserve"> NOTEREF _Ref50554541 \f \h </w:instrText>
      </w:r>
      <w:r w:rsidR="008A28DD">
        <w:fldChar w:fldCharType="separate"/>
      </w:r>
      <w:r w:rsidR="005743D8" w:rsidRPr="005743D8">
        <w:rPr>
          <w:rStyle w:val="FootnoteReference"/>
        </w:rPr>
        <w:t>12</w:t>
      </w:r>
      <w:r w:rsidR="008A28DD">
        <w:fldChar w:fldCharType="end"/>
      </w:r>
      <w:r w:rsidR="003D2605">
        <w:t xml:space="preserve"> </w:t>
      </w:r>
      <w:r w:rsidRPr="006421E2">
        <w:t>The results in these populations were consistent with the findings in the Primar</w:t>
      </w:r>
      <w:r w:rsidR="00D90563">
        <w:t>y Analysis Set for ORR and DOR.</w:t>
      </w:r>
    </w:p>
    <w:p w14:paraId="53F23FEB" w14:textId="455C80B1" w:rsidR="006421E2" w:rsidRPr="006421E2" w:rsidRDefault="006421E2" w:rsidP="006421E2">
      <w:r w:rsidRPr="006421E2">
        <w:t>The FDA review</w:t>
      </w:r>
      <w:r w:rsidR="003D2605">
        <w:t>;</w:t>
      </w:r>
      <w:r w:rsidR="008A28DD">
        <w:fldChar w:fldCharType="begin"/>
      </w:r>
      <w:r w:rsidR="008A28DD">
        <w:instrText xml:space="preserve"> NOTEREF _Ref50554541 \f \h </w:instrText>
      </w:r>
      <w:r w:rsidR="008A28DD">
        <w:fldChar w:fldCharType="separate"/>
      </w:r>
      <w:r w:rsidR="005743D8" w:rsidRPr="005743D8">
        <w:rPr>
          <w:rStyle w:val="FootnoteReference"/>
        </w:rPr>
        <w:t>12</w:t>
      </w:r>
      <w:r w:rsidR="008A28DD">
        <w:fldChar w:fldCharType="end"/>
      </w:r>
      <w:r w:rsidRPr="006421E2">
        <w:t xml:space="preserve"> also performed a number of subgroup analyses based on demographics and some other baseline characteristics: ECOG performance status, smoking status, prior number of systemic therapies, and receipt of prior platinum-based chemotherapy. Sample sizes were small, but no outlier subgroups were identified</w:t>
      </w:r>
      <w:r w:rsidR="00D90563">
        <w:t>.</w:t>
      </w:r>
    </w:p>
    <w:p w14:paraId="0F8AFDBB" w14:textId="1DA9B07F" w:rsidR="006421E2" w:rsidRPr="006421E2" w:rsidRDefault="006421E2" w:rsidP="006421E2">
      <w:r w:rsidRPr="006421E2">
        <w:t xml:space="preserve">Of 7 patients with </w:t>
      </w:r>
      <w:r w:rsidRPr="000C761A">
        <w:rPr>
          <w:i/>
        </w:rPr>
        <w:t>ROS1</w:t>
      </w:r>
      <w:r w:rsidRPr="006421E2">
        <w:t xml:space="preserve"> fusion-positive NSCLC who</w:t>
      </w:r>
      <w:r w:rsidR="008A28DD">
        <w:t xml:space="preserve"> have</w:t>
      </w:r>
      <w:r w:rsidRPr="006421E2">
        <w:t xml:space="preserve"> never had previous sys</w:t>
      </w:r>
      <w:r w:rsidR="00D90563">
        <w:t>temic therapy, all 7 responded.</w:t>
      </w:r>
    </w:p>
    <w:p w14:paraId="62349CDD" w14:textId="77777777" w:rsidR="006421E2" w:rsidRPr="006421E2" w:rsidRDefault="006421E2" w:rsidP="006421E2">
      <w:r w:rsidRPr="006421E2">
        <w:t xml:space="preserve">Gene fusion partner subgroups showed responses in all categories, including 10 responses in 12 patients with unknown </w:t>
      </w:r>
      <w:r w:rsidRPr="000C761A">
        <w:rPr>
          <w:i/>
        </w:rPr>
        <w:t>ROS1</w:t>
      </w:r>
      <w:r w:rsidRPr="006421E2">
        <w:t xml:space="preserve"> gene fusion partner.</w:t>
      </w:r>
    </w:p>
    <w:p w14:paraId="260BFA68" w14:textId="0E2372A2" w:rsidR="006421E2" w:rsidRPr="006421E2" w:rsidRDefault="006421E2" w:rsidP="006421E2">
      <w:r w:rsidRPr="000C761A">
        <w:rPr>
          <w:i/>
        </w:rPr>
        <w:t>Intracranial responses</w:t>
      </w:r>
      <w:r w:rsidR="006D7EB5">
        <w:t xml:space="preserve">: </w:t>
      </w:r>
      <w:r w:rsidRPr="006421E2">
        <w:t xml:space="preserve">The interpretation of intracranial response data is limited due to the small sample size. Of 19 patients who had CNS disease at </w:t>
      </w:r>
      <w:r w:rsidR="00E01317">
        <w:t>Baseline</w:t>
      </w:r>
      <w:r w:rsidRPr="006421E2">
        <w:t>, 12 had measurable disease. Of the 12 who had measurable disease, 5 had received radiation to the brain within 2 months of their first dose of entrectinib, and</w:t>
      </w:r>
      <w:r w:rsidR="003D2605">
        <w:t xml:space="preserve"> an effect on CNS response cannot</w:t>
      </w:r>
      <w:r w:rsidRPr="006421E2">
        <w:t xml:space="preserve"> be ruled out. In the remaining 7 patients with </w:t>
      </w:r>
      <w:r w:rsidRPr="000C761A">
        <w:rPr>
          <w:i/>
        </w:rPr>
        <w:t>ROS1</w:t>
      </w:r>
      <w:r w:rsidRPr="006421E2">
        <w:t xml:space="preserve"> fusion-positive NSCLC who had measurable CNS disease at </w:t>
      </w:r>
      <w:r w:rsidR="00E01317">
        <w:t>Baseline</w:t>
      </w:r>
      <w:r w:rsidRPr="006421E2">
        <w:t xml:space="preserve"> per BICR and had not received brain radiation within two months of first entrectinib dose, th</w:t>
      </w:r>
      <w:r w:rsidR="00D90563">
        <w:t>ere were 5 confirmed responses.</w:t>
      </w:r>
    </w:p>
    <w:p w14:paraId="349240A6" w14:textId="51739B27" w:rsidR="006421E2" w:rsidRPr="006421E2" w:rsidRDefault="006421E2" w:rsidP="006421E2">
      <w:r w:rsidRPr="006421E2">
        <w:t xml:space="preserve">Of the 12 patients with </w:t>
      </w:r>
      <w:r w:rsidRPr="000C761A">
        <w:rPr>
          <w:i/>
        </w:rPr>
        <w:t>ROS1</w:t>
      </w:r>
      <w:r w:rsidRPr="006421E2">
        <w:t xml:space="preserve"> fusion-positive NSCLC who had measurable CNS disease at </w:t>
      </w:r>
      <w:r w:rsidR="00E01317">
        <w:t>Baseline</w:t>
      </w:r>
      <w:r w:rsidRPr="006421E2">
        <w:t>, regardless of proximity of brain radiotherapy to entrectinib therapy, 9 had intracranial responses. A third of these had lasted at least a year, and the remaining two thirds had lasted at least 6 mo</w:t>
      </w:r>
      <w:r w:rsidR="00D90563">
        <w:t>nths, by the data cut-off date.</w:t>
      </w:r>
    </w:p>
    <w:p w14:paraId="744E127A" w14:textId="71F94278" w:rsidR="00D61D03" w:rsidRPr="006421E2" w:rsidRDefault="006421E2" w:rsidP="00D61D03">
      <w:r w:rsidRPr="000C761A">
        <w:rPr>
          <w:i/>
        </w:rPr>
        <w:lastRenderedPageBreak/>
        <w:t xml:space="preserve">Efficacy in patients who had previously received </w:t>
      </w:r>
      <w:proofErr w:type="spellStart"/>
      <w:r w:rsidRPr="000C761A">
        <w:rPr>
          <w:i/>
        </w:rPr>
        <w:t>crizotinib</w:t>
      </w:r>
      <w:proofErr w:type="spellEnd"/>
      <w:r w:rsidR="006D7EB5">
        <w:t xml:space="preserve">: </w:t>
      </w:r>
      <w:r w:rsidRPr="006421E2">
        <w:t>Very limited entrectinib activity was seen in 27 ROS1-positive NSCLC pa</w:t>
      </w:r>
      <w:r w:rsidR="0094772D">
        <w:t xml:space="preserve">tients treated across </w:t>
      </w:r>
      <w:r w:rsidR="006D7EB5">
        <w:t xml:space="preserve">the </w:t>
      </w:r>
      <w:r w:rsidR="0094772D">
        <w:t xml:space="preserve">STARTRK-1 </w:t>
      </w:r>
      <w:r w:rsidRPr="006421E2">
        <w:t>(n</w:t>
      </w:r>
      <w:r w:rsidR="00BF7C39">
        <w:t xml:space="preserve"> </w:t>
      </w:r>
      <w:r w:rsidRPr="006421E2">
        <w:t>=</w:t>
      </w:r>
      <w:r w:rsidR="00BF7C39">
        <w:t xml:space="preserve"> </w:t>
      </w:r>
      <w:r w:rsidRPr="006421E2">
        <w:t xml:space="preserve">9) and STARTRK-2 </w:t>
      </w:r>
      <w:r w:rsidR="0094772D">
        <w:t xml:space="preserve">trials </w:t>
      </w:r>
      <w:r w:rsidRPr="006421E2">
        <w:t>(n</w:t>
      </w:r>
      <w:r w:rsidR="00BF7C39">
        <w:t xml:space="preserve"> </w:t>
      </w:r>
      <w:r w:rsidRPr="006421E2">
        <w:t>=</w:t>
      </w:r>
      <w:r w:rsidR="00BF7C39">
        <w:t xml:space="preserve"> </w:t>
      </w:r>
      <w:r w:rsidRPr="006421E2">
        <w:t xml:space="preserve">18) who had previously received </w:t>
      </w:r>
      <w:proofErr w:type="spellStart"/>
      <w:r w:rsidRPr="006421E2">
        <w:t>crizotinib</w:t>
      </w:r>
      <w:proofErr w:type="spellEnd"/>
      <w:r w:rsidRPr="006421E2">
        <w:t>, and were excluded from the formal efficacy populations. Three responses were seen in this group (2 responses out of 19 patients who had CNS</w:t>
      </w:r>
      <w:r w:rsidR="00363D1C">
        <w:t xml:space="preserve"> </w:t>
      </w:r>
      <w:r w:rsidRPr="006421E2">
        <w:t>only progression and 1 response out of 8 patients who had overall systemic progression.</w:t>
      </w:r>
    </w:p>
    <w:p w14:paraId="12876C0F" w14:textId="17063FEB" w:rsidR="0029686F" w:rsidRDefault="000D14B7" w:rsidP="000C761A">
      <w:pPr>
        <w:pStyle w:val="Heading5"/>
      </w:pPr>
      <w:r w:rsidRPr="000D14B7">
        <w:t>Neurotrophic tropomyosin receptor kinase</w:t>
      </w:r>
      <w:r w:rsidR="0029686F" w:rsidRPr="00AE517A">
        <w:t xml:space="preserve"> integrated efficacy analysis</w:t>
      </w:r>
    </w:p>
    <w:p w14:paraId="3E2D6CC2" w14:textId="56154206" w:rsidR="000D14B7" w:rsidRPr="007D2F65" w:rsidRDefault="000D14B7" w:rsidP="007D2F65">
      <w:pPr>
        <w:pStyle w:val="Heading6"/>
      </w:pPr>
      <w:r>
        <w:t>Methodology</w:t>
      </w:r>
    </w:p>
    <w:p w14:paraId="43F8BBFE" w14:textId="650CB84C" w:rsidR="0029686F" w:rsidRDefault="0029686F" w:rsidP="0029686F">
      <w:pPr>
        <w:rPr>
          <w:rFonts w:asciiTheme="minorHAnsi" w:hAnsiTheme="minorHAnsi" w:cs="Calibri"/>
          <w:lang w:val="en-US"/>
        </w:rPr>
      </w:pPr>
      <w:r w:rsidRPr="009C0CE3">
        <w:rPr>
          <w:rFonts w:asciiTheme="minorHAnsi" w:hAnsiTheme="minorHAnsi" w:cs="Calibri"/>
          <w:lang w:val="en-US"/>
        </w:rPr>
        <w:t xml:space="preserve">The integrated efficacy analysis for </w:t>
      </w:r>
      <w:r w:rsidRPr="000C761A">
        <w:rPr>
          <w:rFonts w:asciiTheme="minorHAnsi" w:hAnsiTheme="minorHAnsi" w:cs="Calibri"/>
          <w:i/>
          <w:lang w:val="en-US"/>
        </w:rPr>
        <w:t>NTRK</w:t>
      </w:r>
      <w:r>
        <w:rPr>
          <w:rFonts w:asciiTheme="minorHAnsi" w:hAnsiTheme="minorHAnsi" w:cs="Calibri"/>
          <w:lang w:val="en-US"/>
        </w:rPr>
        <w:t xml:space="preserve"> that was submitted by the s</w:t>
      </w:r>
      <w:r w:rsidRPr="009C0CE3">
        <w:rPr>
          <w:rFonts w:asciiTheme="minorHAnsi" w:hAnsiTheme="minorHAnsi" w:cs="Calibri"/>
          <w:lang w:val="en-US"/>
        </w:rPr>
        <w:t>ponsor included data for the first consecutive 54 patients wi</w:t>
      </w:r>
      <w:r w:rsidR="002E2BCA">
        <w:rPr>
          <w:rFonts w:asciiTheme="minorHAnsi" w:hAnsiTheme="minorHAnsi" w:cs="Calibri"/>
          <w:lang w:val="en-US"/>
        </w:rPr>
        <w:t xml:space="preserve">th </w:t>
      </w:r>
      <w:proofErr w:type="spellStart"/>
      <w:r w:rsidR="002E2BCA">
        <w:rPr>
          <w:rFonts w:asciiTheme="minorHAnsi" w:hAnsiTheme="minorHAnsi" w:cs="Calibri"/>
          <w:lang w:val="en-US"/>
        </w:rPr>
        <w:t>extracranial</w:t>
      </w:r>
      <w:proofErr w:type="spellEnd"/>
      <w:r w:rsidR="002E2BCA">
        <w:rPr>
          <w:rFonts w:asciiTheme="minorHAnsi" w:hAnsiTheme="minorHAnsi" w:cs="Calibri"/>
          <w:lang w:val="en-US"/>
        </w:rPr>
        <w:t xml:space="preserve"> </w:t>
      </w:r>
      <w:r w:rsidR="002E2BCA" w:rsidRPr="000C761A">
        <w:rPr>
          <w:rFonts w:asciiTheme="minorHAnsi" w:hAnsiTheme="minorHAnsi" w:cs="Calibri"/>
          <w:i/>
          <w:lang w:val="en-US"/>
        </w:rPr>
        <w:t>NTRK</w:t>
      </w:r>
      <w:r w:rsidR="002E2BCA">
        <w:rPr>
          <w:rFonts w:asciiTheme="minorHAnsi" w:hAnsiTheme="minorHAnsi" w:cs="Calibri"/>
          <w:lang w:val="en-US"/>
        </w:rPr>
        <w:t xml:space="preserve"> fusion-</w:t>
      </w:r>
      <w:r w:rsidRPr="009C0CE3">
        <w:rPr>
          <w:rFonts w:asciiTheme="minorHAnsi" w:hAnsiTheme="minorHAnsi" w:cs="Calibri"/>
          <w:lang w:val="en-US"/>
        </w:rPr>
        <w:t xml:space="preserve">positive solid </w:t>
      </w:r>
      <w:proofErr w:type="spellStart"/>
      <w:r w:rsidRPr="009C0CE3">
        <w:rPr>
          <w:rFonts w:asciiTheme="minorHAnsi" w:hAnsiTheme="minorHAnsi" w:cs="Calibri"/>
          <w:lang w:val="en-US"/>
        </w:rPr>
        <w:t>tumours</w:t>
      </w:r>
      <w:proofErr w:type="spellEnd"/>
      <w:r w:rsidRPr="009C0CE3">
        <w:rPr>
          <w:rFonts w:asciiTheme="minorHAnsi" w:hAnsiTheme="minorHAnsi" w:cs="Calibri"/>
          <w:lang w:val="en-US"/>
        </w:rPr>
        <w:t xml:space="preserve"> who were enrolled in </w:t>
      </w:r>
      <w:r w:rsidR="006D7EB5">
        <w:rPr>
          <w:rFonts w:asciiTheme="minorHAnsi" w:hAnsiTheme="minorHAnsi" w:cs="Calibri"/>
          <w:lang w:val="en-US"/>
        </w:rPr>
        <w:t xml:space="preserve">the </w:t>
      </w:r>
      <w:r w:rsidRPr="009C0CE3">
        <w:rPr>
          <w:rFonts w:asciiTheme="minorHAnsi" w:hAnsiTheme="minorHAnsi" w:cs="Calibri"/>
          <w:lang w:val="en-US"/>
        </w:rPr>
        <w:t>ALKA, STARTRK-1 or STARTRK-2</w:t>
      </w:r>
      <w:r w:rsidR="00B3760D">
        <w:rPr>
          <w:rFonts w:asciiTheme="minorHAnsi" w:hAnsiTheme="minorHAnsi" w:cs="Calibri"/>
          <w:lang w:val="en-US"/>
        </w:rPr>
        <w:t xml:space="preserve"> trial</w:t>
      </w:r>
      <w:r w:rsidR="006D7EB5">
        <w:rPr>
          <w:rFonts w:asciiTheme="minorHAnsi" w:hAnsiTheme="minorHAnsi" w:cs="Calibri"/>
          <w:lang w:val="en-US"/>
        </w:rPr>
        <w:t>s</w:t>
      </w:r>
      <w:r w:rsidRPr="009C0CE3">
        <w:rPr>
          <w:rFonts w:asciiTheme="minorHAnsi" w:hAnsiTheme="minorHAnsi" w:cs="Calibri"/>
          <w:lang w:val="en-US"/>
        </w:rPr>
        <w:t xml:space="preserve"> who had not previously been treated with a TRK inhibitor, who had measurable disease by RECIST</w:t>
      </w:r>
      <w:r w:rsidR="003D2605">
        <w:rPr>
          <w:rFonts w:asciiTheme="minorHAnsi" w:hAnsiTheme="minorHAnsi" w:cs="Calibri"/>
          <w:lang w:val="en-US"/>
        </w:rPr>
        <w:t>;</w:t>
      </w:r>
      <w:r w:rsidR="003D2605">
        <w:rPr>
          <w:rFonts w:asciiTheme="minorHAnsi" w:hAnsiTheme="minorHAnsi" w:cs="Calibri"/>
          <w:lang w:val="en-US"/>
        </w:rPr>
        <w:fldChar w:fldCharType="begin"/>
      </w:r>
      <w:r w:rsidR="003D2605">
        <w:rPr>
          <w:rFonts w:asciiTheme="minorHAnsi" w:hAnsiTheme="minorHAnsi" w:cs="Calibri"/>
          <w:lang w:val="en-US"/>
        </w:rPr>
        <w:instrText xml:space="preserve"> NOTEREF _Ref52176997 \f \h </w:instrText>
      </w:r>
      <w:r w:rsidR="003D2605">
        <w:rPr>
          <w:rFonts w:asciiTheme="minorHAnsi" w:hAnsiTheme="minorHAnsi" w:cs="Calibri"/>
          <w:lang w:val="en-US"/>
        </w:rPr>
      </w:r>
      <w:r w:rsidR="003D2605">
        <w:rPr>
          <w:rFonts w:asciiTheme="minorHAnsi" w:hAnsiTheme="minorHAnsi" w:cs="Calibri"/>
          <w:lang w:val="en-US"/>
        </w:rPr>
        <w:fldChar w:fldCharType="separate"/>
      </w:r>
      <w:r w:rsidR="005743D8" w:rsidRPr="005743D8">
        <w:rPr>
          <w:rStyle w:val="FootnoteReference"/>
        </w:rPr>
        <w:t>19</w:t>
      </w:r>
      <w:r w:rsidR="003D2605">
        <w:rPr>
          <w:rFonts w:asciiTheme="minorHAnsi" w:hAnsiTheme="minorHAnsi" w:cs="Calibri"/>
          <w:lang w:val="en-US"/>
        </w:rPr>
        <w:fldChar w:fldCharType="end"/>
      </w:r>
      <w:r w:rsidRPr="009C0CE3">
        <w:rPr>
          <w:rFonts w:asciiTheme="minorHAnsi" w:hAnsiTheme="minorHAnsi" w:cs="Calibri"/>
          <w:lang w:val="en-US"/>
        </w:rPr>
        <w:t xml:space="preserve"> v1.1 per </w:t>
      </w:r>
      <w:r w:rsidRPr="003650A4">
        <w:rPr>
          <w:rFonts w:asciiTheme="minorHAnsi" w:hAnsiTheme="minorHAnsi" w:cs="Calibri"/>
          <w:lang w:val="en-US"/>
        </w:rPr>
        <w:t>investigator, and who had at least 6 months of follow-up from the time of first dose</w:t>
      </w:r>
      <w:r w:rsidR="00F87746" w:rsidRPr="003650A4">
        <w:rPr>
          <w:rFonts w:asciiTheme="minorHAnsi" w:hAnsiTheme="minorHAnsi" w:cs="Calibri"/>
          <w:lang w:val="en-US"/>
        </w:rPr>
        <w:t xml:space="preserve"> of</w:t>
      </w:r>
      <w:r w:rsidR="00F87746">
        <w:rPr>
          <w:rFonts w:asciiTheme="minorHAnsi" w:hAnsiTheme="minorHAnsi" w:cs="Calibri"/>
          <w:lang w:val="en-US"/>
        </w:rPr>
        <w:t xml:space="preserve"> entrectinib (</w:t>
      </w:r>
      <w:r w:rsidR="00F87746">
        <w:rPr>
          <w:rFonts w:asciiTheme="minorHAnsi" w:hAnsiTheme="minorHAnsi" w:cs="Calibri"/>
          <w:lang w:val="en-US"/>
        </w:rPr>
        <w:fldChar w:fldCharType="begin"/>
      </w:r>
      <w:r w:rsidR="00F87746">
        <w:rPr>
          <w:rFonts w:asciiTheme="minorHAnsi" w:hAnsiTheme="minorHAnsi" w:cs="Calibri"/>
          <w:lang w:val="en-US"/>
        </w:rPr>
        <w:instrText xml:space="preserve"> REF _Ref50560265 \h </w:instrText>
      </w:r>
      <w:r w:rsidR="00F87746">
        <w:rPr>
          <w:rFonts w:asciiTheme="minorHAnsi" w:hAnsiTheme="minorHAnsi" w:cs="Calibri"/>
          <w:lang w:val="en-US"/>
        </w:rPr>
      </w:r>
      <w:r w:rsidR="00F87746">
        <w:rPr>
          <w:rFonts w:asciiTheme="minorHAnsi" w:hAnsiTheme="minorHAnsi" w:cs="Calibri"/>
          <w:lang w:val="en-US"/>
        </w:rPr>
        <w:fldChar w:fldCharType="separate"/>
      </w:r>
      <w:r w:rsidR="005743D8" w:rsidRPr="00A56ACE">
        <w:t xml:space="preserve">Table </w:t>
      </w:r>
      <w:r w:rsidR="005743D8">
        <w:rPr>
          <w:noProof/>
        </w:rPr>
        <w:t>13</w:t>
      </w:r>
      <w:r w:rsidR="00F87746">
        <w:rPr>
          <w:rFonts w:asciiTheme="minorHAnsi" w:hAnsiTheme="minorHAnsi" w:cs="Calibri"/>
          <w:lang w:val="en-US"/>
        </w:rPr>
        <w:fldChar w:fldCharType="end"/>
      </w:r>
      <w:r w:rsidR="00F87746">
        <w:rPr>
          <w:rFonts w:asciiTheme="minorHAnsi" w:hAnsiTheme="minorHAnsi" w:cs="Calibri"/>
          <w:lang w:val="en-US"/>
        </w:rPr>
        <w:t xml:space="preserve">, </w:t>
      </w:r>
      <w:r w:rsidR="00F87746">
        <w:rPr>
          <w:rFonts w:asciiTheme="minorHAnsi" w:hAnsiTheme="minorHAnsi" w:cs="Calibri"/>
          <w:lang w:val="en-US"/>
        </w:rPr>
        <w:fldChar w:fldCharType="begin"/>
      </w:r>
      <w:r w:rsidR="00F87746">
        <w:rPr>
          <w:rFonts w:asciiTheme="minorHAnsi" w:hAnsiTheme="minorHAnsi" w:cs="Calibri"/>
          <w:lang w:val="en-US"/>
        </w:rPr>
        <w:instrText xml:space="preserve"> REF _Ref51156697 \h </w:instrText>
      </w:r>
      <w:r w:rsidR="00F87746">
        <w:rPr>
          <w:rFonts w:asciiTheme="minorHAnsi" w:hAnsiTheme="minorHAnsi" w:cs="Calibri"/>
          <w:lang w:val="en-US"/>
        </w:rPr>
      </w:r>
      <w:r w:rsidR="00F87746">
        <w:rPr>
          <w:rFonts w:asciiTheme="minorHAnsi" w:hAnsiTheme="minorHAnsi" w:cs="Calibri"/>
          <w:lang w:val="en-US"/>
        </w:rPr>
        <w:fldChar w:fldCharType="separate"/>
      </w:r>
      <w:r w:rsidR="005743D8" w:rsidRPr="00BD1360">
        <w:t xml:space="preserve">Table </w:t>
      </w:r>
      <w:r w:rsidR="005743D8">
        <w:rPr>
          <w:noProof/>
        </w:rPr>
        <w:t>14</w:t>
      </w:r>
      <w:r w:rsidR="00F87746">
        <w:rPr>
          <w:rFonts w:asciiTheme="minorHAnsi" w:hAnsiTheme="minorHAnsi" w:cs="Calibri"/>
          <w:lang w:val="en-US"/>
        </w:rPr>
        <w:fldChar w:fldCharType="end"/>
      </w:r>
      <w:r w:rsidR="00F87746">
        <w:rPr>
          <w:rFonts w:asciiTheme="minorHAnsi" w:hAnsiTheme="minorHAnsi" w:cs="Calibri"/>
          <w:lang w:val="en-US"/>
        </w:rPr>
        <w:t xml:space="preserve">, </w:t>
      </w:r>
      <w:r w:rsidR="00F87746">
        <w:rPr>
          <w:rFonts w:asciiTheme="minorHAnsi" w:hAnsiTheme="minorHAnsi" w:cs="Calibri"/>
          <w:lang w:val="en-US"/>
        </w:rPr>
        <w:fldChar w:fldCharType="begin"/>
      </w:r>
      <w:r w:rsidR="00F87746">
        <w:rPr>
          <w:rFonts w:asciiTheme="minorHAnsi" w:hAnsiTheme="minorHAnsi" w:cs="Calibri"/>
          <w:lang w:val="en-US"/>
        </w:rPr>
        <w:instrText xml:space="preserve"> REF _Ref50706421 \h </w:instrText>
      </w:r>
      <w:r w:rsidR="00F87746">
        <w:rPr>
          <w:rFonts w:asciiTheme="minorHAnsi" w:hAnsiTheme="minorHAnsi" w:cs="Calibri"/>
          <w:lang w:val="en-US"/>
        </w:rPr>
      </w:r>
      <w:r w:rsidR="00F87746">
        <w:rPr>
          <w:rFonts w:asciiTheme="minorHAnsi" w:hAnsiTheme="minorHAnsi" w:cs="Calibri"/>
          <w:lang w:val="en-US"/>
        </w:rPr>
        <w:fldChar w:fldCharType="separate"/>
      </w:r>
      <w:r w:rsidR="005743D8" w:rsidRPr="00BD1360">
        <w:t xml:space="preserve">Table </w:t>
      </w:r>
      <w:r w:rsidR="005743D8">
        <w:rPr>
          <w:noProof/>
        </w:rPr>
        <w:t>15</w:t>
      </w:r>
      <w:r w:rsidR="00F87746">
        <w:rPr>
          <w:rFonts w:asciiTheme="minorHAnsi" w:hAnsiTheme="minorHAnsi" w:cs="Calibri"/>
          <w:lang w:val="en-US"/>
        </w:rPr>
        <w:fldChar w:fldCharType="end"/>
      </w:r>
      <w:r w:rsidR="00F87746">
        <w:rPr>
          <w:rFonts w:asciiTheme="minorHAnsi" w:hAnsiTheme="minorHAnsi" w:cs="Calibri"/>
          <w:lang w:val="en-US"/>
        </w:rPr>
        <w:t xml:space="preserve"> and </w:t>
      </w:r>
      <w:r w:rsidR="00F87746">
        <w:rPr>
          <w:rFonts w:asciiTheme="minorHAnsi" w:hAnsiTheme="minorHAnsi" w:cs="Calibri"/>
          <w:lang w:val="en-US"/>
        </w:rPr>
        <w:fldChar w:fldCharType="begin"/>
      </w:r>
      <w:r w:rsidR="00F87746">
        <w:rPr>
          <w:rFonts w:asciiTheme="minorHAnsi" w:hAnsiTheme="minorHAnsi" w:cs="Calibri"/>
          <w:lang w:val="en-US"/>
        </w:rPr>
        <w:instrText xml:space="preserve"> REF _Ref30162161 \h </w:instrText>
      </w:r>
      <w:r w:rsidR="00F87746">
        <w:rPr>
          <w:rFonts w:asciiTheme="minorHAnsi" w:hAnsiTheme="minorHAnsi" w:cs="Calibri"/>
          <w:lang w:val="en-US"/>
        </w:rPr>
      </w:r>
      <w:r w:rsidR="00F87746">
        <w:rPr>
          <w:rFonts w:asciiTheme="minorHAnsi" w:hAnsiTheme="minorHAnsi" w:cs="Calibri"/>
          <w:lang w:val="en-US"/>
        </w:rPr>
        <w:fldChar w:fldCharType="separate"/>
      </w:r>
      <w:r w:rsidR="005743D8" w:rsidRPr="006421E2">
        <w:t xml:space="preserve">Table </w:t>
      </w:r>
      <w:r w:rsidR="005743D8">
        <w:rPr>
          <w:noProof/>
        </w:rPr>
        <w:t>17</w:t>
      </w:r>
      <w:r w:rsidR="00F87746">
        <w:rPr>
          <w:rFonts w:asciiTheme="minorHAnsi" w:hAnsiTheme="minorHAnsi" w:cs="Calibri"/>
          <w:lang w:val="en-US"/>
        </w:rPr>
        <w:fldChar w:fldCharType="end"/>
      </w:r>
      <w:r w:rsidR="00F87746">
        <w:rPr>
          <w:rFonts w:asciiTheme="minorHAnsi" w:hAnsiTheme="minorHAnsi" w:cs="Calibri"/>
          <w:lang w:val="en-US"/>
        </w:rPr>
        <w:t>)</w:t>
      </w:r>
      <w:r w:rsidR="00AE517A">
        <w:rPr>
          <w:rFonts w:asciiTheme="minorHAnsi" w:hAnsiTheme="minorHAnsi" w:cs="Calibri"/>
          <w:lang w:val="en-US"/>
        </w:rPr>
        <w:t>.</w:t>
      </w:r>
    </w:p>
    <w:p w14:paraId="3850D49E" w14:textId="16A53080" w:rsidR="0029686F" w:rsidRPr="00F2414C" w:rsidRDefault="0029686F" w:rsidP="0029686F">
      <w:pPr>
        <w:rPr>
          <w:rFonts w:asciiTheme="minorHAnsi" w:hAnsiTheme="minorHAnsi" w:cs="Calibri"/>
          <w:lang w:val="en-US"/>
        </w:rPr>
      </w:pPr>
      <w:r>
        <w:rPr>
          <w:rFonts w:asciiTheme="minorHAnsi" w:hAnsiTheme="minorHAnsi" w:cs="Calibri"/>
          <w:lang w:val="en-US"/>
        </w:rPr>
        <w:t xml:space="preserve">Patients </w:t>
      </w:r>
      <w:r w:rsidRPr="00B4582F">
        <w:rPr>
          <w:rFonts w:asciiTheme="minorHAnsi" w:hAnsiTheme="minorHAnsi" w:cs="Calibri"/>
          <w:lang w:val="en-US"/>
        </w:rPr>
        <w:t>with an additional ‘</w:t>
      </w:r>
      <w:proofErr w:type="spellStart"/>
      <w:r w:rsidRPr="00B4582F">
        <w:rPr>
          <w:rFonts w:asciiTheme="minorHAnsi" w:hAnsiTheme="minorHAnsi" w:cs="Calibri"/>
          <w:lang w:val="en-US"/>
        </w:rPr>
        <w:t>oncodriver</w:t>
      </w:r>
      <w:proofErr w:type="spellEnd"/>
      <w:r w:rsidRPr="00B4582F">
        <w:rPr>
          <w:rFonts w:asciiTheme="minorHAnsi" w:hAnsiTheme="minorHAnsi" w:cs="Calibri"/>
          <w:lang w:val="en-US"/>
        </w:rPr>
        <w:t>’ mutation</w:t>
      </w:r>
      <w:r w:rsidR="006D7EB5">
        <w:rPr>
          <w:rFonts w:asciiTheme="minorHAnsi" w:hAnsiTheme="minorHAnsi" w:cs="Calibri"/>
          <w:lang w:val="en-US"/>
        </w:rPr>
        <w:t>,</w:t>
      </w:r>
      <w:r w:rsidRPr="00B4582F">
        <w:rPr>
          <w:rFonts w:asciiTheme="minorHAnsi" w:hAnsiTheme="minorHAnsi" w:cs="Calibri"/>
          <w:lang w:val="en-US"/>
        </w:rPr>
        <w:t xml:space="preserve"> </w:t>
      </w:r>
      <w:r w:rsidR="00BD04CD">
        <w:rPr>
          <w:rFonts w:asciiTheme="minorHAnsi" w:hAnsiTheme="minorHAnsi" w:cs="Calibri"/>
          <w:lang w:val="en-US"/>
        </w:rPr>
        <w:t>for example</w:t>
      </w:r>
      <w:r w:rsidRPr="00B4582F">
        <w:rPr>
          <w:rFonts w:asciiTheme="minorHAnsi" w:hAnsiTheme="minorHAnsi" w:cs="Calibri"/>
          <w:lang w:val="en-US"/>
        </w:rPr>
        <w:t xml:space="preserve"> one likely to confer a mechanism of resistance (such as concurrent </w:t>
      </w:r>
      <w:r w:rsidRPr="000C761A">
        <w:rPr>
          <w:rFonts w:asciiTheme="minorHAnsi" w:hAnsiTheme="minorHAnsi" w:cs="Calibri"/>
          <w:i/>
          <w:lang w:val="en-US"/>
        </w:rPr>
        <w:t>EGFR</w:t>
      </w:r>
      <w:r w:rsidRPr="00B4582F">
        <w:rPr>
          <w:rFonts w:asciiTheme="minorHAnsi" w:hAnsiTheme="minorHAnsi" w:cs="Calibri"/>
          <w:lang w:val="en-US"/>
        </w:rPr>
        <w:t xml:space="preserve"> or </w:t>
      </w:r>
      <w:r w:rsidRPr="000C761A">
        <w:rPr>
          <w:rFonts w:asciiTheme="minorHAnsi" w:hAnsiTheme="minorHAnsi" w:cs="Calibri"/>
          <w:i/>
          <w:lang w:val="en-US"/>
        </w:rPr>
        <w:t>KRAS</w:t>
      </w:r>
      <w:r w:rsidRPr="00B4582F">
        <w:rPr>
          <w:rFonts w:asciiTheme="minorHAnsi" w:hAnsiTheme="minorHAnsi" w:cs="Calibri"/>
          <w:lang w:val="en-US"/>
        </w:rPr>
        <w:t xml:space="preserve"> mutation)</w:t>
      </w:r>
      <w:r w:rsidR="006D7EB5">
        <w:rPr>
          <w:rFonts w:asciiTheme="minorHAnsi" w:hAnsiTheme="minorHAnsi" w:cs="Calibri"/>
          <w:lang w:val="en-US"/>
        </w:rPr>
        <w:t>,</w:t>
      </w:r>
      <w:r w:rsidRPr="00B4582F">
        <w:rPr>
          <w:rFonts w:asciiTheme="minorHAnsi" w:hAnsiTheme="minorHAnsi" w:cs="Calibri"/>
          <w:lang w:val="en-US"/>
        </w:rPr>
        <w:t xml:space="preserve"> were not considered efficacy-evaluable</w:t>
      </w:r>
      <w:r>
        <w:rPr>
          <w:rFonts w:asciiTheme="minorHAnsi" w:hAnsiTheme="minorHAnsi" w:cs="Calibri"/>
          <w:lang w:val="en-US"/>
        </w:rPr>
        <w:t xml:space="preserve"> for the integrated analysis.</w:t>
      </w:r>
    </w:p>
    <w:p w14:paraId="0FF986F8" w14:textId="3904CFA1" w:rsidR="0029686F" w:rsidRPr="006D6A50" w:rsidRDefault="0029686F" w:rsidP="0029686F">
      <w:pPr>
        <w:rPr>
          <w:rFonts w:asciiTheme="minorHAnsi" w:hAnsiTheme="minorHAnsi" w:cs="Calibri"/>
          <w:lang w:val="en-US"/>
        </w:rPr>
      </w:pPr>
      <w:r>
        <w:rPr>
          <w:rFonts w:asciiTheme="minorHAnsi" w:hAnsiTheme="minorHAnsi" w:cs="Calibri"/>
          <w:lang w:val="en-US"/>
        </w:rPr>
        <w:t>I</w:t>
      </w:r>
      <w:r w:rsidR="00AE517A">
        <w:rPr>
          <w:rFonts w:asciiTheme="minorHAnsi" w:hAnsiTheme="minorHAnsi" w:cs="Calibri"/>
          <w:lang w:val="en-US"/>
        </w:rPr>
        <w:t xml:space="preserve">n </w:t>
      </w:r>
      <w:r w:rsidR="00B31A6D">
        <w:rPr>
          <w:rFonts w:asciiTheme="minorHAnsi" w:hAnsiTheme="minorHAnsi" w:cs="Calibri"/>
          <w:lang w:val="en-US"/>
        </w:rPr>
        <w:t xml:space="preserve">the </w:t>
      </w:r>
      <w:r w:rsidR="00AE517A">
        <w:rPr>
          <w:rFonts w:asciiTheme="minorHAnsi" w:hAnsiTheme="minorHAnsi" w:cs="Calibri"/>
          <w:lang w:val="en-US"/>
        </w:rPr>
        <w:t xml:space="preserve">STARTRK-1 and ALKA </w:t>
      </w:r>
      <w:r w:rsidR="00B3760D">
        <w:rPr>
          <w:rFonts w:asciiTheme="minorHAnsi" w:hAnsiTheme="minorHAnsi" w:cs="Calibri"/>
          <w:lang w:val="en-US"/>
        </w:rPr>
        <w:t xml:space="preserve">trials </w:t>
      </w:r>
      <w:r w:rsidR="00AE517A">
        <w:rPr>
          <w:rFonts w:asciiTheme="minorHAnsi" w:hAnsiTheme="minorHAnsi" w:cs="Calibri"/>
          <w:lang w:val="en-US"/>
        </w:rPr>
        <w:t>(</w:t>
      </w:r>
      <w:r w:rsidRPr="00F2414C">
        <w:rPr>
          <w:rFonts w:asciiTheme="minorHAnsi" w:hAnsiTheme="minorHAnsi" w:cs="Calibri"/>
          <w:lang w:val="en-US"/>
        </w:rPr>
        <w:t xml:space="preserve">which contributed </w:t>
      </w:r>
      <w:r>
        <w:rPr>
          <w:rFonts w:asciiTheme="minorHAnsi" w:hAnsiTheme="minorHAnsi" w:cs="Calibri"/>
          <w:lang w:val="en-US"/>
        </w:rPr>
        <w:t>3</w:t>
      </w:r>
      <w:r w:rsidRPr="00F2414C">
        <w:rPr>
          <w:rFonts w:asciiTheme="minorHAnsi" w:hAnsiTheme="minorHAnsi" w:cs="Calibri"/>
          <w:lang w:val="en-US"/>
        </w:rPr>
        <w:t xml:space="preserve"> patients to the </w:t>
      </w:r>
      <w:r>
        <w:rPr>
          <w:rFonts w:asciiTheme="minorHAnsi" w:hAnsiTheme="minorHAnsi" w:cs="Calibri"/>
          <w:lang w:val="en-US"/>
        </w:rPr>
        <w:t>NTRK</w:t>
      </w:r>
      <w:r w:rsidR="00AE517A">
        <w:rPr>
          <w:rFonts w:asciiTheme="minorHAnsi" w:hAnsiTheme="minorHAnsi" w:cs="Calibri"/>
          <w:lang w:val="en-US"/>
        </w:rPr>
        <w:t xml:space="preserve"> cohort)</w:t>
      </w:r>
      <w:r w:rsidRPr="00F2414C">
        <w:rPr>
          <w:rFonts w:asciiTheme="minorHAnsi" w:hAnsiTheme="minorHAnsi" w:cs="Calibri"/>
          <w:lang w:val="en-US"/>
        </w:rPr>
        <w:t>, patients could only be enrolled for whom no alternative effective standard therapy was available or for whom standard therapy was considered unsuitable or intolerable.</w:t>
      </w:r>
      <w:r>
        <w:rPr>
          <w:rFonts w:asciiTheme="minorHAnsi" w:hAnsiTheme="minorHAnsi" w:cs="Calibri"/>
          <w:lang w:val="en-US"/>
        </w:rPr>
        <w:t xml:space="preserve"> In </w:t>
      </w:r>
      <w:r w:rsidR="00B31A6D">
        <w:rPr>
          <w:rFonts w:asciiTheme="minorHAnsi" w:hAnsiTheme="minorHAnsi" w:cs="Calibri"/>
          <w:lang w:val="en-US"/>
        </w:rPr>
        <w:t xml:space="preserve">the </w:t>
      </w:r>
      <w:r>
        <w:rPr>
          <w:rFonts w:asciiTheme="minorHAnsi" w:hAnsiTheme="minorHAnsi" w:cs="Calibri"/>
          <w:lang w:val="en-US"/>
        </w:rPr>
        <w:t>STARTRK-2</w:t>
      </w:r>
      <w:r w:rsidR="0094772D">
        <w:rPr>
          <w:rFonts w:asciiTheme="minorHAnsi" w:hAnsiTheme="minorHAnsi" w:cs="Calibri"/>
          <w:lang w:val="en-US"/>
        </w:rPr>
        <w:t xml:space="preserve"> trial</w:t>
      </w:r>
      <w:r>
        <w:rPr>
          <w:rFonts w:asciiTheme="minorHAnsi" w:hAnsiTheme="minorHAnsi" w:cs="Calibri"/>
          <w:lang w:val="en-US"/>
        </w:rPr>
        <w:t xml:space="preserve">, this was not stated to be an inclusion criterion but is implicit in enrolment in a single-arm clinical trial. </w:t>
      </w:r>
      <w:r w:rsidRPr="006D6A50">
        <w:rPr>
          <w:rFonts w:asciiTheme="minorHAnsi" w:hAnsiTheme="minorHAnsi" w:cs="Calibri"/>
          <w:lang w:val="en-US"/>
        </w:rPr>
        <w:t xml:space="preserve">As part of their </w:t>
      </w:r>
      <w:r>
        <w:rPr>
          <w:rFonts w:asciiTheme="minorHAnsi" w:hAnsiTheme="minorHAnsi" w:cs="Calibri"/>
          <w:lang w:val="en-US"/>
        </w:rPr>
        <w:t>review</w:t>
      </w:r>
      <w:r w:rsidRPr="006D6A50">
        <w:rPr>
          <w:rFonts w:asciiTheme="minorHAnsi" w:hAnsiTheme="minorHAnsi" w:cs="Calibri"/>
          <w:lang w:val="en-US"/>
        </w:rPr>
        <w:t>, the FDA evaluated additional infor</w:t>
      </w:r>
      <w:r w:rsidR="00F357A6">
        <w:rPr>
          <w:rFonts w:asciiTheme="minorHAnsi" w:hAnsiTheme="minorHAnsi" w:cs="Calibri"/>
          <w:lang w:val="en-US"/>
        </w:rPr>
        <w:t>mation they requested from the s</w:t>
      </w:r>
      <w:r w:rsidRPr="006D6A50">
        <w:rPr>
          <w:rFonts w:asciiTheme="minorHAnsi" w:hAnsiTheme="minorHAnsi" w:cs="Calibri"/>
          <w:lang w:val="en-US"/>
        </w:rPr>
        <w:t>ponsor</w:t>
      </w:r>
      <w:r>
        <w:rPr>
          <w:rFonts w:asciiTheme="minorHAnsi" w:hAnsiTheme="minorHAnsi" w:cs="Calibri"/>
          <w:lang w:val="en-US"/>
        </w:rPr>
        <w:t xml:space="preserve"> to confirm patients were all ‘last-line’</w:t>
      </w:r>
      <w:r w:rsidRPr="006D6A50">
        <w:t>:</w:t>
      </w:r>
      <w:r w:rsidR="00F87746">
        <w:fldChar w:fldCharType="begin"/>
      </w:r>
      <w:r w:rsidR="00F87746">
        <w:instrText xml:space="preserve"> NOTEREF _Ref50554541 \f \h </w:instrText>
      </w:r>
      <w:r w:rsidR="00F87746">
        <w:fldChar w:fldCharType="separate"/>
      </w:r>
      <w:r w:rsidR="005743D8" w:rsidRPr="005743D8">
        <w:rPr>
          <w:rStyle w:val="FootnoteReference"/>
        </w:rPr>
        <w:t>12</w:t>
      </w:r>
      <w:r w:rsidR="00F87746">
        <w:fldChar w:fldCharType="end"/>
      </w:r>
    </w:p>
    <w:p w14:paraId="72BB9C33" w14:textId="3182DB34" w:rsidR="0029686F" w:rsidRPr="000B287C" w:rsidRDefault="00351F3A" w:rsidP="00351F3A">
      <w:pPr>
        <w:ind w:left="720"/>
        <w:rPr>
          <w:lang w:val="en-US"/>
        </w:rPr>
      </w:pPr>
      <w:r>
        <w:t>‘</w:t>
      </w:r>
      <w:r w:rsidR="0029686F" w:rsidRPr="006D6A50">
        <w:t xml:space="preserve">… additional justification to show that patients who enrolled in the entrectinib trials prior to receipt of systemic chemotherapy for metastatic or </w:t>
      </w:r>
      <w:proofErr w:type="spellStart"/>
      <w:r w:rsidR="0029686F" w:rsidRPr="006D6A50">
        <w:t>unresectable</w:t>
      </w:r>
      <w:proofErr w:type="spellEnd"/>
      <w:r w:rsidR="0029686F" w:rsidRPr="006D6A50">
        <w:t xml:space="preserve"> disease had no standard available therapy or satisfactory treatment options.</w:t>
      </w:r>
      <w:r>
        <w:t>’</w:t>
      </w:r>
    </w:p>
    <w:p w14:paraId="22645501" w14:textId="77777777" w:rsidR="0029686F" w:rsidRPr="009C0CE3" w:rsidRDefault="0029686F" w:rsidP="0029686F">
      <w:pPr>
        <w:rPr>
          <w:rFonts w:asciiTheme="minorHAnsi" w:hAnsiTheme="minorHAnsi" w:cs="Calibri"/>
        </w:rPr>
      </w:pPr>
      <w:r w:rsidRPr="009C0CE3">
        <w:rPr>
          <w:rFonts w:asciiTheme="minorHAnsi" w:hAnsiTheme="minorHAnsi" w:cs="Calibri"/>
        </w:rPr>
        <w:t xml:space="preserve">There were 68 patients with </w:t>
      </w:r>
      <w:r w:rsidRPr="000C761A">
        <w:rPr>
          <w:rFonts w:asciiTheme="minorHAnsi" w:hAnsiTheme="minorHAnsi" w:cs="Calibri"/>
          <w:i/>
        </w:rPr>
        <w:t>NTRK</w:t>
      </w:r>
      <w:r w:rsidRPr="009C0CE3">
        <w:rPr>
          <w:rFonts w:asciiTheme="minorHAnsi" w:hAnsiTheme="minorHAnsi" w:cs="Calibri"/>
        </w:rPr>
        <w:t xml:space="preserve"> fusion-positive cancers enrolled across the studies, and they all had at least 6 months follow-up available. However, seven were excluded from the NTRK Efficacy Population due to not meeting eligibility criteria (‘non-evaluable cohort’) for the following reasons:</w:t>
      </w:r>
    </w:p>
    <w:p w14:paraId="7E1DC03B" w14:textId="55C17A77" w:rsidR="0029686F" w:rsidRPr="00A56ACE" w:rsidRDefault="0029686F" w:rsidP="00A56ACE">
      <w:pPr>
        <w:pStyle w:val="ListBullet"/>
      </w:pPr>
      <w:r w:rsidRPr="00A56ACE">
        <w:t>Received prior TRK inhibitor (n</w:t>
      </w:r>
      <w:r w:rsidR="00BF7C39">
        <w:t xml:space="preserve"> </w:t>
      </w:r>
      <w:r w:rsidRPr="00A56ACE">
        <w:t>=</w:t>
      </w:r>
      <w:r w:rsidR="00BF7C39">
        <w:t xml:space="preserve"> </w:t>
      </w:r>
      <w:r w:rsidRPr="00A56ACE">
        <w:t>1)</w:t>
      </w:r>
    </w:p>
    <w:p w14:paraId="56649277" w14:textId="0FD838B7" w:rsidR="0029686F" w:rsidRPr="00A56ACE" w:rsidRDefault="0029686F" w:rsidP="00A56ACE">
      <w:pPr>
        <w:pStyle w:val="ListBullet"/>
      </w:pPr>
      <w:r w:rsidRPr="00A56ACE">
        <w:t>ECOG PS</w:t>
      </w:r>
      <w:r w:rsidR="00BF7C39">
        <w:t xml:space="preserve"> </w:t>
      </w:r>
      <w:r w:rsidRPr="00A56ACE">
        <w:t>&gt;</w:t>
      </w:r>
      <w:r w:rsidR="00BF7C39">
        <w:t xml:space="preserve"> </w:t>
      </w:r>
      <w:r w:rsidRPr="00A56ACE">
        <w:t>2 (n</w:t>
      </w:r>
      <w:r w:rsidR="00BF7C39">
        <w:t xml:space="preserve"> </w:t>
      </w:r>
      <w:r w:rsidRPr="00A56ACE">
        <w:t>=</w:t>
      </w:r>
      <w:r w:rsidR="00BF7C39">
        <w:t xml:space="preserve"> </w:t>
      </w:r>
      <w:r w:rsidRPr="00A56ACE">
        <w:t>1)</w:t>
      </w:r>
    </w:p>
    <w:p w14:paraId="6B53C2F5" w14:textId="11F7F3B1" w:rsidR="0029686F" w:rsidRPr="00A56ACE" w:rsidRDefault="0029686F" w:rsidP="0000028F">
      <w:pPr>
        <w:pStyle w:val="ListBullet"/>
      </w:pPr>
      <w:bookmarkStart w:id="55" w:name="ineligiblediagnosticresult"/>
      <w:bookmarkEnd w:id="55"/>
      <w:r w:rsidRPr="00A56ACE">
        <w:t>NTRK biomarker ineligibility (n</w:t>
      </w:r>
      <w:r w:rsidR="00BF7C39">
        <w:t xml:space="preserve"> </w:t>
      </w:r>
      <w:r w:rsidRPr="00A56ACE">
        <w:t>=</w:t>
      </w:r>
      <w:r w:rsidR="00BF7C39">
        <w:t xml:space="preserve"> </w:t>
      </w:r>
      <w:r w:rsidR="00431C48">
        <w:t>3) (</w:t>
      </w:r>
      <w:r w:rsidRPr="00A56ACE">
        <w:t>see</w:t>
      </w:r>
      <w:r w:rsidR="0000028F">
        <w:t xml:space="preserve"> section below, d</w:t>
      </w:r>
      <w:r w:rsidR="0000028F" w:rsidRPr="0000028F">
        <w:t>iagnostic testing in the NTRK efficacy set</w:t>
      </w:r>
      <w:r w:rsidR="00431C48">
        <w:t>)</w:t>
      </w:r>
    </w:p>
    <w:p w14:paraId="076B2825" w14:textId="03F686F7" w:rsidR="0029686F" w:rsidRPr="00A56ACE" w:rsidRDefault="0029686F" w:rsidP="00A56ACE">
      <w:pPr>
        <w:pStyle w:val="ListBullet"/>
      </w:pPr>
      <w:r w:rsidRPr="00A56ACE">
        <w:t>Co-morbid conditions (n</w:t>
      </w:r>
      <w:r w:rsidR="00BF7C39">
        <w:t xml:space="preserve"> </w:t>
      </w:r>
      <w:r w:rsidRPr="00A56ACE">
        <w:t>=</w:t>
      </w:r>
      <w:r w:rsidR="00BF7C39">
        <w:t xml:space="preserve"> </w:t>
      </w:r>
      <w:r w:rsidRPr="00A56ACE">
        <w:t>2):</w:t>
      </w:r>
    </w:p>
    <w:p w14:paraId="34EFBFBA" w14:textId="77777777" w:rsidR="0029686F" w:rsidRPr="00A56ACE" w:rsidRDefault="0029686F" w:rsidP="00A56ACE">
      <w:pPr>
        <w:pStyle w:val="ListBullet2"/>
      </w:pPr>
      <w:r w:rsidRPr="00A56ACE">
        <w:t>Pericardial effusion</w:t>
      </w:r>
    </w:p>
    <w:p w14:paraId="6C9B0375" w14:textId="601A363A" w:rsidR="0029686F" w:rsidRPr="00A56ACE" w:rsidRDefault="0029686F" w:rsidP="00A56ACE">
      <w:pPr>
        <w:pStyle w:val="ListBullet2"/>
      </w:pPr>
      <w:r w:rsidRPr="00A56ACE">
        <w:t xml:space="preserve">Peripheral neuropathy </w:t>
      </w:r>
      <w:r w:rsidR="00F40A0C">
        <w:t>G</w:t>
      </w:r>
      <w:r w:rsidRPr="00A56ACE">
        <w:t>rade &gt;</w:t>
      </w:r>
      <w:r w:rsidR="00BF7C39">
        <w:t xml:space="preserve"> </w:t>
      </w:r>
      <w:r w:rsidRPr="00A56ACE">
        <w:t>2</w:t>
      </w:r>
    </w:p>
    <w:p w14:paraId="11E084E3" w14:textId="77777777" w:rsidR="0029686F" w:rsidRPr="009C0CE3" w:rsidRDefault="0029686F" w:rsidP="0029686F">
      <w:pPr>
        <w:rPr>
          <w:rFonts w:asciiTheme="minorHAnsi" w:hAnsiTheme="minorHAnsi" w:cs="Calibri"/>
        </w:rPr>
      </w:pPr>
      <w:r w:rsidRPr="009C0CE3">
        <w:rPr>
          <w:rFonts w:asciiTheme="minorHAnsi" w:hAnsiTheme="minorHAnsi" w:cs="Calibri"/>
        </w:rPr>
        <w:t xml:space="preserve">A further 7 patients who were included in the NTRK Efficacy Population were not included in the NTRK Efficacy </w:t>
      </w:r>
      <w:r w:rsidRPr="009C0CE3">
        <w:rPr>
          <w:rFonts w:asciiTheme="minorHAnsi" w:hAnsiTheme="minorHAnsi" w:cs="Calibri"/>
          <w:i/>
        </w:rPr>
        <w:t>Evaluable</w:t>
      </w:r>
      <w:r w:rsidRPr="009C0CE3">
        <w:rPr>
          <w:rFonts w:asciiTheme="minorHAnsi" w:hAnsiTheme="minorHAnsi" w:cs="Calibri"/>
        </w:rPr>
        <w:t xml:space="preserve"> Population for the following reasons:</w:t>
      </w:r>
    </w:p>
    <w:p w14:paraId="6D56A2CC" w14:textId="68C7F996" w:rsidR="0029686F" w:rsidRPr="00A56ACE" w:rsidRDefault="0029686F" w:rsidP="00A56ACE">
      <w:pPr>
        <w:pStyle w:val="ListBullet"/>
      </w:pPr>
      <w:r w:rsidRPr="00A56ACE">
        <w:t>Non-measurable disease (n</w:t>
      </w:r>
      <w:r w:rsidR="00BF7C39">
        <w:t xml:space="preserve"> </w:t>
      </w:r>
      <w:r w:rsidRPr="00A56ACE">
        <w:t>=</w:t>
      </w:r>
      <w:r w:rsidR="00BF7C39">
        <w:t xml:space="preserve"> </w:t>
      </w:r>
      <w:r w:rsidRPr="00A56ACE">
        <w:t>1)</w:t>
      </w:r>
    </w:p>
    <w:p w14:paraId="2FB05E00" w14:textId="634B09A7" w:rsidR="0029686F" w:rsidRPr="00A56ACE" w:rsidRDefault="0029686F" w:rsidP="00A56ACE">
      <w:pPr>
        <w:pStyle w:val="ListBullet"/>
      </w:pPr>
      <w:r w:rsidRPr="00A56ACE">
        <w:t>CNS primary tumours (n</w:t>
      </w:r>
      <w:r w:rsidR="00BF7C39">
        <w:t xml:space="preserve"> </w:t>
      </w:r>
      <w:r w:rsidRPr="00A56ACE">
        <w:t>=</w:t>
      </w:r>
      <w:r w:rsidR="00BF7C39">
        <w:t xml:space="preserve"> </w:t>
      </w:r>
      <w:r w:rsidRPr="00A56ACE">
        <w:t>6), which were assessed for response using RANO criteria, and efficacy was therefore described separately</w:t>
      </w:r>
    </w:p>
    <w:p w14:paraId="1C130370" w14:textId="3F040917" w:rsidR="0029686F" w:rsidRPr="009C0CE3" w:rsidRDefault="0029686F" w:rsidP="0029686F">
      <w:pPr>
        <w:rPr>
          <w:rFonts w:asciiTheme="minorHAnsi" w:hAnsiTheme="minorHAnsi" w:cs="Calibri"/>
        </w:rPr>
      </w:pPr>
      <w:r w:rsidRPr="009C0CE3">
        <w:rPr>
          <w:rFonts w:asciiTheme="minorHAnsi" w:hAnsiTheme="minorHAnsi" w:cs="Calibri"/>
        </w:rPr>
        <w:t xml:space="preserve">The pivotal data supporting the use of entrectinib in paediatric patients with </w:t>
      </w:r>
      <w:r w:rsidRPr="000C761A">
        <w:rPr>
          <w:rFonts w:asciiTheme="minorHAnsi" w:hAnsiTheme="minorHAnsi" w:cs="Calibri"/>
          <w:i/>
        </w:rPr>
        <w:t>NTRK</w:t>
      </w:r>
      <w:r w:rsidRPr="009C0CE3">
        <w:rPr>
          <w:rFonts w:asciiTheme="minorHAnsi" w:hAnsiTheme="minorHAnsi" w:cs="Calibri"/>
        </w:rPr>
        <w:t xml:space="preserve"> fusion</w:t>
      </w:r>
      <w:r w:rsidR="00B31A6D">
        <w:rPr>
          <w:rFonts w:asciiTheme="minorHAnsi" w:hAnsiTheme="minorHAnsi" w:cs="Calibri"/>
        </w:rPr>
        <w:t> </w:t>
      </w:r>
      <w:r w:rsidRPr="009C0CE3">
        <w:rPr>
          <w:rFonts w:asciiTheme="minorHAnsi" w:hAnsiTheme="minorHAnsi" w:cs="Calibri"/>
        </w:rPr>
        <w:t>positive tumours is the same as for the adult indication. Supporting, descriptive data is available from the paediatric study, STA</w:t>
      </w:r>
      <w:r w:rsidR="00BF7C39">
        <w:rPr>
          <w:rFonts w:asciiTheme="minorHAnsi" w:hAnsiTheme="minorHAnsi" w:cs="Calibri"/>
        </w:rPr>
        <w:t>RTRK-NG</w:t>
      </w:r>
      <w:r w:rsidR="00746CED">
        <w:rPr>
          <w:rFonts w:asciiTheme="minorHAnsi" w:hAnsiTheme="minorHAnsi" w:cs="Calibri"/>
        </w:rPr>
        <w:t xml:space="preserve"> trial</w:t>
      </w:r>
      <w:r w:rsidR="00BF7C39">
        <w:rPr>
          <w:rFonts w:asciiTheme="minorHAnsi" w:hAnsiTheme="minorHAnsi" w:cs="Calibri"/>
        </w:rPr>
        <w:t>.</w:t>
      </w:r>
    </w:p>
    <w:p w14:paraId="2077A692" w14:textId="13633C19" w:rsidR="0029686F" w:rsidRPr="000C761A" w:rsidRDefault="0029686F" w:rsidP="006D7EB5">
      <w:r w:rsidRPr="000C761A">
        <w:lastRenderedPageBreak/>
        <w:t xml:space="preserve">In addition to the main efficacy analysis in the NTRK Efficacy Evaluable Population, efficacy was assessed in the subsets of that population who had CNS metastases at </w:t>
      </w:r>
      <w:r w:rsidR="00E01317" w:rsidRPr="000C761A">
        <w:t>Baseline</w:t>
      </w:r>
      <w:r w:rsidRPr="000C761A">
        <w:t xml:space="preserve"> per investigator (the CNS Metastases Analysis Set, n</w:t>
      </w:r>
      <w:r w:rsidR="00BF7C39" w:rsidRPr="000C761A">
        <w:t xml:space="preserve"> </w:t>
      </w:r>
      <w:r w:rsidRPr="000C761A">
        <w:t>=</w:t>
      </w:r>
      <w:r w:rsidR="00BF7C39" w:rsidRPr="000C761A">
        <w:t xml:space="preserve"> </w:t>
      </w:r>
      <w:r w:rsidRPr="000C761A">
        <w:t>12), and those who did not (the No CNS Metastases Analysis Set, n</w:t>
      </w:r>
      <w:r w:rsidR="00BF7C39" w:rsidRPr="000C761A">
        <w:t xml:space="preserve"> </w:t>
      </w:r>
      <w:r w:rsidRPr="000C761A">
        <w:t>=</w:t>
      </w:r>
      <w:r w:rsidR="00BF7C39" w:rsidRPr="000C761A">
        <w:t xml:space="preserve"> </w:t>
      </w:r>
      <w:r w:rsidR="00AE517A" w:rsidRPr="000C761A">
        <w:t>42).</w:t>
      </w:r>
    </w:p>
    <w:p w14:paraId="293E0270" w14:textId="77777777" w:rsidR="0029686F" w:rsidRPr="00D64E26" w:rsidRDefault="0029686F" w:rsidP="000C761A">
      <w:pPr>
        <w:pStyle w:val="Heading6"/>
      </w:pPr>
      <w:r w:rsidRPr="00D64E26">
        <w:t>Efficacy measures</w:t>
      </w:r>
    </w:p>
    <w:p w14:paraId="4AF03C88" w14:textId="6900648B" w:rsidR="0029686F" w:rsidRPr="009C0CE3" w:rsidRDefault="0029686F" w:rsidP="0029686F">
      <w:pPr>
        <w:rPr>
          <w:rFonts w:asciiTheme="minorHAnsi" w:hAnsiTheme="minorHAnsi" w:cs="Calibri"/>
          <w:lang w:val="en-US"/>
        </w:rPr>
      </w:pPr>
      <w:r w:rsidRPr="009C0CE3">
        <w:rPr>
          <w:rFonts w:asciiTheme="minorHAnsi" w:hAnsiTheme="minorHAnsi" w:cs="Calibri"/>
          <w:lang w:val="en-US"/>
        </w:rPr>
        <w:t>The main efficacy measures t</w:t>
      </w:r>
      <w:r w:rsidR="002E2BCA">
        <w:rPr>
          <w:rFonts w:asciiTheme="minorHAnsi" w:hAnsiTheme="minorHAnsi" w:cs="Calibri"/>
          <w:lang w:val="en-US"/>
        </w:rPr>
        <w:t>hat contributed to the TGA risk-</w:t>
      </w:r>
      <w:r w:rsidRPr="009C0CE3">
        <w:rPr>
          <w:rFonts w:asciiTheme="minorHAnsi" w:hAnsiTheme="minorHAnsi" w:cs="Calibri"/>
          <w:lang w:val="en-US"/>
        </w:rPr>
        <w:t>benefit analysis were the same for the NTRK indication as they were for the ROS1 indication:</w:t>
      </w:r>
    </w:p>
    <w:p w14:paraId="7D4F0FEF" w14:textId="2044BECC" w:rsidR="0029686F" w:rsidRPr="00A56ACE" w:rsidRDefault="00B31A6D" w:rsidP="00A56ACE">
      <w:pPr>
        <w:pStyle w:val="ListBullet"/>
        <w:rPr>
          <w:lang w:val="en-US"/>
        </w:rPr>
      </w:pPr>
      <w:r>
        <w:rPr>
          <w:lang w:val="en-US"/>
        </w:rPr>
        <w:t>ORR</w:t>
      </w:r>
    </w:p>
    <w:p w14:paraId="5D233E8E" w14:textId="08B01032" w:rsidR="0029686F" w:rsidRPr="00A56ACE" w:rsidRDefault="0029686F" w:rsidP="00A56ACE">
      <w:pPr>
        <w:pStyle w:val="ListBullet2"/>
        <w:rPr>
          <w:lang w:val="en-US"/>
        </w:rPr>
      </w:pPr>
      <w:r w:rsidRPr="00A56ACE">
        <w:rPr>
          <w:lang w:val="en-US"/>
        </w:rPr>
        <w:t>The proportion of patients with confirmed complete response (CR) or partial response</w:t>
      </w:r>
      <w:r w:rsidR="00AE517A">
        <w:rPr>
          <w:lang w:val="en-US"/>
        </w:rPr>
        <w:t xml:space="preserve"> </w:t>
      </w:r>
      <w:r w:rsidR="00816802">
        <w:rPr>
          <w:lang w:val="en-US"/>
        </w:rPr>
        <w:t>(PR</w:t>
      </w:r>
      <w:r w:rsidRPr="00A56ACE">
        <w:rPr>
          <w:lang w:val="en-US"/>
        </w:rPr>
        <w:t>) by RECIST</w:t>
      </w:r>
      <w:r w:rsidR="00431C48">
        <w:rPr>
          <w:lang w:val="en-US"/>
        </w:rPr>
        <w:t>;</w:t>
      </w:r>
      <w:r w:rsidR="00431C48">
        <w:rPr>
          <w:lang w:val="en-US"/>
        </w:rPr>
        <w:fldChar w:fldCharType="begin"/>
      </w:r>
      <w:r w:rsidR="00431C48">
        <w:rPr>
          <w:lang w:val="en-US"/>
        </w:rPr>
        <w:instrText xml:space="preserve"> NOTEREF _Ref52176997 \f \h </w:instrText>
      </w:r>
      <w:r w:rsidR="00431C48">
        <w:rPr>
          <w:lang w:val="en-US"/>
        </w:rPr>
      </w:r>
      <w:r w:rsidR="00431C48">
        <w:rPr>
          <w:lang w:val="en-US"/>
        </w:rPr>
        <w:fldChar w:fldCharType="separate"/>
      </w:r>
      <w:r w:rsidR="005743D8" w:rsidRPr="005743D8">
        <w:rPr>
          <w:rStyle w:val="FootnoteReference"/>
        </w:rPr>
        <w:t>19</w:t>
      </w:r>
      <w:r w:rsidR="00431C48">
        <w:rPr>
          <w:lang w:val="en-US"/>
        </w:rPr>
        <w:fldChar w:fldCharType="end"/>
      </w:r>
      <w:r w:rsidRPr="00A56ACE">
        <w:rPr>
          <w:lang w:val="en-US"/>
        </w:rPr>
        <w:t xml:space="preserve"> v1.</w:t>
      </w:r>
      <w:r w:rsidR="00C96DCF">
        <w:rPr>
          <w:lang w:val="en-US"/>
        </w:rPr>
        <w:t>1</w:t>
      </w:r>
    </w:p>
    <w:p w14:paraId="2C23BBCF" w14:textId="77777777" w:rsidR="0029686F" w:rsidRPr="00A56ACE" w:rsidRDefault="0029686F" w:rsidP="00A56ACE">
      <w:pPr>
        <w:pStyle w:val="ListBullet2"/>
        <w:rPr>
          <w:lang w:val="en-US"/>
        </w:rPr>
      </w:pPr>
      <w:r w:rsidRPr="00A56ACE">
        <w:rPr>
          <w:lang w:val="en-US"/>
        </w:rPr>
        <w:t>Non-responders included:</w:t>
      </w:r>
    </w:p>
    <w:p w14:paraId="71E8AF17" w14:textId="77777777" w:rsidR="0029686F" w:rsidRPr="00A56ACE" w:rsidRDefault="0029686F" w:rsidP="00A56ACE">
      <w:pPr>
        <w:pStyle w:val="ListBullet3"/>
        <w:rPr>
          <w:lang w:val="en-US"/>
        </w:rPr>
      </w:pPr>
      <w:r w:rsidRPr="00A56ACE">
        <w:rPr>
          <w:lang w:val="en-US"/>
        </w:rPr>
        <w:t>Response not confirmed</w:t>
      </w:r>
    </w:p>
    <w:p w14:paraId="0691FCB8" w14:textId="28967C7C" w:rsidR="0029686F" w:rsidRPr="00A56ACE" w:rsidRDefault="002E2BCA" w:rsidP="00A56ACE">
      <w:pPr>
        <w:pStyle w:val="ListBullet3"/>
        <w:rPr>
          <w:lang w:val="en-US"/>
        </w:rPr>
      </w:pPr>
      <w:r>
        <w:rPr>
          <w:lang w:val="en-US"/>
        </w:rPr>
        <w:t xml:space="preserve">Missing baseline or post </w:t>
      </w:r>
      <w:r w:rsidR="00E01317">
        <w:rPr>
          <w:lang w:val="en-US"/>
        </w:rPr>
        <w:t>B</w:t>
      </w:r>
      <w:r w:rsidR="0029686F" w:rsidRPr="00A56ACE">
        <w:rPr>
          <w:lang w:val="en-US"/>
        </w:rPr>
        <w:t>aseli</w:t>
      </w:r>
      <w:r w:rsidR="00AE517A">
        <w:rPr>
          <w:lang w:val="en-US"/>
        </w:rPr>
        <w:t xml:space="preserve">ne </w:t>
      </w:r>
      <w:proofErr w:type="spellStart"/>
      <w:r w:rsidR="00AE517A">
        <w:rPr>
          <w:lang w:val="en-US"/>
        </w:rPr>
        <w:t>tumour</w:t>
      </w:r>
      <w:proofErr w:type="spellEnd"/>
      <w:r w:rsidR="00AE517A">
        <w:rPr>
          <w:lang w:val="en-US"/>
        </w:rPr>
        <w:t xml:space="preserve"> assessment</w:t>
      </w:r>
    </w:p>
    <w:p w14:paraId="2998DFF5" w14:textId="54BA9B3B" w:rsidR="0029686F" w:rsidRPr="00A56ACE" w:rsidRDefault="0029686F" w:rsidP="00A56ACE">
      <w:pPr>
        <w:pStyle w:val="ListBullet3"/>
        <w:rPr>
          <w:lang w:val="en-US"/>
        </w:rPr>
      </w:pPr>
      <w:r w:rsidRPr="00A56ACE">
        <w:rPr>
          <w:lang w:val="en-US"/>
        </w:rPr>
        <w:t>Discontinu</w:t>
      </w:r>
      <w:r w:rsidR="002E2BCA">
        <w:rPr>
          <w:lang w:val="en-US"/>
        </w:rPr>
        <w:t xml:space="preserve">ed for any reason prior to post </w:t>
      </w:r>
      <w:r w:rsidR="00E01317">
        <w:rPr>
          <w:lang w:val="en-US"/>
        </w:rPr>
        <w:t>Baseline</w:t>
      </w:r>
      <w:r w:rsidRPr="00A56ACE">
        <w:rPr>
          <w:lang w:val="en-US"/>
        </w:rPr>
        <w:t xml:space="preserve"> response evaluation</w:t>
      </w:r>
    </w:p>
    <w:p w14:paraId="68D48DEC" w14:textId="769C675B" w:rsidR="0029686F" w:rsidRPr="00A56ACE" w:rsidRDefault="00B15B4D" w:rsidP="00A56ACE">
      <w:pPr>
        <w:pStyle w:val="ListBullet"/>
        <w:rPr>
          <w:lang w:val="en-US"/>
        </w:rPr>
      </w:pPr>
      <w:r>
        <w:rPr>
          <w:lang w:val="en-US"/>
        </w:rPr>
        <w:t>Duration of Response (</w:t>
      </w:r>
      <w:r w:rsidR="0029686F" w:rsidRPr="00A56ACE">
        <w:rPr>
          <w:lang w:val="en-US"/>
        </w:rPr>
        <w:t>in months) in responders</w:t>
      </w:r>
    </w:p>
    <w:p w14:paraId="3D55815C" w14:textId="77777777" w:rsidR="0029686F" w:rsidRPr="00A56ACE" w:rsidRDefault="0029686F" w:rsidP="00A56ACE">
      <w:pPr>
        <w:pStyle w:val="ListBullet2"/>
        <w:rPr>
          <w:lang w:val="en-US"/>
        </w:rPr>
      </w:pPr>
      <w:r w:rsidRPr="00A56ACE">
        <w:rPr>
          <w:lang w:val="en-US"/>
        </w:rPr>
        <w:t>Date of first objective response to first documentation of radiographic disease progression or death due to any cause, whichever was earlier.</w:t>
      </w:r>
    </w:p>
    <w:p w14:paraId="14506C1C" w14:textId="042BFE28" w:rsidR="0029686F" w:rsidRPr="00A56ACE" w:rsidRDefault="0029686F" w:rsidP="00A56ACE">
      <w:pPr>
        <w:pStyle w:val="ListBullet2"/>
        <w:rPr>
          <w:lang w:val="en-US"/>
        </w:rPr>
      </w:pPr>
      <w:r w:rsidRPr="00A56ACE">
        <w:rPr>
          <w:lang w:val="en-US"/>
        </w:rPr>
        <w:t xml:space="preserve">If no death or progression: censored at last </w:t>
      </w:r>
      <w:proofErr w:type="spellStart"/>
      <w:r w:rsidRPr="00A56ACE">
        <w:rPr>
          <w:lang w:val="en-US"/>
        </w:rPr>
        <w:t>tumo</w:t>
      </w:r>
      <w:r w:rsidR="002E2BCA">
        <w:rPr>
          <w:lang w:val="en-US"/>
        </w:rPr>
        <w:t>ur</w:t>
      </w:r>
      <w:proofErr w:type="spellEnd"/>
      <w:r w:rsidR="002E2BCA">
        <w:rPr>
          <w:lang w:val="en-US"/>
        </w:rPr>
        <w:t xml:space="preserve"> assessment date prior to cut-</w:t>
      </w:r>
      <w:r w:rsidRPr="00A56ACE">
        <w:rPr>
          <w:lang w:val="en-US"/>
        </w:rPr>
        <w:t xml:space="preserve">off </w:t>
      </w:r>
    </w:p>
    <w:p w14:paraId="6C501ECC" w14:textId="77777777" w:rsidR="0029686F" w:rsidRPr="00A56ACE" w:rsidRDefault="0029686F" w:rsidP="00A56ACE">
      <w:pPr>
        <w:pStyle w:val="ListBullet"/>
        <w:rPr>
          <w:lang w:val="en-US"/>
        </w:rPr>
      </w:pPr>
      <w:r w:rsidRPr="00A56ACE">
        <w:rPr>
          <w:lang w:val="en-US"/>
        </w:rPr>
        <w:t>Intracranial ORR (IC-ORR)</w:t>
      </w:r>
    </w:p>
    <w:p w14:paraId="58BA73E4" w14:textId="181C7F89" w:rsidR="0029686F" w:rsidRPr="00A56ACE" w:rsidRDefault="0029686F" w:rsidP="00A56ACE">
      <w:pPr>
        <w:pStyle w:val="ListBullet2"/>
        <w:rPr>
          <w:lang w:val="en-US"/>
        </w:rPr>
      </w:pPr>
      <w:r w:rsidRPr="00A56ACE">
        <w:rPr>
          <w:lang w:val="en-US"/>
        </w:rPr>
        <w:t xml:space="preserve">Confirmed ORR in patients with CNS metastases at </w:t>
      </w:r>
      <w:r w:rsidR="00E01317">
        <w:rPr>
          <w:lang w:val="en-US"/>
        </w:rPr>
        <w:t>Baseline</w:t>
      </w:r>
    </w:p>
    <w:p w14:paraId="03FCCE5E" w14:textId="77777777" w:rsidR="0029686F" w:rsidRPr="00A56ACE" w:rsidRDefault="0029686F" w:rsidP="00A56ACE">
      <w:pPr>
        <w:pStyle w:val="ListBullet2"/>
        <w:rPr>
          <w:lang w:val="en-US"/>
        </w:rPr>
      </w:pPr>
      <w:r w:rsidRPr="00A56ACE">
        <w:rPr>
          <w:lang w:val="en-US"/>
        </w:rPr>
        <w:t>Reported for measurable and non-measurable disease</w:t>
      </w:r>
    </w:p>
    <w:p w14:paraId="1485AC24" w14:textId="77777777" w:rsidR="0029686F" w:rsidRPr="00A56ACE" w:rsidRDefault="0029686F" w:rsidP="00A56ACE">
      <w:pPr>
        <w:pStyle w:val="ListBullet"/>
        <w:rPr>
          <w:lang w:val="en-US"/>
        </w:rPr>
      </w:pPr>
      <w:r w:rsidRPr="00A56ACE">
        <w:rPr>
          <w:lang w:val="en-US"/>
        </w:rPr>
        <w:t>Intracranial DOR (IC-DOR, months) in intracranial responders</w:t>
      </w:r>
    </w:p>
    <w:p w14:paraId="67299933" w14:textId="7A67B600" w:rsidR="0029686F" w:rsidRPr="00A56ACE" w:rsidRDefault="0029686F" w:rsidP="00A56ACE">
      <w:pPr>
        <w:pStyle w:val="ListBullet2"/>
        <w:rPr>
          <w:lang w:val="en-US"/>
        </w:rPr>
      </w:pPr>
      <w:r w:rsidRPr="00A56ACE">
        <w:rPr>
          <w:lang w:val="en-US"/>
        </w:rPr>
        <w:t>Date of first intracranial response to first documentation of radiographic CNS disease progression or date of death due to any cause, whichever was earlier</w:t>
      </w:r>
      <w:r w:rsidR="00816802">
        <w:rPr>
          <w:lang w:val="en-US"/>
        </w:rPr>
        <w:t>.</w:t>
      </w:r>
    </w:p>
    <w:p w14:paraId="41E7153D" w14:textId="0F753DA1" w:rsidR="0029686F" w:rsidRPr="00A56ACE" w:rsidRDefault="0029686F" w:rsidP="00A56ACE">
      <w:pPr>
        <w:pStyle w:val="ListBullet2"/>
        <w:rPr>
          <w:lang w:val="en-US"/>
        </w:rPr>
      </w:pPr>
      <w:r w:rsidRPr="00A56ACE">
        <w:rPr>
          <w:lang w:val="en-US"/>
        </w:rPr>
        <w:t xml:space="preserve">If no death within 30 days of last dose, and no CNS disease progression censored at the last </w:t>
      </w:r>
      <w:proofErr w:type="spellStart"/>
      <w:r w:rsidRPr="00A56ACE">
        <w:rPr>
          <w:lang w:val="en-US"/>
        </w:rPr>
        <w:t>tumour</w:t>
      </w:r>
      <w:proofErr w:type="spellEnd"/>
      <w:r w:rsidRPr="00A56ACE">
        <w:rPr>
          <w:lang w:val="en-US"/>
        </w:rPr>
        <w:t xml:space="preserve"> assessment date prior to any date of subsequent anticancer therapy, including surgery or radiotherapy to the brain</w:t>
      </w:r>
      <w:r w:rsidR="00363D48">
        <w:t>.</w:t>
      </w:r>
    </w:p>
    <w:p w14:paraId="5926AB96" w14:textId="77777777" w:rsidR="0029686F" w:rsidRPr="009C0CE3" w:rsidRDefault="0029686F" w:rsidP="0029686F">
      <w:pPr>
        <w:rPr>
          <w:rFonts w:asciiTheme="minorHAnsi" w:hAnsiTheme="minorHAnsi" w:cs="Calibri"/>
          <w:lang w:val="en-US"/>
        </w:rPr>
      </w:pPr>
      <w:r w:rsidRPr="009C0CE3">
        <w:rPr>
          <w:rFonts w:asciiTheme="minorHAnsi" w:hAnsiTheme="minorHAnsi" w:cs="Calibri"/>
          <w:lang w:val="en-US"/>
        </w:rPr>
        <w:t>Results presented by histological subgroup were also considered.</w:t>
      </w:r>
    </w:p>
    <w:p w14:paraId="3B917EF2" w14:textId="1BFBA12A" w:rsidR="0029686F" w:rsidRPr="009C0CE3" w:rsidRDefault="0029686F" w:rsidP="0029686F">
      <w:pPr>
        <w:rPr>
          <w:rFonts w:asciiTheme="minorHAnsi" w:hAnsiTheme="minorHAnsi" w:cs="Calibri"/>
          <w:lang w:val="en-US"/>
        </w:rPr>
      </w:pPr>
      <w:r w:rsidRPr="009C0CE3">
        <w:rPr>
          <w:rFonts w:asciiTheme="minorHAnsi" w:hAnsiTheme="minorHAnsi" w:cs="Calibri"/>
          <w:lang w:val="en-US"/>
        </w:rPr>
        <w:t xml:space="preserve">As was the case for the ROS1+ NSCLC indication, due to the single arm nature of the data, a number of study endpoints were not considered to contribute robustly to the TGA benefit-risk consideration of the NTRK indication and are not further discussed herein (includes CBR, time-to-event endpoints and </w:t>
      </w:r>
      <w:r w:rsidR="00816802">
        <w:rPr>
          <w:rFonts w:asciiTheme="minorHAnsi" w:hAnsiTheme="minorHAnsi" w:cs="Calibri"/>
          <w:lang w:val="en-US"/>
        </w:rPr>
        <w:t>patient reported outcomes (</w:t>
      </w:r>
      <w:r w:rsidRPr="009C0CE3">
        <w:rPr>
          <w:rFonts w:asciiTheme="minorHAnsi" w:hAnsiTheme="minorHAnsi" w:cs="Calibri"/>
          <w:lang w:val="en-US"/>
        </w:rPr>
        <w:t>PROs</w:t>
      </w:r>
      <w:r w:rsidR="00816802">
        <w:rPr>
          <w:rFonts w:asciiTheme="minorHAnsi" w:hAnsiTheme="minorHAnsi" w:cs="Calibri"/>
          <w:lang w:val="en-US"/>
        </w:rPr>
        <w:t>)</w:t>
      </w:r>
      <w:r w:rsidRPr="009C0CE3">
        <w:rPr>
          <w:rFonts w:asciiTheme="minorHAnsi" w:hAnsiTheme="minorHAnsi" w:cs="Calibri"/>
          <w:lang w:val="en-US"/>
        </w:rPr>
        <w:t>)</w:t>
      </w:r>
      <w:r w:rsidR="00AE517A">
        <w:rPr>
          <w:rFonts w:asciiTheme="minorHAnsi" w:hAnsiTheme="minorHAnsi" w:cs="Calibri"/>
          <w:lang w:val="en-US"/>
        </w:rPr>
        <w:t>.</w:t>
      </w:r>
    </w:p>
    <w:p w14:paraId="57BFE181" w14:textId="71993377" w:rsidR="0029686F" w:rsidRPr="00D64E26" w:rsidRDefault="0029686F" w:rsidP="000C761A">
      <w:pPr>
        <w:pStyle w:val="Heading6"/>
      </w:pPr>
      <w:r w:rsidRPr="00D64E26">
        <w:t>Statistical analysis plan</w:t>
      </w:r>
    </w:p>
    <w:p w14:paraId="773AF8A9" w14:textId="12B33035" w:rsidR="0029686F" w:rsidRPr="009C0CE3" w:rsidRDefault="0029686F" w:rsidP="0029686F">
      <w:pPr>
        <w:rPr>
          <w:rFonts w:asciiTheme="minorHAnsi" w:hAnsiTheme="minorHAnsi" w:cs="Calibri"/>
        </w:rPr>
      </w:pPr>
      <w:r w:rsidRPr="009C0CE3">
        <w:rPr>
          <w:rFonts w:asciiTheme="minorHAnsi" w:hAnsiTheme="minorHAnsi" w:cs="Calibri"/>
        </w:rPr>
        <w:t xml:space="preserve">A sample size of 56 was chosen to give a 95% </w:t>
      </w:r>
      <w:r w:rsidR="00CF2732">
        <w:rPr>
          <w:rFonts w:asciiTheme="minorHAnsi" w:hAnsiTheme="minorHAnsi" w:cs="Calibri"/>
        </w:rPr>
        <w:t>CI</w:t>
      </w:r>
      <w:r w:rsidRPr="009C0CE3">
        <w:rPr>
          <w:rFonts w:asciiTheme="minorHAnsi" w:hAnsiTheme="minorHAnsi" w:cs="Calibri"/>
        </w:rPr>
        <w:t xml:space="preserve"> with precision of ±</w:t>
      </w:r>
      <w:r w:rsidR="00AE517A">
        <w:rPr>
          <w:rFonts w:asciiTheme="minorHAnsi" w:hAnsiTheme="minorHAnsi" w:cs="Calibri"/>
        </w:rPr>
        <w:t xml:space="preserve"> </w:t>
      </w:r>
      <w:r w:rsidRPr="009C0CE3">
        <w:rPr>
          <w:rFonts w:asciiTheme="minorHAnsi" w:hAnsiTheme="minorHAnsi" w:cs="Calibri"/>
        </w:rPr>
        <w:t xml:space="preserve">14% that would exclude 30% based on an assumed true ORR of 60%. </w:t>
      </w:r>
      <w:r>
        <w:rPr>
          <w:rFonts w:asciiTheme="minorHAnsi" w:hAnsiTheme="minorHAnsi" w:cs="Calibri"/>
        </w:rPr>
        <w:t xml:space="preserve">This </w:t>
      </w:r>
      <w:r w:rsidRPr="009C0CE3">
        <w:rPr>
          <w:rFonts w:asciiTheme="minorHAnsi" w:hAnsiTheme="minorHAnsi" w:cs="Calibri"/>
        </w:rPr>
        <w:t>pre</w:t>
      </w:r>
      <w:r w:rsidR="00816802">
        <w:rPr>
          <w:rFonts w:asciiTheme="minorHAnsi" w:hAnsiTheme="minorHAnsi" w:cs="Calibri"/>
        </w:rPr>
        <w:t>-</w:t>
      </w:r>
      <w:r w:rsidRPr="009C0CE3">
        <w:rPr>
          <w:rFonts w:asciiTheme="minorHAnsi" w:hAnsiTheme="minorHAnsi" w:cs="Calibri"/>
        </w:rPr>
        <w:t>specified thres</w:t>
      </w:r>
      <w:r w:rsidR="00F87746">
        <w:rPr>
          <w:rFonts w:asciiTheme="minorHAnsi" w:hAnsiTheme="minorHAnsi" w:cs="Calibri"/>
        </w:rPr>
        <w:t xml:space="preserve">hold for clinical significance </w:t>
      </w:r>
      <w:r w:rsidRPr="009C0CE3">
        <w:rPr>
          <w:rFonts w:asciiTheme="minorHAnsi" w:hAnsiTheme="minorHAnsi" w:cs="Calibri"/>
        </w:rPr>
        <w:t>was agreed to by the FDA (page 158, multidisciplinary FDA review for NTRK indication</w:t>
      </w:r>
      <w:r w:rsidR="00AE517A">
        <w:rPr>
          <w:rFonts w:asciiTheme="minorHAnsi" w:hAnsiTheme="minorHAnsi" w:cs="Calibri"/>
        </w:rPr>
        <w:t>;</w:t>
      </w:r>
      <w:r w:rsidR="00816802">
        <w:rPr>
          <w:rFonts w:asciiTheme="minorHAnsi" w:hAnsiTheme="minorHAnsi" w:cs="Calibri"/>
        </w:rPr>
        <w:fldChar w:fldCharType="begin"/>
      </w:r>
      <w:r w:rsidR="00816802">
        <w:rPr>
          <w:rFonts w:asciiTheme="minorHAnsi" w:hAnsiTheme="minorHAnsi" w:cs="Calibri"/>
        </w:rPr>
        <w:instrText xml:space="preserve"> NOTEREF _Ref50554541 \f \h </w:instrText>
      </w:r>
      <w:r w:rsidR="00816802">
        <w:rPr>
          <w:rFonts w:asciiTheme="minorHAnsi" w:hAnsiTheme="minorHAnsi" w:cs="Calibri"/>
        </w:rPr>
      </w:r>
      <w:r w:rsidR="00816802">
        <w:rPr>
          <w:rFonts w:asciiTheme="minorHAnsi" w:hAnsiTheme="minorHAnsi" w:cs="Calibri"/>
        </w:rPr>
        <w:fldChar w:fldCharType="separate"/>
      </w:r>
      <w:r w:rsidR="005743D8" w:rsidRPr="005743D8">
        <w:rPr>
          <w:rStyle w:val="FootnoteReference"/>
        </w:rPr>
        <w:t>12</w:t>
      </w:r>
      <w:r w:rsidR="00816802">
        <w:rPr>
          <w:rFonts w:asciiTheme="minorHAnsi" w:hAnsiTheme="minorHAnsi" w:cs="Calibri"/>
        </w:rPr>
        <w:fldChar w:fldCharType="end"/>
      </w:r>
      <w:r w:rsidRPr="009C0CE3">
        <w:rPr>
          <w:rFonts w:asciiTheme="minorHAnsi" w:hAnsiTheme="minorHAnsi" w:cs="Calibri"/>
        </w:rPr>
        <w:t>)</w:t>
      </w:r>
      <w:r>
        <w:rPr>
          <w:rFonts w:asciiTheme="minorHAnsi" w:hAnsiTheme="minorHAnsi" w:cs="Calibri"/>
        </w:rPr>
        <w:t>,</w:t>
      </w:r>
      <w:r w:rsidR="00816802">
        <w:rPr>
          <w:rFonts w:asciiTheme="minorHAnsi" w:hAnsiTheme="minorHAnsi" w:cs="Calibri"/>
        </w:rPr>
        <w:t xml:space="preserve"> and was selected based on the s</w:t>
      </w:r>
      <w:r>
        <w:rPr>
          <w:rFonts w:asciiTheme="minorHAnsi" w:hAnsiTheme="minorHAnsi" w:cs="Calibri"/>
        </w:rPr>
        <w:t xml:space="preserve">ponsor’s review of expected </w:t>
      </w:r>
      <w:r w:rsidRPr="001B5057">
        <w:rPr>
          <w:rFonts w:asciiTheme="minorHAnsi" w:hAnsiTheme="minorHAnsi" w:cs="Calibri"/>
        </w:rPr>
        <w:t>response rates to later lin</w:t>
      </w:r>
      <w:r>
        <w:rPr>
          <w:rFonts w:asciiTheme="minorHAnsi" w:hAnsiTheme="minorHAnsi" w:cs="Calibri"/>
        </w:rPr>
        <w:t>es of trea</w:t>
      </w:r>
      <w:r w:rsidR="002E2BCA">
        <w:rPr>
          <w:rFonts w:asciiTheme="minorHAnsi" w:hAnsiTheme="minorHAnsi" w:cs="Calibri"/>
        </w:rPr>
        <w:t xml:space="preserve">tment in patients with </w:t>
      </w:r>
      <w:r w:rsidR="002E2BCA" w:rsidRPr="000C761A">
        <w:rPr>
          <w:rFonts w:asciiTheme="minorHAnsi" w:hAnsiTheme="minorHAnsi" w:cs="Calibri"/>
          <w:i/>
        </w:rPr>
        <w:t>EGFR</w:t>
      </w:r>
      <w:r w:rsidR="002E2BCA">
        <w:rPr>
          <w:rFonts w:asciiTheme="minorHAnsi" w:hAnsiTheme="minorHAnsi" w:cs="Calibri"/>
        </w:rPr>
        <w:t>/</w:t>
      </w:r>
      <w:r w:rsidR="002E2BCA" w:rsidRPr="000C761A">
        <w:rPr>
          <w:rFonts w:asciiTheme="minorHAnsi" w:hAnsiTheme="minorHAnsi" w:cs="Calibri"/>
          <w:i/>
        </w:rPr>
        <w:t>ALK</w:t>
      </w:r>
      <w:r w:rsidR="002E2BCA">
        <w:rPr>
          <w:rFonts w:asciiTheme="minorHAnsi" w:hAnsiTheme="minorHAnsi" w:cs="Calibri"/>
        </w:rPr>
        <w:t xml:space="preserve"> </w:t>
      </w:r>
      <w:r>
        <w:rPr>
          <w:rFonts w:asciiTheme="minorHAnsi" w:hAnsiTheme="minorHAnsi" w:cs="Calibri"/>
        </w:rPr>
        <w:t xml:space="preserve">negative NSCLC, colorectal cancer, breast including secretory breast cancer, salivary gland including </w:t>
      </w:r>
      <w:r w:rsidR="00B31A6D">
        <w:t>mammary analogue secretory carcinoma</w:t>
      </w:r>
      <w:r w:rsidR="00B31A6D">
        <w:rPr>
          <w:rFonts w:asciiTheme="minorHAnsi" w:hAnsiTheme="minorHAnsi" w:cs="Calibri"/>
        </w:rPr>
        <w:t xml:space="preserve"> (</w:t>
      </w:r>
      <w:r>
        <w:rPr>
          <w:rFonts w:asciiTheme="minorHAnsi" w:hAnsiTheme="minorHAnsi" w:cs="Calibri"/>
        </w:rPr>
        <w:t>MASC</w:t>
      </w:r>
      <w:r w:rsidR="00B31A6D">
        <w:rPr>
          <w:rFonts w:asciiTheme="minorHAnsi" w:hAnsiTheme="minorHAnsi" w:cs="Calibri"/>
        </w:rPr>
        <w:t>)</w:t>
      </w:r>
      <w:r>
        <w:rPr>
          <w:rFonts w:asciiTheme="minorHAnsi" w:hAnsiTheme="minorHAnsi" w:cs="Calibri"/>
        </w:rPr>
        <w:t>, and soft tissue sarcoma.</w:t>
      </w:r>
    </w:p>
    <w:p w14:paraId="2C6273B1" w14:textId="76C6A9EE" w:rsidR="0029686F" w:rsidRPr="009C0CE3" w:rsidRDefault="0029686F" w:rsidP="0029686F">
      <w:pPr>
        <w:rPr>
          <w:rFonts w:asciiTheme="minorHAnsi" w:hAnsiTheme="minorHAnsi" w:cs="Calibri"/>
        </w:rPr>
      </w:pPr>
      <w:r w:rsidRPr="009C0CE3">
        <w:rPr>
          <w:rFonts w:asciiTheme="minorHAnsi" w:hAnsiTheme="minorHAnsi" w:cs="Calibri"/>
        </w:rPr>
        <w:t>Consecutive enrolment was cho</w:t>
      </w:r>
      <w:r w:rsidR="00AE517A">
        <w:rPr>
          <w:rFonts w:asciiTheme="minorHAnsi" w:hAnsiTheme="minorHAnsi" w:cs="Calibri"/>
        </w:rPr>
        <w:t>sen to minimise selection bias.</w:t>
      </w:r>
    </w:p>
    <w:p w14:paraId="57FD105C" w14:textId="10CEA124" w:rsidR="0029686F" w:rsidRPr="009C0CE3" w:rsidRDefault="002E2BCA" w:rsidP="0029686F">
      <w:pPr>
        <w:rPr>
          <w:rFonts w:asciiTheme="minorHAnsi" w:hAnsiTheme="minorHAnsi" w:cs="Calibri"/>
        </w:rPr>
      </w:pPr>
      <w:r>
        <w:rPr>
          <w:rFonts w:asciiTheme="minorHAnsi" w:hAnsiTheme="minorHAnsi" w:cs="Calibri"/>
        </w:rPr>
        <w:t xml:space="preserve">Point estimates with 95% 2 </w:t>
      </w:r>
      <w:r w:rsidR="0029686F" w:rsidRPr="009C0CE3">
        <w:rPr>
          <w:rFonts w:asciiTheme="minorHAnsi" w:hAnsiTheme="minorHAnsi" w:cs="Calibri"/>
        </w:rPr>
        <w:t xml:space="preserve">sided CIs were reported, but formal significance testing was not performed and p-values not reported. Multiplicity and subgroup effect loss due to </w:t>
      </w:r>
      <w:r w:rsidR="0029686F" w:rsidRPr="009C0CE3">
        <w:rPr>
          <w:rFonts w:asciiTheme="minorHAnsi" w:hAnsiTheme="minorHAnsi" w:cs="Calibri"/>
        </w:rPr>
        <w:lastRenderedPageBreak/>
        <w:t>pooling of data were also not addressed, justified based on the rarity of the population and expectation o</w:t>
      </w:r>
      <w:r w:rsidR="00CB4BDD">
        <w:rPr>
          <w:rFonts w:asciiTheme="minorHAnsi" w:hAnsiTheme="minorHAnsi" w:cs="Calibri"/>
        </w:rPr>
        <w:t>f significant clinical benefit.</w:t>
      </w:r>
    </w:p>
    <w:p w14:paraId="22698911" w14:textId="547EB1BC" w:rsidR="0029686F" w:rsidRPr="00B31A6D" w:rsidRDefault="0029686F" w:rsidP="007D2F65">
      <w:pPr>
        <w:pStyle w:val="Heading6"/>
      </w:pPr>
      <w:r w:rsidRPr="00B31A6D">
        <w:t xml:space="preserve">Enrolled </w:t>
      </w:r>
      <w:r w:rsidR="00B31A6D" w:rsidRPr="00B31A6D">
        <w:t>neurotrophic tropomyosin receptor kinase</w:t>
      </w:r>
      <w:r w:rsidRPr="00B31A6D">
        <w:t xml:space="preserve"> fusion-positive solid tumour population</w:t>
      </w:r>
    </w:p>
    <w:p w14:paraId="5CBFE1A9" w14:textId="03F6A0B2" w:rsidR="0029686F" w:rsidRPr="009C0CE3" w:rsidRDefault="0029686F" w:rsidP="0029686F">
      <w:pPr>
        <w:rPr>
          <w:rFonts w:asciiTheme="minorHAnsi" w:hAnsiTheme="minorHAnsi" w:cs="Calibri"/>
        </w:rPr>
      </w:pPr>
      <w:r w:rsidRPr="000C761A">
        <w:rPr>
          <w:i/>
        </w:rPr>
        <w:t>Disposition</w:t>
      </w:r>
      <w:r w:rsidR="006D7EB5">
        <w:rPr>
          <w:i/>
        </w:rPr>
        <w:t>:</w:t>
      </w:r>
      <w:r w:rsidR="006D7EB5">
        <w:rPr>
          <w:rFonts w:asciiTheme="minorHAnsi" w:hAnsiTheme="minorHAnsi" w:cs="Calibri"/>
        </w:rPr>
        <w:t xml:space="preserve"> </w:t>
      </w:r>
      <w:r w:rsidRPr="009C0CE3">
        <w:rPr>
          <w:rFonts w:asciiTheme="minorHAnsi" w:hAnsiTheme="minorHAnsi" w:cs="Calibri"/>
        </w:rPr>
        <w:t>Death was the most common reason for study discontinuation (70%) and progressive disease was the most common reason for treatment discontinuation (74%), consistent with the studied patient group.</w:t>
      </w:r>
    </w:p>
    <w:p w14:paraId="00802DC7" w14:textId="6228374D" w:rsidR="0029686F" w:rsidRPr="009C0CE3" w:rsidRDefault="0029686F" w:rsidP="0029686F">
      <w:pPr>
        <w:rPr>
          <w:rFonts w:asciiTheme="minorHAnsi" w:hAnsiTheme="minorHAnsi" w:cs="Calibri"/>
        </w:rPr>
      </w:pPr>
      <w:r w:rsidRPr="000C761A">
        <w:rPr>
          <w:i/>
        </w:rPr>
        <w:t>Protocol deviations</w:t>
      </w:r>
      <w:r w:rsidR="006D7EB5">
        <w:rPr>
          <w:rFonts w:asciiTheme="minorHAnsi" w:hAnsiTheme="minorHAnsi" w:cs="Calibri"/>
          <w:lang w:val="en-US"/>
        </w:rPr>
        <w:t xml:space="preserve">: </w:t>
      </w:r>
      <w:r w:rsidRPr="009C0CE3">
        <w:rPr>
          <w:rFonts w:asciiTheme="minorHAnsi" w:hAnsiTheme="minorHAnsi" w:cs="Calibri"/>
          <w:lang w:val="en-US"/>
        </w:rPr>
        <w:t>Protocol deviations were reviewed, and are not likely to have materially altered the assessment of efficacy or safety.</w:t>
      </w:r>
    </w:p>
    <w:p w14:paraId="642B26BC" w14:textId="325CFF76" w:rsidR="0029686F" w:rsidRDefault="0029686F" w:rsidP="0029686F">
      <w:pPr>
        <w:rPr>
          <w:rFonts w:asciiTheme="minorHAnsi" w:hAnsiTheme="minorHAnsi" w:cs="Calibri"/>
          <w:lang w:val="en-US"/>
        </w:rPr>
      </w:pPr>
      <w:r w:rsidRPr="000C761A">
        <w:rPr>
          <w:i/>
        </w:rPr>
        <w:t>Baseline characteristics</w:t>
      </w:r>
      <w:r w:rsidR="006D7EB5">
        <w:rPr>
          <w:rFonts w:asciiTheme="minorHAnsi" w:hAnsiTheme="minorHAnsi" w:cs="Calibri"/>
        </w:rPr>
        <w:t xml:space="preserve">: </w:t>
      </w:r>
      <w:r w:rsidRPr="009C0CE3">
        <w:rPr>
          <w:rFonts w:asciiTheme="minorHAnsi" w:hAnsiTheme="minorHAnsi" w:cs="Calibri"/>
        </w:rPr>
        <w:t xml:space="preserve">Baseline demographics, disease and treatment characteristics of the 54 patients in the </w:t>
      </w:r>
      <w:r w:rsidR="00AE517A">
        <w:rPr>
          <w:rFonts w:asciiTheme="minorHAnsi" w:hAnsiTheme="minorHAnsi" w:cs="Calibri"/>
          <w:lang w:val="en-US"/>
        </w:rPr>
        <w:t xml:space="preserve">NTRK efficacy evaluable set </w:t>
      </w:r>
      <w:r w:rsidRPr="009C0CE3">
        <w:rPr>
          <w:rFonts w:asciiTheme="minorHAnsi" w:hAnsiTheme="minorHAnsi" w:cs="Calibri"/>
          <w:lang w:val="en-US"/>
        </w:rPr>
        <w:t xml:space="preserve">are </w:t>
      </w:r>
      <w:proofErr w:type="spellStart"/>
      <w:r w:rsidRPr="009C0CE3">
        <w:rPr>
          <w:rFonts w:asciiTheme="minorHAnsi" w:hAnsiTheme="minorHAnsi" w:cs="Calibri"/>
          <w:lang w:val="en-US"/>
        </w:rPr>
        <w:t>summarised</w:t>
      </w:r>
      <w:proofErr w:type="spellEnd"/>
      <w:r w:rsidRPr="009C0CE3">
        <w:rPr>
          <w:rFonts w:asciiTheme="minorHAnsi" w:hAnsiTheme="minorHAnsi" w:cs="Calibri"/>
          <w:lang w:val="en-US"/>
        </w:rPr>
        <w:t xml:space="preserve"> in </w:t>
      </w:r>
      <w:r w:rsidR="00A56ACE">
        <w:rPr>
          <w:rFonts w:asciiTheme="minorHAnsi" w:hAnsiTheme="minorHAnsi" w:cs="Calibri"/>
          <w:lang w:val="en-US"/>
        </w:rPr>
        <w:fldChar w:fldCharType="begin"/>
      </w:r>
      <w:r w:rsidR="00A56ACE">
        <w:rPr>
          <w:rFonts w:asciiTheme="minorHAnsi" w:hAnsiTheme="minorHAnsi" w:cs="Calibri"/>
          <w:lang w:val="en-US"/>
        </w:rPr>
        <w:instrText xml:space="preserve"> REF _Ref50559334 \h </w:instrText>
      </w:r>
      <w:r w:rsidR="00A56ACE">
        <w:rPr>
          <w:rFonts w:asciiTheme="minorHAnsi" w:hAnsiTheme="minorHAnsi" w:cs="Calibri"/>
          <w:lang w:val="en-US"/>
        </w:rPr>
      </w:r>
      <w:r w:rsidR="00A56ACE">
        <w:rPr>
          <w:rFonts w:asciiTheme="minorHAnsi" w:hAnsiTheme="minorHAnsi" w:cs="Calibri"/>
          <w:lang w:val="en-US"/>
        </w:rPr>
        <w:fldChar w:fldCharType="separate"/>
      </w:r>
      <w:r w:rsidR="005743D8" w:rsidRPr="00A56ACE">
        <w:t xml:space="preserve">Table </w:t>
      </w:r>
      <w:r w:rsidR="005743D8">
        <w:rPr>
          <w:noProof/>
        </w:rPr>
        <w:t>12</w:t>
      </w:r>
      <w:r w:rsidR="00A56ACE">
        <w:rPr>
          <w:rFonts w:asciiTheme="minorHAnsi" w:hAnsiTheme="minorHAnsi" w:cs="Calibri"/>
          <w:lang w:val="en-US"/>
        </w:rPr>
        <w:fldChar w:fldCharType="end"/>
      </w:r>
      <w:r w:rsidR="00525F23">
        <w:rPr>
          <w:rFonts w:asciiTheme="minorHAnsi" w:hAnsiTheme="minorHAnsi" w:cs="Calibri"/>
          <w:lang w:val="en-US"/>
        </w:rPr>
        <w:t>.</w:t>
      </w:r>
      <w:r w:rsidR="00525F23">
        <w:rPr>
          <w:rFonts w:asciiTheme="minorHAnsi" w:hAnsiTheme="minorHAnsi" w:cs="Calibri"/>
          <w:lang w:val="en-US"/>
        </w:rPr>
        <w:fldChar w:fldCharType="begin"/>
      </w:r>
      <w:r w:rsidR="00525F23">
        <w:rPr>
          <w:rFonts w:asciiTheme="minorHAnsi" w:hAnsiTheme="minorHAnsi" w:cs="Calibri"/>
          <w:lang w:val="en-US"/>
        </w:rPr>
        <w:instrText xml:space="preserve"> NOTEREF _Ref50554541 \f \h </w:instrText>
      </w:r>
      <w:r w:rsidR="00525F23">
        <w:rPr>
          <w:rFonts w:asciiTheme="minorHAnsi" w:hAnsiTheme="minorHAnsi" w:cs="Calibri"/>
          <w:lang w:val="en-US"/>
        </w:rPr>
      </w:r>
      <w:r w:rsidR="00525F23">
        <w:rPr>
          <w:rFonts w:asciiTheme="minorHAnsi" w:hAnsiTheme="minorHAnsi" w:cs="Calibri"/>
          <w:lang w:val="en-US"/>
        </w:rPr>
        <w:fldChar w:fldCharType="separate"/>
      </w:r>
      <w:r w:rsidR="005743D8" w:rsidRPr="005743D8">
        <w:rPr>
          <w:rStyle w:val="FootnoteReference"/>
        </w:rPr>
        <w:t>12</w:t>
      </w:r>
      <w:r w:rsidR="00525F23">
        <w:rPr>
          <w:rFonts w:asciiTheme="minorHAnsi" w:hAnsiTheme="minorHAnsi" w:cs="Calibri"/>
          <w:lang w:val="en-US"/>
        </w:rPr>
        <w:fldChar w:fldCharType="end"/>
      </w:r>
    </w:p>
    <w:p w14:paraId="3883966D" w14:textId="5D912E3B" w:rsidR="00A56ACE" w:rsidRPr="009C0CE3" w:rsidRDefault="00A56ACE" w:rsidP="00A56ACE">
      <w:pPr>
        <w:pStyle w:val="TableTitle"/>
      </w:pPr>
      <w:bookmarkStart w:id="56" w:name="_Ref50559334"/>
      <w:bookmarkStart w:id="57" w:name="_Ref50559331"/>
      <w:r w:rsidRPr="00A56ACE">
        <w:t xml:space="preserve">Table </w:t>
      </w:r>
      <w:fldSimple w:instr=" SEQ Table \* ARABIC ">
        <w:r w:rsidR="009B407B">
          <w:rPr>
            <w:noProof/>
          </w:rPr>
          <w:t>16</w:t>
        </w:r>
      </w:fldSimple>
      <w:bookmarkEnd w:id="56"/>
      <w:r w:rsidR="00B31A6D">
        <w:rPr>
          <w:noProof/>
        </w:rPr>
        <w:t>:</w:t>
      </w:r>
      <w:r>
        <w:t xml:space="preserve"> </w:t>
      </w:r>
      <w:r w:rsidRPr="009C0CE3">
        <w:t xml:space="preserve">Baseline demographics and characteristics of the </w:t>
      </w:r>
      <w:r w:rsidR="00AE517A">
        <w:rPr>
          <w:lang w:val="en-US"/>
        </w:rPr>
        <w:t>NTRK efficacy evaluable set</w:t>
      </w:r>
      <w:bookmarkEnd w:id="57"/>
    </w:p>
    <w:tbl>
      <w:tblPr>
        <w:tblStyle w:val="TableTGAblue"/>
        <w:tblW w:w="8495" w:type="dxa"/>
        <w:tblLayout w:type="fixed"/>
        <w:tblLook w:val="01E0" w:firstRow="1" w:lastRow="1" w:firstColumn="1" w:lastColumn="1" w:noHBand="0" w:noVBand="0"/>
      </w:tblPr>
      <w:tblGrid>
        <w:gridCol w:w="2400"/>
        <w:gridCol w:w="1276"/>
        <w:gridCol w:w="1281"/>
        <w:gridCol w:w="1134"/>
        <w:gridCol w:w="1134"/>
        <w:gridCol w:w="1270"/>
      </w:tblGrid>
      <w:tr w:rsidR="00A56ACE" w:rsidRPr="00A56ACE" w14:paraId="2CBCB3BA" w14:textId="77777777" w:rsidTr="00425DB6">
        <w:trPr>
          <w:cnfStyle w:val="100000000000" w:firstRow="1" w:lastRow="0" w:firstColumn="0" w:lastColumn="0" w:oddVBand="0" w:evenVBand="0" w:oddHBand="0" w:evenHBand="0" w:firstRowFirstColumn="0" w:firstRowLastColumn="0" w:lastRowFirstColumn="0" w:lastRowLastColumn="0"/>
          <w:trHeight w:val="20"/>
        </w:trPr>
        <w:tc>
          <w:tcPr>
            <w:tcW w:w="2400" w:type="dxa"/>
            <w:tcBorders>
              <w:top w:val="single" w:sz="4" w:space="0" w:color="auto"/>
              <w:left w:val="single" w:sz="4" w:space="0" w:color="auto"/>
              <w:bottom w:val="single" w:sz="4" w:space="0" w:color="auto"/>
              <w:right w:val="single" w:sz="4" w:space="0" w:color="auto"/>
            </w:tcBorders>
          </w:tcPr>
          <w:p w14:paraId="0BF26B4D"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Baseline characteristics</w:t>
            </w:r>
          </w:p>
        </w:tc>
        <w:tc>
          <w:tcPr>
            <w:tcW w:w="1276" w:type="dxa"/>
            <w:tcBorders>
              <w:top w:val="single" w:sz="4" w:space="0" w:color="auto"/>
              <w:left w:val="single" w:sz="4" w:space="0" w:color="auto"/>
              <w:bottom w:val="single" w:sz="4" w:space="0" w:color="auto"/>
              <w:right w:val="single" w:sz="4" w:space="0" w:color="auto"/>
            </w:tcBorders>
          </w:tcPr>
          <w:p w14:paraId="6E0B2EE1" w14:textId="7D071040" w:rsidR="00A56ACE" w:rsidRPr="00A56ACE" w:rsidRDefault="00AE517A" w:rsidP="00E9655B">
            <w:pPr>
              <w:spacing w:before="0" w:after="0" w:line="240" w:lineRule="auto"/>
              <w:ind w:left="0"/>
              <w:contextualSpacing/>
              <w:rPr>
                <w:rFonts w:asciiTheme="minorHAnsi" w:hAnsiTheme="minorHAnsi" w:cs="Calibri"/>
                <w:sz w:val="19"/>
              </w:rPr>
            </w:pPr>
            <w:r>
              <w:rPr>
                <w:rFonts w:asciiTheme="minorHAnsi" w:hAnsiTheme="minorHAnsi" w:cs="Calibri"/>
                <w:sz w:val="19"/>
                <w:lang w:val="en-US"/>
              </w:rPr>
              <w:t xml:space="preserve">NTRK efficacy evaluable set </w:t>
            </w:r>
            <w:r w:rsidR="00A56ACE" w:rsidRPr="00A56ACE">
              <w:rPr>
                <w:rFonts w:asciiTheme="minorHAnsi" w:hAnsiTheme="minorHAnsi" w:cs="Calibri"/>
                <w:sz w:val="19"/>
              </w:rPr>
              <w:t>(n</w:t>
            </w:r>
            <w:r w:rsidR="00BF7C39">
              <w:rPr>
                <w:rFonts w:asciiTheme="minorHAnsi" w:hAnsiTheme="minorHAnsi" w:cs="Calibri"/>
                <w:sz w:val="19"/>
              </w:rPr>
              <w:t xml:space="preserve"> </w:t>
            </w:r>
            <w:r w:rsidR="00A56ACE" w:rsidRPr="00A56ACE">
              <w:rPr>
                <w:rFonts w:asciiTheme="minorHAnsi" w:hAnsiTheme="minorHAnsi" w:cs="Calibri"/>
                <w:sz w:val="19"/>
              </w:rPr>
              <w:t>=</w:t>
            </w:r>
            <w:r w:rsidR="00BF7C39">
              <w:rPr>
                <w:rFonts w:asciiTheme="minorHAnsi" w:hAnsiTheme="minorHAnsi" w:cs="Calibri"/>
                <w:sz w:val="19"/>
              </w:rPr>
              <w:t xml:space="preserve"> </w:t>
            </w:r>
            <w:r w:rsidR="00A56ACE" w:rsidRPr="00A56ACE">
              <w:rPr>
                <w:rFonts w:asciiTheme="minorHAnsi" w:hAnsiTheme="minorHAnsi" w:cs="Calibri"/>
                <w:sz w:val="19"/>
              </w:rPr>
              <w:t>54)</w:t>
            </w:r>
          </w:p>
        </w:tc>
        <w:tc>
          <w:tcPr>
            <w:tcW w:w="3549" w:type="dxa"/>
            <w:gridSpan w:val="3"/>
            <w:tcBorders>
              <w:top w:val="single" w:sz="4" w:space="0" w:color="auto"/>
              <w:left w:val="single" w:sz="4" w:space="0" w:color="auto"/>
              <w:bottom w:val="single" w:sz="4" w:space="0" w:color="auto"/>
              <w:right w:val="single" w:sz="4" w:space="0" w:color="auto"/>
            </w:tcBorders>
          </w:tcPr>
          <w:p w14:paraId="3E1259A3"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szCs w:val="19"/>
              </w:rPr>
              <w:t>Baseline characteristics</w:t>
            </w:r>
          </w:p>
        </w:tc>
        <w:tc>
          <w:tcPr>
            <w:tcW w:w="1270" w:type="dxa"/>
            <w:tcBorders>
              <w:top w:val="single" w:sz="4" w:space="0" w:color="auto"/>
              <w:left w:val="single" w:sz="4" w:space="0" w:color="auto"/>
              <w:bottom w:val="single" w:sz="4" w:space="0" w:color="auto"/>
              <w:right w:val="single" w:sz="4" w:space="0" w:color="auto"/>
            </w:tcBorders>
          </w:tcPr>
          <w:p w14:paraId="61058B45" w14:textId="58F20C92" w:rsidR="00A56ACE" w:rsidRPr="00A56ACE" w:rsidRDefault="00AE517A" w:rsidP="00E9655B">
            <w:pPr>
              <w:spacing w:before="0" w:after="0" w:line="240" w:lineRule="auto"/>
              <w:ind w:left="0"/>
              <w:contextualSpacing/>
              <w:rPr>
                <w:rFonts w:asciiTheme="minorHAnsi" w:hAnsiTheme="minorHAnsi" w:cs="Calibri"/>
                <w:sz w:val="19"/>
              </w:rPr>
            </w:pPr>
            <w:r>
              <w:rPr>
                <w:rFonts w:asciiTheme="minorHAnsi" w:eastAsia="Calibri" w:hAnsiTheme="minorHAnsi" w:cs="Calibri"/>
                <w:sz w:val="19"/>
                <w:szCs w:val="19"/>
                <w:lang w:val="en-US"/>
              </w:rPr>
              <w:t xml:space="preserve">NTRK efficacy evaluable set </w:t>
            </w:r>
            <w:r w:rsidR="00A56ACE" w:rsidRPr="00A56ACE">
              <w:rPr>
                <w:rFonts w:asciiTheme="minorHAnsi" w:hAnsiTheme="minorHAnsi" w:cs="Calibri"/>
                <w:sz w:val="19"/>
                <w:szCs w:val="19"/>
              </w:rPr>
              <w:t>(n</w:t>
            </w:r>
            <w:r w:rsidR="00BF7C39">
              <w:rPr>
                <w:rFonts w:asciiTheme="minorHAnsi" w:hAnsiTheme="minorHAnsi" w:cs="Calibri"/>
                <w:sz w:val="19"/>
                <w:szCs w:val="19"/>
              </w:rPr>
              <w:t xml:space="preserve"> </w:t>
            </w:r>
            <w:r w:rsidR="00A56ACE" w:rsidRPr="00A56ACE">
              <w:rPr>
                <w:rFonts w:asciiTheme="minorHAnsi" w:hAnsiTheme="minorHAnsi" w:cs="Calibri"/>
                <w:sz w:val="19"/>
                <w:szCs w:val="19"/>
              </w:rPr>
              <w:t>=</w:t>
            </w:r>
            <w:r w:rsidR="00BF7C39">
              <w:rPr>
                <w:rFonts w:asciiTheme="minorHAnsi" w:hAnsiTheme="minorHAnsi" w:cs="Calibri"/>
                <w:sz w:val="19"/>
                <w:szCs w:val="19"/>
              </w:rPr>
              <w:t xml:space="preserve"> </w:t>
            </w:r>
            <w:r w:rsidR="00A56ACE" w:rsidRPr="00A56ACE">
              <w:rPr>
                <w:rFonts w:asciiTheme="minorHAnsi" w:hAnsiTheme="minorHAnsi" w:cs="Calibri"/>
                <w:sz w:val="19"/>
                <w:szCs w:val="19"/>
              </w:rPr>
              <w:t>54)</w:t>
            </w:r>
          </w:p>
        </w:tc>
      </w:tr>
      <w:tr w:rsidR="00A56ACE" w:rsidRPr="00A56ACE" w14:paraId="3D489A05" w14:textId="77777777" w:rsidTr="00425DB6">
        <w:trPr>
          <w:trHeight w:val="20"/>
        </w:trPr>
        <w:tc>
          <w:tcPr>
            <w:tcW w:w="2400" w:type="dxa"/>
            <w:tcBorders>
              <w:top w:val="single" w:sz="4" w:space="0" w:color="auto"/>
            </w:tcBorders>
          </w:tcPr>
          <w:p w14:paraId="5E47C25B"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 xml:space="preserve">Age, years </w:t>
            </w:r>
          </w:p>
        </w:tc>
        <w:tc>
          <w:tcPr>
            <w:tcW w:w="1276" w:type="dxa"/>
            <w:tcBorders>
              <w:top w:val="single" w:sz="4" w:space="0" w:color="auto"/>
            </w:tcBorders>
          </w:tcPr>
          <w:p w14:paraId="01F80A75"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Borders>
              <w:top w:val="single" w:sz="4" w:space="0" w:color="auto"/>
            </w:tcBorders>
          </w:tcPr>
          <w:p w14:paraId="23B5E579"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b/>
                <w:color w:val="231F20"/>
                <w:w w:val="105"/>
                <w:sz w:val="19"/>
              </w:rPr>
              <w:t>Disease stage</w:t>
            </w:r>
          </w:p>
        </w:tc>
        <w:tc>
          <w:tcPr>
            <w:tcW w:w="1270" w:type="dxa"/>
            <w:tcBorders>
              <w:top w:val="single" w:sz="4" w:space="0" w:color="auto"/>
            </w:tcBorders>
          </w:tcPr>
          <w:p w14:paraId="14312AEE" w14:textId="77777777" w:rsidR="00A56ACE" w:rsidRPr="00A56ACE" w:rsidRDefault="00A56ACE" w:rsidP="00E9655B">
            <w:pPr>
              <w:spacing w:before="0" w:after="0" w:line="240" w:lineRule="auto"/>
              <w:ind w:left="0"/>
              <w:contextualSpacing/>
              <w:rPr>
                <w:rFonts w:asciiTheme="minorHAnsi" w:hAnsiTheme="minorHAnsi" w:cs="Calibri"/>
                <w:sz w:val="19"/>
              </w:rPr>
            </w:pPr>
          </w:p>
        </w:tc>
      </w:tr>
      <w:tr w:rsidR="00A56ACE" w:rsidRPr="00A56ACE" w14:paraId="3C9DA095" w14:textId="77777777" w:rsidTr="00425DB6">
        <w:trPr>
          <w:trHeight w:val="20"/>
        </w:trPr>
        <w:tc>
          <w:tcPr>
            <w:tcW w:w="2400" w:type="dxa"/>
          </w:tcPr>
          <w:p w14:paraId="25497614"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Median (min, max)</w:t>
            </w:r>
          </w:p>
        </w:tc>
        <w:tc>
          <w:tcPr>
            <w:tcW w:w="1276" w:type="dxa"/>
          </w:tcPr>
          <w:p w14:paraId="0E43A2F4"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57.5 (21, 83)</w:t>
            </w:r>
          </w:p>
        </w:tc>
        <w:tc>
          <w:tcPr>
            <w:tcW w:w="3549" w:type="dxa"/>
            <w:gridSpan w:val="3"/>
          </w:tcPr>
          <w:p w14:paraId="53CF1B45"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Metastatic</w:t>
            </w:r>
          </w:p>
        </w:tc>
        <w:tc>
          <w:tcPr>
            <w:tcW w:w="1270" w:type="dxa"/>
          </w:tcPr>
          <w:p w14:paraId="4B55FB7C"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color w:val="231F20"/>
                <w:w w:val="105"/>
                <w:sz w:val="19"/>
              </w:rPr>
              <w:t>52 (96%)</w:t>
            </w:r>
          </w:p>
        </w:tc>
      </w:tr>
      <w:tr w:rsidR="00A56ACE" w:rsidRPr="00A56ACE" w14:paraId="5CE53CCA" w14:textId="77777777" w:rsidTr="00425DB6">
        <w:trPr>
          <w:trHeight w:val="20"/>
        </w:trPr>
        <w:tc>
          <w:tcPr>
            <w:tcW w:w="2400" w:type="dxa"/>
          </w:tcPr>
          <w:p w14:paraId="06265A7C"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Age group, n</w:t>
            </w:r>
          </w:p>
        </w:tc>
        <w:tc>
          <w:tcPr>
            <w:tcW w:w="1276" w:type="dxa"/>
          </w:tcPr>
          <w:p w14:paraId="0869FF2C"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656EF055"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Locally advanced</w:t>
            </w:r>
          </w:p>
        </w:tc>
        <w:tc>
          <w:tcPr>
            <w:tcW w:w="1270" w:type="dxa"/>
          </w:tcPr>
          <w:p w14:paraId="6C06D34E" w14:textId="77777777" w:rsidR="00A56ACE" w:rsidRPr="00A56ACE" w:rsidRDefault="00A56ACE" w:rsidP="00E9655B">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2 (4%)</w:t>
            </w:r>
          </w:p>
        </w:tc>
      </w:tr>
      <w:tr w:rsidR="00A56ACE" w:rsidRPr="00A56ACE" w14:paraId="6A69B8E6" w14:textId="77777777" w:rsidTr="00425DB6">
        <w:trPr>
          <w:trHeight w:val="20"/>
        </w:trPr>
        <w:tc>
          <w:tcPr>
            <w:tcW w:w="2400" w:type="dxa"/>
          </w:tcPr>
          <w:p w14:paraId="6159E91F" w14:textId="491811BB"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&gt;</w:t>
            </w:r>
            <w:r w:rsidR="00BF7C39">
              <w:rPr>
                <w:rFonts w:asciiTheme="minorHAnsi" w:hAnsiTheme="minorHAnsi" w:cs="Calibri"/>
                <w:sz w:val="19"/>
              </w:rPr>
              <w:t xml:space="preserve"> </w:t>
            </w:r>
            <w:r w:rsidRPr="00A56ACE">
              <w:rPr>
                <w:rFonts w:asciiTheme="minorHAnsi" w:hAnsiTheme="minorHAnsi" w:cs="Calibri"/>
                <w:sz w:val="19"/>
              </w:rPr>
              <w:t>65</w:t>
            </w:r>
          </w:p>
        </w:tc>
        <w:tc>
          <w:tcPr>
            <w:tcW w:w="1276" w:type="dxa"/>
          </w:tcPr>
          <w:p w14:paraId="51513F00"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color w:val="231F20"/>
                <w:w w:val="105"/>
                <w:sz w:val="19"/>
              </w:rPr>
              <w:t>34 (63%)</w:t>
            </w:r>
          </w:p>
        </w:tc>
        <w:tc>
          <w:tcPr>
            <w:tcW w:w="3549" w:type="dxa"/>
            <w:gridSpan w:val="3"/>
          </w:tcPr>
          <w:p w14:paraId="34EABCB1"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b/>
                <w:color w:val="231F20"/>
                <w:w w:val="105"/>
                <w:sz w:val="19"/>
              </w:rPr>
              <w:t>Baseline CNS lesions by investigator</w:t>
            </w:r>
          </w:p>
        </w:tc>
        <w:tc>
          <w:tcPr>
            <w:tcW w:w="1270" w:type="dxa"/>
          </w:tcPr>
          <w:p w14:paraId="2C55960A" w14:textId="77777777" w:rsidR="00A56ACE" w:rsidRPr="00A56ACE" w:rsidRDefault="00A56ACE" w:rsidP="00E9655B">
            <w:pPr>
              <w:spacing w:before="0" w:after="0" w:line="240" w:lineRule="auto"/>
              <w:ind w:left="0"/>
              <w:contextualSpacing/>
              <w:jc w:val="both"/>
              <w:rPr>
                <w:rFonts w:asciiTheme="minorHAnsi" w:hAnsiTheme="minorHAnsi" w:cs="Calibri"/>
                <w:sz w:val="19"/>
              </w:rPr>
            </w:pPr>
          </w:p>
        </w:tc>
      </w:tr>
      <w:tr w:rsidR="00A56ACE" w:rsidRPr="00A56ACE" w14:paraId="541F1416" w14:textId="77777777" w:rsidTr="00425DB6">
        <w:trPr>
          <w:trHeight w:val="20"/>
        </w:trPr>
        <w:tc>
          <w:tcPr>
            <w:tcW w:w="2400" w:type="dxa"/>
          </w:tcPr>
          <w:p w14:paraId="74E74364" w14:textId="342009EF" w:rsidR="00A56ACE" w:rsidRPr="00A56ACE" w:rsidRDefault="00BF7C39" w:rsidP="00E9655B">
            <w:pPr>
              <w:spacing w:before="0" w:after="0" w:line="240" w:lineRule="auto"/>
              <w:ind w:left="0"/>
              <w:contextualSpacing/>
              <w:rPr>
                <w:rFonts w:asciiTheme="minorHAnsi" w:hAnsiTheme="minorHAnsi" w:cs="Calibri"/>
                <w:b/>
                <w:sz w:val="19"/>
              </w:rPr>
            </w:pPr>
            <w:r>
              <w:rPr>
                <w:rFonts w:asciiTheme="minorHAnsi" w:hAnsiTheme="minorHAnsi" w:cs="Calibri"/>
                <w:sz w:val="19"/>
              </w:rPr>
              <w:t xml:space="preserve">≤ </w:t>
            </w:r>
            <w:r w:rsidR="00A56ACE" w:rsidRPr="00A56ACE">
              <w:rPr>
                <w:rFonts w:asciiTheme="minorHAnsi" w:hAnsiTheme="minorHAnsi" w:cs="Calibri"/>
                <w:sz w:val="19"/>
              </w:rPr>
              <w:t>65</w:t>
            </w:r>
          </w:p>
        </w:tc>
        <w:tc>
          <w:tcPr>
            <w:tcW w:w="1276" w:type="dxa"/>
          </w:tcPr>
          <w:p w14:paraId="67114C7C"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color w:val="231F20"/>
                <w:w w:val="105"/>
                <w:sz w:val="19"/>
              </w:rPr>
              <w:t>20 (37%)</w:t>
            </w:r>
          </w:p>
        </w:tc>
        <w:tc>
          <w:tcPr>
            <w:tcW w:w="3549" w:type="dxa"/>
            <w:gridSpan w:val="3"/>
          </w:tcPr>
          <w:p w14:paraId="1DB02650"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Absent</w:t>
            </w:r>
          </w:p>
        </w:tc>
        <w:tc>
          <w:tcPr>
            <w:tcW w:w="1270" w:type="dxa"/>
          </w:tcPr>
          <w:p w14:paraId="09BA88CF" w14:textId="77777777" w:rsidR="00A56ACE" w:rsidRPr="00A56ACE" w:rsidRDefault="00A56ACE" w:rsidP="00E9655B">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42 (78%)</w:t>
            </w:r>
          </w:p>
        </w:tc>
      </w:tr>
      <w:tr w:rsidR="00A56ACE" w:rsidRPr="00A56ACE" w14:paraId="39A658E2" w14:textId="77777777" w:rsidTr="00425DB6">
        <w:trPr>
          <w:trHeight w:val="20"/>
        </w:trPr>
        <w:tc>
          <w:tcPr>
            <w:tcW w:w="2400" w:type="dxa"/>
          </w:tcPr>
          <w:p w14:paraId="4752743F"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Gender, n</w:t>
            </w:r>
          </w:p>
        </w:tc>
        <w:tc>
          <w:tcPr>
            <w:tcW w:w="1276" w:type="dxa"/>
          </w:tcPr>
          <w:p w14:paraId="41427013"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2CD264EA"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Present</w:t>
            </w:r>
          </w:p>
        </w:tc>
        <w:tc>
          <w:tcPr>
            <w:tcW w:w="1270" w:type="dxa"/>
          </w:tcPr>
          <w:p w14:paraId="1E7640F2" w14:textId="77777777" w:rsidR="00A56ACE" w:rsidRPr="00A56ACE" w:rsidRDefault="00A56ACE" w:rsidP="00E9655B">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10 (19%)</w:t>
            </w:r>
          </w:p>
        </w:tc>
      </w:tr>
      <w:tr w:rsidR="00A56ACE" w:rsidRPr="00A56ACE" w14:paraId="41717FE9" w14:textId="77777777" w:rsidTr="00425DB6">
        <w:trPr>
          <w:trHeight w:val="20"/>
        </w:trPr>
        <w:tc>
          <w:tcPr>
            <w:tcW w:w="2400" w:type="dxa"/>
          </w:tcPr>
          <w:p w14:paraId="3DACAF31"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Female</w:t>
            </w:r>
          </w:p>
        </w:tc>
        <w:tc>
          <w:tcPr>
            <w:tcW w:w="1276" w:type="dxa"/>
          </w:tcPr>
          <w:p w14:paraId="24C9C385"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32 (59%)</w:t>
            </w:r>
          </w:p>
        </w:tc>
        <w:tc>
          <w:tcPr>
            <w:tcW w:w="3549" w:type="dxa"/>
            <w:gridSpan w:val="3"/>
          </w:tcPr>
          <w:p w14:paraId="6B5E7B30"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Measurable</w:t>
            </w:r>
          </w:p>
        </w:tc>
        <w:tc>
          <w:tcPr>
            <w:tcW w:w="1270" w:type="dxa"/>
          </w:tcPr>
          <w:p w14:paraId="22A8D148" w14:textId="77777777" w:rsidR="00A56ACE" w:rsidRPr="00A56ACE" w:rsidRDefault="00A56ACE" w:rsidP="00E9655B">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2 (4%)</w:t>
            </w:r>
          </w:p>
        </w:tc>
      </w:tr>
      <w:tr w:rsidR="00A56ACE" w:rsidRPr="00A56ACE" w14:paraId="2B38F56A" w14:textId="77777777" w:rsidTr="00425DB6">
        <w:trPr>
          <w:trHeight w:val="20"/>
        </w:trPr>
        <w:tc>
          <w:tcPr>
            <w:tcW w:w="2400" w:type="dxa"/>
          </w:tcPr>
          <w:p w14:paraId="3A44F5CC"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Male</w:t>
            </w:r>
          </w:p>
        </w:tc>
        <w:tc>
          <w:tcPr>
            <w:tcW w:w="1276" w:type="dxa"/>
          </w:tcPr>
          <w:p w14:paraId="02965906"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22 (41%)</w:t>
            </w:r>
          </w:p>
        </w:tc>
        <w:tc>
          <w:tcPr>
            <w:tcW w:w="3549" w:type="dxa"/>
            <w:gridSpan w:val="3"/>
          </w:tcPr>
          <w:p w14:paraId="5CE1DA59"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b/>
                <w:color w:val="231F20"/>
                <w:w w:val="105"/>
                <w:sz w:val="19"/>
              </w:rPr>
              <w:t>Tumour type</w:t>
            </w:r>
          </w:p>
        </w:tc>
        <w:tc>
          <w:tcPr>
            <w:tcW w:w="1270" w:type="dxa"/>
          </w:tcPr>
          <w:p w14:paraId="5F8277C0" w14:textId="77777777" w:rsidR="00A56ACE" w:rsidRPr="00A56ACE" w:rsidRDefault="00A56ACE" w:rsidP="00E9655B">
            <w:pPr>
              <w:spacing w:before="0" w:after="0" w:line="240" w:lineRule="auto"/>
              <w:ind w:left="0"/>
              <w:contextualSpacing/>
              <w:jc w:val="both"/>
              <w:rPr>
                <w:rFonts w:asciiTheme="minorHAnsi" w:hAnsiTheme="minorHAnsi" w:cs="Calibri"/>
                <w:sz w:val="19"/>
              </w:rPr>
            </w:pPr>
          </w:p>
        </w:tc>
      </w:tr>
      <w:tr w:rsidR="00A56ACE" w:rsidRPr="00A56ACE" w14:paraId="4A2E871F" w14:textId="77777777" w:rsidTr="00425DB6">
        <w:trPr>
          <w:trHeight w:val="20"/>
        </w:trPr>
        <w:tc>
          <w:tcPr>
            <w:tcW w:w="2400" w:type="dxa"/>
          </w:tcPr>
          <w:p w14:paraId="432BB63B" w14:textId="77777777" w:rsidR="00A56ACE" w:rsidRPr="00A56ACE" w:rsidRDefault="00A56ACE" w:rsidP="00D6732A">
            <w:pPr>
              <w:spacing w:before="0" w:after="0" w:line="240" w:lineRule="auto"/>
              <w:contextualSpacing/>
              <w:rPr>
                <w:rFonts w:asciiTheme="minorHAnsi" w:hAnsiTheme="minorHAnsi" w:cs="Calibri"/>
                <w:b/>
                <w:sz w:val="19"/>
              </w:rPr>
            </w:pPr>
            <w:r w:rsidRPr="00A56ACE">
              <w:rPr>
                <w:rFonts w:asciiTheme="minorHAnsi" w:hAnsiTheme="minorHAnsi" w:cs="Calibri"/>
                <w:b/>
                <w:sz w:val="19"/>
              </w:rPr>
              <w:t>Race, n</w:t>
            </w:r>
          </w:p>
        </w:tc>
        <w:tc>
          <w:tcPr>
            <w:tcW w:w="1276" w:type="dxa"/>
          </w:tcPr>
          <w:p w14:paraId="7EFABD49"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743CA123" w14:textId="77777777" w:rsidR="00A56ACE" w:rsidRPr="00A56ACE" w:rsidRDefault="00A56ACE" w:rsidP="00425DB6">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Sarcoma: MPNST (1), GIST (1), chondrosarcoma</w:t>
            </w:r>
          </w:p>
        </w:tc>
        <w:tc>
          <w:tcPr>
            <w:tcW w:w="1270" w:type="dxa"/>
          </w:tcPr>
          <w:p w14:paraId="54FEB339" w14:textId="77777777" w:rsidR="00A56ACE" w:rsidRPr="00A56ACE" w:rsidRDefault="00A56ACE" w:rsidP="00E9655B">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13 (24%)</w:t>
            </w:r>
          </w:p>
        </w:tc>
      </w:tr>
      <w:tr w:rsidR="00A56ACE" w:rsidRPr="00A56ACE" w14:paraId="47BEED13" w14:textId="77777777" w:rsidTr="00425DB6">
        <w:trPr>
          <w:trHeight w:val="20"/>
        </w:trPr>
        <w:tc>
          <w:tcPr>
            <w:tcW w:w="2400" w:type="dxa"/>
          </w:tcPr>
          <w:p w14:paraId="76027BF0" w14:textId="77777777" w:rsidR="00A56ACE" w:rsidRPr="00A56ACE" w:rsidRDefault="00A56ACE" w:rsidP="00D6732A">
            <w:pPr>
              <w:spacing w:before="0" w:after="0" w:line="240" w:lineRule="auto"/>
              <w:contextualSpacing/>
              <w:rPr>
                <w:rFonts w:asciiTheme="minorHAnsi" w:hAnsiTheme="minorHAnsi" w:cs="Calibri"/>
                <w:b/>
                <w:sz w:val="19"/>
              </w:rPr>
            </w:pPr>
            <w:r w:rsidRPr="00A56ACE">
              <w:rPr>
                <w:rFonts w:asciiTheme="minorHAnsi" w:hAnsiTheme="minorHAnsi" w:cs="Calibri"/>
                <w:sz w:val="19"/>
              </w:rPr>
              <w:t>Asian</w:t>
            </w:r>
          </w:p>
        </w:tc>
        <w:tc>
          <w:tcPr>
            <w:tcW w:w="1276" w:type="dxa"/>
          </w:tcPr>
          <w:p w14:paraId="5859918F" w14:textId="77777777" w:rsidR="00A56ACE" w:rsidRPr="00A56ACE" w:rsidRDefault="00A56ACE" w:rsidP="00425DB6">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7 (13%)</w:t>
            </w:r>
          </w:p>
        </w:tc>
        <w:tc>
          <w:tcPr>
            <w:tcW w:w="3549" w:type="dxa"/>
            <w:gridSpan w:val="3"/>
          </w:tcPr>
          <w:p w14:paraId="7F320006" w14:textId="77777777" w:rsidR="00A56ACE" w:rsidRPr="00A56ACE" w:rsidRDefault="00A56ACE" w:rsidP="00425DB6">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NSCLC: Adeno and squamous cell (1)</w:t>
            </w:r>
          </w:p>
        </w:tc>
        <w:tc>
          <w:tcPr>
            <w:tcW w:w="1270" w:type="dxa"/>
          </w:tcPr>
          <w:p w14:paraId="3C37E7A8" w14:textId="77777777" w:rsidR="00A56ACE" w:rsidRPr="00A56ACE" w:rsidRDefault="00A56ACE" w:rsidP="00D6732A">
            <w:pPr>
              <w:spacing w:before="0" w:after="0" w:line="240" w:lineRule="auto"/>
              <w:contextualSpacing/>
              <w:jc w:val="both"/>
              <w:rPr>
                <w:rFonts w:asciiTheme="minorHAnsi" w:hAnsiTheme="minorHAnsi" w:cs="Calibri"/>
                <w:sz w:val="19"/>
              </w:rPr>
            </w:pPr>
            <w:r w:rsidRPr="00A56ACE">
              <w:rPr>
                <w:rFonts w:asciiTheme="minorHAnsi" w:hAnsiTheme="minorHAnsi" w:cs="Calibri"/>
                <w:color w:val="231F20"/>
                <w:w w:val="105"/>
                <w:sz w:val="19"/>
              </w:rPr>
              <w:t>10 (19%)</w:t>
            </w:r>
          </w:p>
        </w:tc>
      </w:tr>
      <w:tr w:rsidR="00A56ACE" w:rsidRPr="00A56ACE" w14:paraId="713562BC" w14:textId="77777777" w:rsidTr="00425DB6">
        <w:trPr>
          <w:trHeight w:val="20"/>
        </w:trPr>
        <w:tc>
          <w:tcPr>
            <w:tcW w:w="2400" w:type="dxa"/>
          </w:tcPr>
          <w:p w14:paraId="0299D1F7"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Not reported</w:t>
            </w:r>
          </w:p>
        </w:tc>
        <w:tc>
          <w:tcPr>
            <w:tcW w:w="1276" w:type="dxa"/>
          </w:tcPr>
          <w:p w14:paraId="62189EF6"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4 (7%)</w:t>
            </w:r>
          </w:p>
        </w:tc>
        <w:tc>
          <w:tcPr>
            <w:tcW w:w="3549" w:type="dxa"/>
            <w:gridSpan w:val="3"/>
          </w:tcPr>
          <w:p w14:paraId="65971FFB"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Salivary gland (MASC)</w:t>
            </w:r>
          </w:p>
        </w:tc>
        <w:tc>
          <w:tcPr>
            <w:tcW w:w="1270" w:type="dxa"/>
          </w:tcPr>
          <w:p w14:paraId="71B2BE24" w14:textId="203C5AC6" w:rsidR="00A56ACE" w:rsidRPr="00A56ACE" w:rsidRDefault="00425DB6" w:rsidP="00425DB6">
            <w:pPr>
              <w:spacing w:before="0" w:after="0" w:line="240" w:lineRule="auto"/>
              <w:ind w:left="0"/>
              <w:contextualSpacing/>
              <w:jc w:val="both"/>
              <w:rPr>
                <w:rFonts w:asciiTheme="minorHAnsi" w:hAnsiTheme="minorHAnsi" w:cs="Calibri"/>
                <w:sz w:val="19"/>
              </w:rPr>
            </w:pPr>
            <w:r>
              <w:rPr>
                <w:rFonts w:asciiTheme="minorHAnsi" w:hAnsiTheme="minorHAnsi" w:cs="Calibri"/>
                <w:color w:val="231F20"/>
                <w:w w:val="105"/>
                <w:sz w:val="19"/>
              </w:rPr>
              <w:t xml:space="preserve">7 </w:t>
            </w:r>
            <w:r w:rsidR="00A56ACE" w:rsidRPr="00A56ACE">
              <w:rPr>
                <w:rFonts w:asciiTheme="minorHAnsi" w:hAnsiTheme="minorHAnsi" w:cs="Calibri"/>
                <w:color w:val="231F20"/>
                <w:w w:val="105"/>
                <w:sz w:val="19"/>
              </w:rPr>
              <w:t>(13%)</w:t>
            </w:r>
          </w:p>
        </w:tc>
      </w:tr>
      <w:tr w:rsidR="00A56ACE" w:rsidRPr="00A56ACE" w14:paraId="65EC9146" w14:textId="77777777" w:rsidTr="00425DB6">
        <w:trPr>
          <w:trHeight w:val="20"/>
        </w:trPr>
        <w:tc>
          <w:tcPr>
            <w:tcW w:w="2400" w:type="dxa"/>
          </w:tcPr>
          <w:p w14:paraId="2819C9A6"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White</w:t>
            </w:r>
          </w:p>
        </w:tc>
        <w:tc>
          <w:tcPr>
            <w:tcW w:w="1276" w:type="dxa"/>
          </w:tcPr>
          <w:p w14:paraId="0059A8D2" w14:textId="5F4C3DFA" w:rsidR="00A56ACE" w:rsidRPr="00A56ACE" w:rsidRDefault="00E9655B" w:rsidP="00E9655B">
            <w:pPr>
              <w:spacing w:before="0" w:after="0" w:line="240" w:lineRule="auto"/>
              <w:ind w:left="0"/>
              <w:contextualSpacing/>
              <w:rPr>
                <w:rFonts w:asciiTheme="minorHAnsi" w:hAnsiTheme="minorHAnsi" w:cs="Calibri"/>
                <w:sz w:val="19"/>
              </w:rPr>
            </w:pPr>
            <w:r>
              <w:rPr>
                <w:rFonts w:asciiTheme="minorHAnsi" w:hAnsiTheme="minorHAnsi" w:cs="Calibri"/>
                <w:sz w:val="19"/>
              </w:rPr>
              <w:t xml:space="preserve">43 </w:t>
            </w:r>
            <w:r w:rsidR="00A56ACE" w:rsidRPr="00A56ACE">
              <w:rPr>
                <w:rFonts w:asciiTheme="minorHAnsi" w:hAnsiTheme="minorHAnsi" w:cs="Calibri"/>
                <w:sz w:val="19"/>
              </w:rPr>
              <w:t>(80%)</w:t>
            </w:r>
          </w:p>
        </w:tc>
        <w:tc>
          <w:tcPr>
            <w:tcW w:w="3549" w:type="dxa"/>
            <w:gridSpan w:val="3"/>
          </w:tcPr>
          <w:p w14:paraId="0AAE26A8"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 xml:space="preserve">Breast: </w:t>
            </w:r>
            <w:proofErr w:type="spellStart"/>
            <w:r w:rsidRPr="00A56ACE">
              <w:rPr>
                <w:rFonts w:asciiTheme="minorHAnsi" w:hAnsiTheme="minorHAnsi" w:cs="Calibri"/>
                <w:color w:val="231F20"/>
                <w:w w:val="105"/>
                <w:sz w:val="19"/>
              </w:rPr>
              <w:t>nonsecretory</w:t>
            </w:r>
            <w:proofErr w:type="spellEnd"/>
            <w:r w:rsidRPr="00A56ACE">
              <w:rPr>
                <w:rFonts w:asciiTheme="minorHAnsi" w:hAnsiTheme="minorHAnsi" w:cs="Calibri"/>
                <w:color w:val="231F20"/>
                <w:w w:val="105"/>
                <w:sz w:val="19"/>
              </w:rPr>
              <w:t xml:space="preserve"> (1)</w:t>
            </w:r>
          </w:p>
        </w:tc>
        <w:tc>
          <w:tcPr>
            <w:tcW w:w="1270" w:type="dxa"/>
          </w:tcPr>
          <w:p w14:paraId="560DAE82"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6 (11%)</w:t>
            </w:r>
          </w:p>
        </w:tc>
      </w:tr>
      <w:tr w:rsidR="00A56ACE" w:rsidRPr="00A56ACE" w14:paraId="73A5C7D9" w14:textId="77777777" w:rsidTr="00425DB6">
        <w:trPr>
          <w:trHeight w:val="20"/>
        </w:trPr>
        <w:tc>
          <w:tcPr>
            <w:tcW w:w="2400" w:type="dxa"/>
          </w:tcPr>
          <w:p w14:paraId="3F8E161A"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Ethnicity</w:t>
            </w:r>
          </w:p>
        </w:tc>
        <w:tc>
          <w:tcPr>
            <w:tcW w:w="1276" w:type="dxa"/>
          </w:tcPr>
          <w:p w14:paraId="48F2BDF5"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236E4A08"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Thyroid: papillary, anaplastic</w:t>
            </w:r>
          </w:p>
        </w:tc>
        <w:tc>
          <w:tcPr>
            <w:tcW w:w="1270" w:type="dxa"/>
          </w:tcPr>
          <w:p w14:paraId="591AC934" w14:textId="7FBB765F" w:rsidR="00A56ACE" w:rsidRPr="00A56ACE" w:rsidRDefault="00425DB6" w:rsidP="00425DB6">
            <w:pPr>
              <w:spacing w:before="0" w:after="0" w:line="240" w:lineRule="auto"/>
              <w:ind w:left="0"/>
              <w:contextualSpacing/>
              <w:jc w:val="both"/>
              <w:rPr>
                <w:rFonts w:asciiTheme="minorHAnsi" w:hAnsiTheme="minorHAnsi" w:cs="Calibri"/>
                <w:sz w:val="19"/>
              </w:rPr>
            </w:pPr>
            <w:r>
              <w:rPr>
                <w:rFonts w:asciiTheme="minorHAnsi" w:hAnsiTheme="minorHAnsi" w:cs="Calibri"/>
                <w:color w:val="231F20"/>
                <w:w w:val="105"/>
                <w:sz w:val="19"/>
              </w:rPr>
              <w:t xml:space="preserve">5 </w:t>
            </w:r>
            <w:r w:rsidR="00A56ACE" w:rsidRPr="00A56ACE">
              <w:rPr>
                <w:rFonts w:asciiTheme="minorHAnsi" w:hAnsiTheme="minorHAnsi" w:cs="Calibri"/>
                <w:color w:val="231F20"/>
                <w:w w:val="105"/>
                <w:sz w:val="19"/>
              </w:rPr>
              <w:t>(9%)</w:t>
            </w:r>
          </w:p>
        </w:tc>
      </w:tr>
      <w:tr w:rsidR="00A56ACE" w:rsidRPr="00A56ACE" w14:paraId="1F0E7B84" w14:textId="77777777" w:rsidTr="00425DB6">
        <w:trPr>
          <w:trHeight w:val="20"/>
        </w:trPr>
        <w:tc>
          <w:tcPr>
            <w:tcW w:w="2400" w:type="dxa"/>
          </w:tcPr>
          <w:p w14:paraId="39F0C89E" w14:textId="7D9D1944"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Hispanic or Latino</w:t>
            </w:r>
          </w:p>
        </w:tc>
        <w:tc>
          <w:tcPr>
            <w:tcW w:w="1276" w:type="dxa"/>
          </w:tcPr>
          <w:p w14:paraId="654D27BE"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4 (7%)</w:t>
            </w:r>
          </w:p>
        </w:tc>
        <w:tc>
          <w:tcPr>
            <w:tcW w:w="3549" w:type="dxa"/>
            <w:gridSpan w:val="3"/>
          </w:tcPr>
          <w:p w14:paraId="5BFA95C3"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 xml:space="preserve">Colorectal </w:t>
            </w:r>
          </w:p>
        </w:tc>
        <w:tc>
          <w:tcPr>
            <w:tcW w:w="1270" w:type="dxa"/>
          </w:tcPr>
          <w:p w14:paraId="37504FB4"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4 (7%)</w:t>
            </w:r>
          </w:p>
        </w:tc>
      </w:tr>
      <w:tr w:rsidR="00A56ACE" w:rsidRPr="00A56ACE" w14:paraId="0E5C2E02" w14:textId="77777777" w:rsidTr="00425DB6">
        <w:trPr>
          <w:trHeight w:val="20"/>
        </w:trPr>
        <w:tc>
          <w:tcPr>
            <w:tcW w:w="2400" w:type="dxa"/>
          </w:tcPr>
          <w:p w14:paraId="09A5499A"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Not Hispanic or Latino</w:t>
            </w:r>
          </w:p>
        </w:tc>
        <w:tc>
          <w:tcPr>
            <w:tcW w:w="1276" w:type="dxa"/>
          </w:tcPr>
          <w:p w14:paraId="250559D6"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45 (83%)</w:t>
            </w:r>
          </w:p>
        </w:tc>
        <w:tc>
          <w:tcPr>
            <w:tcW w:w="3549" w:type="dxa"/>
            <w:gridSpan w:val="3"/>
          </w:tcPr>
          <w:p w14:paraId="595425C1"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Neuroendocrine</w:t>
            </w:r>
          </w:p>
        </w:tc>
        <w:tc>
          <w:tcPr>
            <w:tcW w:w="1270" w:type="dxa"/>
          </w:tcPr>
          <w:p w14:paraId="0C39541A"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3 (6%)</w:t>
            </w:r>
          </w:p>
        </w:tc>
      </w:tr>
      <w:tr w:rsidR="00A56ACE" w:rsidRPr="00A56ACE" w14:paraId="5F14B069" w14:textId="77777777" w:rsidTr="00425DB6">
        <w:trPr>
          <w:trHeight w:val="20"/>
        </w:trPr>
        <w:tc>
          <w:tcPr>
            <w:tcW w:w="2400" w:type="dxa"/>
          </w:tcPr>
          <w:p w14:paraId="015DBDED"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Missing</w:t>
            </w:r>
          </w:p>
        </w:tc>
        <w:tc>
          <w:tcPr>
            <w:tcW w:w="1276" w:type="dxa"/>
          </w:tcPr>
          <w:p w14:paraId="044BCD3F"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1 (2%)</w:t>
            </w:r>
          </w:p>
        </w:tc>
        <w:tc>
          <w:tcPr>
            <w:tcW w:w="3549" w:type="dxa"/>
            <w:gridSpan w:val="3"/>
          </w:tcPr>
          <w:p w14:paraId="6B0D9A70"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Pancreatic</w:t>
            </w:r>
          </w:p>
        </w:tc>
        <w:tc>
          <w:tcPr>
            <w:tcW w:w="1270" w:type="dxa"/>
          </w:tcPr>
          <w:p w14:paraId="03EABB00"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3 (6%)</w:t>
            </w:r>
          </w:p>
        </w:tc>
      </w:tr>
      <w:tr w:rsidR="00A56ACE" w:rsidRPr="00A56ACE" w14:paraId="0E06544B" w14:textId="77777777" w:rsidTr="00425DB6">
        <w:trPr>
          <w:trHeight w:val="20"/>
        </w:trPr>
        <w:tc>
          <w:tcPr>
            <w:tcW w:w="2400" w:type="dxa"/>
          </w:tcPr>
          <w:p w14:paraId="37C09BF0"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Unknown or Not Reported</w:t>
            </w:r>
          </w:p>
        </w:tc>
        <w:tc>
          <w:tcPr>
            <w:tcW w:w="1276" w:type="dxa"/>
          </w:tcPr>
          <w:p w14:paraId="732B2053"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4 (7%)</w:t>
            </w:r>
          </w:p>
        </w:tc>
        <w:tc>
          <w:tcPr>
            <w:tcW w:w="3549" w:type="dxa"/>
            <w:gridSpan w:val="3"/>
          </w:tcPr>
          <w:p w14:paraId="5883FDB2"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color w:val="231F20"/>
                <w:w w:val="105"/>
                <w:sz w:val="19"/>
              </w:rPr>
              <w:t xml:space="preserve">Gynaecological: </w:t>
            </w:r>
            <w:proofErr w:type="spellStart"/>
            <w:r w:rsidRPr="00A56ACE">
              <w:rPr>
                <w:rFonts w:asciiTheme="minorHAnsi" w:hAnsiTheme="minorHAnsi" w:cs="Calibri"/>
                <w:color w:val="231F20"/>
                <w:w w:val="105"/>
                <w:sz w:val="19"/>
              </w:rPr>
              <w:t>endometroid</w:t>
            </w:r>
            <w:proofErr w:type="spellEnd"/>
            <w:r w:rsidRPr="00A56ACE">
              <w:rPr>
                <w:rFonts w:asciiTheme="minorHAnsi" w:hAnsiTheme="minorHAnsi" w:cs="Calibri"/>
                <w:color w:val="231F20"/>
                <w:w w:val="105"/>
                <w:sz w:val="19"/>
              </w:rPr>
              <w:t>, ovarian</w:t>
            </w:r>
          </w:p>
        </w:tc>
        <w:tc>
          <w:tcPr>
            <w:tcW w:w="1270" w:type="dxa"/>
          </w:tcPr>
          <w:p w14:paraId="5AA88515"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2 (4%)</w:t>
            </w:r>
          </w:p>
        </w:tc>
      </w:tr>
      <w:tr w:rsidR="00A56ACE" w:rsidRPr="00A56ACE" w14:paraId="123BE854" w14:textId="77777777" w:rsidTr="00425DB6">
        <w:trPr>
          <w:trHeight w:val="20"/>
        </w:trPr>
        <w:tc>
          <w:tcPr>
            <w:tcW w:w="2400" w:type="dxa"/>
          </w:tcPr>
          <w:p w14:paraId="23DC76AC"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ECOG performance status</w:t>
            </w:r>
          </w:p>
        </w:tc>
        <w:tc>
          <w:tcPr>
            <w:tcW w:w="1276" w:type="dxa"/>
          </w:tcPr>
          <w:p w14:paraId="5BC16B84"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26468849"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proofErr w:type="spellStart"/>
            <w:r w:rsidRPr="00A56ACE">
              <w:rPr>
                <w:rFonts w:asciiTheme="minorHAnsi" w:hAnsiTheme="minorHAnsi" w:cs="Calibri"/>
                <w:color w:val="231F20"/>
                <w:w w:val="105"/>
                <w:sz w:val="19"/>
              </w:rPr>
              <w:t>Cholangiocarcinoma</w:t>
            </w:r>
            <w:proofErr w:type="spellEnd"/>
          </w:p>
        </w:tc>
        <w:tc>
          <w:tcPr>
            <w:tcW w:w="1270" w:type="dxa"/>
          </w:tcPr>
          <w:p w14:paraId="7AE7307B"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 (2%)</w:t>
            </w:r>
          </w:p>
        </w:tc>
      </w:tr>
      <w:tr w:rsidR="00A56ACE" w:rsidRPr="00A56ACE" w14:paraId="00B7C6BE" w14:textId="77777777" w:rsidTr="00425DB6">
        <w:trPr>
          <w:trHeight w:val="20"/>
        </w:trPr>
        <w:tc>
          <w:tcPr>
            <w:tcW w:w="2400" w:type="dxa"/>
          </w:tcPr>
          <w:p w14:paraId="1F4CABEB"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0</w:t>
            </w:r>
          </w:p>
        </w:tc>
        <w:tc>
          <w:tcPr>
            <w:tcW w:w="1276" w:type="dxa"/>
          </w:tcPr>
          <w:p w14:paraId="5B6C2232"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color w:val="231F20"/>
                <w:w w:val="105"/>
                <w:sz w:val="19"/>
              </w:rPr>
              <w:t>23 (43%)</w:t>
            </w:r>
          </w:p>
        </w:tc>
        <w:tc>
          <w:tcPr>
            <w:tcW w:w="3549" w:type="dxa"/>
            <w:gridSpan w:val="3"/>
          </w:tcPr>
          <w:p w14:paraId="5E68D179" w14:textId="77777777" w:rsidR="00A56ACE" w:rsidRPr="00A56ACE" w:rsidRDefault="00A56ACE" w:rsidP="00E9655B">
            <w:pPr>
              <w:spacing w:before="0" w:after="0" w:line="240" w:lineRule="auto"/>
              <w:ind w:left="0"/>
              <w:contextualSpacing/>
              <w:rPr>
                <w:rFonts w:asciiTheme="minorHAnsi" w:hAnsiTheme="minorHAnsi" w:cs="Calibri"/>
                <w:b/>
                <w:color w:val="231F20"/>
                <w:sz w:val="19"/>
                <w:szCs w:val="19"/>
              </w:rPr>
            </w:pPr>
            <w:r w:rsidRPr="00A56ACE">
              <w:rPr>
                <w:rFonts w:asciiTheme="minorHAnsi" w:hAnsiTheme="minorHAnsi" w:cs="Calibri"/>
                <w:b/>
                <w:color w:val="231F20"/>
                <w:w w:val="105"/>
                <w:sz w:val="19"/>
              </w:rPr>
              <w:t>Prior Radiotherapy of the Brain</w:t>
            </w:r>
          </w:p>
        </w:tc>
        <w:tc>
          <w:tcPr>
            <w:tcW w:w="1270" w:type="dxa"/>
          </w:tcPr>
          <w:p w14:paraId="7638EBB7" w14:textId="77777777" w:rsidR="00A56ACE" w:rsidRPr="00A56ACE" w:rsidRDefault="00A56ACE" w:rsidP="00425DB6">
            <w:pPr>
              <w:spacing w:before="0" w:after="0" w:line="240" w:lineRule="auto"/>
              <w:ind w:left="0"/>
              <w:contextualSpacing/>
              <w:jc w:val="both"/>
              <w:rPr>
                <w:rFonts w:asciiTheme="minorHAnsi" w:hAnsiTheme="minorHAnsi" w:cs="Calibri"/>
                <w:sz w:val="19"/>
              </w:rPr>
            </w:pPr>
          </w:p>
        </w:tc>
      </w:tr>
      <w:tr w:rsidR="00A56ACE" w:rsidRPr="00A56ACE" w14:paraId="5C861FC7" w14:textId="77777777" w:rsidTr="00425DB6">
        <w:trPr>
          <w:trHeight w:val="20"/>
        </w:trPr>
        <w:tc>
          <w:tcPr>
            <w:tcW w:w="2400" w:type="dxa"/>
          </w:tcPr>
          <w:p w14:paraId="255012DC"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1</w:t>
            </w:r>
          </w:p>
        </w:tc>
        <w:tc>
          <w:tcPr>
            <w:tcW w:w="1276" w:type="dxa"/>
          </w:tcPr>
          <w:p w14:paraId="0BF03F5E" w14:textId="77777777" w:rsidR="00A56ACE" w:rsidRPr="00A56ACE" w:rsidRDefault="00A56ACE" w:rsidP="00E9655B">
            <w:pPr>
              <w:spacing w:before="0" w:after="0" w:line="240" w:lineRule="auto"/>
              <w:ind w:left="0"/>
              <w:contextualSpacing/>
              <w:rPr>
                <w:rFonts w:asciiTheme="minorHAnsi" w:hAnsiTheme="minorHAnsi" w:cs="Calibri"/>
                <w:color w:val="231F20"/>
                <w:w w:val="105"/>
                <w:sz w:val="19"/>
              </w:rPr>
            </w:pPr>
            <w:r w:rsidRPr="00A56ACE">
              <w:rPr>
                <w:rFonts w:asciiTheme="minorHAnsi" w:hAnsiTheme="minorHAnsi" w:cs="Calibri"/>
                <w:color w:val="231F20"/>
                <w:w w:val="105"/>
                <w:sz w:val="19"/>
              </w:rPr>
              <w:t>25 (46%)</w:t>
            </w:r>
          </w:p>
        </w:tc>
        <w:tc>
          <w:tcPr>
            <w:tcW w:w="3549" w:type="dxa"/>
            <w:gridSpan w:val="3"/>
          </w:tcPr>
          <w:p w14:paraId="1ABBB608" w14:textId="77777777" w:rsidR="00A56ACE" w:rsidRPr="00A56ACE" w:rsidRDefault="00A56ACE" w:rsidP="00E9655B">
            <w:pPr>
              <w:spacing w:before="0" w:after="0" w:line="240" w:lineRule="auto"/>
              <w:ind w:left="0"/>
              <w:contextualSpacing/>
              <w:rPr>
                <w:rFonts w:asciiTheme="minorHAnsi" w:hAnsiTheme="minorHAnsi" w:cs="Calibri"/>
                <w:color w:val="231F20"/>
                <w:w w:val="105"/>
                <w:sz w:val="19"/>
              </w:rPr>
            </w:pPr>
            <w:r w:rsidRPr="00A56ACE">
              <w:rPr>
                <w:rFonts w:asciiTheme="minorHAnsi" w:hAnsiTheme="minorHAnsi" w:cs="Calibri"/>
                <w:color w:val="231F20"/>
                <w:w w:val="105"/>
                <w:sz w:val="19"/>
              </w:rPr>
              <w:t>Yes</w:t>
            </w:r>
          </w:p>
        </w:tc>
        <w:tc>
          <w:tcPr>
            <w:tcW w:w="1270" w:type="dxa"/>
          </w:tcPr>
          <w:p w14:paraId="2E430791" w14:textId="77777777" w:rsidR="00A56ACE" w:rsidRPr="00A56ACE" w:rsidRDefault="00A56ACE" w:rsidP="00425DB6">
            <w:pPr>
              <w:spacing w:before="0" w:after="0" w:line="240" w:lineRule="auto"/>
              <w:ind w:left="0"/>
              <w:contextualSpacing/>
              <w:jc w:val="both"/>
              <w:rPr>
                <w:rFonts w:asciiTheme="minorHAnsi" w:hAnsiTheme="minorHAnsi" w:cs="Calibri"/>
                <w:color w:val="231F20"/>
                <w:w w:val="105"/>
                <w:sz w:val="19"/>
              </w:rPr>
            </w:pPr>
            <w:r w:rsidRPr="00A56ACE">
              <w:rPr>
                <w:rFonts w:asciiTheme="minorHAnsi" w:hAnsiTheme="minorHAnsi" w:cs="Calibri"/>
                <w:color w:val="231F20"/>
                <w:w w:val="105"/>
                <w:sz w:val="19"/>
              </w:rPr>
              <w:t>7 (13%)</w:t>
            </w:r>
          </w:p>
        </w:tc>
      </w:tr>
      <w:tr w:rsidR="00A56ACE" w:rsidRPr="00A56ACE" w14:paraId="3023D448" w14:textId="77777777" w:rsidTr="00425DB6">
        <w:trPr>
          <w:trHeight w:val="20"/>
        </w:trPr>
        <w:tc>
          <w:tcPr>
            <w:tcW w:w="2400" w:type="dxa"/>
          </w:tcPr>
          <w:p w14:paraId="207DEC2D"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2</w:t>
            </w:r>
          </w:p>
        </w:tc>
        <w:tc>
          <w:tcPr>
            <w:tcW w:w="1276" w:type="dxa"/>
          </w:tcPr>
          <w:p w14:paraId="19DA3219" w14:textId="77777777" w:rsidR="00A56ACE" w:rsidRPr="00A56ACE" w:rsidRDefault="00A56ACE" w:rsidP="00E9655B">
            <w:pPr>
              <w:spacing w:before="0" w:after="0" w:line="240" w:lineRule="auto"/>
              <w:ind w:left="0"/>
              <w:contextualSpacing/>
              <w:rPr>
                <w:rFonts w:asciiTheme="minorHAnsi" w:hAnsiTheme="minorHAnsi" w:cs="Calibri"/>
                <w:color w:val="231F20"/>
                <w:w w:val="105"/>
                <w:sz w:val="19"/>
              </w:rPr>
            </w:pPr>
            <w:r w:rsidRPr="00A56ACE">
              <w:rPr>
                <w:rFonts w:asciiTheme="minorHAnsi" w:hAnsiTheme="minorHAnsi" w:cs="Calibri"/>
                <w:color w:val="231F20"/>
                <w:w w:val="105"/>
                <w:sz w:val="19"/>
              </w:rPr>
              <w:t>6 (11%)</w:t>
            </w:r>
          </w:p>
        </w:tc>
        <w:tc>
          <w:tcPr>
            <w:tcW w:w="3549" w:type="dxa"/>
            <w:gridSpan w:val="3"/>
          </w:tcPr>
          <w:p w14:paraId="62C0A1F3" w14:textId="77777777" w:rsidR="00A56ACE" w:rsidRPr="00A56ACE" w:rsidRDefault="00A56ACE" w:rsidP="00E9655B">
            <w:pPr>
              <w:spacing w:before="0" w:after="0" w:line="240" w:lineRule="auto"/>
              <w:ind w:left="0"/>
              <w:contextualSpacing/>
              <w:rPr>
                <w:rFonts w:asciiTheme="minorHAnsi" w:hAnsiTheme="minorHAnsi" w:cs="Calibri"/>
                <w:color w:val="231F20"/>
                <w:w w:val="105"/>
                <w:sz w:val="19"/>
              </w:rPr>
            </w:pPr>
            <w:r w:rsidRPr="00A56ACE">
              <w:rPr>
                <w:rFonts w:asciiTheme="minorHAnsi" w:hAnsiTheme="minorHAnsi" w:cs="Calibri"/>
                <w:color w:val="231F20"/>
                <w:w w:val="105"/>
                <w:sz w:val="19"/>
              </w:rPr>
              <w:t>No</w:t>
            </w:r>
          </w:p>
        </w:tc>
        <w:tc>
          <w:tcPr>
            <w:tcW w:w="1270" w:type="dxa"/>
          </w:tcPr>
          <w:p w14:paraId="1311E250" w14:textId="77777777" w:rsidR="00A56ACE" w:rsidRPr="00A56ACE" w:rsidRDefault="00A56ACE" w:rsidP="00425DB6">
            <w:pPr>
              <w:spacing w:before="0" w:after="0" w:line="240" w:lineRule="auto"/>
              <w:ind w:left="0"/>
              <w:contextualSpacing/>
              <w:jc w:val="both"/>
              <w:rPr>
                <w:rFonts w:asciiTheme="minorHAnsi" w:hAnsiTheme="minorHAnsi" w:cs="Calibri"/>
                <w:color w:val="231F20"/>
                <w:w w:val="105"/>
                <w:sz w:val="19"/>
              </w:rPr>
            </w:pPr>
            <w:r w:rsidRPr="00A56ACE">
              <w:rPr>
                <w:rFonts w:asciiTheme="minorHAnsi" w:hAnsiTheme="minorHAnsi" w:cs="Calibri"/>
                <w:color w:val="231F20"/>
                <w:w w:val="105"/>
                <w:sz w:val="19"/>
              </w:rPr>
              <w:t>47 (87%)</w:t>
            </w:r>
          </w:p>
        </w:tc>
      </w:tr>
      <w:tr w:rsidR="00A56ACE" w:rsidRPr="00A56ACE" w14:paraId="2EF5C89A" w14:textId="77777777" w:rsidTr="00425DB6">
        <w:trPr>
          <w:trHeight w:val="20"/>
        </w:trPr>
        <w:tc>
          <w:tcPr>
            <w:tcW w:w="2400" w:type="dxa"/>
          </w:tcPr>
          <w:p w14:paraId="699390FD"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Smoking</w:t>
            </w:r>
            <w:r w:rsidRPr="00A56ACE">
              <w:rPr>
                <w:rFonts w:asciiTheme="minorHAnsi" w:hAnsiTheme="minorHAnsi" w:cs="Calibri"/>
                <w:b/>
                <w:color w:val="231F20"/>
                <w:sz w:val="19"/>
                <w:szCs w:val="19"/>
              </w:rPr>
              <w:t xml:space="preserve"> status</w:t>
            </w:r>
          </w:p>
        </w:tc>
        <w:tc>
          <w:tcPr>
            <w:tcW w:w="1276" w:type="dxa"/>
          </w:tcPr>
          <w:p w14:paraId="5D2E3B03" w14:textId="77777777" w:rsidR="00A56ACE" w:rsidRPr="00A56ACE" w:rsidRDefault="00A56ACE" w:rsidP="00E9655B">
            <w:pPr>
              <w:spacing w:before="0" w:after="0" w:line="240" w:lineRule="auto"/>
              <w:ind w:left="0"/>
              <w:contextualSpacing/>
              <w:rPr>
                <w:rFonts w:asciiTheme="minorHAnsi" w:hAnsiTheme="minorHAnsi" w:cs="Calibri"/>
                <w:sz w:val="19"/>
              </w:rPr>
            </w:pPr>
          </w:p>
        </w:tc>
        <w:tc>
          <w:tcPr>
            <w:tcW w:w="3549" w:type="dxa"/>
            <w:gridSpan w:val="3"/>
          </w:tcPr>
          <w:p w14:paraId="519ABAA8"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b/>
                <w:color w:val="231F20"/>
                <w:sz w:val="19"/>
                <w:szCs w:val="19"/>
              </w:rPr>
              <w:t>Prior systemic therapy for this cancer</w:t>
            </w:r>
          </w:p>
        </w:tc>
        <w:tc>
          <w:tcPr>
            <w:tcW w:w="1270" w:type="dxa"/>
          </w:tcPr>
          <w:p w14:paraId="37F78D55" w14:textId="77777777" w:rsidR="00A56ACE" w:rsidRPr="00A56ACE" w:rsidRDefault="00A56ACE" w:rsidP="00425DB6">
            <w:pPr>
              <w:spacing w:before="0" w:after="0" w:line="240" w:lineRule="auto"/>
              <w:ind w:left="0"/>
              <w:contextualSpacing/>
              <w:jc w:val="both"/>
              <w:rPr>
                <w:rFonts w:asciiTheme="minorHAnsi" w:hAnsiTheme="minorHAnsi" w:cs="Calibri"/>
                <w:sz w:val="19"/>
              </w:rPr>
            </w:pPr>
          </w:p>
        </w:tc>
      </w:tr>
      <w:tr w:rsidR="00A56ACE" w:rsidRPr="00A56ACE" w14:paraId="0865B3AE" w14:textId="77777777" w:rsidTr="00425DB6">
        <w:trPr>
          <w:trHeight w:val="20"/>
        </w:trPr>
        <w:tc>
          <w:tcPr>
            <w:tcW w:w="2400" w:type="dxa"/>
          </w:tcPr>
          <w:p w14:paraId="261D83CE"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Never</w:t>
            </w:r>
          </w:p>
        </w:tc>
        <w:tc>
          <w:tcPr>
            <w:tcW w:w="1276" w:type="dxa"/>
          </w:tcPr>
          <w:p w14:paraId="555630BB"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30 (57%)</w:t>
            </w:r>
          </w:p>
        </w:tc>
        <w:tc>
          <w:tcPr>
            <w:tcW w:w="1281" w:type="dxa"/>
          </w:tcPr>
          <w:p w14:paraId="669846EE" w14:textId="77777777" w:rsidR="00A56ACE" w:rsidRPr="00A56ACE" w:rsidRDefault="00A56ACE" w:rsidP="00E9655B">
            <w:pPr>
              <w:spacing w:before="0" w:after="0" w:line="240" w:lineRule="auto"/>
              <w:ind w:left="0"/>
              <w:contextualSpacing/>
              <w:rPr>
                <w:rFonts w:asciiTheme="minorHAnsi" w:hAnsiTheme="minorHAnsi" w:cs="Calibri"/>
                <w:i/>
                <w:sz w:val="19"/>
              </w:rPr>
            </w:pPr>
            <w:r w:rsidRPr="00A56ACE">
              <w:rPr>
                <w:rFonts w:asciiTheme="minorHAnsi" w:hAnsiTheme="minorHAnsi" w:cs="Calibri"/>
                <w:i/>
                <w:sz w:val="19"/>
              </w:rPr>
              <w:t>No</w:t>
            </w:r>
          </w:p>
        </w:tc>
        <w:tc>
          <w:tcPr>
            <w:tcW w:w="1134" w:type="dxa"/>
          </w:tcPr>
          <w:p w14:paraId="7AE5FFDC" w14:textId="77777777" w:rsidR="00A56ACE" w:rsidRPr="00A56ACE" w:rsidRDefault="00A56ACE" w:rsidP="00E9655B">
            <w:pPr>
              <w:spacing w:before="0" w:after="0" w:line="240" w:lineRule="auto"/>
              <w:ind w:left="0"/>
              <w:contextualSpacing/>
              <w:rPr>
                <w:rFonts w:asciiTheme="minorHAnsi" w:hAnsiTheme="minorHAnsi" w:cs="Calibri"/>
                <w:i/>
                <w:sz w:val="19"/>
              </w:rPr>
            </w:pPr>
          </w:p>
        </w:tc>
        <w:tc>
          <w:tcPr>
            <w:tcW w:w="1134" w:type="dxa"/>
          </w:tcPr>
          <w:p w14:paraId="64958E3C"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0</w:t>
            </w:r>
          </w:p>
        </w:tc>
        <w:tc>
          <w:tcPr>
            <w:tcW w:w="1270" w:type="dxa"/>
          </w:tcPr>
          <w:p w14:paraId="587E829D"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sz w:val="19"/>
              </w:rPr>
              <w:t>6 (11%)</w:t>
            </w:r>
          </w:p>
        </w:tc>
      </w:tr>
      <w:tr w:rsidR="00A56ACE" w:rsidRPr="00A56ACE" w14:paraId="45A1E788" w14:textId="77777777" w:rsidTr="00425DB6">
        <w:trPr>
          <w:trHeight w:val="20"/>
        </w:trPr>
        <w:tc>
          <w:tcPr>
            <w:tcW w:w="2400" w:type="dxa"/>
          </w:tcPr>
          <w:p w14:paraId="40AACA3E"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sz w:val="19"/>
              </w:rPr>
              <w:t>Former/Current</w:t>
            </w:r>
          </w:p>
        </w:tc>
        <w:tc>
          <w:tcPr>
            <w:tcW w:w="1276" w:type="dxa"/>
          </w:tcPr>
          <w:p w14:paraId="731D708E"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17 (31%)</w:t>
            </w:r>
          </w:p>
        </w:tc>
        <w:tc>
          <w:tcPr>
            <w:tcW w:w="1281" w:type="dxa"/>
            <w:vMerge w:val="restart"/>
          </w:tcPr>
          <w:p w14:paraId="4B73F517" w14:textId="77777777" w:rsidR="00A56ACE" w:rsidRPr="00A56ACE" w:rsidRDefault="00A56ACE" w:rsidP="00E9655B">
            <w:pPr>
              <w:spacing w:before="0" w:after="0" w:line="240" w:lineRule="auto"/>
              <w:ind w:left="0"/>
              <w:contextualSpacing/>
              <w:rPr>
                <w:rFonts w:asciiTheme="minorHAnsi" w:hAnsiTheme="minorHAnsi" w:cs="Calibri"/>
                <w:i/>
                <w:sz w:val="19"/>
              </w:rPr>
            </w:pPr>
            <w:r w:rsidRPr="00A56ACE">
              <w:rPr>
                <w:rFonts w:asciiTheme="minorHAnsi" w:hAnsiTheme="minorHAnsi" w:cs="Calibri"/>
                <w:i/>
                <w:sz w:val="19"/>
              </w:rPr>
              <w:t>Yes</w:t>
            </w:r>
          </w:p>
        </w:tc>
        <w:tc>
          <w:tcPr>
            <w:tcW w:w="1134" w:type="dxa"/>
            <w:vMerge w:val="restart"/>
          </w:tcPr>
          <w:p w14:paraId="3A8E56C9" w14:textId="77777777" w:rsidR="00A56ACE" w:rsidRPr="00A56ACE" w:rsidRDefault="00A56ACE" w:rsidP="00E9655B">
            <w:pPr>
              <w:spacing w:before="0" w:after="0" w:line="240" w:lineRule="auto"/>
              <w:ind w:left="0"/>
              <w:contextualSpacing/>
              <w:rPr>
                <w:rFonts w:asciiTheme="minorHAnsi" w:hAnsiTheme="minorHAnsi" w:cs="Calibri"/>
                <w:i/>
                <w:sz w:val="19"/>
              </w:rPr>
            </w:pPr>
            <w:r w:rsidRPr="00A56ACE">
              <w:rPr>
                <w:rFonts w:asciiTheme="minorHAnsi" w:hAnsiTheme="minorHAnsi" w:cs="Calibri"/>
                <w:i/>
                <w:sz w:val="19"/>
              </w:rPr>
              <w:t>48 (89%)</w:t>
            </w:r>
          </w:p>
        </w:tc>
        <w:tc>
          <w:tcPr>
            <w:tcW w:w="1134" w:type="dxa"/>
          </w:tcPr>
          <w:p w14:paraId="01A43849"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color w:val="231F20"/>
                <w:w w:val="101"/>
                <w:sz w:val="19"/>
                <w:szCs w:val="19"/>
              </w:rPr>
              <w:t>1</w:t>
            </w:r>
          </w:p>
        </w:tc>
        <w:tc>
          <w:tcPr>
            <w:tcW w:w="1270" w:type="dxa"/>
          </w:tcPr>
          <w:p w14:paraId="14100524"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2 (4%)</w:t>
            </w:r>
          </w:p>
        </w:tc>
      </w:tr>
      <w:tr w:rsidR="00A56ACE" w:rsidRPr="00A56ACE" w14:paraId="23564350" w14:textId="77777777" w:rsidTr="00425DB6">
        <w:trPr>
          <w:trHeight w:val="20"/>
        </w:trPr>
        <w:tc>
          <w:tcPr>
            <w:tcW w:w="2400" w:type="dxa"/>
          </w:tcPr>
          <w:p w14:paraId="6F3C2D40"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Current</w:t>
            </w:r>
          </w:p>
        </w:tc>
        <w:tc>
          <w:tcPr>
            <w:tcW w:w="1276" w:type="dxa"/>
          </w:tcPr>
          <w:p w14:paraId="72A0D480"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6 (11%)</w:t>
            </w:r>
          </w:p>
        </w:tc>
        <w:tc>
          <w:tcPr>
            <w:tcW w:w="1281" w:type="dxa"/>
            <w:vMerge/>
          </w:tcPr>
          <w:p w14:paraId="1F053434"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vMerge/>
          </w:tcPr>
          <w:p w14:paraId="25B0728E"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tcPr>
          <w:p w14:paraId="7D2765E2" w14:textId="55A7B4E2" w:rsidR="00A56ACE" w:rsidRPr="00A56ACE" w:rsidRDefault="007D66D3" w:rsidP="00E9655B">
            <w:pPr>
              <w:spacing w:before="0" w:after="0" w:line="240" w:lineRule="auto"/>
              <w:ind w:left="0"/>
              <w:contextualSpacing/>
              <w:rPr>
                <w:rFonts w:asciiTheme="minorHAnsi" w:hAnsiTheme="minorHAnsi" w:cs="Calibri"/>
                <w:sz w:val="19"/>
              </w:rPr>
            </w:pPr>
            <w:r>
              <w:rPr>
                <w:rFonts w:asciiTheme="minorHAnsi" w:hAnsiTheme="minorHAnsi" w:cs="Calibri"/>
                <w:color w:val="231F20"/>
                <w:sz w:val="19"/>
                <w:szCs w:val="19"/>
              </w:rPr>
              <w:t>2</w:t>
            </w:r>
          </w:p>
        </w:tc>
        <w:tc>
          <w:tcPr>
            <w:tcW w:w="1270" w:type="dxa"/>
          </w:tcPr>
          <w:p w14:paraId="6B7C870F"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10 (19%)</w:t>
            </w:r>
          </w:p>
        </w:tc>
      </w:tr>
      <w:tr w:rsidR="00A56ACE" w:rsidRPr="00A56ACE" w14:paraId="0F321773" w14:textId="77777777" w:rsidTr="00425DB6">
        <w:trPr>
          <w:trHeight w:val="20"/>
        </w:trPr>
        <w:tc>
          <w:tcPr>
            <w:tcW w:w="2400" w:type="dxa"/>
          </w:tcPr>
          <w:p w14:paraId="3F610717"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0859CB96" w14:textId="77777777" w:rsidR="00A56ACE" w:rsidRPr="00A56ACE" w:rsidRDefault="00A56ACE" w:rsidP="00D6732A">
            <w:pPr>
              <w:spacing w:before="0" w:after="0" w:line="240" w:lineRule="auto"/>
              <w:contextualSpacing/>
              <w:rPr>
                <w:rFonts w:asciiTheme="minorHAnsi" w:hAnsiTheme="minorHAnsi" w:cs="Calibri"/>
                <w:sz w:val="19"/>
              </w:rPr>
            </w:pPr>
          </w:p>
        </w:tc>
        <w:tc>
          <w:tcPr>
            <w:tcW w:w="1281" w:type="dxa"/>
            <w:vMerge/>
          </w:tcPr>
          <w:p w14:paraId="77E3DEE1"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vMerge/>
          </w:tcPr>
          <w:p w14:paraId="7BEA5013"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tcPr>
          <w:p w14:paraId="670EF04C" w14:textId="77777777" w:rsidR="00A56ACE" w:rsidRPr="00A56ACE" w:rsidRDefault="00A56ACE" w:rsidP="00E9655B">
            <w:pPr>
              <w:tabs>
                <w:tab w:val="left" w:pos="1356"/>
              </w:tabs>
              <w:spacing w:before="0" w:after="0" w:line="240" w:lineRule="auto"/>
              <w:ind w:left="0"/>
              <w:contextualSpacing/>
              <w:rPr>
                <w:rFonts w:asciiTheme="minorHAnsi" w:hAnsiTheme="minorHAnsi" w:cs="Calibri"/>
                <w:sz w:val="19"/>
              </w:rPr>
            </w:pPr>
            <w:r w:rsidRPr="00A56ACE">
              <w:rPr>
                <w:rFonts w:asciiTheme="minorHAnsi" w:hAnsiTheme="minorHAnsi" w:cs="Calibri"/>
                <w:sz w:val="19"/>
              </w:rPr>
              <w:t>3</w:t>
            </w:r>
          </w:p>
        </w:tc>
        <w:tc>
          <w:tcPr>
            <w:tcW w:w="1270" w:type="dxa"/>
          </w:tcPr>
          <w:p w14:paraId="43257624"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8 (15%)</w:t>
            </w:r>
          </w:p>
        </w:tc>
      </w:tr>
      <w:tr w:rsidR="00A56ACE" w:rsidRPr="00A56ACE" w14:paraId="444D1280" w14:textId="77777777" w:rsidTr="00425DB6">
        <w:trPr>
          <w:trHeight w:val="20"/>
        </w:trPr>
        <w:tc>
          <w:tcPr>
            <w:tcW w:w="2400" w:type="dxa"/>
          </w:tcPr>
          <w:p w14:paraId="0FBA5E7D" w14:textId="77777777" w:rsidR="00A56ACE" w:rsidRPr="00A56ACE" w:rsidRDefault="00A56ACE" w:rsidP="00D6732A">
            <w:pPr>
              <w:spacing w:before="0" w:after="0" w:line="240" w:lineRule="auto"/>
              <w:contextualSpacing/>
              <w:rPr>
                <w:rFonts w:asciiTheme="minorHAnsi" w:hAnsiTheme="minorHAnsi" w:cs="Calibri"/>
                <w:b/>
                <w:sz w:val="19"/>
              </w:rPr>
            </w:pPr>
          </w:p>
        </w:tc>
        <w:tc>
          <w:tcPr>
            <w:tcW w:w="1276" w:type="dxa"/>
          </w:tcPr>
          <w:p w14:paraId="7BC78E5D" w14:textId="77777777" w:rsidR="00A56ACE" w:rsidRPr="00A56ACE" w:rsidRDefault="00A56ACE" w:rsidP="00D6732A">
            <w:pPr>
              <w:spacing w:before="0" w:after="0" w:line="240" w:lineRule="auto"/>
              <w:contextualSpacing/>
              <w:rPr>
                <w:rFonts w:asciiTheme="minorHAnsi" w:hAnsiTheme="minorHAnsi" w:cs="Calibri"/>
                <w:sz w:val="19"/>
              </w:rPr>
            </w:pPr>
          </w:p>
        </w:tc>
        <w:tc>
          <w:tcPr>
            <w:tcW w:w="1281" w:type="dxa"/>
            <w:vMerge/>
          </w:tcPr>
          <w:p w14:paraId="31AD8564"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vMerge/>
          </w:tcPr>
          <w:p w14:paraId="68E30DB0" w14:textId="77777777" w:rsidR="00A56ACE" w:rsidRPr="00A56ACE" w:rsidRDefault="00A56ACE" w:rsidP="00D6732A">
            <w:pPr>
              <w:spacing w:before="0" w:after="0" w:line="240" w:lineRule="auto"/>
              <w:contextualSpacing/>
              <w:rPr>
                <w:rFonts w:asciiTheme="minorHAnsi" w:hAnsiTheme="minorHAnsi" w:cs="Calibri"/>
                <w:sz w:val="19"/>
              </w:rPr>
            </w:pPr>
          </w:p>
        </w:tc>
        <w:tc>
          <w:tcPr>
            <w:tcW w:w="1134" w:type="dxa"/>
          </w:tcPr>
          <w:p w14:paraId="69911A43" w14:textId="5254C02F" w:rsidR="00A56ACE" w:rsidRPr="00A56ACE" w:rsidRDefault="00CE2749" w:rsidP="00E9655B">
            <w:pPr>
              <w:spacing w:before="0" w:after="0" w:line="240" w:lineRule="auto"/>
              <w:ind w:left="0"/>
              <w:contextualSpacing/>
              <w:rPr>
                <w:rFonts w:asciiTheme="minorHAnsi" w:hAnsiTheme="minorHAnsi" w:cs="Calibri"/>
                <w:sz w:val="19"/>
              </w:rPr>
            </w:pPr>
            <w:r>
              <w:sym w:font="Symbol" w:char="F0B3"/>
            </w:r>
            <w:r w:rsidR="007D66D3">
              <w:rPr>
                <w:rFonts w:asciiTheme="minorHAnsi" w:hAnsiTheme="minorHAnsi" w:cs="Calibri"/>
                <w:sz w:val="19"/>
              </w:rPr>
              <w:t xml:space="preserve"> </w:t>
            </w:r>
            <w:r w:rsidR="00A56ACE" w:rsidRPr="00A56ACE">
              <w:rPr>
                <w:rFonts w:asciiTheme="minorHAnsi" w:hAnsiTheme="minorHAnsi" w:cs="Calibri"/>
                <w:sz w:val="19"/>
              </w:rPr>
              <w:t>4</w:t>
            </w:r>
          </w:p>
        </w:tc>
        <w:tc>
          <w:tcPr>
            <w:tcW w:w="1270" w:type="dxa"/>
          </w:tcPr>
          <w:p w14:paraId="7EA969CE"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sz w:val="19"/>
              </w:rPr>
              <w:t>28 (52%)</w:t>
            </w:r>
          </w:p>
        </w:tc>
      </w:tr>
      <w:tr w:rsidR="00A56ACE" w:rsidRPr="00A56ACE" w14:paraId="05847B36" w14:textId="77777777" w:rsidTr="00425DB6">
        <w:trPr>
          <w:trHeight w:val="20"/>
        </w:trPr>
        <w:tc>
          <w:tcPr>
            <w:tcW w:w="2400" w:type="dxa"/>
          </w:tcPr>
          <w:p w14:paraId="5BCB8C58"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2AD3EFA0" w14:textId="77777777" w:rsidR="00A56ACE" w:rsidRPr="00A56ACE" w:rsidRDefault="00A56ACE" w:rsidP="00D6732A">
            <w:pPr>
              <w:spacing w:before="0" w:after="0" w:line="240" w:lineRule="auto"/>
              <w:contextualSpacing/>
              <w:rPr>
                <w:rFonts w:asciiTheme="minorHAnsi" w:hAnsiTheme="minorHAnsi" w:cs="Calibri"/>
                <w:sz w:val="19"/>
              </w:rPr>
            </w:pPr>
          </w:p>
        </w:tc>
        <w:tc>
          <w:tcPr>
            <w:tcW w:w="3549" w:type="dxa"/>
            <w:gridSpan w:val="3"/>
          </w:tcPr>
          <w:p w14:paraId="1F9C96EF" w14:textId="77777777" w:rsidR="00A56ACE" w:rsidRPr="00A56ACE" w:rsidRDefault="00A56ACE" w:rsidP="00E9655B">
            <w:pPr>
              <w:spacing w:before="0" w:after="0" w:line="240" w:lineRule="auto"/>
              <w:ind w:left="0"/>
              <w:contextualSpacing/>
              <w:rPr>
                <w:rFonts w:asciiTheme="minorHAnsi" w:hAnsiTheme="minorHAnsi" w:cs="Calibri"/>
                <w:b/>
                <w:sz w:val="19"/>
              </w:rPr>
            </w:pPr>
            <w:r w:rsidRPr="00A56ACE">
              <w:rPr>
                <w:rFonts w:asciiTheme="minorHAnsi" w:hAnsiTheme="minorHAnsi" w:cs="Calibri"/>
                <w:b/>
                <w:sz w:val="19"/>
              </w:rPr>
              <w:t>Prior lines of therapy for metastatic disease*</w:t>
            </w:r>
          </w:p>
        </w:tc>
        <w:tc>
          <w:tcPr>
            <w:tcW w:w="1270" w:type="dxa"/>
          </w:tcPr>
          <w:p w14:paraId="5556FF14" w14:textId="77777777" w:rsidR="00A56ACE" w:rsidRPr="00A56ACE" w:rsidRDefault="00A56ACE" w:rsidP="00425DB6">
            <w:pPr>
              <w:spacing w:before="0" w:after="0" w:line="240" w:lineRule="auto"/>
              <w:ind w:left="0"/>
              <w:contextualSpacing/>
              <w:jc w:val="both"/>
              <w:rPr>
                <w:rFonts w:asciiTheme="minorHAnsi" w:hAnsiTheme="minorHAnsi" w:cs="Calibri"/>
                <w:sz w:val="19"/>
              </w:rPr>
            </w:pPr>
          </w:p>
        </w:tc>
      </w:tr>
      <w:tr w:rsidR="00A56ACE" w:rsidRPr="00A56ACE" w14:paraId="14B58B20" w14:textId="77777777" w:rsidTr="00425DB6">
        <w:trPr>
          <w:trHeight w:val="20"/>
        </w:trPr>
        <w:tc>
          <w:tcPr>
            <w:tcW w:w="2400" w:type="dxa"/>
          </w:tcPr>
          <w:p w14:paraId="46776B08"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6E51F662" w14:textId="77777777" w:rsidR="00A56ACE" w:rsidRPr="00A56ACE" w:rsidRDefault="00A56ACE" w:rsidP="00A56ACE">
            <w:pPr>
              <w:spacing w:before="0" w:after="0" w:line="240" w:lineRule="auto"/>
              <w:contextualSpacing/>
              <w:rPr>
                <w:rFonts w:asciiTheme="minorHAnsi" w:hAnsiTheme="minorHAnsi" w:cs="Calibri"/>
                <w:sz w:val="19"/>
              </w:rPr>
            </w:pPr>
          </w:p>
        </w:tc>
        <w:tc>
          <w:tcPr>
            <w:tcW w:w="3549" w:type="dxa"/>
            <w:gridSpan w:val="3"/>
          </w:tcPr>
          <w:p w14:paraId="5965FDB1"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0</w:t>
            </w:r>
          </w:p>
        </w:tc>
        <w:tc>
          <w:tcPr>
            <w:tcW w:w="1270" w:type="dxa"/>
          </w:tcPr>
          <w:p w14:paraId="38C26550"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20 (37%)</w:t>
            </w:r>
          </w:p>
        </w:tc>
      </w:tr>
      <w:tr w:rsidR="00A56ACE" w:rsidRPr="00A56ACE" w14:paraId="0867A6FE" w14:textId="77777777" w:rsidTr="00425DB6">
        <w:trPr>
          <w:trHeight w:val="20"/>
        </w:trPr>
        <w:tc>
          <w:tcPr>
            <w:tcW w:w="2400" w:type="dxa"/>
          </w:tcPr>
          <w:p w14:paraId="13A71508" w14:textId="77777777" w:rsidR="00A56ACE" w:rsidRPr="00A56ACE" w:rsidRDefault="00A56ACE" w:rsidP="00D6732A">
            <w:pPr>
              <w:spacing w:before="0" w:after="0" w:line="240" w:lineRule="auto"/>
              <w:contextualSpacing/>
              <w:rPr>
                <w:rFonts w:asciiTheme="minorHAnsi" w:hAnsiTheme="minorHAnsi" w:cs="Calibri"/>
                <w:b/>
                <w:sz w:val="19"/>
              </w:rPr>
            </w:pPr>
          </w:p>
        </w:tc>
        <w:tc>
          <w:tcPr>
            <w:tcW w:w="1276" w:type="dxa"/>
          </w:tcPr>
          <w:p w14:paraId="0BDE958C" w14:textId="77777777" w:rsidR="00A56ACE" w:rsidRPr="00A56ACE" w:rsidRDefault="00A56ACE" w:rsidP="00A56ACE">
            <w:pPr>
              <w:spacing w:before="0" w:after="0" w:line="240" w:lineRule="auto"/>
              <w:contextualSpacing/>
              <w:rPr>
                <w:rFonts w:asciiTheme="minorHAnsi" w:hAnsiTheme="minorHAnsi" w:cs="Calibri"/>
                <w:sz w:val="19"/>
              </w:rPr>
            </w:pPr>
          </w:p>
        </w:tc>
        <w:tc>
          <w:tcPr>
            <w:tcW w:w="3549" w:type="dxa"/>
            <w:gridSpan w:val="3"/>
          </w:tcPr>
          <w:p w14:paraId="751BD3D4"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1</w:t>
            </w:r>
          </w:p>
        </w:tc>
        <w:tc>
          <w:tcPr>
            <w:tcW w:w="1270" w:type="dxa"/>
          </w:tcPr>
          <w:p w14:paraId="479A6028"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11 (20%)</w:t>
            </w:r>
          </w:p>
        </w:tc>
      </w:tr>
      <w:tr w:rsidR="00A56ACE" w:rsidRPr="00A56ACE" w14:paraId="23ACC6BD" w14:textId="77777777" w:rsidTr="00425DB6">
        <w:trPr>
          <w:trHeight w:val="20"/>
        </w:trPr>
        <w:tc>
          <w:tcPr>
            <w:tcW w:w="2400" w:type="dxa"/>
          </w:tcPr>
          <w:p w14:paraId="0B7E0431"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7C737BD4" w14:textId="77777777" w:rsidR="00A56ACE" w:rsidRPr="00A56ACE" w:rsidRDefault="00A56ACE" w:rsidP="00A56ACE">
            <w:pPr>
              <w:spacing w:before="0" w:after="0" w:line="240" w:lineRule="auto"/>
              <w:contextualSpacing/>
              <w:rPr>
                <w:rFonts w:asciiTheme="minorHAnsi" w:hAnsiTheme="minorHAnsi" w:cs="Calibri"/>
                <w:sz w:val="19"/>
              </w:rPr>
            </w:pPr>
          </w:p>
        </w:tc>
        <w:tc>
          <w:tcPr>
            <w:tcW w:w="3549" w:type="dxa"/>
            <w:gridSpan w:val="3"/>
          </w:tcPr>
          <w:p w14:paraId="75625E69"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2</w:t>
            </w:r>
          </w:p>
        </w:tc>
        <w:tc>
          <w:tcPr>
            <w:tcW w:w="1270" w:type="dxa"/>
          </w:tcPr>
          <w:p w14:paraId="59CCDFA6"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14 (26%)</w:t>
            </w:r>
          </w:p>
        </w:tc>
      </w:tr>
      <w:tr w:rsidR="00A56ACE" w:rsidRPr="00A56ACE" w14:paraId="6675B048" w14:textId="77777777" w:rsidTr="00425DB6">
        <w:trPr>
          <w:trHeight w:val="20"/>
        </w:trPr>
        <w:tc>
          <w:tcPr>
            <w:tcW w:w="2400" w:type="dxa"/>
          </w:tcPr>
          <w:p w14:paraId="3650F58F"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5AE951EE" w14:textId="77777777" w:rsidR="00A56ACE" w:rsidRPr="00A56ACE" w:rsidRDefault="00A56ACE" w:rsidP="00A56ACE">
            <w:pPr>
              <w:spacing w:before="0" w:after="0" w:line="240" w:lineRule="auto"/>
              <w:contextualSpacing/>
              <w:rPr>
                <w:rFonts w:asciiTheme="minorHAnsi" w:hAnsiTheme="minorHAnsi" w:cs="Calibri"/>
                <w:sz w:val="19"/>
              </w:rPr>
            </w:pPr>
          </w:p>
        </w:tc>
        <w:tc>
          <w:tcPr>
            <w:tcW w:w="3549" w:type="dxa"/>
            <w:gridSpan w:val="3"/>
          </w:tcPr>
          <w:p w14:paraId="43F8EF47" w14:textId="77777777" w:rsidR="00A56ACE" w:rsidRPr="00A56ACE" w:rsidRDefault="00A56ACE" w:rsidP="00E9655B">
            <w:pPr>
              <w:spacing w:before="0" w:after="0" w:line="240" w:lineRule="auto"/>
              <w:ind w:left="0"/>
              <w:contextualSpacing/>
              <w:rPr>
                <w:rFonts w:asciiTheme="minorHAnsi" w:hAnsiTheme="minorHAnsi" w:cs="Calibri"/>
                <w:sz w:val="19"/>
              </w:rPr>
            </w:pPr>
            <w:r w:rsidRPr="00A56ACE">
              <w:rPr>
                <w:rFonts w:asciiTheme="minorHAnsi" w:hAnsiTheme="minorHAnsi" w:cs="Calibri"/>
                <w:sz w:val="19"/>
              </w:rPr>
              <w:t>3</w:t>
            </w:r>
          </w:p>
        </w:tc>
        <w:tc>
          <w:tcPr>
            <w:tcW w:w="1270" w:type="dxa"/>
          </w:tcPr>
          <w:p w14:paraId="40004C23"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4 (7%)</w:t>
            </w:r>
          </w:p>
        </w:tc>
      </w:tr>
      <w:tr w:rsidR="00A56ACE" w:rsidRPr="00A56ACE" w14:paraId="50AB7ECC" w14:textId="77777777" w:rsidTr="00425DB6">
        <w:trPr>
          <w:trHeight w:val="20"/>
        </w:trPr>
        <w:tc>
          <w:tcPr>
            <w:tcW w:w="2400" w:type="dxa"/>
          </w:tcPr>
          <w:p w14:paraId="4BF8A4A1" w14:textId="77777777" w:rsidR="00A56ACE" w:rsidRPr="00A56ACE" w:rsidRDefault="00A56ACE" w:rsidP="00D6732A">
            <w:pPr>
              <w:spacing w:before="0" w:after="0" w:line="240" w:lineRule="auto"/>
              <w:contextualSpacing/>
              <w:rPr>
                <w:rFonts w:asciiTheme="minorHAnsi" w:hAnsiTheme="minorHAnsi" w:cs="Calibri"/>
                <w:sz w:val="19"/>
              </w:rPr>
            </w:pPr>
          </w:p>
        </w:tc>
        <w:tc>
          <w:tcPr>
            <w:tcW w:w="1276" w:type="dxa"/>
          </w:tcPr>
          <w:p w14:paraId="1CD0929A" w14:textId="77777777" w:rsidR="00A56ACE" w:rsidRPr="00A56ACE" w:rsidRDefault="00A56ACE" w:rsidP="00A56ACE">
            <w:pPr>
              <w:spacing w:before="0" w:after="0" w:line="240" w:lineRule="auto"/>
              <w:contextualSpacing/>
              <w:rPr>
                <w:rFonts w:asciiTheme="minorHAnsi" w:hAnsiTheme="minorHAnsi" w:cs="Calibri"/>
                <w:sz w:val="19"/>
              </w:rPr>
            </w:pPr>
          </w:p>
        </w:tc>
        <w:tc>
          <w:tcPr>
            <w:tcW w:w="3549" w:type="dxa"/>
            <w:gridSpan w:val="3"/>
          </w:tcPr>
          <w:p w14:paraId="0894D6D2" w14:textId="6AB17076" w:rsidR="00A56ACE" w:rsidRPr="00A56ACE" w:rsidRDefault="00CE2749" w:rsidP="00E9655B">
            <w:pPr>
              <w:spacing w:before="0" w:after="0" w:line="240" w:lineRule="auto"/>
              <w:ind w:left="0"/>
              <w:contextualSpacing/>
              <w:rPr>
                <w:rFonts w:asciiTheme="minorHAnsi" w:hAnsiTheme="minorHAnsi" w:cs="Calibri"/>
                <w:sz w:val="19"/>
              </w:rPr>
            </w:pPr>
            <w:r>
              <w:sym w:font="Symbol" w:char="F0B3"/>
            </w:r>
            <w:r w:rsidR="007D66D3">
              <w:rPr>
                <w:rFonts w:asciiTheme="minorHAnsi" w:hAnsiTheme="minorHAnsi" w:cs="Calibri"/>
                <w:sz w:val="19"/>
              </w:rPr>
              <w:t xml:space="preserve"> </w:t>
            </w:r>
            <w:r w:rsidR="00A56ACE" w:rsidRPr="00A56ACE">
              <w:rPr>
                <w:rFonts w:asciiTheme="minorHAnsi" w:hAnsiTheme="minorHAnsi" w:cs="Calibri"/>
                <w:sz w:val="19"/>
              </w:rPr>
              <w:t>4</w:t>
            </w:r>
          </w:p>
        </w:tc>
        <w:tc>
          <w:tcPr>
            <w:tcW w:w="1270" w:type="dxa"/>
          </w:tcPr>
          <w:p w14:paraId="5101E498" w14:textId="77777777" w:rsidR="00A56ACE" w:rsidRPr="00A56ACE" w:rsidRDefault="00A56ACE" w:rsidP="00425DB6">
            <w:pPr>
              <w:spacing w:before="0" w:after="0" w:line="240" w:lineRule="auto"/>
              <w:ind w:left="0"/>
              <w:contextualSpacing/>
              <w:jc w:val="both"/>
              <w:rPr>
                <w:rFonts w:asciiTheme="minorHAnsi" w:hAnsiTheme="minorHAnsi" w:cs="Calibri"/>
                <w:sz w:val="19"/>
              </w:rPr>
            </w:pPr>
            <w:r w:rsidRPr="00A56ACE">
              <w:rPr>
                <w:rFonts w:asciiTheme="minorHAnsi" w:hAnsiTheme="minorHAnsi" w:cs="Calibri"/>
                <w:color w:val="231F20"/>
                <w:w w:val="105"/>
                <w:sz w:val="19"/>
              </w:rPr>
              <w:t>5 (9%)</w:t>
            </w:r>
          </w:p>
        </w:tc>
      </w:tr>
    </w:tbl>
    <w:p w14:paraId="53B137CF" w14:textId="08D6A966" w:rsidR="00B31A6D" w:rsidRDefault="00986F56" w:rsidP="00A56ACE">
      <w:pPr>
        <w:pStyle w:val="TableDescription"/>
      </w:pPr>
      <w:r>
        <w:t>Source: d</w:t>
      </w:r>
      <w:r w:rsidR="00B31A6D" w:rsidRPr="009C0CE3">
        <w:t>erived from the FDA multidisciplinary review</w:t>
      </w:r>
      <w:r w:rsidR="00B31A6D">
        <w:t>;</w:t>
      </w:r>
      <w:r w:rsidR="00B31A6D">
        <w:fldChar w:fldCharType="begin"/>
      </w:r>
      <w:r w:rsidR="00B31A6D">
        <w:instrText xml:space="preserve"> NOTEREF _Ref50554541 \f \h </w:instrText>
      </w:r>
      <w:r w:rsidR="00B31A6D">
        <w:fldChar w:fldCharType="separate"/>
      </w:r>
      <w:r w:rsidR="00B31A6D" w:rsidRPr="005743D8">
        <w:rPr>
          <w:rStyle w:val="FootnoteReference"/>
        </w:rPr>
        <w:t>12</w:t>
      </w:r>
      <w:r w:rsidR="00B31A6D">
        <w:fldChar w:fldCharType="end"/>
      </w:r>
      <w:r w:rsidR="00B31A6D" w:rsidRPr="009C0CE3">
        <w:t xml:space="preserve"> for NTRK indication</w:t>
      </w:r>
      <w:r w:rsidR="00B31A6D">
        <w:t>.</w:t>
      </w:r>
    </w:p>
    <w:p w14:paraId="25941F40" w14:textId="1211E600" w:rsidR="00A56ACE" w:rsidRPr="00A56ACE" w:rsidRDefault="00A56ACE" w:rsidP="00A56ACE">
      <w:pPr>
        <w:pStyle w:val="TableDescription"/>
      </w:pPr>
      <w:r w:rsidRPr="00A56ACE">
        <w:t>*Or for the two patients with locally advanced disease, for locally advanced disease.</w:t>
      </w:r>
    </w:p>
    <w:p w14:paraId="38D9B4C7" w14:textId="3A2C38C5" w:rsidR="00A56ACE" w:rsidRDefault="00A56ACE" w:rsidP="00A56ACE">
      <w:pPr>
        <w:pStyle w:val="Heading6"/>
      </w:pPr>
      <w:r>
        <w:t xml:space="preserve">Diagnostic testing in the </w:t>
      </w:r>
      <w:r w:rsidR="001316B1">
        <w:t>n</w:t>
      </w:r>
      <w:r w:rsidR="001316B1" w:rsidRPr="001316B1">
        <w:t>eurotrophic tropomyosin receptor kinase</w:t>
      </w:r>
      <w:r>
        <w:t xml:space="preserve"> efficacy set</w:t>
      </w:r>
    </w:p>
    <w:p w14:paraId="12F9050C" w14:textId="68C509C2" w:rsidR="00A56ACE" w:rsidRDefault="00A56ACE" w:rsidP="00A56ACE">
      <w:r>
        <w:t xml:space="preserve">All 54 patients in the </w:t>
      </w:r>
      <w:r w:rsidR="00AE517A">
        <w:t xml:space="preserve">NTRK efficacy evaluable set </w:t>
      </w:r>
      <w:r>
        <w:t xml:space="preserve">had an </w:t>
      </w:r>
      <w:r w:rsidRPr="000C761A">
        <w:rPr>
          <w:i/>
        </w:rPr>
        <w:t>NTRK</w:t>
      </w:r>
      <w:r>
        <w:t xml:space="preserve"> gene fusion that was predicted to translate into a fusion protein with a functional kinase domain (other mutations or evidence of second drivers such as </w:t>
      </w:r>
      <w:r w:rsidRPr="000C761A">
        <w:rPr>
          <w:i/>
        </w:rPr>
        <w:t>EGFR</w:t>
      </w:r>
      <w:r>
        <w:t xml:space="preserve"> alterations could receive treatment but were considere</w:t>
      </w:r>
      <w:r w:rsidR="00CB4BDD">
        <w:t>d in the non-evaluable basket).</w:t>
      </w:r>
    </w:p>
    <w:p w14:paraId="76434D29" w14:textId="4885564A" w:rsidR="00A56ACE" w:rsidRDefault="00A56ACE" w:rsidP="00A56ACE">
      <w:r>
        <w:t>Patients were enrolled bas</w:t>
      </w:r>
      <w:r w:rsidR="002E2BCA">
        <w:t xml:space="preserve">ed on a variety of nucleic acid </w:t>
      </w:r>
      <w:r>
        <w:t>based testing. Of the 54 patients, the majority (52) were identified by NGS testing, whilst the other two (4%) had a fusion detected by other</w:t>
      </w:r>
      <w:r w:rsidR="00CB4BDD">
        <w:t xml:space="preserve"> nucl</w:t>
      </w:r>
      <w:r w:rsidR="002E2BCA">
        <w:t xml:space="preserve">eic </w:t>
      </w:r>
      <w:r w:rsidR="00CB4BDD">
        <w:t>acid based tests.</w:t>
      </w:r>
    </w:p>
    <w:p w14:paraId="0EF419C1" w14:textId="77777777" w:rsidR="00A56ACE" w:rsidRDefault="00A56ACE" w:rsidP="00A56ACE">
      <w:r>
        <w:t>In brief:</w:t>
      </w:r>
    </w:p>
    <w:p w14:paraId="458CBE54" w14:textId="6C8FE20A" w:rsidR="00A56ACE" w:rsidRDefault="002E2BCA" w:rsidP="00BF7C39">
      <w:pPr>
        <w:pStyle w:val="ListBullet"/>
      </w:pPr>
      <w:r>
        <w:t xml:space="preserve">30 (55%) were identified by RNA </w:t>
      </w:r>
      <w:r w:rsidR="00A56ACE">
        <w:t xml:space="preserve">based NGS (mostly </w:t>
      </w:r>
      <w:proofErr w:type="spellStart"/>
      <w:r w:rsidR="00A56ACE">
        <w:t>Trailblaze</w:t>
      </w:r>
      <w:proofErr w:type="spellEnd"/>
      <w:r w:rsidR="00A56ACE">
        <w:t xml:space="preserve"> Pharos</w:t>
      </w:r>
      <w:r w:rsidR="00D6732A">
        <w:t>;</w:t>
      </w:r>
      <w:r w:rsidR="00F71FB1">
        <w:fldChar w:fldCharType="begin"/>
      </w:r>
      <w:r w:rsidR="00F71FB1">
        <w:instrText xml:space="preserve"> NOTEREF _Ref51157695 \f \h </w:instrText>
      </w:r>
      <w:r w:rsidR="00F71FB1">
        <w:fldChar w:fldCharType="separate"/>
      </w:r>
      <w:r w:rsidR="005743D8" w:rsidRPr="005743D8">
        <w:rPr>
          <w:rStyle w:val="FootnoteReference"/>
        </w:rPr>
        <w:t>23</w:t>
      </w:r>
      <w:r w:rsidR="00F71FB1">
        <w:fldChar w:fldCharType="end"/>
      </w:r>
      <w:r w:rsidR="00A56ACE">
        <w:t>, n</w:t>
      </w:r>
      <w:r w:rsidR="00BF7C39">
        <w:t xml:space="preserve"> </w:t>
      </w:r>
      <w:r w:rsidR="00A56ACE">
        <w:t>=</w:t>
      </w:r>
      <w:r w:rsidR="00BF7C39">
        <w:t xml:space="preserve"> </w:t>
      </w:r>
      <w:r w:rsidR="00A56ACE">
        <w:t>21)</w:t>
      </w:r>
    </w:p>
    <w:p w14:paraId="436E85B7" w14:textId="118DFB2D" w:rsidR="00A56ACE" w:rsidRDefault="002E2BCA" w:rsidP="00A56ACE">
      <w:pPr>
        <w:pStyle w:val="ListBullet"/>
      </w:pPr>
      <w:r>
        <w:t xml:space="preserve">19 (35%) were identified by DNA </w:t>
      </w:r>
      <w:r w:rsidR="00A56ACE">
        <w:t xml:space="preserve">based NGS (mostly </w:t>
      </w:r>
      <w:proofErr w:type="spellStart"/>
      <w:r w:rsidR="00A56ACE">
        <w:t>FoundationOne</w:t>
      </w:r>
      <w:proofErr w:type="spellEnd"/>
      <w:r w:rsidR="00D6732A">
        <w:t>;</w:t>
      </w:r>
      <w:r w:rsidR="00F71FB1">
        <w:rPr>
          <w:rStyle w:val="FootnoteReference"/>
        </w:rPr>
        <w:footnoteReference w:id="25"/>
      </w:r>
      <w:r w:rsidR="00A56ACE">
        <w:t>, n</w:t>
      </w:r>
      <w:r w:rsidR="00BF7C39">
        <w:t xml:space="preserve"> </w:t>
      </w:r>
      <w:r w:rsidR="00A56ACE">
        <w:t>=</w:t>
      </w:r>
      <w:r w:rsidR="00BF7C39">
        <w:t xml:space="preserve"> </w:t>
      </w:r>
      <w:r w:rsidR="00A56ACE">
        <w:t>13 )</w:t>
      </w:r>
    </w:p>
    <w:p w14:paraId="020C9839" w14:textId="0D5E030C" w:rsidR="00A56ACE" w:rsidRDefault="00A56ACE" w:rsidP="00A56ACE">
      <w:pPr>
        <w:pStyle w:val="ListBullet"/>
      </w:pPr>
      <w:r>
        <w:t>3 (6%) were identified by both DNA a</w:t>
      </w:r>
      <w:r w:rsidR="002E2BCA">
        <w:t xml:space="preserve">nd RNA </w:t>
      </w:r>
      <w:r>
        <w:t>based NGS (</w:t>
      </w:r>
      <w:proofErr w:type="spellStart"/>
      <w:r>
        <w:t>FoundationOne</w:t>
      </w:r>
      <w:proofErr w:type="spellEnd"/>
      <w:r>
        <w:t xml:space="preserve"> </w:t>
      </w:r>
      <w:proofErr w:type="spellStart"/>
      <w:r>
        <w:t>Heme</w:t>
      </w:r>
      <w:proofErr w:type="spellEnd"/>
      <w:r w:rsidR="00D6732A">
        <w:t>;</w:t>
      </w:r>
      <w:r w:rsidR="00E53399">
        <w:rPr>
          <w:rStyle w:val="FootnoteReference"/>
        </w:rPr>
        <w:footnoteReference w:id="26"/>
      </w:r>
      <w:r>
        <w:t>)</w:t>
      </w:r>
    </w:p>
    <w:p w14:paraId="383874E9" w14:textId="5B275377" w:rsidR="00A56ACE" w:rsidRDefault="00A56ACE" w:rsidP="00316FF9">
      <w:pPr>
        <w:pStyle w:val="ListBullet"/>
      </w:pPr>
      <w:r>
        <w:t xml:space="preserve">1 </w:t>
      </w:r>
      <w:r w:rsidR="00CB4BDD">
        <w:t xml:space="preserve">(2%) was identified by </w:t>
      </w:r>
      <w:r w:rsidR="00316FF9">
        <w:t>p</w:t>
      </w:r>
      <w:r w:rsidR="00316FF9" w:rsidRPr="00316FF9">
        <w:t xml:space="preserve">olymerase chain reaction </w:t>
      </w:r>
      <w:r w:rsidR="00316FF9">
        <w:t>(</w:t>
      </w:r>
      <w:r w:rsidR="00CB4BDD">
        <w:t>PCR</w:t>
      </w:r>
      <w:r w:rsidR="00316FF9">
        <w:t>)</w:t>
      </w:r>
      <w:r w:rsidR="00CB4BDD">
        <w:t>, and</w:t>
      </w:r>
    </w:p>
    <w:p w14:paraId="68E9DCF2" w14:textId="27EFF38D" w:rsidR="00A56ACE" w:rsidRDefault="00A56ACE" w:rsidP="00A56ACE">
      <w:pPr>
        <w:pStyle w:val="ListBullet"/>
      </w:pPr>
      <w:r>
        <w:t xml:space="preserve">1 (2%) was identified by </w:t>
      </w:r>
      <w:proofErr w:type="spellStart"/>
      <w:r>
        <w:t>Nanostring</w:t>
      </w:r>
      <w:proofErr w:type="spellEnd"/>
      <w:r w:rsidR="00D6732A">
        <w:t>;</w:t>
      </w:r>
      <w:r w:rsidR="00316FF9">
        <w:rPr>
          <w:rStyle w:val="FootnoteReference"/>
        </w:rPr>
        <w:footnoteReference w:id="27"/>
      </w:r>
    </w:p>
    <w:p w14:paraId="6ECE19A3" w14:textId="75235F5B" w:rsidR="00A56ACE" w:rsidRDefault="00A56ACE" w:rsidP="00A56ACE">
      <w:r>
        <w:t xml:space="preserve">Of the 54 patients in the </w:t>
      </w:r>
      <w:r w:rsidR="00AE517A">
        <w:t>NTRK efficacy evaluable set</w:t>
      </w:r>
      <w:r>
        <w:t xml:space="preserve">, 45 (85%) patients had an </w:t>
      </w:r>
      <w:r w:rsidRPr="000C761A">
        <w:rPr>
          <w:i/>
        </w:rPr>
        <w:t>NTRK</w:t>
      </w:r>
      <w:r>
        <w:t xml:space="preserve"> fusion mutation confirmed centrally using the </w:t>
      </w:r>
      <w:proofErr w:type="spellStart"/>
      <w:r>
        <w:t>Trailblaze</w:t>
      </w:r>
      <w:proofErr w:type="spellEnd"/>
      <w:r>
        <w:t xml:space="preserve"> Pharos (</w:t>
      </w:r>
      <w:proofErr w:type="spellStart"/>
      <w:r>
        <w:t>Ig</w:t>
      </w:r>
      <w:r w:rsidR="002E2BCA">
        <w:t>ynta</w:t>
      </w:r>
      <w:proofErr w:type="spellEnd"/>
      <w:r w:rsidR="002E2BCA">
        <w:t xml:space="preserve">) clinical trial assay (RNA </w:t>
      </w:r>
      <w:r>
        <w:t xml:space="preserve">based NGS), </w:t>
      </w:r>
      <w:r w:rsidR="00F357A6">
        <w:t>according to the s</w:t>
      </w:r>
      <w:r>
        <w:t>ponsor’s applicati</w:t>
      </w:r>
      <w:r w:rsidR="00F357A6">
        <w:t>on for provisional designation.</w:t>
      </w:r>
    </w:p>
    <w:p w14:paraId="73BA675D" w14:textId="3AFE9C89" w:rsidR="00A56ACE" w:rsidRDefault="00A56ACE" w:rsidP="00A56ACE">
      <w:r>
        <w:t xml:space="preserve">The fusion genes that were identified in the </w:t>
      </w:r>
      <w:r w:rsidR="00AE517A">
        <w:t xml:space="preserve">NTRK efficacy evaluable set </w:t>
      </w:r>
      <w:r>
        <w:t>are listed in</w:t>
      </w:r>
      <w:r w:rsidR="00EA58EB">
        <w:t xml:space="preserve"> </w:t>
      </w:r>
      <w:r w:rsidR="00EA58EB">
        <w:fldChar w:fldCharType="begin"/>
      </w:r>
      <w:r w:rsidR="00EA58EB">
        <w:instrText xml:space="preserve"> REF _Ref50560265 \h </w:instrText>
      </w:r>
      <w:r w:rsidR="00EA58EB">
        <w:fldChar w:fldCharType="separate"/>
      </w:r>
      <w:r w:rsidR="005743D8" w:rsidRPr="00A56ACE">
        <w:t>Table</w:t>
      </w:r>
      <w:r w:rsidR="006D7EB5">
        <w:t> </w:t>
      </w:r>
      <w:r w:rsidR="005743D8">
        <w:rPr>
          <w:noProof/>
        </w:rPr>
        <w:t>13</w:t>
      </w:r>
      <w:r w:rsidR="00EA58EB">
        <w:fldChar w:fldCharType="end"/>
      </w:r>
      <w:r>
        <w:t>.</w:t>
      </w:r>
    </w:p>
    <w:p w14:paraId="511C6361" w14:textId="311DBAA6" w:rsidR="00A56ACE" w:rsidRDefault="00A56ACE" w:rsidP="00A56ACE">
      <w:r>
        <w:t xml:space="preserve">To be included in the </w:t>
      </w:r>
      <w:r w:rsidR="00AE517A">
        <w:t>NTRK efficacy evaluable set</w:t>
      </w:r>
      <w:r>
        <w:t>, according to the protocol, tumo</w:t>
      </w:r>
      <w:r w:rsidR="002E2BCA">
        <w:t xml:space="preserve">urs were required to have an in </w:t>
      </w:r>
      <w:r>
        <w:t xml:space="preserve">frame fusion of </w:t>
      </w:r>
      <w:r w:rsidRPr="000C761A">
        <w:rPr>
          <w:i/>
        </w:rPr>
        <w:t>NTRK1</w:t>
      </w:r>
      <w:r>
        <w:t xml:space="preserve">, </w:t>
      </w:r>
      <w:r w:rsidRPr="000C761A">
        <w:rPr>
          <w:i/>
        </w:rPr>
        <w:t>NTRK2</w:t>
      </w:r>
      <w:r>
        <w:t xml:space="preserve"> or </w:t>
      </w:r>
      <w:r w:rsidRPr="000C761A">
        <w:rPr>
          <w:i/>
        </w:rPr>
        <w:t>NTRK3</w:t>
      </w:r>
      <w:r>
        <w:t xml:space="preserve"> with a functional kinase domain and without a second </w:t>
      </w:r>
      <w:proofErr w:type="spellStart"/>
      <w:r>
        <w:t>oncodriver</w:t>
      </w:r>
      <w:proofErr w:type="spellEnd"/>
      <w:r>
        <w:t>. Molecular pat</w:t>
      </w:r>
      <w:r w:rsidR="00F357A6">
        <w:t>hology reports provided by the s</w:t>
      </w:r>
      <w:r>
        <w:t>ponsor after an information request were reviewed</w:t>
      </w:r>
      <w:r w:rsidR="00D6732A">
        <w:t xml:space="preserve"> by the FDA, who commented that:</w:t>
      </w:r>
      <w:r w:rsidR="001316B1">
        <w:fldChar w:fldCharType="begin"/>
      </w:r>
      <w:r w:rsidR="001316B1">
        <w:instrText xml:space="preserve"> NOTEREF _Ref53476754 \f \h </w:instrText>
      </w:r>
      <w:r w:rsidR="001316B1">
        <w:fldChar w:fldCharType="separate"/>
      </w:r>
      <w:r w:rsidR="001316B1" w:rsidRPr="007D2F65">
        <w:rPr>
          <w:rStyle w:val="FootnoteReference"/>
        </w:rPr>
        <w:t>12</w:t>
      </w:r>
      <w:r w:rsidR="001316B1">
        <w:fldChar w:fldCharType="end"/>
      </w:r>
    </w:p>
    <w:p w14:paraId="491D5F2C" w14:textId="6B697E57" w:rsidR="00A56ACE" w:rsidRPr="00A56ACE" w:rsidRDefault="0059218E" w:rsidP="0059218E">
      <w:pPr>
        <w:ind w:left="720"/>
      </w:pPr>
      <w:r>
        <w:t>‘</w:t>
      </w:r>
      <w:r w:rsidR="00A56ACE" w:rsidRPr="00A56ACE">
        <w:t>Preliminarily, many of the provided molecular pathology reports (both local and Pharos) did not provide NTRK fusion breakpoints or indicated finding of an in</w:t>
      </w:r>
      <w:r w:rsidR="002E2BCA">
        <w:t xml:space="preserve"> </w:t>
      </w:r>
      <w:r w:rsidR="00A56ACE" w:rsidRPr="00A56ACE">
        <w:t xml:space="preserve">frame fusion, and secondary </w:t>
      </w:r>
      <w:proofErr w:type="spellStart"/>
      <w:r w:rsidR="00A56ACE" w:rsidRPr="00A56ACE">
        <w:t>oncodrivers</w:t>
      </w:r>
      <w:proofErr w:type="spellEnd"/>
      <w:r w:rsidR="00A56ACE" w:rsidRPr="00A56ACE">
        <w:t xml:space="preserve"> were not systemati</w:t>
      </w:r>
      <w:r>
        <w:t>cally assessed in all patients…’</w:t>
      </w:r>
    </w:p>
    <w:p w14:paraId="06D8FA26" w14:textId="4DC477B3" w:rsidR="00A56ACE" w:rsidRDefault="00A56ACE" w:rsidP="00A56ACE">
      <w:r>
        <w:t xml:space="preserve">The FDA state that no information on </w:t>
      </w:r>
      <w:proofErr w:type="spellStart"/>
      <w:r>
        <w:t>frameness</w:t>
      </w:r>
      <w:proofErr w:type="spellEnd"/>
      <w:r>
        <w:t xml:space="preserve"> was available for 8 of the 54 patients, and that concomitant </w:t>
      </w:r>
      <w:proofErr w:type="spellStart"/>
      <w:r>
        <w:t>oncodrivers</w:t>
      </w:r>
      <w:proofErr w:type="spellEnd"/>
      <w:r>
        <w:t xml:space="preserve"> were not assessed for 29 patients. Perhaps these data were assessed locally but not</w:t>
      </w:r>
      <w:r w:rsidR="009E4A93">
        <w:t xml:space="preserve"> reported within the trial.</w:t>
      </w:r>
    </w:p>
    <w:p w14:paraId="4D012B24" w14:textId="51A951E6" w:rsidR="00A56ACE" w:rsidRDefault="00A56ACE" w:rsidP="00A56ACE">
      <w:r>
        <w:lastRenderedPageBreak/>
        <w:t>Three patients were identified to have tumours harbou</w:t>
      </w:r>
      <w:r w:rsidR="002E2BCA">
        <w:t xml:space="preserve">ring a second </w:t>
      </w:r>
      <w:proofErr w:type="spellStart"/>
      <w:r w:rsidR="002E2BCA">
        <w:t>oncodriver</w:t>
      </w:r>
      <w:proofErr w:type="spellEnd"/>
      <w:r w:rsidR="002E2BCA">
        <w:t xml:space="preserve"> or out of </w:t>
      </w:r>
      <w:r>
        <w:t xml:space="preserve">frame fusion (one of each and a third with both). These were the 3 patients noted above to be excluded from the </w:t>
      </w:r>
      <w:r w:rsidR="00AE517A">
        <w:t xml:space="preserve">NTRK efficacy evaluable set </w:t>
      </w:r>
      <w:r>
        <w:t xml:space="preserve">due to failure to meet inclusion criteria (NTRK biomarker ineligibility: presence of one or more other oncogenic drivers </w:t>
      </w:r>
      <w:r w:rsidR="00BD04CD">
        <w:t>for example</w:t>
      </w:r>
      <w:r>
        <w:t xml:space="preserve"> </w:t>
      </w:r>
      <w:r w:rsidRPr="000C761A">
        <w:rPr>
          <w:i/>
        </w:rPr>
        <w:t>EGFR</w:t>
      </w:r>
      <w:r>
        <w:t xml:space="preserve"> or </w:t>
      </w:r>
      <w:r w:rsidRPr="000C761A">
        <w:rPr>
          <w:i/>
        </w:rPr>
        <w:t>KRAS</w:t>
      </w:r>
      <w:r>
        <w:t xml:space="preserve"> was considered likely to confer a mechanism of resistance).</w:t>
      </w:r>
    </w:p>
    <w:p w14:paraId="6B88FD11" w14:textId="293BC48F" w:rsidR="0029686F" w:rsidRDefault="00A56ACE" w:rsidP="00A56ACE">
      <w:r>
        <w:t>No tissue was available for retesting.</w:t>
      </w:r>
    </w:p>
    <w:p w14:paraId="74F0677B" w14:textId="31AAE5B4" w:rsidR="00A56ACE" w:rsidRDefault="00A56ACE" w:rsidP="00BA7D8A">
      <w:pPr>
        <w:pStyle w:val="TableTitle"/>
      </w:pPr>
      <w:bookmarkStart w:id="58" w:name="_Ref50560265"/>
      <w:r w:rsidRPr="00A56ACE">
        <w:t xml:space="preserve">Table </w:t>
      </w:r>
      <w:fldSimple w:instr=" SEQ Table \* ARABIC ">
        <w:r w:rsidR="009B407B">
          <w:rPr>
            <w:noProof/>
          </w:rPr>
          <w:t>17</w:t>
        </w:r>
      </w:fldSimple>
      <w:bookmarkEnd w:id="58"/>
      <w:r w:rsidR="001316B1">
        <w:rPr>
          <w:noProof/>
        </w:rPr>
        <w:t>:</w:t>
      </w:r>
      <w:r>
        <w:t xml:space="preserve"> Fusion genes identified in the NTRK efficacy evaluable set</w:t>
      </w:r>
    </w:p>
    <w:tbl>
      <w:tblPr>
        <w:tblStyle w:val="TableTGAblue"/>
        <w:tblW w:w="5000" w:type="pct"/>
        <w:tblLook w:val="01E0" w:firstRow="1" w:lastRow="1" w:firstColumn="1" w:lastColumn="1" w:noHBand="0" w:noVBand="0"/>
      </w:tblPr>
      <w:tblGrid>
        <w:gridCol w:w="2500"/>
        <w:gridCol w:w="4159"/>
        <w:gridCol w:w="1835"/>
      </w:tblGrid>
      <w:tr w:rsidR="00A56ACE" w:rsidRPr="003C3296" w14:paraId="7FADA568" w14:textId="77777777" w:rsidTr="001F1814">
        <w:trPr>
          <w:cnfStyle w:val="100000000000" w:firstRow="1" w:lastRow="0" w:firstColumn="0" w:lastColumn="0" w:oddVBand="0" w:evenVBand="0" w:oddHBand="0" w:evenHBand="0" w:firstRowFirstColumn="0" w:firstRowLastColumn="0" w:lastRowFirstColumn="0" w:lastRowLastColumn="0"/>
          <w:trHeight w:val="445"/>
        </w:trPr>
        <w:tc>
          <w:tcPr>
            <w:tcW w:w="1472" w:type="pct"/>
            <w:tcBorders>
              <w:top w:val="single" w:sz="4" w:space="0" w:color="auto"/>
              <w:left w:val="single" w:sz="4" w:space="0" w:color="auto"/>
              <w:bottom w:val="single" w:sz="4" w:space="0" w:color="auto"/>
              <w:right w:val="single" w:sz="4" w:space="0" w:color="auto"/>
            </w:tcBorders>
          </w:tcPr>
          <w:p w14:paraId="104E114C" w14:textId="7C411651" w:rsidR="00A56ACE" w:rsidRPr="003C3296" w:rsidRDefault="00A56ACE" w:rsidP="001316B1">
            <w:pPr>
              <w:pStyle w:val="TableParagraph"/>
              <w:ind w:left="0" w:right="0"/>
              <w:jc w:val="center"/>
              <w:rPr>
                <w:rFonts w:asciiTheme="minorHAnsi" w:hAnsiTheme="minorHAnsi"/>
                <w:szCs w:val="22"/>
              </w:rPr>
            </w:pPr>
            <w:r w:rsidRPr="003C3296">
              <w:rPr>
                <w:rFonts w:asciiTheme="minorHAnsi" w:hAnsiTheme="minorHAnsi"/>
                <w:i/>
                <w:szCs w:val="22"/>
              </w:rPr>
              <w:t xml:space="preserve">NTRK </w:t>
            </w:r>
            <w:r w:rsidR="001316B1">
              <w:rPr>
                <w:rFonts w:asciiTheme="minorHAnsi" w:hAnsiTheme="minorHAnsi"/>
                <w:szCs w:val="22"/>
              </w:rPr>
              <w:t>gene</w:t>
            </w:r>
          </w:p>
        </w:tc>
        <w:tc>
          <w:tcPr>
            <w:tcW w:w="2448" w:type="pct"/>
            <w:tcBorders>
              <w:top w:val="single" w:sz="4" w:space="0" w:color="auto"/>
              <w:left w:val="single" w:sz="4" w:space="0" w:color="auto"/>
              <w:bottom w:val="single" w:sz="4" w:space="0" w:color="auto"/>
              <w:right w:val="single" w:sz="4" w:space="0" w:color="auto"/>
            </w:tcBorders>
          </w:tcPr>
          <w:p w14:paraId="1DFA3C5F" w14:textId="77777777" w:rsidR="00A56ACE" w:rsidRPr="003C3296" w:rsidRDefault="00A56ACE" w:rsidP="00527347">
            <w:pPr>
              <w:pStyle w:val="TableParagraph"/>
              <w:ind w:left="0" w:right="0"/>
              <w:jc w:val="center"/>
              <w:rPr>
                <w:rFonts w:asciiTheme="minorHAnsi" w:hAnsiTheme="minorHAnsi"/>
                <w:szCs w:val="22"/>
              </w:rPr>
            </w:pPr>
            <w:r w:rsidRPr="003C3296">
              <w:rPr>
                <w:rFonts w:asciiTheme="minorHAnsi" w:hAnsiTheme="minorHAnsi"/>
                <w:szCs w:val="22"/>
              </w:rPr>
              <w:t>Fusion gene</w:t>
            </w:r>
          </w:p>
        </w:tc>
        <w:tc>
          <w:tcPr>
            <w:tcW w:w="1081" w:type="pct"/>
            <w:tcBorders>
              <w:top w:val="single" w:sz="4" w:space="0" w:color="auto"/>
              <w:left w:val="single" w:sz="4" w:space="0" w:color="auto"/>
              <w:bottom w:val="single" w:sz="4" w:space="0" w:color="auto"/>
              <w:right w:val="single" w:sz="4" w:space="0" w:color="auto"/>
            </w:tcBorders>
          </w:tcPr>
          <w:p w14:paraId="23EABEFD" w14:textId="77777777" w:rsidR="00A56ACE" w:rsidRPr="003C3296" w:rsidRDefault="00A56ACE" w:rsidP="00527347">
            <w:pPr>
              <w:spacing w:before="0" w:after="0" w:line="240" w:lineRule="auto"/>
              <w:ind w:left="0" w:right="0"/>
              <w:contextualSpacing/>
              <w:jc w:val="center"/>
              <w:rPr>
                <w:rFonts w:asciiTheme="minorHAnsi" w:hAnsiTheme="minorHAnsi" w:cs="Calibri"/>
                <w:szCs w:val="22"/>
              </w:rPr>
            </w:pPr>
            <w:r w:rsidRPr="003C3296">
              <w:rPr>
                <w:rFonts w:asciiTheme="minorHAnsi" w:hAnsiTheme="minorHAnsi" w:cs="Calibri"/>
                <w:szCs w:val="22"/>
              </w:rPr>
              <w:t>N (%)</w:t>
            </w:r>
          </w:p>
        </w:tc>
      </w:tr>
      <w:tr w:rsidR="00A56ACE" w:rsidRPr="003C3296" w14:paraId="6B784A55" w14:textId="77777777" w:rsidTr="001F1814">
        <w:trPr>
          <w:trHeight w:val="445"/>
        </w:trPr>
        <w:tc>
          <w:tcPr>
            <w:tcW w:w="1472" w:type="pct"/>
            <w:vMerge w:val="restart"/>
            <w:tcBorders>
              <w:top w:val="single" w:sz="4" w:space="0" w:color="auto"/>
            </w:tcBorders>
          </w:tcPr>
          <w:p w14:paraId="43AF7B25" w14:textId="77777777" w:rsidR="00A56ACE" w:rsidRPr="003C3296" w:rsidRDefault="00A56ACE" w:rsidP="00AA1C87">
            <w:pPr>
              <w:spacing w:before="0" w:after="0" w:line="240" w:lineRule="auto"/>
              <w:ind w:left="0" w:right="0"/>
              <w:contextualSpacing/>
              <w:rPr>
                <w:rFonts w:asciiTheme="minorHAnsi" w:hAnsiTheme="minorHAnsi" w:cs="Calibri"/>
                <w:b/>
                <w:i/>
                <w:color w:val="231F20"/>
                <w:szCs w:val="22"/>
              </w:rPr>
            </w:pPr>
            <w:r w:rsidRPr="003C3296">
              <w:rPr>
                <w:rFonts w:asciiTheme="minorHAnsi" w:hAnsiTheme="minorHAnsi" w:cs="Calibri"/>
                <w:b/>
                <w:i/>
                <w:color w:val="231F20"/>
                <w:szCs w:val="22"/>
              </w:rPr>
              <w:t>NTRK3</w:t>
            </w:r>
          </w:p>
          <w:p w14:paraId="3E1417BA" w14:textId="401BCF97" w:rsidR="00A56ACE" w:rsidRPr="003C3296" w:rsidRDefault="00A56ACE" w:rsidP="00AA1C87">
            <w:pPr>
              <w:spacing w:before="0" w:after="0" w:line="240" w:lineRule="auto"/>
              <w:ind w:left="0" w:right="0"/>
              <w:contextualSpacing/>
              <w:rPr>
                <w:rFonts w:asciiTheme="minorHAnsi" w:hAnsiTheme="minorHAnsi" w:cs="Calibri"/>
                <w:b/>
                <w:szCs w:val="22"/>
              </w:rPr>
            </w:pPr>
            <w:r w:rsidRPr="003C3296">
              <w:rPr>
                <w:rFonts w:asciiTheme="minorHAnsi" w:hAnsiTheme="minorHAnsi" w:cs="Calibri"/>
                <w:b/>
                <w:i/>
                <w:color w:val="231F20"/>
                <w:szCs w:val="22"/>
              </w:rPr>
              <w:t>Total n</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31 (57%)</w:t>
            </w:r>
          </w:p>
        </w:tc>
        <w:tc>
          <w:tcPr>
            <w:tcW w:w="2448" w:type="pct"/>
            <w:tcBorders>
              <w:top w:val="single" w:sz="4" w:space="0" w:color="auto"/>
            </w:tcBorders>
          </w:tcPr>
          <w:p w14:paraId="23DF19E2" w14:textId="77777777" w:rsidR="00A56ACE" w:rsidRPr="003C3296" w:rsidRDefault="00A56ACE" w:rsidP="00AA1C87">
            <w:pPr>
              <w:spacing w:before="0" w:after="0" w:line="240" w:lineRule="auto"/>
              <w:ind w:left="0" w:right="0"/>
              <w:contextualSpacing/>
              <w:rPr>
                <w:rFonts w:asciiTheme="minorHAnsi" w:hAnsiTheme="minorHAnsi" w:cs="Calibri"/>
                <w:b/>
                <w:color w:val="231F20"/>
                <w:szCs w:val="22"/>
              </w:rPr>
            </w:pPr>
            <w:r w:rsidRPr="003C3296">
              <w:rPr>
                <w:rFonts w:asciiTheme="minorHAnsi" w:hAnsiTheme="minorHAnsi" w:cs="Calibri"/>
                <w:i/>
                <w:color w:val="231F20"/>
                <w:szCs w:val="22"/>
              </w:rPr>
              <w:t>ETV6-NTRK3</w:t>
            </w:r>
          </w:p>
        </w:tc>
        <w:tc>
          <w:tcPr>
            <w:tcW w:w="1081" w:type="pct"/>
            <w:tcBorders>
              <w:top w:val="single" w:sz="4" w:space="0" w:color="auto"/>
            </w:tcBorders>
          </w:tcPr>
          <w:p w14:paraId="40F0A860" w14:textId="77777777" w:rsidR="00A56ACE" w:rsidRPr="003C3296" w:rsidRDefault="00A56ACE" w:rsidP="00AA1C87">
            <w:pPr>
              <w:spacing w:before="0" w:after="0" w:line="240" w:lineRule="auto"/>
              <w:ind w:left="0" w:right="0"/>
              <w:contextualSpacing/>
              <w:rPr>
                <w:rFonts w:asciiTheme="minorHAnsi" w:hAnsiTheme="minorHAnsi" w:cs="Calibri"/>
                <w:b/>
                <w:szCs w:val="22"/>
              </w:rPr>
            </w:pPr>
            <w:r w:rsidRPr="003C3296">
              <w:rPr>
                <w:rFonts w:asciiTheme="minorHAnsi" w:hAnsiTheme="minorHAnsi" w:cs="Calibri"/>
                <w:color w:val="231F20"/>
                <w:szCs w:val="22"/>
              </w:rPr>
              <w:t>25 (81%)</w:t>
            </w:r>
          </w:p>
        </w:tc>
      </w:tr>
      <w:tr w:rsidR="00A56ACE" w:rsidRPr="003C3296" w14:paraId="3AEF972B" w14:textId="77777777" w:rsidTr="001F1814">
        <w:trPr>
          <w:trHeight w:val="445"/>
        </w:trPr>
        <w:tc>
          <w:tcPr>
            <w:tcW w:w="1472" w:type="pct"/>
            <w:vMerge/>
          </w:tcPr>
          <w:p w14:paraId="00C88875" w14:textId="77777777" w:rsidR="00A56ACE" w:rsidRPr="003C3296" w:rsidRDefault="00A56ACE" w:rsidP="00AA1C87">
            <w:pPr>
              <w:spacing w:before="0" w:after="0" w:line="240" w:lineRule="auto"/>
              <w:ind w:left="0" w:right="0"/>
              <w:contextualSpacing/>
              <w:rPr>
                <w:rFonts w:asciiTheme="minorHAnsi" w:hAnsiTheme="minorHAnsi" w:cs="Calibri"/>
                <w:szCs w:val="22"/>
              </w:rPr>
            </w:pPr>
          </w:p>
        </w:tc>
        <w:tc>
          <w:tcPr>
            <w:tcW w:w="2448" w:type="pct"/>
          </w:tcPr>
          <w:p w14:paraId="2827A16F"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i/>
                <w:color w:val="231F20"/>
                <w:szCs w:val="22"/>
              </w:rPr>
              <w:t>EML4-NTRK3</w:t>
            </w:r>
          </w:p>
        </w:tc>
        <w:tc>
          <w:tcPr>
            <w:tcW w:w="1081" w:type="pct"/>
          </w:tcPr>
          <w:p w14:paraId="1368EA42" w14:textId="77777777" w:rsidR="00A56ACE" w:rsidRPr="003C3296" w:rsidRDefault="00A56ACE" w:rsidP="00AA1C87">
            <w:pPr>
              <w:spacing w:before="0" w:after="0" w:line="240" w:lineRule="auto"/>
              <w:ind w:left="0" w:right="0"/>
              <w:contextualSpacing/>
              <w:rPr>
                <w:rFonts w:asciiTheme="minorHAnsi" w:hAnsiTheme="minorHAnsi" w:cs="Calibri"/>
                <w:szCs w:val="22"/>
              </w:rPr>
            </w:pPr>
            <w:r w:rsidRPr="003C3296">
              <w:rPr>
                <w:rFonts w:asciiTheme="minorHAnsi" w:hAnsiTheme="minorHAnsi" w:cs="Calibri"/>
                <w:color w:val="231F20"/>
                <w:w w:val="101"/>
                <w:szCs w:val="22"/>
              </w:rPr>
              <w:t>2</w:t>
            </w:r>
          </w:p>
        </w:tc>
      </w:tr>
      <w:tr w:rsidR="00A56ACE" w:rsidRPr="003C3296" w14:paraId="6BE164B3" w14:textId="77777777" w:rsidTr="001F1814">
        <w:trPr>
          <w:trHeight w:val="445"/>
        </w:trPr>
        <w:tc>
          <w:tcPr>
            <w:tcW w:w="1472" w:type="pct"/>
            <w:vMerge/>
          </w:tcPr>
          <w:p w14:paraId="14871CC3" w14:textId="77777777" w:rsidR="00A56ACE" w:rsidRPr="003C3296" w:rsidRDefault="00A56ACE" w:rsidP="00AA1C87">
            <w:pPr>
              <w:spacing w:before="0" w:after="0" w:line="240" w:lineRule="auto"/>
              <w:ind w:left="0" w:right="0"/>
              <w:contextualSpacing/>
              <w:rPr>
                <w:rFonts w:asciiTheme="minorHAnsi" w:hAnsiTheme="minorHAnsi" w:cs="Calibri"/>
                <w:szCs w:val="22"/>
              </w:rPr>
            </w:pPr>
          </w:p>
        </w:tc>
        <w:tc>
          <w:tcPr>
            <w:tcW w:w="2448" w:type="pct"/>
          </w:tcPr>
          <w:p w14:paraId="1E670F40"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AKAP13-NTRK3</w:t>
            </w:r>
          </w:p>
        </w:tc>
        <w:tc>
          <w:tcPr>
            <w:tcW w:w="1081" w:type="pct"/>
          </w:tcPr>
          <w:p w14:paraId="72C0DCBE" w14:textId="77777777" w:rsidR="00A56ACE" w:rsidRPr="003C3296" w:rsidRDefault="00A56ACE" w:rsidP="00AA1C87">
            <w:pPr>
              <w:spacing w:before="0" w:after="0" w:line="240" w:lineRule="auto"/>
              <w:ind w:left="0" w:right="0"/>
              <w:contextualSpacing/>
              <w:rPr>
                <w:rFonts w:asciiTheme="minorHAnsi" w:hAnsiTheme="minorHAnsi" w:cs="Calibri"/>
                <w:szCs w:val="22"/>
              </w:rPr>
            </w:pPr>
            <w:r w:rsidRPr="003C3296">
              <w:rPr>
                <w:rFonts w:asciiTheme="minorHAnsi" w:hAnsiTheme="minorHAnsi" w:cs="Calibri"/>
                <w:color w:val="231F20"/>
                <w:w w:val="101"/>
                <w:szCs w:val="22"/>
              </w:rPr>
              <w:t>1</w:t>
            </w:r>
          </w:p>
        </w:tc>
      </w:tr>
      <w:tr w:rsidR="00A56ACE" w:rsidRPr="003C3296" w14:paraId="5732CF5B" w14:textId="77777777" w:rsidTr="001F1814">
        <w:trPr>
          <w:trHeight w:val="445"/>
        </w:trPr>
        <w:tc>
          <w:tcPr>
            <w:tcW w:w="1472" w:type="pct"/>
            <w:vMerge/>
          </w:tcPr>
          <w:p w14:paraId="40E114A6" w14:textId="77777777" w:rsidR="00A56ACE" w:rsidRPr="003C3296" w:rsidRDefault="00A56ACE" w:rsidP="00AA1C87">
            <w:pPr>
              <w:spacing w:before="0" w:after="0" w:line="240" w:lineRule="auto"/>
              <w:ind w:left="0" w:right="0"/>
              <w:contextualSpacing/>
              <w:rPr>
                <w:rFonts w:asciiTheme="minorHAnsi" w:hAnsiTheme="minorHAnsi" w:cs="Calibri"/>
                <w:i/>
                <w:szCs w:val="22"/>
              </w:rPr>
            </w:pPr>
          </w:p>
        </w:tc>
        <w:tc>
          <w:tcPr>
            <w:tcW w:w="2448" w:type="pct"/>
          </w:tcPr>
          <w:p w14:paraId="15E1F442"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FAM19A2-NTRK3</w:t>
            </w:r>
          </w:p>
        </w:tc>
        <w:tc>
          <w:tcPr>
            <w:tcW w:w="1081" w:type="pct"/>
          </w:tcPr>
          <w:p w14:paraId="18643430" w14:textId="77777777" w:rsidR="00A56ACE" w:rsidRPr="003C3296" w:rsidRDefault="00A56ACE" w:rsidP="00AA1C87">
            <w:pPr>
              <w:spacing w:before="0" w:after="0" w:line="240" w:lineRule="auto"/>
              <w:ind w:left="0" w:right="0"/>
              <w:contextualSpacing/>
              <w:rPr>
                <w:rFonts w:asciiTheme="minorHAnsi" w:hAnsiTheme="minorHAnsi" w:cs="Calibri"/>
                <w:i/>
                <w:szCs w:val="22"/>
              </w:rPr>
            </w:pPr>
            <w:r w:rsidRPr="003C3296">
              <w:rPr>
                <w:rFonts w:asciiTheme="minorHAnsi" w:hAnsiTheme="minorHAnsi" w:cs="Calibri"/>
                <w:color w:val="231F20"/>
                <w:w w:val="101"/>
                <w:szCs w:val="22"/>
              </w:rPr>
              <w:t>1</w:t>
            </w:r>
          </w:p>
        </w:tc>
      </w:tr>
      <w:tr w:rsidR="00A56ACE" w:rsidRPr="003C3296" w14:paraId="7BE8D578" w14:textId="77777777" w:rsidTr="001F1814">
        <w:trPr>
          <w:trHeight w:val="445"/>
        </w:trPr>
        <w:tc>
          <w:tcPr>
            <w:tcW w:w="1472" w:type="pct"/>
            <w:vMerge/>
          </w:tcPr>
          <w:p w14:paraId="5349BF8F" w14:textId="77777777" w:rsidR="00A56ACE" w:rsidRPr="003C3296" w:rsidRDefault="00A56ACE" w:rsidP="00AA1C87">
            <w:pPr>
              <w:spacing w:before="0" w:after="0" w:line="240" w:lineRule="auto"/>
              <w:ind w:left="0" w:right="0"/>
              <w:contextualSpacing/>
              <w:rPr>
                <w:rFonts w:asciiTheme="minorHAnsi" w:hAnsiTheme="minorHAnsi" w:cs="Calibri"/>
                <w:szCs w:val="22"/>
              </w:rPr>
            </w:pPr>
          </w:p>
        </w:tc>
        <w:tc>
          <w:tcPr>
            <w:tcW w:w="2448" w:type="pct"/>
          </w:tcPr>
          <w:p w14:paraId="4F46A132"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KIF7-NTRK3</w:t>
            </w:r>
          </w:p>
        </w:tc>
        <w:tc>
          <w:tcPr>
            <w:tcW w:w="1081" w:type="pct"/>
          </w:tcPr>
          <w:p w14:paraId="63A2E99B" w14:textId="77777777" w:rsidR="00A56ACE" w:rsidRPr="003C3296" w:rsidRDefault="00A56ACE" w:rsidP="00AA1C87">
            <w:pPr>
              <w:spacing w:before="0" w:after="0" w:line="240" w:lineRule="auto"/>
              <w:ind w:left="0" w:right="0"/>
              <w:contextualSpacing/>
              <w:rPr>
                <w:rFonts w:asciiTheme="minorHAnsi" w:hAnsiTheme="minorHAnsi" w:cs="Calibri"/>
                <w:szCs w:val="22"/>
              </w:rPr>
            </w:pPr>
            <w:r w:rsidRPr="003C3296">
              <w:rPr>
                <w:rFonts w:asciiTheme="minorHAnsi" w:hAnsiTheme="minorHAnsi" w:cs="Calibri"/>
                <w:color w:val="231F20"/>
                <w:w w:val="101"/>
                <w:szCs w:val="22"/>
              </w:rPr>
              <w:t>1</w:t>
            </w:r>
          </w:p>
        </w:tc>
      </w:tr>
      <w:tr w:rsidR="00A56ACE" w:rsidRPr="003C3296" w14:paraId="7D0FC233" w14:textId="77777777" w:rsidTr="001F1814">
        <w:trPr>
          <w:trHeight w:val="445"/>
        </w:trPr>
        <w:tc>
          <w:tcPr>
            <w:tcW w:w="1472" w:type="pct"/>
            <w:vMerge/>
          </w:tcPr>
          <w:p w14:paraId="2E524798" w14:textId="77777777" w:rsidR="00A56ACE" w:rsidRPr="003C3296" w:rsidRDefault="00A56ACE" w:rsidP="00AA1C87">
            <w:pPr>
              <w:spacing w:before="0" w:after="0" w:line="240" w:lineRule="auto"/>
              <w:ind w:left="0" w:right="0"/>
              <w:contextualSpacing/>
              <w:rPr>
                <w:rFonts w:asciiTheme="minorHAnsi" w:hAnsiTheme="minorHAnsi" w:cs="Calibri"/>
                <w:szCs w:val="22"/>
              </w:rPr>
            </w:pPr>
          </w:p>
        </w:tc>
        <w:tc>
          <w:tcPr>
            <w:tcW w:w="2448" w:type="pct"/>
          </w:tcPr>
          <w:p w14:paraId="25915462"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RBPMS-NTRK3</w:t>
            </w:r>
          </w:p>
        </w:tc>
        <w:tc>
          <w:tcPr>
            <w:tcW w:w="1081" w:type="pct"/>
          </w:tcPr>
          <w:p w14:paraId="535EF5FD" w14:textId="77777777" w:rsidR="00A56ACE" w:rsidRPr="003C3296" w:rsidRDefault="00A56ACE" w:rsidP="00AA1C87">
            <w:pPr>
              <w:spacing w:before="0" w:after="0" w:line="240" w:lineRule="auto"/>
              <w:ind w:left="0" w:right="0"/>
              <w:contextualSpacing/>
              <w:rPr>
                <w:rFonts w:asciiTheme="minorHAnsi" w:hAnsiTheme="minorHAnsi" w:cs="Calibri"/>
                <w:szCs w:val="22"/>
              </w:rPr>
            </w:pPr>
            <w:r w:rsidRPr="003C3296">
              <w:rPr>
                <w:rFonts w:asciiTheme="minorHAnsi" w:hAnsiTheme="minorHAnsi" w:cs="Calibri"/>
                <w:color w:val="231F20"/>
                <w:w w:val="101"/>
                <w:szCs w:val="22"/>
              </w:rPr>
              <w:t>1</w:t>
            </w:r>
          </w:p>
        </w:tc>
      </w:tr>
      <w:tr w:rsidR="00A56ACE" w:rsidRPr="003C3296" w14:paraId="165D37F0" w14:textId="77777777" w:rsidTr="001F1814">
        <w:trPr>
          <w:trHeight w:val="445"/>
        </w:trPr>
        <w:tc>
          <w:tcPr>
            <w:tcW w:w="1472" w:type="pct"/>
            <w:vMerge w:val="restart"/>
          </w:tcPr>
          <w:p w14:paraId="609A0FD1" w14:textId="77777777" w:rsidR="00A56ACE" w:rsidRPr="003C3296" w:rsidRDefault="00A56ACE" w:rsidP="00AA1C87">
            <w:pPr>
              <w:spacing w:before="0" w:after="0" w:line="240" w:lineRule="auto"/>
              <w:ind w:left="0" w:right="0"/>
              <w:contextualSpacing/>
              <w:rPr>
                <w:rFonts w:asciiTheme="minorHAnsi" w:hAnsiTheme="minorHAnsi" w:cs="Calibri"/>
                <w:b/>
                <w:i/>
                <w:color w:val="231F20"/>
                <w:szCs w:val="22"/>
              </w:rPr>
            </w:pPr>
            <w:r w:rsidRPr="003C3296">
              <w:rPr>
                <w:rFonts w:asciiTheme="minorHAnsi" w:hAnsiTheme="minorHAnsi" w:cs="Calibri"/>
                <w:b/>
                <w:i/>
                <w:color w:val="231F20"/>
                <w:szCs w:val="22"/>
              </w:rPr>
              <w:t>NTRK1</w:t>
            </w:r>
          </w:p>
          <w:p w14:paraId="115DB758" w14:textId="6197A8F9" w:rsidR="00A56ACE" w:rsidRPr="003C3296" w:rsidRDefault="00A56ACE" w:rsidP="00AA1C87">
            <w:pPr>
              <w:spacing w:before="0" w:after="0" w:line="240" w:lineRule="auto"/>
              <w:ind w:left="0" w:right="0"/>
              <w:contextualSpacing/>
              <w:rPr>
                <w:rFonts w:asciiTheme="minorHAnsi" w:hAnsiTheme="minorHAnsi" w:cs="Calibri"/>
                <w:b/>
                <w:color w:val="231F20"/>
                <w:szCs w:val="22"/>
              </w:rPr>
            </w:pPr>
            <w:r w:rsidRPr="003C3296">
              <w:rPr>
                <w:rFonts w:asciiTheme="minorHAnsi" w:hAnsiTheme="minorHAnsi" w:cs="Calibri"/>
                <w:b/>
                <w:i/>
                <w:color w:val="231F20"/>
                <w:szCs w:val="22"/>
              </w:rPr>
              <w:t>Total n</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22 (41%)</w:t>
            </w:r>
          </w:p>
        </w:tc>
        <w:tc>
          <w:tcPr>
            <w:tcW w:w="2448" w:type="pct"/>
          </w:tcPr>
          <w:p w14:paraId="534F6C75" w14:textId="77777777" w:rsidR="00A56ACE" w:rsidRPr="003C3296" w:rsidRDefault="00A56ACE" w:rsidP="00AA1C87">
            <w:pPr>
              <w:spacing w:before="0" w:after="0" w:line="240" w:lineRule="auto"/>
              <w:ind w:left="0" w:right="0"/>
              <w:contextualSpacing/>
              <w:rPr>
                <w:rFonts w:asciiTheme="minorHAnsi" w:hAnsiTheme="minorHAnsi" w:cs="Calibri"/>
                <w:b/>
                <w:color w:val="231F20"/>
                <w:szCs w:val="22"/>
              </w:rPr>
            </w:pPr>
            <w:r w:rsidRPr="003C3296">
              <w:rPr>
                <w:rFonts w:asciiTheme="minorHAnsi" w:hAnsiTheme="minorHAnsi" w:cs="Calibri"/>
                <w:i/>
                <w:color w:val="231F20"/>
                <w:szCs w:val="22"/>
              </w:rPr>
              <w:t>TPM3-NTRK1</w:t>
            </w:r>
          </w:p>
        </w:tc>
        <w:tc>
          <w:tcPr>
            <w:tcW w:w="1081" w:type="pct"/>
          </w:tcPr>
          <w:p w14:paraId="290094E7" w14:textId="77777777" w:rsidR="00A56ACE" w:rsidRPr="003C3296" w:rsidRDefault="00A56ACE" w:rsidP="00AA1C87">
            <w:pPr>
              <w:spacing w:before="0" w:after="0" w:line="240" w:lineRule="auto"/>
              <w:ind w:left="0" w:right="0"/>
              <w:contextualSpacing/>
              <w:rPr>
                <w:rFonts w:asciiTheme="minorHAnsi" w:hAnsiTheme="minorHAnsi" w:cs="Calibri"/>
                <w:b/>
                <w:color w:val="231F20"/>
                <w:szCs w:val="22"/>
              </w:rPr>
            </w:pPr>
            <w:r w:rsidRPr="003C3296">
              <w:rPr>
                <w:rFonts w:asciiTheme="minorHAnsi" w:hAnsiTheme="minorHAnsi" w:cs="Calibri"/>
                <w:color w:val="231F20"/>
                <w:w w:val="101"/>
                <w:szCs w:val="22"/>
              </w:rPr>
              <w:t>4</w:t>
            </w:r>
          </w:p>
        </w:tc>
      </w:tr>
      <w:tr w:rsidR="00A56ACE" w:rsidRPr="003C3296" w14:paraId="1CB23E44" w14:textId="77777777" w:rsidTr="001F1814">
        <w:trPr>
          <w:trHeight w:val="445"/>
        </w:trPr>
        <w:tc>
          <w:tcPr>
            <w:tcW w:w="1472" w:type="pct"/>
            <w:vMerge/>
          </w:tcPr>
          <w:p w14:paraId="1137B9BF"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p>
        </w:tc>
        <w:tc>
          <w:tcPr>
            <w:tcW w:w="2448" w:type="pct"/>
          </w:tcPr>
          <w:p w14:paraId="21DD99C6"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TPR-NTRK1</w:t>
            </w:r>
          </w:p>
        </w:tc>
        <w:tc>
          <w:tcPr>
            <w:tcW w:w="1081" w:type="pct"/>
          </w:tcPr>
          <w:p w14:paraId="4D60FC0C"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w w:val="101"/>
                <w:szCs w:val="22"/>
              </w:rPr>
              <w:t>4</w:t>
            </w:r>
          </w:p>
        </w:tc>
      </w:tr>
      <w:tr w:rsidR="00A56ACE" w:rsidRPr="003C3296" w14:paraId="130F017D" w14:textId="77777777" w:rsidTr="001F1814">
        <w:trPr>
          <w:trHeight w:val="445"/>
        </w:trPr>
        <w:tc>
          <w:tcPr>
            <w:tcW w:w="1472" w:type="pct"/>
            <w:vMerge/>
          </w:tcPr>
          <w:p w14:paraId="7D0B6B60"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p>
        </w:tc>
        <w:tc>
          <w:tcPr>
            <w:tcW w:w="2448" w:type="pct"/>
          </w:tcPr>
          <w:p w14:paraId="3A233650"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SQSTM1-NTRK1</w:t>
            </w:r>
          </w:p>
        </w:tc>
        <w:tc>
          <w:tcPr>
            <w:tcW w:w="1081" w:type="pct"/>
          </w:tcPr>
          <w:p w14:paraId="73E77F63"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w w:val="101"/>
                <w:szCs w:val="22"/>
              </w:rPr>
              <w:t>2</w:t>
            </w:r>
          </w:p>
        </w:tc>
      </w:tr>
      <w:tr w:rsidR="00A56ACE" w:rsidRPr="003C3296" w14:paraId="5F040A2A" w14:textId="77777777" w:rsidTr="001F1814">
        <w:trPr>
          <w:trHeight w:val="445"/>
        </w:trPr>
        <w:tc>
          <w:tcPr>
            <w:tcW w:w="1472" w:type="pct"/>
            <w:vMerge/>
          </w:tcPr>
          <w:p w14:paraId="41B8CA16"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p>
        </w:tc>
        <w:tc>
          <w:tcPr>
            <w:tcW w:w="2448" w:type="pct"/>
          </w:tcPr>
          <w:p w14:paraId="692D983D"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LMNA-NTRK1</w:t>
            </w:r>
          </w:p>
        </w:tc>
        <w:tc>
          <w:tcPr>
            <w:tcW w:w="1081" w:type="pct"/>
          </w:tcPr>
          <w:p w14:paraId="15364BBB"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w w:val="101"/>
                <w:szCs w:val="22"/>
              </w:rPr>
              <w:t>2</w:t>
            </w:r>
          </w:p>
        </w:tc>
      </w:tr>
      <w:tr w:rsidR="00A56ACE" w:rsidRPr="003C3296" w14:paraId="080BBDE0" w14:textId="77777777" w:rsidTr="001F1814">
        <w:trPr>
          <w:trHeight w:val="445"/>
        </w:trPr>
        <w:tc>
          <w:tcPr>
            <w:tcW w:w="1472" w:type="pct"/>
            <w:vMerge/>
          </w:tcPr>
          <w:p w14:paraId="3906E72B"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p>
        </w:tc>
        <w:tc>
          <w:tcPr>
            <w:tcW w:w="2448" w:type="pct"/>
          </w:tcPr>
          <w:p w14:paraId="58DF2467"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PEAR1-NTRK1</w:t>
            </w:r>
          </w:p>
        </w:tc>
        <w:tc>
          <w:tcPr>
            <w:tcW w:w="1081" w:type="pct"/>
          </w:tcPr>
          <w:p w14:paraId="03845DB6"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w w:val="101"/>
                <w:szCs w:val="22"/>
              </w:rPr>
              <w:t>2</w:t>
            </w:r>
          </w:p>
        </w:tc>
      </w:tr>
      <w:tr w:rsidR="00A56ACE" w:rsidRPr="003C3296" w14:paraId="2AA4548C" w14:textId="77777777" w:rsidTr="001F1814">
        <w:trPr>
          <w:trHeight w:val="445"/>
        </w:trPr>
        <w:tc>
          <w:tcPr>
            <w:tcW w:w="1472" w:type="pct"/>
            <w:vMerge/>
          </w:tcPr>
          <w:p w14:paraId="457FFB0A"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p>
        </w:tc>
        <w:tc>
          <w:tcPr>
            <w:tcW w:w="2448" w:type="pct"/>
          </w:tcPr>
          <w:p w14:paraId="59CE7F1B" w14:textId="77777777" w:rsidR="00A56ACE" w:rsidRPr="003C3296" w:rsidRDefault="00A56ACE" w:rsidP="00AA1C87">
            <w:pPr>
              <w:spacing w:before="0" w:after="0" w:line="240" w:lineRule="auto"/>
              <w:ind w:left="0" w:right="0"/>
              <w:contextualSpacing/>
              <w:rPr>
                <w:rFonts w:asciiTheme="minorHAnsi" w:hAnsiTheme="minorHAnsi" w:cs="Calibri"/>
                <w:color w:val="231F20"/>
                <w:w w:val="101"/>
                <w:szCs w:val="22"/>
              </w:rPr>
            </w:pPr>
            <w:r w:rsidRPr="003C3296">
              <w:rPr>
                <w:rFonts w:asciiTheme="minorHAnsi" w:hAnsiTheme="minorHAnsi" w:cs="Calibri"/>
                <w:i/>
                <w:color w:val="231F20"/>
                <w:szCs w:val="22"/>
              </w:rPr>
              <w:t>ERC1-NTRK1</w:t>
            </w:r>
          </w:p>
        </w:tc>
        <w:tc>
          <w:tcPr>
            <w:tcW w:w="1081" w:type="pct"/>
          </w:tcPr>
          <w:p w14:paraId="61EF0BCB"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79A19891" w14:textId="77777777" w:rsidTr="001F1814">
        <w:trPr>
          <w:trHeight w:val="445"/>
        </w:trPr>
        <w:tc>
          <w:tcPr>
            <w:tcW w:w="1472" w:type="pct"/>
            <w:vMerge/>
          </w:tcPr>
          <w:p w14:paraId="7D4C449D"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71F13F5B"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EPS15L1-NTRK1</w:t>
            </w:r>
          </w:p>
        </w:tc>
        <w:tc>
          <w:tcPr>
            <w:tcW w:w="1081" w:type="pct"/>
          </w:tcPr>
          <w:p w14:paraId="4F187DDE"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14A3DAAA" w14:textId="77777777" w:rsidTr="001F1814">
        <w:trPr>
          <w:trHeight w:val="445"/>
        </w:trPr>
        <w:tc>
          <w:tcPr>
            <w:tcW w:w="1472" w:type="pct"/>
            <w:vMerge/>
          </w:tcPr>
          <w:p w14:paraId="4766FA98"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54A8863D"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CGN-NTRK1</w:t>
            </w:r>
          </w:p>
        </w:tc>
        <w:tc>
          <w:tcPr>
            <w:tcW w:w="1081" w:type="pct"/>
          </w:tcPr>
          <w:p w14:paraId="6032B703"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1D507C33" w14:textId="77777777" w:rsidTr="001F1814">
        <w:trPr>
          <w:trHeight w:val="445"/>
        </w:trPr>
        <w:tc>
          <w:tcPr>
            <w:tcW w:w="1472" w:type="pct"/>
            <w:vMerge/>
          </w:tcPr>
          <w:p w14:paraId="6D0866CD"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765CA567"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CDC42BPA-NTRK1</w:t>
            </w:r>
          </w:p>
        </w:tc>
        <w:tc>
          <w:tcPr>
            <w:tcW w:w="1081" w:type="pct"/>
          </w:tcPr>
          <w:p w14:paraId="5B426604"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0739D4D7" w14:textId="77777777" w:rsidTr="001F1814">
        <w:trPr>
          <w:trHeight w:val="445"/>
        </w:trPr>
        <w:tc>
          <w:tcPr>
            <w:tcW w:w="1472" w:type="pct"/>
            <w:vMerge/>
          </w:tcPr>
          <w:p w14:paraId="33B974B7"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6CBF4F31"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PDIA3-NTRK1</w:t>
            </w:r>
          </w:p>
        </w:tc>
        <w:tc>
          <w:tcPr>
            <w:tcW w:w="1081" w:type="pct"/>
          </w:tcPr>
          <w:p w14:paraId="024E0C48"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0AD06D97" w14:textId="77777777" w:rsidTr="001F1814">
        <w:trPr>
          <w:trHeight w:val="445"/>
        </w:trPr>
        <w:tc>
          <w:tcPr>
            <w:tcW w:w="1472" w:type="pct"/>
            <w:vMerge/>
          </w:tcPr>
          <w:p w14:paraId="50A6F5CD"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3030A510"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PLEKHA6-NTRK1</w:t>
            </w:r>
          </w:p>
        </w:tc>
        <w:tc>
          <w:tcPr>
            <w:tcW w:w="1081" w:type="pct"/>
          </w:tcPr>
          <w:p w14:paraId="55391B12"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487F5E8E" w14:textId="77777777" w:rsidTr="001F1814">
        <w:trPr>
          <w:trHeight w:val="445"/>
        </w:trPr>
        <w:tc>
          <w:tcPr>
            <w:tcW w:w="1472" w:type="pct"/>
            <w:vMerge/>
          </w:tcPr>
          <w:p w14:paraId="7908EA7B"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66186C77"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CD74-NTRK1</w:t>
            </w:r>
          </w:p>
        </w:tc>
        <w:tc>
          <w:tcPr>
            <w:tcW w:w="1081" w:type="pct"/>
          </w:tcPr>
          <w:p w14:paraId="5205EDC4"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2C15354D" w14:textId="77777777" w:rsidTr="001F1814">
        <w:trPr>
          <w:trHeight w:val="445"/>
        </w:trPr>
        <w:tc>
          <w:tcPr>
            <w:tcW w:w="1472" w:type="pct"/>
            <w:vMerge/>
          </w:tcPr>
          <w:p w14:paraId="595B4C12"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p>
        </w:tc>
        <w:tc>
          <w:tcPr>
            <w:tcW w:w="2448" w:type="pct"/>
          </w:tcPr>
          <w:p w14:paraId="1E822A41"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TRIM33-NTRK1</w:t>
            </w:r>
          </w:p>
        </w:tc>
        <w:tc>
          <w:tcPr>
            <w:tcW w:w="1081" w:type="pct"/>
          </w:tcPr>
          <w:p w14:paraId="029BBFAE" w14:textId="77777777" w:rsidR="00A56ACE" w:rsidRPr="003C3296" w:rsidRDefault="00A56ACE" w:rsidP="00AA1C87">
            <w:pPr>
              <w:spacing w:before="0" w:after="0" w:line="240" w:lineRule="auto"/>
              <w:ind w:left="0" w:right="0"/>
              <w:contextualSpacing/>
              <w:rPr>
                <w:rFonts w:asciiTheme="minorHAnsi" w:hAnsiTheme="minorHAnsi" w:cs="Calibri"/>
                <w:color w:val="231F20"/>
                <w:szCs w:val="22"/>
              </w:rPr>
            </w:pPr>
            <w:r w:rsidRPr="003C3296">
              <w:rPr>
                <w:rFonts w:asciiTheme="minorHAnsi" w:hAnsiTheme="minorHAnsi" w:cs="Calibri"/>
                <w:color w:val="231F20"/>
                <w:szCs w:val="22"/>
              </w:rPr>
              <w:t>1</w:t>
            </w:r>
          </w:p>
        </w:tc>
      </w:tr>
      <w:tr w:rsidR="00A56ACE" w:rsidRPr="003C3296" w14:paraId="079F7DB2" w14:textId="77777777" w:rsidTr="001F1814">
        <w:trPr>
          <w:trHeight w:val="445"/>
        </w:trPr>
        <w:tc>
          <w:tcPr>
            <w:tcW w:w="1472" w:type="pct"/>
          </w:tcPr>
          <w:p w14:paraId="44AAA291" w14:textId="77777777" w:rsidR="00A56ACE" w:rsidRPr="003C3296" w:rsidRDefault="00A56ACE" w:rsidP="00AA1C87">
            <w:pPr>
              <w:spacing w:before="0" w:after="0" w:line="240" w:lineRule="auto"/>
              <w:ind w:left="0" w:right="0"/>
              <w:contextualSpacing/>
              <w:rPr>
                <w:rFonts w:asciiTheme="minorHAnsi" w:hAnsiTheme="minorHAnsi" w:cs="Calibri"/>
                <w:b/>
                <w:i/>
                <w:color w:val="231F20"/>
                <w:szCs w:val="22"/>
              </w:rPr>
            </w:pPr>
            <w:r w:rsidRPr="003C3296">
              <w:rPr>
                <w:rFonts w:asciiTheme="minorHAnsi" w:hAnsiTheme="minorHAnsi" w:cs="Calibri"/>
                <w:b/>
                <w:i/>
                <w:color w:val="231F20"/>
                <w:szCs w:val="22"/>
              </w:rPr>
              <w:t>NTRK2</w:t>
            </w:r>
          </w:p>
          <w:p w14:paraId="612B6C1E" w14:textId="08507494" w:rsidR="00A56ACE" w:rsidRPr="003C3296" w:rsidRDefault="00A56ACE" w:rsidP="00AA1C87">
            <w:pPr>
              <w:spacing w:before="0" w:after="0" w:line="240" w:lineRule="auto"/>
              <w:ind w:left="0" w:right="0"/>
              <w:contextualSpacing/>
              <w:rPr>
                <w:rFonts w:asciiTheme="minorHAnsi" w:hAnsiTheme="minorHAnsi" w:cs="Calibri"/>
                <w:b/>
                <w:i/>
                <w:color w:val="231F20"/>
                <w:szCs w:val="22"/>
              </w:rPr>
            </w:pPr>
            <w:r w:rsidRPr="003C3296">
              <w:rPr>
                <w:rFonts w:asciiTheme="minorHAnsi" w:hAnsiTheme="minorHAnsi" w:cs="Calibri"/>
                <w:b/>
                <w:i/>
                <w:color w:val="231F20"/>
                <w:szCs w:val="22"/>
              </w:rPr>
              <w:t>Total n</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w:t>
            </w:r>
            <w:r w:rsidR="00BF7C39">
              <w:rPr>
                <w:rFonts w:asciiTheme="minorHAnsi" w:hAnsiTheme="minorHAnsi" w:cs="Calibri"/>
                <w:b/>
                <w:i/>
                <w:color w:val="231F20"/>
                <w:szCs w:val="22"/>
              </w:rPr>
              <w:t xml:space="preserve"> </w:t>
            </w:r>
            <w:r w:rsidRPr="003C3296">
              <w:rPr>
                <w:rFonts w:asciiTheme="minorHAnsi" w:hAnsiTheme="minorHAnsi" w:cs="Calibri"/>
                <w:b/>
                <w:i/>
                <w:color w:val="231F20"/>
                <w:szCs w:val="22"/>
              </w:rPr>
              <w:t>1 (2%)</w:t>
            </w:r>
          </w:p>
        </w:tc>
        <w:tc>
          <w:tcPr>
            <w:tcW w:w="2448" w:type="pct"/>
          </w:tcPr>
          <w:p w14:paraId="59DF93C3" w14:textId="77777777" w:rsidR="00A56ACE" w:rsidRPr="003C3296" w:rsidRDefault="00A56ACE" w:rsidP="00AA1C87">
            <w:pPr>
              <w:spacing w:before="0" w:after="0" w:line="240" w:lineRule="auto"/>
              <w:ind w:left="0" w:right="0"/>
              <w:contextualSpacing/>
              <w:rPr>
                <w:rFonts w:asciiTheme="minorHAnsi" w:hAnsiTheme="minorHAnsi" w:cs="Calibri"/>
                <w:i/>
                <w:color w:val="231F20"/>
                <w:szCs w:val="22"/>
              </w:rPr>
            </w:pPr>
            <w:r w:rsidRPr="003C3296">
              <w:rPr>
                <w:rFonts w:asciiTheme="minorHAnsi" w:hAnsiTheme="minorHAnsi" w:cs="Calibri"/>
                <w:i/>
                <w:color w:val="231F20"/>
                <w:szCs w:val="22"/>
              </w:rPr>
              <w:t>SQSTM1-NTRK2</w:t>
            </w:r>
          </w:p>
        </w:tc>
        <w:tc>
          <w:tcPr>
            <w:tcW w:w="1081" w:type="pct"/>
          </w:tcPr>
          <w:p w14:paraId="71348A03" w14:textId="77777777" w:rsidR="00A56ACE" w:rsidRPr="003C3296" w:rsidRDefault="00A56ACE" w:rsidP="00AA1C87">
            <w:pPr>
              <w:spacing w:before="0" w:after="0" w:line="240" w:lineRule="auto"/>
              <w:ind w:left="0" w:right="0"/>
              <w:contextualSpacing/>
              <w:rPr>
                <w:rFonts w:asciiTheme="minorHAnsi" w:hAnsiTheme="minorHAnsi" w:cs="Calibri"/>
                <w:b/>
                <w:color w:val="231F20"/>
                <w:szCs w:val="22"/>
              </w:rPr>
            </w:pPr>
            <w:r w:rsidRPr="003C3296">
              <w:rPr>
                <w:rFonts w:asciiTheme="minorHAnsi" w:hAnsiTheme="minorHAnsi" w:cs="Calibri"/>
                <w:color w:val="231F20"/>
                <w:szCs w:val="22"/>
              </w:rPr>
              <w:t>1</w:t>
            </w:r>
          </w:p>
        </w:tc>
      </w:tr>
    </w:tbl>
    <w:p w14:paraId="3AABDB1C" w14:textId="77777777" w:rsidR="003B52E4" w:rsidRDefault="00EA58EB" w:rsidP="003B52E4">
      <w:pPr>
        <w:pStyle w:val="TableDescription"/>
        <w:rPr>
          <w:rFonts w:asciiTheme="minorHAnsi" w:hAnsiTheme="minorHAnsi" w:cs="Calibri"/>
        </w:rPr>
      </w:pPr>
      <w:r w:rsidRPr="009C0CE3">
        <w:rPr>
          <w:rFonts w:asciiTheme="minorHAnsi" w:hAnsiTheme="minorHAnsi" w:cs="Calibri"/>
        </w:rPr>
        <w:t>N = number of patients</w:t>
      </w:r>
    </w:p>
    <w:p w14:paraId="013640FC" w14:textId="2C0AACE6" w:rsidR="003B52E4" w:rsidRPr="00136DC1" w:rsidRDefault="003B52E4" w:rsidP="003B52E4">
      <w:pPr>
        <w:pStyle w:val="Heading6"/>
        <w:rPr>
          <w:rFonts w:eastAsia="Cambria"/>
        </w:rPr>
      </w:pPr>
      <w:r w:rsidRPr="00136DC1">
        <w:rPr>
          <w:rFonts w:eastAsia="Cambria"/>
        </w:rPr>
        <w:t xml:space="preserve">Results in patients with </w:t>
      </w:r>
      <w:r w:rsidR="001316B1">
        <w:rPr>
          <w:rFonts w:eastAsia="Cambria"/>
        </w:rPr>
        <w:t>n</w:t>
      </w:r>
      <w:r w:rsidR="001316B1" w:rsidRPr="001316B1">
        <w:rPr>
          <w:rFonts w:eastAsia="Cambria"/>
        </w:rPr>
        <w:t>eurotrophic tropomyosin receptor kinase</w:t>
      </w:r>
      <w:r w:rsidRPr="00136DC1">
        <w:rPr>
          <w:rFonts w:eastAsia="Cambria"/>
        </w:rPr>
        <w:t xml:space="preserve"> fusion-positive solid tumours</w:t>
      </w:r>
    </w:p>
    <w:p w14:paraId="24D054CE" w14:textId="645EF885" w:rsidR="00BD1360" w:rsidRPr="00CB63AA" w:rsidRDefault="00370D8F" w:rsidP="00CB63AA">
      <w:pPr>
        <w:rPr>
          <w:rFonts w:asciiTheme="minorHAnsi" w:hAnsiTheme="minorHAnsi" w:cs="Calibri"/>
          <w:szCs w:val="19"/>
          <w:highlight w:val="yellow"/>
        </w:rPr>
      </w:pPr>
      <w:r w:rsidRPr="000C761A">
        <w:rPr>
          <w:i/>
        </w:rPr>
        <w:t>Overall Response Rate and Duration of Response</w:t>
      </w:r>
      <w:r w:rsidR="009A34BE">
        <w:t xml:space="preserve">: </w:t>
      </w:r>
      <w:r w:rsidR="003B52E4" w:rsidRPr="00BD1360">
        <w:t xml:space="preserve">The results for ORR and DOR according to </w:t>
      </w:r>
      <w:r w:rsidR="001316B1">
        <w:t>BICR</w:t>
      </w:r>
      <w:r w:rsidR="003B52E4" w:rsidRPr="00BD1360">
        <w:t xml:space="preserve"> for t</w:t>
      </w:r>
      <w:r w:rsidR="009E4A93">
        <w:t xml:space="preserve">he </w:t>
      </w:r>
      <w:r w:rsidR="00AE517A">
        <w:t xml:space="preserve">NTRK efficacy evaluable set </w:t>
      </w:r>
      <w:r w:rsidR="009E4A93">
        <w:t xml:space="preserve">are summarised in </w:t>
      </w:r>
      <w:r w:rsidR="009E4A93">
        <w:fldChar w:fldCharType="begin"/>
      </w:r>
      <w:r w:rsidR="009E4A93">
        <w:instrText xml:space="preserve"> REF _Ref51156697 \h </w:instrText>
      </w:r>
      <w:r w:rsidR="009E4A93">
        <w:fldChar w:fldCharType="separate"/>
      </w:r>
      <w:r w:rsidR="005743D8" w:rsidRPr="00BD1360">
        <w:t xml:space="preserve">Table </w:t>
      </w:r>
      <w:r w:rsidR="005743D8">
        <w:rPr>
          <w:noProof/>
        </w:rPr>
        <w:t>14</w:t>
      </w:r>
      <w:r w:rsidR="009E4A93">
        <w:fldChar w:fldCharType="end"/>
      </w:r>
      <w:r w:rsidR="009E4A93">
        <w:t>.</w:t>
      </w:r>
      <w:r w:rsidR="003B52E4" w:rsidRPr="00BD1360">
        <w:t xml:space="preserve"> The clinical </w:t>
      </w:r>
      <w:proofErr w:type="spellStart"/>
      <w:r w:rsidR="001316B1" w:rsidRPr="00BD1360">
        <w:t>cut off</w:t>
      </w:r>
      <w:proofErr w:type="spellEnd"/>
      <w:r w:rsidR="003B52E4" w:rsidRPr="00BD1360">
        <w:t xml:space="preserve"> date was </w:t>
      </w:r>
      <w:r w:rsidR="001316B1">
        <w:t>31</w:t>
      </w:r>
      <w:r w:rsidR="003B52E4" w:rsidRPr="00BD1360">
        <w:t xml:space="preserve">May 2018. Updated data was sent to the FDA with an additional 5 months’ </w:t>
      </w:r>
      <w:r w:rsidR="003B52E4" w:rsidRPr="00BD1360">
        <w:lastRenderedPageBreak/>
        <w:t xml:space="preserve">follow up (clinical </w:t>
      </w:r>
      <w:proofErr w:type="spellStart"/>
      <w:r w:rsidR="00E54651" w:rsidRPr="00BD1360">
        <w:t>cut off</w:t>
      </w:r>
      <w:proofErr w:type="spellEnd"/>
      <w:r w:rsidR="003B52E4" w:rsidRPr="00BD1360">
        <w:t xml:space="preserve"> date 31 October 2018), and the rates of responses lasting longer than 6 and 12 months, calculated by FDA based on that data, are also included below where they could be determined from the FDA report</w:t>
      </w:r>
      <w:r w:rsidR="00AA1C87">
        <w:t>.</w:t>
      </w:r>
      <w:r w:rsidR="009E4A93">
        <w:fldChar w:fldCharType="begin"/>
      </w:r>
      <w:r w:rsidR="009E4A93">
        <w:instrText xml:space="preserve"> NOTEREF _Ref50554541 \f \h </w:instrText>
      </w:r>
      <w:r w:rsidR="009E4A93">
        <w:fldChar w:fldCharType="separate"/>
      </w:r>
      <w:r w:rsidR="005743D8" w:rsidRPr="005743D8">
        <w:rPr>
          <w:rStyle w:val="FootnoteReference"/>
        </w:rPr>
        <w:t>12</w:t>
      </w:r>
      <w:r w:rsidR="009E4A93">
        <w:fldChar w:fldCharType="end"/>
      </w:r>
    </w:p>
    <w:p w14:paraId="0A34AF8F" w14:textId="307C2B2C" w:rsidR="00BD1360" w:rsidRDefault="00BD1360" w:rsidP="00BD1360">
      <w:pPr>
        <w:pStyle w:val="TableTitle"/>
      </w:pPr>
      <w:bookmarkStart w:id="59" w:name="_Ref51156697"/>
      <w:r w:rsidRPr="00BD1360">
        <w:t xml:space="preserve">Table </w:t>
      </w:r>
      <w:fldSimple w:instr=" SEQ Table \* ARABIC ">
        <w:r w:rsidR="009B407B">
          <w:rPr>
            <w:noProof/>
          </w:rPr>
          <w:t>18</w:t>
        </w:r>
      </w:fldSimple>
      <w:bookmarkEnd w:id="59"/>
      <w:r w:rsidR="001316B1">
        <w:rPr>
          <w:noProof/>
        </w:rPr>
        <w:t>:</w:t>
      </w:r>
      <w:r>
        <w:t xml:space="preserve"> </w:t>
      </w:r>
      <w:r w:rsidRPr="00BD1360">
        <w:t xml:space="preserve">Efficacy analysis in the </w:t>
      </w:r>
      <w:r w:rsidR="001316B1">
        <w:t>n</w:t>
      </w:r>
      <w:r w:rsidR="001316B1" w:rsidRPr="001316B1">
        <w:t>eurotrophic tropomyosin receptor kinase</w:t>
      </w:r>
      <w:r w:rsidR="00AE517A">
        <w:t xml:space="preserve"> efficacy evaluable set </w:t>
      </w:r>
      <w:r w:rsidRPr="00BD1360">
        <w:t xml:space="preserve">by </w:t>
      </w:r>
      <w:r w:rsidR="001316B1">
        <w:t>blinded independent central review</w:t>
      </w:r>
    </w:p>
    <w:tbl>
      <w:tblPr>
        <w:tblStyle w:val="TableTGAblue"/>
        <w:tblW w:w="5000" w:type="pct"/>
        <w:tblLook w:val="01E0" w:firstRow="1" w:lastRow="1" w:firstColumn="1" w:lastColumn="1" w:noHBand="0" w:noVBand="0"/>
      </w:tblPr>
      <w:tblGrid>
        <w:gridCol w:w="3822"/>
        <w:gridCol w:w="2404"/>
        <w:gridCol w:w="2268"/>
      </w:tblGrid>
      <w:tr w:rsidR="00BD1360" w:rsidRPr="009C0CE3" w14:paraId="1ACFA4EF" w14:textId="77777777" w:rsidTr="00BD1360">
        <w:trPr>
          <w:cnfStyle w:val="100000000000" w:firstRow="1" w:lastRow="0" w:firstColumn="0" w:lastColumn="0" w:oddVBand="0" w:evenVBand="0" w:oddHBand="0" w:evenHBand="0" w:firstRowFirstColumn="0" w:firstRowLastColumn="0" w:lastRowFirstColumn="0" w:lastRowLastColumn="0"/>
          <w:trHeight w:val="445"/>
        </w:trPr>
        <w:tc>
          <w:tcPr>
            <w:tcW w:w="2250" w:type="pct"/>
            <w:tcBorders>
              <w:top w:val="single" w:sz="4" w:space="0" w:color="auto"/>
              <w:left w:val="single" w:sz="4" w:space="0" w:color="auto"/>
              <w:bottom w:val="single" w:sz="4" w:space="0" w:color="auto"/>
              <w:right w:val="single" w:sz="4" w:space="0" w:color="auto"/>
            </w:tcBorders>
          </w:tcPr>
          <w:p w14:paraId="78B9F6CE" w14:textId="22009CA1" w:rsidR="00BD1360" w:rsidRPr="00BD1360" w:rsidRDefault="00BD1360" w:rsidP="00D97822">
            <w:pPr>
              <w:spacing w:before="0" w:after="0" w:line="240" w:lineRule="auto"/>
              <w:contextualSpacing/>
              <w:rPr>
                <w:rFonts w:asciiTheme="minorHAnsi" w:hAnsiTheme="minorHAnsi" w:cs="Calibri"/>
                <w:szCs w:val="22"/>
              </w:rPr>
            </w:pPr>
            <w:r w:rsidRPr="00BD1360">
              <w:rPr>
                <w:rFonts w:asciiTheme="minorHAnsi" w:hAnsiTheme="minorHAnsi" w:cs="Calibri"/>
                <w:szCs w:val="22"/>
              </w:rPr>
              <w:t xml:space="preserve">Objective </w:t>
            </w:r>
            <w:r w:rsidR="00E54651">
              <w:rPr>
                <w:rFonts w:asciiTheme="minorHAnsi" w:hAnsiTheme="minorHAnsi" w:cs="Calibri"/>
                <w:szCs w:val="22"/>
              </w:rPr>
              <w:t>r</w:t>
            </w:r>
            <w:r w:rsidRPr="00BD1360">
              <w:rPr>
                <w:rFonts w:asciiTheme="minorHAnsi" w:hAnsiTheme="minorHAnsi" w:cs="Calibri"/>
                <w:szCs w:val="22"/>
              </w:rPr>
              <w:t xml:space="preserve">esponse </w:t>
            </w:r>
            <w:r w:rsidR="00E54651">
              <w:rPr>
                <w:rFonts w:asciiTheme="minorHAnsi" w:hAnsiTheme="minorHAnsi" w:cs="Calibri"/>
                <w:szCs w:val="22"/>
              </w:rPr>
              <w:t>r</w:t>
            </w:r>
            <w:r w:rsidRPr="00BD1360">
              <w:rPr>
                <w:rFonts w:asciiTheme="minorHAnsi" w:hAnsiTheme="minorHAnsi" w:cs="Calibri"/>
                <w:szCs w:val="22"/>
              </w:rPr>
              <w:t>ate (ORR)</w:t>
            </w:r>
          </w:p>
        </w:tc>
        <w:tc>
          <w:tcPr>
            <w:tcW w:w="2750" w:type="pct"/>
            <w:gridSpan w:val="2"/>
            <w:tcBorders>
              <w:top w:val="single" w:sz="4" w:space="0" w:color="auto"/>
              <w:left w:val="single" w:sz="4" w:space="0" w:color="auto"/>
              <w:bottom w:val="single" w:sz="4" w:space="0" w:color="auto"/>
              <w:right w:val="single" w:sz="4" w:space="0" w:color="auto"/>
            </w:tcBorders>
          </w:tcPr>
          <w:p w14:paraId="113E36F9" w14:textId="16D403BE" w:rsidR="00BD1360" w:rsidRPr="00BD1360" w:rsidRDefault="00BD1360" w:rsidP="00D97822">
            <w:pPr>
              <w:spacing w:before="0" w:after="0" w:line="240" w:lineRule="auto"/>
              <w:contextualSpacing/>
              <w:jc w:val="center"/>
              <w:rPr>
                <w:rFonts w:asciiTheme="minorHAnsi" w:hAnsiTheme="minorHAnsi" w:cs="Calibri"/>
                <w:szCs w:val="22"/>
              </w:rPr>
            </w:pPr>
            <w:r w:rsidRPr="00BD1360">
              <w:rPr>
                <w:rFonts w:asciiTheme="minorHAnsi" w:hAnsiTheme="minorHAnsi" w:cs="Calibri"/>
                <w:szCs w:val="22"/>
              </w:rPr>
              <w:t>entrectinib (n</w:t>
            </w:r>
            <w:r w:rsidR="00BF7C39">
              <w:rPr>
                <w:rFonts w:asciiTheme="minorHAnsi" w:hAnsiTheme="minorHAnsi" w:cs="Calibri"/>
                <w:szCs w:val="22"/>
              </w:rPr>
              <w:t xml:space="preserve"> </w:t>
            </w:r>
            <w:r w:rsidRPr="00BD1360">
              <w:rPr>
                <w:rFonts w:asciiTheme="minorHAnsi" w:hAnsiTheme="minorHAnsi" w:cs="Calibri"/>
                <w:szCs w:val="22"/>
              </w:rPr>
              <w:t>=</w:t>
            </w:r>
            <w:r w:rsidR="00BF7C39">
              <w:rPr>
                <w:rFonts w:asciiTheme="minorHAnsi" w:hAnsiTheme="minorHAnsi" w:cs="Calibri"/>
                <w:szCs w:val="22"/>
              </w:rPr>
              <w:t xml:space="preserve"> </w:t>
            </w:r>
            <w:r w:rsidRPr="00BD1360">
              <w:rPr>
                <w:rFonts w:asciiTheme="minorHAnsi" w:hAnsiTheme="minorHAnsi" w:cs="Calibri"/>
                <w:szCs w:val="22"/>
              </w:rPr>
              <w:t>54)</w:t>
            </w:r>
          </w:p>
        </w:tc>
      </w:tr>
      <w:tr w:rsidR="00BD1360" w:rsidRPr="009C0CE3" w14:paraId="34805294" w14:textId="77777777" w:rsidTr="00BD1360">
        <w:trPr>
          <w:trHeight w:val="445"/>
        </w:trPr>
        <w:tc>
          <w:tcPr>
            <w:tcW w:w="2250" w:type="pct"/>
            <w:tcBorders>
              <w:top w:val="single" w:sz="4" w:space="0" w:color="auto"/>
            </w:tcBorders>
          </w:tcPr>
          <w:p w14:paraId="2AF71A53" w14:textId="77777777" w:rsidR="00BD1360" w:rsidRPr="00BD1360" w:rsidRDefault="00BD1360" w:rsidP="00BD1360">
            <w:pPr>
              <w:spacing w:before="0" w:after="0" w:line="240" w:lineRule="auto"/>
              <w:contextualSpacing/>
              <w:rPr>
                <w:rFonts w:asciiTheme="minorHAnsi" w:hAnsiTheme="minorHAnsi" w:cs="Calibri"/>
                <w:szCs w:val="22"/>
              </w:rPr>
            </w:pPr>
            <w:r w:rsidRPr="00BD1360">
              <w:rPr>
                <w:rFonts w:asciiTheme="minorHAnsi" w:hAnsiTheme="minorHAnsi" w:cs="Calibri"/>
                <w:color w:val="231F20"/>
                <w:szCs w:val="22"/>
              </w:rPr>
              <w:t>Responders, n</w:t>
            </w:r>
          </w:p>
        </w:tc>
        <w:tc>
          <w:tcPr>
            <w:tcW w:w="1415" w:type="pct"/>
            <w:tcBorders>
              <w:top w:val="single" w:sz="4" w:space="0" w:color="auto"/>
            </w:tcBorders>
          </w:tcPr>
          <w:p w14:paraId="64B9B027"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31</w:t>
            </w:r>
          </w:p>
        </w:tc>
        <w:tc>
          <w:tcPr>
            <w:tcW w:w="1335" w:type="pct"/>
            <w:tcBorders>
              <w:top w:val="single" w:sz="4" w:space="0" w:color="auto"/>
            </w:tcBorders>
          </w:tcPr>
          <w:p w14:paraId="42A7A561" w14:textId="77777777" w:rsidR="00BD1360" w:rsidRPr="00BD1360" w:rsidRDefault="00BD1360" w:rsidP="00A4213A">
            <w:pPr>
              <w:spacing w:before="0" w:after="0" w:line="240" w:lineRule="auto"/>
              <w:contextualSpacing/>
              <w:jc w:val="center"/>
              <w:rPr>
                <w:rFonts w:asciiTheme="minorHAnsi" w:hAnsiTheme="minorHAnsi" w:cs="Calibri"/>
                <w:szCs w:val="22"/>
              </w:rPr>
            </w:pPr>
          </w:p>
        </w:tc>
      </w:tr>
      <w:tr w:rsidR="00BD1360" w:rsidRPr="009C0CE3" w14:paraId="06DC2BA6" w14:textId="77777777" w:rsidTr="00BD1360">
        <w:trPr>
          <w:trHeight w:val="445"/>
        </w:trPr>
        <w:tc>
          <w:tcPr>
            <w:tcW w:w="2250" w:type="pct"/>
          </w:tcPr>
          <w:p w14:paraId="39ECD786" w14:textId="77777777" w:rsidR="00BD1360" w:rsidRPr="00BD1360" w:rsidRDefault="00BD1360" w:rsidP="007D2F65">
            <w:pPr>
              <w:spacing w:before="0" w:after="0" w:line="240" w:lineRule="auto"/>
              <w:contextualSpacing/>
              <w:jc w:val="right"/>
              <w:rPr>
                <w:rFonts w:asciiTheme="minorHAnsi" w:hAnsiTheme="minorHAnsi" w:cs="Calibri"/>
                <w:szCs w:val="22"/>
              </w:rPr>
            </w:pPr>
            <w:r w:rsidRPr="00BD1360">
              <w:rPr>
                <w:rFonts w:asciiTheme="minorHAnsi" w:hAnsiTheme="minorHAnsi" w:cs="Calibri"/>
                <w:color w:val="231F20"/>
                <w:szCs w:val="22"/>
              </w:rPr>
              <w:t>CR</w:t>
            </w:r>
          </w:p>
        </w:tc>
        <w:tc>
          <w:tcPr>
            <w:tcW w:w="1415" w:type="pct"/>
          </w:tcPr>
          <w:p w14:paraId="4E150EC3"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4 (7.4%)</w:t>
            </w:r>
          </w:p>
        </w:tc>
        <w:tc>
          <w:tcPr>
            <w:tcW w:w="1335" w:type="pct"/>
          </w:tcPr>
          <w:p w14:paraId="18E43BF0" w14:textId="77777777" w:rsidR="00BD1360" w:rsidRPr="00BD1360" w:rsidRDefault="00BD1360" w:rsidP="00A4213A">
            <w:pPr>
              <w:spacing w:before="0" w:after="0" w:line="240" w:lineRule="auto"/>
              <w:contextualSpacing/>
              <w:jc w:val="center"/>
              <w:rPr>
                <w:rFonts w:asciiTheme="minorHAnsi" w:hAnsiTheme="minorHAnsi" w:cs="Calibri"/>
                <w:szCs w:val="22"/>
              </w:rPr>
            </w:pPr>
          </w:p>
        </w:tc>
      </w:tr>
      <w:tr w:rsidR="00BD1360" w:rsidRPr="009C0CE3" w14:paraId="7962910B" w14:textId="77777777" w:rsidTr="00BD1360">
        <w:trPr>
          <w:trHeight w:val="445"/>
        </w:trPr>
        <w:tc>
          <w:tcPr>
            <w:tcW w:w="2250" w:type="pct"/>
          </w:tcPr>
          <w:p w14:paraId="47834164" w14:textId="77777777" w:rsidR="00BD1360" w:rsidRPr="00BD1360" w:rsidRDefault="00BD1360" w:rsidP="007D2F65">
            <w:pPr>
              <w:spacing w:before="0" w:after="0" w:line="240" w:lineRule="auto"/>
              <w:contextualSpacing/>
              <w:jc w:val="right"/>
              <w:rPr>
                <w:rFonts w:asciiTheme="minorHAnsi" w:hAnsiTheme="minorHAnsi" w:cs="Calibri"/>
                <w:szCs w:val="22"/>
              </w:rPr>
            </w:pPr>
            <w:r w:rsidRPr="00BD1360">
              <w:rPr>
                <w:rFonts w:asciiTheme="minorHAnsi" w:hAnsiTheme="minorHAnsi" w:cs="Calibri"/>
                <w:color w:val="231F20"/>
                <w:szCs w:val="22"/>
              </w:rPr>
              <w:t>PR</w:t>
            </w:r>
          </w:p>
        </w:tc>
        <w:tc>
          <w:tcPr>
            <w:tcW w:w="1415" w:type="pct"/>
          </w:tcPr>
          <w:p w14:paraId="11707B1D"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27 (50%)</w:t>
            </w:r>
          </w:p>
        </w:tc>
        <w:tc>
          <w:tcPr>
            <w:tcW w:w="1335" w:type="pct"/>
          </w:tcPr>
          <w:p w14:paraId="232FBC96" w14:textId="77777777" w:rsidR="00BD1360" w:rsidRPr="00BD1360" w:rsidRDefault="00BD1360" w:rsidP="00A4213A">
            <w:pPr>
              <w:spacing w:before="0" w:after="0" w:line="240" w:lineRule="auto"/>
              <w:contextualSpacing/>
              <w:jc w:val="center"/>
              <w:rPr>
                <w:rFonts w:asciiTheme="minorHAnsi" w:hAnsiTheme="minorHAnsi" w:cs="Calibri"/>
                <w:szCs w:val="22"/>
              </w:rPr>
            </w:pPr>
          </w:p>
        </w:tc>
      </w:tr>
      <w:tr w:rsidR="00BD1360" w:rsidRPr="009C0CE3" w14:paraId="0F4A1F31" w14:textId="77777777" w:rsidTr="00BD1360">
        <w:trPr>
          <w:trHeight w:val="445"/>
        </w:trPr>
        <w:tc>
          <w:tcPr>
            <w:tcW w:w="2250" w:type="pct"/>
          </w:tcPr>
          <w:p w14:paraId="556348EF" w14:textId="77777777" w:rsidR="00BD1360" w:rsidRPr="00BD1360" w:rsidRDefault="00BD1360" w:rsidP="00BD1360">
            <w:pPr>
              <w:spacing w:before="0" w:after="0" w:line="240" w:lineRule="auto"/>
              <w:contextualSpacing/>
              <w:rPr>
                <w:rFonts w:asciiTheme="minorHAnsi" w:hAnsiTheme="minorHAnsi" w:cs="Calibri"/>
                <w:szCs w:val="22"/>
              </w:rPr>
            </w:pPr>
            <w:r w:rsidRPr="00BD1360">
              <w:rPr>
                <w:rFonts w:asciiTheme="minorHAnsi" w:hAnsiTheme="minorHAnsi" w:cs="Calibri"/>
                <w:color w:val="231F20"/>
                <w:szCs w:val="22"/>
              </w:rPr>
              <w:t>ORR (95%CI)</w:t>
            </w:r>
          </w:p>
        </w:tc>
        <w:tc>
          <w:tcPr>
            <w:tcW w:w="1415" w:type="pct"/>
          </w:tcPr>
          <w:p w14:paraId="5CF1CF11" w14:textId="77777777" w:rsidR="00BD1360" w:rsidRPr="00BD1360" w:rsidRDefault="00BD1360" w:rsidP="00A4213A">
            <w:pPr>
              <w:spacing w:before="0" w:after="0" w:line="240" w:lineRule="auto"/>
              <w:contextualSpacing/>
              <w:jc w:val="center"/>
              <w:rPr>
                <w:rFonts w:asciiTheme="minorHAnsi" w:hAnsiTheme="minorHAnsi" w:cs="Calibri"/>
                <w:color w:val="231F20"/>
                <w:szCs w:val="22"/>
              </w:rPr>
            </w:pPr>
            <w:r w:rsidRPr="00BD1360">
              <w:rPr>
                <w:rFonts w:asciiTheme="minorHAnsi" w:hAnsiTheme="minorHAnsi" w:cs="Calibri"/>
                <w:color w:val="231F20"/>
                <w:szCs w:val="22"/>
              </w:rPr>
              <w:t>57.4%</w:t>
            </w:r>
          </w:p>
          <w:p w14:paraId="43A19BA3"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(43.2, 70.8)</w:t>
            </w:r>
          </w:p>
        </w:tc>
        <w:tc>
          <w:tcPr>
            <w:tcW w:w="1335" w:type="pct"/>
          </w:tcPr>
          <w:p w14:paraId="29DC9B9A" w14:textId="77777777" w:rsidR="00BD1360" w:rsidRPr="00BD1360" w:rsidRDefault="00BD1360" w:rsidP="00A4213A">
            <w:pPr>
              <w:spacing w:before="0" w:after="0" w:line="240" w:lineRule="auto"/>
              <w:contextualSpacing/>
              <w:jc w:val="center"/>
              <w:rPr>
                <w:rFonts w:asciiTheme="minorHAnsi" w:hAnsiTheme="minorHAnsi" w:cs="Calibri"/>
                <w:szCs w:val="22"/>
              </w:rPr>
            </w:pPr>
          </w:p>
        </w:tc>
      </w:tr>
      <w:tr w:rsidR="00BD1360" w:rsidRPr="009C0CE3" w14:paraId="15D87F0C" w14:textId="77777777" w:rsidTr="00BD1360">
        <w:trPr>
          <w:trHeight w:val="445"/>
        </w:trPr>
        <w:tc>
          <w:tcPr>
            <w:tcW w:w="2250" w:type="pct"/>
          </w:tcPr>
          <w:p w14:paraId="299B4FC7" w14:textId="77777777" w:rsidR="00BD1360" w:rsidRPr="00BD1360" w:rsidRDefault="00BD1360" w:rsidP="00BD1360">
            <w:pPr>
              <w:spacing w:before="0" w:after="0" w:line="240" w:lineRule="auto"/>
              <w:contextualSpacing/>
              <w:rPr>
                <w:rFonts w:asciiTheme="minorHAnsi" w:hAnsiTheme="minorHAnsi" w:cs="Calibri"/>
                <w:i/>
                <w:szCs w:val="22"/>
              </w:rPr>
            </w:pPr>
            <w:r w:rsidRPr="00BD1360">
              <w:rPr>
                <w:rFonts w:asciiTheme="minorHAnsi" w:hAnsiTheme="minorHAnsi" w:cs="Calibri"/>
                <w:i/>
                <w:color w:val="231F20"/>
                <w:szCs w:val="22"/>
              </w:rPr>
              <w:t xml:space="preserve">Date of Data </w:t>
            </w:r>
            <w:proofErr w:type="spellStart"/>
            <w:r w:rsidRPr="00BD1360">
              <w:rPr>
                <w:rFonts w:asciiTheme="minorHAnsi" w:hAnsiTheme="minorHAnsi" w:cs="Calibri"/>
                <w:i/>
                <w:color w:val="231F20"/>
                <w:szCs w:val="22"/>
              </w:rPr>
              <w:t>cutoff</w:t>
            </w:r>
            <w:proofErr w:type="spellEnd"/>
          </w:p>
        </w:tc>
        <w:tc>
          <w:tcPr>
            <w:tcW w:w="1415" w:type="pct"/>
          </w:tcPr>
          <w:p w14:paraId="465048E1" w14:textId="77777777" w:rsidR="00BD1360" w:rsidRPr="00BD1360" w:rsidRDefault="00BD1360" w:rsidP="00A4213A">
            <w:pPr>
              <w:spacing w:before="0" w:after="0" w:line="240" w:lineRule="auto"/>
              <w:contextualSpacing/>
              <w:jc w:val="center"/>
              <w:rPr>
                <w:rFonts w:asciiTheme="minorHAnsi" w:hAnsiTheme="minorHAnsi" w:cs="Calibri"/>
                <w:i/>
                <w:szCs w:val="22"/>
              </w:rPr>
            </w:pPr>
            <w:r w:rsidRPr="00BD1360">
              <w:rPr>
                <w:rFonts w:asciiTheme="minorHAnsi" w:hAnsiTheme="minorHAnsi" w:cs="Calibri"/>
                <w:i/>
                <w:color w:val="231F20"/>
                <w:szCs w:val="22"/>
              </w:rPr>
              <w:t>May 31, 2018</w:t>
            </w:r>
          </w:p>
        </w:tc>
        <w:tc>
          <w:tcPr>
            <w:tcW w:w="1335" w:type="pct"/>
          </w:tcPr>
          <w:p w14:paraId="1108B370" w14:textId="77777777" w:rsidR="00BD1360" w:rsidRPr="00BD1360" w:rsidRDefault="00BD1360" w:rsidP="00A4213A">
            <w:pPr>
              <w:spacing w:before="0" w:after="0" w:line="240" w:lineRule="auto"/>
              <w:contextualSpacing/>
              <w:jc w:val="center"/>
              <w:rPr>
                <w:rFonts w:asciiTheme="minorHAnsi" w:hAnsiTheme="minorHAnsi" w:cs="Calibri"/>
                <w:i/>
                <w:szCs w:val="22"/>
              </w:rPr>
            </w:pPr>
            <w:r w:rsidRPr="00BD1360">
              <w:rPr>
                <w:rFonts w:asciiTheme="minorHAnsi" w:hAnsiTheme="minorHAnsi" w:cs="Calibri"/>
                <w:i/>
                <w:color w:val="231F20"/>
                <w:szCs w:val="22"/>
              </w:rPr>
              <w:t>Oct 31, 2018</w:t>
            </w:r>
          </w:p>
        </w:tc>
      </w:tr>
      <w:tr w:rsidR="00BD1360" w:rsidRPr="009C0CE3" w14:paraId="63E6AEDA" w14:textId="77777777" w:rsidTr="00BD1360">
        <w:trPr>
          <w:trHeight w:val="445"/>
        </w:trPr>
        <w:tc>
          <w:tcPr>
            <w:tcW w:w="2250" w:type="pct"/>
          </w:tcPr>
          <w:p w14:paraId="2D8E9B0B" w14:textId="77777777" w:rsidR="00BD1360" w:rsidRPr="00BD1360" w:rsidRDefault="00BD1360" w:rsidP="00BD1360">
            <w:pPr>
              <w:spacing w:before="0" w:after="0" w:line="240" w:lineRule="auto"/>
              <w:contextualSpacing/>
              <w:rPr>
                <w:rFonts w:asciiTheme="minorHAnsi" w:hAnsiTheme="minorHAnsi" w:cs="Calibri"/>
                <w:color w:val="231F20"/>
                <w:szCs w:val="22"/>
              </w:rPr>
            </w:pPr>
            <w:r w:rsidRPr="00BD1360">
              <w:rPr>
                <w:rFonts w:asciiTheme="minorHAnsi" w:hAnsiTheme="minorHAnsi" w:cs="Calibri"/>
                <w:color w:val="231F20"/>
                <w:szCs w:val="22"/>
              </w:rPr>
              <w:t>Median DOR in months (95% CI)</w:t>
            </w:r>
          </w:p>
          <w:p w14:paraId="52DECADD" w14:textId="77777777" w:rsidR="00BD1360" w:rsidRPr="00BD1360" w:rsidRDefault="00BD1360" w:rsidP="00BD1360">
            <w:pPr>
              <w:spacing w:before="0" w:after="0" w:line="240" w:lineRule="auto"/>
              <w:contextualSpacing/>
              <w:rPr>
                <w:rFonts w:asciiTheme="minorHAnsi" w:hAnsiTheme="minorHAnsi" w:cs="Calibri"/>
                <w:szCs w:val="22"/>
              </w:rPr>
            </w:pPr>
            <w:r w:rsidRPr="00BD1360">
              <w:rPr>
                <w:rFonts w:asciiTheme="minorHAnsi" w:hAnsiTheme="minorHAnsi" w:cs="Calibri"/>
                <w:color w:val="231F20"/>
                <w:szCs w:val="22"/>
              </w:rPr>
              <w:t>[range]</w:t>
            </w:r>
          </w:p>
        </w:tc>
        <w:tc>
          <w:tcPr>
            <w:tcW w:w="1415" w:type="pct"/>
          </w:tcPr>
          <w:p w14:paraId="48196045" w14:textId="3E19F208" w:rsidR="00BD1360" w:rsidRPr="00BD1360" w:rsidRDefault="00BD1360" w:rsidP="00A4213A">
            <w:pPr>
              <w:spacing w:before="0" w:after="0" w:line="240" w:lineRule="auto"/>
              <w:contextualSpacing/>
              <w:jc w:val="center"/>
              <w:rPr>
                <w:rFonts w:asciiTheme="minorHAnsi" w:hAnsiTheme="minorHAnsi" w:cs="Calibri"/>
                <w:color w:val="231F20"/>
                <w:szCs w:val="22"/>
              </w:rPr>
            </w:pPr>
            <w:r w:rsidRPr="00BD1360">
              <w:rPr>
                <w:rFonts w:asciiTheme="minorHAnsi" w:hAnsiTheme="minorHAnsi" w:cs="Calibri"/>
                <w:color w:val="231F20"/>
                <w:szCs w:val="22"/>
              </w:rPr>
              <w:t>10.4 (7.1, NE)</w:t>
            </w:r>
          </w:p>
          <w:p w14:paraId="108F04B2"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[1.9+, 20.3+]</w:t>
            </w:r>
          </w:p>
        </w:tc>
        <w:tc>
          <w:tcPr>
            <w:tcW w:w="1335" w:type="pct"/>
          </w:tcPr>
          <w:p w14:paraId="59B3DB08" w14:textId="77777777" w:rsidR="00BD1360" w:rsidRPr="00BD1360" w:rsidRDefault="00BD1360" w:rsidP="00A4213A">
            <w:pPr>
              <w:spacing w:before="0" w:after="0" w:line="240" w:lineRule="auto"/>
              <w:contextualSpacing/>
              <w:jc w:val="center"/>
              <w:rPr>
                <w:rFonts w:asciiTheme="minorHAnsi" w:hAnsiTheme="minorHAnsi" w:cs="Calibri"/>
                <w:szCs w:val="22"/>
              </w:rPr>
            </w:pPr>
          </w:p>
        </w:tc>
      </w:tr>
      <w:tr w:rsidR="00BD1360" w:rsidRPr="009C0CE3" w14:paraId="51D9D5B9" w14:textId="77777777" w:rsidTr="00BD1360">
        <w:trPr>
          <w:trHeight w:val="445"/>
        </w:trPr>
        <w:tc>
          <w:tcPr>
            <w:tcW w:w="2250" w:type="pct"/>
          </w:tcPr>
          <w:p w14:paraId="23CEBF15" w14:textId="572CB0AE" w:rsidR="00BD1360" w:rsidRPr="00BD1360" w:rsidRDefault="00BF7C39" w:rsidP="00BD1360">
            <w:pPr>
              <w:spacing w:before="0" w:after="0" w:line="240" w:lineRule="auto"/>
              <w:contextualSpacing/>
              <w:rPr>
                <w:rFonts w:asciiTheme="minorHAnsi" w:hAnsiTheme="minorHAnsi" w:cs="Calibri"/>
                <w:szCs w:val="22"/>
              </w:rPr>
            </w:pPr>
            <w:r>
              <w:rPr>
                <w:rFonts w:asciiTheme="minorHAnsi" w:hAnsiTheme="minorHAnsi" w:cs="Calibri"/>
                <w:color w:val="231F20"/>
                <w:szCs w:val="22"/>
              </w:rPr>
              <w:t xml:space="preserve">DOR </w:t>
            </w:r>
            <w:r w:rsidR="00CE2749">
              <w:sym w:font="Symbol" w:char="F0B3"/>
            </w:r>
            <w:r>
              <w:rPr>
                <w:rFonts w:asciiTheme="minorHAnsi" w:hAnsiTheme="minorHAnsi" w:cs="Calibri"/>
                <w:color w:val="231F20"/>
                <w:szCs w:val="22"/>
              </w:rPr>
              <w:t xml:space="preserve"> </w:t>
            </w:r>
            <w:r w:rsidR="00BD1360" w:rsidRPr="00BD1360">
              <w:rPr>
                <w:rFonts w:asciiTheme="minorHAnsi" w:hAnsiTheme="minorHAnsi" w:cs="Calibri"/>
                <w:color w:val="231F20"/>
                <w:szCs w:val="22"/>
              </w:rPr>
              <w:t>6 months</w:t>
            </w:r>
          </w:p>
        </w:tc>
        <w:tc>
          <w:tcPr>
            <w:tcW w:w="1415" w:type="pct"/>
          </w:tcPr>
          <w:p w14:paraId="4D8552F5"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17 (55% of 31)</w:t>
            </w:r>
          </w:p>
        </w:tc>
        <w:tc>
          <w:tcPr>
            <w:tcW w:w="1335" w:type="pct"/>
          </w:tcPr>
          <w:p w14:paraId="0ECC620A" w14:textId="77777777" w:rsidR="00BD1360" w:rsidRPr="00BD1360" w:rsidRDefault="00BD1360" w:rsidP="00A4213A">
            <w:pPr>
              <w:spacing w:before="0" w:after="0" w:line="240" w:lineRule="auto"/>
              <w:contextualSpacing/>
              <w:jc w:val="center"/>
              <w:rPr>
                <w:rFonts w:asciiTheme="minorHAnsi" w:hAnsiTheme="minorHAnsi" w:cs="Calibri"/>
                <w:szCs w:val="22"/>
              </w:rPr>
            </w:pPr>
            <w:r w:rsidRPr="00BD1360">
              <w:rPr>
                <w:rFonts w:asciiTheme="minorHAnsi" w:hAnsiTheme="minorHAnsi" w:cs="Calibri"/>
                <w:color w:val="231F20"/>
                <w:szCs w:val="22"/>
              </w:rPr>
              <w:t>21 (68%)</w:t>
            </w:r>
          </w:p>
        </w:tc>
      </w:tr>
      <w:tr w:rsidR="00BD1360" w:rsidRPr="009C0CE3" w14:paraId="606BC5FD" w14:textId="77777777" w:rsidTr="00BD1360">
        <w:trPr>
          <w:trHeight w:val="445"/>
        </w:trPr>
        <w:tc>
          <w:tcPr>
            <w:tcW w:w="2250" w:type="pct"/>
          </w:tcPr>
          <w:p w14:paraId="2CE90DF9" w14:textId="557BAD34" w:rsidR="00BD1360" w:rsidRPr="00BD1360" w:rsidRDefault="00BF7C39" w:rsidP="00BD1360">
            <w:pPr>
              <w:spacing w:before="0" w:after="0" w:line="240" w:lineRule="auto"/>
              <w:contextualSpacing/>
              <w:rPr>
                <w:rFonts w:asciiTheme="minorHAnsi" w:hAnsiTheme="minorHAnsi" w:cs="Calibri"/>
                <w:color w:val="231F20"/>
                <w:szCs w:val="22"/>
              </w:rPr>
            </w:pPr>
            <w:r>
              <w:rPr>
                <w:rFonts w:asciiTheme="minorHAnsi" w:hAnsiTheme="minorHAnsi" w:cs="Calibri"/>
                <w:color w:val="231F20"/>
                <w:szCs w:val="22"/>
              </w:rPr>
              <w:t xml:space="preserve">DOR </w:t>
            </w:r>
            <w:r w:rsidR="00CE2749">
              <w:sym w:font="Symbol" w:char="F0B3"/>
            </w:r>
            <w:r>
              <w:rPr>
                <w:rFonts w:asciiTheme="minorHAnsi" w:hAnsiTheme="minorHAnsi" w:cs="Calibri"/>
                <w:color w:val="231F20"/>
                <w:szCs w:val="22"/>
              </w:rPr>
              <w:t xml:space="preserve"> </w:t>
            </w:r>
            <w:r w:rsidR="00BD1360" w:rsidRPr="00BD1360">
              <w:rPr>
                <w:rFonts w:asciiTheme="minorHAnsi" w:hAnsiTheme="minorHAnsi" w:cs="Calibri"/>
                <w:color w:val="231F20"/>
                <w:szCs w:val="22"/>
              </w:rPr>
              <w:t>12 months</w:t>
            </w:r>
          </w:p>
        </w:tc>
        <w:tc>
          <w:tcPr>
            <w:tcW w:w="1415" w:type="pct"/>
          </w:tcPr>
          <w:p w14:paraId="03C9D54A" w14:textId="0466FFE4" w:rsidR="00BD1360" w:rsidRPr="00BD1360" w:rsidRDefault="00BD1360" w:rsidP="00A4213A">
            <w:pPr>
              <w:spacing w:before="0" w:after="0" w:line="240" w:lineRule="auto"/>
              <w:contextualSpacing/>
              <w:jc w:val="center"/>
              <w:rPr>
                <w:rFonts w:asciiTheme="minorHAnsi" w:hAnsiTheme="minorHAnsi" w:cs="Calibri"/>
                <w:color w:val="231F20"/>
                <w:szCs w:val="22"/>
              </w:rPr>
            </w:pPr>
            <w:r w:rsidRPr="00BD1360">
              <w:rPr>
                <w:rFonts w:asciiTheme="minorHAnsi" w:hAnsiTheme="minorHAnsi" w:cs="Calibri"/>
                <w:color w:val="231F20"/>
                <w:szCs w:val="22"/>
              </w:rPr>
              <w:t>9 (39% of 23)</w:t>
            </w:r>
          </w:p>
        </w:tc>
        <w:tc>
          <w:tcPr>
            <w:tcW w:w="1335" w:type="pct"/>
          </w:tcPr>
          <w:p w14:paraId="71082476" w14:textId="77777777" w:rsidR="00BD1360" w:rsidRPr="00BD1360" w:rsidRDefault="00BD1360" w:rsidP="00A4213A">
            <w:pPr>
              <w:spacing w:before="0" w:after="0" w:line="240" w:lineRule="auto"/>
              <w:contextualSpacing/>
              <w:jc w:val="center"/>
              <w:rPr>
                <w:rFonts w:asciiTheme="minorHAnsi" w:hAnsiTheme="minorHAnsi" w:cs="Calibri"/>
                <w:color w:val="231F20"/>
                <w:szCs w:val="22"/>
              </w:rPr>
            </w:pPr>
            <w:r w:rsidRPr="00BD1360">
              <w:rPr>
                <w:rFonts w:asciiTheme="minorHAnsi" w:hAnsiTheme="minorHAnsi" w:cs="Calibri"/>
                <w:color w:val="231F20"/>
                <w:szCs w:val="22"/>
              </w:rPr>
              <w:t>14 (45%)</w:t>
            </w:r>
          </w:p>
        </w:tc>
      </w:tr>
      <w:tr w:rsidR="00BD1360" w:rsidRPr="009C0CE3" w14:paraId="58243E30" w14:textId="77777777" w:rsidTr="00BD1360">
        <w:trPr>
          <w:trHeight w:val="446"/>
        </w:trPr>
        <w:tc>
          <w:tcPr>
            <w:tcW w:w="2250" w:type="pct"/>
          </w:tcPr>
          <w:p w14:paraId="21977652" w14:textId="10825FB7" w:rsidR="00BD1360" w:rsidRPr="00BD1360" w:rsidRDefault="00BF7C39" w:rsidP="00BD1360">
            <w:pPr>
              <w:spacing w:before="0" w:after="0" w:line="240" w:lineRule="auto"/>
              <w:contextualSpacing/>
              <w:rPr>
                <w:rFonts w:asciiTheme="minorHAnsi" w:hAnsiTheme="minorHAnsi" w:cs="Calibri"/>
                <w:color w:val="231F20"/>
                <w:szCs w:val="22"/>
              </w:rPr>
            </w:pPr>
            <w:r>
              <w:rPr>
                <w:rFonts w:asciiTheme="minorHAnsi" w:hAnsiTheme="minorHAnsi" w:cs="Calibri"/>
                <w:color w:val="231F20"/>
                <w:szCs w:val="22"/>
              </w:rPr>
              <w:t>DOR</w:t>
            </w:r>
            <w:r w:rsidR="00CE2749">
              <w:rPr>
                <w:rFonts w:asciiTheme="minorHAnsi" w:hAnsiTheme="minorHAnsi" w:cs="Calibri"/>
                <w:color w:val="231F20"/>
                <w:szCs w:val="22"/>
              </w:rPr>
              <w:t xml:space="preserve"> </w:t>
            </w:r>
            <w:r w:rsidR="00CE2749">
              <w:sym w:font="Symbol" w:char="F0B3"/>
            </w:r>
            <w:r>
              <w:rPr>
                <w:rFonts w:asciiTheme="minorHAnsi" w:hAnsiTheme="minorHAnsi" w:cs="Calibri"/>
                <w:color w:val="231F20"/>
                <w:szCs w:val="22"/>
              </w:rPr>
              <w:t xml:space="preserve"> </w:t>
            </w:r>
            <w:r w:rsidR="00BD1360" w:rsidRPr="00BD1360">
              <w:rPr>
                <w:rFonts w:asciiTheme="minorHAnsi" w:hAnsiTheme="minorHAnsi" w:cs="Calibri"/>
                <w:color w:val="231F20"/>
                <w:szCs w:val="22"/>
              </w:rPr>
              <w:t>18 months</w:t>
            </w:r>
          </w:p>
        </w:tc>
        <w:tc>
          <w:tcPr>
            <w:tcW w:w="1415" w:type="pct"/>
          </w:tcPr>
          <w:p w14:paraId="4AA2E17C" w14:textId="7E737F47" w:rsidR="00BD1360" w:rsidRPr="00BD1360" w:rsidRDefault="00BD1360" w:rsidP="00A4213A">
            <w:pPr>
              <w:spacing w:before="0" w:after="0" w:line="240" w:lineRule="auto"/>
              <w:contextualSpacing/>
              <w:jc w:val="center"/>
              <w:rPr>
                <w:rFonts w:asciiTheme="minorHAnsi" w:hAnsiTheme="minorHAnsi" w:cs="Calibri"/>
                <w:color w:val="231F20"/>
                <w:szCs w:val="22"/>
              </w:rPr>
            </w:pPr>
            <w:r w:rsidRPr="00BD1360">
              <w:rPr>
                <w:rFonts w:asciiTheme="minorHAnsi" w:hAnsiTheme="minorHAnsi" w:cs="Calibri"/>
                <w:color w:val="231F20"/>
                <w:szCs w:val="22"/>
              </w:rPr>
              <w:t>3 (29% of 11)</w:t>
            </w:r>
          </w:p>
        </w:tc>
        <w:tc>
          <w:tcPr>
            <w:tcW w:w="1335" w:type="pct"/>
          </w:tcPr>
          <w:p w14:paraId="65B126A4" w14:textId="77777777" w:rsidR="00BD1360" w:rsidRPr="00BD1360" w:rsidRDefault="00BD1360" w:rsidP="00A4213A">
            <w:pPr>
              <w:spacing w:before="0" w:after="0" w:line="240" w:lineRule="auto"/>
              <w:contextualSpacing/>
              <w:jc w:val="center"/>
              <w:rPr>
                <w:rFonts w:asciiTheme="minorHAnsi" w:hAnsiTheme="minorHAnsi" w:cs="Calibri"/>
                <w:color w:val="231F20"/>
                <w:szCs w:val="22"/>
              </w:rPr>
            </w:pPr>
          </w:p>
        </w:tc>
      </w:tr>
    </w:tbl>
    <w:p w14:paraId="57305BD5" w14:textId="514BFD07" w:rsidR="00E54651" w:rsidRDefault="00E54651" w:rsidP="007D2F65">
      <w:pPr>
        <w:pStyle w:val="TableDescription"/>
      </w:pPr>
      <w:r>
        <w:t>NE = not evaluable.</w:t>
      </w:r>
    </w:p>
    <w:p w14:paraId="0E0FB8C8" w14:textId="1D613491" w:rsidR="00BD1360" w:rsidRPr="009C0CE3" w:rsidRDefault="00BD1360" w:rsidP="00BD1360">
      <w:pPr>
        <w:rPr>
          <w:rFonts w:asciiTheme="minorHAnsi" w:hAnsiTheme="minorHAnsi" w:cs="Calibri"/>
        </w:rPr>
      </w:pPr>
      <w:r w:rsidRPr="009C0CE3">
        <w:rPr>
          <w:rFonts w:asciiTheme="minorHAnsi" w:hAnsiTheme="minorHAnsi" w:cs="Calibri"/>
        </w:rPr>
        <w:t xml:space="preserve">Subgroup analyses based on baseline </w:t>
      </w:r>
      <w:r w:rsidR="002E2BCA">
        <w:rPr>
          <w:rFonts w:asciiTheme="minorHAnsi" w:hAnsiTheme="minorHAnsi" w:cs="Calibri"/>
        </w:rPr>
        <w:t>characteristics were conducted. S</w:t>
      </w:r>
      <w:r w:rsidRPr="009C0CE3">
        <w:rPr>
          <w:rFonts w:asciiTheme="minorHAnsi" w:hAnsiTheme="minorHAnsi" w:cs="Calibri"/>
        </w:rPr>
        <w:t xml:space="preserve">ample sizes were small, but no outlier subgroups were identified. Results in tumour </w:t>
      </w:r>
      <w:r>
        <w:rPr>
          <w:rFonts w:asciiTheme="minorHAnsi" w:hAnsiTheme="minorHAnsi" w:cs="Calibri"/>
        </w:rPr>
        <w:t>location</w:t>
      </w:r>
      <w:r w:rsidRPr="009C0CE3">
        <w:rPr>
          <w:rFonts w:asciiTheme="minorHAnsi" w:hAnsiTheme="minorHAnsi" w:cs="Calibri"/>
        </w:rPr>
        <w:t xml:space="preserve"> groupings are summarised in</w:t>
      </w:r>
      <w:r w:rsidR="003C3296">
        <w:rPr>
          <w:rFonts w:asciiTheme="minorHAnsi" w:hAnsiTheme="minorHAnsi" w:cs="Calibri"/>
        </w:rPr>
        <w:t xml:space="preserve"> </w:t>
      </w:r>
      <w:r w:rsidR="003C3296">
        <w:rPr>
          <w:rFonts w:asciiTheme="minorHAnsi" w:hAnsiTheme="minorHAnsi" w:cs="Calibri"/>
        </w:rPr>
        <w:fldChar w:fldCharType="begin"/>
      </w:r>
      <w:r w:rsidR="003C3296">
        <w:rPr>
          <w:rFonts w:asciiTheme="minorHAnsi" w:hAnsiTheme="minorHAnsi" w:cs="Calibri"/>
        </w:rPr>
        <w:instrText xml:space="preserve"> REF _Ref50706421 \h </w:instrText>
      </w:r>
      <w:r w:rsidR="003C3296">
        <w:rPr>
          <w:rFonts w:asciiTheme="minorHAnsi" w:hAnsiTheme="minorHAnsi" w:cs="Calibri"/>
        </w:rPr>
      </w:r>
      <w:r w:rsidR="003C3296">
        <w:rPr>
          <w:rFonts w:asciiTheme="minorHAnsi" w:hAnsiTheme="minorHAnsi" w:cs="Calibri"/>
        </w:rPr>
        <w:fldChar w:fldCharType="separate"/>
      </w:r>
      <w:r w:rsidR="005743D8" w:rsidRPr="00BD1360">
        <w:t xml:space="preserve">Table </w:t>
      </w:r>
      <w:r w:rsidR="005743D8">
        <w:rPr>
          <w:noProof/>
        </w:rPr>
        <w:t>15</w:t>
      </w:r>
      <w:r w:rsidR="003C3296">
        <w:rPr>
          <w:rFonts w:asciiTheme="minorHAnsi" w:hAnsiTheme="minorHAnsi" w:cs="Calibri"/>
        </w:rPr>
        <w:fldChar w:fldCharType="end"/>
      </w:r>
      <w:r w:rsidRPr="009C0CE3">
        <w:rPr>
          <w:rFonts w:asciiTheme="minorHAnsi" w:hAnsiTheme="minorHAnsi" w:cs="Calibri"/>
        </w:rPr>
        <w:t>,</w:t>
      </w:r>
      <w:r w:rsidR="007D2F65" w:rsidRPr="009C0CE3" w:rsidDel="007D2F65">
        <w:rPr>
          <w:rFonts w:asciiTheme="minorHAnsi" w:hAnsiTheme="minorHAnsi" w:cs="Calibri"/>
        </w:rPr>
        <w:t xml:space="preserve"> </w:t>
      </w:r>
    </w:p>
    <w:p w14:paraId="0C30893B" w14:textId="250973B6" w:rsidR="00BD1360" w:rsidRPr="009C0CE3" w:rsidRDefault="00BD1360" w:rsidP="00BD1360">
      <w:pPr>
        <w:rPr>
          <w:rFonts w:asciiTheme="minorHAnsi" w:hAnsiTheme="minorHAnsi" w:cs="Calibri"/>
        </w:rPr>
      </w:pPr>
      <w:r w:rsidRPr="009C0CE3">
        <w:rPr>
          <w:rFonts w:asciiTheme="minorHAnsi" w:hAnsiTheme="minorHAnsi" w:cs="Calibri"/>
        </w:rPr>
        <w:t>With regard to line of therapy:</w:t>
      </w:r>
      <w:r w:rsidR="00140D98">
        <w:rPr>
          <w:rFonts w:asciiTheme="minorHAnsi" w:hAnsiTheme="minorHAnsi" w:cs="Calibri"/>
        </w:rPr>
        <w:fldChar w:fldCharType="begin"/>
      </w:r>
      <w:r w:rsidR="00140D98">
        <w:rPr>
          <w:rFonts w:asciiTheme="minorHAnsi" w:hAnsiTheme="minorHAnsi" w:cs="Calibri"/>
        </w:rPr>
        <w:instrText xml:space="preserve"> NOTEREF _Ref50554541 \f \h </w:instrText>
      </w:r>
      <w:r w:rsidR="00140D98">
        <w:rPr>
          <w:rFonts w:asciiTheme="minorHAnsi" w:hAnsiTheme="minorHAnsi" w:cs="Calibri"/>
        </w:rPr>
      </w:r>
      <w:r w:rsidR="00140D98">
        <w:rPr>
          <w:rFonts w:asciiTheme="minorHAnsi" w:hAnsiTheme="minorHAnsi" w:cs="Calibri"/>
        </w:rPr>
        <w:fldChar w:fldCharType="separate"/>
      </w:r>
      <w:r w:rsidR="005743D8" w:rsidRPr="005743D8">
        <w:rPr>
          <w:rStyle w:val="FootnoteReference"/>
        </w:rPr>
        <w:t>12</w:t>
      </w:r>
      <w:r w:rsidR="00140D98">
        <w:rPr>
          <w:rFonts w:asciiTheme="minorHAnsi" w:hAnsiTheme="minorHAnsi" w:cs="Calibri"/>
        </w:rPr>
        <w:fldChar w:fldCharType="end"/>
      </w:r>
    </w:p>
    <w:p w14:paraId="438B8622" w14:textId="696B0057" w:rsidR="00BD1360" w:rsidRPr="00BD1360" w:rsidRDefault="00140D98" w:rsidP="00140D98">
      <w:pPr>
        <w:ind w:left="720"/>
      </w:pPr>
      <w:r>
        <w:t>‘</w:t>
      </w:r>
      <w:r w:rsidR="00BD1360" w:rsidRPr="00BD1360">
        <w:t>An exploratory analysis of ORR was conducted in patients who received prior systemic therapy for metastatic disease versus those who did not. The ORR was 53% for both populations.</w:t>
      </w:r>
      <w:r>
        <w:t>’</w:t>
      </w:r>
    </w:p>
    <w:p w14:paraId="0FEB4398" w14:textId="617B8CC7" w:rsidR="00BD1360" w:rsidRPr="00BD1360" w:rsidRDefault="00BD1360" w:rsidP="00BD1360">
      <w:pPr>
        <w:pStyle w:val="TableTitle"/>
      </w:pPr>
      <w:bookmarkStart w:id="60" w:name="_Ref50706421"/>
      <w:r w:rsidRPr="00BD1360">
        <w:t xml:space="preserve">Table </w:t>
      </w:r>
      <w:fldSimple w:instr=" SEQ Table \* ARABIC ">
        <w:r w:rsidR="009B407B">
          <w:rPr>
            <w:noProof/>
          </w:rPr>
          <w:t>19</w:t>
        </w:r>
      </w:fldSimple>
      <w:bookmarkEnd w:id="60"/>
      <w:r w:rsidR="00E54651">
        <w:rPr>
          <w:noProof/>
        </w:rPr>
        <w:t>:</w:t>
      </w:r>
      <w:r>
        <w:t xml:space="preserve"> </w:t>
      </w:r>
      <w:r w:rsidR="00370D8F">
        <w:t>Overall response rate and duration of r</w:t>
      </w:r>
      <w:r w:rsidR="00370D8F" w:rsidRPr="00370D8F">
        <w:t>esponse</w:t>
      </w:r>
      <w:r w:rsidRPr="009C0CE3">
        <w:t xml:space="preserve"> results by tumour </w:t>
      </w:r>
      <w:r>
        <w:t>location</w:t>
      </w:r>
      <w:r w:rsidRPr="009C0CE3">
        <w:t xml:space="preserve"> in NTRK fusion-positive tumours</w:t>
      </w:r>
    </w:p>
    <w:tbl>
      <w:tblPr>
        <w:tblStyle w:val="TableTGAblue"/>
        <w:tblW w:w="5000" w:type="pct"/>
        <w:tblLook w:val="01E0" w:firstRow="1" w:lastRow="1" w:firstColumn="1" w:lastColumn="1" w:noHBand="0" w:noVBand="0"/>
      </w:tblPr>
      <w:tblGrid>
        <w:gridCol w:w="2787"/>
        <w:gridCol w:w="1306"/>
        <w:gridCol w:w="1508"/>
        <w:gridCol w:w="1421"/>
        <w:gridCol w:w="1467"/>
      </w:tblGrid>
      <w:tr w:rsidR="00BD1360" w:rsidRPr="009C0CE3" w14:paraId="37BAD7A1" w14:textId="77777777" w:rsidTr="003C3296">
        <w:trPr>
          <w:cnfStyle w:val="100000000000" w:firstRow="1" w:lastRow="0" w:firstColumn="0" w:lastColumn="0" w:oddVBand="0" w:evenVBand="0" w:oddHBand="0" w:evenHBand="0" w:firstRowFirstColumn="0" w:firstRowLastColumn="0" w:lastRowFirstColumn="0" w:lastRowLastColumn="0"/>
          <w:trHeight w:val="445"/>
        </w:trPr>
        <w:tc>
          <w:tcPr>
            <w:tcW w:w="1642" w:type="pct"/>
            <w:vMerge w:val="restart"/>
            <w:tcBorders>
              <w:top w:val="single" w:sz="4" w:space="0" w:color="auto"/>
              <w:left w:val="single" w:sz="4" w:space="0" w:color="auto"/>
              <w:bottom w:val="single" w:sz="4" w:space="0" w:color="auto"/>
              <w:right w:val="single" w:sz="4" w:space="0" w:color="auto"/>
            </w:tcBorders>
          </w:tcPr>
          <w:p w14:paraId="267E594D" w14:textId="47CCD803"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szCs w:val="22"/>
              </w:rPr>
              <w:t xml:space="preserve">Tumor </w:t>
            </w:r>
            <w:r w:rsidR="00E54651">
              <w:rPr>
                <w:rFonts w:asciiTheme="minorHAnsi" w:hAnsiTheme="minorHAnsi"/>
                <w:szCs w:val="22"/>
              </w:rPr>
              <w:t>t</w:t>
            </w:r>
            <w:r w:rsidRPr="00BD1360">
              <w:rPr>
                <w:rFonts w:asciiTheme="minorHAnsi" w:hAnsiTheme="minorHAnsi"/>
                <w:szCs w:val="22"/>
              </w:rPr>
              <w:t>ype</w:t>
            </w:r>
          </w:p>
        </w:tc>
        <w:tc>
          <w:tcPr>
            <w:tcW w:w="769" w:type="pct"/>
            <w:vMerge w:val="restart"/>
            <w:tcBorders>
              <w:top w:val="single" w:sz="4" w:space="0" w:color="auto"/>
              <w:left w:val="single" w:sz="4" w:space="0" w:color="auto"/>
              <w:bottom w:val="single" w:sz="4" w:space="0" w:color="auto"/>
              <w:right w:val="single" w:sz="4" w:space="0" w:color="auto"/>
            </w:tcBorders>
          </w:tcPr>
          <w:p w14:paraId="5834954B"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szCs w:val="22"/>
              </w:rPr>
              <w:t>Patients N = 54</w:t>
            </w:r>
          </w:p>
        </w:tc>
        <w:tc>
          <w:tcPr>
            <w:tcW w:w="1725" w:type="pct"/>
            <w:gridSpan w:val="2"/>
            <w:tcBorders>
              <w:left w:val="single" w:sz="4" w:space="0" w:color="auto"/>
            </w:tcBorders>
          </w:tcPr>
          <w:p w14:paraId="74505288"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szCs w:val="22"/>
              </w:rPr>
              <w:t>ORR</w:t>
            </w:r>
          </w:p>
        </w:tc>
        <w:tc>
          <w:tcPr>
            <w:tcW w:w="864" w:type="pct"/>
          </w:tcPr>
          <w:p w14:paraId="487B2803"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szCs w:val="22"/>
              </w:rPr>
              <w:t>DOR</w:t>
            </w:r>
          </w:p>
        </w:tc>
      </w:tr>
      <w:tr w:rsidR="00BD1360" w:rsidRPr="009C0CE3" w14:paraId="00A4500E" w14:textId="77777777" w:rsidTr="00BD1360">
        <w:trPr>
          <w:trHeight w:val="445"/>
        </w:trPr>
        <w:tc>
          <w:tcPr>
            <w:tcW w:w="1642" w:type="pct"/>
            <w:vMerge/>
            <w:tcBorders>
              <w:top w:val="single" w:sz="4" w:space="0" w:color="auto"/>
              <w:left w:val="single" w:sz="4" w:space="0" w:color="auto"/>
              <w:bottom w:val="single" w:sz="4" w:space="0" w:color="auto"/>
              <w:right w:val="single" w:sz="4" w:space="0" w:color="auto"/>
            </w:tcBorders>
          </w:tcPr>
          <w:p w14:paraId="15EEFB7B" w14:textId="77777777" w:rsidR="00BD1360" w:rsidRPr="00BD1360" w:rsidRDefault="00BD1360" w:rsidP="00D97822">
            <w:pPr>
              <w:spacing w:before="0" w:after="0" w:line="240" w:lineRule="auto"/>
              <w:ind w:left="0" w:right="0"/>
              <w:rPr>
                <w:rFonts w:asciiTheme="minorHAnsi" w:hAnsiTheme="minorHAnsi" w:cs="Calibri"/>
                <w:b/>
                <w:color w:val="FFFFFF" w:themeColor="background1"/>
                <w:szCs w:val="22"/>
              </w:rPr>
            </w:pPr>
          </w:p>
        </w:tc>
        <w:tc>
          <w:tcPr>
            <w:tcW w:w="769" w:type="pct"/>
            <w:vMerge/>
            <w:tcBorders>
              <w:top w:val="single" w:sz="4" w:space="0" w:color="auto"/>
              <w:left w:val="single" w:sz="4" w:space="0" w:color="auto"/>
              <w:bottom w:val="single" w:sz="4" w:space="0" w:color="auto"/>
              <w:right w:val="single" w:sz="4" w:space="0" w:color="auto"/>
            </w:tcBorders>
          </w:tcPr>
          <w:p w14:paraId="0C3255CF" w14:textId="77777777" w:rsidR="00BD1360" w:rsidRPr="00BD1360" w:rsidRDefault="00BD1360" w:rsidP="00D97822">
            <w:pPr>
              <w:spacing w:before="0" w:after="0" w:line="240" w:lineRule="auto"/>
              <w:ind w:left="0" w:right="0"/>
              <w:rPr>
                <w:rFonts w:asciiTheme="minorHAnsi" w:hAnsiTheme="minorHAnsi" w:cs="Calibri"/>
                <w:b/>
                <w:color w:val="FFFFFF" w:themeColor="background1"/>
                <w:szCs w:val="22"/>
              </w:rPr>
            </w:pPr>
          </w:p>
        </w:tc>
        <w:tc>
          <w:tcPr>
            <w:tcW w:w="888" w:type="pct"/>
            <w:tcBorders>
              <w:left w:val="single" w:sz="4" w:space="0" w:color="auto"/>
            </w:tcBorders>
            <w:shd w:val="clear" w:color="auto" w:fill="006DA2"/>
          </w:tcPr>
          <w:p w14:paraId="02129B8D" w14:textId="02AE5CBB" w:rsidR="00BD1360" w:rsidRPr="00BD1360" w:rsidRDefault="00BF7C39" w:rsidP="00D97822">
            <w:pPr>
              <w:pStyle w:val="TableParagraph"/>
              <w:ind w:left="0" w:right="0"/>
              <w:jc w:val="center"/>
              <w:rPr>
                <w:rFonts w:asciiTheme="minorHAnsi" w:hAnsiTheme="minorHAnsi"/>
                <w:b/>
                <w:color w:val="FFFFFF" w:themeColor="background1"/>
                <w:szCs w:val="22"/>
              </w:rPr>
            </w:pPr>
            <w:r w:rsidRPr="00BD1360">
              <w:rPr>
                <w:rFonts w:asciiTheme="minorHAnsi" w:hAnsiTheme="minorHAnsi"/>
                <w:b/>
                <w:color w:val="FFFFFF" w:themeColor="background1"/>
                <w:szCs w:val="22"/>
              </w:rPr>
              <w:t>N</w:t>
            </w:r>
            <w:r>
              <w:rPr>
                <w:rFonts w:asciiTheme="minorHAnsi" w:hAnsiTheme="minorHAnsi"/>
                <w:b/>
                <w:color w:val="FFFFFF" w:themeColor="background1"/>
                <w:szCs w:val="22"/>
              </w:rPr>
              <w:t xml:space="preserve"> </w:t>
            </w:r>
            <w:r w:rsidR="00BD1360" w:rsidRPr="00BD1360">
              <w:rPr>
                <w:rFonts w:asciiTheme="minorHAnsi" w:hAnsiTheme="minorHAnsi"/>
                <w:b/>
                <w:color w:val="FFFFFF" w:themeColor="background1"/>
                <w:szCs w:val="22"/>
              </w:rPr>
              <w:t>(%)</w:t>
            </w:r>
          </w:p>
        </w:tc>
        <w:tc>
          <w:tcPr>
            <w:tcW w:w="837" w:type="pct"/>
            <w:shd w:val="clear" w:color="auto" w:fill="006DA2"/>
          </w:tcPr>
          <w:p w14:paraId="1EE6304A" w14:textId="77777777" w:rsidR="00BD1360" w:rsidRPr="00BD1360" w:rsidRDefault="00BD1360" w:rsidP="00D97822">
            <w:pPr>
              <w:pStyle w:val="TableParagraph"/>
              <w:ind w:left="0" w:right="0"/>
              <w:jc w:val="center"/>
              <w:rPr>
                <w:rFonts w:asciiTheme="minorHAnsi" w:hAnsiTheme="minorHAnsi"/>
                <w:b/>
                <w:color w:val="FFFFFF" w:themeColor="background1"/>
                <w:szCs w:val="22"/>
              </w:rPr>
            </w:pPr>
            <w:r w:rsidRPr="00BD1360">
              <w:rPr>
                <w:rFonts w:asciiTheme="minorHAnsi" w:hAnsiTheme="minorHAnsi"/>
                <w:b/>
                <w:color w:val="FFFFFF" w:themeColor="background1"/>
                <w:szCs w:val="22"/>
              </w:rPr>
              <w:t>95% CI</w:t>
            </w:r>
          </w:p>
        </w:tc>
        <w:tc>
          <w:tcPr>
            <w:tcW w:w="864" w:type="pct"/>
            <w:shd w:val="clear" w:color="auto" w:fill="006DA2"/>
          </w:tcPr>
          <w:p w14:paraId="7FD745F9" w14:textId="77777777" w:rsidR="00BD1360" w:rsidRPr="00BD1360" w:rsidRDefault="00BD1360" w:rsidP="00D97822">
            <w:pPr>
              <w:pStyle w:val="TableParagraph"/>
              <w:ind w:left="0" w:right="0"/>
              <w:rPr>
                <w:rFonts w:asciiTheme="minorHAnsi" w:hAnsiTheme="minorHAnsi"/>
                <w:b/>
                <w:color w:val="FFFFFF" w:themeColor="background1"/>
                <w:szCs w:val="22"/>
              </w:rPr>
            </w:pPr>
            <w:r w:rsidRPr="00BD1360">
              <w:rPr>
                <w:rFonts w:asciiTheme="minorHAnsi" w:hAnsiTheme="minorHAnsi"/>
                <w:b/>
                <w:color w:val="FFFFFF" w:themeColor="background1"/>
                <w:szCs w:val="22"/>
              </w:rPr>
              <w:t>Range (months)</w:t>
            </w:r>
          </w:p>
        </w:tc>
      </w:tr>
      <w:tr w:rsidR="00BD1360" w:rsidRPr="009C0CE3" w14:paraId="30966C7A" w14:textId="77777777" w:rsidTr="00BD1360">
        <w:trPr>
          <w:trHeight w:val="445"/>
        </w:trPr>
        <w:tc>
          <w:tcPr>
            <w:tcW w:w="1642" w:type="pct"/>
            <w:tcBorders>
              <w:top w:val="single" w:sz="4" w:space="0" w:color="auto"/>
            </w:tcBorders>
          </w:tcPr>
          <w:p w14:paraId="3A9FE075"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Sarcoma</w:t>
            </w:r>
          </w:p>
        </w:tc>
        <w:tc>
          <w:tcPr>
            <w:tcW w:w="769" w:type="pct"/>
            <w:tcBorders>
              <w:top w:val="single" w:sz="4" w:space="0" w:color="auto"/>
            </w:tcBorders>
          </w:tcPr>
          <w:p w14:paraId="2272CB43"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13</w:t>
            </w:r>
          </w:p>
        </w:tc>
        <w:tc>
          <w:tcPr>
            <w:tcW w:w="888" w:type="pct"/>
          </w:tcPr>
          <w:p w14:paraId="28EC97B7"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6 (46%)</w:t>
            </w:r>
          </w:p>
        </w:tc>
        <w:tc>
          <w:tcPr>
            <w:tcW w:w="837" w:type="pct"/>
          </w:tcPr>
          <w:p w14:paraId="1785212C"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19%, 75%</w:t>
            </w:r>
          </w:p>
        </w:tc>
        <w:tc>
          <w:tcPr>
            <w:tcW w:w="864" w:type="pct"/>
          </w:tcPr>
          <w:p w14:paraId="695658B8"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2.8, 15.1</w:t>
            </w:r>
          </w:p>
        </w:tc>
      </w:tr>
      <w:tr w:rsidR="00BD1360" w:rsidRPr="009C0CE3" w14:paraId="1C36B0C4" w14:textId="77777777" w:rsidTr="00BD1360">
        <w:trPr>
          <w:trHeight w:val="445"/>
        </w:trPr>
        <w:tc>
          <w:tcPr>
            <w:tcW w:w="1642" w:type="pct"/>
          </w:tcPr>
          <w:p w14:paraId="5A6AD1E7" w14:textId="38E8F106" w:rsidR="00BD1360" w:rsidRPr="00BD1360" w:rsidRDefault="00BD1360" w:rsidP="00CE2749">
            <w:pPr>
              <w:pStyle w:val="TableParagraph"/>
              <w:ind w:left="0" w:right="0"/>
              <w:rPr>
                <w:rFonts w:asciiTheme="minorHAnsi" w:hAnsiTheme="minorHAnsi"/>
                <w:szCs w:val="22"/>
              </w:rPr>
            </w:pPr>
            <w:r w:rsidRPr="00BD1360">
              <w:rPr>
                <w:rFonts w:asciiTheme="minorHAnsi" w:hAnsiTheme="minorHAnsi"/>
                <w:color w:val="231F20"/>
                <w:szCs w:val="22"/>
              </w:rPr>
              <w:t>Non-small cell lung</w:t>
            </w:r>
            <w:r w:rsidR="00CE2749">
              <w:rPr>
                <w:rFonts w:asciiTheme="minorHAnsi" w:hAnsiTheme="minorHAnsi"/>
                <w:color w:val="231F20"/>
                <w:szCs w:val="22"/>
              </w:rPr>
              <w:t xml:space="preserve"> </w:t>
            </w:r>
            <w:r w:rsidRPr="00BD1360">
              <w:rPr>
                <w:rFonts w:asciiTheme="minorHAnsi" w:hAnsiTheme="minorHAnsi"/>
                <w:color w:val="231F20"/>
                <w:szCs w:val="22"/>
              </w:rPr>
              <w:t>cancer</w:t>
            </w:r>
          </w:p>
        </w:tc>
        <w:tc>
          <w:tcPr>
            <w:tcW w:w="769" w:type="pct"/>
          </w:tcPr>
          <w:p w14:paraId="4F03801B"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10</w:t>
            </w:r>
          </w:p>
        </w:tc>
        <w:tc>
          <w:tcPr>
            <w:tcW w:w="888" w:type="pct"/>
          </w:tcPr>
          <w:p w14:paraId="545668F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7 (70%)</w:t>
            </w:r>
          </w:p>
        </w:tc>
        <w:tc>
          <w:tcPr>
            <w:tcW w:w="837" w:type="pct"/>
          </w:tcPr>
          <w:p w14:paraId="1204DD4A"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35%, 93%</w:t>
            </w:r>
          </w:p>
        </w:tc>
        <w:tc>
          <w:tcPr>
            <w:tcW w:w="864" w:type="pct"/>
          </w:tcPr>
          <w:p w14:paraId="5FAA1D66"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1.9*, 20.1*</w:t>
            </w:r>
          </w:p>
        </w:tc>
      </w:tr>
      <w:tr w:rsidR="00BD1360" w:rsidRPr="009C0CE3" w14:paraId="69AA4C0D" w14:textId="77777777" w:rsidTr="00BD1360">
        <w:trPr>
          <w:trHeight w:val="445"/>
        </w:trPr>
        <w:tc>
          <w:tcPr>
            <w:tcW w:w="1642" w:type="pct"/>
          </w:tcPr>
          <w:p w14:paraId="79281974"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Salivary (MASC)</w:t>
            </w:r>
          </w:p>
        </w:tc>
        <w:tc>
          <w:tcPr>
            <w:tcW w:w="769" w:type="pct"/>
          </w:tcPr>
          <w:p w14:paraId="1265779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7</w:t>
            </w:r>
          </w:p>
        </w:tc>
        <w:tc>
          <w:tcPr>
            <w:tcW w:w="888" w:type="pct"/>
          </w:tcPr>
          <w:p w14:paraId="59A8DC67"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6</w:t>
            </w:r>
          </w:p>
        </w:tc>
        <w:tc>
          <w:tcPr>
            <w:tcW w:w="837" w:type="pct"/>
          </w:tcPr>
          <w:p w14:paraId="3E1C366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5B5F14B5"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2.8, 16.5*</w:t>
            </w:r>
          </w:p>
        </w:tc>
      </w:tr>
      <w:tr w:rsidR="00BD1360" w:rsidRPr="009C0CE3" w14:paraId="3A1B69E6" w14:textId="77777777" w:rsidTr="00BD1360">
        <w:trPr>
          <w:trHeight w:val="445"/>
        </w:trPr>
        <w:tc>
          <w:tcPr>
            <w:tcW w:w="1642" w:type="pct"/>
          </w:tcPr>
          <w:p w14:paraId="453488EE"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Breast cancer**</w:t>
            </w:r>
          </w:p>
        </w:tc>
        <w:tc>
          <w:tcPr>
            <w:tcW w:w="769" w:type="pct"/>
          </w:tcPr>
          <w:p w14:paraId="0B75F61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6</w:t>
            </w:r>
          </w:p>
        </w:tc>
        <w:tc>
          <w:tcPr>
            <w:tcW w:w="888" w:type="pct"/>
          </w:tcPr>
          <w:p w14:paraId="476FA6B4"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5</w:t>
            </w:r>
          </w:p>
        </w:tc>
        <w:tc>
          <w:tcPr>
            <w:tcW w:w="837" w:type="pct"/>
          </w:tcPr>
          <w:p w14:paraId="215B1E03"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3F9B0BAB"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4.2, 14.8*</w:t>
            </w:r>
          </w:p>
        </w:tc>
      </w:tr>
      <w:tr w:rsidR="00BD1360" w:rsidRPr="009C0CE3" w14:paraId="674CD939" w14:textId="77777777" w:rsidTr="00BD1360">
        <w:trPr>
          <w:trHeight w:val="445"/>
        </w:trPr>
        <w:tc>
          <w:tcPr>
            <w:tcW w:w="1642" w:type="pct"/>
          </w:tcPr>
          <w:p w14:paraId="48BA8109"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Thyroid cancer</w:t>
            </w:r>
          </w:p>
        </w:tc>
        <w:tc>
          <w:tcPr>
            <w:tcW w:w="769" w:type="pct"/>
          </w:tcPr>
          <w:p w14:paraId="35F50000"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5</w:t>
            </w:r>
          </w:p>
        </w:tc>
        <w:tc>
          <w:tcPr>
            <w:tcW w:w="888" w:type="pct"/>
          </w:tcPr>
          <w:p w14:paraId="130DCFA7"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w:t>
            </w:r>
          </w:p>
        </w:tc>
        <w:tc>
          <w:tcPr>
            <w:tcW w:w="837" w:type="pct"/>
          </w:tcPr>
          <w:p w14:paraId="13E3F05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2A89108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7.9</w:t>
            </w:r>
          </w:p>
        </w:tc>
      </w:tr>
      <w:tr w:rsidR="00BD1360" w:rsidRPr="009C0CE3" w14:paraId="44F1BA00" w14:textId="77777777" w:rsidTr="00BD1360">
        <w:trPr>
          <w:trHeight w:val="445"/>
        </w:trPr>
        <w:tc>
          <w:tcPr>
            <w:tcW w:w="1642" w:type="pct"/>
          </w:tcPr>
          <w:p w14:paraId="0A363E0C"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Colorectal cancer</w:t>
            </w:r>
          </w:p>
        </w:tc>
        <w:tc>
          <w:tcPr>
            <w:tcW w:w="769" w:type="pct"/>
          </w:tcPr>
          <w:p w14:paraId="5DF6F9C5"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4</w:t>
            </w:r>
          </w:p>
        </w:tc>
        <w:tc>
          <w:tcPr>
            <w:tcW w:w="888" w:type="pct"/>
          </w:tcPr>
          <w:p w14:paraId="66D8E93C"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w:t>
            </w:r>
          </w:p>
        </w:tc>
        <w:tc>
          <w:tcPr>
            <w:tcW w:w="837" w:type="pct"/>
          </w:tcPr>
          <w:p w14:paraId="2A788781"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6CF3182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4.8*</w:t>
            </w:r>
          </w:p>
        </w:tc>
      </w:tr>
      <w:tr w:rsidR="00BD1360" w:rsidRPr="009C0CE3" w14:paraId="3C105D6F" w14:textId="77777777" w:rsidTr="00BD1360">
        <w:trPr>
          <w:trHeight w:val="445"/>
        </w:trPr>
        <w:tc>
          <w:tcPr>
            <w:tcW w:w="1642" w:type="pct"/>
          </w:tcPr>
          <w:p w14:paraId="08797057"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Neuroendocrine cancers</w:t>
            </w:r>
          </w:p>
        </w:tc>
        <w:tc>
          <w:tcPr>
            <w:tcW w:w="769" w:type="pct"/>
          </w:tcPr>
          <w:p w14:paraId="35D76105"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3</w:t>
            </w:r>
          </w:p>
        </w:tc>
        <w:tc>
          <w:tcPr>
            <w:tcW w:w="888" w:type="pct"/>
          </w:tcPr>
          <w:p w14:paraId="22B1C520"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w:t>
            </w:r>
          </w:p>
        </w:tc>
        <w:tc>
          <w:tcPr>
            <w:tcW w:w="837" w:type="pct"/>
          </w:tcPr>
          <w:p w14:paraId="18E41AF8"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01EB545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5.6*</w:t>
            </w:r>
          </w:p>
        </w:tc>
      </w:tr>
      <w:tr w:rsidR="00BD1360" w:rsidRPr="009C0CE3" w14:paraId="5E28F778" w14:textId="77777777" w:rsidTr="00BD1360">
        <w:trPr>
          <w:trHeight w:val="445"/>
        </w:trPr>
        <w:tc>
          <w:tcPr>
            <w:tcW w:w="1642" w:type="pct"/>
          </w:tcPr>
          <w:p w14:paraId="5ADD4983"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lastRenderedPageBreak/>
              <w:t>Pancreatic cancer</w:t>
            </w:r>
          </w:p>
        </w:tc>
        <w:tc>
          <w:tcPr>
            <w:tcW w:w="769" w:type="pct"/>
          </w:tcPr>
          <w:p w14:paraId="7659FD6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3</w:t>
            </w:r>
          </w:p>
        </w:tc>
        <w:tc>
          <w:tcPr>
            <w:tcW w:w="888" w:type="pct"/>
          </w:tcPr>
          <w:p w14:paraId="755C52C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 PR</w:t>
            </w:r>
          </w:p>
        </w:tc>
        <w:tc>
          <w:tcPr>
            <w:tcW w:w="837" w:type="pct"/>
          </w:tcPr>
          <w:p w14:paraId="71E18DC3"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75086574"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7.1, 12.9</w:t>
            </w:r>
          </w:p>
        </w:tc>
      </w:tr>
      <w:tr w:rsidR="00BD1360" w:rsidRPr="009C0CE3" w14:paraId="46CDBF0D" w14:textId="77777777" w:rsidTr="00BD1360">
        <w:trPr>
          <w:trHeight w:val="445"/>
        </w:trPr>
        <w:tc>
          <w:tcPr>
            <w:tcW w:w="1642" w:type="pct"/>
          </w:tcPr>
          <w:p w14:paraId="64AA98D3" w14:textId="77777777" w:rsidR="00BD1360" w:rsidRPr="00BD1360" w:rsidRDefault="00BD1360" w:rsidP="00D97822">
            <w:pPr>
              <w:pStyle w:val="TableParagraph"/>
              <w:ind w:left="0" w:right="0"/>
              <w:rPr>
                <w:rFonts w:asciiTheme="minorHAnsi" w:hAnsiTheme="minorHAnsi"/>
                <w:szCs w:val="22"/>
              </w:rPr>
            </w:pPr>
            <w:r w:rsidRPr="00BD1360">
              <w:rPr>
                <w:rFonts w:asciiTheme="minorHAnsi" w:hAnsiTheme="minorHAnsi"/>
                <w:color w:val="231F20"/>
                <w:szCs w:val="22"/>
              </w:rPr>
              <w:t>Gynecological cancers</w:t>
            </w:r>
          </w:p>
        </w:tc>
        <w:tc>
          <w:tcPr>
            <w:tcW w:w="769" w:type="pct"/>
          </w:tcPr>
          <w:p w14:paraId="7FB5B58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2</w:t>
            </w:r>
          </w:p>
        </w:tc>
        <w:tc>
          <w:tcPr>
            <w:tcW w:w="888" w:type="pct"/>
          </w:tcPr>
          <w:p w14:paraId="79013AC7"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w:t>
            </w:r>
          </w:p>
        </w:tc>
        <w:tc>
          <w:tcPr>
            <w:tcW w:w="837" w:type="pct"/>
          </w:tcPr>
          <w:p w14:paraId="3F38DC8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0371FB99"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20.3*</w:t>
            </w:r>
          </w:p>
        </w:tc>
      </w:tr>
      <w:tr w:rsidR="00BD1360" w:rsidRPr="009C0CE3" w14:paraId="375D26A6" w14:textId="77777777" w:rsidTr="00BD1360">
        <w:trPr>
          <w:trHeight w:val="446"/>
        </w:trPr>
        <w:tc>
          <w:tcPr>
            <w:tcW w:w="1642" w:type="pct"/>
          </w:tcPr>
          <w:p w14:paraId="5E271E7A" w14:textId="77777777" w:rsidR="00BD1360" w:rsidRPr="00BD1360" w:rsidRDefault="00BD1360" w:rsidP="00D97822">
            <w:pPr>
              <w:pStyle w:val="TableParagraph"/>
              <w:ind w:left="0" w:right="0"/>
              <w:rPr>
                <w:rFonts w:asciiTheme="minorHAnsi" w:hAnsiTheme="minorHAnsi"/>
                <w:szCs w:val="22"/>
              </w:rPr>
            </w:pPr>
            <w:proofErr w:type="spellStart"/>
            <w:r w:rsidRPr="00BD1360">
              <w:rPr>
                <w:rFonts w:asciiTheme="minorHAnsi" w:hAnsiTheme="minorHAnsi"/>
                <w:color w:val="231F20"/>
                <w:szCs w:val="22"/>
              </w:rPr>
              <w:t>Cholangiocarcinoma</w:t>
            </w:r>
            <w:proofErr w:type="spellEnd"/>
          </w:p>
        </w:tc>
        <w:tc>
          <w:tcPr>
            <w:tcW w:w="769" w:type="pct"/>
          </w:tcPr>
          <w:p w14:paraId="1DC91679"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w w:val="101"/>
                <w:szCs w:val="22"/>
              </w:rPr>
              <w:t>1</w:t>
            </w:r>
          </w:p>
        </w:tc>
        <w:tc>
          <w:tcPr>
            <w:tcW w:w="888" w:type="pct"/>
          </w:tcPr>
          <w:p w14:paraId="466FE5DD"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PR</w:t>
            </w:r>
          </w:p>
        </w:tc>
        <w:tc>
          <w:tcPr>
            <w:tcW w:w="837" w:type="pct"/>
          </w:tcPr>
          <w:p w14:paraId="4DD23B2E"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NA</w:t>
            </w:r>
          </w:p>
        </w:tc>
        <w:tc>
          <w:tcPr>
            <w:tcW w:w="864" w:type="pct"/>
          </w:tcPr>
          <w:p w14:paraId="15354322" w14:textId="77777777" w:rsidR="00BD1360" w:rsidRPr="00BD1360" w:rsidRDefault="00BD1360" w:rsidP="00D97822">
            <w:pPr>
              <w:pStyle w:val="TableParagraph"/>
              <w:ind w:left="0" w:right="0"/>
              <w:jc w:val="center"/>
              <w:rPr>
                <w:rFonts w:asciiTheme="minorHAnsi" w:hAnsiTheme="minorHAnsi"/>
                <w:szCs w:val="22"/>
              </w:rPr>
            </w:pPr>
            <w:r w:rsidRPr="00BD1360">
              <w:rPr>
                <w:rFonts w:asciiTheme="minorHAnsi" w:hAnsiTheme="minorHAnsi"/>
                <w:color w:val="231F20"/>
                <w:szCs w:val="22"/>
              </w:rPr>
              <w:t>9.3</w:t>
            </w:r>
          </w:p>
        </w:tc>
      </w:tr>
    </w:tbl>
    <w:p w14:paraId="12AA5397" w14:textId="07569C1B" w:rsidR="003C3296" w:rsidRDefault="003C3296" w:rsidP="003C3296">
      <w:pPr>
        <w:pStyle w:val="TableDescription"/>
      </w:pPr>
      <w:r>
        <w:t>* Censored</w:t>
      </w:r>
    </w:p>
    <w:p w14:paraId="2B557C02" w14:textId="5738E0F1" w:rsidR="003C3296" w:rsidRDefault="003C3296" w:rsidP="003C3296">
      <w:pPr>
        <w:pStyle w:val="TableDescription"/>
      </w:pPr>
      <w:r>
        <w:t xml:space="preserve">** Four of the breast cancers were ETV6-NTRK3 positive secretory breast cancer, </w:t>
      </w:r>
      <w:r w:rsidR="00BD04CD">
        <w:t>for example</w:t>
      </w:r>
      <w:r>
        <w:t xml:space="preserve"> MASC. Of the two non-secretory breast cancers, there was one non-response and one PR. </w:t>
      </w:r>
    </w:p>
    <w:p w14:paraId="09831C64" w14:textId="77777777" w:rsidR="003C3296" w:rsidRDefault="003C3296" w:rsidP="003C3296">
      <w:pPr>
        <w:pStyle w:val="TableDescription"/>
      </w:pPr>
      <w:r>
        <w:t>MASC: mammary analogue secretory carcinoma; NA = not applicable; PR = partial response.</w:t>
      </w:r>
    </w:p>
    <w:p w14:paraId="7CB4AE5B" w14:textId="28DD7B79" w:rsidR="00BD1360" w:rsidRDefault="00140D98" w:rsidP="003C3296">
      <w:pPr>
        <w:pStyle w:val="TableDescription"/>
      </w:pPr>
      <w:r>
        <w:t>Derived from ‘Table 43’</w:t>
      </w:r>
      <w:r w:rsidR="003C3296">
        <w:t xml:space="preserve"> of the FDA multidisciplinary review</w:t>
      </w:r>
      <w:r w:rsidR="00E54651">
        <w:t>.</w:t>
      </w:r>
      <w:r w:rsidR="003C3296" w:rsidRPr="003C3296">
        <w:rPr>
          <w:vertAlign w:val="superscript"/>
        </w:rPr>
        <w:fldChar w:fldCharType="begin"/>
      </w:r>
      <w:r w:rsidR="003C3296" w:rsidRPr="003C3296">
        <w:rPr>
          <w:vertAlign w:val="superscript"/>
        </w:rPr>
        <w:instrText xml:space="preserve"> NOTEREF _Ref50554541 \h </w:instrText>
      </w:r>
      <w:r w:rsidR="003C3296">
        <w:rPr>
          <w:vertAlign w:val="superscript"/>
        </w:rPr>
        <w:instrText xml:space="preserve"> \* MERGEFORMAT </w:instrText>
      </w:r>
      <w:r w:rsidR="003C3296" w:rsidRPr="003C3296">
        <w:rPr>
          <w:vertAlign w:val="superscript"/>
        </w:rPr>
      </w:r>
      <w:r w:rsidR="003C3296" w:rsidRPr="003C3296">
        <w:rPr>
          <w:vertAlign w:val="superscript"/>
        </w:rPr>
        <w:fldChar w:fldCharType="separate"/>
      </w:r>
      <w:r w:rsidR="005743D8">
        <w:rPr>
          <w:vertAlign w:val="superscript"/>
        </w:rPr>
        <w:t>12</w:t>
      </w:r>
      <w:r w:rsidR="003C3296" w:rsidRPr="003C3296">
        <w:rPr>
          <w:vertAlign w:val="superscript"/>
        </w:rPr>
        <w:fldChar w:fldCharType="end"/>
      </w:r>
    </w:p>
    <w:p w14:paraId="73F0AB7E" w14:textId="7BA712A2" w:rsidR="003C3296" w:rsidRDefault="003C3296" w:rsidP="003C3296">
      <w:r w:rsidRPr="000C761A">
        <w:rPr>
          <w:i/>
        </w:rPr>
        <w:t>Intracranial responses</w:t>
      </w:r>
      <w:r w:rsidR="009A34BE">
        <w:t xml:space="preserve">: </w:t>
      </w:r>
      <w:r>
        <w:t>The interpretation of intracranial response da</w:t>
      </w:r>
      <w:r w:rsidR="002E2BCA">
        <w:t xml:space="preserve">ta in patients with </w:t>
      </w:r>
      <w:r w:rsidR="002E2BCA" w:rsidRPr="000C761A">
        <w:rPr>
          <w:i/>
        </w:rPr>
        <w:t>NTRK</w:t>
      </w:r>
      <w:r w:rsidR="002E2BCA">
        <w:t xml:space="preserve"> fusion-</w:t>
      </w:r>
      <w:r>
        <w:t>positive solid tumours is limite</w:t>
      </w:r>
      <w:r w:rsidR="009E4A93">
        <w:t>d due to the small sample size.</w:t>
      </w:r>
    </w:p>
    <w:p w14:paraId="72F00385" w14:textId="77777777" w:rsidR="003C3296" w:rsidRDefault="003C3296" w:rsidP="003C3296">
      <w:r>
        <w:t>Subgroup analyses of the primary efficacy outcome, per investigator assessment, were conducted:</w:t>
      </w:r>
    </w:p>
    <w:p w14:paraId="7CC4042B" w14:textId="44B16AA1" w:rsidR="003C3296" w:rsidRDefault="003C3296" w:rsidP="00CB63AA">
      <w:pPr>
        <w:pStyle w:val="ListBullet"/>
      </w:pPr>
      <w:r>
        <w:t xml:space="preserve">In the CNS metastases at </w:t>
      </w:r>
      <w:r w:rsidR="00E01317">
        <w:t>Baseline</w:t>
      </w:r>
      <w:r>
        <w:t xml:space="preserve"> (per investigator) subgroup (n</w:t>
      </w:r>
      <w:r w:rsidR="00BF7C39">
        <w:t xml:space="preserve"> </w:t>
      </w:r>
      <w:r>
        <w:t>=</w:t>
      </w:r>
      <w:r w:rsidR="00BF7C39">
        <w:t xml:space="preserve"> </w:t>
      </w:r>
      <w:r>
        <w:t>12), the ORR (95% CI) was 50.0% (21.09, 78.91), with median duration of response not evaluable due to small sample size (3 ongoing respo</w:t>
      </w:r>
      <w:r w:rsidR="009E4A93">
        <w:t>nses at clinical cut-off date).</w:t>
      </w:r>
    </w:p>
    <w:p w14:paraId="06E0D365" w14:textId="083BCFCD" w:rsidR="003C3296" w:rsidRDefault="003C3296" w:rsidP="00CB63AA">
      <w:pPr>
        <w:pStyle w:val="ListBullet"/>
      </w:pPr>
      <w:r>
        <w:t xml:space="preserve">In patients without CNS metastases at </w:t>
      </w:r>
      <w:r w:rsidR="00E01317">
        <w:t>Baseline</w:t>
      </w:r>
      <w:r>
        <w:t>, the ORR (95% CI) was 59.5% (43.28, 74.37) and median duration of response 12.9 months.</w:t>
      </w:r>
    </w:p>
    <w:p w14:paraId="7A1A8136" w14:textId="4BDEF0AF" w:rsidR="003C3296" w:rsidRDefault="003C3296" w:rsidP="003C3296">
      <w:r>
        <w:t xml:space="preserve">Of the 12 patients with </w:t>
      </w:r>
      <w:r w:rsidRPr="000C761A">
        <w:rPr>
          <w:i/>
        </w:rPr>
        <w:t>NTRK</w:t>
      </w:r>
      <w:r>
        <w:t xml:space="preserve"> fusio</w:t>
      </w:r>
      <w:r w:rsidR="002E2BCA">
        <w:t>n-</w:t>
      </w:r>
      <w:r>
        <w:t xml:space="preserve">positive solid tumours who had CNS disease at </w:t>
      </w:r>
      <w:r w:rsidR="00E01317">
        <w:t>Baseline</w:t>
      </w:r>
      <w:r>
        <w:t xml:space="preserve"> per investigator, 11 were confirmed by BICR to have metastatic disease. In this group, the IC-ORR was 54.5% </w:t>
      </w:r>
      <w:r w:rsidR="00E54651">
        <w:t>(</w:t>
      </w:r>
      <w:r>
        <w:t>95% CI: 23.4, 83.3</w:t>
      </w:r>
      <w:r w:rsidR="00E54651">
        <w:t>)</w:t>
      </w:r>
      <w:r>
        <w:t>, median duration not estimable.</w:t>
      </w:r>
    </w:p>
    <w:p w14:paraId="65DBE54F" w14:textId="19EE50FC" w:rsidR="003C3296" w:rsidRDefault="003C3296" w:rsidP="003C3296">
      <w:r>
        <w:t xml:space="preserve">Of the 11 that had CNS disease at </w:t>
      </w:r>
      <w:r w:rsidR="00E01317">
        <w:t>Baseline</w:t>
      </w:r>
      <w:r>
        <w:t xml:space="preserve"> per BICR, 7 had measurable CNS metastases. Of the 7 who had measurable disease, 3 had received radiation to the brain within 2 months of their first dose of entrectinib, and an effect on CNS response can’t be ruled out. In the remaining four, there were 3 res</w:t>
      </w:r>
      <w:r w:rsidR="009E4A93">
        <w:t>ponses in intracranial lesions.</w:t>
      </w:r>
    </w:p>
    <w:p w14:paraId="3FF8E8BB" w14:textId="273E87F1" w:rsidR="003C3296" w:rsidRDefault="003C3296" w:rsidP="003C3296">
      <w:r>
        <w:t xml:space="preserve">Of </w:t>
      </w:r>
      <w:r w:rsidR="002E2BCA">
        <w:t xml:space="preserve">the 7 patients with </w:t>
      </w:r>
      <w:r w:rsidR="002E2BCA" w:rsidRPr="000C761A">
        <w:rPr>
          <w:i/>
        </w:rPr>
        <w:t>NTRK</w:t>
      </w:r>
      <w:r w:rsidR="002E2BCA">
        <w:t xml:space="preserve"> fusion-</w:t>
      </w:r>
      <w:r>
        <w:t xml:space="preserve">positive solid tumours who had measurable CNS disease at </w:t>
      </w:r>
      <w:r w:rsidR="00E01317">
        <w:t>Baseline</w:t>
      </w:r>
      <w:r>
        <w:t xml:space="preserve"> per BICR, regardless of proximity of brain radiotherapy to entrectinib therapy, 4 had durable intracranial responses (me</w:t>
      </w:r>
      <w:r w:rsidR="00CB63AA">
        <w:t>dian duration not estimable).</w:t>
      </w:r>
    </w:p>
    <w:p w14:paraId="211E39BB" w14:textId="0A9A753D" w:rsidR="003C3296" w:rsidRDefault="003C3296" w:rsidP="003C3296">
      <w:r w:rsidRPr="000C761A">
        <w:rPr>
          <w:i/>
        </w:rPr>
        <w:t xml:space="preserve">Efficacy in primary </w:t>
      </w:r>
      <w:r w:rsidR="00E54651" w:rsidRPr="000C761A">
        <w:rPr>
          <w:i/>
        </w:rPr>
        <w:t>central nervous system</w:t>
      </w:r>
      <w:r w:rsidRPr="000C761A">
        <w:rPr>
          <w:i/>
        </w:rPr>
        <w:t xml:space="preserve"> tumours</w:t>
      </w:r>
      <w:r w:rsidR="009A34BE">
        <w:rPr>
          <w:i/>
        </w:rPr>
        <w:t>:</w:t>
      </w:r>
      <w:r w:rsidR="009A34BE">
        <w:t xml:space="preserve"> </w:t>
      </w:r>
      <w:r>
        <w:t xml:space="preserve">Patients with primary CNS tumours harbouring </w:t>
      </w:r>
      <w:r w:rsidRPr="000C761A">
        <w:rPr>
          <w:i/>
        </w:rPr>
        <w:t>NTRK</w:t>
      </w:r>
      <w:r>
        <w:t xml:space="preserve"> fusions were not included in the </w:t>
      </w:r>
      <w:r w:rsidR="00AE517A">
        <w:t xml:space="preserve">NTRK efficacy evaluable set </w:t>
      </w:r>
      <w:r>
        <w:t>but five such adult patients were treated across</w:t>
      </w:r>
      <w:r w:rsidR="009A34BE">
        <w:t xml:space="preserve"> the</w:t>
      </w:r>
      <w:r>
        <w:t xml:space="preserve"> ALKA, STARTRK-1 and STARTRK-2</w:t>
      </w:r>
      <w:r w:rsidR="00B3760D">
        <w:t xml:space="preserve"> trials</w:t>
      </w:r>
      <w:r>
        <w:t>.</w:t>
      </w:r>
      <w:r w:rsidR="002E2BCA">
        <w:t xml:space="preserve"> In this group per RANO or RANO </w:t>
      </w:r>
      <w:r>
        <w:t xml:space="preserve">Brain Metastases criteria, </w:t>
      </w:r>
      <w:r w:rsidR="00CB63AA">
        <w:t>there was 1 PR, 2 SD and 3 PD.</w:t>
      </w:r>
    </w:p>
    <w:p w14:paraId="1F9986C3" w14:textId="05441F32" w:rsidR="003C3296" w:rsidRDefault="003C3296" w:rsidP="003C3296">
      <w:r>
        <w:t xml:space="preserve">A publication of preliminary data from a </w:t>
      </w:r>
      <w:r w:rsidR="00CB7588">
        <w:t>Phase I/</w:t>
      </w:r>
      <w:proofErr w:type="spellStart"/>
      <w:r w:rsidR="00CB7588">
        <w:t>I</w:t>
      </w:r>
      <w:r>
        <w:t>b</w:t>
      </w:r>
      <w:proofErr w:type="spellEnd"/>
      <w:r>
        <w:t xml:space="preserve"> trial in a paediatric cohort of 6 patients with CNS primaries from the STARTRK-NG trial indicates responses have been observed in all four of those who were evaluable for confirmed response at time of reporting: one CR in a patient with an </w:t>
      </w:r>
      <w:r w:rsidRPr="000C761A">
        <w:rPr>
          <w:i/>
        </w:rPr>
        <w:t>ETV6-NTRK3</w:t>
      </w:r>
      <w:r>
        <w:t xml:space="preserve"> fusion and 3 PRs in patients with an </w:t>
      </w:r>
      <w:r w:rsidRPr="000C761A">
        <w:rPr>
          <w:i/>
        </w:rPr>
        <w:t>TPR-NTRK1, EE</w:t>
      </w:r>
      <w:r w:rsidR="00CB63AA" w:rsidRPr="000C761A">
        <w:rPr>
          <w:i/>
        </w:rPr>
        <w:t>F1G-ROS1,</w:t>
      </w:r>
      <w:r w:rsidR="00CB63AA">
        <w:t xml:space="preserve"> or </w:t>
      </w:r>
      <w:r w:rsidR="00CB63AA" w:rsidRPr="000C761A">
        <w:rPr>
          <w:i/>
        </w:rPr>
        <w:t>EML1-NTRK</w:t>
      </w:r>
      <w:r w:rsidR="00CB63AA">
        <w:t>2 fusion.</w:t>
      </w:r>
      <w:r w:rsidR="00CB63AA">
        <w:rPr>
          <w:rStyle w:val="FootnoteReference"/>
        </w:rPr>
        <w:footnoteReference w:id="28"/>
      </w:r>
    </w:p>
    <w:p w14:paraId="5FD3B9C9" w14:textId="0D06E257" w:rsidR="003C3296" w:rsidRDefault="003C3296" w:rsidP="003C3296">
      <w:r w:rsidRPr="0023337E">
        <w:lastRenderedPageBreak/>
        <w:t xml:space="preserve">The </w:t>
      </w:r>
      <w:r w:rsidR="00E54651">
        <w:t>D</w:t>
      </w:r>
      <w:r w:rsidRPr="0023337E">
        <w:t>elegate concurs</w:t>
      </w:r>
      <w:r>
        <w:t xml:space="preserve"> with the FDA’s conclusions on this subject:</w:t>
      </w:r>
      <w:r w:rsidR="00E54651">
        <w:fldChar w:fldCharType="begin"/>
      </w:r>
      <w:r w:rsidR="00E54651">
        <w:instrText xml:space="preserve"> NOTEREF _Ref53476754 \f \h </w:instrText>
      </w:r>
      <w:r w:rsidR="00E54651">
        <w:fldChar w:fldCharType="separate"/>
      </w:r>
      <w:r w:rsidR="00E54651" w:rsidRPr="007D2F65">
        <w:rPr>
          <w:rStyle w:val="FootnoteReference"/>
        </w:rPr>
        <w:t>12</w:t>
      </w:r>
      <w:r w:rsidR="00E54651">
        <w:fldChar w:fldCharType="end"/>
      </w:r>
    </w:p>
    <w:p w14:paraId="5C102FB4" w14:textId="0A92A825" w:rsidR="003C3296" w:rsidRPr="00BD1360" w:rsidRDefault="00140D98" w:rsidP="00140D98">
      <w:pPr>
        <w:ind w:left="720"/>
      </w:pPr>
      <w:r>
        <w:t>‘</w:t>
      </w:r>
      <w:r w:rsidR="003C3296" w:rsidRPr="00CB63AA">
        <w:t xml:space="preserve">Although limited, these data suggest activity in the CNS. This limited clinical data, together with nonclinical pharmacology data indicating that entrectinib crosses the blood brain barrier achieving levels that would inhibit TRK activity, support the decision not to include in product </w:t>
      </w:r>
      <w:proofErr w:type="spellStart"/>
      <w:r w:rsidR="003C3296" w:rsidRPr="00CB63AA">
        <w:t>labeling</w:t>
      </w:r>
      <w:proofErr w:type="spellEnd"/>
      <w:r w:rsidR="003C3296" w:rsidRPr="00CB63AA">
        <w:t xml:space="preserve"> a limitation of use for patients with primary CNS </w:t>
      </w:r>
      <w:proofErr w:type="spellStart"/>
      <w:r w:rsidR="003C3296" w:rsidRPr="00CB63AA">
        <w:t>tumors</w:t>
      </w:r>
      <w:proofErr w:type="spellEnd"/>
      <w:r w:rsidR="003C3296">
        <w:t>.</w:t>
      </w:r>
      <w:r>
        <w:t>’</w:t>
      </w:r>
    </w:p>
    <w:p w14:paraId="37B22D85" w14:textId="2E2D5133" w:rsidR="00430FD1" w:rsidRPr="00BD1360" w:rsidRDefault="00430FD1" w:rsidP="003B52E4">
      <w:pPr>
        <w:pStyle w:val="Heading5"/>
        <w:rPr>
          <w:color w:val="auto"/>
        </w:rPr>
      </w:pPr>
      <w:r w:rsidRPr="00BD1360">
        <w:rPr>
          <w:color w:val="auto"/>
        </w:rPr>
        <w:t>Efficacy-related conclusions</w:t>
      </w:r>
    </w:p>
    <w:p w14:paraId="5C2A00F9" w14:textId="730EF37A" w:rsidR="00507964" w:rsidRDefault="00507964" w:rsidP="00507964">
      <w:pPr>
        <w:rPr>
          <w:rFonts w:asciiTheme="minorHAnsi" w:hAnsiTheme="minorHAnsi" w:cs="Calibri"/>
          <w:lang w:eastAsia="zh-TW"/>
        </w:rPr>
      </w:pPr>
      <w:r w:rsidRPr="00BD1360">
        <w:rPr>
          <w:rFonts w:asciiTheme="minorHAnsi" w:hAnsiTheme="minorHAnsi" w:cs="Calibri"/>
          <w:lang w:eastAsia="zh-TW"/>
        </w:rPr>
        <w:t>Evidence supporting efficacy for proposed indication consists of pooled data from patients who received entrectinib at various doses (but mostly at 600 mg daily) across three single arm clinical trials. Consecutive enrolment was use</w:t>
      </w:r>
      <w:r w:rsidR="00007294" w:rsidRPr="00BD1360">
        <w:rPr>
          <w:rFonts w:asciiTheme="minorHAnsi" w:hAnsiTheme="minorHAnsi" w:cs="Calibri"/>
          <w:lang w:eastAsia="zh-TW"/>
        </w:rPr>
        <w:t>d to reduce potential for bias.</w:t>
      </w:r>
    </w:p>
    <w:p w14:paraId="52743C81" w14:textId="77777777" w:rsidR="00507964" w:rsidRDefault="00507964" w:rsidP="00CB63AA">
      <w:pPr>
        <w:pStyle w:val="Heading6"/>
        <w:rPr>
          <w:lang w:eastAsia="zh-TW"/>
        </w:rPr>
      </w:pPr>
      <w:r>
        <w:rPr>
          <w:lang w:eastAsia="zh-TW"/>
        </w:rPr>
        <w:t>ROS1 fusion-positive NSCLC</w:t>
      </w:r>
    </w:p>
    <w:p w14:paraId="5041F7DB" w14:textId="3D355B4A" w:rsidR="00507964" w:rsidRPr="007021AE" w:rsidRDefault="00507964" w:rsidP="00507964">
      <w:pPr>
        <w:rPr>
          <w:rFonts w:asciiTheme="minorHAnsi" w:hAnsiTheme="minorHAnsi" w:cs="Calibri"/>
          <w:lang w:eastAsia="zh-TW"/>
        </w:rPr>
      </w:pPr>
      <w:r>
        <w:rPr>
          <w:rFonts w:asciiTheme="minorHAnsi" w:hAnsiTheme="minorHAnsi" w:cs="Calibri"/>
          <w:lang w:eastAsia="zh-TW"/>
        </w:rPr>
        <w:t>The ROS1 Primary Analysis Set consisted of the first 51 patien</w:t>
      </w:r>
      <w:r w:rsidR="002E2BCA">
        <w:rPr>
          <w:rFonts w:asciiTheme="minorHAnsi" w:hAnsiTheme="minorHAnsi" w:cs="Calibri"/>
          <w:lang w:eastAsia="zh-TW"/>
        </w:rPr>
        <w:t xml:space="preserve">ts enrolled across three single </w:t>
      </w:r>
      <w:r>
        <w:rPr>
          <w:rFonts w:asciiTheme="minorHAnsi" w:hAnsiTheme="minorHAnsi" w:cs="Calibri"/>
          <w:lang w:eastAsia="zh-TW"/>
        </w:rPr>
        <w:t>arm clini</w:t>
      </w:r>
      <w:r w:rsidR="002E2BCA">
        <w:rPr>
          <w:rFonts w:asciiTheme="minorHAnsi" w:hAnsiTheme="minorHAnsi" w:cs="Calibri"/>
          <w:lang w:eastAsia="zh-TW"/>
        </w:rPr>
        <w:t>cal studies who had ROS1 fusion-</w:t>
      </w:r>
      <w:r>
        <w:rPr>
          <w:rFonts w:asciiTheme="minorHAnsi" w:hAnsiTheme="minorHAnsi" w:cs="Calibri"/>
          <w:lang w:eastAsia="zh-TW"/>
        </w:rPr>
        <w:t xml:space="preserve">positive NSCLC; had not previously received anti-ROS1 therapy; had a sole known </w:t>
      </w:r>
      <w:proofErr w:type="spellStart"/>
      <w:r>
        <w:rPr>
          <w:rFonts w:asciiTheme="minorHAnsi" w:hAnsiTheme="minorHAnsi" w:cs="Calibri"/>
          <w:lang w:eastAsia="zh-TW"/>
        </w:rPr>
        <w:t>oncodriver</w:t>
      </w:r>
      <w:proofErr w:type="spellEnd"/>
      <w:r>
        <w:rPr>
          <w:rFonts w:asciiTheme="minorHAnsi" w:hAnsiTheme="minorHAnsi" w:cs="Calibri"/>
          <w:lang w:eastAsia="zh-TW"/>
        </w:rPr>
        <w:t>; had measurable disease per RECIST</w:t>
      </w:r>
      <w:r w:rsidR="00A4213A">
        <w:rPr>
          <w:rFonts w:asciiTheme="minorHAnsi" w:hAnsiTheme="minorHAnsi" w:cs="Calibri"/>
          <w:lang w:eastAsia="zh-TW"/>
        </w:rPr>
        <w:t>;</w:t>
      </w:r>
      <w:r w:rsidR="00A4213A">
        <w:rPr>
          <w:rFonts w:asciiTheme="minorHAnsi" w:hAnsiTheme="minorHAnsi" w:cs="Calibri"/>
          <w:lang w:eastAsia="zh-TW"/>
        </w:rPr>
        <w:fldChar w:fldCharType="begin"/>
      </w:r>
      <w:r w:rsidR="00A4213A">
        <w:rPr>
          <w:rFonts w:asciiTheme="minorHAnsi" w:hAnsiTheme="minorHAnsi" w:cs="Calibri"/>
          <w:lang w:eastAsia="zh-TW"/>
        </w:rPr>
        <w:instrText xml:space="preserve"> NOTEREF _Ref52176997 \f \h </w:instrText>
      </w:r>
      <w:r w:rsidR="00A4213A">
        <w:rPr>
          <w:rFonts w:asciiTheme="minorHAnsi" w:hAnsiTheme="minorHAnsi" w:cs="Calibri"/>
          <w:lang w:eastAsia="zh-TW"/>
        </w:rPr>
      </w:r>
      <w:r w:rsidR="00A4213A">
        <w:rPr>
          <w:rFonts w:asciiTheme="minorHAnsi" w:hAnsiTheme="minorHAnsi" w:cs="Calibri"/>
          <w:lang w:eastAsia="zh-TW"/>
        </w:rPr>
        <w:fldChar w:fldCharType="separate"/>
      </w:r>
      <w:r w:rsidR="005743D8" w:rsidRPr="005743D8">
        <w:rPr>
          <w:rStyle w:val="FootnoteReference"/>
        </w:rPr>
        <w:t>19</w:t>
      </w:r>
      <w:r w:rsidR="00A4213A">
        <w:rPr>
          <w:rFonts w:asciiTheme="minorHAnsi" w:hAnsiTheme="minorHAnsi" w:cs="Calibri"/>
          <w:lang w:eastAsia="zh-TW"/>
        </w:rPr>
        <w:fldChar w:fldCharType="end"/>
      </w:r>
      <w:r>
        <w:rPr>
          <w:rFonts w:asciiTheme="minorHAnsi" w:hAnsiTheme="minorHAnsi" w:cs="Calibri"/>
          <w:lang w:eastAsia="zh-TW"/>
        </w:rPr>
        <w:t xml:space="preserve"> v1.1; had an ECOG PS no higher than 2; and had at least 12 months of follow-up from the first post</w:t>
      </w:r>
      <w:r w:rsidR="00007294">
        <w:rPr>
          <w:rFonts w:asciiTheme="minorHAnsi" w:hAnsiTheme="minorHAnsi" w:cs="Calibri"/>
          <w:lang w:eastAsia="zh-TW"/>
        </w:rPr>
        <w:t>-treatment tumour assessment.</w:t>
      </w:r>
    </w:p>
    <w:p w14:paraId="0DCE61FB" w14:textId="77777777" w:rsidR="00507964" w:rsidRPr="007E4F92" w:rsidRDefault="00507964" w:rsidP="00507964">
      <w:pPr>
        <w:rPr>
          <w:rFonts w:asciiTheme="minorHAnsi" w:hAnsiTheme="minorHAnsi" w:cs="Calibri"/>
          <w:lang w:eastAsia="zh-TW"/>
        </w:rPr>
      </w:pPr>
      <w:r>
        <w:rPr>
          <w:rFonts w:asciiTheme="minorHAnsi" w:hAnsiTheme="minorHAnsi" w:cs="Calibri"/>
          <w:lang w:eastAsia="zh-TW"/>
        </w:rPr>
        <w:t>A</w:t>
      </w:r>
      <w:r w:rsidRPr="007021AE">
        <w:rPr>
          <w:rFonts w:asciiTheme="minorHAnsi" w:hAnsiTheme="minorHAnsi" w:cs="Calibri"/>
          <w:lang w:eastAsia="zh-TW"/>
        </w:rPr>
        <w:t xml:space="preserve"> large, clinically meaningful, and durable confirmed ORR per BICR was demonstrated.</w:t>
      </w:r>
      <w:r>
        <w:rPr>
          <w:rFonts w:asciiTheme="minorHAnsi" w:hAnsiTheme="minorHAnsi" w:cs="Calibri"/>
          <w:lang w:eastAsia="zh-TW"/>
        </w:rPr>
        <w:t xml:space="preserve"> The </w:t>
      </w:r>
      <w:r w:rsidRPr="007E4F92">
        <w:rPr>
          <w:rFonts w:asciiTheme="minorHAnsi" w:hAnsiTheme="minorHAnsi" w:cs="Calibri"/>
          <w:lang w:eastAsia="zh-TW"/>
        </w:rPr>
        <w:t>ORR (95% CI) was 78% (65%, 89%)</w:t>
      </w:r>
      <w:r>
        <w:rPr>
          <w:rFonts w:asciiTheme="minorHAnsi" w:hAnsiTheme="minorHAnsi" w:cs="Calibri"/>
          <w:lang w:eastAsia="zh-TW"/>
        </w:rPr>
        <w:t>. There was a CR rate of 6% and a PR rate of 73%. The m</w:t>
      </w:r>
      <w:r w:rsidRPr="007E4F92">
        <w:rPr>
          <w:rFonts w:asciiTheme="minorHAnsi" w:hAnsiTheme="minorHAnsi" w:cs="Calibri"/>
          <w:lang w:eastAsia="zh-TW"/>
        </w:rPr>
        <w:t>edian DOR (95% CI) was 15.7 months (11.4, 34.8) with minimum 12 months follow up</w:t>
      </w:r>
      <w:r>
        <w:rPr>
          <w:rFonts w:asciiTheme="minorHAnsi" w:hAnsiTheme="minorHAnsi" w:cs="Calibri"/>
          <w:lang w:eastAsia="zh-TW"/>
        </w:rPr>
        <w:t>.</w:t>
      </w:r>
      <w:r w:rsidRPr="00B872BD">
        <w:rPr>
          <w:rFonts w:asciiTheme="minorHAnsi" w:hAnsiTheme="minorHAnsi" w:cs="Calibri"/>
          <w:lang w:eastAsia="zh-TW"/>
        </w:rPr>
        <w:t xml:space="preserve"> </w:t>
      </w:r>
      <w:r>
        <w:rPr>
          <w:rFonts w:asciiTheme="minorHAnsi" w:hAnsiTheme="minorHAnsi" w:cs="Calibri"/>
          <w:lang w:eastAsia="zh-TW"/>
        </w:rPr>
        <w:t xml:space="preserve">At a data cut-off date of 31 Oct 2018, 75% of responses had lasted at least 6 months, </w:t>
      </w:r>
      <w:r w:rsidRPr="00AA0C7B">
        <w:rPr>
          <w:rFonts w:asciiTheme="minorHAnsi" w:hAnsiTheme="minorHAnsi" w:cs="Calibri"/>
          <w:lang w:eastAsia="zh-TW"/>
        </w:rPr>
        <w:t xml:space="preserve">and </w:t>
      </w:r>
      <w:r>
        <w:rPr>
          <w:rFonts w:asciiTheme="minorHAnsi" w:hAnsiTheme="minorHAnsi" w:cs="Calibri"/>
          <w:lang w:eastAsia="zh-TW"/>
        </w:rPr>
        <w:t>5</w:t>
      </w:r>
      <w:r w:rsidRPr="00AA0C7B">
        <w:rPr>
          <w:rFonts w:asciiTheme="minorHAnsi" w:hAnsiTheme="minorHAnsi" w:cs="Calibri"/>
          <w:lang w:eastAsia="zh-TW"/>
        </w:rPr>
        <w:t xml:space="preserve">5% of responses </w:t>
      </w:r>
      <w:r>
        <w:rPr>
          <w:rFonts w:asciiTheme="minorHAnsi" w:hAnsiTheme="minorHAnsi" w:cs="Calibri"/>
          <w:lang w:eastAsia="zh-TW"/>
        </w:rPr>
        <w:t>had lasted at least</w:t>
      </w:r>
      <w:r w:rsidRPr="00AA0C7B">
        <w:rPr>
          <w:rFonts w:asciiTheme="minorHAnsi" w:hAnsiTheme="minorHAnsi" w:cs="Calibri"/>
          <w:lang w:eastAsia="zh-TW"/>
        </w:rPr>
        <w:t xml:space="preserve"> 12 </w:t>
      </w:r>
      <w:r>
        <w:rPr>
          <w:rFonts w:asciiTheme="minorHAnsi" w:hAnsiTheme="minorHAnsi" w:cs="Calibri"/>
          <w:lang w:eastAsia="zh-TW"/>
        </w:rPr>
        <w:t>months.</w:t>
      </w:r>
    </w:p>
    <w:p w14:paraId="4191905B" w14:textId="50309893" w:rsidR="00507964" w:rsidRDefault="00507964" w:rsidP="00507964">
      <w:pPr>
        <w:rPr>
          <w:rFonts w:asciiTheme="minorHAnsi" w:hAnsiTheme="minorHAnsi" w:cs="Calibri"/>
          <w:lang w:eastAsia="zh-TW"/>
        </w:rPr>
      </w:pPr>
      <w:r>
        <w:rPr>
          <w:rFonts w:asciiTheme="minorHAnsi" w:hAnsiTheme="minorHAnsi" w:cs="Calibri"/>
          <w:lang w:eastAsia="zh-TW"/>
        </w:rPr>
        <w:t>Although subgroups are small, response rates were consistent between patients who had not received previous (non-anti-ROS1) systemic therapy for metast</w:t>
      </w:r>
      <w:r w:rsidR="00007294">
        <w:rPr>
          <w:rFonts w:asciiTheme="minorHAnsi" w:hAnsiTheme="minorHAnsi" w:cs="Calibri"/>
          <w:lang w:eastAsia="zh-TW"/>
        </w:rPr>
        <w:t>atic disease and those who had.</w:t>
      </w:r>
    </w:p>
    <w:p w14:paraId="085BD96A" w14:textId="3018A8FC" w:rsidR="00507964" w:rsidRDefault="00507964" w:rsidP="00507964">
      <w:pPr>
        <w:rPr>
          <w:rFonts w:asciiTheme="minorHAnsi" w:hAnsiTheme="minorHAnsi" w:cs="Calibri"/>
          <w:lang w:eastAsia="zh-TW"/>
        </w:rPr>
      </w:pPr>
      <w:r>
        <w:rPr>
          <w:rFonts w:asciiTheme="minorHAnsi" w:hAnsiTheme="minorHAnsi" w:cs="Calibri"/>
          <w:lang w:eastAsia="zh-TW"/>
        </w:rPr>
        <w:t>The rarity of ROS1 fusion-positive NSCLC renders randomised trials in this populat</w:t>
      </w:r>
      <w:r w:rsidR="002E2BCA">
        <w:rPr>
          <w:rFonts w:asciiTheme="minorHAnsi" w:hAnsiTheme="minorHAnsi" w:cs="Calibri"/>
          <w:lang w:eastAsia="zh-TW"/>
        </w:rPr>
        <w:t xml:space="preserve">ion infeasible. The single </w:t>
      </w:r>
      <w:r>
        <w:rPr>
          <w:rFonts w:asciiTheme="minorHAnsi" w:hAnsiTheme="minorHAnsi" w:cs="Calibri"/>
          <w:lang w:eastAsia="zh-TW"/>
        </w:rPr>
        <w:t>arm design and size limitations of this dataset are therefore acceptable. To determine whether efficacy is comparable to available therapies, cross-</w:t>
      </w:r>
      <w:r w:rsidR="00007294">
        <w:rPr>
          <w:rFonts w:asciiTheme="minorHAnsi" w:hAnsiTheme="minorHAnsi" w:cs="Calibri"/>
          <w:lang w:eastAsia="zh-TW"/>
        </w:rPr>
        <w:t>trial comparison is undertaken.</w:t>
      </w:r>
    </w:p>
    <w:p w14:paraId="46B06FA1" w14:textId="255E170E" w:rsidR="00507964" w:rsidRDefault="00507964" w:rsidP="00507964">
      <w:pPr>
        <w:rPr>
          <w:rFonts w:asciiTheme="minorHAnsi" w:hAnsiTheme="minorHAnsi" w:cs="Calibri"/>
          <w:lang w:eastAsia="zh-TW"/>
        </w:rPr>
      </w:pPr>
      <w:proofErr w:type="spellStart"/>
      <w:r>
        <w:rPr>
          <w:rFonts w:asciiTheme="minorHAnsi" w:hAnsiTheme="minorHAnsi" w:cs="Calibri"/>
          <w:lang w:eastAsia="zh-TW"/>
        </w:rPr>
        <w:t>Crizotinib</w:t>
      </w:r>
      <w:proofErr w:type="spellEnd"/>
      <w:r>
        <w:rPr>
          <w:rFonts w:asciiTheme="minorHAnsi" w:hAnsiTheme="minorHAnsi" w:cs="Calibri"/>
          <w:lang w:eastAsia="zh-TW"/>
        </w:rPr>
        <w:t xml:space="preserve"> is the only therapy registered specifically for ROS1-positive NSCLC, and this indication was registered based on single arm data (n</w:t>
      </w:r>
      <w:r w:rsidR="00BF7C39">
        <w:rPr>
          <w:rFonts w:asciiTheme="minorHAnsi" w:hAnsiTheme="minorHAnsi" w:cs="Calibri"/>
          <w:lang w:eastAsia="zh-TW"/>
        </w:rPr>
        <w:t xml:space="preserve"> </w:t>
      </w:r>
      <w:r>
        <w:rPr>
          <w:rFonts w:asciiTheme="minorHAnsi" w:hAnsiTheme="minorHAnsi" w:cs="Calibri"/>
          <w:lang w:eastAsia="zh-TW"/>
        </w:rPr>
        <w:t>=</w:t>
      </w:r>
      <w:r w:rsidR="00BF7C39">
        <w:rPr>
          <w:rFonts w:asciiTheme="minorHAnsi" w:hAnsiTheme="minorHAnsi" w:cs="Calibri"/>
          <w:lang w:eastAsia="zh-TW"/>
        </w:rPr>
        <w:t xml:space="preserve"> </w:t>
      </w:r>
      <w:r>
        <w:rPr>
          <w:rFonts w:asciiTheme="minorHAnsi" w:hAnsiTheme="minorHAnsi" w:cs="Calibri"/>
          <w:lang w:eastAsia="zh-TW"/>
        </w:rPr>
        <w:t xml:space="preserve">53). The response rate and proportion of responders with at least 12 months response duration for entrectinib are comparable </w:t>
      </w:r>
      <w:r w:rsidRPr="003C66C1">
        <w:rPr>
          <w:rFonts w:asciiTheme="minorHAnsi" w:hAnsiTheme="minorHAnsi" w:cs="Calibri"/>
          <w:lang w:eastAsia="zh-TW"/>
        </w:rPr>
        <w:t xml:space="preserve">to those seen for </w:t>
      </w:r>
      <w:proofErr w:type="spellStart"/>
      <w:r w:rsidRPr="003C66C1">
        <w:rPr>
          <w:rFonts w:asciiTheme="minorHAnsi" w:hAnsiTheme="minorHAnsi" w:cs="Calibri"/>
          <w:lang w:eastAsia="zh-TW"/>
        </w:rPr>
        <w:t>crizotinib</w:t>
      </w:r>
      <w:proofErr w:type="spellEnd"/>
      <w:r w:rsidRPr="003C66C1">
        <w:rPr>
          <w:rFonts w:asciiTheme="minorHAnsi" w:hAnsiTheme="minorHAnsi" w:cs="Calibri"/>
          <w:lang w:eastAsia="zh-TW"/>
        </w:rPr>
        <w:t xml:space="preserve"> for the treatment of </w:t>
      </w:r>
      <w:r>
        <w:rPr>
          <w:rFonts w:asciiTheme="minorHAnsi" w:hAnsiTheme="minorHAnsi" w:cs="Calibri"/>
          <w:lang w:eastAsia="zh-TW"/>
        </w:rPr>
        <w:t>ROS1 fusion</w:t>
      </w:r>
      <w:r w:rsidR="00A77796">
        <w:rPr>
          <w:rFonts w:asciiTheme="minorHAnsi" w:hAnsiTheme="minorHAnsi" w:cs="Calibri"/>
          <w:lang w:eastAsia="zh-TW"/>
        </w:rPr>
        <w:t xml:space="preserve"> </w:t>
      </w:r>
      <w:r>
        <w:rPr>
          <w:rFonts w:asciiTheme="minorHAnsi" w:hAnsiTheme="minorHAnsi" w:cs="Calibri"/>
          <w:lang w:eastAsia="zh-TW"/>
        </w:rPr>
        <w:t xml:space="preserve">positive NSCLC </w:t>
      </w:r>
      <w:r w:rsidR="00E54651">
        <w:rPr>
          <w:rFonts w:asciiTheme="minorHAnsi" w:hAnsiTheme="minorHAnsi" w:cs="Calibri"/>
          <w:lang w:eastAsia="zh-TW"/>
        </w:rPr>
        <w:t>(</w:t>
      </w:r>
      <w:r>
        <w:rPr>
          <w:rFonts w:asciiTheme="minorHAnsi" w:hAnsiTheme="minorHAnsi" w:cs="Calibri"/>
          <w:lang w:eastAsia="zh-TW"/>
        </w:rPr>
        <w:t>n</w:t>
      </w:r>
      <w:r w:rsidR="00BF7C39">
        <w:rPr>
          <w:rFonts w:asciiTheme="minorHAnsi" w:hAnsiTheme="minorHAnsi" w:cs="Calibri"/>
          <w:lang w:eastAsia="zh-TW"/>
        </w:rPr>
        <w:t xml:space="preserve"> </w:t>
      </w:r>
      <w:r>
        <w:rPr>
          <w:rFonts w:asciiTheme="minorHAnsi" w:hAnsiTheme="minorHAnsi" w:cs="Calibri"/>
          <w:lang w:eastAsia="zh-TW"/>
        </w:rPr>
        <w:t>=</w:t>
      </w:r>
      <w:r w:rsidR="00BF7C39">
        <w:rPr>
          <w:rFonts w:asciiTheme="minorHAnsi" w:hAnsiTheme="minorHAnsi" w:cs="Calibri"/>
          <w:lang w:eastAsia="zh-TW"/>
        </w:rPr>
        <w:t xml:space="preserve"> </w:t>
      </w:r>
      <w:r>
        <w:rPr>
          <w:rFonts w:asciiTheme="minorHAnsi" w:hAnsiTheme="minorHAnsi" w:cs="Calibri"/>
          <w:lang w:eastAsia="zh-TW"/>
        </w:rPr>
        <w:t>53</w:t>
      </w:r>
      <w:r w:rsidR="00E54651">
        <w:rPr>
          <w:rFonts w:asciiTheme="minorHAnsi" w:hAnsiTheme="minorHAnsi" w:cs="Calibri"/>
          <w:lang w:eastAsia="zh-TW"/>
        </w:rPr>
        <w:t>)</w:t>
      </w:r>
      <w:r w:rsidR="00937FF5">
        <w:rPr>
          <w:rFonts w:asciiTheme="minorHAnsi" w:hAnsiTheme="minorHAnsi" w:cs="Calibri"/>
          <w:lang w:eastAsia="zh-TW"/>
        </w:rPr>
        <w:t xml:space="preserve">. </w:t>
      </w:r>
      <w:r w:rsidRPr="003C66C1">
        <w:rPr>
          <w:rFonts w:asciiTheme="minorHAnsi" w:hAnsiTheme="minorHAnsi" w:cs="Calibri"/>
          <w:lang w:eastAsia="zh-TW"/>
        </w:rPr>
        <w:t xml:space="preserve">Intracranial activity has not been demonstrated for </w:t>
      </w:r>
      <w:proofErr w:type="spellStart"/>
      <w:r w:rsidRPr="003C66C1">
        <w:rPr>
          <w:rFonts w:asciiTheme="minorHAnsi" w:hAnsiTheme="minorHAnsi" w:cs="Calibri"/>
          <w:lang w:eastAsia="zh-TW"/>
        </w:rPr>
        <w:t>crizotinib</w:t>
      </w:r>
      <w:proofErr w:type="spellEnd"/>
      <w:r w:rsidRPr="003C66C1">
        <w:rPr>
          <w:rFonts w:asciiTheme="minorHAnsi" w:hAnsiTheme="minorHAnsi" w:cs="Calibri"/>
          <w:lang w:eastAsia="zh-TW"/>
        </w:rPr>
        <w:t xml:space="preserve"> and the most common site of progression on </w:t>
      </w:r>
      <w:proofErr w:type="spellStart"/>
      <w:r w:rsidRPr="003C66C1">
        <w:rPr>
          <w:rFonts w:asciiTheme="minorHAnsi" w:hAnsiTheme="minorHAnsi" w:cs="Calibri"/>
          <w:lang w:eastAsia="zh-TW"/>
        </w:rPr>
        <w:t>crizotinib</w:t>
      </w:r>
      <w:proofErr w:type="spellEnd"/>
      <w:r w:rsidRPr="003C66C1">
        <w:rPr>
          <w:rFonts w:asciiTheme="minorHAnsi" w:hAnsiTheme="minorHAnsi" w:cs="Calibri"/>
          <w:lang w:eastAsia="zh-TW"/>
        </w:rPr>
        <w:t xml:space="preserve"> is the CNS. Of seven patients with measurable CNS metastases at </w:t>
      </w:r>
      <w:r w:rsidR="00E01317">
        <w:rPr>
          <w:rFonts w:asciiTheme="minorHAnsi" w:hAnsiTheme="minorHAnsi" w:cs="Calibri"/>
          <w:lang w:eastAsia="zh-TW"/>
        </w:rPr>
        <w:t>Baseline</w:t>
      </w:r>
      <w:r w:rsidRPr="003C66C1">
        <w:rPr>
          <w:rFonts w:asciiTheme="minorHAnsi" w:hAnsiTheme="minorHAnsi" w:cs="Calibri"/>
          <w:lang w:eastAsia="zh-TW"/>
        </w:rPr>
        <w:t xml:space="preserve"> per BICR who had not received radiation to the brain within two months of their first dose of entrectinib, five had a confirmed response. Although the sample size necessitates caution over the precision of the point estimate, this pre</w:t>
      </w:r>
      <w:r w:rsidR="00827BFF">
        <w:rPr>
          <w:rFonts w:asciiTheme="minorHAnsi" w:hAnsiTheme="minorHAnsi" w:cs="Calibri"/>
          <w:lang w:eastAsia="zh-TW"/>
        </w:rPr>
        <w:t>-</w:t>
      </w:r>
      <w:r w:rsidRPr="003C66C1">
        <w:rPr>
          <w:rFonts w:asciiTheme="minorHAnsi" w:hAnsiTheme="minorHAnsi" w:cs="Calibri"/>
          <w:lang w:eastAsia="zh-TW"/>
        </w:rPr>
        <w:t xml:space="preserve">specified descriptive analysis indicates intracranial activity of entrectinib in humans, </w:t>
      </w:r>
      <w:r>
        <w:rPr>
          <w:rFonts w:asciiTheme="minorHAnsi" w:hAnsiTheme="minorHAnsi" w:cs="Calibri"/>
          <w:lang w:eastAsia="zh-TW"/>
        </w:rPr>
        <w:t>and is supported by</w:t>
      </w:r>
      <w:r w:rsidRPr="003C66C1">
        <w:rPr>
          <w:rFonts w:asciiTheme="minorHAnsi" w:hAnsiTheme="minorHAnsi" w:cs="Calibri"/>
          <w:lang w:eastAsia="zh-TW"/>
        </w:rPr>
        <w:t xml:space="preserve"> precl</w:t>
      </w:r>
      <w:r w:rsidR="00007294">
        <w:rPr>
          <w:rFonts w:asciiTheme="minorHAnsi" w:hAnsiTheme="minorHAnsi" w:cs="Calibri"/>
          <w:lang w:eastAsia="zh-TW"/>
        </w:rPr>
        <w:t>inical findings.</w:t>
      </w:r>
    </w:p>
    <w:p w14:paraId="79B74F33" w14:textId="25A7404A" w:rsidR="00507964" w:rsidRDefault="00507964" w:rsidP="00507964">
      <w:pPr>
        <w:rPr>
          <w:rFonts w:asciiTheme="minorHAnsi" w:hAnsiTheme="minorHAnsi" w:cs="Calibri"/>
          <w:lang w:eastAsia="zh-TW"/>
        </w:rPr>
      </w:pPr>
      <w:r>
        <w:rPr>
          <w:rFonts w:asciiTheme="minorHAnsi" w:hAnsiTheme="minorHAnsi" w:cs="Calibri"/>
          <w:lang w:eastAsia="zh-TW"/>
        </w:rPr>
        <w:t>For patients in whom testing for targetable mutations is negative or not available, the preferred first-line treatment is an anti-</w:t>
      </w:r>
      <w:r w:rsidR="00827BFF">
        <w:t>p</w:t>
      </w:r>
      <w:r w:rsidR="00827BFF" w:rsidRPr="00827BFF">
        <w:rPr>
          <w:rFonts w:asciiTheme="minorHAnsi" w:hAnsiTheme="minorHAnsi" w:cs="Calibri"/>
          <w:lang w:eastAsia="zh-TW"/>
        </w:rPr>
        <w:t xml:space="preserve">rogrammed death-ligand 1 </w:t>
      </w:r>
      <w:r w:rsidR="00827BFF">
        <w:rPr>
          <w:rFonts w:asciiTheme="minorHAnsi" w:hAnsiTheme="minorHAnsi" w:cs="Calibri"/>
          <w:lang w:eastAsia="zh-TW"/>
        </w:rPr>
        <w:t>(</w:t>
      </w:r>
      <w:r>
        <w:rPr>
          <w:rFonts w:asciiTheme="minorHAnsi" w:hAnsiTheme="minorHAnsi" w:cs="Calibri"/>
          <w:lang w:eastAsia="zh-TW"/>
        </w:rPr>
        <w:t>PD-L1</w:t>
      </w:r>
      <w:r w:rsidR="00827BFF">
        <w:rPr>
          <w:rFonts w:asciiTheme="minorHAnsi" w:hAnsiTheme="minorHAnsi" w:cs="Calibri"/>
          <w:lang w:eastAsia="zh-TW"/>
        </w:rPr>
        <w:t>)</w:t>
      </w:r>
      <w:r>
        <w:rPr>
          <w:rFonts w:asciiTheme="minorHAnsi" w:hAnsiTheme="minorHAnsi" w:cs="Calibri"/>
          <w:lang w:eastAsia="zh-TW"/>
        </w:rPr>
        <w:t xml:space="preserve"> agent plus chemotherapy. The response rate reported for entrectinib in the ROS1 Primary Analysis Set had a lower 95% confidence bound of 65% according to the FDA analysis. This is higher than the response rates observed in ROS1</w:t>
      </w:r>
      <w:r w:rsidR="00827BFF">
        <w:rPr>
          <w:rFonts w:asciiTheme="minorHAnsi" w:hAnsiTheme="minorHAnsi" w:cs="Calibri"/>
          <w:lang w:eastAsia="zh-TW"/>
        </w:rPr>
        <w:t xml:space="preserve"> </w:t>
      </w:r>
      <w:r>
        <w:rPr>
          <w:rFonts w:asciiTheme="minorHAnsi" w:hAnsiTheme="minorHAnsi" w:cs="Calibri"/>
          <w:lang w:eastAsia="zh-TW"/>
        </w:rPr>
        <w:t>agnostic NSCLC populations treated with preferred first-</w:t>
      </w:r>
      <w:r w:rsidRPr="00181714">
        <w:rPr>
          <w:rFonts w:asciiTheme="minorHAnsi" w:hAnsiTheme="minorHAnsi" w:cs="Calibri"/>
          <w:lang w:eastAsia="zh-TW"/>
        </w:rPr>
        <w:t>line therapy</w:t>
      </w:r>
      <w:r>
        <w:rPr>
          <w:rFonts w:asciiTheme="minorHAnsi" w:hAnsiTheme="minorHAnsi" w:cs="Calibri"/>
          <w:lang w:eastAsia="zh-TW"/>
        </w:rPr>
        <w:t xml:space="preserve">, </w:t>
      </w:r>
      <w:r w:rsidR="0023337E">
        <w:rPr>
          <w:rFonts w:asciiTheme="minorHAnsi" w:hAnsiTheme="minorHAnsi" w:cs="Calibri"/>
          <w:lang w:eastAsia="zh-TW"/>
        </w:rPr>
        <w:t xml:space="preserve">for example </w:t>
      </w:r>
      <w:r>
        <w:rPr>
          <w:rFonts w:asciiTheme="minorHAnsi" w:hAnsiTheme="minorHAnsi" w:cs="Calibri"/>
          <w:lang w:eastAsia="zh-TW"/>
        </w:rPr>
        <w:t>anti-PD-L1 therapy with or without concurrent chemotherapy,</w:t>
      </w:r>
      <w:r w:rsidRPr="00181714">
        <w:rPr>
          <w:rFonts w:asciiTheme="minorHAnsi" w:hAnsiTheme="minorHAnsi" w:cs="Calibri"/>
          <w:lang w:eastAsia="zh-TW"/>
        </w:rPr>
        <w:t xml:space="preserve"> in other trials (48% to 58%, see</w:t>
      </w:r>
      <w:r w:rsidR="009E4A93">
        <w:rPr>
          <w:rFonts w:asciiTheme="minorHAnsi" w:hAnsiTheme="minorHAnsi" w:cs="Calibri"/>
          <w:lang w:eastAsia="zh-TW"/>
        </w:rPr>
        <w:t xml:space="preserve"> </w:t>
      </w:r>
      <w:r w:rsidR="009E4A93">
        <w:rPr>
          <w:rFonts w:asciiTheme="minorHAnsi" w:hAnsiTheme="minorHAnsi" w:cs="Calibri"/>
          <w:lang w:eastAsia="zh-TW"/>
        </w:rPr>
        <w:fldChar w:fldCharType="begin"/>
      </w:r>
      <w:r w:rsidR="009E4A93">
        <w:rPr>
          <w:rFonts w:asciiTheme="minorHAnsi" w:hAnsiTheme="minorHAnsi" w:cs="Calibri"/>
          <w:lang w:eastAsia="zh-TW"/>
        </w:rPr>
        <w:instrText xml:space="preserve"> REF _Ref51226367 \h </w:instrText>
      </w:r>
      <w:r w:rsidR="009E4A93">
        <w:rPr>
          <w:rFonts w:asciiTheme="minorHAnsi" w:hAnsiTheme="minorHAnsi" w:cs="Calibri"/>
          <w:lang w:eastAsia="zh-TW"/>
        </w:rPr>
      </w:r>
      <w:r w:rsidR="009E4A93">
        <w:rPr>
          <w:rFonts w:asciiTheme="minorHAnsi" w:hAnsiTheme="minorHAnsi" w:cs="Calibri"/>
          <w:lang w:eastAsia="zh-TW"/>
        </w:rPr>
        <w:fldChar w:fldCharType="separate"/>
      </w:r>
      <w:r w:rsidR="005743D8" w:rsidRPr="009E4A93">
        <w:t xml:space="preserve">Table </w:t>
      </w:r>
      <w:r w:rsidR="005743D8">
        <w:rPr>
          <w:noProof/>
        </w:rPr>
        <w:t>16</w:t>
      </w:r>
      <w:r w:rsidR="009E4A93">
        <w:rPr>
          <w:rFonts w:asciiTheme="minorHAnsi" w:hAnsiTheme="minorHAnsi" w:cs="Calibri"/>
          <w:lang w:eastAsia="zh-TW"/>
        </w:rPr>
        <w:fldChar w:fldCharType="end"/>
      </w:r>
      <w:r w:rsidR="009E4A93">
        <w:rPr>
          <w:rFonts w:asciiTheme="minorHAnsi" w:hAnsiTheme="minorHAnsi" w:cs="Calibri"/>
          <w:lang w:eastAsia="zh-TW"/>
        </w:rPr>
        <w:t>).</w:t>
      </w:r>
    </w:p>
    <w:p w14:paraId="53FF6424" w14:textId="4568E453" w:rsidR="009E4A93" w:rsidRDefault="009E4A93" w:rsidP="009E4A93">
      <w:pPr>
        <w:pStyle w:val="TableTitle"/>
        <w:rPr>
          <w:rFonts w:asciiTheme="minorHAnsi" w:hAnsiTheme="minorHAnsi" w:cs="Calibri"/>
          <w:lang w:eastAsia="zh-TW"/>
        </w:rPr>
      </w:pPr>
      <w:bookmarkStart w:id="61" w:name="_Ref51226367"/>
      <w:r w:rsidRPr="009E4A93">
        <w:lastRenderedPageBreak/>
        <w:t xml:space="preserve">Table </w:t>
      </w:r>
      <w:fldSimple w:instr=" SEQ Table \* ARABIC ">
        <w:r w:rsidR="009B407B">
          <w:rPr>
            <w:noProof/>
          </w:rPr>
          <w:t>20</w:t>
        </w:r>
      </w:fldSimple>
      <w:bookmarkEnd w:id="61"/>
      <w:r w:rsidR="00827BFF">
        <w:rPr>
          <w:noProof/>
        </w:rPr>
        <w:t>:</w:t>
      </w:r>
      <w:r>
        <w:t xml:space="preserve"> Summary of response rates and durations seen with current preferred </w:t>
      </w:r>
      <w:r w:rsidR="008576DF">
        <w:t>first-line treatments for first-</w:t>
      </w:r>
      <w:r>
        <w:t xml:space="preserve">line </w:t>
      </w:r>
      <w:r w:rsidR="00827BFF">
        <w:t>non-small cell lung cancer</w:t>
      </w:r>
      <w:r>
        <w:t>, whe</w:t>
      </w:r>
      <w:r w:rsidR="00BA7D8A">
        <w:t>re driver mutations are unknown</w:t>
      </w:r>
    </w:p>
    <w:tbl>
      <w:tblPr>
        <w:tblStyle w:val="TableTGAblue"/>
        <w:tblW w:w="0" w:type="auto"/>
        <w:tblLook w:val="04A0" w:firstRow="1" w:lastRow="0" w:firstColumn="1" w:lastColumn="0" w:noHBand="0" w:noVBand="1"/>
      </w:tblPr>
      <w:tblGrid>
        <w:gridCol w:w="2056"/>
        <w:gridCol w:w="2030"/>
        <w:gridCol w:w="1962"/>
        <w:gridCol w:w="2436"/>
      </w:tblGrid>
      <w:tr w:rsidR="009E4A93" w14:paraId="3FEE68F9" w14:textId="77777777" w:rsidTr="00017B2C">
        <w:trPr>
          <w:cnfStyle w:val="100000000000" w:firstRow="1" w:lastRow="0" w:firstColumn="0" w:lastColumn="0" w:oddVBand="0" w:evenVBand="0" w:oddHBand="0" w:evenHBand="0" w:firstRowFirstColumn="0" w:firstRowLastColumn="0" w:lastRowFirstColumn="0" w:lastRowLastColumn="0"/>
        </w:trPr>
        <w:tc>
          <w:tcPr>
            <w:tcW w:w="2121" w:type="dxa"/>
          </w:tcPr>
          <w:p w14:paraId="12677053" w14:textId="77777777" w:rsidR="009E4A93" w:rsidRPr="005A1A00" w:rsidRDefault="009E4A93" w:rsidP="009E4A93">
            <w:pPr>
              <w:pStyle w:val="Tabletext"/>
              <w:rPr>
                <w:rFonts w:asciiTheme="minorHAnsi" w:hAnsiTheme="minorHAnsi" w:cs="Calibri"/>
                <w:b w:val="0"/>
              </w:rPr>
            </w:pPr>
          </w:p>
        </w:tc>
        <w:tc>
          <w:tcPr>
            <w:tcW w:w="1839" w:type="dxa"/>
          </w:tcPr>
          <w:p w14:paraId="254CCEE9" w14:textId="77777777" w:rsidR="009E4A93" w:rsidRPr="005A1A00" w:rsidRDefault="009E4A93" w:rsidP="009E4A93">
            <w:pPr>
              <w:pStyle w:val="Tabletext"/>
              <w:jc w:val="center"/>
              <w:rPr>
                <w:rFonts w:asciiTheme="minorHAnsi" w:hAnsiTheme="minorHAnsi" w:cs="Calibri"/>
                <w:b w:val="0"/>
              </w:rPr>
            </w:pPr>
            <w:r w:rsidRPr="005A1A00">
              <w:rPr>
                <w:rFonts w:asciiTheme="minorHAnsi" w:hAnsiTheme="minorHAnsi" w:cs="Calibri"/>
              </w:rPr>
              <w:t>KEYNOTE-189</w:t>
            </w:r>
          </w:p>
        </w:tc>
        <w:tc>
          <w:tcPr>
            <w:tcW w:w="1983" w:type="dxa"/>
          </w:tcPr>
          <w:p w14:paraId="0EAA8150" w14:textId="77777777" w:rsidR="009E4A93" w:rsidRPr="005A1A00" w:rsidRDefault="009E4A93" w:rsidP="009E4A93">
            <w:pPr>
              <w:pStyle w:val="Tabletext"/>
              <w:jc w:val="center"/>
              <w:rPr>
                <w:rFonts w:asciiTheme="minorHAnsi" w:hAnsiTheme="minorHAnsi" w:cs="Calibri"/>
                <w:b w:val="0"/>
              </w:rPr>
            </w:pPr>
            <w:r w:rsidRPr="005A1A00">
              <w:rPr>
                <w:rFonts w:asciiTheme="minorHAnsi" w:hAnsiTheme="minorHAnsi" w:cs="Calibri"/>
              </w:rPr>
              <w:t>K</w:t>
            </w:r>
            <w:r>
              <w:rPr>
                <w:rFonts w:asciiTheme="minorHAnsi" w:hAnsiTheme="minorHAnsi" w:cs="Calibri"/>
              </w:rPr>
              <w:t>EYNOTE</w:t>
            </w:r>
            <w:r w:rsidRPr="005A1A00">
              <w:rPr>
                <w:rFonts w:asciiTheme="minorHAnsi" w:hAnsiTheme="minorHAnsi" w:cs="Calibri"/>
              </w:rPr>
              <w:t>-407</w:t>
            </w:r>
          </w:p>
        </w:tc>
        <w:tc>
          <w:tcPr>
            <w:tcW w:w="2541" w:type="dxa"/>
          </w:tcPr>
          <w:p w14:paraId="3E2F842C" w14:textId="77777777" w:rsidR="009E4A93" w:rsidRPr="005A1A00" w:rsidRDefault="009E4A93" w:rsidP="009E4A93">
            <w:pPr>
              <w:pStyle w:val="Tabletext"/>
              <w:jc w:val="center"/>
              <w:rPr>
                <w:rFonts w:asciiTheme="minorHAnsi" w:hAnsiTheme="minorHAnsi" w:cs="Calibri"/>
                <w:b w:val="0"/>
              </w:rPr>
            </w:pPr>
            <w:r>
              <w:rPr>
                <w:rFonts w:asciiTheme="minorHAnsi" w:hAnsiTheme="minorHAnsi" w:cs="Calibri"/>
              </w:rPr>
              <w:t>KEYNOTE -024</w:t>
            </w:r>
          </w:p>
        </w:tc>
      </w:tr>
      <w:tr w:rsidR="009E4A93" w14:paraId="4908276A" w14:textId="77777777" w:rsidTr="00017B2C">
        <w:tc>
          <w:tcPr>
            <w:tcW w:w="2121" w:type="dxa"/>
          </w:tcPr>
          <w:p w14:paraId="383DDBE5" w14:textId="640C2B07" w:rsidR="009E4A93" w:rsidRPr="005A1A00" w:rsidRDefault="009E4A93" w:rsidP="009E4A93">
            <w:pPr>
              <w:pStyle w:val="Tabletext"/>
              <w:rPr>
                <w:rFonts w:asciiTheme="minorHAnsi" w:hAnsiTheme="minorHAnsi" w:cs="Calibri"/>
                <w:b/>
              </w:rPr>
            </w:pPr>
            <w:r>
              <w:rPr>
                <w:rFonts w:asciiTheme="minorHAnsi" w:hAnsiTheme="minorHAnsi" w:cs="Calibri"/>
                <w:b/>
              </w:rPr>
              <w:t>Treatment</w:t>
            </w:r>
          </w:p>
        </w:tc>
        <w:tc>
          <w:tcPr>
            <w:tcW w:w="1839" w:type="dxa"/>
          </w:tcPr>
          <w:p w14:paraId="3829A5F3" w14:textId="04F48FBE" w:rsidR="009E4A93" w:rsidRPr="005A1A00" w:rsidRDefault="00370D8F" w:rsidP="009E4A93">
            <w:pPr>
              <w:pStyle w:val="Tabletext"/>
              <w:jc w:val="center"/>
              <w:rPr>
                <w:rFonts w:asciiTheme="minorHAnsi" w:hAnsiTheme="minorHAnsi" w:cs="Calibri"/>
              </w:rPr>
            </w:pPr>
            <w:r w:rsidRPr="00370D8F">
              <w:rPr>
                <w:rFonts w:asciiTheme="minorHAnsi" w:hAnsiTheme="minorHAnsi" w:cs="Calibri"/>
              </w:rPr>
              <w:t>pembrolizumab</w:t>
            </w:r>
            <w:r>
              <w:rPr>
                <w:rFonts w:asciiTheme="minorHAnsi" w:hAnsiTheme="minorHAnsi" w:cs="Calibri"/>
              </w:rPr>
              <w:t>;</w:t>
            </w:r>
            <w:r>
              <w:rPr>
                <w:rStyle w:val="FootnoteReference"/>
                <w:rFonts w:asciiTheme="minorHAnsi" w:hAnsiTheme="minorHAnsi" w:cs="Calibri"/>
              </w:rPr>
              <w:footnoteReference w:id="29"/>
            </w:r>
            <w:r w:rsidR="00827BFF">
              <w:rPr>
                <w:rFonts w:asciiTheme="minorHAnsi" w:hAnsiTheme="minorHAnsi" w:cs="Calibri"/>
              </w:rPr>
              <w:t xml:space="preserve"> </w:t>
            </w:r>
            <w:r w:rsidR="009E4A93">
              <w:rPr>
                <w:rFonts w:asciiTheme="minorHAnsi" w:hAnsiTheme="minorHAnsi" w:cs="Calibri"/>
              </w:rPr>
              <w:t>+</w:t>
            </w:r>
            <w:r w:rsidR="00827BFF">
              <w:rPr>
                <w:rFonts w:asciiTheme="minorHAnsi" w:hAnsiTheme="minorHAnsi" w:cs="Calibri"/>
              </w:rPr>
              <w:t xml:space="preserve"> </w:t>
            </w:r>
            <w:r w:rsidR="009E4A93">
              <w:rPr>
                <w:rFonts w:asciiTheme="minorHAnsi" w:hAnsiTheme="minorHAnsi" w:cs="Calibri"/>
              </w:rPr>
              <w:t>chemo</w:t>
            </w:r>
          </w:p>
        </w:tc>
        <w:tc>
          <w:tcPr>
            <w:tcW w:w="1983" w:type="dxa"/>
          </w:tcPr>
          <w:p w14:paraId="30D0393D" w14:textId="458736C0" w:rsidR="009E4A93" w:rsidRPr="005A1A00" w:rsidRDefault="00370D8F" w:rsidP="009E4A93">
            <w:pPr>
              <w:pStyle w:val="Tabletext"/>
              <w:jc w:val="center"/>
              <w:rPr>
                <w:rFonts w:asciiTheme="minorHAnsi" w:hAnsiTheme="minorHAnsi" w:cs="Calibri"/>
              </w:rPr>
            </w:pPr>
            <w:r w:rsidRPr="00370D8F">
              <w:rPr>
                <w:rFonts w:asciiTheme="minorHAnsi" w:hAnsiTheme="minorHAnsi" w:cs="Calibri"/>
              </w:rPr>
              <w:t>pembrolizumab</w:t>
            </w:r>
            <w:r w:rsidR="00827BFF">
              <w:rPr>
                <w:rFonts w:asciiTheme="minorHAnsi" w:hAnsiTheme="minorHAnsi" w:cs="Calibri"/>
              </w:rPr>
              <w:t xml:space="preserve"> </w:t>
            </w:r>
            <w:r w:rsidR="009E4A93">
              <w:rPr>
                <w:rFonts w:asciiTheme="minorHAnsi" w:hAnsiTheme="minorHAnsi" w:cs="Calibri"/>
              </w:rPr>
              <w:t>+</w:t>
            </w:r>
            <w:r w:rsidR="00827BFF">
              <w:rPr>
                <w:rFonts w:asciiTheme="minorHAnsi" w:hAnsiTheme="minorHAnsi" w:cs="Calibri"/>
              </w:rPr>
              <w:t xml:space="preserve"> </w:t>
            </w:r>
            <w:r w:rsidR="009E4A93">
              <w:rPr>
                <w:rFonts w:asciiTheme="minorHAnsi" w:hAnsiTheme="minorHAnsi" w:cs="Calibri"/>
              </w:rPr>
              <w:t>chemo</w:t>
            </w:r>
          </w:p>
        </w:tc>
        <w:tc>
          <w:tcPr>
            <w:tcW w:w="2541" w:type="dxa"/>
          </w:tcPr>
          <w:p w14:paraId="3F30AA75" w14:textId="1300976C" w:rsidR="009E4A93" w:rsidRPr="005A1A00" w:rsidRDefault="00370D8F" w:rsidP="009E4A93">
            <w:pPr>
              <w:pStyle w:val="Tabletext"/>
              <w:jc w:val="center"/>
              <w:rPr>
                <w:rFonts w:asciiTheme="minorHAnsi" w:hAnsiTheme="minorHAnsi" w:cs="Calibri"/>
              </w:rPr>
            </w:pPr>
            <w:r w:rsidRPr="00370D8F">
              <w:rPr>
                <w:rFonts w:asciiTheme="minorHAnsi" w:hAnsiTheme="minorHAnsi" w:cs="Calibri"/>
              </w:rPr>
              <w:t>pembrolizumab</w:t>
            </w:r>
            <w:r w:rsidR="009E4A93">
              <w:rPr>
                <w:rFonts w:asciiTheme="minorHAnsi" w:hAnsiTheme="minorHAnsi" w:cs="Calibri"/>
              </w:rPr>
              <w:t xml:space="preserve"> monotherapy</w:t>
            </w:r>
          </w:p>
        </w:tc>
      </w:tr>
      <w:tr w:rsidR="009E4A93" w14:paraId="54A81323" w14:textId="77777777" w:rsidTr="00017B2C">
        <w:tc>
          <w:tcPr>
            <w:tcW w:w="2121" w:type="dxa"/>
          </w:tcPr>
          <w:p w14:paraId="58DCF056" w14:textId="77777777" w:rsidR="009E4A93" w:rsidRPr="005A1A00" w:rsidRDefault="009E4A93" w:rsidP="009E4A93">
            <w:pPr>
              <w:pStyle w:val="Tabletext"/>
              <w:rPr>
                <w:rFonts w:asciiTheme="minorHAnsi" w:hAnsiTheme="minorHAnsi" w:cs="Calibri"/>
                <w:b/>
              </w:rPr>
            </w:pPr>
            <w:r w:rsidRPr="005A1A00">
              <w:rPr>
                <w:rFonts w:asciiTheme="minorHAnsi" w:hAnsiTheme="minorHAnsi" w:cs="Calibri"/>
                <w:b/>
              </w:rPr>
              <w:t>Histology</w:t>
            </w:r>
          </w:p>
        </w:tc>
        <w:tc>
          <w:tcPr>
            <w:tcW w:w="1839" w:type="dxa"/>
          </w:tcPr>
          <w:p w14:paraId="2EFD037C" w14:textId="77777777" w:rsidR="009E4A93" w:rsidRDefault="009E4A93" w:rsidP="009E4A93">
            <w:pPr>
              <w:pStyle w:val="Tabletext"/>
              <w:jc w:val="center"/>
              <w:rPr>
                <w:rFonts w:asciiTheme="minorHAnsi" w:hAnsiTheme="minorHAnsi" w:cs="Calibri"/>
              </w:rPr>
            </w:pPr>
            <w:r w:rsidRPr="005A1A00">
              <w:rPr>
                <w:rFonts w:asciiTheme="minorHAnsi" w:hAnsiTheme="minorHAnsi" w:cs="Calibri"/>
              </w:rPr>
              <w:t>non-squamous</w:t>
            </w:r>
            <w:r>
              <w:rPr>
                <w:rFonts w:asciiTheme="minorHAnsi" w:hAnsiTheme="minorHAnsi" w:cs="Calibri"/>
              </w:rPr>
              <w:t xml:space="preserve"> only</w:t>
            </w:r>
          </w:p>
          <w:p w14:paraId="3B7B89A2"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no EGFR or ALK</w:t>
            </w:r>
          </w:p>
        </w:tc>
        <w:tc>
          <w:tcPr>
            <w:tcW w:w="1983" w:type="dxa"/>
          </w:tcPr>
          <w:p w14:paraId="18C6F1A4" w14:textId="41DB9471" w:rsidR="009E4A93" w:rsidRPr="005A1A00" w:rsidRDefault="009E4A93" w:rsidP="00A77796">
            <w:pPr>
              <w:pStyle w:val="Tabletext"/>
              <w:jc w:val="center"/>
              <w:rPr>
                <w:rFonts w:asciiTheme="minorHAnsi" w:hAnsiTheme="minorHAnsi" w:cs="Calibri"/>
              </w:rPr>
            </w:pPr>
            <w:r w:rsidRPr="005A1A00">
              <w:rPr>
                <w:rFonts w:asciiTheme="minorHAnsi" w:hAnsiTheme="minorHAnsi" w:cs="Calibri"/>
              </w:rPr>
              <w:t>squamous</w:t>
            </w:r>
            <w:r>
              <w:rPr>
                <w:rFonts w:asciiTheme="minorHAnsi" w:hAnsiTheme="minorHAnsi" w:cs="Calibri"/>
              </w:rPr>
              <w:t xml:space="preserve"> only</w:t>
            </w:r>
          </w:p>
        </w:tc>
        <w:tc>
          <w:tcPr>
            <w:tcW w:w="2541" w:type="dxa"/>
          </w:tcPr>
          <w:p w14:paraId="24550279" w14:textId="1FDA9848" w:rsidR="009E4A93" w:rsidRDefault="009E4A93" w:rsidP="00A77796">
            <w:pPr>
              <w:pStyle w:val="Tabletext"/>
              <w:jc w:val="center"/>
              <w:rPr>
                <w:rFonts w:asciiTheme="minorHAnsi" w:hAnsiTheme="minorHAnsi" w:cs="Calibri"/>
              </w:rPr>
            </w:pPr>
            <w:r w:rsidRPr="00DF1DEC">
              <w:rPr>
                <w:rFonts w:asciiTheme="minorHAnsi" w:hAnsiTheme="minorHAnsi" w:cs="Calibri"/>
              </w:rPr>
              <w:t>squamo</w:t>
            </w:r>
            <w:r>
              <w:rPr>
                <w:rFonts w:asciiTheme="minorHAnsi" w:hAnsiTheme="minorHAnsi" w:cs="Calibri"/>
              </w:rPr>
              <w:t>us (18%) and non-squamous (82%)</w:t>
            </w:r>
          </w:p>
          <w:p w14:paraId="6C4CAD7A"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no EGFR or ALK</w:t>
            </w:r>
          </w:p>
        </w:tc>
      </w:tr>
      <w:tr w:rsidR="009E4A93" w14:paraId="3EA40F64" w14:textId="77777777" w:rsidTr="00017B2C">
        <w:tc>
          <w:tcPr>
            <w:tcW w:w="2121" w:type="dxa"/>
          </w:tcPr>
          <w:p w14:paraId="4EF2FC42" w14:textId="77777777" w:rsidR="009E4A93" w:rsidRPr="005A1A00" w:rsidRDefault="009E4A93" w:rsidP="009E4A93">
            <w:pPr>
              <w:pStyle w:val="Tabletext"/>
              <w:rPr>
                <w:rFonts w:asciiTheme="minorHAnsi" w:hAnsiTheme="minorHAnsi" w:cs="Calibri"/>
                <w:b/>
              </w:rPr>
            </w:pPr>
            <w:r w:rsidRPr="005A1A00">
              <w:rPr>
                <w:rFonts w:asciiTheme="minorHAnsi" w:hAnsiTheme="minorHAnsi" w:cs="Calibri"/>
                <w:b/>
              </w:rPr>
              <w:t>PD-L1</w:t>
            </w:r>
          </w:p>
        </w:tc>
        <w:tc>
          <w:tcPr>
            <w:tcW w:w="1839" w:type="dxa"/>
          </w:tcPr>
          <w:p w14:paraId="5AC441F2"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31% had TPS 1% (negative)</w:t>
            </w:r>
          </w:p>
        </w:tc>
        <w:tc>
          <w:tcPr>
            <w:tcW w:w="1983" w:type="dxa"/>
          </w:tcPr>
          <w:p w14:paraId="3622D62E"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35% had TPS 1% (negative)</w:t>
            </w:r>
          </w:p>
        </w:tc>
        <w:tc>
          <w:tcPr>
            <w:tcW w:w="2541" w:type="dxa"/>
          </w:tcPr>
          <w:p w14:paraId="717F6073" w14:textId="679574A8" w:rsidR="009E4A93" w:rsidRPr="005A1A00" w:rsidRDefault="009E4A93" w:rsidP="009E4A93">
            <w:pPr>
              <w:pStyle w:val="Tabletext"/>
              <w:jc w:val="center"/>
              <w:rPr>
                <w:rFonts w:asciiTheme="minorHAnsi" w:hAnsiTheme="minorHAnsi" w:cs="Calibri"/>
              </w:rPr>
            </w:pPr>
            <w:r>
              <w:rPr>
                <w:rFonts w:asciiTheme="minorHAnsi" w:hAnsiTheme="minorHAnsi" w:cs="Calibri"/>
              </w:rPr>
              <w:t>all TPS &gt;</w:t>
            </w:r>
            <w:r w:rsidR="00A77796">
              <w:rPr>
                <w:rFonts w:asciiTheme="minorHAnsi" w:hAnsiTheme="minorHAnsi" w:cs="Calibri"/>
              </w:rPr>
              <w:t xml:space="preserve"> </w:t>
            </w:r>
            <w:r>
              <w:rPr>
                <w:rFonts w:asciiTheme="minorHAnsi" w:hAnsiTheme="minorHAnsi" w:cs="Calibri"/>
              </w:rPr>
              <w:t xml:space="preserve">50% by 22C3 </w:t>
            </w:r>
            <w:proofErr w:type="spellStart"/>
            <w:r>
              <w:rPr>
                <w:rFonts w:asciiTheme="minorHAnsi" w:hAnsiTheme="minorHAnsi" w:cs="Calibri"/>
              </w:rPr>
              <w:t>pharmDx</w:t>
            </w:r>
            <w:proofErr w:type="spellEnd"/>
            <w:r>
              <w:rPr>
                <w:rFonts w:asciiTheme="minorHAnsi" w:hAnsiTheme="minorHAnsi" w:cs="Calibri"/>
              </w:rPr>
              <w:t xml:space="preserve"> test</w:t>
            </w:r>
          </w:p>
        </w:tc>
      </w:tr>
      <w:tr w:rsidR="009E4A93" w14:paraId="22F51F77" w14:textId="77777777" w:rsidTr="00017B2C">
        <w:tc>
          <w:tcPr>
            <w:tcW w:w="2121" w:type="dxa"/>
          </w:tcPr>
          <w:p w14:paraId="36EF53A8" w14:textId="77777777" w:rsidR="009E4A93" w:rsidRPr="005A1A00" w:rsidRDefault="009E4A93" w:rsidP="009E4A93">
            <w:pPr>
              <w:pStyle w:val="Tabletext"/>
              <w:rPr>
                <w:rFonts w:asciiTheme="minorHAnsi" w:hAnsiTheme="minorHAnsi" w:cs="Calibri"/>
                <w:b/>
              </w:rPr>
            </w:pPr>
            <w:r w:rsidRPr="005A1A00">
              <w:rPr>
                <w:rFonts w:asciiTheme="minorHAnsi" w:hAnsiTheme="minorHAnsi" w:cs="Calibri"/>
                <w:b/>
              </w:rPr>
              <w:t>ORR (95% CI)</w:t>
            </w:r>
          </w:p>
        </w:tc>
        <w:tc>
          <w:tcPr>
            <w:tcW w:w="1839" w:type="dxa"/>
          </w:tcPr>
          <w:p w14:paraId="16693631" w14:textId="77777777" w:rsidR="009E4A93" w:rsidRPr="005A1A00" w:rsidRDefault="009E4A93" w:rsidP="009E4A93">
            <w:pPr>
              <w:pStyle w:val="Tabletext"/>
              <w:jc w:val="center"/>
              <w:rPr>
                <w:rFonts w:asciiTheme="minorHAnsi" w:hAnsiTheme="minorHAnsi" w:cs="Calibri"/>
              </w:rPr>
            </w:pPr>
            <w:r w:rsidRPr="005A1A00">
              <w:rPr>
                <w:rFonts w:asciiTheme="minorHAnsi" w:hAnsiTheme="minorHAnsi" w:cs="Calibri"/>
              </w:rPr>
              <w:t>48% (43, 53)</w:t>
            </w:r>
          </w:p>
        </w:tc>
        <w:tc>
          <w:tcPr>
            <w:tcW w:w="1983" w:type="dxa"/>
          </w:tcPr>
          <w:p w14:paraId="5D50A754" w14:textId="77777777" w:rsidR="009E4A93" w:rsidRPr="005A1A00" w:rsidRDefault="009E4A93" w:rsidP="009E4A93">
            <w:pPr>
              <w:pStyle w:val="Tabletext"/>
              <w:jc w:val="center"/>
              <w:rPr>
                <w:rFonts w:asciiTheme="minorHAnsi" w:hAnsiTheme="minorHAnsi" w:cs="Calibri"/>
              </w:rPr>
            </w:pPr>
            <w:r w:rsidRPr="005A1A00">
              <w:rPr>
                <w:rFonts w:asciiTheme="minorHAnsi" w:hAnsiTheme="minorHAnsi" w:cs="Calibri"/>
              </w:rPr>
              <w:t>58% (52, 64)</w:t>
            </w:r>
          </w:p>
        </w:tc>
        <w:tc>
          <w:tcPr>
            <w:tcW w:w="2541" w:type="dxa"/>
          </w:tcPr>
          <w:p w14:paraId="7A301DD3"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45% (37, 53)</w:t>
            </w:r>
          </w:p>
        </w:tc>
      </w:tr>
      <w:tr w:rsidR="009E4A93" w14:paraId="4F544099" w14:textId="77777777" w:rsidTr="00017B2C">
        <w:tc>
          <w:tcPr>
            <w:tcW w:w="2121" w:type="dxa"/>
          </w:tcPr>
          <w:p w14:paraId="30C4DCCB" w14:textId="77777777" w:rsidR="009E4A93" w:rsidRPr="005A1A00" w:rsidRDefault="009E4A93" w:rsidP="009E4A93">
            <w:pPr>
              <w:pStyle w:val="Tabletext"/>
              <w:rPr>
                <w:rFonts w:asciiTheme="minorHAnsi" w:hAnsiTheme="minorHAnsi" w:cs="Calibri"/>
                <w:b/>
              </w:rPr>
            </w:pPr>
            <w:r w:rsidRPr="005A1A00">
              <w:rPr>
                <w:rFonts w:asciiTheme="minorHAnsi" w:hAnsiTheme="minorHAnsi" w:cs="Calibri"/>
                <w:b/>
              </w:rPr>
              <w:t>Median DOR, months (range)</w:t>
            </w:r>
          </w:p>
        </w:tc>
        <w:tc>
          <w:tcPr>
            <w:tcW w:w="1839" w:type="dxa"/>
          </w:tcPr>
          <w:p w14:paraId="0B5712F1" w14:textId="77777777" w:rsidR="009E4A93" w:rsidRPr="005A1A00" w:rsidRDefault="009E4A93" w:rsidP="009E4A93">
            <w:pPr>
              <w:pStyle w:val="Tabletext"/>
              <w:jc w:val="center"/>
              <w:rPr>
                <w:rFonts w:asciiTheme="minorHAnsi" w:hAnsiTheme="minorHAnsi" w:cs="Calibri"/>
              </w:rPr>
            </w:pPr>
            <w:r w:rsidRPr="005A1A00">
              <w:rPr>
                <w:rFonts w:asciiTheme="minorHAnsi" w:hAnsiTheme="minorHAnsi" w:cs="Calibri"/>
              </w:rPr>
              <w:t>11.2 (1.1+, 18.0+)</w:t>
            </w:r>
          </w:p>
        </w:tc>
        <w:tc>
          <w:tcPr>
            <w:tcW w:w="1983" w:type="dxa"/>
          </w:tcPr>
          <w:p w14:paraId="267E6E0F" w14:textId="77777777" w:rsidR="009E4A93" w:rsidRPr="005A1A00" w:rsidRDefault="009E4A93" w:rsidP="009E4A93">
            <w:pPr>
              <w:pStyle w:val="Tabletext"/>
              <w:jc w:val="center"/>
              <w:rPr>
                <w:rFonts w:asciiTheme="minorHAnsi" w:hAnsiTheme="minorHAnsi" w:cs="Calibri"/>
              </w:rPr>
            </w:pPr>
            <w:r w:rsidRPr="005A1A00">
              <w:rPr>
                <w:rFonts w:asciiTheme="minorHAnsi" w:hAnsiTheme="minorHAnsi" w:cs="Calibri"/>
              </w:rPr>
              <w:t>7.7 (1.1+, 14.7+)</w:t>
            </w:r>
          </w:p>
        </w:tc>
        <w:tc>
          <w:tcPr>
            <w:tcW w:w="2541" w:type="dxa"/>
          </w:tcPr>
          <w:p w14:paraId="5B510C5D"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 xml:space="preserve">not reached </w:t>
            </w:r>
            <w:r w:rsidRPr="00DF1DEC">
              <w:rPr>
                <w:rFonts w:asciiTheme="minorHAnsi" w:hAnsiTheme="minorHAnsi" w:cs="Calibri"/>
              </w:rPr>
              <w:t>(</w:t>
            </w:r>
            <w:r>
              <w:rPr>
                <w:rFonts w:asciiTheme="minorHAnsi" w:hAnsiTheme="minorHAnsi" w:cs="Calibri"/>
              </w:rPr>
              <w:t>1.9</w:t>
            </w:r>
            <w:r w:rsidRPr="00DF1DEC">
              <w:rPr>
                <w:rFonts w:asciiTheme="minorHAnsi" w:hAnsiTheme="minorHAnsi" w:cs="Calibri"/>
              </w:rPr>
              <w:t xml:space="preserve">+, </w:t>
            </w:r>
            <w:r>
              <w:rPr>
                <w:rFonts w:asciiTheme="minorHAnsi" w:hAnsiTheme="minorHAnsi" w:cs="Calibri"/>
              </w:rPr>
              <w:t>14.5</w:t>
            </w:r>
            <w:r w:rsidRPr="00DF1DEC">
              <w:rPr>
                <w:rFonts w:asciiTheme="minorHAnsi" w:hAnsiTheme="minorHAnsi" w:cs="Calibri"/>
              </w:rPr>
              <w:t>+)</w:t>
            </w:r>
          </w:p>
        </w:tc>
      </w:tr>
      <w:tr w:rsidR="009E4A93" w14:paraId="0AB8CA58" w14:textId="77777777" w:rsidTr="00017B2C">
        <w:tc>
          <w:tcPr>
            <w:tcW w:w="2121" w:type="dxa"/>
          </w:tcPr>
          <w:p w14:paraId="6E3F0E3D" w14:textId="2010C4D8" w:rsidR="009E4A93" w:rsidRPr="005A1A00" w:rsidRDefault="009E4A93" w:rsidP="009E4A93">
            <w:pPr>
              <w:pStyle w:val="Tabletext"/>
              <w:rPr>
                <w:rFonts w:asciiTheme="minorHAnsi" w:hAnsiTheme="minorHAnsi" w:cs="Calibri"/>
                <w:b/>
              </w:rPr>
            </w:pPr>
            <w:proofErr w:type="spellStart"/>
            <w:r w:rsidRPr="005A1A00">
              <w:rPr>
                <w:rFonts w:asciiTheme="minorHAnsi" w:hAnsiTheme="minorHAnsi" w:cs="Calibri"/>
                <w:b/>
              </w:rPr>
              <w:t>K</w:t>
            </w:r>
            <w:r w:rsidR="00E54651">
              <w:rPr>
                <w:rFonts w:asciiTheme="minorHAnsi" w:hAnsiTheme="minorHAnsi" w:cs="Calibri"/>
                <w:b/>
              </w:rPr>
              <w:t>aplan</w:t>
            </w:r>
            <w:r w:rsidRPr="005A1A00">
              <w:rPr>
                <w:rFonts w:asciiTheme="minorHAnsi" w:hAnsiTheme="minorHAnsi" w:cs="Calibri"/>
                <w:b/>
              </w:rPr>
              <w:t>M</w:t>
            </w:r>
            <w:r w:rsidR="00E54651">
              <w:rPr>
                <w:rFonts w:asciiTheme="minorHAnsi" w:hAnsiTheme="minorHAnsi" w:cs="Calibri"/>
                <w:b/>
              </w:rPr>
              <w:t>eier</w:t>
            </w:r>
            <w:proofErr w:type="spellEnd"/>
            <w:r w:rsidRPr="005A1A00">
              <w:rPr>
                <w:rFonts w:asciiTheme="minorHAnsi" w:hAnsiTheme="minorHAnsi" w:cs="Calibri"/>
                <w:b/>
              </w:rPr>
              <w:t xml:space="preserve"> estimate</w:t>
            </w:r>
            <w:r>
              <w:rPr>
                <w:rFonts w:asciiTheme="minorHAnsi" w:hAnsiTheme="minorHAnsi" w:cs="Calibri"/>
                <w:b/>
              </w:rPr>
              <w:t xml:space="preserve"> response durability</w:t>
            </w:r>
          </w:p>
        </w:tc>
        <w:tc>
          <w:tcPr>
            <w:tcW w:w="1839" w:type="dxa"/>
          </w:tcPr>
          <w:p w14:paraId="04122024"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81</w:t>
            </w:r>
            <w:r w:rsidRPr="005A1A00">
              <w:rPr>
                <w:rFonts w:asciiTheme="minorHAnsi" w:hAnsiTheme="minorHAnsi" w:cs="Calibri"/>
              </w:rPr>
              <w:t>%</w:t>
            </w:r>
            <w:r>
              <w:rPr>
                <w:rFonts w:asciiTheme="minorHAnsi" w:hAnsiTheme="minorHAnsi" w:cs="Calibri"/>
              </w:rPr>
              <w:t xml:space="preserve"> at least 6 months</w:t>
            </w:r>
          </w:p>
        </w:tc>
        <w:tc>
          <w:tcPr>
            <w:tcW w:w="1983" w:type="dxa"/>
          </w:tcPr>
          <w:p w14:paraId="4667C0CC" w14:textId="77777777" w:rsidR="009E4A93" w:rsidRPr="005A1A00" w:rsidRDefault="009E4A93" w:rsidP="009E4A93">
            <w:pPr>
              <w:pStyle w:val="Tabletext"/>
              <w:jc w:val="center"/>
              <w:rPr>
                <w:rFonts w:asciiTheme="minorHAnsi" w:hAnsiTheme="minorHAnsi" w:cs="Calibri"/>
              </w:rPr>
            </w:pPr>
            <w:r w:rsidRPr="005A1A00">
              <w:rPr>
                <w:rFonts w:asciiTheme="minorHAnsi" w:hAnsiTheme="minorHAnsi" w:cs="Calibri"/>
              </w:rPr>
              <w:t>62%</w:t>
            </w:r>
            <w:r>
              <w:rPr>
                <w:rFonts w:asciiTheme="minorHAnsi" w:hAnsiTheme="minorHAnsi" w:cs="Calibri"/>
              </w:rPr>
              <w:t xml:space="preserve"> at least 6 months</w:t>
            </w:r>
          </w:p>
        </w:tc>
        <w:tc>
          <w:tcPr>
            <w:tcW w:w="2541" w:type="dxa"/>
          </w:tcPr>
          <w:p w14:paraId="155C2309" w14:textId="77777777" w:rsidR="009E4A93" w:rsidRPr="005A1A00" w:rsidRDefault="009E4A93" w:rsidP="009E4A93">
            <w:pPr>
              <w:pStyle w:val="Tabletext"/>
              <w:jc w:val="center"/>
              <w:rPr>
                <w:rFonts w:asciiTheme="minorHAnsi" w:hAnsiTheme="minorHAnsi" w:cs="Calibri"/>
              </w:rPr>
            </w:pPr>
            <w:r>
              <w:rPr>
                <w:rFonts w:asciiTheme="minorHAnsi" w:hAnsiTheme="minorHAnsi" w:cs="Calibri"/>
              </w:rPr>
              <w:t>88% at least 6 months</w:t>
            </w:r>
          </w:p>
        </w:tc>
      </w:tr>
    </w:tbl>
    <w:p w14:paraId="41F10920" w14:textId="18368171" w:rsidR="00017B2C" w:rsidRDefault="00017B2C" w:rsidP="007D2F65">
      <w:pPr>
        <w:pStyle w:val="TableDescription"/>
        <w:rPr>
          <w:rFonts w:asciiTheme="minorHAnsi" w:hAnsiTheme="minorHAnsi" w:cs="Calibri"/>
          <w:lang w:eastAsia="zh-TW"/>
        </w:rPr>
      </w:pPr>
      <w:r>
        <w:rPr>
          <w:shd w:val="clear" w:color="auto" w:fill="FFFFFF"/>
        </w:rPr>
        <w:t>TPS = tumour proportion score.</w:t>
      </w:r>
    </w:p>
    <w:p w14:paraId="3F155C92" w14:textId="302CCE3F" w:rsidR="00507964" w:rsidRDefault="00507964" w:rsidP="009B155E">
      <w:pPr>
        <w:rPr>
          <w:rFonts w:asciiTheme="minorHAnsi" w:hAnsiTheme="minorHAnsi" w:cs="Calibri"/>
          <w:lang w:eastAsia="zh-TW"/>
        </w:rPr>
      </w:pPr>
      <w:r w:rsidRPr="00181714">
        <w:rPr>
          <w:rFonts w:asciiTheme="minorHAnsi" w:hAnsiTheme="minorHAnsi" w:cs="Calibri"/>
          <w:lang w:eastAsia="zh-TW"/>
        </w:rPr>
        <w:t xml:space="preserve">The magnitude of response rate and durability of responses demonstrated in the submission are sufficient to establish efficacy for the proposed usage, based on the clinical benefit associated with tumour responses in NSCLC, </w:t>
      </w:r>
      <w:r>
        <w:rPr>
          <w:rFonts w:asciiTheme="minorHAnsi" w:hAnsiTheme="minorHAnsi" w:cs="Calibri"/>
          <w:lang w:eastAsia="zh-TW"/>
        </w:rPr>
        <w:t>the in</w:t>
      </w:r>
      <w:r w:rsidRPr="00181714">
        <w:rPr>
          <w:rFonts w:asciiTheme="minorHAnsi" w:hAnsiTheme="minorHAnsi" w:cs="Calibri"/>
          <w:lang w:eastAsia="zh-TW"/>
        </w:rPr>
        <w:t xml:space="preserve">feasibility of conducting randomised studies in </w:t>
      </w:r>
      <w:r>
        <w:rPr>
          <w:rFonts w:asciiTheme="minorHAnsi" w:hAnsiTheme="minorHAnsi" w:cs="Calibri"/>
          <w:lang w:eastAsia="zh-TW"/>
        </w:rPr>
        <w:t>this indication</w:t>
      </w:r>
      <w:r w:rsidRPr="00181714">
        <w:rPr>
          <w:rFonts w:asciiTheme="minorHAnsi" w:hAnsiTheme="minorHAnsi" w:cs="Calibri"/>
          <w:lang w:eastAsia="zh-TW"/>
        </w:rPr>
        <w:t xml:space="preserve"> due to the rarity of </w:t>
      </w:r>
      <w:r>
        <w:rPr>
          <w:rFonts w:asciiTheme="minorHAnsi" w:hAnsiTheme="minorHAnsi" w:cs="Calibri"/>
          <w:lang w:eastAsia="zh-TW"/>
        </w:rPr>
        <w:t>its</w:t>
      </w:r>
      <w:r w:rsidRPr="00181714">
        <w:rPr>
          <w:rFonts w:asciiTheme="minorHAnsi" w:hAnsiTheme="minorHAnsi" w:cs="Calibri"/>
          <w:lang w:eastAsia="zh-TW"/>
        </w:rPr>
        <w:t xml:space="preserve"> occurrence</w:t>
      </w:r>
      <w:r>
        <w:rPr>
          <w:rFonts w:asciiTheme="minorHAnsi" w:hAnsiTheme="minorHAnsi" w:cs="Calibri"/>
          <w:lang w:eastAsia="zh-TW"/>
        </w:rPr>
        <w:t>, and cross-trial comparisons which indicate that efficacy is likely to be acceptable to patients with ROS1 fusion-positive NSCLC</w:t>
      </w:r>
      <w:r w:rsidRPr="00181714">
        <w:rPr>
          <w:rFonts w:asciiTheme="minorHAnsi" w:hAnsiTheme="minorHAnsi" w:cs="Calibri"/>
          <w:lang w:eastAsia="zh-TW"/>
        </w:rPr>
        <w:t>.</w:t>
      </w:r>
    </w:p>
    <w:p w14:paraId="4E86555F" w14:textId="78BFBADF" w:rsidR="00CB63AA" w:rsidRPr="000C761A" w:rsidRDefault="00017B2C" w:rsidP="00CB63AA">
      <w:pPr>
        <w:pStyle w:val="Heading6"/>
        <w:rPr>
          <w:lang w:val="fr-CH" w:eastAsia="zh-TW"/>
        </w:rPr>
      </w:pPr>
      <w:proofErr w:type="spellStart"/>
      <w:r w:rsidRPr="000C761A">
        <w:rPr>
          <w:lang w:val="fr-CH" w:eastAsia="zh-TW"/>
        </w:rPr>
        <w:t>Neurotrophic</w:t>
      </w:r>
      <w:proofErr w:type="spellEnd"/>
      <w:r w:rsidRPr="000C761A">
        <w:rPr>
          <w:lang w:val="fr-CH" w:eastAsia="zh-TW"/>
        </w:rPr>
        <w:t xml:space="preserve"> </w:t>
      </w:r>
      <w:proofErr w:type="spellStart"/>
      <w:r w:rsidRPr="000C761A">
        <w:rPr>
          <w:lang w:val="fr-CH" w:eastAsia="zh-TW"/>
        </w:rPr>
        <w:t>tropomyosin</w:t>
      </w:r>
      <w:proofErr w:type="spellEnd"/>
      <w:r w:rsidRPr="000C761A">
        <w:rPr>
          <w:lang w:val="fr-CH" w:eastAsia="zh-TW"/>
        </w:rPr>
        <w:t xml:space="preserve"> </w:t>
      </w:r>
      <w:proofErr w:type="spellStart"/>
      <w:r w:rsidRPr="000C761A">
        <w:rPr>
          <w:lang w:val="fr-CH" w:eastAsia="zh-TW"/>
        </w:rPr>
        <w:t>receptor</w:t>
      </w:r>
      <w:proofErr w:type="spellEnd"/>
      <w:r w:rsidRPr="000C761A">
        <w:rPr>
          <w:lang w:val="fr-CH" w:eastAsia="zh-TW"/>
        </w:rPr>
        <w:t xml:space="preserve"> kinase</w:t>
      </w:r>
      <w:r w:rsidR="00CB63AA" w:rsidRPr="000C761A">
        <w:rPr>
          <w:lang w:val="fr-CH" w:eastAsia="zh-TW"/>
        </w:rPr>
        <w:t xml:space="preserve"> fusion</w:t>
      </w:r>
      <w:r w:rsidRPr="000C761A">
        <w:rPr>
          <w:lang w:val="fr-CH" w:eastAsia="zh-TW"/>
        </w:rPr>
        <w:t xml:space="preserve"> </w:t>
      </w:r>
      <w:r w:rsidR="00CB63AA" w:rsidRPr="000C761A">
        <w:rPr>
          <w:lang w:val="fr-CH" w:eastAsia="zh-TW"/>
        </w:rPr>
        <w:t xml:space="preserve">positive </w:t>
      </w:r>
      <w:proofErr w:type="spellStart"/>
      <w:r w:rsidR="00CB63AA" w:rsidRPr="000C761A">
        <w:rPr>
          <w:lang w:val="fr-CH" w:eastAsia="zh-TW"/>
        </w:rPr>
        <w:t>solid</w:t>
      </w:r>
      <w:proofErr w:type="spellEnd"/>
      <w:r w:rsidR="00CB63AA" w:rsidRPr="000C761A">
        <w:rPr>
          <w:lang w:val="fr-CH" w:eastAsia="zh-TW"/>
        </w:rPr>
        <w:t xml:space="preserve"> </w:t>
      </w:r>
      <w:proofErr w:type="spellStart"/>
      <w:r w:rsidR="00CB63AA" w:rsidRPr="000C761A">
        <w:rPr>
          <w:lang w:val="fr-CH" w:eastAsia="zh-TW"/>
        </w:rPr>
        <w:t>tumours</w:t>
      </w:r>
      <w:proofErr w:type="spellEnd"/>
    </w:p>
    <w:p w14:paraId="12860B49" w14:textId="301EBEAF" w:rsidR="00CB63AA" w:rsidRPr="009C0CE3" w:rsidRDefault="00CB63AA" w:rsidP="00CB63AA">
      <w:pPr>
        <w:rPr>
          <w:rFonts w:asciiTheme="minorHAnsi" w:hAnsiTheme="minorHAnsi" w:cs="Calibri"/>
          <w:lang w:val="en-US"/>
        </w:rPr>
      </w:pPr>
      <w:r w:rsidRPr="009960B0">
        <w:rPr>
          <w:rFonts w:asciiTheme="minorHAnsi" w:hAnsiTheme="minorHAnsi" w:cs="Calibri"/>
          <w:lang w:eastAsia="zh-TW"/>
        </w:rPr>
        <w:t xml:space="preserve">The </w:t>
      </w:r>
      <w:r w:rsidR="00AE517A">
        <w:rPr>
          <w:rFonts w:asciiTheme="minorHAnsi" w:hAnsiTheme="minorHAnsi" w:cs="Calibri"/>
          <w:lang w:eastAsia="zh-TW"/>
        </w:rPr>
        <w:t xml:space="preserve">NTRK efficacy evaluable set </w:t>
      </w:r>
      <w:r w:rsidRPr="009960B0">
        <w:rPr>
          <w:rFonts w:asciiTheme="minorHAnsi" w:hAnsiTheme="minorHAnsi" w:cs="Calibri"/>
          <w:lang w:eastAsia="zh-TW"/>
        </w:rPr>
        <w:t xml:space="preserve">consisted of the first 54 patients enrolled </w:t>
      </w:r>
      <w:r w:rsidR="00E7212D">
        <w:rPr>
          <w:rFonts w:asciiTheme="minorHAnsi" w:hAnsiTheme="minorHAnsi" w:cs="Calibri"/>
          <w:lang w:eastAsia="zh-TW"/>
        </w:rPr>
        <w:t xml:space="preserve">across three single </w:t>
      </w:r>
      <w:r>
        <w:rPr>
          <w:rFonts w:asciiTheme="minorHAnsi" w:hAnsiTheme="minorHAnsi" w:cs="Calibri"/>
          <w:lang w:eastAsia="zh-TW"/>
        </w:rPr>
        <w:t>arm clinical studies who had</w:t>
      </w:r>
      <w:r w:rsidRPr="009960B0">
        <w:rPr>
          <w:rFonts w:asciiTheme="minorHAnsi" w:hAnsiTheme="minorHAnsi" w:cs="Calibri"/>
          <w:lang w:eastAsia="zh-TW"/>
        </w:rPr>
        <w:t xml:space="preserve"> NTRK fusion-positive </w:t>
      </w:r>
      <w:proofErr w:type="spellStart"/>
      <w:r w:rsidRPr="009960B0">
        <w:rPr>
          <w:rFonts w:asciiTheme="minorHAnsi" w:hAnsiTheme="minorHAnsi" w:cs="Calibri"/>
          <w:lang w:eastAsia="zh-TW"/>
        </w:rPr>
        <w:t>extracranial</w:t>
      </w:r>
      <w:proofErr w:type="spellEnd"/>
      <w:r w:rsidRPr="009960B0">
        <w:rPr>
          <w:rFonts w:asciiTheme="minorHAnsi" w:hAnsiTheme="minorHAnsi" w:cs="Calibri"/>
          <w:lang w:eastAsia="zh-TW"/>
        </w:rPr>
        <w:t xml:space="preserve"> solid tumours</w:t>
      </w:r>
      <w:r>
        <w:rPr>
          <w:rFonts w:asciiTheme="minorHAnsi" w:hAnsiTheme="minorHAnsi" w:cs="Calibri"/>
          <w:lang w:eastAsia="zh-TW"/>
        </w:rPr>
        <w:t xml:space="preserve"> and did not have any satisfactory treatment options or had progressed after any acceptable therapy. This group of patients h</w:t>
      </w:r>
      <w:r w:rsidRPr="009960B0">
        <w:rPr>
          <w:rFonts w:asciiTheme="minorHAnsi" w:hAnsiTheme="minorHAnsi" w:cs="Calibri"/>
          <w:lang w:val="en-US"/>
        </w:rPr>
        <w:t>ad</w:t>
      </w:r>
      <w:r w:rsidRPr="009C0CE3">
        <w:rPr>
          <w:rFonts w:asciiTheme="minorHAnsi" w:hAnsiTheme="minorHAnsi" w:cs="Calibri"/>
          <w:lang w:val="en-US"/>
        </w:rPr>
        <w:t xml:space="preserve"> not previously </w:t>
      </w:r>
      <w:r>
        <w:rPr>
          <w:rFonts w:asciiTheme="minorHAnsi" w:hAnsiTheme="minorHAnsi" w:cs="Calibri"/>
          <w:lang w:val="en-US"/>
        </w:rPr>
        <w:t>received anti-TRK therapy;</w:t>
      </w:r>
      <w:r w:rsidRPr="009C0CE3">
        <w:rPr>
          <w:rFonts w:asciiTheme="minorHAnsi" w:hAnsiTheme="minorHAnsi" w:cs="Calibri"/>
          <w:lang w:val="en-US"/>
        </w:rPr>
        <w:t xml:space="preserve"> </w:t>
      </w:r>
      <w:r>
        <w:rPr>
          <w:rFonts w:asciiTheme="minorHAnsi" w:hAnsiTheme="minorHAnsi" w:cs="Calibri"/>
          <w:lang w:val="en-US"/>
        </w:rPr>
        <w:t xml:space="preserve">had a sole known </w:t>
      </w:r>
      <w:proofErr w:type="spellStart"/>
      <w:r>
        <w:rPr>
          <w:rFonts w:asciiTheme="minorHAnsi" w:hAnsiTheme="minorHAnsi" w:cs="Calibri"/>
          <w:lang w:val="en-US"/>
        </w:rPr>
        <w:t>oncodriver</w:t>
      </w:r>
      <w:proofErr w:type="spellEnd"/>
      <w:r>
        <w:rPr>
          <w:rFonts w:asciiTheme="minorHAnsi" w:hAnsiTheme="minorHAnsi" w:cs="Calibri"/>
          <w:lang w:val="en-US"/>
        </w:rPr>
        <w:t xml:space="preserve">; </w:t>
      </w:r>
      <w:r w:rsidRPr="009C0CE3">
        <w:rPr>
          <w:rFonts w:asciiTheme="minorHAnsi" w:hAnsiTheme="minorHAnsi" w:cs="Calibri"/>
          <w:lang w:val="en-US"/>
        </w:rPr>
        <w:t>had measurable disease by RECIST</w:t>
      </w:r>
      <w:r w:rsidR="00A4213A">
        <w:rPr>
          <w:rFonts w:asciiTheme="minorHAnsi" w:hAnsiTheme="minorHAnsi" w:cs="Calibri"/>
          <w:lang w:val="en-US"/>
        </w:rPr>
        <w:t>;</w:t>
      </w:r>
      <w:r w:rsidR="00A4213A">
        <w:rPr>
          <w:rFonts w:asciiTheme="minorHAnsi" w:hAnsiTheme="minorHAnsi" w:cs="Calibri"/>
          <w:lang w:val="en-US"/>
        </w:rPr>
        <w:fldChar w:fldCharType="begin"/>
      </w:r>
      <w:r w:rsidR="00A4213A">
        <w:rPr>
          <w:rFonts w:asciiTheme="minorHAnsi" w:hAnsiTheme="minorHAnsi" w:cs="Calibri"/>
          <w:lang w:val="en-US"/>
        </w:rPr>
        <w:instrText xml:space="preserve"> NOTEREF _Ref52176997 \f \h </w:instrText>
      </w:r>
      <w:r w:rsidR="00A4213A">
        <w:rPr>
          <w:rFonts w:asciiTheme="minorHAnsi" w:hAnsiTheme="minorHAnsi" w:cs="Calibri"/>
          <w:lang w:val="en-US"/>
        </w:rPr>
      </w:r>
      <w:r w:rsidR="00A4213A">
        <w:rPr>
          <w:rFonts w:asciiTheme="minorHAnsi" w:hAnsiTheme="minorHAnsi" w:cs="Calibri"/>
          <w:lang w:val="en-US"/>
        </w:rPr>
        <w:fldChar w:fldCharType="separate"/>
      </w:r>
      <w:r w:rsidR="005743D8" w:rsidRPr="005743D8">
        <w:rPr>
          <w:rStyle w:val="FootnoteReference"/>
        </w:rPr>
        <w:t>19</w:t>
      </w:r>
      <w:r w:rsidR="00A4213A">
        <w:rPr>
          <w:rFonts w:asciiTheme="minorHAnsi" w:hAnsiTheme="minorHAnsi" w:cs="Calibri"/>
          <w:lang w:val="en-US"/>
        </w:rPr>
        <w:fldChar w:fldCharType="end"/>
      </w:r>
      <w:r w:rsidR="00A4213A">
        <w:rPr>
          <w:rFonts w:asciiTheme="minorHAnsi" w:hAnsiTheme="minorHAnsi" w:cs="Calibri"/>
          <w:lang w:val="en-US"/>
        </w:rPr>
        <w:t xml:space="preserve"> </w:t>
      </w:r>
      <w:r w:rsidRPr="009C0CE3">
        <w:rPr>
          <w:rFonts w:asciiTheme="minorHAnsi" w:hAnsiTheme="minorHAnsi" w:cs="Calibri"/>
          <w:lang w:val="en-US"/>
        </w:rPr>
        <w:t>v1.1</w:t>
      </w:r>
      <w:r>
        <w:rPr>
          <w:rFonts w:asciiTheme="minorHAnsi" w:hAnsiTheme="minorHAnsi" w:cs="Calibri"/>
          <w:lang w:val="en-US"/>
        </w:rPr>
        <w:t xml:space="preserve">; had </w:t>
      </w:r>
      <w:r w:rsidRPr="009960B0">
        <w:rPr>
          <w:rFonts w:asciiTheme="minorHAnsi" w:hAnsiTheme="minorHAnsi" w:cs="Calibri"/>
          <w:lang w:val="en-US"/>
        </w:rPr>
        <w:t>an ECOG</w:t>
      </w:r>
      <w:r w:rsidR="00A4213A">
        <w:rPr>
          <w:rFonts w:asciiTheme="minorHAnsi" w:hAnsiTheme="minorHAnsi" w:cs="Calibri"/>
          <w:lang w:val="en-US"/>
        </w:rPr>
        <w:t>;</w:t>
      </w:r>
      <w:r w:rsidR="009E4A93">
        <w:rPr>
          <w:rFonts w:asciiTheme="minorHAnsi" w:hAnsiTheme="minorHAnsi" w:cs="Calibri"/>
          <w:lang w:val="en-US"/>
        </w:rPr>
        <w:fldChar w:fldCharType="begin"/>
      </w:r>
      <w:r w:rsidR="009E4A93">
        <w:rPr>
          <w:rFonts w:asciiTheme="minorHAnsi" w:hAnsiTheme="minorHAnsi" w:cs="Calibri"/>
          <w:lang w:val="en-US"/>
        </w:rPr>
        <w:instrText xml:space="preserve"> NOTEREF _Ref51226462 \f \h </w:instrText>
      </w:r>
      <w:r w:rsidR="009E4A93">
        <w:rPr>
          <w:rFonts w:asciiTheme="minorHAnsi" w:hAnsiTheme="minorHAnsi" w:cs="Calibri"/>
          <w:lang w:val="en-US"/>
        </w:rPr>
      </w:r>
      <w:r w:rsidR="009E4A93">
        <w:rPr>
          <w:rFonts w:asciiTheme="minorHAnsi" w:hAnsiTheme="minorHAnsi" w:cs="Calibri"/>
          <w:lang w:val="en-US"/>
        </w:rPr>
        <w:fldChar w:fldCharType="separate"/>
      </w:r>
      <w:r w:rsidR="005743D8" w:rsidRPr="005743D8">
        <w:rPr>
          <w:rStyle w:val="FootnoteReference"/>
        </w:rPr>
        <w:t>18</w:t>
      </w:r>
      <w:r w:rsidR="009E4A93">
        <w:rPr>
          <w:rFonts w:asciiTheme="minorHAnsi" w:hAnsiTheme="minorHAnsi" w:cs="Calibri"/>
          <w:lang w:val="en-US"/>
        </w:rPr>
        <w:fldChar w:fldCharType="end"/>
      </w:r>
      <w:r w:rsidR="009E4A93">
        <w:rPr>
          <w:rFonts w:asciiTheme="minorHAnsi" w:hAnsiTheme="minorHAnsi" w:cs="Calibri"/>
          <w:lang w:val="en-US"/>
        </w:rPr>
        <w:t xml:space="preserve"> performance status </w:t>
      </w:r>
      <w:r w:rsidRPr="009960B0">
        <w:rPr>
          <w:rFonts w:asciiTheme="minorHAnsi" w:hAnsiTheme="minorHAnsi" w:cs="Calibri"/>
          <w:lang w:val="en-US"/>
        </w:rPr>
        <w:t>no higher than 2</w:t>
      </w:r>
      <w:r>
        <w:rPr>
          <w:rFonts w:asciiTheme="minorHAnsi" w:hAnsiTheme="minorHAnsi" w:cs="Calibri"/>
          <w:lang w:val="en-US"/>
        </w:rPr>
        <w:t xml:space="preserve">; </w:t>
      </w:r>
      <w:r w:rsidRPr="009C0CE3">
        <w:rPr>
          <w:rFonts w:asciiTheme="minorHAnsi" w:hAnsiTheme="minorHAnsi" w:cs="Calibri"/>
          <w:lang w:val="en-US"/>
        </w:rPr>
        <w:t>and</w:t>
      </w:r>
      <w:r>
        <w:rPr>
          <w:rFonts w:asciiTheme="minorHAnsi" w:hAnsiTheme="minorHAnsi" w:cs="Calibri"/>
          <w:lang w:val="en-US"/>
        </w:rPr>
        <w:t xml:space="preserve"> had</w:t>
      </w:r>
      <w:r w:rsidRPr="009C0CE3">
        <w:rPr>
          <w:rFonts w:asciiTheme="minorHAnsi" w:hAnsiTheme="minorHAnsi" w:cs="Calibri"/>
          <w:lang w:val="en-US"/>
        </w:rPr>
        <w:t xml:space="preserve"> </w:t>
      </w:r>
      <w:r>
        <w:rPr>
          <w:rFonts w:asciiTheme="minorHAnsi" w:hAnsiTheme="minorHAnsi" w:cs="Calibri"/>
          <w:lang w:val="en-US"/>
        </w:rPr>
        <w:t>a</w:t>
      </w:r>
      <w:r w:rsidRPr="009C0CE3">
        <w:rPr>
          <w:rFonts w:asciiTheme="minorHAnsi" w:hAnsiTheme="minorHAnsi" w:cs="Calibri"/>
          <w:lang w:val="en-US"/>
        </w:rPr>
        <w:t>t least 6 months of follow-up from the time of first dose</w:t>
      </w:r>
      <w:r>
        <w:rPr>
          <w:rFonts w:asciiTheme="minorHAnsi" w:hAnsiTheme="minorHAnsi" w:cs="Calibri"/>
          <w:lang w:val="en-US"/>
        </w:rPr>
        <w:t xml:space="preserve"> of entrectinib.</w:t>
      </w:r>
    </w:p>
    <w:p w14:paraId="3B6BA6F8" w14:textId="77777777" w:rsidR="00CB63AA" w:rsidRDefault="00CB63AA" w:rsidP="00CB63AA">
      <w:pPr>
        <w:rPr>
          <w:rFonts w:asciiTheme="minorHAnsi" w:hAnsiTheme="minorHAnsi" w:cs="Calibri"/>
          <w:lang w:eastAsia="zh-TW"/>
        </w:rPr>
      </w:pPr>
      <w:r>
        <w:rPr>
          <w:rFonts w:asciiTheme="minorHAnsi" w:hAnsiTheme="minorHAnsi" w:cs="Calibri"/>
          <w:lang w:eastAsia="zh-TW"/>
        </w:rPr>
        <w:t xml:space="preserve">A large </w:t>
      </w:r>
      <w:r w:rsidRPr="00AA0C7B">
        <w:rPr>
          <w:rFonts w:asciiTheme="minorHAnsi" w:hAnsiTheme="minorHAnsi" w:cs="Calibri"/>
          <w:lang w:eastAsia="zh-TW"/>
        </w:rPr>
        <w:t xml:space="preserve">and durable confirmed ORR per BICR was demonstrated. </w:t>
      </w:r>
      <w:r>
        <w:rPr>
          <w:rFonts w:asciiTheme="minorHAnsi" w:hAnsiTheme="minorHAnsi" w:cs="Calibri"/>
          <w:lang w:eastAsia="zh-TW"/>
        </w:rPr>
        <w:t xml:space="preserve">The </w:t>
      </w:r>
      <w:r w:rsidRPr="00AA0C7B">
        <w:rPr>
          <w:rFonts w:asciiTheme="minorHAnsi" w:hAnsiTheme="minorHAnsi" w:cs="Calibri"/>
          <w:lang w:eastAsia="zh-TW"/>
        </w:rPr>
        <w:t>ORR (95% CI) was 57% (43%, 71%)</w:t>
      </w:r>
      <w:r>
        <w:rPr>
          <w:rFonts w:asciiTheme="minorHAnsi" w:hAnsiTheme="minorHAnsi" w:cs="Calibri"/>
          <w:lang w:eastAsia="zh-TW"/>
        </w:rPr>
        <w:t xml:space="preserve">. There was a CR rate of 7.4% and a PR rate of 50%. </w:t>
      </w:r>
      <w:r w:rsidRPr="00AA0C7B">
        <w:rPr>
          <w:rFonts w:asciiTheme="minorHAnsi" w:hAnsiTheme="minorHAnsi" w:cs="Calibri"/>
          <w:lang w:eastAsia="zh-TW"/>
        </w:rPr>
        <w:t xml:space="preserve">The median DOR (95% CI) was </w:t>
      </w:r>
      <w:r>
        <w:rPr>
          <w:rFonts w:asciiTheme="minorHAnsi" w:hAnsiTheme="minorHAnsi" w:cs="Calibri"/>
          <w:lang w:eastAsia="zh-TW"/>
        </w:rPr>
        <w:t>10.4 months (7.1, not estimable</w:t>
      </w:r>
      <w:r w:rsidRPr="00AA0C7B">
        <w:rPr>
          <w:rFonts w:asciiTheme="minorHAnsi" w:hAnsiTheme="minorHAnsi" w:cs="Calibri"/>
          <w:lang w:eastAsia="zh-TW"/>
        </w:rPr>
        <w:t>)</w:t>
      </w:r>
      <w:r>
        <w:rPr>
          <w:rFonts w:asciiTheme="minorHAnsi" w:hAnsiTheme="minorHAnsi" w:cs="Calibri"/>
          <w:lang w:eastAsia="zh-TW"/>
        </w:rPr>
        <w:t xml:space="preserve"> </w:t>
      </w:r>
      <w:r w:rsidRPr="00AA0C7B">
        <w:rPr>
          <w:rFonts w:asciiTheme="minorHAnsi" w:hAnsiTheme="minorHAnsi" w:cs="Calibri"/>
          <w:lang w:eastAsia="zh-TW"/>
        </w:rPr>
        <w:t xml:space="preserve">with minimum </w:t>
      </w:r>
      <w:r>
        <w:rPr>
          <w:rFonts w:asciiTheme="minorHAnsi" w:hAnsiTheme="minorHAnsi" w:cs="Calibri"/>
          <w:lang w:eastAsia="zh-TW"/>
        </w:rPr>
        <w:t>6</w:t>
      </w:r>
      <w:r w:rsidRPr="00AA0C7B">
        <w:rPr>
          <w:rFonts w:asciiTheme="minorHAnsi" w:hAnsiTheme="minorHAnsi" w:cs="Calibri"/>
          <w:lang w:eastAsia="zh-TW"/>
        </w:rPr>
        <w:t xml:space="preserve"> months follow up</w:t>
      </w:r>
      <w:r>
        <w:rPr>
          <w:rFonts w:asciiTheme="minorHAnsi" w:hAnsiTheme="minorHAnsi" w:cs="Calibri"/>
          <w:lang w:eastAsia="zh-TW"/>
        </w:rPr>
        <w:t xml:space="preserve">. At a data cut-off date of 31 Oct 2018, 68% of responses had lasted at least 6 months, </w:t>
      </w:r>
      <w:r w:rsidRPr="00AA0C7B">
        <w:rPr>
          <w:rFonts w:asciiTheme="minorHAnsi" w:hAnsiTheme="minorHAnsi" w:cs="Calibri"/>
          <w:lang w:eastAsia="zh-TW"/>
        </w:rPr>
        <w:t xml:space="preserve">and </w:t>
      </w:r>
      <w:r>
        <w:rPr>
          <w:rFonts w:asciiTheme="minorHAnsi" w:hAnsiTheme="minorHAnsi" w:cs="Calibri"/>
          <w:lang w:eastAsia="zh-TW"/>
        </w:rPr>
        <w:t>4</w:t>
      </w:r>
      <w:r w:rsidRPr="00AA0C7B">
        <w:rPr>
          <w:rFonts w:asciiTheme="minorHAnsi" w:hAnsiTheme="minorHAnsi" w:cs="Calibri"/>
          <w:lang w:eastAsia="zh-TW"/>
        </w:rPr>
        <w:t xml:space="preserve">5% of responses </w:t>
      </w:r>
      <w:r>
        <w:rPr>
          <w:rFonts w:asciiTheme="minorHAnsi" w:hAnsiTheme="minorHAnsi" w:cs="Calibri"/>
          <w:lang w:eastAsia="zh-TW"/>
        </w:rPr>
        <w:t>had lasted at least</w:t>
      </w:r>
      <w:r w:rsidRPr="00AA0C7B">
        <w:rPr>
          <w:rFonts w:asciiTheme="minorHAnsi" w:hAnsiTheme="minorHAnsi" w:cs="Calibri"/>
          <w:lang w:eastAsia="zh-TW"/>
        </w:rPr>
        <w:t xml:space="preserve"> 12 </w:t>
      </w:r>
      <w:r>
        <w:rPr>
          <w:rFonts w:asciiTheme="minorHAnsi" w:hAnsiTheme="minorHAnsi" w:cs="Calibri"/>
          <w:lang w:eastAsia="zh-TW"/>
        </w:rPr>
        <w:t>months. Very limited data also supports activity against intracranial metastases, as well as efficacy in CNS primary disease.</w:t>
      </w:r>
    </w:p>
    <w:p w14:paraId="2BF13B75" w14:textId="6E70F0EC" w:rsidR="00CB63AA" w:rsidRDefault="00CB63AA" w:rsidP="00CB63AA">
      <w:pPr>
        <w:rPr>
          <w:rFonts w:asciiTheme="minorHAnsi" w:hAnsiTheme="minorHAnsi" w:cs="Calibri"/>
          <w:lang w:eastAsia="zh-TW"/>
        </w:rPr>
      </w:pPr>
      <w:r w:rsidRPr="00EE2136">
        <w:rPr>
          <w:rFonts w:asciiTheme="minorHAnsi" w:hAnsiTheme="minorHAnsi" w:cs="Calibri"/>
          <w:lang w:eastAsia="zh-TW"/>
        </w:rPr>
        <w:t>The</w:t>
      </w:r>
      <w:r>
        <w:rPr>
          <w:rFonts w:asciiTheme="minorHAnsi" w:hAnsiTheme="minorHAnsi" w:cs="Calibri"/>
          <w:lang w:eastAsia="zh-TW"/>
        </w:rPr>
        <w:t xml:space="preserve"> </w:t>
      </w:r>
      <w:r w:rsidRPr="00EE2136">
        <w:rPr>
          <w:rFonts w:asciiTheme="minorHAnsi" w:hAnsiTheme="minorHAnsi" w:cs="Calibri"/>
          <w:lang w:eastAsia="zh-TW"/>
        </w:rPr>
        <w:t xml:space="preserve">rarity of </w:t>
      </w:r>
      <w:r>
        <w:rPr>
          <w:rFonts w:asciiTheme="minorHAnsi" w:hAnsiTheme="minorHAnsi" w:cs="Calibri"/>
          <w:lang w:eastAsia="zh-TW"/>
        </w:rPr>
        <w:t xml:space="preserve">this diagnosis </w:t>
      </w:r>
      <w:r w:rsidRPr="00EE2136">
        <w:rPr>
          <w:rFonts w:asciiTheme="minorHAnsi" w:hAnsiTheme="minorHAnsi" w:cs="Calibri"/>
          <w:lang w:eastAsia="zh-TW"/>
        </w:rPr>
        <w:t xml:space="preserve">and the heterogeneity of </w:t>
      </w:r>
      <w:proofErr w:type="spellStart"/>
      <w:r w:rsidRPr="00EE2136">
        <w:rPr>
          <w:rFonts w:asciiTheme="minorHAnsi" w:hAnsiTheme="minorHAnsi" w:cs="Calibri"/>
          <w:lang w:eastAsia="zh-TW"/>
        </w:rPr>
        <w:t>histologies</w:t>
      </w:r>
      <w:proofErr w:type="spellEnd"/>
      <w:r w:rsidRPr="00EE2136">
        <w:rPr>
          <w:rFonts w:asciiTheme="minorHAnsi" w:hAnsiTheme="minorHAnsi" w:cs="Calibri"/>
          <w:lang w:eastAsia="zh-TW"/>
        </w:rPr>
        <w:t xml:space="preserve"> in which </w:t>
      </w:r>
      <w:r w:rsidRPr="000C761A">
        <w:rPr>
          <w:rFonts w:asciiTheme="minorHAnsi" w:hAnsiTheme="minorHAnsi" w:cs="Calibri"/>
          <w:i/>
          <w:lang w:eastAsia="zh-TW"/>
        </w:rPr>
        <w:t>NTRK</w:t>
      </w:r>
      <w:r w:rsidRPr="00EE2136">
        <w:rPr>
          <w:rFonts w:asciiTheme="minorHAnsi" w:hAnsiTheme="minorHAnsi" w:cs="Calibri"/>
          <w:lang w:eastAsia="zh-TW"/>
        </w:rPr>
        <w:t xml:space="preserve"> rearrangements are seen </w:t>
      </w:r>
      <w:r>
        <w:rPr>
          <w:rFonts w:asciiTheme="minorHAnsi" w:hAnsiTheme="minorHAnsi" w:cs="Calibri"/>
          <w:lang w:eastAsia="zh-TW"/>
        </w:rPr>
        <w:t>renders</w:t>
      </w:r>
      <w:r w:rsidRPr="00EE2136">
        <w:rPr>
          <w:rFonts w:asciiTheme="minorHAnsi" w:hAnsiTheme="minorHAnsi" w:cs="Calibri"/>
          <w:lang w:eastAsia="zh-TW"/>
        </w:rPr>
        <w:t xml:space="preserve"> randomised trials in this population infeasible. </w:t>
      </w:r>
      <w:r>
        <w:rPr>
          <w:rFonts w:asciiTheme="minorHAnsi" w:hAnsiTheme="minorHAnsi" w:cs="Calibri"/>
          <w:lang w:eastAsia="zh-TW"/>
        </w:rPr>
        <w:t>Additionally, there is strong preclin</w:t>
      </w:r>
      <w:r w:rsidRPr="00EE2136">
        <w:rPr>
          <w:rFonts w:asciiTheme="minorHAnsi" w:hAnsiTheme="minorHAnsi" w:cs="Calibri"/>
          <w:lang w:eastAsia="zh-TW"/>
        </w:rPr>
        <w:t>ical rationale</w:t>
      </w:r>
      <w:r>
        <w:rPr>
          <w:rFonts w:asciiTheme="minorHAnsi" w:hAnsiTheme="minorHAnsi" w:cs="Calibri"/>
          <w:lang w:eastAsia="zh-TW"/>
        </w:rPr>
        <w:t>,</w:t>
      </w:r>
      <w:r w:rsidRPr="00EE2136">
        <w:rPr>
          <w:rFonts w:asciiTheme="minorHAnsi" w:hAnsiTheme="minorHAnsi" w:cs="Calibri"/>
          <w:lang w:eastAsia="zh-TW"/>
        </w:rPr>
        <w:t xml:space="preserve"> supported by nonclinical data</w:t>
      </w:r>
      <w:r>
        <w:rPr>
          <w:rFonts w:asciiTheme="minorHAnsi" w:hAnsiTheme="minorHAnsi" w:cs="Calibri"/>
          <w:lang w:eastAsia="zh-TW"/>
        </w:rPr>
        <w:t>,</w:t>
      </w:r>
      <w:r w:rsidRPr="00EE2136">
        <w:rPr>
          <w:rFonts w:asciiTheme="minorHAnsi" w:hAnsiTheme="minorHAnsi" w:cs="Calibri"/>
          <w:lang w:eastAsia="zh-TW"/>
        </w:rPr>
        <w:t xml:space="preserve"> for the </w:t>
      </w:r>
      <w:r w:rsidRPr="00EE2136">
        <w:rPr>
          <w:rFonts w:asciiTheme="minorHAnsi" w:hAnsiTheme="minorHAnsi" w:cs="Calibri"/>
          <w:lang w:eastAsia="zh-TW"/>
        </w:rPr>
        <w:lastRenderedPageBreak/>
        <w:t xml:space="preserve">pooling of </w:t>
      </w:r>
      <w:r>
        <w:rPr>
          <w:rFonts w:asciiTheme="minorHAnsi" w:hAnsiTheme="minorHAnsi" w:cs="Calibri"/>
          <w:lang w:eastAsia="zh-TW"/>
        </w:rPr>
        <w:t>efficacy data</w:t>
      </w:r>
      <w:r w:rsidRPr="00EE2136">
        <w:rPr>
          <w:rFonts w:asciiTheme="minorHAnsi" w:hAnsiTheme="minorHAnsi" w:cs="Calibri"/>
          <w:lang w:eastAsia="zh-TW"/>
        </w:rPr>
        <w:t xml:space="preserve"> across </w:t>
      </w:r>
      <w:proofErr w:type="spellStart"/>
      <w:r w:rsidRPr="00EE2136">
        <w:rPr>
          <w:rFonts w:asciiTheme="minorHAnsi" w:hAnsiTheme="minorHAnsi" w:cs="Calibri"/>
          <w:lang w:eastAsia="zh-TW"/>
        </w:rPr>
        <w:t>histologies</w:t>
      </w:r>
      <w:proofErr w:type="spellEnd"/>
      <w:r>
        <w:rPr>
          <w:rFonts w:asciiTheme="minorHAnsi" w:hAnsiTheme="minorHAnsi" w:cs="Calibri"/>
          <w:lang w:eastAsia="zh-TW"/>
        </w:rPr>
        <w:t xml:space="preserve"> based on genetic subtyping</w:t>
      </w:r>
      <w:r w:rsidRPr="00EE2136">
        <w:rPr>
          <w:rFonts w:asciiTheme="minorHAnsi" w:hAnsiTheme="minorHAnsi" w:cs="Calibri"/>
          <w:lang w:eastAsia="zh-TW"/>
        </w:rPr>
        <w:t>.</w:t>
      </w:r>
      <w:r w:rsidR="00E7212D">
        <w:rPr>
          <w:rFonts w:asciiTheme="minorHAnsi" w:hAnsiTheme="minorHAnsi" w:cs="Calibri"/>
          <w:lang w:eastAsia="zh-TW"/>
        </w:rPr>
        <w:t xml:space="preserve"> The single </w:t>
      </w:r>
      <w:r w:rsidRPr="00EE2136">
        <w:rPr>
          <w:rFonts w:asciiTheme="minorHAnsi" w:hAnsiTheme="minorHAnsi" w:cs="Calibri"/>
          <w:lang w:eastAsia="zh-TW"/>
        </w:rPr>
        <w:t>arm, pooled design and size limitations of this dataset are acceptable</w:t>
      </w:r>
      <w:r>
        <w:rPr>
          <w:rFonts w:asciiTheme="minorHAnsi" w:hAnsiTheme="minorHAnsi" w:cs="Calibri"/>
          <w:lang w:eastAsia="zh-TW"/>
        </w:rPr>
        <w:t xml:space="preserve"> based on the above</w:t>
      </w:r>
      <w:r w:rsidRPr="00EE2136">
        <w:rPr>
          <w:rFonts w:asciiTheme="minorHAnsi" w:hAnsiTheme="minorHAnsi" w:cs="Calibri"/>
          <w:lang w:eastAsia="zh-TW"/>
        </w:rPr>
        <w:t>, however, the estimates of response rate and duration</w:t>
      </w:r>
      <w:r>
        <w:rPr>
          <w:rFonts w:asciiTheme="minorHAnsi" w:hAnsiTheme="minorHAnsi" w:cs="Calibri"/>
          <w:lang w:eastAsia="zh-TW"/>
        </w:rPr>
        <w:t xml:space="preserve"> in the overall </w:t>
      </w:r>
      <w:r w:rsidRPr="000C761A">
        <w:rPr>
          <w:rFonts w:asciiTheme="minorHAnsi" w:hAnsiTheme="minorHAnsi" w:cs="Calibri"/>
          <w:i/>
          <w:lang w:eastAsia="zh-TW"/>
        </w:rPr>
        <w:t>NTRK</w:t>
      </w:r>
      <w:r>
        <w:rPr>
          <w:rFonts w:asciiTheme="minorHAnsi" w:hAnsiTheme="minorHAnsi" w:cs="Calibri"/>
          <w:lang w:eastAsia="zh-TW"/>
        </w:rPr>
        <w:t>-positive population as well as</w:t>
      </w:r>
      <w:r w:rsidRPr="00EE2136">
        <w:rPr>
          <w:rFonts w:asciiTheme="minorHAnsi" w:hAnsiTheme="minorHAnsi" w:cs="Calibri"/>
          <w:lang w:eastAsia="zh-TW"/>
        </w:rPr>
        <w:t xml:space="preserve"> in subgroups based on histology are </w:t>
      </w:r>
      <w:r>
        <w:rPr>
          <w:rFonts w:asciiTheme="minorHAnsi" w:hAnsiTheme="minorHAnsi" w:cs="Calibri"/>
          <w:lang w:eastAsia="zh-TW"/>
        </w:rPr>
        <w:t xml:space="preserve">imprecise </w:t>
      </w:r>
      <w:r w:rsidRPr="00EE2136">
        <w:rPr>
          <w:rFonts w:asciiTheme="minorHAnsi" w:hAnsiTheme="minorHAnsi" w:cs="Calibri"/>
          <w:lang w:eastAsia="zh-TW"/>
        </w:rPr>
        <w:t>due to the small</w:t>
      </w:r>
      <w:r>
        <w:rPr>
          <w:rFonts w:asciiTheme="minorHAnsi" w:hAnsiTheme="minorHAnsi" w:cs="Calibri"/>
          <w:lang w:eastAsia="zh-TW"/>
        </w:rPr>
        <w:t xml:space="preserve"> overall population and very small sub</w:t>
      </w:r>
      <w:r w:rsidR="008C45A0">
        <w:rPr>
          <w:rFonts w:asciiTheme="minorHAnsi" w:hAnsiTheme="minorHAnsi" w:cs="Calibri"/>
          <w:lang w:eastAsia="zh-TW"/>
        </w:rPr>
        <w:t>group sizes.</w:t>
      </w:r>
    </w:p>
    <w:p w14:paraId="6082B64B" w14:textId="0210E31B" w:rsidR="00CB63AA" w:rsidRDefault="00CB63AA" w:rsidP="00CB63AA">
      <w:pPr>
        <w:rPr>
          <w:rFonts w:asciiTheme="minorHAnsi" w:hAnsiTheme="minorHAnsi" w:cs="Calibri"/>
          <w:lang w:eastAsia="zh-TW"/>
        </w:rPr>
      </w:pPr>
      <w:r>
        <w:rPr>
          <w:rFonts w:asciiTheme="minorHAnsi" w:hAnsiTheme="minorHAnsi" w:cs="Calibri"/>
          <w:lang w:eastAsia="zh-TW"/>
        </w:rPr>
        <w:t>In patients with treatment-refractory solid tumours, either no treatment options remain or those that do are usually associated with significant morbidity and/or poor efficacy, with respons</w:t>
      </w:r>
      <w:r w:rsidR="00A4213A">
        <w:rPr>
          <w:rFonts w:asciiTheme="minorHAnsi" w:hAnsiTheme="minorHAnsi" w:cs="Calibri"/>
          <w:lang w:eastAsia="zh-TW"/>
        </w:rPr>
        <w:t>e rates generally less than 30%.</w:t>
      </w:r>
      <w:r w:rsidR="00A4213A">
        <w:rPr>
          <w:rFonts w:asciiTheme="minorHAnsi" w:hAnsiTheme="minorHAnsi" w:cs="Calibri"/>
          <w:lang w:eastAsia="zh-TW"/>
        </w:rPr>
        <w:fldChar w:fldCharType="begin"/>
      </w:r>
      <w:r w:rsidR="00A4213A">
        <w:rPr>
          <w:rFonts w:asciiTheme="minorHAnsi" w:hAnsiTheme="minorHAnsi" w:cs="Calibri"/>
          <w:lang w:eastAsia="zh-TW"/>
        </w:rPr>
        <w:instrText xml:space="preserve"> NOTEREF _Ref50554541 \f \h </w:instrText>
      </w:r>
      <w:r w:rsidR="00A4213A">
        <w:rPr>
          <w:rFonts w:asciiTheme="minorHAnsi" w:hAnsiTheme="minorHAnsi" w:cs="Calibri"/>
          <w:lang w:eastAsia="zh-TW"/>
        </w:rPr>
      </w:r>
      <w:r w:rsidR="00A4213A">
        <w:rPr>
          <w:rFonts w:asciiTheme="minorHAnsi" w:hAnsiTheme="minorHAnsi" w:cs="Calibri"/>
          <w:lang w:eastAsia="zh-TW"/>
        </w:rPr>
        <w:fldChar w:fldCharType="separate"/>
      </w:r>
      <w:r w:rsidR="005743D8" w:rsidRPr="005743D8">
        <w:rPr>
          <w:rStyle w:val="FootnoteReference"/>
        </w:rPr>
        <w:t>12</w:t>
      </w:r>
      <w:r w:rsidR="00A4213A">
        <w:rPr>
          <w:rFonts w:asciiTheme="minorHAnsi" w:hAnsiTheme="minorHAnsi" w:cs="Calibri"/>
          <w:lang w:eastAsia="zh-TW"/>
        </w:rPr>
        <w:fldChar w:fldCharType="end"/>
      </w:r>
      <w:r>
        <w:rPr>
          <w:rFonts w:asciiTheme="minorHAnsi" w:hAnsiTheme="minorHAnsi" w:cs="Calibri"/>
          <w:lang w:eastAsia="zh-TW"/>
        </w:rPr>
        <w:t xml:space="preserve"> In this context, the magnitude of response rate and durability of responses demonstrated in this submission are considered </w:t>
      </w:r>
      <w:r w:rsidRPr="00181714">
        <w:rPr>
          <w:rFonts w:asciiTheme="minorHAnsi" w:hAnsiTheme="minorHAnsi" w:cs="Calibri"/>
          <w:lang w:eastAsia="zh-TW"/>
        </w:rPr>
        <w:t xml:space="preserve">sufficient to </w:t>
      </w:r>
      <w:r w:rsidRPr="00A93757">
        <w:rPr>
          <w:rFonts w:asciiTheme="minorHAnsi" w:hAnsiTheme="minorHAnsi" w:cs="Calibri"/>
          <w:lang w:eastAsia="zh-TW"/>
        </w:rPr>
        <w:t>provisionally establish efficacy for the proposed usage, based on the clinical benefit associated with tumour responses in refractory solid tumours and the infeasibility of conducting randomised studies in this indication due to the rarity of its occurrence.</w:t>
      </w:r>
    </w:p>
    <w:p w14:paraId="031CF8EB" w14:textId="1C4CEADB" w:rsidR="00CB63AA" w:rsidRPr="00507964" w:rsidRDefault="00CB63AA" w:rsidP="009B155E">
      <w:pPr>
        <w:rPr>
          <w:rFonts w:asciiTheme="minorHAnsi" w:hAnsiTheme="minorHAnsi" w:cs="Calibri"/>
          <w:lang w:eastAsia="zh-TW"/>
        </w:rPr>
      </w:pPr>
      <w:r>
        <w:rPr>
          <w:rFonts w:asciiTheme="minorHAnsi" w:hAnsiTheme="minorHAnsi" w:cs="Calibri"/>
          <w:lang w:eastAsia="zh-TW"/>
        </w:rPr>
        <w:t xml:space="preserve">Additional data is expected to be collected through further enrolment and follow-up of the </w:t>
      </w:r>
      <w:proofErr w:type="spellStart"/>
      <w:r w:rsidR="00AE3BFC">
        <w:rPr>
          <w:rFonts w:asciiTheme="minorHAnsi" w:hAnsiTheme="minorHAnsi" w:cs="Calibri"/>
          <w:lang w:eastAsia="zh-TW"/>
        </w:rPr>
        <w:t>the</w:t>
      </w:r>
      <w:proofErr w:type="spellEnd"/>
      <w:r w:rsidR="00AE3BFC">
        <w:rPr>
          <w:rFonts w:asciiTheme="minorHAnsi" w:hAnsiTheme="minorHAnsi" w:cs="Calibri"/>
          <w:lang w:eastAsia="zh-TW"/>
        </w:rPr>
        <w:t xml:space="preserve"> </w:t>
      </w:r>
      <w:r>
        <w:rPr>
          <w:rFonts w:asciiTheme="minorHAnsi" w:hAnsiTheme="minorHAnsi" w:cs="Calibri"/>
          <w:lang w:eastAsia="zh-TW"/>
        </w:rPr>
        <w:t>STARTRK-2 and STARTRK-NG clinical trials. This confirmatory data is expected to improve the precision of the estimates for response rate and duration in NTRK fusion-positive solid tumours overall, as well as in subgroups based on histology, and in paediatric patients.</w:t>
      </w:r>
    </w:p>
    <w:p w14:paraId="4000B09D" w14:textId="4D3B6C00" w:rsidR="002765B3" w:rsidRDefault="002765B3" w:rsidP="002765B3">
      <w:pPr>
        <w:pStyle w:val="Heading4"/>
      </w:pPr>
      <w:r>
        <w:t>Safety</w:t>
      </w:r>
    </w:p>
    <w:p w14:paraId="4E2B08DC" w14:textId="77777777" w:rsidR="00107C76" w:rsidRPr="007D2F65" w:rsidRDefault="00107C76" w:rsidP="00017B2C">
      <w:pPr>
        <w:pStyle w:val="Heading5"/>
      </w:pPr>
      <w:r w:rsidRPr="007D2F65">
        <w:t>Total safety population</w:t>
      </w:r>
    </w:p>
    <w:p w14:paraId="63FFD0C3" w14:textId="146190F5" w:rsidR="00107C76" w:rsidRPr="009C0CE3" w:rsidRDefault="00107C76" w:rsidP="00107C76">
      <w:pPr>
        <w:rPr>
          <w:rFonts w:asciiTheme="minorHAnsi" w:hAnsiTheme="minorHAnsi" w:cs="Calibri"/>
          <w:lang w:val="en-US"/>
        </w:rPr>
      </w:pPr>
      <w:r w:rsidRPr="009C0CE3">
        <w:rPr>
          <w:rFonts w:asciiTheme="minorHAnsi" w:hAnsiTheme="minorHAnsi" w:cs="Calibri"/>
          <w:lang w:val="en-US"/>
        </w:rPr>
        <w:t>The FDA reviewed coding and accuracy of the original safety dat</w:t>
      </w:r>
      <w:r>
        <w:rPr>
          <w:rFonts w:asciiTheme="minorHAnsi" w:hAnsiTheme="minorHAnsi" w:cs="Calibri"/>
          <w:lang w:val="en-US"/>
        </w:rPr>
        <w:t>asets submitted to them by the s</w:t>
      </w:r>
      <w:r w:rsidRPr="009C0CE3">
        <w:rPr>
          <w:rFonts w:asciiTheme="minorHAnsi" w:hAnsiTheme="minorHAnsi" w:cs="Calibri"/>
          <w:lang w:val="en-US"/>
        </w:rPr>
        <w:t xml:space="preserve">ponsor, and conducted an independent safety analysis using the revised datasets. Broadly, the conclusions on </w:t>
      </w:r>
      <w:r>
        <w:rPr>
          <w:rFonts w:asciiTheme="minorHAnsi" w:hAnsiTheme="minorHAnsi" w:cs="Calibri"/>
          <w:lang w:val="en-US"/>
        </w:rPr>
        <w:t>clinical safety reached by the s</w:t>
      </w:r>
      <w:r w:rsidRPr="009C0CE3">
        <w:rPr>
          <w:rFonts w:asciiTheme="minorHAnsi" w:hAnsiTheme="minorHAnsi" w:cs="Calibri"/>
          <w:lang w:val="en-US"/>
        </w:rPr>
        <w:t>ponsor reviewer and the FDA clinical review team are similar.</w:t>
      </w:r>
    </w:p>
    <w:p w14:paraId="67F8B7CE" w14:textId="360C9A87" w:rsidR="00107C76" w:rsidRPr="009C0CE3" w:rsidRDefault="00107C76" w:rsidP="00107C76">
      <w:pPr>
        <w:rPr>
          <w:rFonts w:asciiTheme="minorHAnsi" w:hAnsiTheme="minorHAnsi" w:cs="Calibri"/>
        </w:rPr>
      </w:pPr>
      <w:r w:rsidRPr="009C0CE3">
        <w:rPr>
          <w:rFonts w:asciiTheme="minorHAnsi" w:hAnsiTheme="minorHAnsi" w:cs="Calibri"/>
          <w:lang w:val="en-US"/>
        </w:rPr>
        <w:t>Of the studies described in</w:t>
      </w:r>
      <w:r>
        <w:rPr>
          <w:rFonts w:asciiTheme="minorHAnsi" w:hAnsiTheme="minorHAnsi" w:cs="Calibri"/>
          <w:lang w:val="en-US"/>
        </w:rPr>
        <w:t xml:space="preserve"> </w:t>
      </w:r>
      <w:r>
        <w:rPr>
          <w:rFonts w:asciiTheme="minorHAnsi" w:hAnsiTheme="minorHAnsi" w:cs="Calibri"/>
          <w:lang w:val="en-US"/>
        </w:rPr>
        <w:fldChar w:fldCharType="begin"/>
      </w:r>
      <w:r>
        <w:rPr>
          <w:rFonts w:asciiTheme="minorHAnsi" w:hAnsiTheme="minorHAnsi" w:cs="Calibri"/>
          <w:lang w:val="en-US"/>
        </w:rPr>
        <w:instrText xml:space="preserve"> REF _Ref50708328 \h </w:instrText>
      </w:r>
      <w:r>
        <w:rPr>
          <w:rFonts w:asciiTheme="minorHAnsi" w:hAnsiTheme="minorHAnsi" w:cs="Calibri"/>
          <w:lang w:val="en-US"/>
        </w:rPr>
      </w:r>
      <w:r>
        <w:rPr>
          <w:rFonts w:asciiTheme="minorHAnsi" w:hAnsiTheme="minorHAnsi" w:cs="Calibri"/>
          <w:lang w:val="en-US"/>
        </w:rPr>
        <w:fldChar w:fldCharType="separate"/>
      </w:r>
      <w:r w:rsidR="005743D8">
        <w:t xml:space="preserve">Table </w:t>
      </w:r>
      <w:r w:rsidR="005743D8">
        <w:rPr>
          <w:noProof/>
        </w:rPr>
        <w:t>3</w:t>
      </w:r>
      <w:r>
        <w:rPr>
          <w:rFonts w:asciiTheme="minorHAnsi" w:hAnsiTheme="minorHAnsi" w:cs="Calibri"/>
          <w:lang w:val="en-US"/>
        </w:rPr>
        <w:fldChar w:fldCharType="end"/>
      </w:r>
      <w:r w:rsidRPr="009C0CE3">
        <w:rPr>
          <w:rFonts w:asciiTheme="minorHAnsi" w:hAnsiTheme="minorHAnsi" w:cs="Calibri"/>
          <w:lang w:val="en-US"/>
        </w:rPr>
        <w:t>,</w:t>
      </w:r>
      <w:r w:rsidR="00AE3BFC">
        <w:rPr>
          <w:rFonts w:asciiTheme="minorHAnsi" w:hAnsiTheme="minorHAnsi" w:cs="Calibri"/>
          <w:lang w:val="en-US"/>
        </w:rPr>
        <w:t xml:space="preserve"> above,</w:t>
      </w:r>
      <w:r w:rsidRPr="009C0CE3">
        <w:rPr>
          <w:rFonts w:asciiTheme="minorHAnsi" w:hAnsiTheme="minorHAnsi" w:cs="Calibri"/>
          <w:lang w:val="en-US"/>
        </w:rPr>
        <w:t xml:space="preserve"> </w:t>
      </w:r>
      <w:r w:rsidR="00AE3BFC">
        <w:rPr>
          <w:rFonts w:asciiTheme="minorHAnsi" w:hAnsiTheme="minorHAnsi" w:cs="Calibri"/>
          <w:lang w:val="en-US"/>
        </w:rPr>
        <w:t xml:space="preserve">the </w:t>
      </w:r>
      <w:r w:rsidRPr="009C0CE3">
        <w:rPr>
          <w:rFonts w:asciiTheme="minorHAnsi" w:hAnsiTheme="minorHAnsi" w:cs="Calibri"/>
          <w:lang w:val="en-US"/>
        </w:rPr>
        <w:t xml:space="preserve">ALKA, STARTRK-1, STARTRK-2 and STARTRK-NG </w:t>
      </w:r>
      <w:r w:rsidR="00B3760D">
        <w:rPr>
          <w:rFonts w:asciiTheme="minorHAnsi" w:hAnsiTheme="minorHAnsi" w:cs="Calibri"/>
          <w:lang w:val="en-US"/>
        </w:rPr>
        <w:t xml:space="preserve">trials </w:t>
      </w:r>
      <w:r w:rsidRPr="009C0CE3">
        <w:rPr>
          <w:rFonts w:asciiTheme="minorHAnsi" w:hAnsiTheme="minorHAnsi" w:cs="Calibri"/>
          <w:lang w:val="en-US"/>
        </w:rPr>
        <w:t xml:space="preserve">involved similar design, treatment and study populations, and so contributed data to the main integrated safety analysis in support of the proposed registration. </w:t>
      </w:r>
      <w:r w:rsidR="00AE3BFC">
        <w:rPr>
          <w:rFonts w:asciiTheme="minorHAnsi" w:hAnsiTheme="minorHAnsi" w:cs="Calibri"/>
          <w:lang w:val="en-US"/>
        </w:rPr>
        <w:t xml:space="preserve">The </w:t>
      </w:r>
      <w:r w:rsidRPr="009C0CE3">
        <w:rPr>
          <w:rFonts w:asciiTheme="minorHAnsi" w:hAnsiTheme="minorHAnsi" w:cs="Calibri"/>
          <w:lang w:val="en-US"/>
        </w:rPr>
        <w:t>ALKA, STARTRK-1</w:t>
      </w:r>
      <w:r>
        <w:rPr>
          <w:rFonts w:asciiTheme="minorHAnsi" w:hAnsiTheme="minorHAnsi" w:cs="Calibri"/>
          <w:lang w:val="en-US"/>
        </w:rPr>
        <w:t xml:space="preserve"> and STARTRK-2</w:t>
      </w:r>
      <w:r w:rsidR="00B3760D">
        <w:rPr>
          <w:rFonts w:asciiTheme="minorHAnsi" w:hAnsiTheme="minorHAnsi" w:cs="Calibri"/>
          <w:lang w:val="en-US"/>
        </w:rPr>
        <w:t xml:space="preserve"> trials</w:t>
      </w:r>
      <w:r>
        <w:rPr>
          <w:rFonts w:asciiTheme="minorHAnsi" w:hAnsiTheme="minorHAnsi" w:cs="Calibri"/>
          <w:lang w:val="en-US"/>
        </w:rPr>
        <w:t xml:space="preserve"> are described in efficacy section</w:t>
      </w:r>
      <w:r w:rsidR="00AE3BFC">
        <w:rPr>
          <w:rFonts w:asciiTheme="minorHAnsi" w:hAnsiTheme="minorHAnsi" w:cs="Calibri"/>
          <w:lang w:val="en-US"/>
        </w:rPr>
        <w:t>, above</w:t>
      </w:r>
      <w:r>
        <w:rPr>
          <w:rFonts w:asciiTheme="minorHAnsi" w:hAnsiTheme="minorHAnsi" w:cs="Calibri"/>
          <w:lang w:val="en-US"/>
        </w:rPr>
        <w:t xml:space="preserve">. </w:t>
      </w:r>
      <w:r w:rsidRPr="009C0CE3">
        <w:rPr>
          <w:rFonts w:asciiTheme="minorHAnsi" w:hAnsiTheme="minorHAnsi" w:cs="Calibri"/>
          <w:lang w:val="en-US"/>
        </w:rPr>
        <w:t>A description of STA</w:t>
      </w:r>
      <w:r>
        <w:rPr>
          <w:rFonts w:asciiTheme="minorHAnsi" w:hAnsiTheme="minorHAnsi" w:cs="Calibri"/>
          <w:lang w:val="en-US"/>
        </w:rPr>
        <w:t xml:space="preserve">RTRK-NG </w:t>
      </w:r>
      <w:r w:rsidR="00B3760D">
        <w:rPr>
          <w:rFonts w:asciiTheme="minorHAnsi" w:hAnsiTheme="minorHAnsi" w:cs="Calibri"/>
          <w:lang w:val="en-US"/>
        </w:rPr>
        <w:t xml:space="preserve">trial </w:t>
      </w:r>
      <w:r>
        <w:rPr>
          <w:rFonts w:asciiTheme="minorHAnsi" w:hAnsiTheme="minorHAnsi" w:cs="Calibri"/>
          <w:lang w:val="en-US"/>
        </w:rPr>
        <w:t>can be found in section below</w:t>
      </w:r>
      <w:r w:rsidR="000128B2">
        <w:rPr>
          <w:rFonts w:asciiTheme="minorHAnsi" w:hAnsiTheme="minorHAnsi" w:cs="Calibri"/>
          <w:lang w:val="en-US"/>
        </w:rPr>
        <w:t>.</w:t>
      </w:r>
      <w:r w:rsidR="00E06B14">
        <w:rPr>
          <w:rFonts w:asciiTheme="minorHAnsi" w:hAnsiTheme="minorHAnsi" w:cs="Calibri"/>
          <w:lang w:val="en-US"/>
        </w:rPr>
        <w:t xml:space="preserve"> S</w:t>
      </w:r>
      <w:proofErr w:type="spellStart"/>
      <w:r w:rsidR="000128B2" w:rsidRPr="009C0CE3">
        <w:rPr>
          <w:rFonts w:asciiTheme="minorHAnsi" w:hAnsiTheme="minorHAnsi" w:cs="Calibri"/>
        </w:rPr>
        <w:t>upporting</w:t>
      </w:r>
      <w:proofErr w:type="spellEnd"/>
      <w:r w:rsidRPr="009C0CE3">
        <w:rPr>
          <w:rFonts w:asciiTheme="minorHAnsi" w:hAnsiTheme="minorHAnsi" w:cs="Calibri"/>
        </w:rPr>
        <w:t xml:space="preserve"> safety data were submitted from a compassionate use program (for 5 adult and 3 paediatric patients), from midazolam DDI </w:t>
      </w:r>
      <w:r w:rsidR="009A34BE">
        <w:rPr>
          <w:rFonts w:asciiTheme="minorHAnsi" w:hAnsiTheme="minorHAnsi" w:cs="Calibri"/>
        </w:rPr>
        <w:t>S</w:t>
      </w:r>
      <w:r w:rsidRPr="009C0CE3">
        <w:rPr>
          <w:rFonts w:asciiTheme="minorHAnsi" w:hAnsiTheme="minorHAnsi" w:cs="Calibri"/>
        </w:rPr>
        <w:t>tudy RXDX-101-14 (14 adult patients), and from the dedicated clinical pharmacology studies (which enrolled healthy volunteers), but these were not included in the main integrated safety analysis as they were not suitable for pooling due to various differences in study purposes, designs and populations.</w:t>
      </w:r>
    </w:p>
    <w:p w14:paraId="7BAB07E6" w14:textId="29F9EB66" w:rsidR="00107C76" w:rsidRPr="00107C76" w:rsidRDefault="00107C76" w:rsidP="00107C76">
      <w:pPr>
        <w:rPr>
          <w:rFonts w:asciiTheme="minorHAnsi" w:hAnsiTheme="minorHAnsi" w:cs="Calibri"/>
          <w:lang w:val="en-US"/>
        </w:rPr>
      </w:pPr>
      <w:r w:rsidRPr="009C0CE3">
        <w:rPr>
          <w:rFonts w:asciiTheme="minorHAnsi" w:hAnsiTheme="minorHAnsi" w:cs="Calibri"/>
          <w:lang w:val="en-US"/>
        </w:rPr>
        <w:t>The FDA integrated review of safety included all enrolled patients as at 30 Nov 2017 who received at least one dose of entrectinib (n</w:t>
      </w:r>
      <w:r w:rsidR="00BF7C39">
        <w:rPr>
          <w:rFonts w:asciiTheme="minorHAnsi" w:hAnsiTheme="minorHAnsi" w:cs="Calibri"/>
          <w:lang w:val="en-US"/>
        </w:rPr>
        <w:t xml:space="preserve"> </w:t>
      </w:r>
      <w:r w:rsidRPr="009C0CE3">
        <w:rPr>
          <w:rFonts w:asciiTheme="minorHAnsi" w:hAnsiTheme="minorHAnsi" w:cs="Calibri"/>
          <w:lang w:val="en-US"/>
        </w:rPr>
        <w:t>=</w:t>
      </w:r>
      <w:r w:rsidR="00BF7C39">
        <w:rPr>
          <w:rFonts w:asciiTheme="minorHAnsi" w:hAnsiTheme="minorHAnsi" w:cs="Calibri"/>
          <w:lang w:val="en-US"/>
        </w:rPr>
        <w:t xml:space="preserve"> </w:t>
      </w:r>
      <w:r w:rsidRPr="009C0CE3">
        <w:rPr>
          <w:rFonts w:asciiTheme="minorHAnsi" w:hAnsiTheme="minorHAnsi" w:cs="Calibri"/>
          <w:lang w:val="en-US"/>
        </w:rPr>
        <w:t xml:space="preserve">355: 338 adult and 17 </w:t>
      </w:r>
      <w:proofErr w:type="spellStart"/>
      <w:r w:rsidRPr="009C0CE3">
        <w:rPr>
          <w:rFonts w:asciiTheme="minorHAnsi" w:hAnsiTheme="minorHAnsi" w:cs="Calibri"/>
          <w:lang w:val="en-US"/>
        </w:rPr>
        <w:t>paediatric</w:t>
      </w:r>
      <w:proofErr w:type="spellEnd"/>
      <w:r w:rsidRPr="009C0CE3">
        <w:rPr>
          <w:rFonts w:asciiTheme="minorHAnsi" w:hAnsiTheme="minorHAnsi" w:cs="Calibri"/>
          <w:lang w:val="en-US"/>
        </w:rPr>
        <w:t xml:space="preserve"> patients): 57 from </w:t>
      </w:r>
      <w:r w:rsidR="008E394F">
        <w:rPr>
          <w:rFonts w:asciiTheme="minorHAnsi" w:hAnsiTheme="minorHAnsi" w:cs="Calibri"/>
          <w:lang w:val="en-US"/>
        </w:rPr>
        <w:t xml:space="preserve">the </w:t>
      </w:r>
      <w:r w:rsidRPr="009C0CE3">
        <w:rPr>
          <w:rFonts w:asciiTheme="minorHAnsi" w:hAnsiTheme="minorHAnsi" w:cs="Calibri"/>
          <w:lang w:val="en-US"/>
        </w:rPr>
        <w:t>ALKA</w:t>
      </w:r>
      <w:r w:rsidR="00B3760D">
        <w:rPr>
          <w:rFonts w:asciiTheme="minorHAnsi" w:hAnsiTheme="minorHAnsi" w:cs="Calibri"/>
          <w:lang w:val="en-US"/>
        </w:rPr>
        <w:t xml:space="preserve"> trial</w:t>
      </w:r>
      <w:r w:rsidRPr="009C0CE3">
        <w:rPr>
          <w:rFonts w:asciiTheme="minorHAnsi" w:hAnsiTheme="minorHAnsi" w:cs="Calibri"/>
          <w:lang w:val="en-US"/>
        </w:rPr>
        <w:t xml:space="preserve">, 76 from </w:t>
      </w:r>
      <w:r w:rsidR="008E394F">
        <w:rPr>
          <w:rFonts w:asciiTheme="minorHAnsi" w:hAnsiTheme="minorHAnsi" w:cs="Calibri"/>
          <w:lang w:val="en-US"/>
        </w:rPr>
        <w:t xml:space="preserve">the </w:t>
      </w:r>
      <w:r w:rsidRPr="009C0CE3">
        <w:rPr>
          <w:rFonts w:asciiTheme="minorHAnsi" w:hAnsiTheme="minorHAnsi" w:cs="Calibri"/>
          <w:lang w:val="en-US"/>
        </w:rPr>
        <w:t>STARTRK-1</w:t>
      </w:r>
      <w:r w:rsidR="00B3760D">
        <w:rPr>
          <w:rFonts w:asciiTheme="minorHAnsi" w:hAnsiTheme="minorHAnsi" w:cs="Calibri"/>
          <w:lang w:val="en-US"/>
        </w:rPr>
        <w:t xml:space="preserve"> trial</w:t>
      </w:r>
      <w:r w:rsidRPr="009C0CE3">
        <w:rPr>
          <w:rFonts w:asciiTheme="minorHAnsi" w:hAnsiTheme="minorHAnsi" w:cs="Calibri"/>
          <w:lang w:val="en-US"/>
        </w:rPr>
        <w:t xml:space="preserve">, 206 from </w:t>
      </w:r>
      <w:r w:rsidR="008E394F">
        <w:rPr>
          <w:rFonts w:asciiTheme="minorHAnsi" w:hAnsiTheme="minorHAnsi" w:cs="Calibri"/>
          <w:lang w:val="en-US"/>
        </w:rPr>
        <w:t xml:space="preserve">the </w:t>
      </w:r>
      <w:r w:rsidRPr="009C0CE3">
        <w:rPr>
          <w:rFonts w:asciiTheme="minorHAnsi" w:hAnsiTheme="minorHAnsi" w:cs="Calibri"/>
          <w:lang w:val="en-US"/>
        </w:rPr>
        <w:t xml:space="preserve">STARTRK-2 </w:t>
      </w:r>
      <w:r w:rsidR="00B3760D">
        <w:rPr>
          <w:rFonts w:asciiTheme="minorHAnsi" w:hAnsiTheme="minorHAnsi" w:cs="Calibri"/>
          <w:lang w:val="en-US"/>
        </w:rPr>
        <w:t xml:space="preserve">trial </w:t>
      </w:r>
      <w:r w:rsidRPr="009C0CE3">
        <w:rPr>
          <w:rFonts w:asciiTheme="minorHAnsi" w:hAnsiTheme="minorHAnsi" w:cs="Calibri"/>
          <w:lang w:val="en-US"/>
        </w:rPr>
        <w:t xml:space="preserve">(2 of whom were under the age of 18), and 16 from </w:t>
      </w:r>
      <w:r w:rsidR="008E394F">
        <w:rPr>
          <w:rFonts w:asciiTheme="minorHAnsi" w:hAnsiTheme="minorHAnsi" w:cs="Calibri"/>
          <w:lang w:val="en-US"/>
        </w:rPr>
        <w:t xml:space="preserve">the </w:t>
      </w:r>
      <w:r w:rsidRPr="009C0CE3">
        <w:rPr>
          <w:rFonts w:asciiTheme="minorHAnsi" w:hAnsiTheme="minorHAnsi" w:cs="Calibri"/>
          <w:lang w:val="en-US"/>
        </w:rPr>
        <w:t xml:space="preserve">STARTRK-NG </w:t>
      </w:r>
      <w:r w:rsidR="00B3760D">
        <w:rPr>
          <w:rFonts w:asciiTheme="minorHAnsi" w:hAnsiTheme="minorHAnsi" w:cs="Calibri"/>
          <w:lang w:val="en-US"/>
        </w:rPr>
        <w:t xml:space="preserve">trial </w:t>
      </w:r>
      <w:r w:rsidRPr="009C0CE3">
        <w:rPr>
          <w:rFonts w:asciiTheme="minorHAnsi" w:hAnsiTheme="minorHAnsi" w:cs="Calibri"/>
          <w:lang w:val="en-US"/>
        </w:rPr>
        <w:t>(15 of whom were under the age of 18).</w:t>
      </w:r>
    </w:p>
    <w:p w14:paraId="54963311" w14:textId="7DD78DEF" w:rsidR="006421E2" w:rsidRDefault="00B3760D" w:rsidP="00D84CA8">
      <w:pPr>
        <w:pStyle w:val="Heading5"/>
      </w:pPr>
      <w:bookmarkStart w:id="62" w:name="_Ref30148401"/>
      <w:r>
        <w:t>Study RXDX-101-03/CO40778 (</w:t>
      </w:r>
      <w:r w:rsidRPr="006421E2">
        <w:t>STARTR</w:t>
      </w:r>
      <w:r>
        <w:t>K-NG trial)</w:t>
      </w:r>
      <w:bookmarkEnd w:id="62"/>
    </w:p>
    <w:p w14:paraId="493EED10" w14:textId="1315A927" w:rsidR="00A07102" w:rsidRPr="00A07102" w:rsidRDefault="00A07102" w:rsidP="007D2F65">
      <w:pPr>
        <w:pStyle w:val="TableTitle"/>
      </w:pPr>
      <w:r>
        <w:t xml:space="preserve">Table </w:t>
      </w:r>
      <w:fldSimple w:instr=" SEQ Table \* ARABIC ">
        <w:r w:rsidR="009B407B">
          <w:rPr>
            <w:noProof/>
          </w:rPr>
          <w:t>21</w:t>
        </w:r>
      </w:fldSimple>
      <w:r>
        <w:t>: Study RXDX-101-03/CO40778 (</w:t>
      </w:r>
      <w:r w:rsidRPr="006421E2">
        <w:t>STARTR</w:t>
      </w:r>
      <w:r>
        <w:t>K-NG trial)</w:t>
      </w:r>
      <w:r w:rsidRPr="006421E2">
        <w:t xml:space="preserve"> description</w:t>
      </w:r>
    </w:p>
    <w:tbl>
      <w:tblPr>
        <w:tblStyle w:val="TableTGAblue"/>
        <w:tblW w:w="8755" w:type="dxa"/>
        <w:tblLayout w:type="fixed"/>
        <w:tblLook w:val="04A0" w:firstRow="1" w:lastRow="0" w:firstColumn="1" w:lastColumn="0" w:noHBand="0" w:noVBand="1"/>
      </w:tblPr>
      <w:tblGrid>
        <w:gridCol w:w="1733"/>
        <w:gridCol w:w="7022"/>
      </w:tblGrid>
      <w:tr w:rsidR="006421E2" w:rsidRPr="006421E2" w14:paraId="11FA142A" w14:textId="77777777" w:rsidTr="00D84CA8">
        <w:trPr>
          <w:cnfStyle w:val="100000000000" w:firstRow="1" w:lastRow="0" w:firstColumn="0" w:lastColumn="0" w:oddVBand="0" w:evenVBand="0" w:oddHBand="0" w:evenHBand="0" w:firstRowFirstColumn="0" w:firstRowLastColumn="0" w:lastRowFirstColumn="0" w:lastRowLastColumn="0"/>
        </w:trPr>
        <w:tc>
          <w:tcPr>
            <w:tcW w:w="8755" w:type="dxa"/>
            <w:gridSpan w:val="2"/>
          </w:tcPr>
          <w:p w14:paraId="2131E3BA" w14:textId="77777777" w:rsidR="006421E2" w:rsidRPr="006421E2" w:rsidRDefault="006421E2" w:rsidP="007D2F65">
            <w:pPr>
              <w:ind w:left="0" w:right="0"/>
              <w:rPr>
                <w:kern w:val="16"/>
                <w:sz w:val="19"/>
                <w:szCs w:val="24"/>
              </w:rPr>
            </w:pPr>
            <w:r w:rsidRPr="006421E2">
              <w:rPr>
                <w:kern w:val="16"/>
                <w:sz w:val="19"/>
                <w:szCs w:val="24"/>
              </w:rPr>
              <w:t>Study description</w:t>
            </w:r>
          </w:p>
        </w:tc>
      </w:tr>
      <w:tr w:rsidR="006421E2" w:rsidRPr="006421E2" w14:paraId="39869C5A" w14:textId="77777777" w:rsidTr="00D84CA8">
        <w:tc>
          <w:tcPr>
            <w:tcW w:w="1733" w:type="dxa"/>
          </w:tcPr>
          <w:p w14:paraId="1D0B1936" w14:textId="206DE263" w:rsidR="006421E2" w:rsidRPr="006421E2" w:rsidRDefault="006421E2" w:rsidP="001F1814">
            <w:pPr>
              <w:ind w:left="0" w:right="0"/>
              <w:rPr>
                <w:kern w:val="16"/>
                <w:sz w:val="19"/>
                <w:szCs w:val="24"/>
              </w:rPr>
            </w:pPr>
            <w:r w:rsidRPr="006421E2">
              <w:rPr>
                <w:kern w:val="16"/>
                <w:sz w:val="19"/>
                <w:szCs w:val="24"/>
              </w:rPr>
              <w:t>Population (enrolled</w:t>
            </w:r>
            <w:r w:rsidR="00BF7C39">
              <w:rPr>
                <w:kern w:val="16"/>
                <w:sz w:val="19"/>
                <w:szCs w:val="24"/>
              </w:rPr>
              <w:t xml:space="preserve"> </w:t>
            </w:r>
            <w:r w:rsidRPr="006421E2">
              <w:rPr>
                <w:kern w:val="16"/>
                <w:sz w:val="19"/>
                <w:szCs w:val="24"/>
              </w:rPr>
              <w:t>=</w:t>
            </w:r>
            <w:r w:rsidR="00BF7C39">
              <w:rPr>
                <w:kern w:val="16"/>
                <w:sz w:val="19"/>
                <w:szCs w:val="24"/>
              </w:rPr>
              <w:t xml:space="preserve"> </w:t>
            </w:r>
            <w:r w:rsidRPr="006421E2">
              <w:rPr>
                <w:kern w:val="16"/>
                <w:sz w:val="19"/>
                <w:szCs w:val="24"/>
              </w:rPr>
              <w:t>16)</w:t>
            </w:r>
          </w:p>
        </w:tc>
        <w:tc>
          <w:tcPr>
            <w:tcW w:w="7022" w:type="dxa"/>
          </w:tcPr>
          <w:p w14:paraId="2F503A5B" w14:textId="31A0178D" w:rsidR="006421E2" w:rsidRPr="006421E2" w:rsidRDefault="00BF7C39" w:rsidP="007D2F65">
            <w:pPr>
              <w:ind w:left="0" w:right="0"/>
              <w:rPr>
                <w:kern w:val="16"/>
                <w:sz w:val="19"/>
                <w:szCs w:val="24"/>
              </w:rPr>
            </w:pPr>
            <w:r>
              <w:rPr>
                <w:kern w:val="16"/>
                <w:sz w:val="19"/>
                <w:szCs w:val="24"/>
              </w:rPr>
              <w:t>Phase I/</w:t>
            </w:r>
            <w:proofErr w:type="spellStart"/>
            <w:r>
              <w:rPr>
                <w:kern w:val="16"/>
                <w:sz w:val="19"/>
                <w:szCs w:val="24"/>
              </w:rPr>
              <w:t>I</w:t>
            </w:r>
            <w:r w:rsidR="006421E2" w:rsidRPr="006421E2">
              <w:rPr>
                <w:kern w:val="16"/>
                <w:sz w:val="19"/>
                <w:szCs w:val="24"/>
              </w:rPr>
              <w:t>b</w:t>
            </w:r>
            <w:proofErr w:type="spellEnd"/>
            <w:r w:rsidR="006421E2" w:rsidRPr="006421E2">
              <w:rPr>
                <w:kern w:val="16"/>
                <w:sz w:val="19"/>
                <w:szCs w:val="24"/>
              </w:rPr>
              <w:t xml:space="preserve"> (dose escalation/dose expansion) study in paediat</w:t>
            </w:r>
            <w:r w:rsidR="00F2463B">
              <w:rPr>
                <w:kern w:val="16"/>
                <w:sz w:val="19"/>
                <w:szCs w:val="24"/>
              </w:rPr>
              <w:t xml:space="preserve">ric/adolescent patients (aged 2 to </w:t>
            </w:r>
            <w:r w:rsidR="006421E2" w:rsidRPr="006421E2">
              <w:rPr>
                <w:kern w:val="16"/>
                <w:sz w:val="19"/>
                <w:szCs w:val="24"/>
              </w:rPr>
              <w:t>22) with recurrent or refractory solid tumours or primary brain tumours, with or without TR</w:t>
            </w:r>
            <w:r w:rsidR="00A4213A">
              <w:rPr>
                <w:kern w:val="16"/>
                <w:sz w:val="19"/>
                <w:szCs w:val="24"/>
              </w:rPr>
              <w:t>K, ROS1 or ALK fusions.</w:t>
            </w:r>
          </w:p>
          <w:p w14:paraId="33DB8229" w14:textId="77777777" w:rsidR="006421E2" w:rsidRPr="006421E2" w:rsidRDefault="006421E2" w:rsidP="007D2F65">
            <w:pPr>
              <w:ind w:left="0" w:right="0"/>
              <w:rPr>
                <w:kern w:val="16"/>
                <w:sz w:val="19"/>
                <w:szCs w:val="24"/>
              </w:rPr>
            </w:pPr>
            <w:r w:rsidRPr="006421E2">
              <w:rPr>
                <w:kern w:val="16"/>
                <w:sz w:val="19"/>
                <w:szCs w:val="24"/>
              </w:rPr>
              <w:t>Inclusion criteria (abridged):</w:t>
            </w:r>
          </w:p>
          <w:p w14:paraId="071D3537" w14:textId="5DF00E41" w:rsidR="006421E2" w:rsidRPr="006421E2" w:rsidRDefault="006421E2" w:rsidP="007D2F65">
            <w:pPr>
              <w:ind w:left="0" w:right="0"/>
              <w:rPr>
                <w:kern w:val="16"/>
                <w:sz w:val="19"/>
                <w:szCs w:val="24"/>
              </w:rPr>
            </w:pPr>
            <w:r w:rsidRPr="006421E2">
              <w:rPr>
                <w:kern w:val="16"/>
                <w:sz w:val="19"/>
                <w:szCs w:val="24"/>
              </w:rPr>
              <w:t>Different inclusion criteria applied across parts</w:t>
            </w:r>
            <w:r w:rsidR="00A07102">
              <w:rPr>
                <w:kern w:val="16"/>
                <w:sz w:val="19"/>
                <w:szCs w:val="24"/>
              </w:rPr>
              <w:t xml:space="preserve">, as outlined in </w:t>
            </w:r>
            <w:r w:rsidR="00A07102" w:rsidRPr="00A07102">
              <w:rPr>
                <w:kern w:val="16"/>
                <w:sz w:val="19"/>
                <w:szCs w:val="19"/>
              </w:rPr>
              <w:fldChar w:fldCharType="begin"/>
            </w:r>
            <w:r w:rsidR="00A07102" w:rsidRPr="00A07102">
              <w:rPr>
                <w:kern w:val="16"/>
                <w:sz w:val="19"/>
                <w:szCs w:val="19"/>
              </w:rPr>
              <w:instrText xml:space="preserve"> REF _Ref53486926 \h </w:instrText>
            </w:r>
            <w:r w:rsidR="00A07102">
              <w:rPr>
                <w:kern w:val="16"/>
                <w:sz w:val="19"/>
                <w:szCs w:val="19"/>
              </w:rPr>
              <w:instrText xml:space="preserve"> \* MERGEFORMAT </w:instrText>
            </w:r>
            <w:r w:rsidR="00A07102" w:rsidRPr="00A07102">
              <w:rPr>
                <w:kern w:val="16"/>
                <w:sz w:val="19"/>
                <w:szCs w:val="19"/>
              </w:rPr>
            </w:r>
            <w:r w:rsidR="00A07102" w:rsidRPr="00A07102">
              <w:rPr>
                <w:kern w:val="16"/>
                <w:sz w:val="19"/>
                <w:szCs w:val="19"/>
              </w:rPr>
              <w:fldChar w:fldCharType="separate"/>
            </w:r>
            <w:r w:rsidR="00A07102" w:rsidRPr="007D2F65">
              <w:rPr>
                <w:sz w:val="19"/>
                <w:szCs w:val="19"/>
              </w:rPr>
              <w:t xml:space="preserve">Table </w:t>
            </w:r>
            <w:r w:rsidR="00A07102" w:rsidRPr="007D2F65">
              <w:rPr>
                <w:noProof/>
                <w:sz w:val="19"/>
                <w:szCs w:val="19"/>
              </w:rPr>
              <w:t>21</w:t>
            </w:r>
            <w:r w:rsidR="00A07102" w:rsidRPr="00A07102">
              <w:rPr>
                <w:kern w:val="16"/>
                <w:sz w:val="19"/>
                <w:szCs w:val="19"/>
              </w:rPr>
              <w:fldChar w:fldCharType="end"/>
            </w:r>
            <w:r w:rsidR="00A07102" w:rsidRPr="00A07102">
              <w:rPr>
                <w:kern w:val="16"/>
                <w:sz w:val="19"/>
                <w:szCs w:val="19"/>
              </w:rPr>
              <w:t xml:space="preserve">, </w:t>
            </w:r>
            <w:r w:rsidR="00A07102">
              <w:rPr>
                <w:kern w:val="16"/>
                <w:sz w:val="19"/>
                <w:szCs w:val="24"/>
              </w:rPr>
              <w:t xml:space="preserve">below. </w:t>
            </w:r>
          </w:p>
          <w:p w14:paraId="1349416C" w14:textId="6EB027B0" w:rsidR="006421E2" w:rsidRPr="006421E2" w:rsidRDefault="006421E2" w:rsidP="007D2F65">
            <w:pPr>
              <w:ind w:left="0" w:right="0"/>
              <w:rPr>
                <w:kern w:val="16"/>
                <w:sz w:val="19"/>
                <w:szCs w:val="24"/>
              </w:rPr>
            </w:pPr>
            <w:r w:rsidRPr="006421E2">
              <w:rPr>
                <w:kern w:val="16"/>
                <w:sz w:val="19"/>
                <w:szCs w:val="24"/>
              </w:rPr>
              <w:lastRenderedPageBreak/>
              <w:t>In addition to the criteria in the table</w:t>
            </w:r>
            <w:r w:rsidR="00A07102">
              <w:rPr>
                <w:kern w:val="16"/>
                <w:sz w:val="19"/>
                <w:szCs w:val="24"/>
              </w:rPr>
              <w:t xml:space="preserve"> below</w:t>
            </w:r>
            <w:r w:rsidRPr="006421E2">
              <w:rPr>
                <w:kern w:val="16"/>
                <w:sz w:val="19"/>
                <w:szCs w:val="24"/>
              </w:rPr>
              <w:t>, all patients were required to have:</w:t>
            </w:r>
          </w:p>
          <w:p w14:paraId="7C5F900B" w14:textId="77777777" w:rsidR="006421E2" w:rsidRPr="00A07102" w:rsidRDefault="006421E2" w:rsidP="00A07102">
            <w:pPr>
              <w:pStyle w:val="ListBullet"/>
              <w:rPr>
                <w:sz w:val="19"/>
                <w:szCs w:val="19"/>
              </w:rPr>
            </w:pPr>
            <w:r w:rsidRPr="00A07102">
              <w:rPr>
                <w:sz w:val="19"/>
                <w:szCs w:val="19"/>
              </w:rPr>
              <w:t>Archival tumour tissue, preferably from relapse</w:t>
            </w:r>
          </w:p>
          <w:p w14:paraId="7925DE98" w14:textId="77777777" w:rsidR="006421E2" w:rsidRPr="00A07102" w:rsidRDefault="006421E2" w:rsidP="00A07102">
            <w:pPr>
              <w:pStyle w:val="ListBullet"/>
              <w:rPr>
                <w:sz w:val="19"/>
                <w:szCs w:val="19"/>
              </w:rPr>
            </w:pPr>
            <w:r w:rsidRPr="00A07102">
              <w:rPr>
                <w:sz w:val="19"/>
                <w:szCs w:val="19"/>
              </w:rPr>
              <w:t xml:space="preserve">Performance status: Lansky or </w:t>
            </w:r>
            <w:proofErr w:type="spellStart"/>
            <w:r w:rsidRPr="00A07102">
              <w:rPr>
                <w:sz w:val="19"/>
                <w:szCs w:val="19"/>
              </w:rPr>
              <w:t>Karnofsky</w:t>
            </w:r>
            <w:proofErr w:type="spellEnd"/>
            <w:r w:rsidRPr="00A07102">
              <w:rPr>
                <w:sz w:val="19"/>
                <w:szCs w:val="19"/>
              </w:rPr>
              <w:t xml:space="preserve"> score at least 60%</w:t>
            </w:r>
          </w:p>
          <w:p w14:paraId="3CD95CF0" w14:textId="77777777" w:rsidR="006421E2" w:rsidRPr="00A07102" w:rsidRDefault="006421E2" w:rsidP="00A07102">
            <w:pPr>
              <w:pStyle w:val="ListBullet"/>
              <w:rPr>
                <w:sz w:val="19"/>
                <w:szCs w:val="19"/>
              </w:rPr>
            </w:pPr>
            <w:r w:rsidRPr="00A07102">
              <w:rPr>
                <w:sz w:val="19"/>
                <w:szCs w:val="19"/>
              </w:rPr>
              <w:t>Life expectancy at least 4 weeks</w:t>
            </w:r>
          </w:p>
          <w:p w14:paraId="1D681299" w14:textId="70DD1522" w:rsidR="006421E2" w:rsidRPr="007D2F65" w:rsidRDefault="006421E2" w:rsidP="007D2F65">
            <w:pPr>
              <w:rPr>
                <w:sz w:val="19"/>
                <w:szCs w:val="19"/>
              </w:rPr>
            </w:pPr>
            <w:r w:rsidRPr="007D2F65">
              <w:rPr>
                <w:sz w:val="19"/>
                <w:szCs w:val="19"/>
              </w:rPr>
              <w:t xml:space="preserve">Prior therapy was allowed with specific limitations for </w:t>
            </w:r>
            <w:proofErr w:type="spellStart"/>
            <w:r w:rsidRPr="007D2F65">
              <w:rPr>
                <w:sz w:val="19"/>
                <w:szCs w:val="19"/>
              </w:rPr>
              <w:t>recency</w:t>
            </w:r>
            <w:proofErr w:type="spellEnd"/>
            <w:r w:rsidRPr="007D2F65">
              <w:rPr>
                <w:sz w:val="19"/>
                <w:szCs w:val="19"/>
              </w:rPr>
              <w:t>.</w:t>
            </w:r>
          </w:p>
          <w:p w14:paraId="3C9E3C24" w14:textId="77777777" w:rsidR="006421E2" w:rsidRPr="006421E2" w:rsidRDefault="006421E2" w:rsidP="007D2F65">
            <w:pPr>
              <w:ind w:left="0" w:right="0"/>
              <w:rPr>
                <w:kern w:val="16"/>
                <w:sz w:val="19"/>
                <w:szCs w:val="24"/>
              </w:rPr>
            </w:pPr>
            <w:r w:rsidRPr="006421E2">
              <w:rPr>
                <w:kern w:val="16"/>
                <w:sz w:val="19"/>
                <w:szCs w:val="24"/>
              </w:rPr>
              <w:t>Exclusion criteria (abridged):</w:t>
            </w:r>
          </w:p>
          <w:p w14:paraId="1D7612A3" w14:textId="77777777" w:rsidR="006421E2" w:rsidRPr="00A07102" w:rsidRDefault="006421E2" w:rsidP="00A07102">
            <w:pPr>
              <w:pStyle w:val="ListBullet"/>
              <w:rPr>
                <w:sz w:val="19"/>
                <w:szCs w:val="19"/>
              </w:rPr>
            </w:pPr>
            <w:r w:rsidRPr="00A07102">
              <w:rPr>
                <w:sz w:val="19"/>
                <w:szCs w:val="19"/>
              </w:rPr>
              <w:t>Standard (significant medical/surgical illnesses, inadequate organ function, reproductive status)</w:t>
            </w:r>
          </w:p>
          <w:p w14:paraId="55B5BDB9" w14:textId="77777777" w:rsidR="006421E2" w:rsidRPr="00A07102" w:rsidRDefault="006421E2" w:rsidP="00A07102">
            <w:pPr>
              <w:pStyle w:val="ListBullet"/>
              <w:rPr>
                <w:sz w:val="19"/>
                <w:szCs w:val="19"/>
              </w:rPr>
            </w:pPr>
            <w:r w:rsidRPr="00A07102">
              <w:rPr>
                <w:sz w:val="19"/>
                <w:szCs w:val="19"/>
              </w:rPr>
              <w:t>Congenital long QT</w:t>
            </w:r>
          </w:p>
          <w:p w14:paraId="383C3920" w14:textId="159449CD" w:rsidR="006421E2" w:rsidRPr="00A07102" w:rsidRDefault="00BF7C39" w:rsidP="00A07102">
            <w:pPr>
              <w:pStyle w:val="ListBullet"/>
              <w:rPr>
                <w:sz w:val="19"/>
                <w:szCs w:val="19"/>
              </w:rPr>
            </w:pPr>
            <w:r w:rsidRPr="00A07102">
              <w:rPr>
                <w:sz w:val="19"/>
                <w:szCs w:val="19"/>
              </w:rPr>
              <w:t xml:space="preserve">All Phase </w:t>
            </w:r>
            <w:proofErr w:type="spellStart"/>
            <w:r w:rsidRPr="00A07102">
              <w:rPr>
                <w:sz w:val="19"/>
                <w:szCs w:val="19"/>
              </w:rPr>
              <w:t>I</w:t>
            </w:r>
            <w:r w:rsidR="006421E2" w:rsidRPr="00A07102">
              <w:rPr>
                <w:sz w:val="19"/>
                <w:szCs w:val="19"/>
              </w:rPr>
              <w:t>b</w:t>
            </w:r>
            <w:proofErr w:type="spellEnd"/>
            <w:r w:rsidR="006421E2" w:rsidRPr="00A07102">
              <w:rPr>
                <w:sz w:val="19"/>
                <w:szCs w:val="19"/>
              </w:rPr>
              <w:t xml:space="preserve"> parts: prior </w:t>
            </w:r>
            <w:proofErr w:type="spellStart"/>
            <w:r w:rsidR="006421E2" w:rsidRPr="00A07102">
              <w:rPr>
                <w:sz w:val="19"/>
                <w:szCs w:val="19"/>
              </w:rPr>
              <w:t>antiTRK</w:t>
            </w:r>
            <w:proofErr w:type="spellEnd"/>
            <w:r w:rsidR="006421E2" w:rsidRPr="00A07102">
              <w:rPr>
                <w:sz w:val="19"/>
                <w:szCs w:val="19"/>
              </w:rPr>
              <w:t>/ROS1/ALK therapy</w:t>
            </w:r>
          </w:p>
          <w:p w14:paraId="31AE6C90" w14:textId="7F6C415D" w:rsidR="006421E2" w:rsidRPr="00A07102" w:rsidRDefault="006421E2" w:rsidP="00A07102">
            <w:pPr>
              <w:pStyle w:val="ListBullet"/>
              <w:rPr>
                <w:sz w:val="19"/>
                <w:szCs w:val="19"/>
              </w:rPr>
            </w:pPr>
            <w:r w:rsidRPr="00A07102">
              <w:rPr>
                <w:sz w:val="19"/>
                <w:szCs w:val="19"/>
              </w:rPr>
              <w:t>Only part C: bone marrow space-only disease</w:t>
            </w:r>
          </w:p>
          <w:p w14:paraId="0B879014" w14:textId="77777777" w:rsidR="006421E2" w:rsidRPr="006421E2" w:rsidRDefault="006421E2" w:rsidP="007D2F65">
            <w:pPr>
              <w:ind w:left="0" w:right="0"/>
              <w:rPr>
                <w:kern w:val="16"/>
                <w:sz w:val="19"/>
                <w:szCs w:val="24"/>
              </w:rPr>
            </w:pPr>
            <w:r w:rsidRPr="006421E2">
              <w:rPr>
                <w:kern w:val="16"/>
                <w:sz w:val="19"/>
                <w:szCs w:val="24"/>
              </w:rPr>
              <w:t>Location: multicentre</w:t>
            </w:r>
          </w:p>
          <w:p w14:paraId="5A58FE8B" w14:textId="20F1F571" w:rsidR="006421E2" w:rsidRPr="006421E2" w:rsidRDefault="006421E2" w:rsidP="007D2F65">
            <w:pPr>
              <w:ind w:left="0" w:right="0"/>
              <w:rPr>
                <w:kern w:val="16"/>
                <w:sz w:val="19"/>
                <w:szCs w:val="24"/>
              </w:rPr>
            </w:pPr>
            <w:r w:rsidRPr="006421E2">
              <w:rPr>
                <w:kern w:val="16"/>
                <w:sz w:val="19"/>
                <w:szCs w:val="24"/>
              </w:rPr>
              <w:t>Ongoing. Commenced 2016. Data cut-off for interim report 31</w:t>
            </w:r>
            <w:r w:rsidR="00974B4E">
              <w:rPr>
                <w:kern w:val="16"/>
                <w:sz w:val="19"/>
                <w:szCs w:val="24"/>
              </w:rPr>
              <w:t xml:space="preserve"> May 2018.</w:t>
            </w:r>
          </w:p>
          <w:p w14:paraId="2329FFCD" w14:textId="77777777" w:rsidR="006421E2" w:rsidRPr="006421E2" w:rsidRDefault="006421E2" w:rsidP="007D2F65">
            <w:pPr>
              <w:ind w:left="0" w:right="0"/>
              <w:rPr>
                <w:kern w:val="16"/>
                <w:sz w:val="19"/>
                <w:szCs w:val="24"/>
              </w:rPr>
            </w:pPr>
            <w:r w:rsidRPr="006421E2">
              <w:rPr>
                <w:kern w:val="16"/>
                <w:sz w:val="19"/>
                <w:szCs w:val="24"/>
              </w:rPr>
              <w:t>Sample size:</w:t>
            </w:r>
          </w:p>
          <w:p w14:paraId="1D472521" w14:textId="6B6E6EA3" w:rsidR="006421E2" w:rsidRPr="007D2F65" w:rsidRDefault="006421E2" w:rsidP="007D2F65">
            <w:pPr>
              <w:pStyle w:val="ListBullet"/>
              <w:rPr>
                <w:sz w:val="19"/>
                <w:szCs w:val="19"/>
              </w:rPr>
            </w:pPr>
            <w:r w:rsidRPr="007D2F65">
              <w:rPr>
                <w:sz w:val="19"/>
                <w:szCs w:val="19"/>
              </w:rPr>
              <w:t>Pha</w:t>
            </w:r>
            <w:r w:rsidR="00BF7C39" w:rsidRPr="007D2F65">
              <w:rPr>
                <w:sz w:val="19"/>
                <w:szCs w:val="19"/>
              </w:rPr>
              <w:t>se I</w:t>
            </w:r>
            <w:r w:rsidRPr="007D2F65">
              <w:rPr>
                <w:sz w:val="19"/>
                <w:szCs w:val="19"/>
              </w:rPr>
              <w:t xml:space="preserve"> (Part A – solid tumours)</w:t>
            </w:r>
          </w:p>
          <w:p w14:paraId="4D682BAB" w14:textId="7D61B595" w:rsidR="006421E2" w:rsidRPr="007D2F65" w:rsidRDefault="006421E2" w:rsidP="007D2F65">
            <w:pPr>
              <w:pStyle w:val="ListBullet2"/>
              <w:rPr>
                <w:sz w:val="19"/>
                <w:szCs w:val="19"/>
              </w:rPr>
            </w:pPr>
            <w:r w:rsidRPr="007D2F65">
              <w:rPr>
                <w:sz w:val="19"/>
                <w:szCs w:val="19"/>
              </w:rPr>
              <w:t xml:space="preserve">Planned: approximately 6 </w:t>
            </w:r>
            <w:r w:rsidR="00A07102">
              <w:rPr>
                <w:sz w:val="19"/>
                <w:szCs w:val="19"/>
              </w:rPr>
              <w:t>to</w:t>
            </w:r>
            <w:r w:rsidRPr="007D2F65">
              <w:rPr>
                <w:sz w:val="19"/>
                <w:szCs w:val="19"/>
              </w:rPr>
              <w:t xml:space="preserve"> 30 patients</w:t>
            </w:r>
          </w:p>
          <w:p w14:paraId="3060204E" w14:textId="77777777" w:rsidR="006421E2" w:rsidRPr="007D2F65" w:rsidRDefault="006421E2" w:rsidP="007D2F65">
            <w:pPr>
              <w:pStyle w:val="ListBullet2"/>
              <w:rPr>
                <w:sz w:val="19"/>
                <w:szCs w:val="19"/>
              </w:rPr>
            </w:pPr>
            <w:r w:rsidRPr="007D2F65">
              <w:rPr>
                <w:sz w:val="19"/>
                <w:szCs w:val="19"/>
              </w:rPr>
              <w:t>Enrolled: 16 patients</w:t>
            </w:r>
          </w:p>
          <w:p w14:paraId="72C41A5D" w14:textId="53EF5E2C" w:rsidR="006421E2" w:rsidRPr="007D2F65" w:rsidRDefault="00BF7C39" w:rsidP="007D2F65">
            <w:pPr>
              <w:pStyle w:val="ListBullet"/>
              <w:rPr>
                <w:sz w:val="19"/>
                <w:szCs w:val="19"/>
              </w:rPr>
            </w:pPr>
            <w:r w:rsidRPr="007D2F65">
              <w:rPr>
                <w:sz w:val="19"/>
                <w:szCs w:val="19"/>
              </w:rPr>
              <w:t xml:space="preserve">Phase </w:t>
            </w:r>
            <w:proofErr w:type="spellStart"/>
            <w:r w:rsidRPr="007D2F65">
              <w:rPr>
                <w:sz w:val="19"/>
                <w:szCs w:val="19"/>
              </w:rPr>
              <w:t>I</w:t>
            </w:r>
            <w:r w:rsidR="006421E2" w:rsidRPr="007D2F65">
              <w:rPr>
                <w:sz w:val="19"/>
                <w:szCs w:val="19"/>
              </w:rPr>
              <w:t>b</w:t>
            </w:r>
            <w:proofErr w:type="spellEnd"/>
            <w:r w:rsidR="006421E2" w:rsidRPr="007D2F65">
              <w:rPr>
                <w:sz w:val="19"/>
                <w:szCs w:val="19"/>
              </w:rPr>
              <w:t xml:space="preserve"> (Part B – primary brain tumours and D – solid tumours with </w:t>
            </w:r>
            <w:r w:rsidR="006421E2" w:rsidRPr="007B0C16">
              <w:rPr>
                <w:i/>
                <w:sz w:val="19"/>
                <w:szCs w:val="19"/>
              </w:rPr>
              <w:t>NTRK/ROS1/ALK</w:t>
            </w:r>
            <w:r w:rsidR="006421E2" w:rsidRPr="007D2F65">
              <w:rPr>
                <w:sz w:val="19"/>
                <w:szCs w:val="19"/>
              </w:rPr>
              <w:t xml:space="preserve"> fusions)</w:t>
            </w:r>
          </w:p>
          <w:p w14:paraId="68344D4E" w14:textId="1988E767" w:rsidR="006421E2" w:rsidRPr="006421E2" w:rsidRDefault="006421E2" w:rsidP="007D2F65">
            <w:pPr>
              <w:pStyle w:val="ListBullet2"/>
            </w:pPr>
            <w:r w:rsidRPr="007D2F65">
              <w:rPr>
                <w:sz w:val="19"/>
                <w:szCs w:val="19"/>
              </w:rPr>
              <w:t>Planned: approximately 13 patients per basket (</w:t>
            </w:r>
            <w:r w:rsidR="00BD04CD" w:rsidRPr="007D2F65">
              <w:rPr>
                <w:sz w:val="19"/>
                <w:szCs w:val="19"/>
              </w:rPr>
              <w:t>for example</w:t>
            </w:r>
            <w:r w:rsidRPr="007D2F65">
              <w:rPr>
                <w:sz w:val="19"/>
                <w:szCs w:val="19"/>
              </w:rPr>
              <w:t xml:space="preserve"> tumour type and molecular alteration combination) for the first stage. Up to an additional 49 patients into the second stage.</w:t>
            </w:r>
          </w:p>
        </w:tc>
      </w:tr>
      <w:tr w:rsidR="006421E2" w:rsidRPr="006421E2" w14:paraId="714CAC1E" w14:textId="77777777" w:rsidTr="00D84CA8">
        <w:tc>
          <w:tcPr>
            <w:tcW w:w="1733" w:type="dxa"/>
          </w:tcPr>
          <w:p w14:paraId="7C28FB90" w14:textId="77777777" w:rsidR="006421E2" w:rsidRPr="006421E2" w:rsidRDefault="006421E2" w:rsidP="007D2F65">
            <w:pPr>
              <w:ind w:left="0" w:right="0"/>
              <w:rPr>
                <w:kern w:val="16"/>
                <w:sz w:val="19"/>
                <w:szCs w:val="24"/>
              </w:rPr>
            </w:pPr>
            <w:r w:rsidRPr="006421E2">
              <w:rPr>
                <w:kern w:val="16"/>
                <w:sz w:val="19"/>
                <w:szCs w:val="24"/>
              </w:rPr>
              <w:lastRenderedPageBreak/>
              <w:t xml:space="preserve">Intervention </w:t>
            </w:r>
          </w:p>
        </w:tc>
        <w:tc>
          <w:tcPr>
            <w:tcW w:w="7022" w:type="dxa"/>
          </w:tcPr>
          <w:p w14:paraId="4B47BF78" w14:textId="0040ABC2" w:rsidR="006421E2" w:rsidRPr="006421E2" w:rsidRDefault="006421E2" w:rsidP="007D2F65">
            <w:pPr>
              <w:ind w:left="0" w:right="0"/>
              <w:rPr>
                <w:kern w:val="16"/>
                <w:sz w:val="19"/>
                <w:szCs w:val="24"/>
              </w:rPr>
            </w:pPr>
            <w:r w:rsidRPr="006421E2">
              <w:rPr>
                <w:kern w:val="16"/>
                <w:sz w:val="19"/>
                <w:szCs w:val="24"/>
              </w:rPr>
              <w:t>Formulation: Formulation: F1 (3 patients got F2B at 250 mg/m</w:t>
            </w:r>
            <w:r w:rsidRPr="006421E2">
              <w:rPr>
                <w:kern w:val="16"/>
                <w:sz w:val="19"/>
                <w:szCs w:val="24"/>
                <w:vertAlign w:val="superscript"/>
              </w:rPr>
              <w:t xml:space="preserve">2 </w:t>
            </w:r>
            <w:r w:rsidR="009857DF">
              <w:rPr>
                <w:kern w:val="16"/>
                <w:sz w:val="19"/>
                <w:szCs w:val="24"/>
              </w:rPr>
              <w:t>(</w:t>
            </w:r>
            <w:r w:rsidRPr="006421E2">
              <w:rPr>
                <w:kern w:val="16"/>
                <w:sz w:val="19"/>
                <w:szCs w:val="24"/>
              </w:rPr>
              <w:t>the first dose level</w:t>
            </w:r>
            <w:r w:rsidR="009857DF">
              <w:rPr>
                <w:kern w:val="16"/>
                <w:sz w:val="19"/>
                <w:szCs w:val="24"/>
              </w:rPr>
              <w:t>)</w:t>
            </w:r>
            <w:r w:rsidRPr="006421E2">
              <w:rPr>
                <w:kern w:val="16"/>
                <w:sz w:val="19"/>
                <w:szCs w:val="24"/>
              </w:rPr>
              <w:t>)</w:t>
            </w:r>
          </w:p>
          <w:p w14:paraId="1A8937B0" w14:textId="724583DF" w:rsidR="006421E2" w:rsidRPr="006421E2" w:rsidRDefault="00E7212D" w:rsidP="007D2F65">
            <w:pPr>
              <w:ind w:left="0" w:right="0"/>
              <w:rPr>
                <w:kern w:val="16"/>
                <w:sz w:val="19"/>
                <w:szCs w:val="24"/>
              </w:rPr>
            </w:pPr>
            <w:r>
              <w:rPr>
                <w:kern w:val="16"/>
                <w:sz w:val="19"/>
                <w:szCs w:val="24"/>
              </w:rPr>
              <w:t xml:space="preserve">Doses (BSA </w:t>
            </w:r>
            <w:r w:rsidR="006421E2" w:rsidRPr="006421E2">
              <w:rPr>
                <w:kern w:val="16"/>
                <w:sz w:val="19"/>
                <w:szCs w:val="24"/>
              </w:rPr>
              <w:t>based dosing): escalations – starting at 250 mg/m</w:t>
            </w:r>
            <w:r w:rsidR="006421E2" w:rsidRPr="006421E2">
              <w:rPr>
                <w:kern w:val="16"/>
                <w:sz w:val="19"/>
                <w:szCs w:val="24"/>
                <w:vertAlign w:val="superscript"/>
              </w:rPr>
              <w:t>2</w:t>
            </w:r>
            <w:r w:rsidR="006421E2" w:rsidRPr="006421E2">
              <w:rPr>
                <w:kern w:val="16"/>
                <w:sz w:val="19"/>
                <w:szCs w:val="24"/>
              </w:rPr>
              <w:t>, next group 400</w:t>
            </w:r>
            <w:r w:rsidR="009857DF">
              <w:rPr>
                <w:kern w:val="16"/>
                <w:sz w:val="19"/>
                <w:szCs w:val="24"/>
              </w:rPr>
              <w:t> </w:t>
            </w:r>
            <w:r w:rsidR="006421E2" w:rsidRPr="006421E2">
              <w:rPr>
                <w:kern w:val="16"/>
                <w:sz w:val="19"/>
                <w:szCs w:val="24"/>
              </w:rPr>
              <w:t>mg/m</w:t>
            </w:r>
            <w:r w:rsidR="006421E2" w:rsidRPr="006421E2">
              <w:rPr>
                <w:kern w:val="16"/>
                <w:sz w:val="19"/>
                <w:szCs w:val="24"/>
                <w:vertAlign w:val="superscript"/>
              </w:rPr>
              <w:t>2</w:t>
            </w:r>
            <w:r w:rsidR="006421E2" w:rsidRPr="006421E2">
              <w:rPr>
                <w:kern w:val="16"/>
                <w:sz w:val="19"/>
                <w:szCs w:val="24"/>
              </w:rPr>
              <w:t>, then 550 mg/m</w:t>
            </w:r>
            <w:r w:rsidR="006421E2" w:rsidRPr="006421E2">
              <w:rPr>
                <w:kern w:val="16"/>
                <w:sz w:val="19"/>
                <w:szCs w:val="24"/>
                <w:vertAlign w:val="superscript"/>
              </w:rPr>
              <w:t>2</w:t>
            </w:r>
            <w:r w:rsidR="006421E2" w:rsidRPr="006421E2">
              <w:rPr>
                <w:kern w:val="16"/>
                <w:sz w:val="19"/>
                <w:szCs w:val="24"/>
              </w:rPr>
              <w:t>, then 750 mg/m</w:t>
            </w:r>
            <w:r w:rsidR="006421E2" w:rsidRPr="006421E2">
              <w:rPr>
                <w:kern w:val="16"/>
                <w:sz w:val="19"/>
                <w:szCs w:val="24"/>
                <w:vertAlign w:val="superscript"/>
              </w:rPr>
              <w:t>2</w:t>
            </w:r>
          </w:p>
          <w:p w14:paraId="1D2A0D4B" w14:textId="77777777" w:rsidR="006421E2" w:rsidRPr="006421E2" w:rsidRDefault="006421E2" w:rsidP="007D2F65">
            <w:pPr>
              <w:ind w:left="0" w:right="0"/>
              <w:rPr>
                <w:kern w:val="16"/>
                <w:sz w:val="19"/>
                <w:szCs w:val="24"/>
              </w:rPr>
            </w:pPr>
            <w:r w:rsidRPr="006421E2">
              <w:rPr>
                <w:kern w:val="16"/>
                <w:sz w:val="19"/>
                <w:szCs w:val="24"/>
              </w:rPr>
              <w:t>Dose schedule: administered orally with food once daily, in 28 day cycles</w:t>
            </w:r>
          </w:p>
        </w:tc>
      </w:tr>
      <w:tr w:rsidR="006421E2" w:rsidRPr="006421E2" w14:paraId="55D1624B" w14:textId="77777777" w:rsidTr="00D84CA8">
        <w:tc>
          <w:tcPr>
            <w:tcW w:w="1733" w:type="dxa"/>
          </w:tcPr>
          <w:p w14:paraId="2573EBBE" w14:textId="77777777" w:rsidR="006421E2" w:rsidRPr="006421E2" w:rsidRDefault="006421E2" w:rsidP="007D2F65">
            <w:pPr>
              <w:ind w:left="0" w:right="0"/>
              <w:rPr>
                <w:kern w:val="16"/>
                <w:sz w:val="19"/>
                <w:szCs w:val="24"/>
              </w:rPr>
            </w:pPr>
            <w:r w:rsidRPr="006421E2">
              <w:rPr>
                <w:kern w:val="16"/>
                <w:sz w:val="19"/>
                <w:szCs w:val="24"/>
              </w:rPr>
              <w:t>Endpoints</w:t>
            </w:r>
          </w:p>
        </w:tc>
        <w:tc>
          <w:tcPr>
            <w:tcW w:w="7022" w:type="dxa"/>
          </w:tcPr>
          <w:p w14:paraId="6B27A0C7" w14:textId="2880048D" w:rsidR="006421E2" w:rsidRPr="006421E2" w:rsidRDefault="006421E2" w:rsidP="007D2F65">
            <w:pPr>
              <w:ind w:left="0" w:right="0"/>
              <w:rPr>
                <w:kern w:val="16"/>
                <w:sz w:val="19"/>
                <w:szCs w:val="24"/>
              </w:rPr>
            </w:pPr>
            <w:r w:rsidRPr="006421E2">
              <w:rPr>
                <w:kern w:val="16"/>
                <w:sz w:val="19"/>
                <w:szCs w:val="24"/>
              </w:rPr>
              <w:t>Primary:</w:t>
            </w:r>
          </w:p>
          <w:p w14:paraId="6A4FDA71" w14:textId="77777777" w:rsidR="006421E2" w:rsidRPr="007D2F65" w:rsidRDefault="006421E2" w:rsidP="007D2F65">
            <w:pPr>
              <w:pStyle w:val="ListBullet"/>
              <w:rPr>
                <w:sz w:val="19"/>
                <w:szCs w:val="19"/>
              </w:rPr>
            </w:pPr>
            <w:r w:rsidRPr="007D2F65">
              <w:rPr>
                <w:sz w:val="19"/>
                <w:szCs w:val="19"/>
              </w:rPr>
              <w:t>DLT, MTD and RP2D in paediatric patients</w:t>
            </w:r>
          </w:p>
          <w:p w14:paraId="147C0D7A" w14:textId="77777777" w:rsidR="006421E2" w:rsidRPr="006421E2" w:rsidRDefault="006421E2" w:rsidP="007D2F65">
            <w:pPr>
              <w:ind w:left="0" w:right="0"/>
              <w:rPr>
                <w:kern w:val="16"/>
                <w:sz w:val="19"/>
                <w:szCs w:val="24"/>
              </w:rPr>
            </w:pPr>
            <w:r w:rsidRPr="006421E2">
              <w:rPr>
                <w:kern w:val="16"/>
                <w:sz w:val="19"/>
                <w:szCs w:val="24"/>
              </w:rPr>
              <w:t xml:space="preserve">Secondary: </w:t>
            </w:r>
          </w:p>
          <w:p w14:paraId="761DAE6D" w14:textId="77777777" w:rsidR="006421E2" w:rsidRPr="007D2F65" w:rsidRDefault="006421E2" w:rsidP="007D2F65">
            <w:pPr>
              <w:pStyle w:val="ListBullet"/>
              <w:rPr>
                <w:sz w:val="19"/>
                <w:szCs w:val="19"/>
              </w:rPr>
            </w:pPr>
            <w:r w:rsidRPr="007D2F65">
              <w:rPr>
                <w:sz w:val="19"/>
                <w:szCs w:val="19"/>
              </w:rPr>
              <w:t>Safety</w:t>
            </w:r>
          </w:p>
          <w:p w14:paraId="6BB972C6" w14:textId="77777777" w:rsidR="006421E2" w:rsidRPr="007D2F65" w:rsidRDefault="006421E2" w:rsidP="007D2F65">
            <w:pPr>
              <w:pStyle w:val="ListBullet"/>
              <w:rPr>
                <w:sz w:val="19"/>
                <w:szCs w:val="19"/>
              </w:rPr>
            </w:pPr>
            <w:r w:rsidRPr="007D2F65">
              <w:rPr>
                <w:sz w:val="19"/>
                <w:szCs w:val="19"/>
              </w:rPr>
              <w:t>PK</w:t>
            </w:r>
          </w:p>
          <w:p w14:paraId="4474F46A" w14:textId="77777777" w:rsidR="006421E2" w:rsidRPr="006421E2" w:rsidRDefault="006421E2" w:rsidP="007D2F65">
            <w:pPr>
              <w:pStyle w:val="ListBullet"/>
            </w:pPr>
            <w:r w:rsidRPr="007D2F65">
              <w:rPr>
                <w:sz w:val="19"/>
                <w:szCs w:val="19"/>
              </w:rPr>
              <w:t>Efficacy, including intracranial (these are beyond the scope of the submitted interim report)</w:t>
            </w:r>
          </w:p>
        </w:tc>
      </w:tr>
    </w:tbl>
    <w:p w14:paraId="084BBE19" w14:textId="0D532572" w:rsidR="00AE3BFC" w:rsidRPr="006421E2" w:rsidRDefault="00A07102" w:rsidP="007D2F65">
      <w:pPr>
        <w:pStyle w:val="TableTitle"/>
      </w:pPr>
      <w:bookmarkStart w:id="63" w:name="_Ref53486926"/>
      <w:r>
        <w:t xml:space="preserve">Table </w:t>
      </w:r>
      <w:fldSimple w:instr=" SEQ Table \* ARABIC ">
        <w:r w:rsidR="009B407B">
          <w:rPr>
            <w:noProof/>
          </w:rPr>
          <w:t>22</w:t>
        </w:r>
      </w:fldSimple>
      <w:bookmarkEnd w:id="63"/>
      <w:r>
        <w:t xml:space="preserve">: Inclusion criteria (abridged) for the </w:t>
      </w:r>
      <w:r w:rsidRPr="00A07102">
        <w:t>STARTRK-NG trial</w:t>
      </w:r>
    </w:p>
    <w:tbl>
      <w:tblPr>
        <w:tblStyle w:val="TableTGAblue"/>
        <w:tblW w:w="5000" w:type="pct"/>
        <w:tblLook w:val="04A0" w:firstRow="1" w:lastRow="0" w:firstColumn="1" w:lastColumn="0" w:noHBand="0" w:noVBand="1"/>
      </w:tblPr>
      <w:tblGrid>
        <w:gridCol w:w="4657"/>
        <w:gridCol w:w="639"/>
        <w:gridCol w:w="639"/>
        <w:gridCol w:w="629"/>
        <w:gridCol w:w="10"/>
        <w:gridCol w:w="639"/>
        <w:gridCol w:w="639"/>
        <w:gridCol w:w="642"/>
      </w:tblGrid>
      <w:tr w:rsidR="00A07102" w:rsidRPr="006421E2" w14:paraId="46722DF3" w14:textId="77777777" w:rsidTr="00A07102">
        <w:trPr>
          <w:cnfStyle w:val="100000000000" w:firstRow="1" w:lastRow="0" w:firstColumn="0" w:lastColumn="0" w:oddVBand="0" w:evenVBand="0" w:oddHBand="0" w:evenHBand="0" w:firstRowFirstColumn="0" w:firstRowLastColumn="0" w:lastRowFirstColumn="0" w:lastRowLastColumn="0"/>
        </w:trPr>
        <w:tc>
          <w:tcPr>
            <w:tcW w:w="2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6C91" w14:textId="77777777" w:rsidR="00AE3BFC" w:rsidRPr="006421E2" w:rsidRDefault="00AE3BFC" w:rsidP="007D2F65">
            <w:pPr>
              <w:ind w:left="0" w:right="0"/>
              <w:rPr>
                <w:kern w:val="16"/>
                <w:sz w:val="19"/>
                <w:szCs w:val="24"/>
              </w:rPr>
            </w:pPr>
            <w:r w:rsidRPr="006421E2">
              <w:rPr>
                <w:kern w:val="16"/>
                <w:sz w:val="19"/>
                <w:szCs w:val="24"/>
              </w:rPr>
              <w:t>Phase</w:t>
            </w:r>
          </w:p>
        </w:tc>
        <w:tc>
          <w:tcPr>
            <w:tcW w:w="11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9EC51" w14:textId="77777777" w:rsidR="00AE3BFC" w:rsidRPr="006421E2" w:rsidRDefault="00AE3BFC" w:rsidP="007D2F65">
            <w:pPr>
              <w:ind w:left="0" w:right="0"/>
              <w:rPr>
                <w:kern w:val="16"/>
                <w:sz w:val="19"/>
                <w:szCs w:val="24"/>
              </w:rPr>
            </w:pPr>
            <w:r w:rsidRPr="006421E2">
              <w:rPr>
                <w:kern w:val="16"/>
                <w:sz w:val="19"/>
                <w:szCs w:val="24"/>
              </w:rPr>
              <w:t>1</w:t>
            </w:r>
          </w:p>
        </w:tc>
        <w:tc>
          <w:tcPr>
            <w:tcW w:w="113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B99A6" w14:textId="77777777" w:rsidR="00AE3BFC" w:rsidRPr="006421E2" w:rsidRDefault="00AE3BFC" w:rsidP="007D2F65">
            <w:pPr>
              <w:ind w:left="0" w:right="0"/>
              <w:rPr>
                <w:kern w:val="16"/>
                <w:sz w:val="19"/>
                <w:szCs w:val="24"/>
              </w:rPr>
            </w:pPr>
            <w:r w:rsidRPr="006421E2">
              <w:rPr>
                <w:kern w:val="16"/>
                <w:sz w:val="19"/>
                <w:szCs w:val="24"/>
              </w:rPr>
              <w:t>1b (dose expansion)</w:t>
            </w:r>
          </w:p>
        </w:tc>
      </w:tr>
      <w:tr w:rsidR="00AE3BFC" w:rsidRPr="006421E2" w14:paraId="4A205DCB" w14:textId="77777777" w:rsidTr="007D2F65">
        <w:tc>
          <w:tcPr>
            <w:tcW w:w="2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A969" w14:textId="77777777" w:rsidR="00AE3BFC" w:rsidRPr="006421E2" w:rsidRDefault="00AE3BFC" w:rsidP="007D2F65">
            <w:pPr>
              <w:ind w:left="0" w:right="0"/>
              <w:rPr>
                <w:kern w:val="16"/>
                <w:sz w:val="19"/>
                <w:szCs w:val="24"/>
              </w:rPr>
            </w:pPr>
          </w:p>
        </w:tc>
        <w:tc>
          <w:tcPr>
            <w:tcW w:w="225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4DB5C" w14:textId="77777777" w:rsidR="00AE3BFC" w:rsidRPr="006421E2" w:rsidRDefault="00AE3BFC" w:rsidP="007D2F65">
            <w:pPr>
              <w:ind w:left="0" w:right="0"/>
              <w:rPr>
                <w:kern w:val="16"/>
                <w:sz w:val="19"/>
                <w:szCs w:val="24"/>
              </w:rPr>
            </w:pPr>
            <w:r w:rsidRPr="006421E2">
              <w:rPr>
                <w:kern w:val="16"/>
                <w:sz w:val="19"/>
                <w:szCs w:val="24"/>
              </w:rPr>
              <w:t>Part</w:t>
            </w:r>
          </w:p>
        </w:tc>
      </w:tr>
      <w:tr w:rsidR="00A07102" w:rsidRPr="006421E2" w14:paraId="17D3711A" w14:textId="77777777" w:rsidTr="007D2F65">
        <w:tc>
          <w:tcPr>
            <w:tcW w:w="27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1ADF" w14:textId="77777777" w:rsidR="00AE3BFC" w:rsidRPr="006421E2" w:rsidRDefault="00AE3BFC" w:rsidP="007D2F65">
            <w:pPr>
              <w:ind w:left="0" w:right="0"/>
              <w:rPr>
                <w:kern w:val="16"/>
                <w:sz w:val="19"/>
                <w:szCs w:val="24"/>
              </w:rPr>
            </w:pPr>
            <w:r w:rsidRPr="006421E2">
              <w:rPr>
                <w:kern w:val="16"/>
                <w:sz w:val="19"/>
                <w:szCs w:val="24"/>
              </w:rPr>
              <w:lastRenderedPageBreak/>
              <w:t>Inclusion criteria</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2CCF4" w14:textId="77777777" w:rsidR="00AE3BFC" w:rsidRPr="006421E2" w:rsidRDefault="00AE3BFC" w:rsidP="007D2F65">
            <w:pPr>
              <w:ind w:left="0" w:right="0"/>
              <w:rPr>
                <w:kern w:val="16"/>
                <w:sz w:val="19"/>
                <w:szCs w:val="24"/>
              </w:rPr>
            </w:pPr>
            <w:r w:rsidRPr="006421E2">
              <w:rPr>
                <w:kern w:val="16"/>
                <w:sz w:val="19"/>
                <w:szCs w:val="24"/>
              </w:rPr>
              <w:t>A</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D94B6" w14:textId="77777777" w:rsidR="00AE3BFC" w:rsidRPr="006421E2" w:rsidRDefault="00AE3BFC" w:rsidP="007D2F65">
            <w:pPr>
              <w:ind w:left="0" w:right="0"/>
              <w:rPr>
                <w:kern w:val="16"/>
                <w:sz w:val="19"/>
                <w:szCs w:val="24"/>
              </w:rPr>
            </w:pPr>
            <w:r w:rsidRPr="006421E2">
              <w:rPr>
                <w:kern w:val="16"/>
                <w:sz w:val="19"/>
                <w:szCs w:val="24"/>
              </w:rPr>
              <w:t xml:space="preserve">A </w:t>
            </w:r>
            <w:proofErr w:type="spellStart"/>
            <w:r w:rsidRPr="006421E2">
              <w:rPr>
                <w:kern w:val="16"/>
                <w:sz w:val="19"/>
                <w:szCs w:val="24"/>
              </w:rPr>
              <w:t>exp</w:t>
            </w:r>
            <w:proofErr w:type="spellEnd"/>
          </w:p>
        </w:tc>
        <w:tc>
          <w:tcPr>
            <w:tcW w:w="3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15C8" w14:textId="77777777" w:rsidR="00AE3BFC" w:rsidRPr="006421E2" w:rsidRDefault="00AE3BFC" w:rsidP="007D2F65">
            <w:pPr>
              <w:ind w:left="0" w:right="0"/>
              <w:rPr>
                <w:kern w:val="16"/>
                <w:sz w:val="19"/>
                <w:szCs w:val="24"/>
              </w:rPr>
            </w:pPr>
            <w:r w:rsidRPr="006421E2">
              <w:rPr>
                <w:kern w:val="16"/>
                <w:sz w:val="19"/>
                <w:szCs w:val="24"/>
              </w:rPr>
              <w:t>B</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389AD" w14:textId="77777777" w:rsidR="00AE3BFC" w:rsidRPr="006421E2" w:rsidRDefault="00AE3BFC" w:rsidP="007D2F65">
            <w:pPr>
              <w:ind w:left="0" w:right="0"/>
              <w:rPr>
                <w:kern w:val="16"/>
                <w:sz w:val="19"/>
                <w:szCs w:val="24"/>
              </w:rPr>
            </w:pPr>
            <w:r w:rsidRPr="006421E2">
              <w:rPr>
                <w:kern w:val="16"/>
                <w:sz w:val="19"/>
                <w:szCs w:val="24"/>
              </w:rPr>
              <w:t>C</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7A87" w14:textId="77777777" w:rsidR="00AE3BFC" w:rsidRPr="006421E2" w:rsidRDefault="00AE3BFC" w:rsidP="007D2F65">
            <w:pPr>
              <w:ind w:left="0" w:right="0"/>
              <w:rPr>
                <w:kern w:val="16"/>
                <w:sz w:val="19"/>
                <w:szCs w:val="24"/>
              </w:rPr>
            </w:pPr>
            <w:r w:rsidRPr="006421E2">
              <w:rPr>
                <w:kern w:val="16"/>
                <w:sz w:val="19"/>
                <w:szCs w:val="24"/>
              </w:rPr>
              <w:t>D</w:t>
            </w:r>
          </w:p>
        </w:tc>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6E3A" w14:textId="77777777" w:rsidR="00AE3BFC" w:rsidRPr="006421E2" w:rsidRDefault="00AE3BFC" w:rsidP="007D2F65">
            <w:pPr>
              <w:ind w:left="0" w:right="0"/>
              <w:rPr>
                <w:kern w:val="16"/>
                <w:sz w:val="19"/>
                <w:szCs w:val="24"/>
              </w:rPr>
            </w:pPr>
            <w:r w:rsidRPr="006421E2">
              <w:rPr>
                <w:kern w:val="16"/>
                <w:sz w:val="19"/>
                <w:szCs w:val="24"/>
              </w:rPr>
              <w:t>E</w:t>
            </w:r>
          </w:p>
        </w:tc>
      </w:tr>
      <w:tr w:rsidR="00AE3BFC" w:rsidRPr="006421E2" w14:paraId="07DE81E4" w14:textId="77777777" w:rsidTr="007D2F65">
        <w:tc>
          <w:tcPr>
            <w:tcW w:w="5000" w:type="pct"/>
            <w:gridSpan w:val="8"/>
            <w:tcBorders>
              <w:top w:val="single" w:sz="4" w:space="0" w:color="000000" w:themeColor="text1"/>
            </w:tcBorders>
          </w:tcPr>
          <w:p w14:paraId="25A6B79B" w14:textId="77777777" w:rsidR="00AE3BFC" w:rsidRPr="006421E2" w:rsidRDefault="00AE3BFC" w:rsidP="007D2F65">
            <w:pPr>
              <w:ind w:left="0" w:right="0"/>
              <w:rPr>
                <w:kern w:val="16"/>
                <w:sz w:val="19"/>
                <w:szCs w:val="24"/>
              </w:rPr>
            </w:pPr>
            <w:r w:rsidRPr="006421E2">
              <w:rPr>
                <w:kern w:val="16"/>
                <w:sz w:val="19"/>
                <w:szCs w:val="24"/>
              </w:rPr>
              <w:t>Relapsed/refractory solid tumours</w:t>
            </w:r>
          </w:p>
        </w:tc>
      </w:tr>
      <w:tr w:rsidR="00AE3BFC" w:rsidRPr="006421E2" w14:paraId="2FC5F91C" w14:textId="77777777" w:rsidTr="007D2F65">
        <w:tc>
          <w:tcPr>
            <w:tcW w:w="2742" w:type="pct"/>
          </w:tcPr>
          <w:p w14:paraId="7E29AD5D" w14:textId="77777777" w:rsidR="00AE3BFC" w:rsidRPr="006421E2" w:rsidRDefault="00AE3BFC" w:rsidP="007D2F65">
            <w:pPr>
              <w:ind w:left="0" w:right="0"/>
              <w:jc w:val="right"/>
              <w:rPr>
                <w:kern w:val="16"/>
                <w:sz w:val="19"/>
                <w:szCs w:val="24"/>
              </w:rPr>
            </w:pPr>
            <w:proofErr w:type="spellStart"/>
            <w:r w:rsidRPr="006421E2">
              <w:rPr>
                <w:kern w:val="16"/>
                <w:sz w:val="19"/>
                <w:szCs w:val="24"/>
              </w:rPr>
              <w:t>extracranial</w:t>
            </w:r>
            <w:proofErr w:type="spellEnd"/>
            <w:r w:rsidRPr="006421E2">
              <w:rPr>
                <w:kern w:val="16"/>
                <w:sz w:val="19"/>
                <w:szCs w:val="24"/>
              </w:rPr>
              <w:t xml:space="preserve"> except </w:t>
            </w:r>
            <w:proofErr w:type="spellStart"/>
            <w:r w:rsidRPr="006421E2">
              <w:rPr>
                <w:kern w:val="16"/>
                <w:sz w:val="19"/>
                <w:szCs w:val="24"/>
              </w:rPr>
              <w:t>neuroblastoma</w:t>
            </w:r>
            <w:proofErr w:type="spellEnd"/>
          </w:p>
        </w:tc>
        <w:tc>
          <w:tcPr>
            <w:tcW w:w="376" w:type="pct"/>
          </w:tcPr>
          <w:p w14:paraId="1FECC911"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59EA4374"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0B2A8E6A" w14:textId="77777777" w:rsidR="00AE3BFC" w:rsidRPr="006421E2" w:rsidRDefault="00AE3BFC" w:rsidP="007D2F65">
            <w:pPr>
              <w:ind w:left="0" w:right="0"/>
              <w:rPr>
                <w:kern w:val="16"/>
                <w:sz w:val="19"/>
                <w:szCs w:val="24"/>
              </w:rPr>
            </w:pPr>
          </w:p>
        </w:tc>
        <w:tc>
          <w:tcPr>
            <w:tcW w:w="376" w:type="pct"/>
          </w:tcPr>
          <w:p w14:paraId="7AA620BE" w14:textId="77777777" w:rsidR="00AE3BFC" w:rsidRPr="006421E2" w:rsidRDefault="00AE3BFC" w:rsidP="007D2F65">
            <w:pPr>
              <w:ind w:left="0" w:right="0"/>
              <w:rPr>
                <w:kern w:val="16"/>
                <w:sz w:val="19"/>
                <w:szCs w:val="24"/>
              </w:rPr>
            </w:pPr>
          </w:p>
        </w:tc>
        <w:tc>
          <w:tcPr>
            <w:tcW w:w="376" w:type="pct"/>
          </w:tcPr>
          <w:p w14:paraId="5243079E"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70881622"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55875707" w14:textId="77777777" w:rsidTr="007D2F65">
        <w:tc>
          <w:tcPr>
            <w:tcW w:w="2742" w:type="pct"/>
          </w:tcPr>
          <w:p w14:paraId="58F26A3B" w14:textId="77777777" w:rsidR="00AE3BFC" w:rsidRPr="006421E2" w:rsidRDefault="00AE3BFC" w:rsidP="007D2F65">
            <w:pPr>
              <w:ind w:left="0" w:right="0"/>
              <w:jc w:val="right"/>
              <w:rPr>
                <w:kern w:val="16"/>
                <w:sz w:val="19"/>
                <w:szCs w:val="24"/>
              </w:rPr>
            </w:pPr>
            <w:proofErr w:type="spellStart"/>
            <w:r w:rsidRPr="006421E2">
              <w:rPr>
                <w:kern w:val="16"/>
                <w:sz w:val="19"/>
                <w:szCs w:val="24"/>
              </w:rPr>
              <w:t>neuroblastoma</w:t>
            </w:r>
            <w:proofErr w:type="spellEnd"/>
          </w:p>
        </w:tc>
        <w:tc>
          <w:tcPr>
            <w:tcW w:w="376" w:type="pct"/>
          </w:tcPr>
          <w:p w14:paraId="66E24913"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121A5079" w14:textId="77777777" w:rsidR="00AE3BFC" w:rsidRPr="006421E2" w:rsidRDefault="00AE3BFC" w:rsidP="007D2F65">
            <w:pPr>
              <w:ind w:left="0" w:right="0"/>
              <w:rPr>
                <w:kern w:val="16"/>
                <w:sz w:val="19"/>
                <w:szCs w:val="24"/>
              </w:rPr>
            </w:pPr>
          </w:p>
        </w:tc>
        <w:tc>
          <w:tcPr>
            <w:tcW w:w="376" w:type="pct"/>
            <w:gridSpan w:val="2"/>
          </w:tcPr>
          <w:p w14:paraId="168DDB05" w14:textId="77777777" w:rsidR="00AE3BFC" w:rsidRPr="006421E2" w:rsidRDefault="00AE3BFC" w:rsidP="007D2F65">
            <w:pPr>
              <w:ind w:left="0" w:right="0"/>
              <w:rPr>
                <w:kern w:val="16"/>
                <w:sz w:val="19"/>
                <w:szCs w:val="24"/>
              </w:rPr>
            </w:pPr>
          </w:p>
        </w:tc>
        <w:tc>
          <w:tcPr>
            <w:tcW w:w="376" w:type="pct"/>
          </w:tcPr>
          <w:p w14:paraId="5B1816F9"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46362539" w14:textId="77777777" w:rsidR="00AE3BFC" w:rsidRPr="006421E2" w:rsidRDefault="00AE3BFC" w:rsidP="007D2F65">
            <w:pPr>
              <w:ind w:left="0" w:right="0"/>
              <w:rPr>
                <w:kern w:val="16"/>
                <w:sz w:val="19"/>
                <w:szCs w:val="24"/>
              </w:rPr>
            </w:pPr>
          </w:p>
        </w:tc>
        <w:tc>
          <w:tcPr>
            <w:tcW w:w="376" w:type="pct"/>
          </w:tcPr>
          <w:p w14:paraId="263EE296"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11A18C21" w14:textId="77777777" w:rsidTr="007D2F65">
        <w:tc>
          <w:tcPr>
            <w:tcW w:w="2742" w:type="pct"/>
          </w:tcPr>
          <w:p w14:paraId="44228CC5" w14:textId="77777777" w:rsidR="00AE3BFC" w:rsidRPr="006421E2" w:rsidRDefault="00AE3BFC" w:rsidP="007D2F65">
            <w:pPr>
              <w:ind w:left="0" w:right="0"/>
              <w:jc w:val="right"/>
              <w:rPr>
                <w:kern w:val="16"/>
                <w:sz w:val="19"/>
                <w:szCs w:val="24"/>
              </w:rPr>
            </w:pPr>
            <w:r w:rsidRPr="006421E2">
              <w:rPr>
                <w:kern w:val="16"/>
                <w:sz w:val="19"/>
                <w:szCs w:val="24"/>
              </w:rPr>
              <w:t>primary brain</w:t>
            </w:r>
          </w:p>
        </w:tc>
        <w:tc>
          <w:tcPr>
            <w:tcW w:w="376" w:type="pct"/>
          </w:tcPr>
          <w:p w14:paraId="7C7F4A9D" w14:textId="77777777" w:rsidR="00AE3BFC" w:rsidRPr="006421E2" w:rsidRDefault="00AE3BFC" w:rsidP="007D2F65">
            <w:pPr>
              <w:ind w:left="0" w:right="0"/>
              <w:rPr>
                <w:kern w:val="16"/>
                <w:sz w:val="19"/>
                <w:szCs w:val="24"/>
              </w:rPr>
            </w:pPr>
          </w:p>
        </w:tc>
        <w:tc>
          <w:tcPr>
            <w:tcW w:w="376" w:type="pct"/>
          </w:tcPr>
          <w:p w14:paraId="3A5E5C33" w14:textId="77777777" w:rsidR="00AE3BFC" w:rsidRPr="006421E2" w:rsidRDefault="00AE3BFC" w:rsidP="007D2F65">
            <w:pPr>
              <w:ind w:left="0" w:right="0"/>
              <w:rPr>
                <w:kern w:val="16"/>
                <w:sz w:val="19"/>
                <w:szCs w:val="24"/>
              </w:rPr>
            </w:pPr>
          </w:p>
        </w:tc>
        <w:tc>
          <w:tcPr>
            <w:tcW w:w="376" w:type="pct"/>
            <w:gridSpan w:val="2"/>
          </w:tcPr>
          <w:p w14:paraId="5103F169"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1F511DAA" w14:textId="77777777" w:rsidR="00AE3BFC" w:rsidRPr="006421E2" w:rsidRDefault="00AE3BFC" w:rsidP="007D2F65">
            <w:pPr>
              <w:ind w:left="0" w:right="0"/>
              <w:rPr>
                <w:kern w:val="16"/>
                <w:sz w:val="19"/>
                <w:szCs w:val="24"/>
              </w:rPr>
            </w:pPr>
          </w:p>
        </w:tc>
        <w:tc>
          <w:tcPr>
            <w:tcW w:w="376" w:type="pct"/>
          </w:tcPr>
          <w:p w14:paraId="05EBD868" w14:textId="77777777" w:rsidR="00AE3BFC" w:rsidRPr="006421E2" w:rsidRDefault="00AE3BFC" w:rsidP="007D2F65">
            <w:pPr>
              <w:ind w:left="0" w:right="0"/>
              <w:rPr>
                <w:kern w:val="16"/>
                <w:sz w:val="19"/>
                <w:szCs w:val="24"/>
              </w:rPr>
            </w:pPr>
          </w:p>
        </w:tc>
        <w:tc>
          <w:tcPr>
            <w:tcW w:w="376" w:type="pct"/>
          </w:tcPr>
          <w:p w14:paraId="43D9B27F"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2015D9F2" w14:textId="77777777" w:rsidTr="007D2F65">
        <w:tc>
          <w:tcPr>
            <w:tcW w:w="5000" w:type="pct"/>
            <w:gridSpan w:val="8"/>
          </w:tcPr>
          <w:p w14:paraId="7D89873B" w14:textId="77777777" w:rsidR="00AE3BFC" w:rsidRPr="006421E2" w:rsidRDefault="00AE3BFC" w:rsidP="007D2F65">
            <w:pPr>
              <w:ind w:left="0" w:right="0"/>
              <w:rPr>
                <w:kern w:val="16"/>
                <w:sz w:val="19"/>
                <w:szCs w:val="24"/>
              </w:rPr>
            </w:pPr>
            <w:r w:rsidRPr="006421E2">
              <w:rPr>
                <w:kern w:val="16"/>
                <w:sz w:val="19"/>
                <w:szCs w:val="24"/>
              </w:rPr>
              <w:t>NTRK 1/2/3, ROS or ALK alterations</w:t>
            </w:r>
          </w:p>
        </w:tc>
      </w:tr>
      <w:tr w:rsidR="00AE3BFC" w:rsidRPr="006421E2" w14:paraId="625917B5" w14:textId="77777777" w:rsidTr="007D2F65">
        <w:tc>
          <w:tcPr>
            <w:tcW w:w="2742" w:type="pct"/>
          </w:tcPr>
          <w:p w14:paraId="0156E7F8" w14:textId="77777777" w:rsidR="00AE3BFC" w:rsidRPr="006421E2" w:rsidRDefault="00AE3BFC" w:rsidP="007D2F65">
            <w:pPr>
              <w:ind w:left="0" w:right="0"/>
              <w:jc w:val="right"/>
              <w:rPr>
                <w:kern w:val="16"/>
                <w:sz w:val="19"/>
                <w:szCs w:val="24"/>
              </w:rPr>
            </w:pPr>
            <w:r w:rsidRPr="006421E2">
              <w:rPr>
                <w:kern w:val="16"/>
                <w:sz w:val="19"/>
                <w:szCs w:val="24"/>
              </w:rPr>
              <w:t>gene fusions*</w:t>
            </w:r>
          </w:p>
        </w:tc>
        <w:tc>
          <w:tcPr>
            <w:tcW w:w="376" w:type="pct"/>
          </w:tcPr>
          <w:p w14:paraId="7E0DBA68" w14:textId="77777777" w:rsidR="00AE3BFC" w:rsidRPr="006421E2" w:rsidRDefault="00AE3BFC" w:rsidP="007D2F65">
            <w:pPr>
              <w:ind w:left="0" w:right="0"/>
              <w:rPr>
                <w:kern w:val="16"/>
                <w:sz w:val="19"/>
                <w:szCs w:val="24"/>
              </w:rPr>
            </w:pPr>
          </w:p>
        </w:tc>
        <w:tc>
          <w:tcPr>
            <w:tcW w:w="376" w:type="pct"/>
          </w:tcPr>
          <w:p w14:paraId="6FB51327" w14:textId="77777777" w:rsidR="00AE3BFC" w:rsidRPr="006421E2" w:rsidRDefault="00AE3BFC" w:rsidP="007D2F65">
            <w:pPr>
              <w:ind w:left="0" w:right="0"/>
              <w:rPr>
                <w:kern w:val="16"/>
                <w:sz w:val="19"/>
                <w:szCs w:val="24"/>
              </w:rPr>
            </w:pPr>
          </w:p>
        </w:tc>
        <w:tc>
          <w:tcPr>
            <w:tcW w:w="376" w:type="pct"/>
            <w:gridSpan w:val="2"/>
          </w:tcPr>
          <w:p w14:paraId="10ACAFCA"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4BE08C28" w14:textId="77777777" w:rsidR="00AE3BFC" w:rsidRPr="006421E2" w:rsidRDefault="00AE3BFC" w:rsidP="007D2F65">
            <w:pPr>
              <w:ind w:left="0" w:right="0"/>
              <w:rPr>
                <w:kern w:val="16"/>
                <w:sz w:val="19"/>
                <w:szCs w:val="24"/>
              </w:rPr>
            </w:pPr>
          </w:p>
        </w:tc>
        <w:tc>
          <w:tcPr>
            <w:tcW w:w="376" w:type="pct"/>
          </w:tcPr>
          <w:p w14:paraId="006DC815"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0EA1702D"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72773301" w14:textId="77777777" w:rsidTr="007D2F65">
        <w:tc>
          <w:tcPr>
            <w:tcW w:w="2742" w:type="pct"/>
          </w:tcPr>
          <w:p w14:paraId="0EEF6A4A" w14:textId="77777777" w:rsidR="00AE3BFC" w:rsidRPr="006421E2" w:rsidRDefault="00AE3BFC" w:rsidP="007D2F65">
            <w:pPr>
              <w:ind w:left="0" w:right="0"/>
              <w:jc w:val="right"/>
              <w:rPr>
                <w:kern w:val="16"/>
                <w:sz w:val="19"/>
                <w:szCs w:val="24"/>
              </w:rPr>
            </w:pPr>
            <w:r w:rsidRPr="006421E2">
              <w:rPr>
                <w:kern w:val="16"/>
                <w:sz w:val="19"/>
                <w:szCs w:val="24"/>
              </w:rPr>
              <w:t>other alterations</w:t>
            </w:r>
          </w:p>
        </w:tc>
        <w:tc>
          <w:tcPr>
            <w:tcW w:w="376" w:type="pct"/>
          </w:tcPr>
          <w:p w14:paraId="11CD477E" w14:textId="77777777" w:rsidR="00AE3BFC" w:rsidRPr="006421E2" w:rsidRDefault="00AE3BFC" w:rsidP="007D2F65">
            <w:pPr>
              <w:ind w:left="0" w:right="0"/>
              <w:rPr>
                <w:kern w:val="16"/>
                <w:sz w:val="19"/>
                <w:szCs w:val="24"/>
              </w:rPr>
            </w:pPr>
          </w:p>
        </w:tc>
        <w:tc>
          <w:tcPr>
            <w:tcW w:w="376" w:type="pct"/>
          </w:tcPr>
          <w:p w14:paraId="0B3C5F81"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26288A38"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7C4B3C37" w14:textId="77777777" w:rsidR="00AE3BFC" w:rsidRPr="006421E2" w:rsidRDefault="00AE3BFC" w:rsidP="007D2F65">
            <w:pPr>
              <w:ind w:left="0" w:right="0"/>
              <w:rPr>
                <w:kern w:val="16"/>
                <w:sz w:val="19"/>
                <w:szCs w:val="24"/>
              </w:rPr>
            </w:pPr>
          </w:p>
        </w:tc>
        <w:tc>
          <w:tcPr>
            <w:tcW w:w="376" w:type="pct"/>
          </w:tcPr>
          <w:p w14:paraId="6D51FAD2" w14:textId="77777777" w:rsidR="00AE3BFC" w:rsidRPr="006421E2" w:rsidRDefault="00AE3BFC" w:rsidP="007D2F65">
            <w:pPr>
              <w:ind w:left="0" w:right="0"/>
              <w:rPr>
                <w:kern w:val="16"/>
                <w:sz w:val="19"/>
                <w:szCs w:val="24"/>
              </w:rPr>
            </w:pPr>
          </w:p>
        </w:tc>
        <w:tc>
          <w:tcPr>
            <w:tcW w:w="376" w:type="pct"/>
          </w:tcPr>
          <w:p w14:paraId="7D103968"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4DDCFBAB" w14:textId="77777777" w:rsidTr="007D2F65">
        <w:tc>
          <w:tcPr>
            <w:tcW w:w="5000" w:type="pct"/>
            <w:gridSpan w:val="8"/>
          </w:tcPr>
          <w:p w14:paraId="61ECA0AD" w14:textId="77777777" w:rsidR="00AE3BFC" w:rsidRPr="006421E2" w:rsidRDefault="00AE3BFC" w:rsidP="007D2F65">
            <w:pPr>
              <w:ind w:left="0" w:right="0"/>
              <w:rPr>
                <w:kern w:val="16"/>
                <w:sz w:val="19"/>
                <w:szCs w:val="24"/>
              </w:rPr>
            </w:pPr>
            <w:r w:rsidRPr="006421E2">
              <w:rPr>
                <w:kern w:val="16"/>
                <w:sz w:val="19"/>
                <w:szCs w:val="24"/>
              </w:rPr>
              <w:t>Measurable or evaluable disease</w:t>
            </w:r>
          </w:p>
        </w:tc>
      </w:tr>
      <w:tr w:rsidR="00AE3BFC" w:rsidRPr="006421E2" w14:paraId="76DBE7F3" w14:textId="77777777" w:rsidTr="007D2F65">
        <w:tc>
          <w:tcPr>
            <w:tcW w:w="2742" w:type="pct"/>
          </w:tcPr>
          <w:p w14:paraId="31AF9B66" w14:textId="77777777" w:rsidR="00AE3BFC" w:rsidRPr="006421E2" w:rsidRDefault="00AE3BFC" w:rsidP="007D2F65">
            <w:pPr>
              <w:ind w:left="0" w:right="0"/>
              <w:jc w:val="right"/>
              <w:rPr>
                <w:kern w:val="16"/>
                <w:sz w:val="19"/>
                <w:szCs w:val="24"/>
              </w:rPr>
            </w:pPr>
            <w:r w:rsidRPr="006421E2">
              <w:rPr>
                <w:kern w:val="16"/>
                <w:sz w:val="19"/>
                <w:szCs w:val="24"/>
              </w:rPr>
              <w:t>per RECIST v1.1</w:t>
            </w:r>
          </w:p>
        </w:tc>
        <w:tc>
          <w:tcPr>
            <w:tcW w:w="376" w:type="pct"/>
          </w:tcPr>
          <w:p w14:paraId="38E96E73"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6E3EF5CF"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006903B5" w14:textId="77777777" w:rsidR="00AE3BFC" w:rsidRPr="006421E2" w:rsidRDefault="00AE3BFC" w:rsidP="007D2F65">
            <w:pPr>
              <w:ind w:left="0" w:right="0"/>
              <w:rPr>
                <w:kern w:val="16"/>
                <w:sz w:val="19"/>
                <w:szCs w:val="24"/>
              </w:rPr>
            </w:pPr>
          </w:p>
        </w:tc>
        <w:tc>
          <w:tcPr>
            <w:tcW w:w="376" w:type="pct"/>
          </w:tcPr>
          <w:p w14:paraId="57BFF3D2" w14:textId="77777777" w:rsidR="00AE3BFC" w:rsidRPr="006421E2" w:rsidRDefault="00AE3BFC" w:rsidP="007D2F65">
            <w:pPr>
              <w:ind w:left="0" w:right="0"/>
              <w:rPr>
                <w:kern w:val="16"/>
                <w:sz w:val="19"/>
                <w:szCs w:val="24"/>
              </w:rPr>
            </w:pPr>
          </w:p>
        </w:tc>
        <w:tc>
          <w:tcPr>
            <w:tcW w:w="376" w:type="pct"/>
          </w:tcPr>
          <w:p w14:paraId="79F99A8D"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77AB0496" w14:textId="77777777" w:rsidR="00AE3BFC" w:rsidRPr="006421E2" w:rsidRDefault="00AE3BFC" w:rsidP="007D2F65">
            <w:pPr>
              <w:ind w:left="0" w:right="0"/>
              <w:rPr>
                <w:kern w:val="16"/>
                <w:sz w:val="19"/>
                <w:szCs w:val="24"/>
              </w:rPr>
            </w:pPr>
          </w:p>
        </w:tc>
      </w:tr>
      <w:tr w:rsidR="00AE3BFC" w:rsidRPr="006421E2" w14:paraId="4785F88D" w14:textId="77777777" w:rsidTr="007D2F65">
        <w:tc>
          <w:tcPr>
            <w:tcW w:w="2742" w:type="pct"/>
          </w:tcPr>
          <w:p w14:paraId="6D5E400C" w14:textId="77777777" w:rsidR="00AE3BFC" w:rsidRPr="006421E2" w:rsidRDefault="00AE3BFC" w:rsidP="007D2F65">
            <w:pPr>
              <w:ind w:left="0" w:right="0"/>
              <w:jc w:val="right"/>
              <w:rPr>
                <w:kern w:val="16"/>
                <w:sz w:val="19"/>
                <w:szCs w:val="24"/>
              </w:rPr>
            </w:pPr>
            <w:r w:rsidRPr="006421E2">
              <w:rPr>
                <w:kern w:val="16"/>
                <w:sz w:val="19"/>
                <w:szCs w:val="24"/>
              </w:rPr>
              <w:t>per RANO</w:t>
            </w:r>
          </w:p>
        </w:tc>
        <w:tc>
          <w:tcPr>
            <w:tcW w:w="376" w:type="pct"/>
          </w:tcPr>
          <w:p w14:paraId="53CC066B" w14:textId="77777777" w:rsidR="00AE3BFC" w:rsidRPr="006421E2" w:rsidRDefault="00AE3BFC" w:rsidP="007D2F65">
            <w:pPr>
              <w:ind w:left="0" w:right="0"/>
              <w:rPr>
                <w:kern w:val="16"/>
                <w:sz w:val="19"/>
                <w:szCs w:val="24"/>
              </w:rPr>
            </w:pPr>
          </w:p>
        </w:tc>
        <w:tc>
          <w:tcPr>
            <w:tcW w:w="376" w:type="pct"/>
          </w:tcPr>
          <w:p w14:paraId="551F0CAA" w14:textId="77777777" w:rsidR="00AE3BFC" w:rsidRPr="006421E2" w:rsidRDefault="00AE3BFC" w:rsidP="007D2F65">
            <w:pPr>
              <w:ind w:left="0" w:right="0"/>
              <w:rPr>
                <w:kern w:val="16"/>
                <w:sz w:val="19"/>
                <w:szCs w:val="24"/>
              </w:rPr>
            </w:pPr>
          </w:p>
        </w:tc>
        <w:tc>
          <w:tcPr>
            <w:tcW w:w="376" w:type="pct"/>
            <w:gridSpan w:val="2"/>
          </w:tcPr>
          <w:p w14:paraId="2335AEC6"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5D7EB3AD" w14:textId="77777777" w:rsidR="00AE3BFC" w:rsidRPr="006421E2" w:rsidRDefault="00AE3BFC" w:rsidP="007D2F65">
            <w:pPr>
              <w:ind w:left="0" w:right="0"/>
              <w:rPr>
                <w:kern w:val="16"/>
                <w:sz w:val="19"/>
                <w:szCs w:val="24"/>
              </w:rPr>
            </w:pPr>
          </w:p>
        </w:tc>
        <w:tc>
          <w:tcPr>
            <w:tcW w:w="376" w:type="pct"/>
          </w:tcPr>
          <w:p w14:paraId="60BFD434" w14:textId="77777777" w:rsidR="00AE3BFC" w:rsidRPr="006421E2" w:rsidRDefault="00AE3BFC" w:rsidP="007D2F65">
            <w:pPr>
              <w:ind w:left="0" w:right="0"/>
              <w:rPr>
                <w:kern w:val="16"/>
                <w:sz w:val="19"/>
                <w:szCs w:val="24"/>
              </w:rPr>
            </w:pPr>
          </w:p>
        </w:tc>
        <w:tc>
          <w:tcPr>
            <w:tcW w:w="376" w:type="pct"/>
          </w:tcPr>
          <w:p w14:paraId="3A3CBF5C"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6F4C7D5E" w14:textId="77777777" w:rsidTr="007D2F65">
        <w:tc>
          <w:tcPr>
            <w:tcW w:w="2742" w:type="pct"/>
          </w:tcPr>
          <w:p w14:paraId="799D01AD" w14:textId="77777777" w:rsidR="00AE3BFC" w:rsidRPr="006421E2" w:rsidRDefault="00AE3BFC" w:rsidP="007D2F65">
            <w:pPr>
              <w:ind w:left="0" w:right="0"/>
              <w:jc w:val="right"/>
              <w:rPr>
                <w:kern w:val="16"/>
                <w:sz w:val="19"/>
                <w:szCs w:val="24"/>
              </w:rPr>
            </w:pPr>
            <w:r w:rsidRPr="006421E2">
              <w:rPr>
                <w:kern w:val="16"/>
                <w:sz w:val="19"/>
                <w:szCs w:val="24"/>
              </w:rPr>
              <w:t>per RECIST v1.1, ± Curie Scale</w:t>
            </w:r>
          </w:p>
        </w:tc>
        <w:tc>
          <w:tcPr>
            <w:tcW w:w="376" w:type="pct"/>
          </w:tcPr>
          <w:p w14:paraId="17563C7E" w14:textId="77777777" w:rsidR="00AE3BFC" w:rsidRPr="006421E2" w:rsidRDefault="00AE3BFC" w:rsidP="007D2F65">
            <w:pPr>
              <w:ind w:left="0" w:right="0"/>
              <w:rPr>
                <w:kern w:val="16"/>
                <w:sz w:val="19"/>
                <w:szCs w:val="24"/>
              </w:rPr>
            </w:pPr>
          </w:p>
        </w:tc>
        <w:tc>
          <w:tcPr>
            <w:tcW w:w="376" w:type="pct"/>
          </w:tcPr>
          <w:p w14:paraId="625B5DF3" w14:textId="77777777" w:rsidR="00AE3BFC" w:rsidRPr="006421E2" w:rsidRDefault="00AE3BFC" w:rsidP="007D2F65">
            <w:pPr>
              <w:ind w:left="0" w:right="0"/>
              <w:rPr>
                <w:kern w:val="16"/>
                <w:sz w:val="19"/>
                <w:szCs w:val="24"/>
              </w:rPr>
            </w:pPr>
          </w:p>
        </w:tc>
        <w:tc>
          <w:tcPr>
            <w:tcW w:w="376" w:type="pct"/>
            <w:gridSpan w:val="2"/>
          </w:tcPr>
          <w:p w14:paraId="66302B9C" w14:textId="77777777" w:rsidR="00AE3BFC" w:rsidRPr="006421E2" w:rsidRDefault="00AE3BFC" w:rsidP="007D2F65">
            <w:pPr>
              <w:ind w:left="0" w:right="0"/>
              <w:rPr>
                <w:kern w:val="16"/>
                <w:sz w:val="19"/>
                <w:szCs w:val="24"/>
              </w:rPr>
            </w:pPr>
          </w:p>
        </w:tc>
        <w:tc>
          <w:tcPr>
            <w:tcW w:w="376" w:type="pct"/>
          </w:tcPr>
          <w:p w14:paraId="6105F4EF"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3C9258EE" w14:textId="77777777" w:rsidR="00AE3BFC" w:rsidRPr="006421E2" w:rsidRDefault="00AE3BFC" w:rsidP="007D2F65">
            <w:pPr>
              <w:ind w:left="0" w:right="0"/>
              <w:rPr>
                <w:kern w:val="16"/>
                <w:sz w:val="19"/>
                <w:szCs w:val="24"/>
              </w:rPr>
            </w:pPr>
          </w:p>
        </w:tc>
        <w:tc>
          <w:tcPr>
            <w:tcW w:w="376" w:type="pct"/>
          </w:tcPr>
          <w:p w14:paraId="556A6FB6" w14:textId="77777777" w:rsidR="00AE3BFC" w:rsidRPr="006421E2" w:rsidRDefault="00AE3BFC" w:rsidP="007D2F65">
            <w:pPr>
              <w:ind w:left="0" w:right="0"/>
              <w:rPr>
                <w:kern w:val="16"/>
                <w:sz w:val="19"/>
                <w:szCs w:val="24"/>
              </w:rPr>
            </w:pPr>
            <w:r w:rsidRPr="006421E2">
              <w:rPr>
                <w:kern w:val="16"/>
                <w:sz w:val="19"/>
                <w:szCs w:val="24"/>
              </w:rPr>
              <w:sym w:font="Wingdings" w:char="F0FC"/>
            </w:r>
          </w:p>
        </w:tc>
      </w:tr>
      <w:tr w:rsidR="00AE3BFC" w:rsidRPr="006421E2" w14:paraId="17C02F1E" w14:textId="77777777" w:rsidTr="007D2F65">
        <w:tc>
          <w:tcPr>
            <w:tcW w:w="5000" w:type="pct"/>
            <w:gridSpan w:val="8"/>
          </w:tcPr>
          <w:p w14:paraId="647280B3" w14:textId="77777777" w:rsidR="00AE3BFC" w:rsidRPr="006421E2" w:rsidRDefault="00AE3BFC" w:rsidP="007D2F65">
            <w:pPr>
              <w:ind w:left="0" w:right="0"/>
              <w:rPr>
                <w:kern w:val="16"/>
                <w:sz w:val="19"/>
                <w:szCs w:val="24"/>
              </w:rPr>
            </w:pPr>
            <w:r w:rsidRPr="006421E2">
              <w:rPr>
                <w:kern w:val="16"/>
                <w:sz w:val="19"/>
                <w:szCs w:val="24"/>
              </w:rPr>
              <w:t>Other</w:t>
            </w:r>
          </w:p>
        </w:tc>
      </w:tr>
      <w:tr w:rsidR="00AE3BFC" w:rsidRPr="006421E2" w14:paraId="59D339FA" w14:textId="77777777" w:rsidTr="007D2F65">
        <w:tc>
          <w:tcPr>
            <w:tcW w:w="2742" w:type="pct"/>
          </w:tcPr>
          <w:p w14:paraId="42DC4E71" w14:textId="061FA0BC" w:rsidR="00AE3BFC" w:rsidRPr="006421E2" w:rsidRDefault="00AE3BFC" w:rsidP="007D2F65">
            <w:pPr>
              <w:ind w:left="0" w:right="0"/>
              <w:jc w:val="right"/>
              <w:rPr>
                <w:kern w:val="16"/>
                <w:sz w:val="19"/>
                <w:szCs w:val="24"/>
              </w:rPr>
            </w:pPr>
            <w:r w:rsidRPr="006421E2">
              <w:rPr>
                <w:kern w:val="16"/>
                <w:sz w:val="19"/>
                <w:szCs w:val="24"/>
              </w:rPr>
              <w:t>Body surface area at least 0.45 m</w:t>
            </w:r>
            <w:r w:rsidRPr="006421E2">
              <w:rPr>
                <w:kern w:val="16"/>
                <w:sz w:val="19"/>
                <w:szCs w:val="24"/>
                <w:vertAlign w:val="superscript"/>
              </w:rPr>
              <w:t xml:space="preserve">2 </w:t>
            </w:r>
            <w:r w:rsidR="00A07102">
              <w:rPr>
                <w:kern w:val="16"/>
                <w:sz w:val="19"/>
                <w:szCs w:val="24"/>
              </w:rPr>
              <w:t xml:space="preserve">(at </w:t>
            </w:r>
            <w:r w:rsidRPr="006421E2">
              <w:rPr>
                <w:kern w:val="16"/>
                <w:sz w:val="19"/>
                <w:szCs w:val="24"/>
              </w:rPr>
              <w:t>enrolment)</w:t>
            </w:r>
          </w:p>
        </w:tc>
        <w:tc>
          <w:tcPr>
            <w:tcW w:w="376" w:type="pct"/>
          </w:tcPr>
          <w:p w14:paraId="18BA15E7"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35E6F205"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77DF7F02"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54185DB8"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45D04E8F"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6362A14F" w14:textId="77777777" w:rsidR="00AE3BFC" w:rsidRPr="006421E2" w:rsidRDefault="00AE3BFC" w:rsidP="007D2F65">
            <w:pPr>
              <w:ind w:left="0" w:right="0"/>
              <w:rPr>
                <w:kern w:val="16"/>
                <w:sz w:val="19"/>
                <w:szCs w:val="24"/>
              </w:rPr>
            </w:pPr>
          </w:p>
        </w:tc>
      </w:tr>
      <w:tr w:rsidR="00AE3BFC" w:rsidRPr="006421E2" w14:paraId="7EBF8963" w14:textId="77777777" w:rsidTr="007D2F65">
        <w:tc>
          <w:tcPr>
            <w:tcW w:w="2742" w:type="pct"/>
          </w:tcPr>
          <w:p w14:paraId="17640357" w14:textId="77777777" w:rsidR="00AE3BFC" w:rsidRPr="006421E2" w:rsidRDefault="00AE3BFC" w:rsidP="007D2F65">
            <w:pPr>
              <w:ind w:left="0" w:right="0"/>
              <w:jc w:val="right"/>
              <w:rPr>
                <w:kern w:val="16"/>
                <w:sz w:val="19"/>
                <w:szCs w:val="24"/>
              </w:rPr>
            </w:pPr>
            <w:r w:rsidRPr="006421E2">
              <w:rPr>
                <w:kern w:val="16"/>
                <w:sz w:val="19"/>
                <w:szCs w:val="24"/>
              </w:rPr>
              <w:t>Age at least 2 years</w:t>
            </w:r>
          </w:p>
        </w:tc>
        <w:tc>
          <w:tcPr>
            <w:tcW w:w="376" w:type="pct"/>
          </w:tcPr>
          <w:p w14:paraId="72E0DA13"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371AF0F5"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1F9AA9C4"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0B6F97FA"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53260824"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7513415D" w14:textId="77777777" w:rsidR="00AE3BFC" w:rsidRPr="006421E2" w:rsidRDefault="00AE3BFC" w:rsidP="007D2F65">
            <w:pPr>
              <w:ind w:left="0" w:right="0"/>
              <w:rPr>
                <w:kern w:val="16"/>
                <w:sz w:val="19"/>
                <w:szCs w:val="24"/>
              </w:rPr>
            </w:pPr>
          </w:p>
        </w:tc>
      </w:tr>
      <w:tr w:rsidR="00AE3BFC" w:rsidRPr="006421E2" w14:paraId="1F263E52" w14:textId="77777777" w:rsidTr="007D2F65">
        <w:tc>
          <w:tcPr>
            <w:tcW w:w="2742" w:type="pct"/>
          </w:tcPr>
          <w:p w14:paraId="15069DDE" w14:textId="77777777" w:rsidR="00AE3BFC" w:rsidRPr="006421E2" w:rsidRDefault="00AE3BFC" w:rsidP="007D2F65">
            <w:pPr>
              <w:ind w:left="0" w:right="0"/>
              <w:jc w:val="right"/>
              <w:rPr>
                <w:kern w:val="16"/>
                <w:sz w:val="19"/>
                <w:szCs w:val="24"/>
              </w:rPr>
            </w:pPr>
            <w:r w:rsidRPr="006421E2">
              <w:rPr>
                <w:kern w:val="16"/>
                <w:sz w:val="19"/>
                <w:szCs w:val="24"/>
              </w:rPr>
              <w:t>Able to swallow capsules</w:t>
            </w:r>
          </w:p>
        </w:tc>
        <w:tc>
          <w:tcPr>
            <w:tcW w:w="376" w:type="pct"/>
          </w:tcPr>
          <w:p w14:paraId="39E30DB6"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5691E492"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gridSpan w:val="2"/>
          </w:tcPr>
          <w:p w14:paraId="35FA8CA2"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67F1E34A"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45A96FD0" w14:textId="77777777" w:rsidR="00AE3BFC" w:rsidRPr="006421E2" w:rsidRDefault="00AE3BFC" w:rsidP="007D2F65">
            <w:pPr>
              <w:ind w:left="0" w:right="0"/>
              <w:rPr>
                <w:kern w:val="16"/>
                <w:sz w:val="19"/>
                <w:szCs w:val="24"/>
              </w:rPr>
            </w:pPr>
            <w:r w:rsidRPr="006421E2">
              <w:rPr>
                <w:kern w:val="16"/>
                <w:sz w:val="19"/>
                <w:szCs w:val="24"/>
              </w:rPr>
              <w:sym w:font="Wingdings" w:char="F0FC"/>
            </w:r>
          </w:p>
        </w:tc>
        <w:tc>
          <w:tcPr>
            <w:tcW w:w="376" w:type="pct"/>
          </w:tcPr>
          <w:p w14:paraId="103367EA" w14:textId="77777777" w:rsidR="00AE3BFC" w:rsidRPr="006421E2" w:rsidRDefault="00AE3BFC" w:rsidP="007D2F65">
            <w:pPr>
              <w:ind w:left="0" w:right="0"/>
              <w:rPr>
                <w:kern w:val="16"/>
                <w:sz w:val="19"/>
                <w:szCs w:val="24"/>
              </w:rPr>
            </w:pPr>
          </w:p>
        </w:tc>
      </w:tr>
    </w:tbl>
    <w:p w14:paraId="200BBD99" w14:textId="223D15DD" w:rsidR="00AE3BFC" w:rsidRDefault="00AE3BFC" w:rsidP="007D2F65">
      <w:pPr>
        <w:pStyle w:val="TableDescription"/>
      </w:pPr>
      <w:r w:rsidRPr="006421E2">
        <w:t xml:space="preserve">* predicted to translate into functional fusion kinase, with no concomitant second </w:t>
      </w:r>
      <w:proofErr w:type="spellStart"/>
      <w:r w:rsidRPr="006421E2">
        <w:t>oncodriver</w:t>
      </w:r>
      <w:proofErr w:type="spellEnd"/>
      <w:r w:rsidRPr="006421E2">
        <w:t xml:space="preserve"> (such as </w:t>
      </w:r>
      <w:r w:rsidRPr="007B0C16">
        <w:rPr>
          <w:i/>
        </w:rPr>
        <w:t>EGFR/KRAS</w:t>
      </w:r>
      <w:r w:rsidRPr="006421E2">
        <w:t xml:space="preserve">), as determined by any nucleic acid-based diagnostic testing method, </w:t>
      </w:r>
      <w:r>
        <w:t>for example</w:t>
      </w:r>
      <w:r w:rsidRPr="006421E2">
        <w:t xml:space="preserve"> NGS, Sange</w:t>
      </w:r>
      <w:r>
        <w:t xml:space="preserve">r, RT-PCR, </w:t>
      </w:r>
      <w:proofErr w:type="spellStart"/>
      <w:r>
        <w:t>NanoString</w:t>
      </w:r>
      <w:proofErr w:type="spellEnd"/>
      <w:r>
        <w:t xml:space="preserve">, </w:t>
      </w:r>
      <w:proofErr w:type="spellStart"/>
      <w:r>
        <w:t>EdgeSeq</w:t>
      </w:r>
      <w:proofErr w:type="spellEnd"/>
      <w:r>
        <w:t>.</w:t>
      </w:r>
    </w:p>
    <w:p w14:paraId="5CB4C4A4" w14:textId="366D7419" w:rsidR="006421E2" w:rsidRPr="00D84CA8" w:rsidRDefault="006421E2" w:rsidP="00D84CA8">
      <w:pPr>
        <w:pStyle w:val="Heading5"/>
      </w:pPr>
      <w:r w:rsidRPr="00D84CA8">
        <w:t>Integrated safety analysis</w:t>
      </w:r>
    </w:p>
    <w:p w14:paraId="1DE8A8EA" w14:textId="77777777" w:rsidR="006421E2" w:rsidRPr="006421E2" w:rsidRDefault="006421E2" w:rsidP="00107C76">
      <w:pPr>
        <w:pStyle w:val="Heading6"/>
      </w:pPr>
      <w:r w:rsidRPr="006421E2">
        <w:t>Populations and exposure</w:t>
      </w:r>
    </w:p>
    <w:p w14:paraId="01A4CA9D" w14:textId="4DE74ABB" w:rsidR="006421E2" w:rsidRPr="006421E2" w:rsidRDefault="006421E2" w:rsidP="006421E2">
      <w:r w:rsidRPr="006421E2">
        <w:t xml:space="preserve">The FDA safety review presents data for four main datasets within the integrated safety population, with a data cut-off date of </w:t>
      </w:r>
      <w:r w:rsidR="000544FA">
        <w:t>31 May</w:t>
      </w:r>
      <w:r w:rsidRPr="006421E2">
        <w:t xml:space="preserve"> 2018, define</w:t>
      </w:r>
      <w:r w:rsidR="000128B2">
        <w:t>d in the FDA review as follows.</w:t>
      </w:r>
      <w:r w:rsidR="000128B2">
        <w:fldChar w:fldCharType="begin"/>
      </w:r>
      <w:r w:rsidR="000128B2">
        <w:instrText xml:space="preserve"> NOTEREF _Ref50554541 \f \h </w:instrText>
      </w:r>
      <w:r w:rsidR="000128B2">
        <w:fldChar w:fldCharType="separate"/>
      </w:r>
      <w:r w:rsidR="005743D8" w:rsidRPr="005743D8">
        <w:rPr>
          <w:rStyle w:val="FootnoteReference"/>
        </w:rPr>
        <w:t>12</w:t>
      </w:r>
      <w:r w:rsidR="000128B2">
        <w:fldChar w:fldCharType="end"/>
      </w:r>
      <w:r w:rsidRPr="006421E2">
        <w:t xml:space="preserve"> </w:t>
      </w:r>
    </w:p>
    <w:p w14:paraId="29FDA5F4" w14:textId="77777777" w:rsidR="006421E2" w:rsidRPr="006421E2" w:rsidRDefault="006421E2" w:rsidP="006421E2">
      <w:r w:rsidRPr="006421E2">
        <w:t>Adult safety datasets:</w:t>
      </w:r>
    </w:p>
    <w:p w14:paraId="02D44EF9" w14:textId="484BA53A" w:rsidR="006421E2" w:rsidRPr="006421E2" w:rsidRDefault="006421E2" w:rsidP="00431C48">
      <w:pPr>
        <w:pStyle w:val="ListBullet"/>
      </w:pPr>
      <w:r w:rsidRPr="006421E2">
        <w:t xml:space="preserve">NTRK fusion-positive analysis set (n = 68): Patients from the ALKA, </w:t>
      </w:r>
      <w:r w:rsidR="00B3760D">
        <w:t>STARTRK-1, and STARTRK-2 trials</w:t>
      </w:r>
      <w:r w:rsidRPr="006421E2">
        <w:t xml:space="preserve"> in the safety population who have </w:t>
      </w:r>
      <w:r w:rsidRPr="007B0C16">
        <w:rPr>
          <w:i/>
        </w:rPr>
        <w:t xml:space="preserve">NTRK </w:t>
      </w:r>
      <w:r w:rsidRPr="006421E2">
        <w:t>fusion-positive solid tumo</w:t>
      </w:r>
      <w:r w:rsidR="00994AD0">
        <w:t>u</w:t>
      </w:r>
      <w:r w:rsidRPr="006421E2">
        <w:t>rs</w:t>
      </w:r>
    </w:p>
    <w:p w14:paraId="25E65075" w14:textId="5A70E312" w:rsidR="006421E2" w:rsidRPr="006421E2" w:rsidRDefault="006421E2" w:rsidP="00431C48">
      <w:pPr>
        <w:pStyle w:val="ListBullet"/>
      </w:pPr>
      <w:r w:rsidRPr="006421E2">
        <w:t xml:space="preserve">ROS1-positive NSCLC analysis set (n = 133): Patients from the ALKA, </w:t>
      </w:r>
      <w:r w:rsidR="00B3760D">
        <w:t>STARTRK-1, and STARTRK-2 trials</w:t>
      </w:r>
      <w:r w:rsidRPr="006421E2">
        <w:t xml:space="preserve"> in the safety population who have </w:t>
      </w:r>
      <w:r w:rsidRPr="007B0C16">
        <w:rPr>
          <w:i/>
        </w:rPr>
        <w:t>ROS1</w:t>
      </w:r>
      <w:r w:rsidRPr="006421E2">
        <w:t>-positive NSCLC</w:t>
      </w:r>
    </w:p>
    <w:p w14:paraId="0FA957DD" w14:textId="09E30501" w:rsidR="006421E2" w:rsidRPr="006421E2" w:rsidRDefault="00B3760D" w:rsidP="00431C48">
      <w:pPr>
        <w:pStyle w:val="ListBullet"/>
      </w:pPr>
      <w:r>
        <w:lastRenderedPageBreak/>
        <w:t>Other a</w:t>
      </w:r>
      <w:r w:rsidR="006421E2" w:rsidRPr="006421E2">
        <w:t xml:space="preserve">dult analysis set (n = 137): Patients from the ALKA, </w:t>
      </w:r>
      <w:r>
        <w:t>STARTRK-1, and STARTRK-2 trials</w:t>
      </w:r>
      <w:r w:rsidR="006421E2" w:rsidRPr="006421E2">
        <w:t xml:space="preserve"> in the safety population with either ROS1-positive non-NSCLC, </w:t>
      </w:r>
      <w:r w:rsidR="006421E2" w:rsidRPr="007B0C16">
        <w:rPr>
          <w:i/>
        </w:rPr>
        <w:t>ALK</w:t>
      </w:r>
      <w:r w:rsidR="006421E2" w:rsidRPr="006421E2">
        <w:t xml:space="preserve"> fusion-positive tumo</w:t>
      </w:r>
      <w:r w:rsidR="00994AD0">
        <w:t>u</w:t>
      </w:r>
      <w:r w:rsidR="006421E2" w:rsidRPr="006421E2">
        <w:t>rs, or no gene fusion identified</w:t>
      </w:r>
      <w:r w:rsidR="009857DF">
        <w:t>.</w:t>
      </w:r>
    </w:p>
    <w:p w14:paraId="6E9C605C" w14:textId="77777777" w:rsidR="006421E2" w:rsidRPr="006421E2" w:rsidRDefault="006421E2" w:rsidP="006421E2">
      <w:r w:rsidRPr="006421E2">
        <w:t>Main paediatric safety dataset:</w:t>
      </w:r>
    </w:p>
    <w:p w14:paraId="00298BEB" w14:textId="6251ED67" w:rsidR="006421E2" w:rsidRPr="006421E2" w:rsidRDefault="006421E2" w:rsidP="00431C48">
      <w:pPr>
        <w:pStyle w:val="ListBullet"/>
      </w:pPr>
      <w:r w:rsidRPr="006421E2">
        <w:t>P</w:t>
      </w:r>
      <w:r w:rsidR="001D09E3">
        <w:t>a</w:t>
      </w:r>
      <w:r w:rsidRPr="006421E2">
        <w:t>ediatric analysis set (n = 17): Includes 15 p</w:t>
      </w:r>
      <w:r w:rsidR="001D09E3">
        <w:t>a</w:t>
      </w:r>
      <w:r w:rsidRPr="006421E2">
        <w:t xml:space="preserve">ediatric patients from STARTRK-NG </w:t>
      </w:r>
      <w:r w:rsidR="00B3760D">
        <w:t xml:space="preserve">trial </w:t>
      </w:r>
      <w:r w:rsidRPr="006421E2">
        <w:t>and 2 p</w:t>
      </w:r>
      <w:r w:rsidR="001D09E3">
        <w:t>a</w:t>
      </w:r>
      <w:r w:rsidRPr="006421E2">
        <w:t xml:space="preserve">ediatric patients from </w:t>
      </w:r>
      <w:r w:rsidR="008E394F">
        <w:t xml:space="preserve">the </w:t>
      </w:r>
      <w:r w:rsidRPr="006421E2">
        <w:t>STARTRK-2</w:t>
      </w:r>
      <w:r w:rsidR="00B3760D">
        <w:t xml:space="preserve"> trial</w:t>
      </w:r>
      <w:r w:rsidRPr="006421E2">
        <w:t>.</w:t>
      </w:r>
    </w:p>
    <w:p w14:paraId="54E97430" w14:textId="7CF43EC3" w:rsidR="006421E2" w:rsidRPr="006421E2" w:rsidRDefault="006421E2" w:rsidP="006421E2">
      <w:r w:rsidRPr="006421E2">
        <w:t>Exposure and baseline demographics in the four datasets described above are summarised in</w:t>
      </w:r>
      <w:r w:rsidR="000128B2">
        <w:t xml:space="preserve"> </w:t>
      </w:r>
      <w:r w:rsidR="000128B2">
        <w:fldChar w:fldCharType="begin"/>
      </w:r>
      <w:r w:rsidR="000128B2">
        <w:instrText xml:space="preserve"> REF _Ref30162161 \h </w:instrText>
      </w:r>
      <w:r w:rsidR="000128B2">
        <w:fldChar w:fldCharType="separate"/>
      </w:r>
      <w:r w:rsidR="005743D8" w:rsidRPr="006421E2">
        <w:t xml:space="preserve">Table </w:t>
      </w:r>
      <w:r w:rsidR="005743D8">
        <w:rPr>
          <w:noProof/>
        </w:rPr>
        <w:t>17</w:t>
      </w:r>
      <w:r w:rsidR="000128B2">
        <w:fldChar w:fldCharType="end"/>
      </w:r>
      <w:r w:rsidR="000F0866" w:rsidRPr="000F0866">
        <w:t xml:space="preserve"> </w:t>
      </w:r>
      <w:r w:rsidR="000F0866">
        <w:t>and</w:t>
      </w:r>
      <w:r w:rsidR="000128B2">
        <w:t xml:space="preserve"> </w:t>
      </w:r>
      <w:r w:rsidR="000128B2">
        <w:fldChar w:fldCharType="begin"/>
      </w:r>
      <w:r w:rsidR="000128B2">
        <w:instrText xml:space="preserve"> REF _Ref50555318 \h </w:instrText>
      </w:r>
      <w:r w:rsidR="000128B2">
        <w:fldChar w:fldCharType="separate"/>
      </w:r>
      <w:r w:rsidR="005743D8" w:rsidRPr="002239A3">
        <w:t xml:space="preserve">Table </w:t>
      </w:r>
      <w:r w:rsidR="005743D8">
        <w:rPr>
          <w:noProof/>
        </w:rPr>
        <w:t>18</w:t>
      </w:r>
      <w:r w:rsidR="000128B2">
        <w:fldChar w:fldCharType="end"/>
      </w:r>
      <w:r w:rsidR="000128B2">
        <w:t>.</w:t>
      </w:r>
    </w:p>
    <w:p w14:paraId="1B1B29A9" w14:textId="27EB8118" w:rsidR="006421E2" w:rsidRPr="006421E2" w:rsidRDefault="006421E2" w:rsidP="00D84CA8">
      <w:pPr>
        <w:pStyle w:val="TableTitle"/>
      </w:pPr>
      <w:bookmarkStart w:id="64" w:name="_Ref30162161"/>
      <w:bookmarkStart w:id="65" w:name="_Ref50715904"/>
      <w:bookmarkStart w:id="66" w:name="_Ref50555296"/>
      <w:r w:rsidRPr="006421E2">
        <w:t xml:space="preserve">Table </w:t>
      </w:r>
      <w:fldSimple w:instr=" SEQ Table \* ARABIC ">
        <w:r w:rsidR="009B407B">
          <w:rPr>
            <w:noProof/>
          </w:rPr>
          <w:t>23</w:t>
        </w:r>
      </w:fldSimple>
      <w:bookmarkEnd w:id="64"/>
      <w:r w:rsidR="001D09E3">
        <w:t>:</w:t>
      </w:r>
      <w:r w:rsidRPr="006421E2">
        <w:t xml:space="preserve"> Summary of entrectinib exposure in the integrated safety population</w:t>
      </w:r>
      <w:bookmarkEnd w:id="65"/>
      <w:bookmarkEnd w:id="66"/>
    </w:p>
    <w:tbl>
      <w:tblPr>
        <w:tblStyle w:val="TableTGA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383"/>
        <w:gridCol w:w="1240"/>
        <w:gridCol w:w="1539"/>
        <w:gridCol w:w="1276"/>
        <w:gridCol w:w="1274"/>
      </w:tblGrid>
      <w:tr w:rsidR="006421E2" w:rsidRPr="006421E2" w14:paraId="79B88C40" w14:textId="77777777" w:rsidTr="00986F56">
        <w:trPr>
          <w:cnfStyle w:val="100000000000" w:firstRow="1" w:lastRow="0" w:firstColumn="0" w:lastColumn="0" w:oddVBand="0" w:evenVBand="0" w:oddHBand="0" w:evenHBand="0" w:firstRowFirstColumn="0" w:firstRowLastColumn="0" w:lastRowFirstColumn="0" w:lastRowLastColumn="0"/>
          <w:trHeight w:val="711"/>
        </w:trPr>
        <w:tc>
          <w:tcPr>
            <w:tcW w:w="104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1A008C" w14:textId="77777777" w:rsidR="006421E2" w:rsidRPr="006421E2" w:rsidRDefault="006421E2" w:rsidP="007D2F65">
            <w:pPr>
              <w:ind w:left="0" w:right="0"/>
              <w:rPr>
                <w:kern w:val="16"/>
                <w:sz w:val="19"/>
                <w:szCs w:val="24"/>
                <w:lang w:val="en-US"/>
              </w:rPr>
            </w:pPr>
            <w:r w:rsidRPr="006421E2">
              <w:rPr>
                <w:kern w:val="16"/>
                <w:sz w:val="19"/>
                <w:szCs w:val="24"/>
                <w:lang w:val="en-US"/>
              </w:rPr>
              <w:t>Parameter</w:t>
            </w:r>
          </w:p>
        </w:tc>
        <w:tc>
          <w:tcPr>
            <w:tcW w:w="8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93F7FE" w14:textId="77777777" w:rsidR="006421E2" w:rsidRPr="006421E2" w:rsidRDefault="006421E2" w:rsidP="007D2F65">
            <w:pPr>
              <w:ind w:left="0" w:right="0"/>
              <w:rPr>
                <w:i/>
                <w:kern w:val="16"/>
                <w:sz w:val="19"/>
                <w:szCs w:val="24"/>
                <w:lang w:val="en-US"/>
              </w:rPr>
            </w:pPr>
            <w:r w:rsidRPr="006421E2">
              <w:rPr>
                <w:i/>
                <w:kern w:val="16"/>
                <w:sz w:val="19"/>
                <w:szCs w:val="24"/>
                <w:lang w:val="en-US"/>
              </w:rPr>
              <w:t>NTRK</w:t>
            </w:r>
          </w:p>
          <w:p w14:paraId="239D8BF0" w14:textId="77777777" w:rsidR="006421E2" w:rsidRPr="006421E2" w:rsidRDefault="006421E2" w:rsidP="007D2F65">
            <w:pPr>
              <w:ind w:left="0" w:right="0"/>
              <w:rPr>
                <w:kern w:val="16"/>
                <w:sz w:val="19"/>
                <w:szCs w:val="24"/>
                <w:lang w:val="en-US"/>
              </w:rPr>
            </w:pPr>
            <w:r w:rsidRPr="006421E2">
              <w:rPr>
                <w:kern w:val="16"/>
                <w:sz w:val="19"/>
                <w:szCs w:val="24"/>
                <w:lang w:val="en-US"/>
              </w:rPr>
              <w:t>Adult</w:t>
            </w:r>
          </w:p>
          <w:p w14:paraId="6E0E46A8" w14:textId="12343922"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68)</w:t>
            </w:r>
          </w:p>
        </w:tc>
        <w:tc>
          <w:tcPr>
            <w:tcW w:w="73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B99E62" w14:textId="77777777" w:rsidR="006421E2" w:rsidRPr="006421E2" w:rsidRDefault="006421E2" w:rsidP="007D2F65">
            <w:pPr>
              <w:ind w:left="0" w:right="0"/>
              <w:rPr>
                <w:kern w:val="16"/>
                <w:sz w:val="19"/>
                <w:szCs w:val="24"/>
                <w:lang w:val="en-US"/>
              </w:rPr>
            </w:pPr>
            <w:r w:rsidRPr="006421E2">
              <w:rPr>
                <w:i/>
                <w:kern w:val="16"/>
                <w:sz w:val="19"/>
                <w:szCs w:val="24"/>
                <w:lang w:val="en-US"/>
              </w:rPr>
              <w:t xml:space="preserve">ROS1 </w:t>
            </w:r>
            <w:r w:rsidRPr="006421E2">
              <w:rPr>
                <w:kern w:val="16"/>
                <w:sz w:val="19"/>
                <w:szCs w:val="24"/>
                <w:lang w:val="en-US"/>
              </w:rPr>
              <w:t>NSCLC</w:t>
            </w:r>
          </w:p>
          <w:p w14:paraId="4FFDD91C" w14:textId="77777777" w:rsidR="006421E2" w:rsidRPr="006421E2" w:rsidRDefault="006421E2" w:rsidP="007D2F65">
            <w:pPr>
              <w:ind w:left="0" w:right="0"/>
              <w:rPr>
                <w:kern w:val="16"/>
                <w:sz w:val="19"/>
                <w:szCs w:val="24"/>
                <w:lang w:val="en-US"/>
              </w:rPr>
            </w:pPr>
            <w:r w:rsidRPr="006421E2">
              <w:rPr>
                <w:kern w:val="16"/>
                <w:sz w:val="19"/>
                <w:szCs w:val="24"/>
                <w:lang w:val="en-US"/>
              </w:rPr>
              <w:t>Adult</w:t>
            </w:r>
          </w:p>
          <w:p w14:paraId="587EFA43" w14:textId="45875E80"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133)</w:t>
            </w:r>
          </w:p>
        </w:tc>
        <w:tc>
          <w:tcPr>
            <w:tcW w:w="90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53B62E" w14:textId="10C4327D" w:rsidR="006421E2" w:rsidRPr="006421E2" w:rsidRDefault="006421E2" w:rsidP="007D2F65">
            <w:pPr>
              <w:ind w:left="0" w:right="0"/>
              <w:rPr>
                <w:kern w:val="16"/>
                <w:sz w:val="19"/>
                <w:szCs w:val="24"/>
                <w:lang w:val="en-US"/>
              </w:rPr>
            </w:pPr>
            <w:r w:rsidRPr="006421E2">
              <w:rPr>
                <w:kern w:val="16"/>
                <w:sz w:val="19"/>
                <w:szCs w:val="24"/>
                <w:lang w:val="en-US"/>
              </w:rPr>
              <w:t xml:space="preserve">Other </w:t>
            </w:r>
            <w:r w:rsidR="001D09E3">
              <w:rPr>
                <w:kern w:val="16"/>
                <w:sz w:val="19"/>
                <w:szCs w:val="24"/>
                <w:lang w:val="en-US"/>
              </w:rPr>
              <w:t>a</w:t>
            </w:r>
            <w:r w:rsidRPr="006421E2">
              <w:rPr>
                <w:kern w:val="16"/>
                <w:sz w:val="19"/>
                <w:szCs w:val="24"/>
                <w:lang w:val="en-US"/>
              </w:rPr>
              <w:t>dult</w:t>
            </w:r>
          </w:p>
          <w:p w14:paraId="1880D463" w14:textId="2154F1DA"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137)</w:t>
            </w:r>
          </w:p>
        </w:tc>
        <w:tc>
          <w:tcPr>
            <w:tcW w:w="75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08CFE" w14:textId="1AB17CEE" w:rsidR="006421E2" w:rsidRPr="006421E2" w:rsidRDefault="006421E2" w:rsidP="007D2F65">
            <w:pPr>
              <w:ind w:left="0" w:right="0"/>
              <w:rPr>
                <w:kern w:val="16"/>
                <w:sz w:val="19"/>
                <w:szCs w:val="24"/>
                <w:lang w:val="en-US"/>
              </w:rPr>
            </w:pPr>
            <w:r w:rsidRPr="006421E2">
              <w:rPr>
                <w:kern w:val="16"/>
                <w:sz w:val="19"/>
                <w:szCs w:val="24"/>
                <w:lang w:val="en-US"/>
              </w:rPr>
              <w:t>Pediatric (n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17)</w:t>
            </w:r>
          </w:p>
        </w:tc>
        <w:tc>
          <w:tcPr>
            <w:tcW w:w="75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0DBA80" w14:textId="05DF726C" w:rsidR="006421E2" w:rsidRPr="006421E2" w:rsidRDefault="006421E2" w:rsidP="007D2F65">
            <w:pPr>
              <w:ind w:left="0" w:right="0"/>
              <w:rPr>
                <w:kern w:val="16"/>
                <w:sz w:val="19"/>
                <w:szCs w:val="24"/>
                <w:lang w:val="en-US"/>
              </w:rPr>
            </w:pPr>
            <w:r w:rsidRPr="006421E2">
              <w:rPr>
                <w:kern w:val="16"/>
                <w:sz w:val="19"/>
                <w:szCs w:val="24"/>
                <w:lang w:val="en-US"/>
              </w:rPr>
              <w:t>All (n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355)</w:t>
            </w:r>
          </w:p>
        </w:tc>
      </w:tr>
      <w:tr w:rsidR="006421E2" w:rsidRPr="006421E2" w14:paraId="492466D7" w14:textId="77777777" w:rsidTr="00986F56">
        <w:trPr>
          <w:trHeight w:val="475"/>
        </w:trPr>
        <w:tc>
          <w:tcPr>
            <w:tcW w:w="1049" w:type="pct"/>
          </w:tcPr>
          <w:p w14:paraId="0FEB32E4" w14:textId="51D1A4CC" w:rsidR="006421E2" w:rsidRPr="006421E2" w:rsidRDefault="006421E2" w:rsidP="007D2F65">
            <w:pPr>
              <w:ind w:left="0" w:right="0"/>
              <w:rPr>
                <w:kern w:val="16"/>
                <w:sz w:val="19"/>
                <w:szCs w:val="24"/>
                <w:lang w:val="en-US"/>
              </w:rPr>
            </w:pPr>
            <w:r w:rsidRPr="006421E2">
              <w:rPr>
                <w:kern w:val="16"/>
                <w:sz w:val="19"/>
                <w:szCs w:val="24"/>
                <w:lang w:val="en-US"/>
              </w:rPr>
              <w:t>Median treatment</w:t>
            </w:r>
            <w:r w:rsidR="001D09E3">
              <w:rPr>
                <w:kern w:val="16"/>
                <w:sz w:val="19"/>
                <w:szCs w:val="24"/>
                <w:lang w:val="en-US"/>
              </w:rPr>
              <w:t xml:space="preserve"> </w:t>
            </w:r>
            <w:r w:rsidRPr="006421E2">
              <w:rPr>
                <w:kern w:val="16"/>
                <w:sz w:val="19"/>
                <w:szCs w:val="24"/>
                <w:lang w:val="en-US"/>
              </w:rPr>
              <w:t>duration ( Months)</w:t>
            </w:r>
          </w:p>
        </w:tc>
        <w:tc>
          <w:tcPr>
            <w:tcW w:w="814" w:type="pct"/>
          </w:tcPr>
          <w:p w14:paraId="4D0C10EC" w14:textId="77777777" w:rsidR="006421E2" w:rsidRPr="006421E2" w:rsidRDefault="006421E2" w:rsidP="007D2F65">
            <w:pPr>
              <w:ind w:left="0" w:right="0"/>
              <w:rPr>
                <w:kern w:val="16"/>
                <w:sz w:val="19"/>
                <w:szCs w:val="24"/>
                <w:lang w:val="en-US"/>
              </w:rPr>
            </w:pPr>
            <w:r w:rsidRPr="006421E2">
              <w:rPr>
                <w:kern w:val="16"/>
                <w:sz w:val="19"/>
                <w:szCs w:val="24"/>
                <w:lang w:val="en-US"/>
              </w:rPr>
              <w:t>7.9</w:t>
            </w:r>
          </w:p>
          <w:p w14:paraId="62F1FB22" w14:textId="77777777" w:rsidR="006421E2" w:rsidRPr="006421E2" w:rsidRDefault="006421E2" w:rsidP="007D2F65">
            <w:pPr>
              <w:ind w:left="0" w:right="0"/>
              <w:rPr>
                <w:kern w:val="16"/>
                <w:sz w:val="19"/>
                <w:szCs w:val="24"/>
                <w:lang w:val="en-US"/>
              </w:rPr>
            </w:pPr>
            <w:r w:rsidRPr="006421E2">
              <w:rPr>
                <w:kern w:val="16"/>
                <w:sz w:val="19"/>
                <w:szCs w:val="24"/>
                <w:lang w:val="en-US"/>
              </w:rPr>
              <w:t>(0.1, 24.7)</w:t>
            </w:r>
          </w:p>
        </w:tc>
        <w:tc>
          <w:tcPr>
            <w:tcW w:w="730" w:type="pct"/>
          </w:tcPr>
          <w:p w14:paraId="783C398A" w14:textId="77777777" w:rsidR="006421E2" w:rsidRPr="006421E2" w:rsidRDefault="006421E2" w:rsidP="007D2F65">
            <w:pPr>
              <w:ind w:left="0" w:right="0"/>
              <w:rPr>
                <w:kern w:val="16"/>
                <w:sz w:val="19"/>
                <w:szCs w:val="24"/>
                <w:lang w:val="en-US"/>
              </w:rPr>
            </w:pPr>
            <w:r w:rsidRPr="006421E2">
              <w:rPr>
                <w:kern w:val="16"/>
                <w:sz w:val="19"/>
                <w:szCs w:val="24"/>
                <w:lang w:val="en-US"/>
              </w:rPr>
              <w:t>8.3</w:t>
            </w:r>
          </w:p>
          <w:p w14:paraId="39785C71" w14:textId="77777777" w:rsidR="006421E2" w:rsidRPr="006421E2" w:rsidRDefault="006421E2" w:rsidP="007D2F65">
            <w:pPr>
              <w:ind w:left="0" w:right="0"/>
              <w:rPr>
                <w:kern w:val="16"/>
                <w:sz w:val="19"/>
                <w:szCs w:val="24"/>
                <w:lang w:val="en-US"/>
              </w:rPr>
            </w:pPr>
            <w:r w:rsidRPr="006421E2">
              <w:rPr>
                <w:kern w:val="16"/>
                <w:sz w:val="19"/>
                <w:szCs w:val="24"/>
                <w:lang w:val="en-US"/>
              </w:rPr>
              <w:t>(0.1, 42.1)</w:t>
            </w:r>
          </w:p>
        </w:tc>
        <w:tc>
          <w:tcPr>
            <w:tcW w:w="906" w:type="pct"/>
          </w:tcPr>
          <w:p w14:paraId="597F37E3" w14:textId="77777777" w:rsidR="006421E2" w:rsidRPr="006421E2" w:rsidRDefault="006421E2" w:rsidP="007D2F65">
            <w:pPr>
              <w:ind w:left="0" w:right="0"/>
              <w:rPr>
                <w:kern w:val="16"/>
                <w:sz w:val="19"/>
                <w:szCs w:val="24"/>
                <w:lang w:val="en-US"/>
              </w:rPr>
            </w:pPr>
            <w:r w:rsidRPr="006421E2">
              <w:rPr>
                <w:kern w:val="16"/>
                <w:sz w:val="19"/>
                <w:szCs w:val="24"/>
                <w:lang w:val="en-US"/>
              </w:rPr>
              <w:t>2.0</w:t>
            </w:r>
          </w:p>
          <w:p w14:paraId="008FDB55" w14:textId="77777777" w:rsidR="006421E2" w:rsidRPr="006421E2" w:rsidRDefault="006421E2" w:rsidP="007D2F65">
            <w:pPr>
              <w:ind w:left="0" w:right="0"/>
              <w:rPr>
                <w:kern w:val="16"/>
                <w:sz w:val="19"/>
                <w:szCs w:val="24"/>
                <w:lang w:val="en-US"/>
              </w:rPr>
            </w:pPr>
            <w:r w:rsidRPr="006421E2">
              <w:rPr>
                <w:kern w:val="16"/>
                <w:sz w:val="19"/>
                <w:szCs w:val="24"/>
                <w:lang w:val="en-US"/>
              </w:rPr>
              <w:t>( 0.0, 37.0)</w:t>
            </w:r>
          </w:p>
        </w:tc>
        <w:tc>
          <w:tcPr>
            <w:tcW w:w="751" w:type="pct"/>
          </w:tcPr>
          <w:p w14:paraId="29DDF385" w14:textId="77777777" w:rsidR="006421E2" w:rsidRPr="006421E2" w:rsidRDefault="006421E2" w:rsidP="007D2F65">
            <w:pPr>
              <w:ind w:left="0" w:right="0"/>
              <w:rPr>
                <w:kern w:val="16"/>
                <w:sz w:val="19"/>
                <w:szCs w:val="24"/>
                <w:lang w:val="en-US"/>
              </w:rPr>
            </w:pPr>
            <w:r w:rsidRPr="006421E2">
              <w:rPr>
                <w:kern w:val="16"/>
                <w:sz w:val="19"/>
                <w:szCs w:val="24"/>
                <w:lang w:val="en-US"/>
              </w:rPr>
              <w:t>1.9</w:t>
            </w:r>
          </w:p>
          <w:p w14:paraId="42D3EC2A" w14:textId="77777777" w:rsidR="006421E2" w:rsidRPr="006421E2" w:rsidRDefault="006421E2" w:rsidP="007D2F65">
            <w:pPr>
              <w:ind w:left="0" w:right="0"/>
              <w:rPr>
                <w:kern w:val="16"/>
                <w:sz w:val="19"/>
                <w:szCs w:val="24"/>
                <w:lang w:val="en-US"/>
              </w:rPr>
            </w:pPr>
            <w:r w:rsidRPr="006421E2">
              <w:rPr>
                <w:kern w:val="16"/>
                <w:sz w:val="19"/>
                <w:szCs w:val="24"/>
                <w:lang w:val="en-US"/>
              </w:rPr>
              <w:t>(0.2,12.7)</w:t>
            </w:r>
          </w:p>
        </w:tc>
        <w:tc>
          <w:tcPr>
            <w:tcW w:w="750" w:type="pct"/>
          </w:tcPr>
          <w:p w14:paraId="5717EB19" w14:textId="77777777" w:rsidR="006421E2" w:rsidRPr="006421E2" w:rsidRDefault="006421E2" w:rsidP="007D2F65">
            <w:pPr>
              <w:ind w:left="0" w:right="0"/>
              <w:rPr>
                <w:kern w:val="16"/>
                <w:sz w:val="19"/>
                <w:szCs w:val="24"/>
                <w:lang w:val="en-US"/>
              </w:rPr>
            </w:pPr>
            <w:r w:rsidRPr="006421E2">
              <w:rPr>
                <w:kern w:val="16"/>
                <w:sz w:val="19"/>
                <w:szCs w:val="24"/>
                <w:lang w:val="en-US"/>
              </w:rPr>
              <w:t>5.5</w:t>
            </w:r>
          </w:p>
          <w:p w14:paraId="4BA30C87" w14:textId="77777777" w:rsidR="006421E2" w:rsidRPr="006421E2" w:rsidRDefault="006421E2" w:rsidP="007D2F65">
            <w:pPr>
              <w:ind w:left="0" w:right="0"/>
              <w:rPr>
                <w:kern w:val="16"/>
                <w:sz w:val="19"/>
                <w:szCs w:val="24"/>
                <w:lang w:val="en-US"/>
              </w:rPr>
            </w:pPr>
            <w:r w:rsidRPr="006421E2">
              <w:rPr>
                <w:kern w:val="16"/>
                <w:sz w:val="19"/>
                <w:szCs w:val="24"/>
                <w:lang w:val="en-US"/>
              </w:rPr>
              <w:t>(0.0, 42.1)</w:t>
            </w:r>
          </w:p>
        </w:tc>
      </w:tr>
      <w:tr w:rsidR="006421E2" w:rsidRPr="006421E2" w14:paraId="4D949530" w14:textId="77777777" w:rsidTr="00986F56">
        <w:trPr>
          <w:trHeight w:val="474"/>
        </w:trPr>
        <w:tc>
          <w:tcPr>
            <w:tcW w:w="1049" w:type="pct"/>
          </w:tcPr>
          <w:p w14:paraId="148A311B" w14:textId="77777777" w:rsidR="006421E2" w:rsidRPr="006421E2" w:rsidRDefault="006421E2" w:rsidP="007D2F65">
            <w:pPr>
              <w:ind w:left="0" w:right="0"/>
              <w:rPr>
                <w:kern w:val="16"/>
                <w:sz w:val="19"/>
                <w:szCs w:val="24"/>
                <w:lang w:val="en-US"/>
              </w:rPr>
            </w:pPr>
            <w:r w:rsidRPr="006421E2">
              <w:rPr>
                <w:kern w:val="16"/>
                <w:sz w:val="19"/>
                <w:szCs w:val="24"/>
                <w:lang w:val="en-US"/>
              </w:rPr>
              <w:t>Median no. of cycles</w:t>
            </w:r>
          </w:p>
        </w:tc>
        <w:tc>
          <w:tcPr>
            <w:tcW w:w="814" w:type="pct"/>
          </w:tcPr>
          <w:p w14:paraId="148A9AF9" w14:textId="77777777" w:rsidR="006421E2" w:rsidRPr="006421E2" w:rsidRDefault="006421E2" w:rsidP="007D2F65">
            <w:pPr>
              <w:ind w:left="0" w:right="0"/>
              <w:rPr>
                <w:kern w:val="16"/>
                <w:sz w:val="19"/>
                <w:szCs w:val="24"/>
                <w:lang w:val="en-US"/>
              </w:rPr>
            </w:pPr>
            <w:r w:rsidRPr="006421E2">
              <w:rPr>
                <w:kern w:val="16"/>
                <w:sz w:val="19"/>
                <w:szCs w:val="24"/>
                <w:lang w:val="en-US"/>
              </w:rPr>
              <w:t>9.5</w:t>
            </w:r>
          </w:p>
          <w:p w14:paraId="246804D8" w14:textId="77777777" w:rsidR="006421E2" w:rsidRPr="006421E2" w:rsidRDefault="006421E2" w:rsidP="007D2F65">
            <w:pPr>
              <w:ind w:left="0" w:right="0"/>
              <w:rPr>
                <w:kern w:val="16"/>
                <w:sz w:val="19"/>
                <w:szCs w:val="24"/>
                <w:lang w:val="en-US"/>
              </w:rPr>
            </w:pPr>
            <w:r w:rsidRPr="006421E2">
              <w:rPr>
                <w:kern w:val="16"/>
                <w:sz w:val="19"/>
                <w:szCs w:val="24"/>
                <w:lang w:val="en-US"/>
              </w:rPr>
              <w:t>(1.0, 49.0)</w:t>
            </w:r>
          </w:p>
        </w:tc>
        <w:tc>
          <w:tcPr>
            <w:tcW w:w="730" w:type="pct"/>
          </w:tcPr>
          <w:p w14:paraId="458EA9C3" w14:textId="77777777" w:rsidR="006421E2" w:rsidRPr="006421E2" w:rsidRDefault="006421E2" w:rsidP="007D2F65">
            <w:pPr>
              <w:ind w:left="0" w:right="0"/>
              <w:rPr>
                <w:kern w:val="16"/>
                <w:sz w:val="19"/>
                <w:szCs w:val="24"/>
                <w:lang w:val="en-US"/>
              </w:rPr>
            </w:pPr>
            <w:r w:rsidRPr="006421E2">
              <w:rPr>
                <w:kern w:val="16"/>
                <w:sz w:val="19"/>
                <w:szCs w:val="24"/>
                <w:lang w:val="en-US"/>
              </w:rPr>
              <w:t>10.0</w:t>
            </w:r>
          </w:p>
          <w:p w14:paraId="0D1368C6" w14:textId="77777777" w:rsidR="006421E2" w:rsidRPr="006421E2" w:rsidRDefault="006421E2" w:rsidP="007D2F65">
            <w:pPr>
              <w:ind w:left="0" w:right="0"/>
              <w:rPr>
                <w:kern w:val="16"/>
                <w:sz w:val="19"/>
                <w:szCs w:val="24"/>
                <w:lang w:val="en-US"/>
              </w:rPr>
            </w:pPr>
            <w:r w:rsidRPr="006421E2">
              <w:rPr>
                <w:kern w:val="16"/>
                <w:sz w:val="19"/>
                <w:szCs w:val="24"/>
                <w:lang w:val="en-US"/>
              </w:rPr>
              <w:t>(1.0, 92.0)</w:t>
            </w:r>
          </w:p>
        </w:tc>
        <w:tc>
          <w:tcPr>
            <w:tcW w:w="906" w:type="pct"/>
          </w:tcPr>
          <w:p w14:paraId="3CA7199F" w14:textId="77777777" w:rsidR="006421E2" w:rsidRPr="006421E2" w:rsidRDefault="006421E2" w:rsidP="007D2F65">
            <w:pPr>
              <w:ind w:left="0" w:right="0"/>
              <w:rPr>
                <w:kern w:val="16"/>
                <w:sz w:val="19"/>
                <w:szCs w:val="24"/>
                <w:lang w:val="en-US"/>
              </w:rPr>
            </w:pPr>
            <w:r w:rsidRPr="006421E2">
              <w:rPr>
                <w:kern w:val="16"/>
                <w:sz w:val="19"/>
                <w:szCs w:val="24"/>
                <w:lang w:val="en-US"/>
              </w:rPr>
              <w:t>3.0</w:t>
            </w:r>
          </w:p>
          <w:p w14:paraId="718EAA3F" w14:textId="77777777" w:rsidR="006421E2" w:rsidRPr="006421E2" w:rsidRDefault="006421E2" w:rsidP="007D2F65">
            <w:pPr>
              <w:ind w:left="0" w:right="0"/>
              <w:rPr>
                <w:kern w:val="16"/>
                <w:sz w:val="19"/>
                <w:szCs w:val="24"/>
                <w:lang w:val="en-US"/>
              </w:rPr>
            </w:pPr>
            <w:r w:rsidRPr="006421E2">
              <w:rPr>
                <w:kern w:val="16"/>
                <w:sz w:val="19"/>
                <w:szCs w:val="24"/>
                <w:lang w:val="en-US"/>
              </w:rPr>
              <w:t>(1.0, 70.0)</w:t>
            </w:r>
          </w:p>
        </w:tc>
        <w:tc>
          <w:tcPr>
            <w:tcW w:w="751" w:type="pct"/>
          </w:tcPr>
          <w:p w14:paraId="092629A7" w14:textId="77777777" w:rsidR="006421E2" w:rsidRPr="006421E2" w:rsidRDefault="006421E2" w:rsidP="007D2F65">
            <w:pPr>
              <w:ind w:left="0" w:right="0"/>
              <w:rPr>
                <w:kern w:val="16"/>
                <w:sz w:val="19"/>
                <w:szCs w:val="24"/>
                <w:lang w:val="en-US"/>
              </w:rPr>
            </w:pPr>
            <w:r w:rsidRPr="006421E2">
              <w:rPr>
                <w:kern w:val="16"/>
                <w:sz w:val="19"/>
                <w:szCs w:val="24"/>
                <w:lang w:val="en-US"/>
              </w:rPr>
              <w:t>4.0</w:t>
            </w:r>
          </w:p>
          <w:p w14:paraId="18189B66" w14:textId="77777777" w:rsidR="006421E2" w:rsidRPr="006421E2" w:rsidRDefault="006421E2" w:rsidP="007D2F65">
            <w:pPr>
              <w:ind w:left="0" w:right="0"/>
              <w:rPr>
                <w:kern w:val="16"/>
                <w:sz w:val="19"/>
                <w:szCs w:val="24"/>
                <w:lang w:val="en-US"/>
              </w:rPr>
            </w:pPr>
            <w:r w:rsidRPr="006421E2">
              <w:rPr>
                <w:kern w:val="16"/>
                <w:sz w:val="19"/>
                <w:szCs w:val="24"/>
                <w:lang w:val="en-US"/>
              </w:rPr>
              <w:t>(1.0, 16.0)</w:t>
            </w:r>
          </w:p>
        </w:tc>
        <w:tc>
          <w:tcPr>
            <w:tcW w:w="750" w:type="pct"/>
          </w:tcPr>
          <w:p w14:paraId="030E6695" w14:textId="77777777" w:rsidR="006421E2" w:rsidRPr="006421E2" w:rsidRDefault="006421E2" w:rsidP="007D2F65">
            <w:pPr>
              <w:ind w:left="0" w:right="0"/>
              <w:rPr>
                <w:kern w:val="16"/>
                <w:sz w:val="19"/>
                <w:szCs w:val="24"/>
                <w:lang w:val="en-US"/>
              </w:rPr>
            </w:pPr>
            <w:r w:rsidRPr="006421E2">
              <w:rPr>
                <w:kern w:val="16"/>
                <w:sz w:val="19"/>
                <w:szCs w:val="24"/>
                <w:lang w:val="en-US"/>
              </w:rPr>
              <w:t>7.0</w:t>
            </w:r>
          </w:p>
          <w:p w14:paraId="5A822364" w14:textId="77777777" w:rsidR="006421E2" w:rsidRPr="006421E2" w:rsidRDefault="006421E2" w:rsidP="007D2F65">
            <w:pPr>
              <w:ind w:left="0" w:right="0"/>
              <w:rPr>
                <w:kern w:val="16"/>
                <w:sz w:val="19"/>
                <w:szCs w:val="24"/>
                <w:lang w:val="en-US"/>
              </w:rPr>
            </w:pPr>
            <w:r w:rsidRPr="006421E2">
              <w:rPr>
                <w:kern w:val="16"/>
                <w:sz w:val="19"/>
                <w:szCs w:val="24"/>
                <w:lang w:val="en-US"/>
              </w:rPr>
              <w:t>(1.0, 92.0)</w:t>
            </w:r>
          </w:p>
        </w:tc>
      </w:tr>
      <w:tr w:rsidR="006421E2" w:rsidRPr="006421E2" w14:paraId="3E070AE9" w14:textId="77777777" w:rsidTr="00986F56">
        <w:trPr>
          <w:trHeight w:val="474"/>
        </w:trPr>
        <w:tc>
          <w:tcPr>
            <w:tcW w:w="1049" w:type="pct"/>
          </w:tcPr>
          <w:p w14:paraId="30A5DD3C" w14:textId="72AC1992" w:rsidR="006421E2" w:rsidRPr="006421E2" w:rsidRDefault="006421E2" w:rsidP="007D2F65">
            <w:pPr>
              <w:ind w:left="0" w:right="0"/>
              <w:rPr>
                <w:kern w:val="16"/>
                <w:sz w:val="19"/>
                <w:szCs w:val="24"/>
                <w:lang w:val="en-US"/>
              </w:rPr>
            </w:pPr>
            <w:r w:rsidRPr="006421E2">
              <w:rPr>
                <w:kern w:val="16"/>
                <w:sz w:val="19"/>
                <w:szCs w:val="24"/>
                <w:lang w:val="en-US"/>
              </w:rPr>
              <w:t>Median no. of</w:t>
            </w:r>
            <w:r w:rsidR="001D09E3">
              <w:rPr>
                <w:kern w:val="16"/>
                <w:sz w:val="19"/>
                <w:szCs w:val="24"/>
                <w:lang w:val="en-US"/>
              </w:rPr>
              <w:t xml:space="preserve"> </w:t>
            </w:r>
            <w:r w:rsidRPr="006421E2">
              <w:rPr>
                <w:kern w:val="16"/>
                <w:sz w:val="19"/>
                <w:szCs w:val="24"/>
                <w:lang w:val="en-US"/>
              </w:rPr>
              <w:t>missed doses</w:t>
            </w:r>
          </w:p>
        </w:tc>
        <w:tc>
          <w:tcPr>
            <w:tcW w:w="814" w:type="pct"/>
          </w:tcPr>
          <w:p w14:paraId="66251791" w14:textId="77777777" w:rsidR="006421E2" w:rsidRPr="006421E2" w:rsidRDefault="006421E2" w:rsidP="007D2F65">
            <w:pPr>
              <w:ind w:left="0" w:right="0"/>
              <w:rPr>
                <w:kern w:val="16"/>
                <w:sz w:val="19"/>
                <w:szCs w:val="24"/>
                <w:lang w:val="en-US"/>
              </w:rPr>
            </w:pPr>
            <w:r w:rsidRPr="006421E2">
              <w:rPr>
                <w:kern w:val="16"/>
                <w:sz w:val="19"/>
                <w:szCs w:val="24"/>
                <w:lang w:val="en-US"/>
              </w:rPr>
              <w:t>1.0</w:t>
            </w:r>
          </w:p>
          <w:p w14:paraId="38060E89" w14:textId="77777777" w:rsidR="006421E2" w:rsidRPr="006421E2" w:rsidRDefault="006421E2" w:rsidP="007D2F65">
            <w:pPr>
              <w:ind w:left="0" w:right="0"/>
              <w:rPr>
                <w:kern w:val="16"/>
                <w:sz w:val="19"/>
                <w:szCs w:val="24"/>
                <w:lang w:val="en-US"/>
              </w:rPr>
            </w:pPr>
            <w:r w:rsidRPr="006421E2">
              <w:rPr>
                <w:kern w:val="16"/>
                <w:sz w:val="19"/>
                <w:szCs w:val="24"/>
                <w:lang w:val="en-US"/>
              </w:rPr>
              <w:t>(0.0, 34.0)</w:t>
            </w:r>
          </w:p>
        </w:tc>
        <w:tc>
          <w:tcPr>
            <w:tcW w:w="730" w:type="pct"/>
          </w:tcPr>
          <w:p w14:paraId="5B687715" w14:textId="77777777" w:rsidR="006421E2" w:rsidRPr="006421E2" w:rsidRDefault="006421E2" w:rsidP="007D2F65">
            <w:pPr>
              <w:ind w:left="0" w:right="0"/>
              <w:rPr>
                <w:kern w:val="16"/>
                <w:sz w:val="19"/>
                <w:szCs w:val="24"/>
                <w:lang w:val="en-US"/>
              </w:rPr>
            </w:pPr>
            <w:r w:rsidRPr="006421E2">
              <w:rPr>
                <w:kern w:val="16"/>
                <w:sz w:val="19"/>
                <w:szCs w:val="24"/>
                <w:lang w:val="en-US"/>
              </w:rPr>
              <w:t>1.0</w:t>
            </w:r>
          </w:p>
          <w:p w14:paraId="51AD4E40" w14:textId="77777777" w:rsidR="006421E2" w:rsidRPr="006421E2" w:rsidRDefault="006421E2" w:rsidP="007D2F65">
            <w:pPr>
              <w:ind w:left="0" w:right="0"/>
              <w:rPr>
                <w:kern w:val="16"/>
                <w:sz w:val="19"/>
                <w:szCs w:val="24"/>
                <w:lang w:val="en-US"/>
              </w:rPr>
            </w:pPr>
            <w:r w:rsidRPr="006421E2">
              <w:rPr>
                <w:kern w:val="16"/>
                <w:sz w:val="19"/>
                <w:szCs w:val="24"/>
                <w:lang w:val="en-US"/>
              </w:rPr>
              <w:t>(0.0, 24.0)</w:t>
            </w:r>
          </w:p>
        </w:tc>
        <w:tc>
          <w:tcPr>
            <w:tcW w:w="906" w:type="pct"/>
          </w:tcPr>
          <w:p w14:paraId="009FBD21" w14:textId="77777777" w:rsidR="006421E2" w:rsidRPr="006421E2" w:rsidRDefault="006421E2" w:rsidP="007D2F65">
            <w:pPr>
              <w:ind w:left="0" w:right="0"/>
              <w:rPr>
                <w:kern w:val="16"/>
                <w:sz w:val="19"/>
                <w:szCs w:val="24"/>
                <w:lang w:val="en-US"/>
              </w:rPr>
            </w:pPr>
            <w:r w:rsidRPr="006421E2">
              <w:rPr>
                <w:kern w:val="16"/>
                <w:sz w:val="19"/>
                <w:szCs w:val="24"/>
                <w:lang w:val="en-US"/>
              </w:rPr>
              <w:t>0.0</w:t>
            </w:r>
          </w:p>
          <w:p w14:paraId="0B27403B" w14:textId="77777777" w:rsidR="006421E2" w:rsidRPr="006421E2" w:rsidRDefault="006421E2" w:rsidP="007D2F65">
            <w:pPr>
              <w:ind w:left="0" w:right="0"/>
              <w:rPr>
                <w:kern w:val="16"/>
                <w:sz w:val="19"/>
                <w:szCs w:val="24"/>
                <w:lang w:val="en-US"/>
              </w:rPr>
            </w:pPr>
            <w:r w:rsidRPr="006421E2">
              <w:rPr>
                <w:kern w:val="16"/>
                <w:sz w:val="19"/>
                <w:szCs w:val="24"/>
                <w:lang w:val="en-US"/>
              </w:rPr>
              <w:t>(0.0, 17.0)</w:t>
            </w:r>
          </w:p>
        </w:tc>
        <w:tc>
          <w:tcPr>
            <w:tcW w:w="751" w:type="pct"/>
          </w:tcPr>
          <w:p w14:paraId="7BD7D579" w14:textId="77777777" w:rsidR="006421E2" w:rsidRPr="006421E2" w:rsidRDefault="006421E2" w:rsidP="007D2F65">
            <w:pPr>
              <w:ind w:left="0" w:right="0"/>
              <w:rPr>
                <w:kern w:val="16"/>
                <w:sz w:val="19"/>
                <w:szCs w:val="24"/>
                <w:lang w:val="en-US"/>
              </w:rPr>
            </w:pPr>
            <w:r w:rsidRPr="006421E2">
              <w:rPr>
                <w:kern w:val="16"/>
                <w:sz w:val="19"/>
                <w:szCs w:val="24"/>
                <w:lang w:val="en-US"/>
              </w:rPr>
              <w:t>2.0</w:t>
            </w:r>
          </w:p>
          <w:p w14:paraId="22257796" w14:textId="77777777" w:rsidR="006421E2" w:rsidRPr="006421E2" w:rsidRDefault="006421E2" w:rsidP="007D2F65">
            <w:pPr>
              <w:ind w:left="0" w:right="0"/>
              <w:rPr>
                <w:kern w:val="16"/>
                <w:sz w:val="19"/>
                <w:szCs w:val="24"/>
                <w:lang w:val="en-US"/>
              </w:rPr>
            </w:pPr>
            <w:r w:rsidRPr="006421E2">
              <w:rPr>
                <w:kern w:val="16"/>
                <w:sz w:val="19"/>
                <w:szCs w:val="24"/>
                <w:lang w:val="en-US"/>
              </w:rPr>
              <w:t>(0.0, 37.0)</w:t>
            </w:r>
          </w:p>
        </w:tc>
        <w:tc>
          <w:tcPr>
            <w:tcW w:w="750" w:type="pct"/>
          </w:tcPr>
          <w:p w14:paraId="126971AA" w14:textId="77777777" w:rsidR="006421E2" w:rsidRPr="006421E2" w:rsidRDefault="006421E2" w:rsidP="007D2F65">
            <w:pPr>
              <w:ind w:left="0" w:right="0"/>
              <w:rPr>
                <w:kern w:val="16"/>
                <w:sz w:val="19"/>
                <w:szCs w:val="24"/>
                <w:lang w:val="en-US"/>
              </w:rPr>
            </w:pPr>
            <w:r w:rsidRPr="006421E2">
              <w:rPr>
                <w:kern w:val="16"/>
                <w:sz w:val="19"/>
                <w:szCs w:val="24"/>
                <w:lang w:val="en-US"/>
              </w:rPr>
              <w:t>1.0</w:t>
            </w:r>
          </w:p>
          <w:p w14:paraId="723A34C3" w14:textId="77777777" w:rsidR="006421E2" w:rsidRPr="006421E2" w:rsidRDefault="006421E2" w:rsidP="007D2F65">
            <w:pPr>
              <w:ind w:left="0" w:right="0"/>
              <w:rPr>
                <w:kern w:val="16"/>
                <w:sz w:val="19"/>
                <w:szCs w:val="24"/>
                <w:lang w:val="en-US"/>
              </w:rPr>
            </w:pPr>
            <w:r w:rsidRPr="006421E2">
              <w:rPr>
                <w:kern w:val="16"/>
                <w:sz w:val="19"/>
                <w:szCs w:val="24"/>
                <w:lang w:val="en-US"/>
              </w:rPr>
              <w:t>(0.0, 37.0)</w:t>
            </w:r>
          </w:p>
        </w:tc>
      </w:tr>
      <w:tr w:rsidR="006421E2" w:rsidRPr="006421E2" w14:paraId="094E70A8" w14:textId="77777777" w:rsidTr="00986F56">
        <w:trPr>
          <w:trHeight w:val="475"/>
        </w:trPr>
        <w:tc>
          <w:tcPr>
            <w:tcW w:w="1049" w:type="pct"/>
          </w:tcPr>
          <w:p w14:paraId="6D833FD7" w14:textId="4F5DF2B8" w:rsidR="006421E2" w:rsidRPr="006421E2" w:rsidRDefault="006421E2" w:rsidP="007D2F65">
            <w:pPr>
              <w:ind w:left="0" w:right="0"/>
              <w:rPr>
                <w:kern w:val="16"/>
                <w:sz w:val="19"/>
                <w:szCs w:val="24"/>
                <w:lang w:val="en-US"/>
              </w:rPr>
            </w:pPr>
            <w:r w:rsidRPr="006421E2">
              <w:rPr>
                <w:kern w:val="16"/>
                <w:sz w:val="19"/>
                <w:szCs w:val="24"/>
                <w:lang w:val="en-US"/>
              </w:rPr>
              <w:t>Median dose</w:t>
            </w:r>
            <w:r w:rsidR="001D09E3">
              <w:rPr>
                <w:kern w:val="16"/>
                <w:sz w:val="19"/>
                <w:szCs w:val="24"/>
                <w:lang w:val="en-US"/>
              </w:rPr>
              <w:t xml:space="preserve"> </w:t>
            </w:r>
            <w:r w:rsidRPr="006421E2">
              <w:rPr>
                <w:kern w:val="16"/>
                <w:sz w:val="19"/>
                <w:szCs w:val="24"/>
                <w:lang w:val="en-US"/>
              </w:rPr>
              <w:t>intensity, %*</w:t>
            </w:r>
          </w:p>
        </w:tc>
        <w:tc>
          <w:tcPr>
            <w:tcW w:w="814" w:type="pct"/>
          </w:tcPr>
          <w:p w14:paraId="5F34FDA2" w14:textId="77777777" w:rsidR="006421E2" w:rsidRPr="006421E2" w:rsidRDefault="006421E2" w:rsidP="007D2F65">
            <w:pPr>
              <w:ind w:left="0" w:right="0"/>
              <w:rPr>
                <w:kern w:val="16"/>
                <w:sz w:val="19"/>
                <w:szCs w:val="24"/>
                <w:lang w:val="en-US"/>
              </w:rPr>
            </w:pPr>
            <w:r w:rsidRPr="006421E2">
              <w:rPr>
                <w:kern w:val="16"/>
                <w:sz w:val="19"/>
                <w:szCs w:val="24"/>
                <w:lang w:val="en-US"/>
              </w:rPr>
              <w:t>94.1</w:t>
            </w:r>
          </w:p>
          <w:p w14:paraId="0EF32AAA" w14:textId="77777777" w:rsidR="006421E2" w:rsidRPr="006421E2" w:rsidRDefault="006421E2" w:rsidP="007D2F65">
            <w:pPr>
              <w:ind w:left="0" w:right="0"/>
              <w:rPr>
                <w:kern w:val="16"/>
                <w:sz w:val="19"/>
                <w:szCs w:val="24"/>
                <w:lang w:val="en-US"/>
              </w:rPr>
            </w:pPr>
            <w:r w:rsidRPr="006421E2">
              <w:rPr>
                <w:kern w:val="16"/>
                <w:sz w:val="19"/>
                <w:szCs w:val="24"/>
                <w:lang w:val="en-US"/>
              </w:rPr>
              <w:t>(40.5, 105.3)</w:t>
            </w:r>
          </w:p>
        </w:tc>
        <w:tc>
          <w:tcPr>
            <w:tcW w:w="730" w:type="pct"/>
          </w:tcPr>
          <w:p w14:paraId="21B86412" w14:textId="77777777" w:rsidR="006421E2" w:rsidRPr="006421E2" w:rsidRDefault="006421E2" w:rsidP="007D2F65">
            <w:pPr>
              <w:ind w:left="0" w:right="0"/>
              <w:rPr>
                <w:kern w:val="16"/>
                <w:sz w:val="19"/>
                <w:szCs w:val="24"/>
                <w:lang w:val="en-US"/>
              </w:rPr>
            </w:pPr>
            <w:r w:rsidRPr="006421E2">
              <w:rPr>
                <w:kern w:val="16"/>
                <w:sz w:val="19"/>
                <w:szCs w:val="24"/>
                <w:lang w:val="en-US"/>
              </w:rPr>
              <w:t>96.5</w:t>
            </w:r>
          </w:p>
          <w:p w14:paraId="39E3D5BD" w14:textId="77777777" w:rsidR="006421E2" w:rsidRPr="006421E2" w:rsidRDefault="006421E2" w:rsidP="007D2F65">
            <w:pPr>
              <w:ind w:left="0" w:right="0"/>
              <w:rPr>
                <w:kern w:val="16"/>
                <w:sz w:val="19"/>
                <w:szCs w:val="24"/>
                <w:lang w:val="en-US"/>
              </w:rPr>
            </w:pPr>
            <w:r w:rsidRPr="006421E2">
              <w:rPr>
                <w:kern w:val="16"/>
                <w:sz w:val="19"/>
                <w:szCs w:val="24"/>
                <w:lang w:val="en-US"/>
              </w:rPr>
              <w:t>(29.8, 133.3)</w:t>
            </w:r>
          </w:p>
        </w:tc>
        <w:tc>
          <w:tcPr>
            <w:tcW w:w="906" w:type="pct"/>
          </w:tcPr>
          <w:p w14:paraId="748B8D46" w14:textId="77777777" w:rsidR="006421E2" w:rsidRPr="006421E2" w:rsidRDefault="006421E2" w:rsidP="007D2F65">
            <w:pPr>
              <w:ind w:left="0" w:right="0"/>
              <w:rPr>
                <w:kern w:val="16"/>
                <w:sz w:val="19"/>
                <w:szCs w:val="24"/>
                <w:lang w:val="en-US"/>
              </w:rPr>
            </w:pPr>
            <w:r w:rsidRPr="006421E2">
              <w:rPr>
                <w:kern w:val="16"/>
                <w:sz w:val="19"/>
                <w:szCs w:val="24"/>
                <w:lang w:val="en-US"/>
              </w:rPr>
              <w:t>98.6</w:t>
            </w:r>
          </w:p>
          <w:p w14:paraId="28B79990" w14:textId="77777777" w:rsidR="006421E2" w:rsidRPr="006421E2" w:rsidRDefault="006421E2" w:rsidP="007D2F65">
            <w:pPr>
              <w:ind w:left="0" w:right="0"/>
              <w:rPr>
                <w:kern w:val="16"/>
                <w:sz w:val="19"/>
                <w:szCs w:val="24"/>
                <w:lang w:val="en-US"/>
              </w:rPr>
            </w:pPr>
            <w:r w:rsidRPr="006421E2">
              <w:rPr>
                <w:kern w:val="16"/>
                <w:sz w:val="19"/>
                <w:szCs w:val="24"/>
                <w:lang w:val="en-US"/>
              </w:rPr>
              <w:t>(12.6, 388.3)</w:t>
            </w:r>
          </w:p>
        </w:tc>
        <w:tc>
          <w:tcPr>
            <w:tcW w:w="751" w:type="pct"/>
          </w:tcPr>
          <w:p w14:paraId="268AE8C7" w14:textId="77777777" w:rsidR="006421E2" w:rsidRPr="006421E2" w:rsidRDefault="006421E2" w:rsidP="007D2F65">
            <w:pPr>
              <w:ind w:left="0" w:right="0"/>
              <w:rPr>
                <w:kern w:val="16"/>
                <w:sz w:val="19"/>
                <w:szCs w:val="24"/>
                <w:lang w:val="en-US"/>
              </w:rPr>
            </w:pPr>
            <w:r w:rsidRPr="006421E2">
              <w:rPr>
                <w:kern w:val="16"/>
                <w:sz w:val="19"/>
                <w:szCs w:val="24"/>
                <w:lang w:val="en-US"/>
              </w:rPr>
              <w:t>96.3</w:t>
            </w:r>
          </w:p>
          <w:p w14:paraId="3A10EE5D" w14:textId="77777777" w:rsidR="006421E2" w:rsidRPr="006421E2" w:rsidRDefault="006421E2" w:rsidP="007D2F65">
            <w:pPr>
              <w:ind w:left="0" w:right="0"/>
              <w:rPr>
                <w:kern w:val="16"/>
                <w:sz w:val="19"/>
                <w:szCs w:val="24"/>
                <w:lang w:val="en-US"/>
              </w:rPr>
            </w:pPr>
            <w:r w:rsidRPr="006421E2">
              <w:rPr>
                <w:kern w:val="16"/>
                <w:sz w:val="19"/>
                <w:szCs w:val="24"/>
                <w:lang w:val="en-US"/>
              </w:rPr>
              <w:t>(32.6, 115.1)</w:t>
            </w:r>
          </w:p>
        </w:tc>
        <w:tc>
          <w:tcPr>
            <w:tcW w:w="750" w:type="pct"/>
          </w:tcPr>
          <w:p w14:paraId="369537FB" w14:textId="77777777" w:rsidR="006421E2" w:rsidRPr="006421E2" w:rsidRDefault="006421E2" w:rsidP="007D2F65">
            <w:pPr>
              <w:ind w:left="0" w:right="0"/>
              <w:rPr>
                <w:kern w:val="16"/>
                <w:sz w:val="19"/>
                <w:szCs w:val="24"/>
                <w:lang w:val="en-US"/>
              </w:rPr>
            </w:pPr>
            <w:r w:rsidRPr="006421E2">
              <w:rPr>
                <w:kern w:val="16"/>
                <w:sz w:val="19"/>
                <w:szCs w:val="24"/>
                <w:lang w:val="en-US"/>
              </w:rPr>
              <w:t>96.9</w:t>
            </w:r>
          </w:p>
          <w:p w14:paraId="15917BFE" w14:textId="77777777" w:rsidR="006421E2" w:rsidRPr="006421E2" w:rsidRDefault="006421E2" w:rsidP="007D2F65">
            <w:pPr>
              <w:ind w:left="0" w:right="0"/>
              <w:rPr>
                <w:kern w:val="16"/>
                <w:sz w:val="19"/>
                <w:szCs w:val="24"/>
                <w:lang w:val="en-US"/>
              </w:rPr>
            </w:pPr>
            <w:r w:rsidRPr="006421E2">
              <w:rPr>
                <w:kern w:val="16"/>
                <w:sz w:val="19"/>
                <w:szCs w:val="24"/>
                <w:lang w:val="en-US"/>
              </w:rPr>
              <w:t>(12.6, 388.3)</w:t>
            </w:r>
          </w:p>
        </w:tc>
      </w:tr>
    </w:tbl>
    <w:p w14:paraId="67F5355D" w14:textId="4971BC16" w:rsidR="00986F56" w:rsidRDefault="00986F56" w:rsidP="002239A3">
      <w:pPr>
        <w:pStyle w:val="FigureDescription"/>
      </w:pPr>
      <w:r>
        <w:rPr>
          <w:rFonts w:asciiTheme="minorHAnsi" w:hAnsiTheme="minorHAnsi" w:cs="Calibri"/>
        </w:rPr>
        <w:t xml:space="preserve">Source: </w:t>
      </w:r>
      <w:r>
        <w:t xml:space="preserve">reformatted </w:t>
      </w:r>
      <w:r>
        <w:rPr>
          <w:rFonts w:asciiTheme="minorHAnsi" w:hAnsiTheme="minorHAnsi" w:cs="Calibri"/>
        </w:rPr>
        <w:t>FDA table.</w:t>
      </w:r>
      <w:r>
        <w:rPr>
          <w:rFonts w:asciiTheme="minorHAnsi" w:hAnsiTheme="minorHAnsi" w:cs="Calibri"/>
        </w:rPr>
        <w:fldChar w:fldCharType="begin"/>
      </w:r>
      <w:r>
        <w:rPr>
          <w:rFonts w:asciiTheme="minorHAnsi" w:hAnsiTheme="minorHAnsi" w:cs="Calibri"/>
        </w:rPr>
        <w:instrText xml:space="preserve"> NOTEREF _Ref50554541 \f \h </w:instrText>
      </w:r>
      <w:r>
        <w:rPr>
          <w:rFonts w:asciiTheme="minorHAnsi" w:hAnsiTheme="minorHAnsi" w:cs="Calibri"/>
        </w:rPr>
      </w:r>
      <w:r>
        <w:rPr>
          <w:rFonts w:asciiTheme="minorHAnsi" w:hAnsiTheme="minorHAnsi" w:cs="Calibri"/>
        </w:rPr>
        <w:fldChar w:fldCharType="separate"/>
      </w:r>
      <w:r>
        <w:rPr>
          <w:rStyle w:val="FootnoteReference"/>
        </w:rPr>
        <w:t>12</w:t>
      </w:r>
      <w:r>
        <w:rPr>
          <w:rFonts w:asciiTheme="minorHAnsi" w:hAnsiTheme="minorHAnsi" w:cs="Calibri"/>
        </w:rPr>
        <w:fldChar w:fldCharType="end"/>
      </w:r>
    </w:p>
    <w:p w14:paraId="3EF34D02" w14:textId="37238013" w:rsidR="002239A3" w:rsidRPr="002239A3" w:rsidRDefault="00431C48" w:rsidP="002239A3">
      <w:pPr>
        <w:pStyle w:val="FigureDescription"/>
      </w:pPr>
      <w:r>
        <w:t>*</w:t>
      </w:r>
      <w:r w:rsidR="006421E2" w:rsidRPr="006421E2">
        <w:t>Total cumulative dose received/total planned dose x 100%. Factors contributing to dose intensity &gt;</w:t>
      </w:r>
      <w:r>
        <w:t xml:space="preserve"> </w:t>
      </w:r>
      <w:r w:rsidR="006421E2" w:rsidRPr="006421E2">
        <w:t>100% included patients enrolled during the dose finding portion of the Phase I studies who underwent intra-patient dose escalation after determination of the recommended Phase II dose.</w:t>
      </w:r>
    </w:p>
    <w:p w14:paraId="5CB0D0AF" w14:textId="298C2BCD" w:rsidR="006421E2" w:rsidRPr="006421E2" w:rsidRDefault="002239A3" w:rsidP="002239A3">
      <w:pPr>
        <w:pStyle w:val="TableTitle"/>
      </w:pPr>
      <w:bookmarkStart w:id="67" w:name="_Ref50555318"/>
      <w:r w:rsidRPr="002239A3">
        <w:t xml:space="preserve">Table </w:t>
      </w:r>
      <w:fldSimple w:instr=" SEQ Table \* ARABIC ">
        <w:r w:rsidR="009B407B">
          <w:rPr>
            <w:noProof/>
          </w:rPr>
          <w:t>24</w:t>
        </w:r>
      </w:fldSimple>
      <w:bookmarkEnd w:id="67"/>
      <w:r w:rsidR="001D09E3">
        <w:t>:</w:t>
      </w:r>
      <w:r w:rsidR="006421E2" w:rsidRPr="006421E2">
        <w:t xml:space="preserve"> Summary of baseline demographics in the integrated safety population</w:t>
      </w:r>
    </w:p>
    <w:tbl>
      <w:tblPr>
        <w:tblStyle w:val="TableTGAblue"/>
        <w:tblW w:w="8508" w:type="dxa"/>
        <w:tblLayout w:type="fixed"/>
        <w:tblLook w:val="01E0" w:firstRow="1" w:lastRow="1" w:firstColumn="1" w:lastColumn="1" w:noHBand="0" w:noVBand="0"/>
      </w:tblPr>
      <w:tblGrid>
        <w:gridCol w:w="2263"/>
        <w:gridCol w:w="1276"/>
        <w:gridCol w:w="1276"/>
        <w:gridCol w:w="1276"/>
        <w:gridCol w:w="1134"/>
        <w:gridCol w:w="1283"/>
      </w:tblGrid>
      <w:tr w:rsidR="006421E2" w:rsidRPr="006421E2" w14:paraId="4FCC8C41" w14:textId="77777777" w:rsidTr="00D84CA8">
        <w:trPr>
          <w:cnfStyle w:val="100000000000" w:firstRow="1" w:lastRow="0" w:firstColumn="0" w:lastColumn="0" w:oddVBand="0" w:evenVBand="0" w:oddHBand="0" w:evenHBand="0" w:firstRowFirstColumn="0" w:firstRowLastColumn="0" w:lastRowFirstColumn="0" w:lastRowLastColumn="0"/>
          <w:trHeight w:val="20"/>
        </w:trPr>
        <w:tc>
          <w:tcPr>
            <w:tcW w:w="2263" w:type="dxa"/>
            <w:tcBorders>
              <w:top w:val="single" w:sz="4" w:space="0" w:color="auto"/>
              <w:left w:val="single" w:sz="4" w:space="0" w:color="auto"/>
              <w:bottom w:val="single" w:sz="4" w:space="0" w:color="auto"/>
              <w:right w:val="single" w:sz="4" w:space="0" w:color="auto"/>
            </w:tcBorders>
          </w:tcPr>
          <w:p w14:paraId="0642B3AD" w14:textId="77777777" w:rsidR="006421E2" w:rsidRPr="006421E2" w:rsidRDefault="006421E2" w:rsidP="007D2F65">
            <w:pPr>
              <w:ind w:left="0" w:right="0"/>
              <w:rPr>
                <w:kern w:val="16"/>
                <w:sz w:val="19"/>
                <w:szCs w:val="24"/>
                <w:lang w:val="en-US"/>
              </w:rPr>
            </w:pPr>
            <w:r w:rsidRPr="006421E2">
              <w:rPr>
                <w:kern w:val="16"/>
                <w:sz w:val="19"/>
                <w:szCs w:val="24"/>
                <w:lang w:val="en-US"/>
              </w:rPr>
              <w:t>Parameter</w:t>
            </w:r>
          </w:p>
        </w:tc>
        <w:tc>
          <w:tcPr>
            <w:tcW w:w="1276" w:type="dxa"/>
            <w:tcBorders>
              <w:top w:val="single" w:sz="4" w:space="0" w:color="auto"/>
              <w:left w:val="single" w:sz="4" w:space="0" w:color="auto"/>
              <w:bottom w:val="single" w:sz="4" w:space="0" w:color="auto"/>
              <w:right w:val="single" w:sz="4" w:space="0" w:color="auto"/>
            </w:tcBorders>
          </w:tcPr>
          <w:p w14:paraId="47F3AF1E" w14:textId="77777777" w:rsidR="006421E2" w:rsidRPr="006421E2" w:rsidRDefault="006421E2" w:rsidP="007D2F65">
            <w:pPr>
              <w:ind w:left="0" w:right="0"/>
              <w:rPr>
                <w:i/>
                <w:kern w:val="16"/>
                <w:sz w:val="19"/>
                <w:szCs w:val="24"/>
                <w:lang w:val="en-US"/>
              </w:rPr>
            </w:pPr>
            <w:r w:rsidRPr="006421E2">
              <w:rPr>
                <w:i/>
                <w:kern w:val="16"/>
                <w:sz w:val="19"/>
                <w:szCs w:val="24"/>
                <w:lang w:val="en-US"/>
              </w:rPr>
              <w:t>NTRK</w:t>
            </w:r>
          </w:p>
          <w:p w14:paraId="6A91DF5F" w14:textId="77777777" w:rsidR="006421E2" w:rsidRPr="006421E2" w:rsidRDefault="006421E2" w:rsidP="007D2F65">
            <w:pPr>
              <w:ind w:left="0" w:right="0"/>
              <w:rPr>
                <w:kern w:val="16"/>
                <w:sz w:val="19"/>
                <w:szCs w:val="24"/>
                <w:lang w:val="en-US"/>
              </w:rPr>
            </w:pPr>
            <w:r w:rsidRPr="006421E2">
              <w:rPr>
                <w:kern w:val="16"/>
                <w:sz w:val="19"/>
                <w:szCs w:val="24"/>
                <w:lang w:val="en-US"/>
              </w:rPr>
              <w:t>Adult</w:t>
            </w:r>
          </w:p>
          <w:p w14:paraId="793338AB" w14:textId="5A759BEC"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68)</w:t>
            </w:r>
          </w:p>
        </w:tc>
        <w:tc>
          <w:tcPr>
            <w:tcW w:w="1276" w:type="dxa"/>
            <w:tcBorders>
              <w:top w:val="single" w:sz="4" w:space="0" w:color="auto"/>
              <w:left w:val="single" w:sz="4" w:space="0" w:color="auto"/>
              <w:bottom w:val="single" w:sz="4" w:space="0" w:color="auto"/>
              <w:right w:val="single" w:sz="4" w:space="0" w:color="auto"/>
            </w:tcBorders>
          </w:tcPr>
          <w:p w14:paraId="3D11ED4F" w14:textId="77777777" w:rsidR="006421E2" w:rsidRPr="006421E2" w:rsidRDefault="006421E2" w:rsidP="007D2F65">
            <w:pPr>
              <w:ind w:left="0" w:right="0"/>
              <w:rPr>
                <w:kern w:val="16"/>
                <w:sz w:val="19"/>
                <w:szCs w:val="24"/>
                <w:lang w:val="en-US"/>
              </w:rPr>
            </w:pPr>
            <w:r w:rsidRPr="006421E2">
              <w:rPr>
                <w:i/>
                <w:kern w:val="16"/>
                <w:sz w:val="19"/>
                <w:szCs w:val="24"/>
                <w:lang w:val="en-US"/>
              </w:rPr>
              <w:t xml:space="preserve">ROS1 </w:t>
            </w:r>
            <w:r w:rsidRPr="006421E2">
              <w:rPr>
                <w:kern w:val="16"/>
                <w:sz w:val="19"/>
                <w:szCs w:val="24"/>
                <w:lang w:val="en-US"/>
              </w:rPr>
              <w:t>NSCLC</w:t>
            </w:r>
          </w:p>
          <w:p w14:paraId="73C9CCD5" w14:textId="77777777" w:rsidR="006421E2" w:rsidRPr="006421E2" w:rsidRDefault="006421E2" w:rsidP="007D2F65">
            <w:pPr>
              <w:ind w:left="0" w:right="0"/>
              <w:rPr>
                <w:kern w:val="16"/>
                <w:sz w:val="19"/>
                <w:szCs w:val="24"/>
                <w:lang w:val="en-US"/>
              </w:rPr>
            </w:pPr>
            <w:r w:rsidRPr="006421E2">
              <w:rPr>
                <w:kern w:val="16"/>
                <w:sz w:val="19"/>
                <w:szCs w:val="24"/>
                <w:lang w:val="en-US"/>
              </w:rPr>
              <w:t>Adult</w:t>
            </w:r>
          </w:p>
          <w:p w14:paraId="1FC3FF1E" w14:textId="3299C9FC"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133)</w:t>
            </w:r>
          </w:p>
        </w:tc>
        <w:tc>
          <w:tcPr>
            <w:tcW w:w="1276" w:type="dxa"/>
            <w:tcBorders>
              <w:top w:val="single" w:sz="4" w:space="0" w:color="auto"/>
              <w:left w:val="single" w:sz="4" w:space="0" w:color="auto"/>
              <w:bottom w:val="single" w:sz="4" w:space="0" w:color="auto"/>
              <w:right w:val="single" w:sz="4" w:space="0" w:color="auto"/>
            </w:tcBorders>
          </w:tcPr>
          <w:p w14:paraId="3D1EDF91" w14:textId="77777777" w:rsidR="006421E2" w:rsidRPr="006421E2" w:rsidRDefault="006421E2" w:rsidP="007D2F65">
            <w:pPr>
              <w:ind w:left="0" w:right="0"/>
              <w:rPr>
                <w:kern w:val="16"/>
                <w:sz w:val="19"/>
                <w:szCs w:val="24"/>
                <w:lang w:val="en-US"/>
              </w:rPr>
            </w:pPr>
            <w:r w:rsidRPr="006421E2">
              <w:rPr>
                <w:kern w:val="16"/>
                <w:sz w:val="19"/>
                <w:szCs w:val="24"/>
                <w:lang w:val="en-US"/>
              </w:rPr>
              <w:t>Other Adult</w:t>
            </w:r>
          </w:p>
          <w:p w14:paraId="647383F5" w14:textId="5F8267D0" w:rsidR="006421E2" w:rsidRPr="006421E2" w:rsidRDefault="006421E2" w:rsidP="007D2F65">
            <w:pPr>
              <w:ind w:left="0" w:right="0"/>
              <w:rPr>
                <w:kern w:val="16"/>
                <w:sz w:val="19"/>
                <w:szCs w:val="24"/>
                <w:lang w:val="en-US"/>
              </w:rPr>
            </w:pPr>
            <w:r w:rsidRPr="006421E2">
              <w:rPr>
                <w:kern w:val="16"/>
                <w:sz w:val="19"/>
                <w:szCs w:val="24"/>
                <w:lang w:val="en-US"/>
              </w:rPr>
              <w:t>(n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137)</w:t>
            </w:r>
          </w:p>
        </w:tc>
        <w:tc>
          <w:tcPr>
            <w:tcW w:w="1134" w:type="dxa"/>
            <w:tcBorders>
              <w:top w:val="single" w:sz="4" w:space="0" w:color="auto"/>
              <w:left w:val="single" w:sz="4" w:space="0" w:color="auto"/>
              <w:bottom w:val="single" w:sz="4" w:space="0" w:color="auto"/>
              <w:right w:val="single" w:sz="4" w:space="0" w:color="auto"/>
            </w:tcBorders>
          </w:tcPr>
          <w:p w14:paraId="3E9A3661" w14:textId="5ED6A1E3" w:rsidR="006421E2" w:rsidRPr="006421E2" w:rsidRDefault="006421E2" w:rsidP="007D2F65">
            <w:pPr>
              <w:ind w:left="0" w:right="0"/>
              <w:rPr>
                <w:kern w:val="16"/>
                <w:sz w:val="19"/>
                <w:szCs w:val="24"/>
                <w:lang w:val="en-US"/>
              </w:rPr>
            </w:pPr>
            <w:r w:rsidRPr="006421E2">
              <w:rPr>
                <w:kern w:val="16"/>
                <w:sz w:val="19"/>
                <w:szCs w:val="24"/>
                <w:lang w:val="en-US"/>
              </w:rPr>
              <w:t>Pediatric (n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17)</w:t>
            </w:r>
          </w:p>
        </w:tc>
        <w:tc>
          <w:tcPr>
            <w:tcW w:w="1283" w:type="dxa"/>
            <w:tcBorders>
              <w:top w:val="single" w:sz="4" w:space="0" w:color="auto"/>
              <w:left w:val="single" w:sz="4" w:space="0" w:color="auto"/>
              <w:bottom w:val="single" w:sz="4" w:space="0" w:color="auto"/>
              <w:right w:val="single" w:sz="4" w:space="0" w:color="auto"/>
            </w:tcBorders>
          </w:tcPr>
          <w:p w14:paraId="3D25020D" w14:textId="564965DE" w:rsidR="006421E2" w:rsidRPr="006421E2" w:rsidRDefault="006421E2" w:rsidP="007D2F65">
            <w:pPr>
              <w:ind w:left="0" w:right="0"/>
              <w:rPr>
                <w:kern w:val="16"/>
                <w:sz w:val="19"/>
                <w:szCs w:val="24"/>
                <w:lang w:val="en-US"/>
              </w:rPr>
            </w:pPr>
            <w:r w:rsidRPr="006421E2">
              <w:rPr>
                <w:kern w:val="16"/>
                <w:sz w:val="19"/>
                <w:szCs w:val="24"/>
                <w:lang w:val="en-US"/>
              </w:rPr>
              <w:t>All (n</w:t>
            </w:r>
            <w:r w:rsidR="00F2463B">
              <w:rPr>
                <w:kern w:val="16"/>
                <w:sz w:val="19"/>
                <w:szCs w:val="24"/>
                <w:lang w:val="en-US"/>
              </w:rPr>
              <w:t xml:space="preserve"> </w:t>
            </w:r>
            <w:r w:rsidRPr="006421E2">
              <w:rPr>
                <w:kern w:val="16"/>
                <w:sz w:val="19"/>
                <w:szCs w:val="24"/>
                <w:lang w:val="en-US"/>
              </w:rPr>
              <w:t>=</w:t>
            </w:r>
            <w:r w:rsidR="00F2463B">
              <w:rPr>
                <w:kern w:val="16"/>
                <w:sz w:val="19"/>
                <w:szCs w:val="24"/>
                <w:lang w:val="en-US"/>
              </w:rPr>
              <w:t xml:space="preserve"> </w:t>
            </w:r>
            <w:r w:rsidRPr="006421E2">
              <w:rPr>
                <w:kern w:val="16"/>
                <w:sz w:val="19"/>
                <w:szCs w:val="24"/>
                <w:lang w:val="en-US"/>
              </w:rPr>
              <w:t>355)</w:t>
            </w:r>
          </w:p>
        </w:tc>
      </w:tr>
      <w:tr w:rsidR="006421E2" w:rsidRPr="006421E2" w14:paraId="2DD224F3" w14:textId="77777777" w:rsidTr="00D84CA8">
        <w:trPr>
          <w:trHeight w:val="20"/>
        </w:trPr>
        <w:tc>
          <w:tcPr>
            <w:tcW w:w="2263" w:type="dxa"/>
            <w:tcBorders>
              <w:top w:val="single" w:sz="4" w:space="0" w:color="auto"/>
            </w:tcBorders>
          </w:tcPr>
          <w:p w14:paraId="752D8A27" w14:textId="77777777" w:rsidR="006421E2" w:rsidRPr="007D2F65" w:rsidRDefault="006421E2" w:rsidP="007D2F65">
            <w:pPr>
              <w:ind w:left="0" w:right="0"/>
              <w:rPr>
                <w:b/>
                <w:kern w:val="16"/>
                <w:sz w:val="19"/>
                <w:szCs w:val="24"/>
                <w:lang w:val="en-US"/>
              </w:rPr>
            </w:pPr>
            <w:r w:rsidRPr="007D2F65">
              <w:rPr>
                <w:b/>
                <w:kern w:val="16"/>
                <w:sz w:val="19"/>
                <w:szCs w:val="24"/>
                <w:lang w:val="en-US"/>
              </w:rPr>
              <w:t>Sex</w:t>
            </w:r>
          </w:p>
        </w:tc>
        <w:tc>
          <w:tcPr>
            <w:tcW w:w="1276" w:type="dxa"/>
            <w:tcBorders>
              <w:top w:val="single" w:sz="4" w:space="0" w:color="auto"/>
            </w:tcBorders>
          </w:tcPr>
          <w:p w14:paraId="6F19F3A0" w14:textId="77777777" w:rsidR="006421E2" w:rsidRPr="006421E2" w:rsidRDefault="006421E2" w:rsidP="007D2F65">
            <w:pPr>
              <w:ind w:left="0" w:right="0"/>
              <w:rPr>
                <w:kern w:val="16"/>
                <w:sz w:val="19"/>
                <w:szCs w:val="24"/>
                <w:lang w:val="en-US"/>
              </w:rPr>
            </w:pPr>
          </w:p>
        </w:tc>
        <w:tc>
          <w:tcPr>
            <w:tcW w:w="1276" w:type="dxa"/>
            <w:tcBorders>
              <w:top w:val="single" w:sz="4" w:space="0" w:color="auto"/>
            </w:tcBorders>
          </w:tcPr>
          <w:p w14:paraId="51A42BE6" w14:textId="77777777" w:rsidR="006421E2" w:rsidRPr="006421E2" w:rsidRDefault="006421E2" w:rsidP="007D2F65">
            <w:pPr>
              <w:ind w:left="0" w:right="0"/>
              <w:rPr>
                <w:kern w:val="16"/>
                <w:sz w:val="19"/>
                <w:szCs w:val="24"/>
                <w:lang w:val="en-US"/>
              </w:rPr>
            </w:pPr>
          </w:p>
        </w:tc>
        <w:tc>
          <w:tcPr>
            <w:tcW w:w="1276" w:type="dxa"/>
            <w:tcBorders>
              <w:top w:val="single" w:sz="4" w:space="0" w:color="auto"/>
            </w:tcBorders>
          </w:tcPr>
          <w:p w14:paraId="2234EA40" w14:textId="77777777" w:rsidR="006421E2" w:rsidRPr="006421E2" w:rsidRDefault="006421E2" w:rsidP="007D2F65">
            <w:pPr>
              <w:ind w:left="0" w:right="0"/>
              <w:rPr>
                <w:kern w:val="16"/>
                <w:sz w:val="19"/>
                <w:szCs w:val="24"/>
                <w:lang w:val="en-US"/>
              </w:rPr>
            </w:pPr>
          </w:p>
        </w:tc>
        <w:tc>
          <w:tcPr>
            <w:tcW w:w="1134" w:type="dxa"/>
            <w:tcBorders>
              <w:top w:val="single" w:sz="4" w:space="0" w:color="auto"/>
            </w:tcBorders>
          </w:tcPr>
          <w:p w14:paraId="630B6EF7" w14:textId="77777777" w:rsidR="006421E2" w:rsidRPr="006421E2" w:rsidRDefault="006421E2" w:rsidP="007D2F65">
            <w:pPr>
              <w:ind w:left="0" w:right="0"/>
              <w:rPr>
                <w:kern w:val="16"/>
                <w:sz w:val="19"/>
                <w:szCs w:val="24"/>
                <w:lang w:val="en-US"/>
              </w:rPr>
            </w:pPr>
          </w:p>
        </w:tc>
        <w:tc>
          <w:tcPr>
            <w:tcW w:w="1283" w:type="dxa"/>
            <w:tcBorders>
              <w:top w:val="single" w:sz="4" w:space="0" w:color="auto"/>
            </w:tcBorders>
          </w:tcPr>
          <w:p w14:paraId="48ACF224" w14:textId="77777777" w:rsidR="006421E2" w:rsidRPr="006421E2" w:rsidRDefault="006421E2" w:rsidP="007D2F65">
            <w:pPr>
              <w:ind w:left="0" w:right="0"/>
              <w:rPr>
                <w:kern w:val="16"/>
                <w:sz w:val="19"/>
                <w:szCs w:val="24"/>
                <w:lang w:val="en-US"/>
              </w:rPr>
            </w:pPr>
          </w:p>
        </w:tc>
      </w:tr>
      <w:tr w:rsidR="006421E2" w:rsidRPr="006421E2" w14:paraId="619C148A" w14:textId="77777777" w:rsidTr="00D84CA8">
        <w:trPr>
          <w:trHeight w:val="20"/>
        </w:trPr>
        <w:tc>
          <w:tcPr>
            <w:tcW w:w="2263" w:type="dxa"/>
          </w:tcPr>
          <w:p w14:paraId="71E037E5" w14:textId="77777777" w:rsidR="006421E2" w:rsidRPr="006421E2" w:rsidRDefault="006421E2" w:rsidP="007D2F65">
            <w:pPr>
              <w:ind w:left="0" w:right="0"/>
              <w:jc w:val="right"/>
              <w:rPr>
                <w:kern w:val="16"/>
                <w:sz w:val="19"/>
                <w:szCs w:val="24"/>
                <w:lang w:val="en-US"/>
              </w:rPr>
            </w:pPr>
            <w:r w:rsidRPr="006421E2">
              <w:rPr>
                <w:kern w:val="16"/>
                <w:sz w:val="19"/>
                <w:szCs w:val="24"/>
                <w:lang w:val="en-US"/>
              </w:rPr>
              <w:t>Male (%)</w:t>
            </w:r>
          </w:p>
        </w:tc>
        <w:tc>
          <w:tcPr>
            <w:tcW w:w="1276" w:type="dxa"/>
          </w:tcPr>
          <w:p w14:paraId="41CD402E" w14:textId="77777777" w:rsidR="006421E2" w:rsidRPr="006421E2" w:rsidRDefault="006421E2" w:rsidP="007D2F65">
            <w:pPr>
              <w:ind w:left="0" w:right="0"/>
              <w:rPr>
                <w:kern w:val="16"/>
                <w:sz w:val="19"/>
                <w:szCs w:val="24"/>
                <w:lang w:val="en-US"/>
              </w:rPr>
            </w:pPr>
            <w:r w:rsidRPr="006421E2">
              <w:rPr>
                <w:kern w:val="16"/>
                <w:sz w:val="19"/>
                <w:szCs w:val="24"/>
                <w:lang w:val="en-US"/>
              </w:rPr>
              <w:t>46</w:t>
            </w:r>
          </w:p>
        </w:tc>
        <w:tc>
          <w:tcPr>
            <w:tcW w:w="1276" w:type="dxa"/>
          </w:tcPr>
          <w:p w14:paraId="7A240571" w14:textId="77777777" w:rsidR="006421E2" w:rsidRPr="006421E2" w:rsidRDefault="006421E2" w:rsidP="007D2F65">
            <w:pPr>
              <w:ind w:left="0" w:right="0"/>
              <w:rPr>
                <w:kern w:val="16"/>
                <w:sz w:val="19"/>
                <w:szCs w:val="24"/>
                <w:lang w:val="en-US"/>
              </w:rPr>
            </w:pPr>
            <w:r w:rsidRPr="006421E2">
              <w:rPr>
                <w:kern w:val="16"/>
                <w:sz w:val="19"/>
                <w:szCs w:val="24"/>
                <w:lang w:val="en-US"/>
              </w:rPr>
              <w:t>40</w:t>
            </w:r>
          </w:p>
        </w:tc>
        <w:tc>
          <w:tcPr>
            <w:tcW w:w="1276" w:type="dxa"/>
          </w:tcPr>
          <w:p w14:paraId="52F1ACFF" w14:textId="77777777" w:rsidR="006421E2" w:rsidRPr="006421E2" w:rsidRDefault="006421E2" w:rsidP="007D2F65">
            <w:pPr>
              <w:ind w:left="0" w:right="0"/>
              <w:rPr>
                <w:kern w:val="16"/>
                <w:sz w:val="19"/>
                <w:szCs w:val="24"/>
                <w:lang w:val="en-US"/>
              </w:rPr>
            </w:pPr>
            <w:r w:rsidRPr="006421E2">
              <w:rPr>
                <w:kern w:val="16"/>
                <w:sz w:val="19"/>
                <w:szCs w:val="24"/>
                <w:lang w:val="en-US"/>
              </w:rPr>
              <w:t>49</w:t>
            </w:r>
          </w:p>
        </w:tc>
        <w:tc>
          <w:tcPr>
            <w:tcW w:w="1134" w:type="dxa"/>
          </w:tcPr>
          <w:p w14:paraId="1C8690AD" w14:textId="77777777" w:rsidR="006421E2" w:rsidRPr="006421E2" w:rsidRDefault="006421E2" w:rsidP="007D2F65">
            <w:pPr>
              <w:ind w:left="0" w:right="0"/>
              <w:rPr>
                <w:kern w:val="16"/>
                <w:sz w:val="19"/>
                <w:szCs w:val="24"/>
                <w:lang w:val="en-US"/>
              </w:rPr>
            </w:pPr>
            <w:r w:rsidRPr="006421E2">
              <w:rPr>
                <w:kern w:val="16"/>
                <w:sz w:val="19"/>
                <w:szCs w:val="24"/>
                <w:lang w:val="en-US"/>
              </w:rPr>
              <w:t>62</w:t>
            </w:r>
          </w:p>
        </w:tc>
        <w:tc>
          <w:tcPr>
            <w:tcW w:w="1283" w:type="dxa"/>
          </w:tcPr>
          <w:p w14:paraId="7168EEBF" w14:textId="77777777" w:rsidR="006421E2" w:rsidRPr="006421E2" w:rsidRDefault="006421E2" w:rsidP="007D2F65">
            <w:pPr>
              <w:ind w:left="0" w:right="0"/>
              <w:rPr>
                <w:kern w:val="16"/>
                <w:sz w:val="19"/>
                <w:szCs w:val="24"/>
                <w:lang w:val="en-US"/>
              </w:rPr>
            </w:pPr>
            <w:r w:rsidRPr="006421E2">
              <w:rPr>
                <w:kern w:val="16"/>
                <w:sz w:val="19"/>
                <w:szCs w:val="24"/>
                <w:lang w:val="en-US"/>
              </w:rPr>
              <w:t>45</w:t>
            </w:r>
          </w:p>
        </w:tc>
      </w:tr>
      <w:tr w:rsidR="006421E2" w:rsidRPr="006421E2" w14:paraId="6120D706" w14:textId="77777777" w:rsidTr="00D84CA8">
        <w:trPr>
          <w:trHeight w:val="20"/>
        </w:trPr>
        <w:tc>
          <w:tcPr>
            <w:tcW w:w="2263" w:type="dxa"/>
          </w:tcPr>
          <w:p w14:paraId="3BCCD56A" w14:textId="77777777" w:rsidR="006421E2" w:rsidRPr="006421E2" w:rsidRDefault="006421E2" w:rsidP="007D2F65">
            <w:pPr>
              <w:ind w:left="0" w:right="0"/>
              <w:jc w:val="right"/>
              <w:rPr>
                <w:kern w:val="16"/>
                <w:sz w:val="19"/>
                <w:szCs w:val="24"/>
                <w:lang w:val="en-US"/>
              </w:rPr>
            </w:pPr>
            <w:r w:rsidRPr="006421E2">
              <w:rPr>
                <w:kern w:val="16"/>
                <w:sz w:val="19"/>
                <w:szCs w:val="24"/>
                <w:lang w:val="en-US"/>
              </w:rPr>
              <w:t>Female (%)</w:t>
            </w:r>
          </w:p>
        </w:tc>
        <w:tc>
          <w:tcPr>
            <w:tcW w:w="1276" w:type="dxa"/>
          </w:tcPr>
          <w:p w14:paraId="3C2410D6" w14:textId="77777777" w:rsidR="006421E2" w:rsidRPr="006421E2" w:rsidRDefault="006421E2" w:rsidP="007D2F65">
            <w:pPr>
              <w:ind w:left="0" w:right="0"/>
              <w:rPr>
                <w:kern w:val="16"/>
                <w:sz w:val="19"/>
                <w:szCs w:val="24"/>
                <w:lang w:val="en-US"/>
              </w:rPr>
            </w:pPr>
            <w:r w:rsidRPr="006421E2">
              <w:rPr>
                <w:kern w:val="16"/>
                <w:sz w:val="19"/>
                <w:szCs w:val="24"/>
                <w:lang w:val="en-US"/>
              </w:rPr>
              <w:t>54</w:t>
            </w:r>
          </w:p>
        </w:tc>
        <w:tc>
          <w:tcPr>
            <w:tcW w:w="1276" w:type="dxa"/>
          </w:tcPr>
          <w:p w14:paraId="4EA6A69A" w14:textId="77777777" w:rsidR="006421E2" w:rsidRPr="006421E2" w:rsidRDefault="006421E2" w:rsidP="007D2F65">
            <w:pPr>
              <w:ind w:left="0" w:right="0"/>
              <w:rPr>
                <w:kern w:val="16"/>
                <w:sz w:val="19"/>
                <w:szCs w:val="24"/>
                <w:lang w:val="en-US"/>
              </w:rPr>
            </w:pPr>
            <w:r w:rsidRPr="006421E2">
              <w:rPr>
                <w:kern w:val="16"/>
                <w:sz w:val="19"/>
                <w:szCs w:val="24"/>
                <w:lang w:val="en-US"/>
              </w:rPr>
              <w:t>60</w:t>
            </w:r>
          </w:p>
        </w:tc>
        <w:tc>
          <w:tcPr>
            <w:tcW w:w="1276" w:type="dxa"/>
          </w:tcPr>
          <w:p w14:paraId="6A523902" w14:textId="77777777" w:rsidR="006421E2" w:rsidRPr="006421E2" w:rsidRDefault="006421E2" w:rsidP="007D2F65">
            <w:pPr>
              <w:ind w:left="0" w:right="0"/>
              <w:rPr>
                <w:kern w:val="16"/>
                <w:sz w:val="19"/>
                <w:szCs w:val="24"/>
                <w:lang w:val="en-US"/>
              </w:rPr>
            </w:pPr>
            <w:r w:rsidRPr="006421E2">
              <w:rPr>
                <w:kern w:val="16"/>
                <w:sz w:val="19"/>
                <w:szCs w:val="24"/>
                <w:lang w:val="en-US"/>
              </w:rPr>
              <w:t>51</w:t>
            </w:r>
          </w:p>
        </w:tc>
        <w:tc>
          <w:tcPr>
            <w:tcW w:w="1134" w:type="dxa"/>
          </w:tcPr>
          <w:p w14:paraId="6F620479" w14:textId="77777777" w:rsidR="006421E2" w:rsidRPr="006421E2" w:rsidRDefault="006421E2" w:rsidP="007D2F65">
            <w:pPr>
              <w:ind w:left="0" w:right="0"/>
              <w:rPr>
                <w:kern w:val="16"/>
                <w:sz w:val="19"/>
                <w:szCs w:val="24"/>
                <w:lang w:val="en-US"/>
              </w:rPr>
            </w:pPr>
            <w:r w:rsidRPr="006421E2">
              <w:rPr>
                <w:kern w:val="16"/>
                <w:sz w:val="19"/>
                <w:szCs w:val="24"/>
                <w:lang w:val="en-US"/>
              </w:rPr>
              <w:t>38</w:t>
            </w:r>
          </w:p>
        </w:tc>
        <w:tc>
          <w:tcPr>
            <w:tcW w:w="1283" w:type="dxa"/>
          </w:tcPr>
          <w:p w14:paraId="1E5294BD" w14:textId="77777777" w:rsidR="006421E2" w:rsidRPr="006421E2" w:rsidRDefault="006421E2" w:rsidP="007D2F65">
            <w:pPr>
              <w:ind w:left="0" w:right="0"/>
              <w:rPr>
                <w:kern w:val="16"/>
                <w:sz w:val="19"/>
                <w:szCs w:val="24"/>
                <w:lang w:val="en-US"/>
              </w:rPr>
            </w:pPr>
            <w:r w:rsidRPr="006421E2">
              <w:rPr>
                <w:kern w:val="16"/>
                <w:sz w:val="19"/>
                <w:szCs w:val="24"/>
                <w:lang w:val="en-US"/>
              </w:rPr>
              <w:t>55</w:t>
            </w:r>
          </w:p>
        </w:tc>
      </w:tr>
      <w:tr w:rsidR="001D09E3" w:rsidRPr="006421E2" w14:paraId="74229BC8" w14:textId="77777777" w:rsidTr="00D84CA8">
        <w:trPr>
          <w:trHeight w:val="20"/>
        </w:trPr>
        <w:tc>
          <w:tcPr>
            <w:tcW w:w="2263" w:type="dxa"/>
          </w:tcPr>
          <w:p w14:paraId="1F21B9B7" w14:textId="64BAFABA" w:rsidR="001D09E3" w:rsidRPr="007D2F65" w:rsidRDefault="001D09E3" w:rsidP="007D2F65">
            <w:pPr>
              <w:ind w:left="0" w:right="0"/>
              <w:rPr>
                <w:b/>
                <w:kern w:val="16"/>
                <w:sz w:val="19"/>
                <w:szCs w:val="24"/>
                <w:lang w:val="en-US"/>
              </w:rPr>
            </w:pPr>
            <w:r w:rsidRPr="007D2F65">
              <w:rPr>
                <w:b/>
                <w:kern w:val="16"/>
                <w:sz w:val="19"/>
                <w:szCs w:val="24"/>
                <w:lang w:val="en-US"/>
              </w:rPr>
              <w:t>Age</w:t>
            </w:r>
          </w:p>
        </w:tc>
        <w:tc>
          <w:tcPr>
            <w:tcW w:w="1276" w:type="dxa"/>
          </w:tcPr>
          <w:p w14:paraId="6BDE6BBB" w14:textId="77777777" w:rsidR="001D09E3" w:rsidRPr="006421E2" w:rsidRDefault="001D09E3" w:rsidP="007D2F65">
            <w:pPr>
              <w:ind w:left="0" w:right="0"/>
              <w:rPr>
                <w:kern w:val="16"/>
                <w:sz w:val="19"/>
                <w:szCs w:val="24"/>
                <w:lang w:val="en-US"/>
              </w:rPr>
            </w:pPr>
          </w:p>
        </w:tc>
        <w:tc>
          <w:tcPr>
            <w:tcW w:w="1276" w:type="dxa"/>
          </w:tcPr>
          <w:p w14:paraId="4ED7E55C" w14:textId="77777777" w:rsidR="001D09E3" w:rsidRPr="006421E2" w:rsidRDefault="001D09E3" w:rsidP="007D2F65">
            <w:pPr>
              <w:ind w:left="0" w:right="0"/>
              <w:rPr>
                <w:kern w:val="16"/>
                <w:sz w:val="19"/>
                <w:szCs w:val="24"/>
                <w:lang w:val="en-US"/>
              </w:rPr>
            </w:pPr>
          </w:p>
        </w:tc>
        <w:tc>
          <w:tcPr>
            <w:tcW w:w="1276" w:type="dxa"/>
          </w:tcPr>
          <w:p w14:paraId="4B86E126" w14:textId="77777777" w:rsidR="001D09E3" w:rsidRPr="006421E2" w:rsidRDefault="001D09E3" w:rsidP="007D2F65">
            <w:pPr>
              <w:ind w:left="0" w:right="0"/>
              <w:rPr>
                <w:kern w:val="16"/>
                <w:sz w:val="19"/>
                <w:szCs w:val="24"/>
                <w:lang w:val="en-US"/>
              </w:rPr>
            </w:pPr>
          </w:p>
        </w:tc>
        <w:tc>
          <w:tcPr>
            <w:tcW w:w="1134" w:type="dxa"/>
          </w:tcPr>
          <w:p w14:paraId="107849C5" w14:textId="77777777" w:rsidR="001D09E3" w:rsidRPr="006421E2" w:rsidRDefault="001D09E3" w:rsidP="007D2F65">
            <w:pPr>
              <w:ind w:left="0" w:right="0"/>
              <w:rPr>
                <w:kern w:val="16"/>
                <w:sz w:val="19"/>
                <w:szCs w:val="24"/>
                <w:lang w:val="en-US"/>
              </w:rPr>
            </w:pPr>
          </w:p>
        </w:tc>
        <w:tc>
          <w:tcPr>
            <w:tcW w:w="1283" w:type="dxa"/>
          </w:tcPr>
          <w:p w14:paraId="71B2D1AC" w14:textId="77777777" w:rsidR="001D09E3" w:rsidRPr="006421E2" w:rsidRDefault="001D09E3" w:rsidP="007D2F65">
            <w:pPr>
              <w:ind w:left="0" w:right="0"/>
              <w:rPr>
                <w:kern w:val="16"/>
                <w:sz w:val="19"/>
                <w:szCs w:val="24"/>
                <w:lang w:val="en-US"/>
              </w:rPr>
            </w:pPr>
          </w:p>
        </w:tc>
      </w:tr>
      <w:tr w:rsidR="006421E2" w:rsidRPr="006421E2" w14:paraId="31B18171" w14:textId="77777777" w:rsidTr="00D84CA8">
        <w:trPr>
          <w:trHeight w:val="20"/>
        </w:trPr>
        <w:tc>
          <w:tcPr>
            <w:tcW w:w="2263" w:type="dxa"/>
          </w:tcPr>
          <w:p w14:paraId="643B3E8C" w14:textId="665B580F" w:rsidR="006421E2" w:rsidRPr="006421E2" w:rsidRDefault="006421E2" w:rsidP="007D2F65">
            <w:pPr>
              <w:ind w:left="0" w:right="0"/>
              <w:jc w:val="right"/>
              <w:rPr>
                <w:kern w:val="16"/>
                <w:sz w:val="19"/>
                <w:szCs w:val="24"/>
                <w:lang w:val="en-US"/>
              </w:rPr>
            </w:pPr>
            <w:r w:rsidRPr="006421E2">
              <w:rPr>
                <w:kern w:val="16"/>
                <w:sz w:val="19"/>
                <w:szCs w:val="24"/>
                <w:lang w:val="en-US"/>
              </w:rPr>
              <w:t>Median (y</w:t>
            </w:r>
            <w:r w:rsidR="001D09E3">
              <w:rPr>
                <w:kern w:val="16"/>
                <w:sz w:val="19"/>
                <w:szCs w:val="24"/>
                <w:lang w:val="en-US"/>
              </w:rPr>
              <w:t>ea</w:t>
            </w:r>
            <w:r w:rsidRPr="006421E2">
              <w:rPr>
                <w:kern w:val="16"/>
                <w:sz w:val="19"/>
                <w:szCs w:val="24"/>
                <w:lang w:val="en-US"/>
              </w:rPr>
              <w:t>rs)</w:t>
            </w:r>
          </w:p>
        </w:tc>
        <w:tc>
          <w:tcPr>
            <w:tcW w:w="1276" w:type="dxa"/>
          </w:tcPr>
          <w:p w14:paraId="2F5E1DBE" w14:textId="77777777" w:rsidR="006421E2" w:rsidRPr="006421E2" w:rsidRDefault="006421E2" w:rsidP="007D2F65">
            <w:pPr>
              <w:ind w:left="0" w:right="0"/>
              <w:rPr>
                <w:kern w:val="16"/>
                <w:sz w:val="19"/>
                <w:szCs w:val="24"/>
                <w:lang w:val="en-US"/>
              </w:rPr>
            </w:pPr>
            <w:r w:rsidRPr="006421E2">
              <w:rPr>
                <w:kern w:val="16"/>
                <w:sz w:val="19"/>
                <w:szCs w:val="24"/>
                <w:lang w:val="en-US"/>
              </w:rPr>
              <w:t>58</w:t>
            </w:r>
          </w:p>
        </w:tc>
        <w:tc>
          <w:tcPr>
            <w:tcW w:w="1276" w:type="dxa"/>
          </w:tcPr>
          <w:p w14:paraId="6663503A" w14:textId="77777777" w:rsidR="006421E2" w:rsidRPr="006421E2" w:rsidRDefault="006421E2" w:rsidP="007D2F65">
            <w:pPr>
              <w:ind w:left="0" w:right="0"/>
              <w:rPr>
                <w:kern w:val="16"/>
                <w:sz w:val="19"/>
                <w:szCs w:val="24"/>
                <w:lang w:val="en-US"/>
              </w:rPr>
            </w:pPr>
            <w:r w:rsidRPr="006421E2">
              <w:rPr>
                <w:kern w:val="16"/>
                <w:sz w:val="19"/>
                <w:szCs w:val="24"/>
                <w:lang w:val="en-US"/>
              </w:rPr>
              <w:t>53</w:t>
            </w:r>
          </w:p>
        </w:tc>
        <w:tc>
          <w:tcPr>
            <w:tcW w:w="1276" w:type="dxa"/>
          </w:tcPr>
          <w:p w14:paraId="0FCCD1AA" w14:textId="77777777" w:rsidR="006421E2" w:rsidRPr="006421E2" w:rsidRDefault="006421E2" w:rsidP="007D2F65">
            <w:pPr>
              <w:ind w:left="0" w:right="0"/>
              <w:rPr>
                <w:kern w:val="16"/>
                <w:sz w:val="19"/>
                <w:szCs w:val="24"/>
                <w:lang w:val="en-US"/>
              </w:rPr>
            </w:pPr>
            <w:r w:rsidRPr="006421E2">
              <w:rPr>
                <w:kern w:val="16"/>
                <w:sz w:val="19"/>
                <w:szCs w:val="24"/>
                <w:lang w:val="en-US"/>
              </w:rPr>
              <w:t>55</w:t>
            </w:r>
          </w:p>
        </w:tc>
        <w:tc>
          <w:tcPr>
            <w:tcW w:w="1134" w:type="dxa"/>
          </w:tcPr>
          <w:p w14:paraId="333D3940" w14:textId="77777777" w:rsidR="006421E2" w:rsidRPr="006421E2" w:rsidRDefault="006421E2" w:rsidP="007D2F65">
            <w:pPr>
              <w:ind w:left="0" w:right="0"/>
              <w:rPr>
                <w:kern w:val="16"/>
                <w:sz w:val="19"/>
                <w:szCs w:val="24"/>
                <w:lang w:val="en-US"/>
              </w:rPr>
            </w:pPr>
            <w:r w:rsidRPr="006421E2">
              <w:rPr>
                <w:kern w:val="16"/>
                <w:sz w:val="19"/>
                <w:szCs w:val="24"/>
                <w:lang w:val="en-US"/>
              </w:rPr>
              <w:t>10</w:t>
            </w:r>
          </w:p>
        </w:tc>
        <w:tc>
          <w:tcPr>
            <w:tcW w:w="1283" w:type="dxa"/>
          </w:tcPr>
          <w:p w14:paraId="39BA0DD5" w14:textId="77777777" w:rsidR="006421E2" w:rsidRPr="006421E2" w:rsidRDefault="006421E2" w:rsidP="007D2F65">
            <w:pPr>
              <w:ind w:left="0" w:right="0"/>
              <w:rPr>
                <w:kern w:val="16"/>
                <w:sz w:val="19"/>
                <w:szCs w:val="24"/>
                <w:lang w:val="en-US"/>
              </w:rPr>
            </w:pPr>
            <w:r w:rsidRPr="006421E2">
              <w:rPr>
                <w:kern w:val="16"/>
                <w:sz w:val="19"/>
                <w:szCs w:val="24"/>
                <w:lang w:val="en-US"/>
              </w:rPr>
              <w:t>55</w:t>
            </w:r>
          </w:p>
        </w:tc>
      </w:tr>
      <w:tr w:rsidR="006421E2" w:rsidRPr="006421E2" w14:paraId="579909F1" w14:textId="77777777" w:rsidTr="00D84CA8">
        <w:trPr>
          <w:trHeight w:val="20"/>
        </w:trPr>
        <w:tc>
          <w:tcPr>
            <w:tcW w:w="2263" w:type="dxa"/>
          </w:tcPr>
          <w:p w14:paraId="01BF9675" w14:textId="77777777" w:rsidR="006421E2" w:rsidRPr="006421E2" w:rsidRDefault="006421E2" w:rsidP="007D2F65">
            <w:pPr>
              <w:ind w:left="0" w:right="0"/>
              <w:jc w:val="right"/>
              <w:rPr>
                <w:kern w:val="16"/>
                <w:sz w:val="19"/>
                <w:szCs w:val="24"/>
                <w:lang w:val="en-US"/>
              </w:rPr>
            </w:pPr>
            <w:r w:rsidRPr="006421E2">
              <w:rPr>
                <w:kern w:val="16"/>
                <w:sz w:val="19"/>
                <w:szCs w:val="24"/>
                <w:lang w:val="en-US"/>
              </w:rPr>
              <w:t>Range</w:t>
            </w:r>
          </w:p>
        </w:tc>
        <w:tc>
          <w:tcPr>
            <w:tcW w:w="1276" w:type="dxa"/>
          </w:tcPr>
          <w:p w14:paraId="2DFBC824" w14:textId="77777777" w:rsidR="006421E2" w:rsidRPr="006421E2" w:rsidRDefault="006421E2" w:rsidP="007D2F65">
            <w:pPr>
              <w:ind w:left="0" w:right="0"/>
              <w:rPr>
                <w:kern w:val="16"/>
                <w:sz w:val="19"/>
                <w:szCs w:val="24"/>
                <w:lang w:val="en-US"/>
              </w:rPr>
            </w:pPr>
            <w:r w:rsidRPr="006421E2">
              <w:rPr>
                <w:kern w:val="16"/>
                <w:sz w:val="19"/>
                <w:szCs w:val="24"/>
                <w:lang w:val="en-US"/>
              </w:rPr>
              <w:t>21-83</w:t>
            </w:r>
          </w:p>
        </w:tc>
        <w:tc>
          <w:tcPr>
            <w:tcW w:w="1276" w:type="dxa"/>
          </w:tcPr>
          <w:p w14:paraId="2F39EB6B" w14:textId="77777777" w:rsidR="006421E2" w:rsidRPr="006421E2" w:rsidRDefault="006421E2" w:rsidP="007D2F65">
            <w:pPr>
              <w:ind w:left="0" w:right="0"/>
              <w:rPr>
                <w:kern w:val="16"/>
                <w:sz w:val="19"/>
                <w:szCs w:val="24"/>
                <w:lang w:val="en-US"/>
              </w:rPr>
            </w:pPr>
            <w:r w:rsidRPr="006421E2">
              <w:rPr>
                <w:kern w:val="16"/>
                <w:sz w:val="19"/>
                <w:szCs w:val="24"/>
                <w:lang w:val="en-US"/>
              </w:rPr>
              <w:t>15-86</w:t>
            </w:r>
          </w:p>
        </w:tc>
        <w:tc>
          <w:tcPr>
            <w:tcW w:w="1276" w:type="dxa"/>
          </w:tcPr>
          <w:p w14:paraId="5C092649" w14:textId="77777777" w:rsidR="006421E2" w:rsidRPr="006421E2" w:rsidRDefault="006421E2" w:rsidP="007D2F65">
            <w:pPr>
              <w:ind w:left="0" w:right="0"/>
              <w:rPr>
                <w:kern w:val="16"/>
                <w:sz w:val="19"/>
                <w:szCs w:val="24"/>
                <w:lang w:val="en-US"/>
              </w:rPr>
            </w:pPr>
            <w:r w:rsidRPr="006421E2">
              <w:rPr>
                <w:kern w:val="16"/>
                <w:sz w:val="19"/>
                <w:szCs w:val="24"/>
                <w:lang w:val="en-US"/>
              </w:rPr>
              <w:t>15-80</w:t>
            </w:r>
          </w:p>
        </w:tc>
        <w:tc>
          <w:tcPr>
            <w:tcW w:w="1134" w:type="dxa"/>
          </w:tcPr>
          <w:p w14:paraId="660EA41F" w14:textId="77777777" w:rsidR="006421E2" w:rsidRPr="006421E2" w:rsidRDefault="006421E2" w:rsidP="007D2F65">
            <w:pPr>
              <w:ind w:left="0" w:right="0"/>
              <w:rPr>
                <w:kern w:val="16"/>
                <w:sz w:val="19"/>
                <w:szCs w:val="24"/>
                <w:lang w:val="en-US"/>
              </w:rPr>
            </w:pPr>
            <w:r w:rsidRPr="006421E2">
              <w:rPr>
                <w:kern w:val="16"/>
                <w:sz w:val="19"/>
                <w:szCs w:val="24"/>
                <w:lang w:val="en-US"/>
              </w:rPr>
              <w:t>4-20</w:t>
            </w:r>
          </w:p>
        </w:tc>
        <w:tc>
          <w:tcPr>
            <w:tcW w:w="1283" w:type="dxa"/>
          </w:tcPr>
          <w:p w14:paraId="5ABB1ECA" w14:textId="77777777" w:rsidR="006421E2" w:rsidRPr="006421E2" w:rsidRDefault="006421E2" w:rsidP="007D2F65">
            <w:pPr>
              <w:ind w:left="0" w:right="0"/>
              <w:rPr>
                <w:kern w:val="16"/>
                <w:sz w:val="19"/>
                <w:szCs w:val="24"/>
                <w:lang w:val="en-US"/>
              </w:rPr>
            </w:pPr>
            <w:r w:rsidRPr="006421E2">
              <w:rPr>
                <w:kern w:val="16"/>
                <w:sz w:val="19"/>
                <w:szCs w:val="24"/>
                <w:lang w:val="en-US"/>
              </w:rPr>
              <w:t>4-86</w:t>
            </w:r>
          </w:p>
        </w:tc>
      </w:tr>
      <w:tr w:rsidR="006421E2" w:rsidRPr="006421E2" w14:paraId="7878A01B" w14:textId="77777777" w:rsidTr="00D84CA8">
        <w:trPr>
          <w:trHeight w:val="20"/>
        </w:trPr>
        <w:tc>
          <w:tcPr>
            <w:tcW w:w="2263" w:type="dxa"/>
          </w:tcPr>
          <w:p w14:paraId="251F453C" w14:textId="1FFF2CB5" w:rsidR="006421E2" w:rsidRPr="007D2F65" w:rsidRDefault="006421E2" w:rsidP="007D2F65">
            <w:pPr>
              <w:ind w:left="0" w:right="0"/>
              <w:rPr>
                <w:b/>
                <w:kern w:val="16"/>
                <w:sz w:val="19"/>
                <w:szCs w:val="24"/>
                <w:lang w:val="en-US"/>
              </w:rPr>
            </w:pPr>
            <w:r w:rsidRPr="007D2F65">
              <w:rPr>
                <w:b/>
                <w:kern w:val="16"/>
                <w:sz w:val="19"/>
                <w:szCs w:val="24"/>
                <w:lang w:val="en-US"/>
              </w:rPr>
              <w:lastRenderedPageBreak/>
              <w:t>Age</w:t>
            </w:r>
            <w:r w:rsidR="003576A2" w:rsidRPr="007D2F65">
              <w:rPr>
                <w:b/>
                <w:kern w:val="16"/>
                <w:sz w:val="19"/>
                <w:szCs w:val="24"/>
                <w:lang w:val="en-US"/>
              </w:rPr>
              <w:t xml:space="preserve"> group</w:t>
            </w:r>
            <w:r w:rsidRPr="007D2F65">
              <w:rPr>
                <w:b/>
                <w:kern w:val="16"/>
                <w:sz w:val="19"/>
                <w:szCs w:val="24"/>
                <w:lang w:val="en-US"/>
              </w:rPr>
              <w:t xml:space="preserve"> (y</w:t>
            </w:r>
            <w:r w:rsidR="001D09E3" w:rsidRPr="007D2F65">
              <w:rPr>
                <w:b/>
                <w:kern w:val="16"/>
                <w:sz w:val="19"/>
                <w:szCs w:val="24"/>
                <w:lang w:val="en-US"/>
              </w:rPr>
              <w:t>ea</w:t>
            </w:r>
            <w:r w:rsidRPr="007D2F65">
              <w:rPr>
                <w:b/>
                <w:kern w:val="16"/>
                <w:sz w:val="19"/>
                <w:szCs w:val="24"/>
                <w:lang w:val="en-US"/>
              </w:rPr>
              <w:t>rs)</w:t>
            </w:r>
          </w:p>
        </w:tc>
        <w:tc>
          <w:tcPr>
            <w:tcW w:w="1276" w:type="dxa"/>
          </w:tcPr>
          <w:p w14:paraId="3BAFCABD" w14:textId="77777777" w:rsidR="006421E2" w:rsidRPr="006421E2" w:rsidRDefault="006421E2" w:rsidP="007D2F65">
            <w:pPr>
              <w:ind w:left="0" w:right="0"/>
              <w:rPr>
                <w:kern w:val="16"/>
                <w:sz w:val="19"/>
                <w:szCs w:val="24"/>
                <w:lang w:val="en-US"/>
              </w:rPr>
            </w:pPr>
          </w:p>
        </w:tc>
        <w:tc>
          <w:tcPr>
            <w:tcW w:w="1276" w:type="dxa"/>
          </w:tcPr>
          <w:p w14:paraId="62019A7C" w14:textId="77777777" w:rsidR="006421E2" w:rsidRPr="006421E2" w:rsidRDefault="006421E2" w:rsidP="007D2F65">
            <w:pPr>
              <w:ind w:left="0" w:right="0"/>
              <w:rPr>
                <w:kern w:val="16"/>
                <w:sz w:val="19"/>
                <w:szCs w:val="24"/>
                <w:lang w:val="en-US"/>
              </w:rPr>
            </w:pPr>
          </w:p>
        </w:tc>
        <w:tc>
          <w:tcPr>
            <w:tcW w:w="1276" w:type="dxa"/>
          </w:tcPr>
          <w:p w14:paraId="7290817A" w14:textId="77777777" w:rsidR="006421E2" w:rsidRPr="006421E2" w:rsidRDefault="006421E2" w:rsidP="007D2F65">
            <w:pPr>
              <w:ind w:left="0" w:right="0"/>
              <w:rPr>
                <w:kern w:val="16"/>
                <w:sz w:val="19"/>
                <w:szCs w:val="24"/>
                <w:lang w:val="en-US"/>
              </w:rPr>
            </w:pPr>
          </w:p>
        </w:tc>
        <w:tc>
          <w:tcPr>
            <w:tcW w:w="1134" w:type="dxa"/>
          </w:tcPr>
          <w:p w14:paraId="2CC41DE2" w14:textId="77777777" w:rsidR="006421E2" w:rsidRPr="006421E2" w:rsidRDefault="006421E2" w:rsidP="007D2F65">
            <w:pPr>
              <w:ind w:left="0" w:right="0"/>
              <w:rPr>
                <w:kern w:val="16"/>
                <w:sz w:val="19"/>
                <w:szCs w:val="24"/>
                <w:lang w:val="en-US"/>
              </w:rPr>
            </w:pPr>
          </w:p>
        </w:tc>
        <w:tc>
          <w:tcPr>
            <w:tcW w:w="1283" w:type="dxa"/>
          </w:tcPr>
          <w:p w14:paraId="7ABB249D" w14:textId="77777777" w:rsidR="006421E2" w:rsidRPr="006421E2" w:rsidRDefault="006421E2" w:rsidP="007D2F65">
            <w:pPr>
              <w:ind w:left="0" w:right="0"/>
              <w:rPr>
                <w:kern w:val="16"/>
                <w:sz w:val="19"/>
                <w:szCs w:val="24"/>
                <w:lang w:val="en-US"/>
              </w:rPr>
            </w:pPr>
          </w:p>
        </w:tc>
      </w:tr>
      <w:tr w:rsidR="006421E2" w:rsidRPr="006421E2" w14:paraId="353687B9" w14:textId="77777777" w:rsidTr="00D84CA8">
        <w:trPr>
          <w:trHeight w:val="20"/>
        </w:trPr>
        <w:tc>
          <w:tcPr>
            <w:tcW w:w="2263" w:type="dxa"/>
          </w:tcPr>
          <w:p w14:paraId="46A31C6D" w14:textId="7E8EBA99" w:rsidR="006421E2" w:rsidRPr="006421E2" w:rsidRDefault="006421E2" w:rsidP="001F1814">
            <w:pPr>
              <w:ind w:left="0" w:right="0"/>
              <w:rPr>
                <w:kern w:val="16"/>
                <w:sz w:val="19"/>
                <w:szCs w:val="24"/>
                <w:lang w:val="en-US"/>
              </w:rPr>
            </w:pPr>
            <w:r w:rsidRPr="006421E2">
              <w:rPr>
                <w:kern w:val="16"/>
                <w:sz w:val="19"/>
                <w:szCs w:val="24"/>
                <w:lang w:val="en-US"/>
              </w:rPr>
              <w:t>&lt;</w:t>
            </w:r>
            <w:r w:rsidR="001D09E3">
              <w:rPr>
                <w:kern w:val="16"/>
                <w:sz w:val="19"/>
                <w:szCs w:val="24"/>
                <w:lang w:val="en-US"/>
              </w:rPr>
              <w:t xml:space="preserve"> </w:t>
            </w:r>
            <w:r w:rsidRPr="006421E2">
              <w:rPr>
                <w:kern w:val="16"/>
                <w:sz w:val="19"/>
                <w:szCs w:val="24"/>
                <w:lang w:val="en-US"/>
              </w:rPr>
              <w:t>65 (%)</w:t>
            </w:r>
          </w:p>
        </w:tc>
        <w:tc>
          <w:tcPr>
            <w:tcW w:w="1276" w:type="dxa"/>
          </w:tcPr>
          <w:p w14:paraId="7A865BBC" w14:textId="77777777" w:rsidR="006421E2" w:rsidRPr="006421E2" w:rsidRDefault="006421E2" w:rsidP="007D2F65">
            <w:pPr>
              <w:ind w:left="0" w:right="0"/>
              <w:rPr>
                <w:kern w:val="16"/>
                <w:sz w:val="19"/>
                <w:szCs w:val="24"/>
                <w:lang w:val="en-US"/>
              </w:rPr>
            </w:pPr>
            <w:r w:rsidRPr="006421E2">
              <w:rPr>
                <w:kern w:val="16"/>
                <w:sz w:val="19"/>
                <w:szCs w:val="24"/>
                <w:lang w:val="en-US"/>
              </w:rPr>
              <w:t>63</w:t>
            </w:r>
          </w:p>
        </w:tc>
        <w:tc>
          <w:tcPr>
            <w:tcW w:w="1276" w:type="dxa"/>
          </w:tcPr>
          <w:p w14:paraId="0F7A28D8" w14:textId="77777777" w:rsidR="006421E2" w:rsidRPr="006421E2" w:rsidRDefault="006421E2" w:rsidP="007D2F65">
            <w:pPr>
              <w:ind w:left="0" w:right="0"/>
              <w:rPr>
                <w:kern w:val="16"/>
                <w:sz w:val="19"/>
                <w:szCs w:val="24"/>
                <w:lang w:val="en-US"/>
              </w:rPr>
            </w:pPr>
            <w:r w:rsidRPr="006421E2">
              <w:rPr>
                <w:kern w:val="16"/>
                <w:sz w:val="19"/>
                <w:szCs w:val="24"/>
                <w:lang w:val="en-US"/>
              </w:rPr>
              <w:t>76</w:t>
            </w:r>
          </w:p>
        </w:tc>
        <w:tc>
          <w:tcPr>
            <w:tcW w:w="1276" w:type="dxa"/>
          </w:tcPr>
          <w:p w14:paraId="5C7DAF86" w14:textId="77777777" w:rsidR="006421E2" w:rsidRPr="006421E2" w:rsidRDefault="006421E2" w:rsidP="007D2F65">
            <w:pPr>
              <w:ind w:left="0" w:right="0"/>
              <w:rPr>
                <w:kern w:val="16"/>
                <w:sz w:val="19"/>
                <w:szCs w:val="24"/>
                <w:lang w:val="en-US"/>
              </w:rPr>
            </w:pPr>
            <w:r w:rsidRPr="006421E2">
              <w:rPr>
                <w:kern w:val="16"/>
                <w:sz w:val="19"/>
                <w:szCs w:val="24"/>
                <w:lang w:val="en-US"/>
              </w:rPr>
              <w:t>76</w:t>
            </w:r>
          </w:p>
        </w:tc>
        <w:tc>
          <w:tcPr>
            <w:tcW w:w="1134" w:type="dxa"/>
          </w:tcPr>
          <w:p w14:paraId="5CC38557" w14:textId="77777777" w:rsidR="006421E2" w:rsidRPr="006421E2" w:rsidRDefault="006421E2" w:rsidP="007D2F65">
            <w:pPr>
              <w:ind w:left="0" w:right="0"/>
              <w:rPr>
                <w:kern w:val="16"/>
                <w:sz w:val="19"/>
                <w:szCs w:val="24"/>
                <w:lang w:val="en-US"/>
              </w:rPr>
            </w:pPr>
            <w:r w:rsidRPr="006421E2">
              <w:rPr>
                <w:kern w:val="16"/>
                <w:sz w:val="19"/>
                <w:szCs w:val="24"/>
                <w:lang w:val="en-US"/>
              </w:rPr>
              <w:t>100</w:t>
            </w:r>
          </w:p>
        </w:tc>
        <w:tc>
          <w:tcPr>
            <w:tcW w:w="1283" w:type="dxa"/>
          </w:tcPr>
          <w:p w14:paraId="53DF3664" w14:textId="77777777" w:rsidR="006421E2" w:rsidRPr="006421E2" w:rsidRDefault="006421E2" w:rsidP="007D2F65">
            <w:pPr>
              <w:ind w:left="0" w:right="0"/>
              <w:rPr>
                <w:kern w:val="16"/>
                <w:sz w:val="19"/>
                <w:szCs w:val="24"/>
                <w:lang w:val="en-US"/>
              </w:rPr>
            </w:pPr>
            <w:r w:rsidRPr="006421E2">
              <w:rPr>
                <w:kern w:val="16"/>
                <w:sz w:val="19"/>
                <w:szCs w:val="24"/>
                <w:lang w:val="en-US"/>
              </w:rPr>
              <w:t>75</w:t>
            </w:r>
          </w:p>
        </w:tc>
      </w:tr>
      <w:tr w:rsidR="006421E2" w:rsidRPr="006421E2" w14:paraId="04BC46DE" w14:textId="77777777" w:rsidTr="00D84CA8">
        <w:trPr>
          <w:trHeight w:val="20"/>
        </w:trPr>
        <w:tc>
          <w:tcPr>
            <w:tcW w:w="2263" w:type="dxa"/>
          </w:tcPr>
          <w:p w14:paraId="0801A58B" w14:textId="4466C0EB" w:rsidR="006421E2" w:rsidRPr="007D2F65" w:rsidRDefault="00FC0D4E" w:rsidP="001F1814">
            <w:pPr>
              <w:pStyle w:val="ListParagraph"/>
              <w:ind w:left="0"/>
              <w:rPr>
                <w:kern w:val="16"/>
                <w:sz w:val="19"/>
                <w:szCs w:val="24"/>
                <w:lang w:val="en-US"/>
              </w:rPr>
            </w:pPr>
            <w:r>
              <w:rPr>
                <w:kern w:val="16"/>
                <w:sz w:val="19"/>
                <w:szCs w:val="24"/>
                <w:lang w:val="en-US" w:eastAsia="en-AU"/>
              </w:rPr>
              <w:t>&gt;</w:t>
            </w:r>
            <w:r w:rsidR="006421E2" w:rsidRPr="007D2F65">
              <w:rPr>
                <w:kern w:val="16"/>
                <w:sz w:val="19"/>
                <w:szCs w:val="24"/>
                <w:lang w:val="en-US" w:eastAsia="en-AU"/>
              </w:rPr>
              <w:t>65 (%)</w:t>
            </w:r>
          </w:p>
        </w:tc>
        <w:tc>
          <w:tcPr>
            <w:tcW w:w="1276" w:type="dxa"/>
          </w:tcPr>
          <w:p w14:paraId="42387719" w14:textId="77777777" w:rsidR="006421E2" w:rsidRPr="006421E2" w:rsidRDefault="006421E2" w:rsidP="007D2F65">
            <w:pPr>
              <w:ind w:left="0" w:right="0"/>
              <w:rPr>
                <w:kern w:val="16"/>
                <w:sz w:val="19"/>
                <w:szCs w:val="24"/>
                <w:lang w:val="en-US"/>
              </w:rPr>
            </w:pPr>
            <w:r w:rsidRPr="006421E2">
              <w:rPr>
                <w:kern w:val="16"/>
                <w:sz w:val="19"/>
                <w:szCs w:val="24"/>
                <w:lang w:val="en-US"/>
              </w:rPr>
              <w:t>37</w:t>
            </w:r>
          </w:p>
        </w:tc>
        <w:tc>
          <w:tcPr>
            <w:tcW w:w="1276" w:type="dxa"/>
          </w:tcPr>
          <w:p w14:paraId="0B3DDD5E" w14:textId="77777777" w:rsidR="006421E2" w:rsidRPr="006421E2" w:rsidRDefault="006421E2" w:rsidP="007D2F65">
            <w:pPr>
              <w:ind w:left="0" w:right="0"/>
              <w:rPr>
                <w:kern w:val="16"/>
                <w:sz w:val="19"/>
                <w:szCs w:val="24"/>
                <w:lang w:val="en-US"/>
              </w:rPr>
            </w:pPr>
            <w:r w:rsidRPr="006421E2">
              <w:rPr>
                <w:kern w:val="16"/>
                <w:sz w:val="19"/>
                <w:szCs w:val="24"/>
                <w:lang w:val="en-US"/>
              </w:rPr>
              <w:t>24</w:t>
            </w:r>
          </w:p>
        </w:tc>
        <w:tc>
          <w:tcPr>
            <w:tcW w:w="1276" w:type="dxa"/>
          </w:tcPr>
          <w:p w14:paraId="5F62061C" w14:textId="77777777" w:rsidR="006421E2" w:rsidRPr="006421E2" w:rsidRDefault="006421E2" w:rsidP="007D2F65">
            <w:pPr>
              <w:ind w:left="0" w:right="0"/>
              <w:rPr>
                <w:kern w:val="16"/>
                <w:sz w:val="19"/>
                <w:szCs w:val="24"/>
                <w:lang w:val="en-US"/>
              </w:rPr>
            </w:pPr>
            <w:r w:rsidRPr="006421E2">
              <w:rPr>
                <w:kern w:val="16"/>
                <w:sz w:val="19"/>
                <w:szCs w:val="24"/>
                <w:lang w:val="en-US"/>
              </w:rPr>
              <w:t>24</w:t>
            </w:r>
          </w:p>
        </w:tc>
        <w:tc>
          <w:tcPr>
            <w:tcW w:w="1134" w:type="dxa"/>
          </w:tcPr>
          <w:p w14:paraId="4E914B65"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370638C2" w14:textId="77777777" w:rsidR="006421E2" w:rsidRPr="006421E2" w:rsidRDefault="006421E2" w:rsidP="007D2F65">
            <w:pPr>
              <w:ind w:left="0" w:right="0"/>
              <w:rPr>
                <w:kern w:val="16"/>
                <w:sz w:val="19"/>
                <w:szCs w:val="24"/>
                <w:lang w:val="en-US"/>
              </w:rPr>
            </w:pPr>
            <w:r w:rsidRPr="006421E2">
              <w:rPr>
                <w:kern w:val="16"/>
                <w:sz w:val="19"/>
                <w:szCs w:val="24"/>
                <w:lang w:val="en-US"/>
              </w:rPr>
              <w:t>25</w:t>
            </w:r>
          </w:p>
        </w:tc>
      </w:tr>
      <w:tr w:rsidR="006421E2" w:rsidRPr="006421E2" w14:paraId="700BBE6F" w14:textId="77777777" w:rsidTr="00D84CA8">
        <w:trPr>
          <w:trHeight w:val="20"/>
        </w:trPr>
        <w:tc>
          <w:tcPr>
            <w:tcW w:w="2263" w:type="dxa"/>
          </w:tcPr>
          <w:p w14:paraId="45F764B3" w14:textId="77777777" w:rsidR="006421E2" w:rsidRPr="007D2F65" w:rsidRDefault="006421E2" w:rsidP="001F1814">
            <w:pPr>
              <w:ind w:left="0" w:right="0"/>
              <w:rPr>
                <w:b/>
                <w:kern w:val="16"/>
                <w:sz w:val="19"/>
                <w:szCs w:val="24"/>
                <w:lang w:val="en-US"/>
              </w:rPr>
            </w:pPr>
            <w:r w:rsidRPr="007D2F65">
              <w:rPr>
                <w:b/>
                <w:kern w:val="16"/>
                <w:sz w:val="19"/>
                <w:szCs w:val="24"/>
                <w:lang w:val="en-US"/>
              </w:rPr>
              <w:t>Ethnicity</w:t>
            </w:r>
          </w:p>
        </w:tc>
        <w:tc>
          <w:tcPr>
            <w:tcW w:w="1276" w:type="dxa"/>
          </w:tcPr>
          <w:p w14:paraId="3EDF0DC1" w14:textId="77777777" w:rsidR="006421E2" w:rsidRPr="006421E2" w:rsidRDefault="006421E2" w:rsidP="007D2F65">
            <w:pPr>
              <w:ind w:left="0" w:right="0"/>
              <w:rPr>
                <w:kern w:val="16"/>
                <w:sz w:val="19"/>
                <w:szCs w:val="24"/>
                <w:lang w:val="en-US"/>
              </w:rPr>
            </w:pPr>
          </w:p>
        </w:tc>
        <w:tc>
          <w:tcPr>
            <w:tcW w:w="1276" w:type="dxa"/>
          </w:tcPr>
          <w:p w14:paraId="0E1F8014" w14:textId="77777777" w:rsidR="006421E2" w:rsidRPr="006421E2" w:rsidRDefault="006421E2" w:rsidP="007D2F65">
            <w:pPr>
              <w:ind w:left="0" w:right="0"/>
              <w:rPr>
                <w:kern w:val="16"/>
                <w:sz w:val="19"/>
                <w:szCs w:val="24"/>
                <w:lang w:val="en-US"/>
              </w:rPr>
            </w:pPr>
          </w:p>
        </w:tc>
        <w:tc>
          <w:tcPr>
            <w:tcW w:w="1276" w:type="dxa"/>
          </w:tcPr>
          <w:p w14:paraId="6981465F" w14:textId="77777777" w:rsidR="006421E2" w:rsidRPr="006421E2" w:rsidRDefault="006421E2" w:rsidP="007D2F65">
            <w:pPr>
              <w:ind w:left="0" w:right="0"/>
              <w:rPr>
                <w:kern w:val="16"/>
                <w:sz w:val="19"/>
                <w:szCs w:val="24"/>
                <w:lang w:val="en-US"/>
              </w:rPr>
            </w:pPr>
          </w:p>
        </w:tc>
        <w:tc>
          <w:tcPr>
            <w:tcW w:w="1134" w:type="dxa"/>
          </w:tcPr>
          <w:p w14:paraId="1F7592D0" w14:textId="77777777" w:rsidR="006421E2" w:rsidRPr="006421E2" w:rsidRDefault="006421E2" w:rsidP="007D2F65">
            <w:pPr>
              <w:ind w:left="0" w:right="0"/>
              <w:rPr>
                <w:kern w:val="16"/>
                <w:sz w:val="19"/>
                <w:szCs w:val="24"/>
                <w:lang w:val="en-US"/>
              </w:rPr>
            </w:pPr>
          </w:p>
        </w:tc>
        <w:tc>
          <w:tcPr>
            <w:tcW w:w="1283" w:type="dxa"/>
          </w:tcPr>
          <w:p w14:paraId="7C8E0967" w14:textId="77777777" w:rsidR="006421E2" w:rsidRPr="006421E2" w:rsidRDefault="006421E2" w:rsidP="007D2F65">
            <w:pPr>
              <w:ind w:left="0" w:right="0"/>
              <w:rPr>
                <w:kern w:val="16"/>
                <w:sz w:val="19"/>
                <w:szCs w:val="24"/>
                <w:lang w:val="en-US"/>
              </w:rPr>
            </w:pPr>
          </w:p>
        </w:tc>
      </w:tr>
      <w:tr w:rsidR="006421E2" w:rsidRPr="006421E2" w14:paraId="15B84FAB" w14:textId="77777777" w:rsidTr="00D84CA8">
        <w:trPr>
          <w:trHeight w:val="20"/>
        </w:trPr>
        <w:tc>
          <w:tcPr>
            <w:tcW w:w="2263" w:type="dxa"/>
          </w:tcPr>
          <w:p w14:paraId="0D9598A5" w14:textId="77777777" w:rsidR="006421E2" w:rsidRPr="006421E2" w:rsidRDefault="006421E2" w:rsidP="001F1814">
            <w:pPr>
              <w:ind w:left="0" w:right="0"/>
              <w:rPr>
                <w:kern w:val="16"/>
                <w:sz w:val="19"/>
                <w:szCs w:val="24"/>
                <w:lang w:val="en-US"/>
              </w:rPr>
            </w:pPr>
            <w:r w:rsidRPr="006421E2">
              <w:rPr>
                <w:kern w:val="16"/>
                <w:sz w:val="19"/>
                <w:szCs w:val="24"/>
                <w:lang w:val="en-US"/>
              </w:rPr>
              <w:t>Hispanic or Latino (%)</w:t>
            </w:r>
          </w:p>
        </w:tc>
        <w:tc>
          <w:tcPr>
            <w:tcW w:w="1276" w:type="dxa"/>
          </w:tcPr>
          <w:p w14:paraId="3F0DB035" w14:textId="77777777" w:rsidR="006421E2" w:rsidRPr="006421E2" w:rsidRDefault="006421E2" w:rsidP="007D2F65">
            <w:pPr>
              <w:ind w:left="0" w:right="0"/>
              <w:rPr>
                <w:kern w:val="16"/>
                <w:sz w:val="19"/>
                <w:szCs w:val="24"/>
                <w:lang w:val="en-US"/>
              </w:rPr>
            </w:pPr>
            <w:r w:rsidRPr="006421E2">
              <w:rPr>
                <w:kern w:val="16"/>
                <w:sz w:val="19"/>
                <w:szCs w:val="24"/>
                <w:lang w:val="en-US"/>
              </w:rPr>
              <w:t>6</w:t>
            </w:r>
          </w:p>
        </w:tc>
        <w:tc>
          <w:tcPr>
            <w:tcW w:w="1276" w:type="dxa"/>
          </w:tcPr>
          <w:p w14:paraId="0B2DB8EC" w14:textId="77777777" w:rsidR="006421E2" w:rsidRPr="006421E2" w:rsidRDefault="006421E2" w:rsidP="007D2F65">
            <w:pPr>
              <w:ind w:left="0" w:right="0"/>
              <w:rPr>
                <w:kern w:val="16"/>
                <w:sz w:val="19"/>
                <w:szCs w:val="24"/>
                <w:lang w:val="en-US"/>
              </w:rPr>
            </w:pPr>
            <w:r w:rsidRPr="006421E2">
              <w:rPr>
                <w:kern w:val="16"/>
                <w:sz w:val="19"/>
                <w:szCs w:val="24"/>
                <w:lang w:val="en-US"/>
              </w:rPr>
              <w:t>2</w:t>
            </w:r>
          </w:p>
        </w:tc>
        <w:tc>
          <w:tcPr>
            <w:tcW w:w="1276" w:type="dxa"/>
          </w:tcPr>
          <w:p w14:paraId="741BFD23" w14:textId="77777777" w:rsidR="006421E2" w:rsidRPr="006421E2" w:rsidRDefault="006421E2" w:rsidP="007D2F65">
            <w:pPr>
              <w:ind w:left="0" w:right="0"/>
              <w:rPr>
                <w:kern w:val="16"/>
                <w:sz w:val="19"/>
                <w:szCs w:val="24"/>
                <w:lang w:val="en-US"/>
              </w:rPr>
            </w:pPr>
            <w:r w:rsidRPr="006421E2">
              <w:rPr>
                <w:kern w:val="16"/>
                <w:sz w:val="19"/>
                <w:szCs w:val="24"/>
                <w:lang w:val="en-US"/>
              </w:rPr>
              <w:t>3</w:t>
            </w:r>
          </w:p>
        </w:tc>
        <w:tc>
          <w:tcPr>
            <w:tcW w:w="1134" w:type="dxa"/>
          </w:tcPr>
          <w:p w14:paraId="70CB2BE3" w14:textId="77777777" w:rsidR="006421E2" w:rsidRPr="006421E2" w:rsidRDefault="006421E2" w:rsidP="007D2F65">
            <w:pPr>
              <w:ind w:left="0" w:right="0"/>
              <w:rPr>
                <w:kern w:val="16"/>
                <w:sz w:val="19"/>
                <w:szCs w:val="24"/>
                <w:lang w:val="en-US"/>
              </w:rPr>
            </w:pPr>
            <w:r w:rsidRPr="006421E2">
              <w:rPr>
                <w:kern w:val="16"/>
                <w:sz w:val="19"/>
                <w:szCs w:val="24"/>
                <w:lang w:val="en-US"/>
              </w:rPr>
              <w:t>6</w:t>
            </w:r>
          </w:p>
        </w:tc>
        <w:tc>
          <w:tcPr>
            <w:tcW w:w="1283" w:type="dxa"/>
          </w:tcPr>
          <w:p w14:paraId="3D5F8D30" w14:textId="77777777" w:rsidR="006421E2" w:rsidRPr="006421E2" w:rsidRDefault="006421E2" w:rsidP="007D2F65">
            <w:pPr>
              <w:ind w:left="0" w:right="0"/>
              <w:rPr>
                <w:kern w:val="16"/>
                <w:sz w:val="19"/>
                <w:szCs w:val="24"/>
                <w:lang w:val="en-US"/>
              </w:rPr>
            </w:pPr>
            <w:r w:rsidRPr="006421E2">
              <w:rPr>
                <w:kern w:val="16"/>
                <w:sz w:val="19"/>
                <w:szCs w:val="24"/>
                <w:lang w:val="en-US"/>
              </w:rPr>
              <w:t>3</w:t>
            </w:r>
          </w:p>
        </w:tc>
      </w:tr>
      <w:tr w:rsidR="006421E2" w:rsidRPr="006421E2" w14:paraId="12EE5C8B" w14:textId="77777777" w:rsidTr="00D84CA8">
        <w:trPr>
          <w:trHeight w:val="20"/>
        </w:trPr>
        <w:tc>
          <w:tcPr>
            <w:tcW w:w="2263" w:type="dxa"/>
          </w:tcPr>
          <w:p w14:paraId="5AD515CE" w14:textId="77777777" w:rsidR="006421E2" w:rsidRPr="006421E2" w:rsidRDefault="006421E2" w:rsidP="001F1814">
            <w:pPr>
              <w:ind w:left="0" w:right="0"/>
              <w:rPr>
                <w:kern w:val="16"/>
                <w:sz w:val="19"/>
                <w:szCs w:val="24"/>
                <w:lang w:val="en-US"/>
              </w:rPr>
            </w:pPr>
            <w:r w:rsidRPr="006421E2">
              <w:rPr>
                <w:kern w:val="16"/>
                <w:sz w:val="19"/>
                <w:szCs w:val="24"/>
                <w:lang w:val="en-US"/>
              </w:rPr>
              <w:t>Not Hispanic or Latino</w:t>
            </w:r>
          </w:p>
        </w:tc>
        <w:tc>
          <w:tcPr>
            <w:tcW w:w="1276" w:type="dxa"/>
          </w:tcPr>
          <w:p w14:paraId="3BB27300" w14:textId="77777777" w:rsidR="006421E2" w:rsidRPr="006421E2" w:rsidRDefault="006421E2" w:rsidP="007D2F65">
            <w:pPr>
              <w:ind w:left="0" w:right="0"/>
              <w:rPr>
                <w:kern w:val="16"/>
                <w:sz w:val="19"/>
                <w:szCs w:val="24"/>
                <w:lang w:val="en-US"/>
              </w:rPr>
            </w:pPr>
            <w:r w:rsidRPr="006421E2">
              <w:rPr>
                <w:kern w:val="16"/>
                <w:sz w:val="19"/>
                <w:szCs w:val="24"/>
                <w:lang w:val="en-US"/>
              </w:rPr>
              <w:t>86</w:t>
            </w:r>
          </w:p>
        </w:tc>
        <w:tc>
          <w:tcPr>
            <w:tcW w:w="1276" w:type="dxa"/>
          </w:tcPr>
          <w:p w14:paraId="47F2A7CF" w14:textId="77777777" w:rsidR="006421E2" w:rsidRPr="006421E2" w:rsidRDefault="006421E2" w:rsidP="007D2F65">
            <w:pPr>
              <w:ind w:left="0" w:right="0"/>
              <w:rPr>
                <w:kern w:val="16"/>
                <w:sz w:val="19"/>
                <w:szCs w:val="24"/>
                <w:lang w:val="en-US"/>
              </w:rPr>
            </w:pPr>
            <w:r w:rsidRPr="006421E2">
              <w:rPr>
                <w:kern w:val="16"/>
                <w:sz w:val="19"/>
                <w:szCs w:val="24"/>
                <w:lang w:val="en-US"/>
              </w:rPr>
              <w:t>92</w:t>
            </w:r>
          </w:p>
        </w:tc>
        <w:tc>
          <w:tcPr>
            <w:tcW w:w="1276" w:type="dxa"/>
          </w:tcPr>
          <w:p w14:paraId="431C7DC0" w14:textId="77777777" w:rsidR="006421E2" w:rsidRPr="006421E2" w:rsidRDefault="006421E2" w:rsidP="007D2F65">
            <w:pPr>
              <w:ind w:left="0" w:right="0"/>
              <w:rPr>
                <w:kern w:val="16"/>
                <w:sz w:val="19"/>
                <w:szCs w:val="24"/>
                <w:lang w:val="en-US"/>
              </w:rPr>
            </w:pPr>
            <w:r w:rsidRPr="006421E2">
              <w:rPr>
                <w:kern w:val="16"/>
                <w:sz w:val="19"/>
                <w:szCs w:val="24"/>
                <w:lang w:val="en-US"/>
              </w:rPr>
              <w:t>88</w:t>
            </w:r>
          </w:p>
        </w:tc>
        <w:tc>
          <w:tcPr>
            <w:tcW w:w="1134" w:type="dxa"/>
          </w:tcPr>
          <w:p w14:paraId="37110884" w14:textId="77777777" w:rsidR="006421E2" w:rsidRPr="006421E2" w:rsidRDefault="006421E2" w:rsidP="007D2F65">
            <w:pPr>
              <w:ind w:left="0" w:right="0"/>
              <w:rPr>
                <w:kern w:val="16"/>
                <w:sz w:val="19"/>
                <w:szCs w:val="24"/>
                <w:lang w:val="en-US"/>
              </w:rPr>
            </w:pPr>
            <w:r w:rsidRPr="006421E2">
              <w:rPr>
                <w:kern w:val="16"/>
                <w:sz w:val="19"/>
                <w:szCs w:val="24"/>
                <w:lang w:val="en-US"/>
              </w:rPr>
              <w:t>81</w:t>
            </w:r>
          </w:p>
        </w:tc>
        <w:tc>
          <w:tcPr>
            <w:tcW w:w="1283" w:type="dxa"/>
          </w:tcPr>
          <w:p w14:paraId="23807AA9" w14:textId="77777777" w:rsidR="006421E2" w:rsidRPr="006421E2" w:rsidRDefault="006421E2" w:rsidP="007D2F65">
            <w:pPr>
              <w:ind w:left="0" w:right="0"/>
              <w:rPr>
                <w:kern w:val="16"/>
                <w:sz w:val="19"/>
                <w:szCs w:val="24"/>
                <w:lang w:val="en-US"/>
              </w:rPr>
            </w:pPr>
            <w:r w:rsidRPr="006421E2">
              <w:rPr>
                <w:kern w:val="16"/>
                <w:sz w:val="19"/>
                <w:szCs w:val="24"/>
                <w:lang w:val="en-US"/>
              </w:rPr>
              <w:t>89</w:t>
            </w:r>
          </w:p>
        </w:tc>
      </w:tr>
      <w:tr w:rsidR="006421E2" w:rsidRPr="006421E2" w14:paraId="7CB6B221" w14:textId="77777777" w:rsidTr="00D84CA8">
        <w:trPr>
          <w:trHeight w:val="20"/>
        </w:trPr>
        <w:tc>
          <w:tcPr>
            <w:tcW w:w="2263" w:type="dxa"/>
          </w:tcPr>
          <w:p w14:paraId="5D610E58" w14:textId="77777777" w:rsidR="006421E2" w:rsidRPr="006421E2" w:rsidRDefault="006421E2" w:rsidP="001F1814">
            <w:pPr>
              <w:ind w:left="0" w:right="0"/>
              <w:rPr>
                <w:kern w:val="16"/>
                <w:sz w:val="19"/>
                <w:szCs w:val="24"/>
                <w:lang w:val="en-US"/>
              </w:rPr>
            </w:pPr>
            <w:r w:rsidRPr="006421E2">
              <w:rPr>
                <w:kern w:val="16"/>
                <w:sz w:val="19"/>
                <w:szCs w:val="24"/>
                <w:lang w:val="en-US"/>
              </w:rPr>
              <w:t>Not stated (%)</w:t>
            </w:r>
          </w:p>
        </w:tc>
        <w:tc>
          <w:tcPr>
            <w:tcW w:w="1276" w:type="dxa"/>
          </w:tcPr>
          <w:p w14:paraId="6F703B9B" w14:textId="77777777" w:rsidR="006421E2" w:rsidRPr="006421E2" w:rsidRDefault="006421E2" w:rsidP="007D2F65">
            <w:pPr>
              <w:ind w:left="0" w:right="0"/>
              <w:rPr>
                <w:kern w:val="16"/>
                <w:sz w:val="19"/>
                <w:szCs w:val="24"/>
                <w:lang w:val="en-US"/>
              </w:rPr>
            </w:pPr>
            <w:r w:rsidRPr="006421E2">
              <w:rPr>
                <w:kern w:val="16"/>
                <w:sz w:val="19"/>
                <w:szCs w:val="24"/>
                <w:lang w:val="en-US"/>
              </w:rPr>
              <w:t>6</w:t>
            </w:r>
          </w:p>
        </w:tc>
        <w:tc>
          <w:tcPr>
            <w:tcW w:w="1276" w:type="dxa"/>
          </w:tcPr>
          <w:p w14:paraId="3FAB89E4" w14:textId="77777777" w:rsidR="006421E2" w:rsidRPr="006421E2" w:rsidRDefault="006421E2" w:rsidP="007D2F65">
            <w:pPr>
              <w:ind w:left="0" w:right="0"/>
              <w:rPr>
                <w:kern w:val="16"/>
                <w:sz w:val="19"/>
                <w:szCs w:val="24"/>
                <w:lang w:val="en-US"/>
              </w:rPr>
            </w:pPr>
            <w:r w:rsidRPr="006421E2">
              <w:rPr>
                <w:kern w:val="16"/>
                <w:sz w:val="19"/>
                <w:szCs w:val="24"/>
                <w:lang w:val="en-US"/>
              </w:rPr>
              <w:t>2.5</w:t>
            </w:r>
          </w:p>
        </w:tc>
        <w:tc>
          <w:tcPr>
            <w:tcW w:w="1276" w:type="dxa"/>
          </w:tcPr>
          <w:p w14:paraId="32D5CEEA" w14:textId="77777777" w:rsidR="006421E2" w:rsidRPr="006421E2" w:rsidRDefault="006421E2" w:rsidP="007D2F65">
            <w:pPr>
              <w:ind w:left="0" w:right="0"/>
              <w:rPr>
                <w:kern w:val="16"/>
                <w:sz w:val="19"/>
                <w:szCs w:val="24"/>
                <w:lang w:val="en-US"/>
              </w:rPr>
            </w:pPr>
            <w:r w:rsidRPr="006421E2">
              <w:rPr>
                <w:kern w:val="16"/>
                <w:sz w:val="19"/>
                <w:szCs w:val="24"/>
                <w:lang w:val="en-US"/>
              </w:rPr>
              <w:t>1</w:t>
            </w:r>
          </w:p>
        </w:tc>
        <w:tc>
          <w:tcPr>
            <w:tcW w:w="1134" w:type="dxa"/>
          </w:tcPr>
          <w:p w14:paraId="4F6FADBD" w14:textId="77777777" w:rsidR="006421E2" w:rsidRPr="006421E2" w:rsidRDefault="006421E2" w:rsidP="007D2F65">
            <w:pPr>
              <w:ind w:left="0" w:right="0"/>
              <w:rPr>
                <w:kern w:val="16"/>
                <w:sz w:val="19"/>
                <w:szCs w:val="24"/>
                <w:lang w:val="en-US"/>
              </w:rPr>
            </w:pPr>
            <w:r w:rsidRPr="006421E2">
              <w:rPr>
                <w:kern w:val="16"/>
                <w:sz w:val="19"/>
                <w:szCs w:val="24"/>
                <w:lang w:val="en-US"/>
              </w:rPr>
              <w:t>6</w:t>
            </w:r>
          </w:p>
        </w:tc>
        <w:tc>
          <w:tcPr>
            <w:tcW w:w="1283" w:type="dxa"/>
          </w:tcPr>
          <w:p w14:paraId="0A69177C" w14:textId="77777777" w:rsidR="006421E2" w:rsidRPr="006421E2" w:rsidRDefault="006421E2" w:rsidP="007D2F65">
            <w:pPr>
              <w:ind w:left="0" w:right="0"/>
              <w:rPr>
                <w:kern w:val="16"/>
                <w:sz w:val="19"/>
                <w:szCs w:val="24"/>
                <w:lang w:val="en-US"/>
              </w:rPr>
            </w:pPr>
            <w:r w:rsidRPr="006421E2">
              <w:rPr>
                <w:kern w:val="16"/>
                <w:sz w:val="19"/>
                <w:szCs w:val="24"/>
                <w:lang w:val="en-US"/>
              </w:rPr>
              <w:t>3</w:t>
            </w:r>
          </w:p>
        </w:tc>
      </w:tr>
      <w:tr w:rsidR="006421E2" w:rsidRPr="006421E2" w14:paraId="1FB8EC50" w14:textId="77777777" w:rsidTr="00D84CA8">
        <w:trPr>
          <w:trHeight w:val="20"/>
        </w:trPr>
        <w:tc>
          <w:tcPr>
            <w:tcW w:w="2263" w:type="dxa"/>
          </w:tcPr>
          <w:p w14:paraId="07DCA423" w14:textId="77777777" w:rsidR="006421E2" w:rsidRPr="006421E2" w:rsidRDefault="006421E2" w:rsidP="001F1814">
            <w:pPr>
              <w:ind w:left="0" w:right="0"/>
              <w:rPr>
                <w:kern w:val="16"/>
                <w:sz w:val="19"/>
                <w:szCs w:val="24"/>
                <w:lang w:val="en-US"/>
              </w:rPr>
            </w:pPr>
            <w:r w:rsidRPr="006421E2">
              <w:rPr>
                <w:kern w:val="16"/>
                <w:sz w:val="19"/>
                <w:szCs w:val="24"/>
                <w:lang w:val="en-US"/>
              </w:rPr>
              <w:t>Unknown (%)</w:t>
            </w:r>
          </w:p>
        </w:tc>
        <w:tc>
          <w:tcPr>
            <w:tcW w:w="1276" w:type="dxa"/>
          </w:tcPr>
          <w:p w14:paraId="369187D7" w14:textId="77777777" w:rsidR="006421E2" w:rsidRPr="006421E2" w:rsidRDefault="006421E2" w:rsidP="007D2F65">
            <w:pPr>
              <w:ind w:left="0" w:right="0"/>
              <w:rPr>
                <w:kern w:val="16"/>
                <w:sz w:val="19"/>
                <w:szCs w:val="24"/>
                <w:lang w:val="en-US"/>
              </w:rPr>
            </w:pPr>
            <w:r w:rsidRPr="006421E2">
              <w:rPr>
                <w:kern w:val="16"/>
                <w:sz w:val="19"/>
                <w:szCs w:val="24"/>
                <w:lang w:val="en-US"/>
              </w:rPr>
              <w:t>1.5</w:t>
            </w:r>
          </w:p>
        </w:tc>
        <w:tc>
          <w:tcPr>
            <w:tcW w:w="1276" w:type="dxa"/>
          </w:tcPr>
          <w:p w14:paraId="081514A2" w14:textId="77777777" w:rsidR="006421E2" w:rsidRPr="006421E2" w:rsidRDefault="006421E2" w:rsidP="007D2F65">
            <w:pPr>
              <w:ind w:left="0" w:right="0"/>
              <w:rPr>
                <w:kern w:val="16"/>
                <w:sz w:val="19"/>
                <w:szCs w:val="24"/>
                <w:lang w:val="en-US"/>
              </w:rPr>
            </w:pPr>
            <w:r w:rsidRPr="006421E2">
              <w:rPr>
                <w:kern w:val="16"/>
                <w:sz w:val="19"/>
                <w:szCs w:val="24"/>
                <w:lang w:val="en-US"/>
              </w:rPr>
              <w:t>4</w:t>
            </w:r>
          </w:p>
        </w:tc>
        <w:tc>
          <w:tcPr>
            <w:tcW w:w="1276" w:type="dxa"/>
          </w:tcPr>
          <w:p w14:paraId="2BC52FF1" w14:textId="77777777" w:rsidR="006421E2" w:rsidRPr="006421E2" w:rsidRDefault="006421E2" w:rsidP="007D2F65">
            <w:pPr>
              <w:ind w:left="0" w:right="0"/>
              <w:rPr>
                <w:kern w:val="16"/>
                <w:sz w:val="19"/>
                <w:szCs w:val="24"/>
                <w:lang w:val="en-US"/>
              </w:rPr>
            </w:pPr>
            <w:r w:rsidRPr="006421E2">
              <w:rPr>
                <w:kern w:val="16"/>
                <w:sz w:val="19"/>
                <w:szCs w:val="24"/>
                <w:lang w:val="en-US"/>
              </w:rPr>
              <w:t>8</w:t>
            </w:r>
          </w:p>
        </w:tc>
        <w:tc>
          <w:tcPr>
            <w:tcW w:w="1134" w:type="dxa"/>
          </w:tcPr>
          <w:p w14:paraId="46CD0705" w14:textId="77777777" w:rsidR="006421E2" w:rsidRPr="006421E2" w:rsidRDefault="006421E2" w:rsidP="007D2F65">
            <w:pPr>
              <w:ind w:left="0" w:right="0"/>
              <w:rPr>
                <w:kern w:val="16"/>
                <w:sz w:val="19"/>
                <w:szCs w:val="24"/>
                <w:lang w:val="en-US"/>
              </w:rPr>
            </w:pPr>
            <w:r w:rsidRPr="006421E2">
              <w:rPr>
                <w:kern w:val="16"/>
                <w:sz w:val="19"/>
                <w:szCs w:val="24"/>
                <w:lang w:val="en-US"/>
              </w:rPr>
              <w:t>6</w:t>
            </w:r>
          </w:p>
        </w:tc>
        <w:tc>
          <w:tcPr>
            <w:tcW w:w="1283" w:type="dxa"/>
          </w:tcPr>
          <w:p w14:paraId="429315D2" w14:textId="77777777" w:rsidR="006421E2" w:rsidRPr="006421E2" w:rsidRDefault="006421E2" w:rsidP="007D2F65">
            <w:pPr>
              <w:ind w:left="0" w:right="0"/>
              <w:rPr>
                <w:kern w:val="16"/>
                <w:sz w:val="19"/>
                <w:szCs w:val="24"/>
                <w:lang w:val="en-US"/>
              </w:rPr>
            </w:pPr>
            <w:r w:rsidRPr="006421E2">
              <w:rPr>
                <w:kern w:val="16"/>
                <w:sz w:val="19"/>
                <w:szCs w:val="24"/>
                <w:lang w:val="en-US"/>
              </w:rPr>
              <w:t>5</w:t>
            </w:r>
          </w:p>
        </w:tc>
      </w:tr>
      <w:tr w:rsidR="006421E2" w:rsidRPr="006421E2" w14:paraId="3210D643" w14:textId="77777777" w:rsidTr="00D84CA8">
        <w:trPr>
          <w:trHeight w:val="20"/>
        </w:trPr>
        <w:tc>
          <w:tcPr>
            <w:tcW w:w="2263" w:type="dxa"/>
          </w:tcPr>
          <w:p w14:paraId="144E766F" w14:textId="77777777" w:rsidR="006421E2" w:rsidRPr="007D2F65" w:rsidRDefault="006421E2" w:rsidP="001F1814">
            <w:pPr>
              <w:ind w:left="0" w:right="0"/>
              <w:rPr>
                <w:b/>
                <w:kern w:val="16"/>
                <w:sz w:val="19"/>
                <w:szCs w:val="24"/>
                <w:lang w:val="en-US"/>
              </w:rPr>
            </w:pPr>
            <w:r w:rsidRPr="007D2F65">
              <w:rPr>
                <w:b/>
                <w:kern w:val="16"/>
                <w:sz w:val="19"/>
                <w:szCs w:val="24"/>
                <w:lang w:val="en-US"/>
              </w:rPr>
              <w:t>Race</w:t>
            </w:r>
          </w:p>
        </w:tc>
        <w:tc>
          <w:tcPr>
            <w:tcW w:w="1276" w:type="dxa"/>
          </w:tcPr>
          <w:p w14:paraId="21222ABC" w14:textId="77777777" w:rsidR="006421E2" w:rsidRPr="006421E2" w:rsidRDefault="006421E2" w:rsidP="007D2F65">
            <w:pPr>
              <w:ind w:left="0" w:right="0"/>
              <w:rPr>
                <w:kern w:val="16"/>
                <w:sz w:val="19"/>
                <w:szCs w:val="24"/>
                <w:lang w:val="en-US"/>
              </w:rPr>
            </w:pPr>
          </w:p>
        </w:tc>
        <w:tc>
          <w:tcPr>
            <w:tcW w:w="1276" w:type="dxa"/>
          </w:tcPr>
          <w:p w14:paraId="36CE40CB" w14:textId="77777777" w:rsidR="006421E2" w:rsidRPr="006421E2" w:rsidRDefault="006421E2" w:rsidP="007D2F65">
            <w:pPr>
              <w:ind w:left="0" w:right="0"/>
              <w:rPr>
                <w:kern w:val="16"/>
                <w:sz w:val="19"/>
                <w:szCs w:val="24"/>
                <w:lang w:val="en-US"/>
              </w:rPr>
            </w:pPr>
          </w:p>
        </w:tc>
        <w:tc>
          <w:tcPr>
            <w:tcW w:w="1276" w:type="dxa"/>
          </w:tcPr>
          <w:p w14:paraId="21988510" w14:textId="77777777" w:rsidR="006421E2" w:rsidRPr="006421E2" w:rsidRDefault="006421E2" w:rsidP="007D2F65">
            <w:pPr>
              <w:ind w:left="0" w:right="0"/>
              <w:rPr>
                <w:kern w:val="16"/>
                <w:sz w:val="19"/>
                <w:szCs w:val="24"/>
                <w:lang w:val="en-US"/>
              </w:rPr>
            </w:pPr>
          </w:p>
        </w:tc>
        <w:tc>
          <w:tcPr>
            <w:tcW w:w="1134" w:type="dxa"/>
          </w:tcPr>
          <w:p w14:paraId="73357E11" w14:textId="77777777" w:rsidR="006421E2" w:rsidRPr="006421E2" w:rsidRDefault="006421E2" w:rsidP="007D2F65">
            <w:pPr>
              <w:ind w:left="0" w:right="0"/>
              <w:rPr>
                <w:kern w:val="16"/>
                <w:sz w:val="19"/>
                <w:szCs w:val="24"/>
                <w:lang w:val="en-US"/>
              </w:rPr>
            </w:pPr>
          </w:p>
        </w:tc>
        <w:tc>
          <w:tcPr>
            <w:tcW w:w="1283" w:type="dxa"/>
          </w:tcPr>
          <w:p w14:paraId="66324869" w14:textId="77777777" w:rsidR="006421E2" w:rsidRPr="006421E2" w:rsidRDefault="006421E2" w:rsidP="007D2F65">
            <w:pPr>
              <w:ind w:left="0" w:right="0"/>
              <w:rPr>
                <w:kern w:val="16"/>
                <w:sz w:val="19"/>
                <w:szCs w:val="24"/>
                <w:lang w:val="en-US"/>
              </w:rPr>
            </w:pPr>
          </w:p>
        </w:tc>
      </w:tr>
      <w:tr w:rsidR="006421E2" w:rsidRPr="006421E2" w14:paraId="6810ABEC" w14:textId="77777777" w:rsidTr="00D84CA8">
        <w:trPr>
          <w:trHeight w:val="20"/>
        </w:trPr>
        <w:tc>
          <w:tcPr>
            <w:tcW w:w="2263" w:type="dxa"/>
          </w:tcPr>
          <w:p w14:paraId="4AF89451" w14:textId="77777777" w:rsidR="006421E2" w:rsidRPr="006421E2" w:rsidRDefault="006421E2" w:rsidP="001F1814">
            <w:pPr>
              <w:ind w:left="0" w:right="0"/>
              <w:rPr>
                <w:kern w:val="16"/>
                <w:sz w:val="19"/>
                <w:szCs w:val="24"/>
                <w:lang w:val="en-US"/>
              </w:rPr>
            </w:pPr>
            <w:r w:rsidRPr="006421E2">
              <w:rPr>
                <w:kern w:val="16"/>
                <w:sz w:val="19"/>
                <w:szCs w:val="24"/>
                <w:lang w:val="en-US"/>
              </w:rPr>
              <w:t>White (%)</w:t>
            </w:r>
          </w:p>
        </w:tc>
        <w:tc>
          <w:tcPr>
            <w:tcW w:w="1276" w:type="dxa"/>
          </w:tcPr>
          <w:p w14:paraId="3D5EC84F" w14:textId="77777777" w:rsidR="006421E2" w:rsidRPr="006421E2" w:rsidRDefault="006421E2" w:rsidP="007D2F65">
            <w:pPr>
              <w:ind w:left="0" w:right="0"/>
              <w:rPr>
                <w:kern w:val="16"/>
                <w:sz w:val="19"/>
                <w:szCs w:val="24"/>
                <w:lang w:val="en-US"/>
              </w:rPr>
            </w:pPr>
            <w:r w:rsidRPr="006421E2">
              <w:rPr>
                <w:kern w:val="16"/>
                <w:sz w:val="19"/>
                <w:szCs w:val="24"/>
                <w:lang w:val="en-US"/>
              </w:rPr>
              <w:t>77</w:t>
            </w:r>
          </w:p>
        </w:tc>
        <w:tc>
          <w:tcPr>
            <w:tcW w:w="1276" w:type="dxa"/>
          </w:tcPr>
          <w:p w14:paraId="78375337" w14:textId="77777777" w:rsidR="006421E2" w:rsidRPr="006421E2" w:rsidRDefault="006421E2" w:rsidP="007D2F65">
            <w:pPr>
              <w:ind w:left="0" w:right="0"/>
              <w:rPr>
                <w:kern w:val="16"/>
                <w:sz w:val="19"/>
                <w:szCs w:val="24"/>
                <w:lang w:val="en-US"/>
              </w:rPr>
            </w:pPr>
            <w:r w:rsidRPr="006421E2">
              <w:rPr>
                <w:kern w:val="16"/>
                <w:sz w:val="19"/>
                <w:szCs w:val="24"/>
                <w:lang w:val="en-US"/>
              </w:rPr>
              <w:t>53</w:t>
            </w:r>
          </w:p>
        </w:tc>
        <w:tc>
          <w:tcPr>
            <w:tcW w:w="1276" w:type="dxa"/>
          </w:tcPr>
          <w:p w14:paraId="7D8060FC" w14:textId="77777777" w:rsidR="006421E2" w:rsidRPr="006421E2" w:rsidRDefault="006421E2" w:rsidP="007D2F65">
            <w:pPr>
              <w:ind w:left="0" w:right="0"/>
              <w:rPr>
                <w:kern w:val="16"/>
                <w:sz w:val="19"/>
                <w:szCs w:val="24"/>
                <w:lang w:val="en-US"/>
              </w:rPr>
            </w:pPr>
            <w:r w:rsidRPr="006421E2">
              <w:rPr>
                <w:kern w:val="16"/>
                <w:sz w:val="19"/>
                <w:szCs w:val="24"/>
                <w:lang w:val="en-US"/>
              </w:rPr>
              <w:t>72</w:t>
            </w:r>
          </w:p>
        </w:tc>
        <w:tc>
          <w:tcPr>
            <w:tcW w:w="1134" w:type="dxa"/>
          </w:tcPr>
          <w:p w14:paraId="41159510" w14:textId="77777777" w:rsidR="006421E2" w:rsidRPr="006421E2" w:rsidRDefault="006421E2" w:rsidP="007D2F65">
            <w:pPr>
              <w:ind w:left="0" w:right="0"/>
              <w:rPr>
                <w:kern w:val="16"/>
                <w:sz w:val="19"/>
                <w:szCs w:val="24"/>
                <w:lang w:val="en-US"/>
              </w:rPr>
            </w:pPr>
            <w:r w:rsidRPr="006421E2">
              <w:rPr>
                <w:kern w:val="16"/>
                <w:sz w:val="19"/>
                <w:szCs w:val="24"/>
                <w:lang w:val="en-US"/>
              </w:rPr>
              <w:t>81</w:t>
            </w:r>
          </w:p>
        </w:tc>
        <w:tc>
          <w:tcPr>
            <w:tcW w:w="1283" w:type="dxa"/>
          </w:tcPr>
          <w:p w14:paraId="740467D7" w14:textId="77777777" w:rsidR="006421E2" w:rsidRPr="006421E2" w:rsidRDefault="006421E2" w:rsidP="007D2F65">
            <w:pPr>
              <w:ind w:left="0" w:right="0"/>
              <w:rPr>
                <w:kern w:val="16"/>
                <w:sz w:val="19"/>
                <w:szCs w:val="24"/>
                <w:lang w:val="en-US"/>
              </w:rPr>
            </w:pPr>
            <w:r w:rsidRPr="006421E2">
              <w:rPr>
                <w:kern w:val="16"/>
                <w:sz w:val="19"/>
                <w:szCs w:val="24"/>
                <w:lang w:val="en-US"/>
              </w:rPr>
              <w:t>66</w:t>
            </w:r>
          </w:p>
        </w:tc>
      </w:tr>
      <w:tr w:rsidR="006421E2" w:rsidRPr="006421E2" w14:paraId="0267225B" w14:textId="77777777" w:rsidTr="00D84CA8">
        <w:trPr>
          <w:trHeight w:val="20"/>
        </w:trPr>
        <w:tc>
          <w:tcPr>
            <w:tcW w:w="2263" w:type="dxa"/>
          </w:tcPr>
          <w:p w14:paraId="62A070A6" w14:textId="77777777" w:rsidR="006421E2" w:rsidRPr="006421E2" w:rsidRDefault="006421E2" w:rsidP="001F1814">
            <w:pPr>
              <w:ind w:left="0" w:right="0"/>
              <w:rPr>
                <w:kern w:val="16"/>
                <w:sz w:val="19"/>
                <w:szCs w:val="24"/>
                <w:lang w:val="en-US"/>
              </w:rPr>
            </w:pPr>
            <w:r w:rsidRPr="006421E2">
              <w:rPr>
                <w:kern w:val="16"/>
                <w:sz w:val="19"/>
                <w:szCs w:val="24"/>
                <w:lang w:val="en-US"/>
              </w:rPr>
              <w:t>Asian (%)</w:t>
            </w:r>
          </w:p>
        </w:tc>
        <w:tc>
          <w:tcPr>
            <w:tcW w:w="1276" w:type="dxa"/>
          </w:tcPr>
          <w:p w14:paraId="400E6A12" w14:textId="77777777" w:rsidR="006421E2" w:rsidRPr="006421E2" w:rsidRDefault="006421E2" w:rsidP="007D2F65">
            <w:pPr>
              <w:ind w:left="0" w:right="0"/>
              <w:rPr>
                <w:kern w:val="16"/>
                <w:sz w:val="19"/>
                <w:szCs w:val="24"/>
                <w:lang w:val="en-US"/>
              </w:rPr>
            </w:pPr>
            <w:r w:rsidRPr="006421E2">
              <w:rPr>
                <w:kern w:val="16"/>
                <w:sz w:val="19"/>
                <w:szCs w:val="24"/>
                <w:lang w:val="en-US"/>
              </w:rPr>
              <w:t>13</w:t>
            </w:r>
          </w:p>
        </w:tc>
        <w:tc>
          <w:tcPr>
            <w:tcW w:w="1276" w:type="dxa"/>
          </w:tcPr>
          <w:p w14:paraId="0407FF3F" w14:textId="77777777" w:rsidR="006421E2" w:rsidRPr="006421E2" w:rsidRDefault="006421E2" w:rsidP="007D2F65">
            <w:pPr>
              <w:ind w:left="0" w:right="0"/>
              <w:rPr>
                <w:kern w:val="16"/>
                <w:sz w:val="19"/>
                <w:szCs w:val="24"/>
                <w:lang w:val="en-US"/>
              </w:rPr>
            </w:pPr>
            <w:r w:rsidRPr="006421E2">
              <w:rPr>
                <w:kern w:val="16"/>
                <w:sz w:val="19"/>
                <w:szCs w:val="24"/>
                <w:lang w:val="en-US"/>
              </w:rPr>
              <w:t>38</w:t>
            </w:r>
          </w:p>
        </w:tc>
        <w:tc>
          <w:tcPr>
            <w:tcW w:w="1276" w:type="dxa"/>
          </w:tcPr>
          <w:p w14:paraId="41D7CB09" w14:textId="77777777" w:rsidR="006421E2" w:rsidRPr="006421E2" w:rsidRDefault="006421E2" w:rsidP="007D2F65">
            <w:pPr>
              <w:ind w:left="0" w:right="0"/>
              <w:rPr>
                <w:kern w:val="16"/>
                <w:sz w:val="19"/>
                <w:szCs w:val="24"/>
                <w:lang w:val="en-US"/>
              </w:rPr>
            </w:pPr>
            <w:r w:rsidRPr="006421E2">
              <w:rPr>
                <w:kern w:val="16"/>
                <w:sz w:val="19"/>
                <w:szCs w:val="24"/>
                <w:lang w:val="en-US"/>
              </w:rPr>
              <w:t>16</w:t>
            </w:r>
          </w:p>
        </w:tc>
        <w:tc>
          <w:tcPr>
            <w:tcW w:w="1134" w:type="dxa"/>
          </w:tcPr>
          <w:p w14:paraId="0E94E620"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014D028A" w14:textId="77777777" w:rsidR="006421E2" w:rsidRPr="006421E2" w:rsidRDefault="006421E2" w:rsidP="007D2F65">
            <w:pPr>
              <w:ind w:left="0" w:right="0"/>
              <w:rPr>
                <w:kern w:val="16"/>
                <w:sz w:val="19"/>
                <w:szCs w:val="24"/>
                <w:lang w:val="en-US"/>
              </w:rPr>
            </w:pPr>
            <w:r w:rsidRPr="006421E2">
              <w:rPr>
                <w:kern w:val="16"/>
                <w:sz w:val="19"/>
                <w:szCs w:val="24"/>
                <w:lang w:val="en-US"/>
              </w:rPr>
              <w:t>23</w:t>
            </w:r>
          </w:p>
        </w:tc>
      </w:tr>
      <w:tr w:rsidR="006421E2" w:rsidRPr="006421E2" w14:paraId="052CA3D4" w14:textId="77777777" w:rsidTr="00D84CA8">
        <w:trPr>
          <w:trHeight w:val="20"/>
        </w:trPr>
        <w:tc>
          <w:tcPr>
            <w:tcW w:w="2263" w:type="dxa"/>
          </w:tcPr>
          <w:p w14:paraId="499DB5B5" w14:textId="3503E21C" w:rsidR="006421E2" w:rsidRPr="006421E2" w:rsidRDefault="006421E2" w:rsidP="001F1814">
            <w:pPr>
              <w:ind w:left="0" w:right="0"/>
              <w:rPr>
                <w:kern w:val="16"/>
                <w:sz w:val="19"/>
                <w:szCs w:val="24"/>
                <w:lang w:val="en-US"/>
              </w:rPr>
            </w:pPr>
            <w:r w:rsidRPr="006421E2">
              <w:rPr>
                <w:kern w:val="16"/>
                <w:sz w:val="19"/>
                <w:szCs w:val="24"/>
                <w:lang w:val="en-US"/>
              </w:rPr>
              <w:t>Black or A</w:t>
            </w:r>
            <w:r w:rsidR="001D09E3">
              <w:rPr>
                <w:kern w:val="16"/>
                <w:sz w:val="19"/>
                <w:szCs w:val="24"/>
                <w:lang w:val="en-US"/>
              </w:rPr>
              <w:t xml:space="preserve">frican </w:t>
            </w:r>
            <w:r w:rsidR="003576A2">
              <w:rPr>
                <w:kern w:val="16"/>
                <w:sz w:val="19"/>
                <w:szCs w:val="24"/>
                <w:lang w:val="en-US"/>
              </w:rPr>
              <w:t>American</w:t>
            </w:r>
            <w:r w:rsidRPr="006421E2">
              <w:rPr>
                <w:kern w:val="16"/>
                <w:sz w:val="19"/>
                <w:szCs w:val="24"/>
                <w:lang w:val="en-US"/>
              </w:rPr>
              <w:t xml:space="preserve"> (%)</w:t>
            </w:r>
          </w:p>
        </w:tc>
        <w:tc>
          <w:tcPr>
            <w:tcW w:w="1276" w:type="dxa"/>
          </w:tcPr>
          <w:p w14:paraId="4250AC04" w14:textId="77777777" w:rsidR="006421E2" w:rsidRPr="006421E2" w:rsidRDefault="006421E2" w:rsidP="007D2F65">
            <w:pPr>
              <w:ind w:left="0" w:right="0"/>
              <w:rPr>
                <w:kern w:val="16"/>
                <w:sz w:val="19"/>
                <w:szCs w:val="24"/>
                <w:lang w:val="en-US"/>
              </w:rPr>
            </w:pPr>
            <w:r w:rsidRPr="006421E2">
              <w:rPr>
                <w:kern w:val="16"/>
                <w:sz w:val="19"/>
                <w:szCs w:val="24"/>
                <w:lang w:val="en-US"/>
              </w:rPr>
              <w:t>1.5</w:t>
            </w:r>
          </w:p>
        </w:tc>
        <w:tc>
          <w:tcPr>
            <w:tcW w:w="1276" w:type="dxa"/>
          </w:tcPr>
          <w:p w14:paraId="2BE3FD15" w14:textId="77777777" w:rsidR="006421E2" w:rsidRPr="006421E2" w:rsidRDefault="006421E2" w:rsidP="007D2F65">
            <w:pPr>
              <w:ind w:left="0" w:right="0"/>
              <w:rPr>
                <w:kern w:val="16"/>
                <w:sz w:val="19"/>
                <w:szCs w:val="24"/>
                <w:lang w:val="en-US"/>
              </w:rPr>
            </w:pPr>
            <w:r w:rsidRPr="006421E2">
              <w:rPr>
                <w:kern w:val="16"/>
                <w:sz w:val="19"/>
                <w:szCs w:val="24"/>
                <w:lang w:val="en-US"/>
              </w:rPr>
              <w:t>5</w:t>
            </w:r>
          </w:p>
        </w:tc>
        <w:tc>
          <w:tcPr>
            <w:tcW w:w="1276" w:type="dxa"/>
          </w:tcPr>
          <w:p w14:paraId="6470CA1F" w14:textId="77777777" w:rsidR="006421E2" w:rsidRPr="006421E2" w:rsidRDefault="006421E2" w:rsidP="007D2F65">
            <w:pPr>
              <w:ind w:left="0" w:right="0"/>
              <w:rPr>
                <w:kern w:val="16"/>
                <w:sz w:val="19"/>
                <w:szCs w:val="24"/>
                <w:lang w:val="en-US"/>
              </w:rPr>
            </w:pPr>
            <w:r w:rsidRPr="006421E2">
              <w:rPr>
                <w:kern w:val="16"/>
                <w:sz w:val="19"/>
                <w:szCs w:val="24"/>
                <w:lang w:val="en-US"/>
              </w:rPr>
              <w:t>4</w:t>
            </w:r>
          </w:p>
        </w:tc>
        <w:tc>
          <w:tcPr>
            <w:tcW w:w="1134" w:type="dxa"/>
          </w:tcPr>
          <w:p w14:paraId="5606E9A4" w14:textId="77777777" w:rsidR="006421E2" w:rsidRPr="006421E2" w:rsidRDefault="006421E2" w:rsidP="007D2F65">
            <w:pPr>
              <w:ind w:left="0" w:right="0"/>
              <w:rPr>
                <w:kern w:val="16"/>
                <w:sz w:val="19"/>
                <w:szCs w:val="24"/>
                <w:lang w:val="en-US"/>
              </w:rPr>
            </w:pPr>
            <w:r w:rsidRPr="006421E2">
              <w:rPr>
                <w:kern w:val="16"/>
                <w:sz w:val="19"/>
                <w:szCs w:val="24"/>
                <w:lang w:val="en-US"/>
              </w:rPr>
              <w:t>19</w:t>
            </w:r>
          </w:p>
        </w:tc>
        <w:tc>
          <w:tcPr>
            <w:tcW w:w="1283" w:type="dxa"/>
          </w:tcPr>
          <w:p w14:paraId="623E255F" w14:textId="77777777" w:rsidR="006421E2" w:rsidRPr="006421E2" w:rsidRDefault="006421E2" w:rsidP="007D2F65">
            <w:pPr>
              <w:ind w:left="0" w:right="0"/>
              <w:rPr>
                <w:kern w:val="16"/>
                <w:sz w:val="19"/>
                <w:szCs w:val="24"/>
                <w:lang w:val="en-US"/>
              </w:rPr>
            </w:pPr>
            <w:r w:rsidRPr="006421E2">
              <w:rPr>
                <w:kern w:val="16"/>
                <w:sz w:val="19"/>
                <w:szCs w:val="24"/>
                <w:lang w:val="en-US"/>
              </w:rPr>
              <w:t>4.5</w:t>
            </w:r>
          </w:p>
        </w:tc>
      </w:tr>
      <w:tr w:rsidR="006421E2" w:rsidRPr="006421E2" w14:paraId="06A0BC92" w14:textId="77777777" w:rsidTr="00D84CA8">
        <w:trPr>
          <w:trHeight w:val="20"/>
        </w:trPr>
        <w:tc>
          <w:tcPr>
            <w:tcW w:w="2263" w:type="dxa"/>
          </w:tcPr>
          <w:p w14:paraId="1C95A83A" w14:textId="77777777" w:rsidR="006421E2" w:rsidRPr="006421E2" w:rsidRDefault="006421E2" w:rsidP="001F1814">
            <w:pPr>
              <w:ind w:left="0" w:right="0"/>
              <w:rPr>
                <w:kern w:val="16"/>
                <w:sz w:val="19"/>
                <w:szCs w:val="24"/>
                <w:lang w:val="en-US"/>
              </w:rPr>
            </w:pPr>
            <w:r w:rsidRPr="006421E2">
              <w:rPr>
                <w:kern w:val="16"/>
                <w:sz w:val="19"/>
                <w:szCs w:val="24"/>
                <w:lang w:val="en-US"/>
              </w:rPr>
              <w:t>Not reported (%)</w:t>
            </w:r>
          </w:p>
        </w:tc>
        <w:tc>
          <w:tcPr>
            <w:tcW w:w="1276" w:type="dxa"/>
          </w:tcPr>
          <w:p w14:paraId="346372FE" w14:textId="77777777" w:rsidR="006421E2" w:rsidRPr="006421E2" w:rsidRDefault="006421E2" w:rsidP="007D2F65">
            <w:pPr>
              <w:ind w:left="0" w:right="0"/>
              <w:rPr>
                <w:kern w:val="16"/>
                <w:sz w:val="19"/>
                <w:szCs w:val="24"/>
                <w:lang w:val="en-US"/>
              </w:rPr>
            </w:pPr>
            <w:r w:rsidRPr="006421E2">
              <w:rPr>
                <w:kern w:val="16"/>
                <w:sz w:val="19"/>
                <w:szCs w:val="24"/>
                <w:lang w:val="en-US"/>
              </w:rPr>
              <w:t>9</w:t>
            </w:r>
          </w:p>
        </w:tc>
        <w:tc>
          <w:tcPr>
            <w:tcW w:w="1276" w:type="dxa"/>
          </w:tcPr>
          <w:p w14:paraId="663F3D68" w14:textId="77777777" w:rsidR="006421E2" w:rsidRPr="006421E2" w:rsidRDefault="006421E2" w:rsidP="007D2F65">
            <w:pPr>
              <w:ind w:left="0" w:right="0"/>
              <w:rPr>
                <w:kern w:val="16"/>
                <w:sz w:val="19"/>
                <w:szCs w:val="24"/>
                <w:lang w:val="en-US"/>
              </w:rPr>
            </w:pPr>
            <w:r w:rsidRPr="006421E2">
              <w:rPr>
                <w:kern w:val="16"/>
                <w:sz w:val="19"/>
                <w:szCs w:val="24"/>
                <w:lang w:val="en-US"/>
              </w:rPr>
              <w:t>3</w:t>
            </w:r>
          </w:p>
        </w:tc>
        <w:tc>
          <w:tcPr>
            <w:tcW w:w="1276" w:type="dxa"/>
          </w:tcPr>
          <w:p w14:paraId="2323B565" w14:textId="77777777" w:rsidR="006421E2" w:rsidRPr="006421E2" w:rsidRDefault="006421E2" w:rsidP="007D2F65">
            <w:pPr>
              <w:ind w:left="0" w:right="0"/>
              <w:rPr>
                <w:kern w:val="16"/>
                <w:sz w:val="19"/>
                <w:szCs w:val="24"/>
                <w:lang w:val="en-US"/>
              </w:rPr>
            </w:pPr>
            <w:r w:rsidRPr="006421E2">
              <w:rPr>
                <w:kern w:val="16"/>
                <w:sz w:val="19"/>
                <w:szCs w:val="24"/>
                <w:lang w:val="en-US"/>
              </w:rPr>
              <w:t>4</w:t>
            </w:r>
          </w:p>
        </w:tc>
        <w:tc>
          <w:tcPr>
            <w:tcW w:w="1134" w:type="dxa"/>
          </w:tcPr>
          <w:p w14:paraId="2BF2ABC6"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17B49ABB" w14:textId="77777777" w:rsidR="006421E2" w:rsidRPr="006421E2" w:rsidRDefault="006421E2" w:rsidP="007D2F65">
            <w:pPr>
              <w:ind w:left="0" w:right="0"/>
              <w:rPr>
                <w:kern w:val="16"/>
                <w:sz w:val="19"/>
                <w:szCs w:val="24"/>
                <w:lang w:val="en-US"/>
              </w:rPr>
            </w:pPr>
            <w:r w:rsidRPr="006421E2">
              <w:rPr>
                <w:kern w:val="16"/>
                <w:sz w:val="19"/>
                <w:szCs w:val="24"/>
                <w:lang w:val="en-US"/>
              </w:rPr>
              <w:t>4.5</w:t>
            </w:r>
          </w:p>
        </w:tc>
      </w:tr>
      <w:tr w:rsidR="006421E2" w:rsidRPr="006421E2" w14:paraId="24895390" w14:textId="77777777" w:rsidTr="00D84CA8">
        <w:trPr>
          <w:trHeight w:val="20"/>
        </w:trPr>
        <w:tc>
          <w:tcPr>
            <w:tcW w:w="2263" w:type="dxa"/>
          </w:tcPr>
          <w:p w14:paraId="5F6EEF33" w14:textId="77777777" w:rsidR="006421E2" w:rsidRPr="007D2F65" w:rsidRDefault="006421E2" w:rsidP="001F1814">
            <w:pPr>
              <w:ind w:left="0" w:right="0"/>
              <w:rPr>
                <w:b/>
                <w:kern w:val="16"/>
                <w:sz w:val="19"/>
                <w:szCs w:val="24"/>
                <w:lang w:val="en-US"/>
              </w:rPr>
            </w:pPr>
            <w:r w:rsidRPr="007D2F65">
              <w:rPr>
                <w:b/>
                <w:kern w:val="16"/>
                <w:sz w:val="19"/>
                <w:szCs w:val="24"/>
                <w:lang w:val="en-US"/>
              </w:rPr>
              <w:t>ECOG PS (%)</w:t>
            </w:r>
          </w:p>
        </w:tc>
        <w:tc>
          <w:tcPr>
            <w:tcW w:w="1276" w:type="dxa"/>
          </w:tcPr>
          <w:p w14:paraId="3DDB6047" w14:textId="77777777" w:rsidR="006421E2" w:rsidRPr="006421E2" w:rsidRDefault="006421E2" w:rsidP="007D2F65">
            <w:pPr>
              <w:ind w:left="0" w:right="0"/>
              <w:rPr>
                <w:kern w:val="16"/>
                <w:sz w:val="19"/>
                <w:szCs w:val="24"/>
                <w:lang w:val="en-US"/>
              </w:rPr>
            </w:pPr>
          </w:p>
        </w:tc>
        <w:tc>
          <w:tcPr>
            <w:tcW w:w="1276" w:type="dxa"/>
          </w:tcPr>
          <w:p w14:paraId="24095B16" w14:textId="77777777" w:rsidR="006421E2" w:rsidRPr="006421E2" w:rsidRDefault="006421E2" w:rsidP="007D2F65">
            <w:pPr>
              <w:ind w:left="0" w:right="0"/>
              <w:rPr>
                <w:kern w:val="16"/>
                <w:sz w:val="19"/>
                <w:szCs w:val="24"/>
                <w:lang w:val="en-US"/>
              </w:rPr>
            </w:pPr>
          </w:p>
        </w:tc>
        <w:tc>
          <w:tcPr>
            <w:tcW w:w="1276" w:type="dxa"/>
          </w:tcPr>
          <w:p w14:paraId="15F825EC" w14:textId="77777777" w:rsidR="006421E2" w:rsidRPr="006421E2" w:rsidRDefault="006421E2" w:rsidP="007D2F65">
            <w:pPr>
              <w:ind w:left="0" w:right="0"/>
              <w:rPr>
                <w:kern w:val="16"/>
                <w:sz w:val="19"/>
                <w:szCs w:val="24"/>
                <w:lang w:val="en-US"/>
              </w:rPr>
            </w:pPr>
          </w:p>
        </w:tc>
        <w:tc>
          <w:tcPr>
            <w:tcW w:w="1134" w:type="dxa"/>
          </w:tcPr>
          <w:p w14:paraId="6BD39AC9" w14:textId="77777777" w:rsidR="006421E2" w:rsidRPr="006421E2" w:rsidRDefault="006421E2" w:rsidP="007D2F65">
            <w:pPr>
              <w:ind w:left="0" w:right="0"/>
              <w:rPr>
                <w:kern w:val="16"/>
                <w:sz w:val="19"/>
                <w:szCs w:val="24"/>
                <w:lang w:val="en-US"/>
              </w:rPr>
            </w:pPr>
          </w:p>
        </w:tc>
        <w:tc>
          <w:tcPr>
            <w:tcW w:w="1283" w:type="dxa"/>
          </w:tcPr>
          <w:p w14:paraId="2FE5F8DF" w14:textId="77777777" w:rsidR="006421E2" w:rsidRPr="006421E2" w:rsidRDefault="006421E2" w:rsidP="007D2F65">
            <w:pPr>
              <w:ind w:left="0" w:right="0"/>
              <w:rPr>
                <w:kern w:val="16"/>
                <w:sz w:val="19"/>
                <w:szCs w:val="24"/>
                <w:lang w:val="en-US"/>
              </w:rPr>
            </w:pPr>
          </w:p>
        </w:tc>
      </w:tr>
      <w:tr w:rsidR="006421E2" w:rsidRPr="006421E2" w14:paraId="384A0EA4" w14:textId="77777777" w:rsidTr="00D84CA8">
        <w:trPr>
          <w:trHeight w:val="20"/>
        </w:trPr>
        <w:tc>
          <w:tcPr>
            <w:tcW w:w="2263" w:type="dxa"/>
          </w:tcPr>
          <w:p w14:paraId="435778E7" w14:textId="77777777" w:rsidR="006421E2" w:rsidRPr="006421E2" w:rsidRDefault="006421E2" w:rsidP="001F1814">
            <w:pPr>
              <w:ind w:left="0" w:right="0"/>
              <w:rPr>
                <w:kern w:val="16"/>
                <w:sz w:val="19"/>
                <w:szCs w:val="24"/>
                <w:lang w:val="en-US"/>
              </w:rPr>
            </w:pPr>
            <w:r w:rsidRPr="006421E2">
              <w:rPr>
                <w:kern w:val="16"/>
                <w:sz w:val="19"/>
                <w:szCs w:val="24"/>
                <w:lang w:val="en-US"/>
              </w:rPr>
              <w:t>0</w:t>
            </w:r>
          </w:p>
        </w:tc>
        <w:tc>
          <w:tcPr>
            <w:tcW w:w="1276" w:type="dxa"/>
          </w:tcPr>
          <w:p w14:paraId="0DC61B99" w14:textId="77777777" w:rsidR="006421E2" w:rsidRPr="006421E2" w:rsidRDefault="006421E2" w:rsidP="007D2F65">
            <w:pPr>
              <w:ind w:left="0" w:right="0"/>
              <w:rPr>
                <w:kern w:val="16"/>
                <w:sz w:val="19"/>
                <w:szCs w:val="24"/>
                <w:lang w:val="en-US"/>
              </w:rPr>
            </w:pPr>
            <w:r w:rsidRPr="006421E2">
              <w:rPr>
                <w:kern w:val="16"/>
                <w:sz w:val="19"/>
                <w:szCs w:val="24"/>
                <w:lang w:val="en-US"/>
              </w:rPr>
              <w:t>38</w:t>
            </w:r>
          </w:p>
        </w:tc>
        <w:tc>
          <w:tcPr>
            <w:tcW w:w="1276" w:type="dxa"/>
          </w:tcPr>
          <w:p w14:paraId="041D82B8" w14:textId="77777777" w:rsidR="006421E2" w:rsidRPr="006421E2" w:rsidRDefault="006421E2" w:rsidP="007D2F65">
            <w:pPr>
              <w:ind w:left="0" w:right="0"/>
              <w:rPr>
                <w:kern w:val="16"/>
                <w:sz w:val="19"/>
                <w:szCs w:val="24"/>
                <w:lang w:val="en-US"/>
              </w:rPr>
            </w:pPr>
            <w:r w:rsidRPr="006421E2">
              <w:rPr>
                <w:kern w:val="16"/>
                <w:sz w:val="19"/>
                <w:szCs w:val="24"/>
                <w:lang w:val="en-US"/>
              </w:rPr>
              <w:t>39</w:t>
            </w:r>
          </w:p>
        </w:tc>
        <w:tc>
          <w:tcPr>
            <w:tcW w:w="1276" w:type="dxa"/>
          </w:tcPr>
          <w:p w14:paraId="7B2C80EA" w14:textId="77777777" w:rsidR="006421E2" w:rsidRPr="006421E2" w:rsidRDefault="006421E2" w:rsidP="007D2F65">
            <w:pPr>
              <w:ind w:left="0" w:right="0"/>
              <w:rPr>
                <w:kern w:val="16"/>
                <w:sz w:val="19"/>
                <w:szCs w:val="24"/>
                <w:lang w:val="en-US"/>
              </w:rPr>
            </w:pPr>
            <w:r w:rsidRPr="006421E2">
              <w:rPr>
                <w:kern w:val="16"/>
                <w:sz w:val="19"/>
                <w:szCs w:val="24"/>
                <w:lang w:val="en-US"/>
              </w:rPr>
              <w:t>45</w:t>
            </w:r>
          </w:p>
        </w:tc>
        <w:tc>
          <w:tcPr>
            <w:tcW w:w="1134" w:type="dxa"/>
          </w:tcPr>
          <w:p w14:paraId="755A9A6C"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2FE32688" w14:textId="77777777" w:rsidR="006421E2" w:rsidRPr="006421E2" w:rsidRDefault="006421E2" w:rsidP="007D2F65">
            <w:pPr>
              <w:ind w:left="0" w:right="0"/>
              <w:rPr>
                <w:kern w:val="16"/>
                <w:sz w:val="19"/>
                <w:szCs w:val="24"/>
                <w:lang w:val="en-US"/>
              </w:rPr>
            </w:pPr>
            <w:r w:rsidRPr="006421E2">
              <w:rPr>
                <w:kern w:val="16"/>
                <w:sz w:val="19"/>
                <w:szCs w:val="24"/>
                <w:lang w:val="en-US"/>
              </w:rPr>
              <w:t>41</w:t>
            </w:r>
          </w:p>
        </w:tc>
      </w:tr>
      <w:tr w:rsidR="006421E2" w:rsidRPr="006421E2" w14:paraId="23CBC2DB" w14:textId="77777777" w:rsidTr="00D84CA8">
        <w:trPr>
          <w:trHeight w:val="20"/>
        </w:trPr>
        <w:tc>
          <w:tcPr>
            <w:tcW w:w="2263" w:type="dxa"/>
          </w:tcPr>
          <w:p w14:paraId="0C207E40" w14:textId="77777777" w:rsidR="006421E2" w:rsidRPr="006421E2" w:rsidRDefault="006421E2" w:rsidP="001F1814">
            <w:pPr>
              <w:ind w:left="0" w:right="0"/>
              <w:rPr>
                <w:kern w:val="16"/>
                <w:sz w:val="19"/>
                <w:szCs w:val="24"/>
                <w:lang w:val="en-US"/>
              </w:rPr>
            </w:pPr>
            <w:r w:rsidRPr="006421E2">
              <w:rPr>
                <w:kern w:val="16"/>
                <w:sz w:val="19"/>
                <w:szCs w:val="24"/>
                <w:lang w:val="en-US"/>
              </w:rPr>
              <w:t>1</w:t>
            </w:r>
          </w:p>
        </w:tc>
        <w:tc>
          <w:tcPr>
            <w:tcW w:w="1276" w:type="dxa"/>
          </w:tcPr>
          <w:p w14:paraId="55981A77" w14:textId="77777777" w:rsidR="006421E2" w:rsidRPr="006421E2" w:rsidRDefault="006421E2" w:rsidP="007D2F65">
            <w:pPr>
              <w:ind w:left="0" w:right="0"/>
              <w:rPr>
                <w:kern w:val="16"/>
                <w:sz w:val="19"/>
                <w:szCs w:val="24"/>
                <w:lang w:val="en-US"/>
              </w:rPr>
            </w:pPr>
            <w:r w:rsidRPr="006421E2">
              <w:rPr>
                <w:kern w:val="16"/>
                <w:sz w:val="19"/>
                <w:szCs w:val="24"/>
                <w:lang w:val="en-US"/>
              </w:rPr>
              <w:t>49</w:t>
            </w:r>
          </w:p>
        </w:tc>
        <w:tc>
          <w:tcPr>
            <w:tcW w:w="1276" w:type="dxa"/>
          </w:tcPr>
          <w:p w14:paraId="473C306E" w14:textId="77777777" w:rsidR="006421E2" w:rsidRPr="006421E2" w:rsidRDefault="006421E2" w:rsidP="007D2F65">
            <w:pPr>
              <w:ind w:left="0" w:right="0"/>
              <w:rPr>
                <w:kern w:val="16"/>
                <w:sz w:val="19"/>
                <w:szCs w:val="24"/>
                <w:lang w:val="en-US"/>
              </w:rPr>
            </w:pPr>
            <w:r w:rsidRPr="006421E2">
              <w:rPr>
                <w:kern w:val="16"/>
                <w:sz w:val="19"/>
                <w:szCs w:val="24"/>
                <w:lang w:val="en-US"/>
              </w:rPr>
              <w:t>50</w:t>
            </w:r>
          </w:p>
        </w:tc>
        <w:tc>
          <w:tcPr>
            <w:tcW w:w="1276" w:type="dxa"/>
          </w:tcPr>
          <w:p w14:paraId="6B1AC6B2" w14:textId="77777777" w:rsidR="006421E2" w:rsidRPr="006421E2" w:rsidRDefault="006421E2" w:rsidP="007D2F65">
            <w:pPr>
              <w:ind w:left="0" w:right="0"/>
              <w:rPr>
                <w:kern w:val="16"/>
                <w:sz w:val="19"/>
                <w:szCs w:val="24"/>
                <w:lang w:val="en-US"/>
              </w:rPr>
            </w:pPr>
            <w:r w:rsidRPr="006421E2">
              <w:rPr>
                <w:kern w:val="16"/>
                <w:sz w:val="19"/>
                <w:szCs w:val="24"/>
                <w:lang w:val="en-US"/>
              </w:rPr>
              <w:t>51</w:t>
            </w:r>
          </w:p>
        </w:tc>
        <w:tc>
          <w:tcPr>
            <w:tcW w:w="1134" w:type="dxa"/>
          </w:tcPr>
          <w:p w14:paraId="7D459997"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72222AAA" w14:textId="77777777" w:rsidR="006421E2" w:rsidRPr="006421E2" w:rsidRDefault="006421E2" w:rsidP="007D2F65">
            <w:pPr>
              <w:ind w:left="0" w:right="0"/>
              <w:rPr>
                <w:kern w:val="16"/>
                <w:sz w:val="19"/>
                <w:szCs w:val="24"/>
                <w:lang w:val="en-US"/>
              </w:rPr>
            </w:pPr>
            <w:r w:rsidRPr="006421E2">
              <w:rPr>
                <w:kern w:val="16"/>
                <w:sz w:val="19"/>
                <w:szCs w:val="24"/>
                <w:lang w:val="en-US"/>
              </w:rPr>
              <w:t>50</w:t>
            </w:r>
          </w:p>
        </w:tc>
      </w:tr>
      <w:tr w:rsidR="006421E2" w:rsidRPr="006421E2" w14:paraId="7E5E67A9" w14:textId="77777777" w:rsidTr="00D84CA8">
        <w:trPr>
          <w:trHeight w:val="20"/>
        </w:trPr>
        <w:tc>
          <w:tcPr>
            <w:tcW w:w="2263" w:type="dxa"/>
          </w:tcPr>
          <w:p w14:paraId="5AFF1237" w14:textId="77777777" w:rsidR="006421E2" w:rsidRPr="006421E2" w:rsidRDefault="006421E2" w:rsidP="001F1814">
            <w:pPr>
              <w:ind w:left="0" w:right="0"/>
              <w:rPr>
                <w:kern w:val="16"/>
                <w:sz w:val="19"/>
                <w:szCs w:val="24"/>
                <w:lang w:val="en-US"/>
              </w:rPr>
            </w:pPr>
            <w:r w:rsidRPr="006421E2">
              <w:rPr>
                <w:kern w:val="16"/>
                <w:sz w:val="19"/>
                <w:szCs w:val="24"/>
                <w:lang w:val="en-US"/>
              </w:rPr>
              <w:t>2</w:t>
            </w:r>
          </w:p>
        </w:tc>
        <w:tc>
          <w:tcPr>
            <w:tcW w:w="1276" w:type="dxa"/>
          </w:tcPr>
          <w:p w14:paraId="066AACD6" w14:textId="77777777" w:rsidR="006421E2" w:rsidRPr="006421E2" w:rsidRDefault="006421E2" w:rsidP="007D2F65">
            <w:pPr>
              <w:ind w:left="0" w:right="0"/>
              <w:rPr>
                <w:kern w:val="16"/>
                <w:sz w:val="19"/>
                <w:szCs w:val="24"/>
                <w:lang w:val="en-US"/>
              </w:rPr>
            </w:pPr>
            <w:r w:rsidRPr="006421E2">
              <w:rPr>
                <w:kern w:val="16"/>
                <w:sz w:val="19"/>
                <w:szCs w:val="24"/>
                <w:lang w:val="en-US"/>
              </w:rPr>
              <w:t>10</w:t>
            </w:r>
          </w:p>
        </w:tc>
        <w:tc>
          <w:tcPr>
            <w:tcW w:w="1276" w:type="dxa"/>
          </w:tcPr>
          <w:p w14:paraId="457553F3" w14:textId="77777777" w:rsidR="006421E2" w:rsidRPr="006421E2" w:rsidRDefault="006421E2" w:rsidP="007D2F65">
            <w:pPr>
              <w:ind w:left="0" w:right="0"/>
              <w:rPr>
                <w:kern w:val="16"/>
                <w:sz w:val="19"/>
                <w:szCs w:val="24"/>
                <w:lang w:val="en-US"/>
              </w:rPr>
            </w:pPr>
            <w:r w:rsidRPr="006421E2">
              <w:rPr>
                <w:kern w:val="16"/>
                <w:sz w:val="19"/>
                <w:szCs w:val="24"/>
                <w:lang w:val="en-US"/>
              </w:rPr>
              <w:t>8</w:t>
            </w:r>
          </w:p>
        </w:tc>
        <w:tc>
          <w:tcPr>
            <w:tcW w:w="1276" w:type="dxa"/>
          </w:tcPr>
          <w:p w14:paraId="412272AF" w14:textId="77777777" w:rsidR="006421E2" w:rsidRPr="006421E2" w:rsidRDefault="006421E2" w:rsidP="007D2F65">
            <w:pPr>
              <w:ind w:left="0" w:right="0"/>
              <w:rPr>
                <w:kern w:val="16"/>
                <w:sz w:val="19"/>
                <w:szCs w:val="24"/>
                <w:lang w:val="en-US"/>
              </w:rPr>
            </w:pPr>
            <w:r w:rsidRPr="006421E2">
              <w:rPr>
                <w:kern w:val="16"/>
                <w:sz w:val="19"/>
                <w:szCs w:val="24"/>
                <w:lang w:val="en-US"/>
              </w:rPr>
              <w:t>4</w:t>
            </w:r>
          </w:p>
        </w:tc>
        <w:tc>
          <w:tcPr>
            <w:tcW w:w="1134" w:type="dxa"/>
          </w:tcPr>
          <w:p w14:paraId="61968282"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66199462" w14:textId="77777777" w:rsidR="006421E2" w:rsidRPr="006421E2" w:rsidRDefault="006421E2" w:rsidP="007D2F65">
            <w:pPr>
              <w:ind w:left="0" w:right="0"/>
              <w:rPr>
                <w:kern w:val="16"/>
                <w:sz w:val="19"/>
                <w:szCs w:val="24"/>
                <w:lang w:val="en-US"/>
              </w:rPr>
            </w:pPr>
            <w:r w:rsidRPr="006421E2">
              <w:rPr>
                <w:kern w:val="16"/>
                <w:sz w:val="19"/>
                <w:szCs w:val="24"/>
                <w:lang w:val="en-US"/>
              </w:rPr>
              <w:t>7</w:t>
            </w:r>
          </w:p>
        </w:tc>
      </w:tr>
      <w:tr w:rsidR="006421E2" w:rsidRPr="006421E2" w14:paraId="4919723E" w14:textId="77777777" w:rsidTr="00D84CA8">
        <w:trPr>
          <w:trHeight w:val="20"/>
        </w:trPr>
        <w:tc>
          <w:tcPr>
            <w:tcW w:w="2263" w:type="dxa"/>
          </w:tcPr>
          <w:p w14:paraId="06BBCC76" w14:textId="77777777" w:rsidR="006421E2" w:rsidRPr="006421E2" w:rsidRDefault="006421E2" w:rsidP="001F1814">
            <w:pPr>
              <w:ind w:left="0" w:right="0"/>
              <w:rPr>
                <w:kern w:val="16"/>
                <w:sz w:val="19"/>
                <w:szCs w:val="24"/>
                <w:lang w:val="en-US"/>
              </w:rPr>
            </w:pPr>
            <w:r w:rsidRPr="006421E2">
              <w:rPr>
                <w:kern w:val="16"/>
                <w:sz w:val="19"/>
                <w:szCs w:val="24"/>
                <w:lang w:val="en-US"/>
              </w:rPr>
              <w:t>3</w:t>
            </w:r>
          </w:p>
        </w:tc>
        <w:tc>
          <w:tcPr>
            <w:tcW w:w="1276" w:type="dxa"/>
          </w:tcPr>
          <w:p w14:paraId="6D9F8D53" w14:textId="77777777" w:rsidR="006421E2" w:rsidRPr="006421E2" w:rsidRDefault="006421E2" w:rsidP="007D2F65">
            <w:pPr>
              <w:ind w:left="0" w:right="0"/>
              <w:rPr>
                <w:kern w:val="16"/>
                <w:sz w:val="19"/>
                <w:szCs w:val="24"/>
                <w:lang w:val="en-US"/>
              </w:rPr>
            </w:pPr>
            <w:r w:rsidRPr="006421E2">
              <w:rPr>
                <w:kern w:val="16"/>
                <w:sz w:val="19"/>
                <w:szCs w:val="24"/>
                <w:lang w:val="en-US"/>
              </w:rPr>
              <w:t>3</w:t>
            </w:r>
          </w:p>
        </w:tc>
        <w:tc>
          <w:tcPr>
            <w:tcW w:w="1276" w:type="dxa"/>
          </w:tcPr>
          <w:p w14:paraId="1CFDADC7" w14:textId="77777777" w:rsidR="006421E2" w:rsidRPr="006421E2" w:rsidRDefault="006421E2" w:rsidP="007D2F65">
            <w:pPr>
              <w:ind w:left="0" w:right="0"/>
              <w:rPr>
                <w:kern w:val="16"/>
                <w:sz w:val="19"/>
                <w:szCs w:val="24"/>
                <w:lang w:val="en-US"/>
              </w:rPr>
            </w:pPr>
            <w:r w:rsidRPr="006421E2">
              <w:rPr>
                <w:kern w:val="16"/>
                <w:sz w:val="19"/>
                <w:szCs w:val="24"/>
                <w:lang w:val="en-US"/>
              </w:rPr>
              <w:t>0.7</w:t>
            </w:r>
          </w:p>
        </w:tc>
        <w:tc>
          <w:tcPr>
            <w:tcW w:w="1276" w:type="dxa"/>
          </w:tcPr>
          <w:p w14:paraId="4B007240"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134" w:type="dxa"/>
          </w:tcPr>
          <w:p w14:paraId="6B2BDB9C"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0C94F220" w14:textId="77777777" w:rsidR="006421E2" w:rsidRPr="006421E2" w:rsidRDefault="006421E2" w:rsidP="007D2F65">
            <w:pPr>
              <w:ind w:left="0" w:right="0"/>
              <w:rPr>
                <w:kern w:val="16"/>
                <w:sz w:val="19"/>
                <w:szCs w:val="24"/>
                <w:lang w:val="en-US"/>
              </w:rPr>
            </w:pPr>
            <w:r w:rsidRPr="006421E2">
              <w:rPr>
                <w:kern w:val="16"/>
                <w:sz w:val="19"/>
                <w:szCs w:val="24"/>
                <w:lang w:val="en-US"/>
              </w:rPr>
              <w:t>0.9</w:t>
            </w:r>
          </w:p>
        </w:tc>
      </w:tr>
      <w:tr w:rsidR="006421E2" w:rsidRPr="006421E2" w14:paraId="36DA62BB" w14:textId="77777777" w:rsidTr="00D84CA8">
        <w:trPr>
          <w:trHeight w:val="20"/>
        </w:trPr>
        <w:tc>
          <w:tcPr>
            <w:tcW w:w="2263" w:type="dxa"/>
          </w:tcPr>
          <w:p w14:paraId="70408C56" w14:textId="77777777" w:rsidR="006421E2" w:rsidRPr="006421E2" w:rsidRDefault="006421E2" w:rsidP="001F1814">
            <w:pPr>
              <w:ind w:left="0" w:right="0"/>
              <w:rPr>
                <w:kern w:val="16"/>
                <w:sz w:val="19"/>
                <w:szCs w:val="24"/>
                <w:lang w:val="en-US"/>
              </w:rPr>
            </w:pPr>
            <w:r w:rsidRPr="006421E2">
              <w:rPr>
                <w:kern w:val="16"/>
                <w:sz w:val="19"/>
                <w:szCs w:val="24"/>
                <w:lang w:val="en-US"/>
              </w:rPr>
              <w:t>4</w:t>
            </w:r>
          </w:p>
        </w:tc>
        <w:tc>
          <w:tcPr>
            <w:tcW w:w="1276" w:type="dxa"/>
          </w:tcPr>
          <w:p w14:paraId="7754BAF2"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76" w:type="dxa"/>
          </w:tcPr>
          <w:p w14:paraId="0894D1ED" w14:textId="77777777" w:rsidR="006421E2" w:rsidRPr="006421E2" w:rsidRDefault="006421E2" w:rsidP="007D2F65">
            <w:pPr>
              <w:ind w:left="0" w:right="0"/>
              <w:rPr>
                <w:kern w:val="16"/>
                <w:sz w:val="19"/>
                <w:szCs w:val="24"/>
                <w:lang w:val="en-US"/>
              </w:rPr>
            </w:pPr>
            <w:r w:rsidRPr="006421E2">
              <w:rPr>
                <w:kern w:val="16"/>
                <w:sz w:val="19"/>
                <w:szCs w:val="24"/>
                <w:lang w:val="en-US"/>
              </w:rPr>
              <w:t>0.7</w:t>
            </w:r>
          </w:p>
        </w:tc>
        <w:tc>
          <w:tcPr>
            <w:tcW w:w="1276" w:type="dxa"/>
          </w:tcPr>
          <w:p w14:paraId="504615E3"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134" w:type="dxa"/>
          </w:tcPr>
          <w:p w14:paraId="2BC2866C" w14:textId="77777777" w:rsidR="006421E2" w:rsidRPr="006421E2" w:rsidRDefault="006421E2" w:rsidP="007D2F65">
            <w:pPr>
              <w:ind w:left="0" w:right="0"/>
              <w:rPr>
                <w:kern w:val="16"/>
                <w:sz w:val="19"/>
                <w:szCs w:val="24"/>
                <w:lang w:val="en-US"/>
              </w:rPr>
            </w:pPr>
            <w:r w:rsidRPr="006421E2">
              <w:rPr>
                <w:kern w:val="16"/>
                <w:sz w:val="19"/>
                <w:szCs w:val="24"/>
                <w:lang w:val="en-US"/>
              </w:rPr>
              <w:t>0</w:t>
            </w:r>
          </w:p>
        </w:tc>
        <w:tc>
          <w:tcPr>
            <w:tcW w:w="1283" w:type="dxa"/>
          </w:tcPr>
          <w:p w14:paraId="60ABB8B8" w14:textId="77777777" w:rsidR="006421E2" w:rsidRPr="006421E2" w:rsidRDefault="006421E2" w:rsidP="007D2F65">
            <w:pPr>
              <w:ind w:left="0" w:right="0"/>
              <w:rPr>
                <w:kern w:val="16"/>
                <w:sz w:val="19"/>
                <w:szCs w:val="24"/>
                <w:lang w:val="en-US"/>
              </w:rPr>
            </w:pPr>
            <w:r w:rsidRPr="006421E2">
              <w:rPr>
                <w:kern w:val="16"/>
                <w:sz w:val="19"/>
                <w:szCs w:val="24"/>
                <w:lang w:val="en-US"/>
              </w:rPr>
              <w:t>0.3</w:t>
            </w:r>
          </w:p>
        </w:tc>
      </w:tr>
    </w:tbl>
    <w:p w14:paraId="7A1CBE74" w14:textId="7713EDA9" w:rsidR="00986F56" w:rsidRDefault="00986F56" w:rsidP="007D2F65">
      <w:pPr>
        <w:pStyle w:val="FigureDescription"/>
      </w:pPr>
      <w:r>
        <w:rPr>
          <w:rFonts w:asciiTheme="minorHAnsi" w:hAnsiTheme="minorHAnsi" w:cs="Calibri"/>
        </w:rPr>
        <w:t xml:space="preserve">Source: </w:t>
      </w:r>
      <w:r>
        <w:t xml:space="preserve">reformatted </w:t>
      </w:r>
      <w:r>
        <w:rPr>
          <w:rFonts w:asciiTheme="minorHAnsi" w:hAnsiTheme="minorHAnsi" w:cs="Calibri"/>
        </w:rPr>
        <w:t>FDA table.</w:t>
      </w:r>
      <w:r>
        <w:rPr>
          <w:rFonts w:asciiTheme="minorHAnsi" w:hAnsiTheme="minorHAnsi" w:cs="Calibri"/>
        </w:rPr>
        <w:fldChar w:fldCharType="begin"/>
      </w:r>
      <w:r>
        <w:rPr>
          <w:rFonts w:asciiTheme="minorHAnsi" w:hAnsiTheme="minorHAnsi" w:cs="Calibri"/>
        </w:rPr>
        <w:instrText xml:space="preserve"> NOTEREF _Ref50554541 \f \h </w:instrText>
      </w:r>
      <w:r>
        <w:rPr>
          <w:rFonts w:asciiTheme="minorHAnsi" w:hAnsiTheme="minorHAnsi" w:cs="Calibri"/>
        </w:rPr>
      </w:r>
      <w:r>
        <w:rPr>
          <w:rFonts w:asciiTheme="minorHAnsi" w:hAnsiTheme="minorHAnsi" w:cs="Calibri"/>
        </w:rPr>
        <w:fldChar w:fldCharType="separate"/>
      </w:r>
      <w:r>
        <w:rPr>
          <w:rStyle w:val="FootnoteReference"/>
        </w:rPr>
        <w:t>12</w:t>
      </w:r>
      <w:r>
        <w:rPr>
          <w:rFonts w:asciiTheme="minorHAnsi" w:hAnsiTheme="minorHAnsi" w:cs="Calibri"/>
        </w:rPr>
        <w:fldChar w:fldCharType="end"/>
      </w:r>
    </w:p>
    <w:p w14:paraId="730A6B62" w14:textId="05612032" w:rsidR="006421E2" w:rsidRDefault="00431C48" w:rsidP="002239A3">
      <w:pPr>
        <w:pStyle w:val="TableDescription"/>
      </w:pPr>
      <w:r>
        <w:t>*</w:t>
      </w:r>
      <w:r w:rsidR="006421E2" w:rsidRPr="006421E2">
        <w:t>Total cumulative dose received/total planned dose x 100%. Factors contributing to dose intensity &gt;</w:t>
      </w:r>
      <w:r>
        <w:t xml:space="preserve"> </w:t>
      </w:r>
      <w:r w:rsidR="006421E2" w:rsidRPr="006421E2">
        <w:t>100% included patients enrolled during the dose finding portion of the Phase I studies who underwent intra-patient dose escalation after determination of the recommended Phase II dose</w:t>
      </w:r>
    </w:p>
    <w:p w14:paraId="685D037A" w14:textId="00648EBD" w:rsidR="008863D1" w:rsidRDefault="008863D1" w:rsidP="008863D1">
      <w:pPr>
        <w:pStyle w:val="Heading6"/>
      </w:pPr>
      <w:r>
        <w:t>Adverse events and laboratory abnormalities</w:t>
      </w:r>
    </w:p>
    <w:p w14:paraId="721098FF" w14:textId="71060929" w:rsidR="008863D1" w:rsidRDefault="008863D1" w:rsidP="009F72D7">
      <w:r>
        <w:t>An overview of adverse events across the integrated safety popul</w:t>
      </w:r>
      <w:r w:rsidR="00D97822">
        <w:t xml:space="preserve">ation are summarised in </w:t>
      </w:r>
      <w:r w:rsidR="00D97822">
        <w:fldChar w:fldCharType="begin"/>
      </w:r>
      <w:r w:rsidR="00D97822">
        <w:instrText xml:space="preserve"> REF _Ref50709531 \h </w:instrText>
      </w:r>
      <w:r w:rsidR="00D97822">
        <w:fldChar w:fldCharType="separate"/>
      </w:r>
      <w:r w:rsidR="005743D8" w:rsidRPr="008863D1">
        <w:t xml:space="preserve">Table </w:t>
      </w:r>
      <w:r w:rsidR="005743D8">
        <w:rPr>
          <w:noProof/>
        </w:rPr>
        <w:t>19</w:t>
      </w:r>
      <w:r w:rsidR="00D97822">
        <w:fldChar w:fldCharType="end"/>
      </w:r>
      <w:r w:rsidR="00E7212D">
        <w:t xml:space="preserve">. Treatment </w:t>
      </w:r>
      <w:r>
        <w:t>emergent adverse events and labo</w:t>
      </w:r>
      <w:r w:rsidR="009F72D7">
        <w:t xml:space="preserve">ratory abnormalities, including </w:t>
      </w:r>
      <w:r w:rsidR="009F72D7">
        <w:lastRenderedPageBreak/>
        <w:t>Common Terminology Criteria for Adverse Events</w:t>
      </w:r>
      <w:r w:rsidR="00DB1B06">
        <w:t>;</w:t>
      </w:r>
      <w:r w:rsidR="009F72D7">
        <w:rPr>
          <w:rStyle w:val="FootnoteReference"/>
        </w:rPr>
        <w:footnoteReference w:id="30"/>
      </w:r>
      <w:r w:rsidR="009F72D7">
        <w:t xml:space="preserve"> (CTCAE) </w:t>
      </w:r>
      <w:r w:rsidR="00F40A0C">
        <w:t>G</w:t>
      </w:r>
      <w:r w:rsidR="00F40A0C" w:rsidRPr="00A56ACE">
        <w:t>rade</w:t>
      </w:r>
      <w:r w:rsidR="009F72D7">
        <w:t xml:space="preserve"> 3 or higher</w:t>
      </w:r>
      <w:r>
        <w:t xml:space="preserve"> are summarised in </w:t>
      </w:r>
      <w:r w:rsidR="00D97822">
        <w:fldChar w:fldCharType="begin"/>
      </w:r>
      <w:r w:rsidR="00D97822">
        <w:instrText xml:space="preserve"> REF _Ref30499010 \h </w:instrText>
      </w:r>
      <w:r w:rsidR="00D97822">
        <w:fldChar w:fldCharType="separate"/>
      </w:r>
      <w:r w:rsidR="005743D8" w:rsidRPr="006421E2">
        <w:t xml:space="preserve">Table </w:t>
      </w:r>
      <w:r w:rsidR="005743D8">
        <w:rPr>
          <w:noProof/>
        </w:rPr>
        <w:t>20</w:t>
      </w:r>
      <w:r w:rsidR="00D97822">
        <w:fldChar w:fldCharType="end"/>
      </w:r>
      <w:r w:rsidR="00D97822">
        <w:t xml:space="preserve"> </w:t>
      </w:r>
      <w:r>
        <w:t>and</w:t>
      </w:r>
      <w:r w:rsidR="00D97822">
        <w:t xml:space="preserve"> </w:t>
      </w:r>
      <w:r w:rsidR="00D97822">
        <w:fldChar w:fldCharType="begin"/>
      </w:r>
      <w:r w:rsidR="00D97822">
        <w:instrText xml:space="preserve"> REF _Ref30499012 \h </w:instrText>
      </w:r>
      <w:r w:rsidR="00D97822">
        <w:fldChar w:fldCharType="separate"/>
      </w:r>
      <w:r w:rsidR="005743D8" w:rsidRPr="006421E2">
        <w:t xml:space="preserve">Table </w:t>
      </w:r>
      <w:r w:rsidR="005743D8">
        <w:rPr>
          <w:noProof/>
        </w:rPr>
        <w:t>21</w:t>
      </w:r>
      <w:r w:rsidR="00D97822">
        <w:fldChar w:fldCharType="end"/>
      </w:r>
      <w:r>
        <w:t xml:space="preserve">, respectively. Those relating to the nervous system class </w:t>
      </w:r>
      <w:r w:rsidR="00E7212D">
        <w:t xml:space="preserve">were the most notable treatment </w:t>
      </w:r>
      <w:r>
        <w:t>emergent adverse events.</w:t>
      </w:r>
    </w:p>
    <w:p w14:paraId="01CA6E52" w14:textId="577E173C" w:rsidR="008863D1" w:rsidRDefault="008863D1" w:rsidP="008863D1">
      <w:r>
        <w:t xml:space="preserve">For both haematology and biochemistry, the majority of shifts that were reported were low grade. The most common clinically relevant shifts (defined as a change from </w:t>
      </w:r>
      <w:r w:rsidR="00F40A0C">
        <w:t>G</w:t>
      </w:r>
      <w:r w:rsidR="00F40A0C" w:rsidRPr="00A56ACE">
        <w:t>rade</w:t>
      </w:r>
      <w:r>
        <w:t xml:space="preserve"> 0, 1 or 2 at </w:t>
      </w:r>
      <w:r w:rsidR="00E01317">
        <w:t>Baseline</w:t>
      </w:r>
      <w:r>
        <w:t xml:space="preserve"> to </w:t>
      </w:r>
      <w:r w:rsidR="00F40A0C">
        <w:t>G</w:t>
      </w:r>
      <w:r w:rsidR="00F40A0C" w:rsidRPr="00A56ACE">
        <w:t>rade</w:t>
      </w:r>
      <w:r>
        <w:t xml:space="preserve"> 3 or 4 post-</w:t>
      </w:r>
      <w:r w:rsidR="00E01317">
        <w:t>Baseline</w:t>
      </w:r>
      <w:r>
        <w:t xml:space="preserve">) were </w:t>
      </w:r>
      <w:r w:rsidR="00F40A0C">
        <w:t>G</w:t>
      </w:r>
      <w:r w:rsidR="00F40A0C" w:rsidRPr="00A56ACE">
        <w:t>rade</w:t>
      </w:r>
      <w:r>
        <w:t xml:space="preserve"> 3 anaemia (9%), </w:t>
      </w:r>
      <w:proofErr w:type="spellStart"/>
      <w:r>
        <w:t>neutrop</w:t>
      </w:r>
      <w:r w:rsidR="009857DF">
        <w:t>a</w:t>
      </w:r>
      <w:r>
        <w:t>enia</w:t>
      </w:r>
      <w:proofErr w:type="spellEnd"/>
      <w:r>
        <w:t xml:space="preserve"> (7%), hypophosphataemia (12%), hyponatraemia (</w:t>
      </w:r>
      <w:r w:rsidR="009F72D7">
        <w:t xml:space="preserve">4%) and </w:t>
      </w:r>
      <w:proofErr w:type="spellStart"/>
      <w:r w:rsidR="009F72D7">
        <w:t>hypoalbuminaemia</w:t>
      </w:r>
      <w:proofErr w:type="spellEnd"/>
      <w:r w:rsidR="009F72D7">
        <w:t xml:space="preserve"> (3%), </w:t>
      </w:r>
      <w:proofErr w:type="spellStart"/>
      <w:r w:rsidR="009F72D7">
        <w:t>h</w:t>
      </w:r>
      <w:r>
        <w:t>yperuricaemia</w:t>
      </w:r>
      <w:proofErr w:type="spellEnd"/>
      <w:r>
        <w:t xml:space="preserve"> is dis</w:t>
      </w:r>
      <w:r w:rsidR="009F72D7">
        <w:t>cussed further in section a</w:t>
      </w:r>
      <w:r w:rsidR="009F72D7" w:rsidRPr="009F72D7">
        <w:t>dverse events of special interest</w:t>
      </w:r>
      <w:r w:rsidR="009F72D7">
        <w:t>.</w:t>
      </w:r>
    </w:p>
    <w:p w14:paraId="6FD02FD7" w14:textId="36D8FDA1" w:rsidR="008863D1" w:rsidRDefault="008863D1" w:rsidP="008863D1">
      <w:r w:rsidRPr="008863D1">
        <w:t>Elevated serum creatinine was common but renal failure was not reported, raising the possibility of a secretory cause, assay effect, or entrectinib influence on catabolism</w:t>
      </w:r>
      <w:r w:rsidR="009857DF">
        <w:t>.</w:t>
      </w:r>
    </w:p>
    <w:p w14:paraId="487886D6" w14:textId="1E655C4E" w:rsidR="008863D1" w:rsidRPr="008863D1" w:rsidRDefault="008863D1" w:rsidP="008863D1">
      <w:pPr>
        <w:pStyle w:val="TableTitle"/>
      </w:pPr>
      <w:bookmarkStart w:id="68" w:name="_Ref50709531"/>
      <w:bookmarkStart w:id="69" w:name="_Ref50709525"/>
      <w:r w:rsidRPr="008863D1">
        <w:t xml:space="preserve">Table </w:t>
      </w:r>
      <w:fldSimple w:instr=" SEQ Table \* ARABIC ">
        <w:r w:rsidR="009B407B">
          <w:rPr>
            <w:noProof/>
          </w:rPr>
          <w:t>25</w:t>
        </w:r>
      </w:fldSimple>
      <w:bookmarkEnd w:id="68"/>
      <w:r w:rsidRPr="008863D1">
        <w:t xml:space="preserve"> </w:t>
      </w:r>
      <w:r>
        <w:t xml:space="preserve">Overview of adverse events </w:t>
      </w:r>
      <w:r>
        <w:rPr>
          <w:rFonts w:asciiTheme="minorHAnsi" w:hAnsiTheme="minorHAnsi" w:cs="Calibri"/>
        </w:rPr>
        <w:t>in the integrated safety population</w:t>
      </w:r>
      <w:bookmarkEnd w:id="69"/>
    </w:p>
    <w:tbl>
      <w:tblPr>
        <w:tblStyle w:val="TableTGAblue"/>
        <w:tblW w:w="5000" w:type="pct"/>
        <w:tblLook w:val="01E0" w:firstRow="1" w:lastRow="1" w:firstColumn="1" w:lastColumn="1" w:noHBand="0" w:noVBand="0"/>
      </w:tblPr>
      <w:tblGrid>
        <w:gridCol w:w="2076"/>
        <w:gridCol w:w="1195"/>
        <w:gridCol w:w="1312"/>
        <w:gridCol w:w="1312"/>
        <w:gridCol w:w="1313"/>
        <w:gridCol w:w="1276"/>
      </w:tblGrid>
      <w:tr w:rsidR="008863D1" w:rsidRPr="009C0CE3" w14:paraId="3F1FF4EC" w14:textId="77777777" w:rsidTr="008863D1">
        <w:trPr>
          <w:cnfStyle w:val="100000000000" w:firstRow="1" w:lastRow="0" w:firstColumn="0" w:lastColumn="0" w:oddVBand="0" w:evenVBand="0" w:oddHBand="0" w:evenHBand="0" w:firstRowFirstColumn="0" w:firstRowLastColumn="0" w:lastRowFirstColumn="0" w:lastRowLastColumn="0"/>
          <w:trHeight w:val="711"/>
        </w:trPr>
        <w:tc>
          <w:tcPr>
            <w:tcW w:w="1224" w:type="pct"/>
          </w:tcPr>
          <w:p w14:paraId="1E0F7CA8" w14:textId="77777777" w:rsidR="008863D1" w:rsidRPr="009C0CE3" w:rsidRDefault="008863D1" w:rsidP="007D2F65">
            <w:pPr>
              <w:pStyle w:val="TableParagraph"/>
              <w:ind w:left="0" w:right="0"/>
              <w:rPr>
                <w:rFonts w:asciiTheme="minorHAnsi" w:hAnsiTheme="minorHAnsi"/>
                <w:b w:val="0"/>
                <w:sz w:val="19"/>
                <w:szCs w:val="19"/>
              </w:rPr>
            </w:pPr>
            <w:r w:rsidRPr="009C0CE3">
              <w:rPr>
                <w:rFonts w:asciiTheme="minorHAnsi" w:hAnsiTheme="minorHAnsi"/>
                <w:w w:val="105"/>
                <w:sz w:val="19"/>
                <w:szCs w:val="19"/>
              </w:rPr>
              <w:t>Parameter</w:t>
            </w:r>
          </w:p>
        </w:tc>
        <w:tc>
          <w:tcPr>
            <w:tcW w:w="704" w:type="pct"/>
          </w:tcPr>
          <w:p w14:paraId="532E0BFA" w14:textId="77777777" w:rsidR="008863D1" w:rsidRPr="009C0CE3" w:rsidRDefault="008863D1" w:rsidP="007D2F65">
            <w:pPr>
              <w:pStyle w:val="TableParagraph"/>
              <w:ind w:left="0" w:right="0"/>
              <w:jc w:val="center"/>
              <w:rPr>
                <w:rFonts w:asciiTheme="minorHAnsi" w:hAnsiTheme="minorHAnsi"/>
                <w:b w:val="0"/>
                <w:i/>
                <w:sz w:val="19"/>
                <w:szCs w:val="19"/>
              </w:rPr>
            </w:pPr>
            <w:r w:rsidRPr="009C0CE3">
              <w:rPr>
                <w:rFonts w:asciiTheme="minorHAnsi" w:hAnsiTheme="minorHAnsi"/>
                <w:i/>
                <w:w w:val="105"/>
                <w:sz w:val="19"/>
                <w:szCs w:val="19"/>
              </w:rPr>
              <w:t>NTRK</w:t>
            </w:r>
          </w:p>
          <w:p w14:paraId="288E5295" w14:textId="77777777"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Adult</w:t>
            </w:r>
          </w:p>
          <w:p w14:paraId="7702F305" w14:textId="218241EE"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(n</w:t>
            </w:r>
            <w:r w:rsidR="00F2463B">
              <w:rPr>
                <w:rFonts w:asciiTheme="minorHAnsi" w:hAnsiTheme="minorHAnsi"/>
                <w:w w:val="105"/>
                <w:sz w:val="19"/>
                <w:szCs w:val="19"/>
              </w:rPr>
              <w:t xml:space="preserve"> </w:t>
            </w:r>
            <w:r w:rsidRPr="009C0CE3">
              <w:rPr>
                <w:rFonts w:asciiTheme="minorHAnsi" w:hAnsiTheme="minorHAnsi"/>
                <w:w w:val="105"/>
                <w:sz w:val="19"/>
                <w:szCs w:val="19"/>
              </w:rPr>
              <w:t>=</w:t>
            </w:r>
            <w:r w:rsidR="00F2463B">
              <w:rPr>
                <w:rFonts w:asciiTheme="minorHAnsi" w:hAnsiTheme="minorHAnsi"/>
                <w:w w:val="105"/>
                <w:sz w:val="19"/>
                <w:szCs w:val="19"/>
              </w:rPr>
              <w:t xml:space="preserve"> </w:t>
            </w:r>
            <w:r w:rsidRPr="009C0CE3">
              <w:rPr>
                <w:rFonts w:asciiTheme="minorHAnsi" w:hAnsiTheme="minorHAnsi"/>
                <w:w w:val="105"/>
                <w:sz w:val="19"/>
                <w:szCs w:val="19"/>
              </w:rPr>
              <w:t>68)</w:t>
            </w:r>
          </w:p>
        </w:tc>
        <w:tc>
          <w:tcPr>
            <w:tcW w:w="773" w:type="pct"/>
          </w:tcPr>
          <w:p w14:paraId="4731FF4D" w14:textId="77777777"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i/>
                <w:w w:val="105"/>
                <w:sz w:val="19"/>
                <w:szCs w:val="19"/>
              </w:rPr>
              <w:t xml:space="preserve">ROS1 </w:t>
            </w:r>
            <w:r w:rsidRPr="009C0CE3">
              <w:rPr>
                <w:rFonts w:asciiTheme="minorHAnsi" w:hAnsiTheme="minorHAnsi"/>
                <w:w w:val="105"/>
                <w:sz w:val="19"/>
                <w:szCs w:val="19"/>
              </w:rPr>
              <w:t>NSCLC</w:t>
            </w:r>
          </w:p>
          <w:p w14:paraId="641C09CF" w14:textId="77777777"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Adult</w:t>
            </w:r>
          </w:p>
          <w:p w14:paraId="22B12610" w14:textId="20227C0E"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(n</w:t>
            </w:r>
            <w:r w:rsidR="00F2463B">
              <w:rPr>
                <w:rFonts w:asciiTheme="minorHAnsi" w:hAnsiTheme="minorHAnsi"/>
                <w:w w:val="105"/>
                <w:sz w:val="19"/>
                <w:szCs w:val="19"/>
              </w:rPr>
              <w:t xml:space="preserve"> </w:t>
            </w:r>
            <w:r w:rsidRPr="009C0CE3">
              <w:rPr>
                <w:rFonts w:asciiTheme="minorHAnsi" w:hAnsiTheme="minorHAnsi"/>
                <w:w w:val="105"/>
                <w:sz w:val="19"/>
                <w:szCs w:val="19"/>
              </w:rPr>
              <w:t>=</w:t>
            </w:r>
            <w:r w:rsidR="00F2463B">
              <w:rPr>
                <w:rFonts w:asciiTheme="minorHAnsi" w:hAnsiTheme="minorHAnsi"/>
                <w:w w:val="105"/>
                <w:sz w:val="19"/>
                <w:szCs w:val="19"/>
              </w:rPr>
              <w:t xml:space="preserve"> </w:t>
            </w:r>
            <w:r w:rsidRPr="009C0CE3">
              <w:rPr>
                <w:rFonts w:asciiTheme="minorHAnsi" w:hAnsiTheme="minorHAnsi"/>
                <w:w w:val="105"/>
                <w:sz w:val="19"/>
                <w:szCs w:val="19"/>
              </w:rPr>
              <w:t>133)</w:t>
            </w:r>
          </w:p>
        </w:tc>
        <w:tc>
          <w:tcPr>
            <w:tcW w:w="773" w:type="pct"/>
          </w:tcPr>
          <w:p w14:paraId="010E01D1" w14:textId="77777777"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sz w:val="19"/>
                <w:szCs w:val="19"/>
              </w:rPr>
              <w:t xml:space="preserve">Other </w:t>
            </w:r>
            <w:r w:rsidRPr="009C0CE3">
              <w:rPr>
                <w:rFonts w:asciiTheme="minorHAnsi" w:hAnsiTheme="minorHAnsi"/>
                <w:w w:val="105"/>
                <w:sz w:val="19"/>
                <w:szCs w:val="19"/>
              </w:rPr>
              <w:t>Adult</w:t>
            </w:r>
          </w:p>
          <w:p w14:paraId="116865C7" w14:textId="15E4AA21"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(n</w:t>
            </w:r>
            <w:r w:rsidR="00F2463B">
              <w:rPr>
                <w:rFonts w:asciiTheme="minorHAnsi" w:hAnsiTheme="minorHAnsi"/>
                <w:w w:val="105"/>
                <w:sz w:val="19"/>
                <w:szCs w:val="19"/>
              </w:rPr>
              <w:t xml:space="preserve"> </w:t>
            </w:r>
            <w:r w:rsidRPr="009C0CE3">
              <w:rPr>
                <w:rFonts w:asciiTheme="minorHAnsi" w:hAnsiTheme="minorHAnsi"/>
                <w:w w:val="105"/>
                <w:sz w:val="19"/>
                <w:szCs w:val="19"/>
              </w:rPr>
              <w:t>=</w:t>
            </w:r>
            <w:r w:rsidR="00F2463B">
              <w:rPr>
                <w:rFonts w:asciiTheme="minorHAnsi" w:hAnsiTheme="minorHAnsi"/>
                <w:w w:val="105"/>
                <w:sz w:val="19"/>
                <w:szCs w:val="19"/>
              </w:rPr>
              <w:t xml:space="preserve"> </w:t>
            </w:r>
            <w:r w:rsidRPr="009C0CE3">
              <w:rPr>
                <w:rFonts w:asciiTheme="minorHAnsi" w:hAnsiTheme="minorHAnsi"/>
                <w:w w:val="105"/>
                <w:sz w:val="19"/>
                <w:szCs w:val="19"/>
              </w:rPr>
              <w:t>137)</w:t>
            </w:r>
          </w:p>
        </w:tc>
        <w:tc>
          <w:tcPr>
            <w:tcW w:w="774" w:type="pct"/>
          </w:tcPr>
          <w:p w14:paraId="6D153545" w14:textId="59579589" w:rsidR="008863D1" w:rsidRPr="009C0CE3" w:rsidRDefault="008863D1" w:rsidP="007D2F65">
            <w:pPr>
              <w:pStyle w:val="TableParagraph"/>
              <w:ind w:left="0" w:right="0"/>
              <w:jc w:val="center"/>
              <w:rPr>
                <w:rFonts w:asciiTheme="minorHAnsi" w:hAnsiTheme="minorHAnsi"/>
                <w:b w:val="0"/>
                <w:sz w:val="19"/>
                <w:szCs w:val="19"/>
              </w:rPr>
            </w:pPr>
            <w:r w:rsidRPr="00507541">
              <w:rPr>
                <w:rFonts w:asciiTheme="minorHAnsi" w:hAnsiTheme="minorHAnsi"/>
                <w:sz w:val="18"/>
                <w:szCs w:val="19"/>
              </w:rPr>
              <w:t>Pediatric</w:t>
            </w:r>
            <w:r w:rsidRPr="009C0CE3">
              <w:rPr>
                <w:rFonts w:asciiTheme="minorHAnsi" w:hAnsiTheme="minorHAnsi"/>
                <w:sz w:val="19"/>
                <w:szCs w:val="19"/>
              </w:rPr>
              <w:t xml:space="preserve"> </w:t>
            </w:r>
            <w:r w:rsidRPr="009C0CE3">
              <w:rPr>
                <w:rFonts w:asciiTheme="minorHAnsi" w:hAnsiTheme="minorHAnsi"/>
                <w:w w:val="105"/>
                <w:sz w:val="19"/>
                <w:szCs w:val="19"/>
              </w:rPr>
              <w:t>(n</w:t>
            </w:r>
            <w:r w:rsidR="00F2463B">
              <w:rPr>
                <w:rFonts w:asciiTheme="minorHAnsi" w:hAnsiTheme="minorHAnsi"/>
                <w:w w:val="105"/>
                <w:sz w:val="19"/>
                <w:szCs w:val="19"/>
              </w:rPr>
              <w:t xml:space="preserve"> </w:t>
            </w:r>
            <w:r w:rsidRPr="009C0CE3">
              <w:rPr>
                <w:rFonts w:asciiTheme="minorHAnsi" w:hAnsiTheme="minorHAnsi"/>
                <w:w w:val="105"/>
                <w:sz w:val="19"/>
                <w:szCs w:val="19"/>
              </w:rPr>
              <w:t>=</w:t>
            </w:r>
            <w:r w:rsidR="00F2463B">
              <w:rPr>
                <w:rFonts w:asciiTheme="minorHAnsi" w:hAnsiTheme="minorHAnsi"/>
                <w:w w:val="105"/>
                <w:sz w:val="19"/>
                <w:szCs w:val="19"/>
              </w:rPr>
              <w:t xml:space="preserve"> </w:t>
            </w:r>
            <w:r w:rsidRPr="009C0CE3">
              <w:rPr>
                <w:rFonts w:asciiTheme="minorHAnsi" w:hAnsiTheme="minorHAnsi"/>
                <w:w w:val="105"/>
                <w:sz w:val="19"/>
                <w:szCs w:val="19"/>
              </w:rPr>
              <w:t>17)</w:t>
            </w:r>
          </w:p>
        </w:tc>
        <w:tc>
          <w:tcPr>
            <w:tcW w:w="752" w:type="pct"/>
          </w:tcPr>
          <w:p w14:paraId="61A98353" w14:textId="295ADDC8" w:rsidR="008863D1" w:rsidRPr="009C0CE3" w:rsidRDefault="008863D1" w:rsidP="007D2F65">
            <w:pPr>
              <w:pStyle w:val="TableParagraph"/>
              <w:ind w:left="0" w:right="0"/>
              <w:jc w:val="center"/>
              <w:rPr>
                <w:rFonts w:asciiTheme="minorHAnsi" w:hAnsiTheme="minorHAnsi"/>
                <w:b w:val="0"/>
                <w:sz w:val="19"/>
                <w:szCs w:val="19"/>
              </w:rPr>
            </w:pPr>
            <w:r w:rsidRPr="009C0CE3">
              <w:rPr>
                <w:rFonts w:asciiTheme="minorHAnsi" w:hAnsiTheme="minorHAnsi"/>
                <w:w w:val="105"/>
                <w:sz w:val="19"/>
                <w:szCs w:val="19"/>
              </w:rPr>
              <w:t xml:space="preserve">All </w:t>
            </w:r>
            <w:r w:rsidRPr="009C0CE3">
              <w:rPr>
                <w:rFonts w:asciiTheme="minorHAnsi" w:hAnsiTheme="minorHAnsi"/>
                <w:sz w:val="19"/>
                <w:szCs w:val="19"/>
              </w:rPr>
              <w:t>(n</w:t>
            </w:r>
            <w:r w:rsidR="00F2463B">
              <w:rPr>
                <w:rFonts w:asciiTheme="minorHAnsi" w:hAnsiTheme="minorHAnsi"/>
                <w:sz w:val="19"/>
                <w:szCs w:val="19"/>
              </w:rPr>
              <w:t xml:space="preserve"> </w:t>
            </w:r>
            <w:r w:rsidRPr="009C0CE3">
              <w:rPr>
                <w:rFonts w:asciiTheme="minorHAnsi" w:hAnsiTheme="minorHAnsi"/>
                <w:sz w:val="19"/>
                <w:szCs w:val="19"/>
              </w:rPr>
              <w:t>=</w:t>
            </w:r>
            <w:r w:rsidR="00F2463B">
              <w:rPr>
                <w:rFonts w:asciiTheme="minorHAnsi" w:hAnsiTheme="minorHAnsi"/>
                <w:sz w:val="19"/>
                <w:szCs w:val="19"/>
              </w:rPr>
              <w:t xml:space="preserve"> </w:t>
            </w:r>
            <w:r w:rsidRPr="009C0CE3">
              <w:rPr>
                <w:rFonts w:asciiTheme="minorHAnsi" w:hAnsiTheme="minorHAnsi"/>
                <w:sz w:val="19"/>
                <w:szCs w:val="19"/>
              </w:rPr>
              <w:t>355)</w:t>
            </w:r>
          </w:p>
        </w:tc>
      </w:tr>
      <w:tr w:rsidR="008863D1" w:rsidRPr="009C0CE3" w14:paraId="0945B1CA" w14:textId="77777777" w:rsidTr="008863D1">
        <w:trPr>
          <w:trHeight w:val="254"/>
        </w:trPr>
        <w:tc>
          <w:tcPr>
            <w:tcW w:w="1224" w:type="pct"/>
          </w:tcPr>
          <w:p w14:paraId="4803DF8B"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AE (%)</w:t>
            </w:r>
          </w:p>
        </w:tc>
        <w:tc>
          <w:tcPr>
            <w:tcW w:w="704" w:type="pct"/>
          </w:tcPr>
          <w:p w14:paraId="57A3C138"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100</w:t>
            </w:r>
          </w:p>
        </w:tc>
        <w:tc>
          <w:tcPr>
            <w:tcW w:w="773" w:type="pct"/>
          </w:tcPr>
          <w:p w14:paraId="4038667F"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100</w:t>
            </w:r>
          </w:p>
        </w:tc>
        <w:tc>
          <w:tcPr>
            <w:tcW w:w="773" w:type="pct"/>
          </w:tcPr>
          <w:p w14:paraId="4EC0F838"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99</w:t>
            </w:r>
          </w:p>
        </w:tc>
        <w:tc>
          <w:tcPr>
            <w:tcW w:w="774" w:type="pct"/>
          </w:tcPr>
          <w:p w14:paraId="5BFF4D44"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100</w:t>
            </w:r>
          </w:p>
        </w:tc>
        <w:tc>
          <w:tcPr>
            <w:tcW w:w="752" w:type="pct"/>
          </w:tcPr>
          <w:p w14:paraId="6C440A22"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99</w:t>
            </w:r>
          </w:p>
        </w:tc>
      </w:tr>
      <w:tr w:rsidR="008863D1" w:rsidRPr="009C0CE3" w14:paraId="4E39C582" w14:textId="77777777" w:rsidTr="008863D1">
        <w:trPr>
          <w:trHeight w:val="236"/>
        </w:trPr>
        <w:tc>
          <w:tcPr>
            <w:tcW w:w="1224" w:type="pct"/>
          </w:tcPr>
          <w:p w14:paraId="51C25A8A"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treatment related AE (%)</w:t>
            </w:r>
          </w:p>
        </w:tc>
        <w:tc>
          <w:tcPr>
            <w:tcW w:w="704" w:type="pct"/>
          </w:tcPr>
          <w:p w14:paraId="281836E7"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100</w:t>
            </w:r>
          </w:p>
        </w:tc>
        <w:tc>
          <w:tcPr>
            <w:tcW w:w="773" w:type="pct"/>
          </w:tcPr>
          <w:p w14:paraId="43FEFC6E"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100</w:t>
            </w:r>
          </w:p>
        </w:tc>
        <w:tc>
          <w:tcPr>
            <w:tcW w:w="773" w:type="pct"/>
          </w:tcPr>
          <w:p w14:paraId="2826F0DD"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98</w:t>
            </w:r>
          </w:p>
        </w:tc>
        <w:tc>
          <w:tcPr>
            <w:tcW w:w="774" w:type="pct"/>
          </w:tcPr>
          <w:p w14:paraId="78F30D26"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100</w:t>
            </w:r>
          </w:p>
        </w:tc>
        <w:tc>
          <w:tcPr>
            <w:tcW w:w="752" w:type="pct"/>
          </w:tcPr>
          <w:p w14:paraId="1F4C53DB"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99</w:t>
            </w:r>
          </w:p>
        </w:tc>
      </w:tr>
      <w:tr w:rsidR="008863D1" w:rsidRPr="009C0CE3" w14:paraId="3713BB01" w14:textId="77777777" w:rsidTr="008863D1">
        <w:trPr>
          <w:trHeight w:val="220"/>
        </w:trPr>
        <w:tc>
          <w:tcPr>
            <w:tcW w:w="1224" w:type="pct"/>
          </w:tcPr>
          <w:p w14:paraId="195AFAF9"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SAE (%)</w:t>
            </w:r>
          </w:p>
        </w:tc>
        <w:tc>
          <w:tcPr>
            <w:tcW w:w="704" w:type="pct"/>
          </w:tcPr>
          <w:p w14:paraId="525AE7C4"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47</w:t>
            </w:r>
          </w:p>
        </w:tc>
        <w:tc>
          <w:tcPr>
            <w:tcW w:w="773" w:type="pct"/>
          </w:tcPr>
          <w:p w14:paraId="047A24B8"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37</w:t>
            </w:r>
          </w:p>
        </w:tc>
        <w:tc>
          <w:tcPr>
            <w:tcW w:w="773" w:type="pct"/>
          </w:tcPr>
          <w:p w14:paraId="5CDF6A81"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40</w:t>
            </w:r>
          </w:p>
        </w:tc>
        <w:tc>
          <w:tcPr>
            <w:tcW w:w="774" w:type="pct"/>
          </w:tcPr>
          <w:p w14:paraId="0205B188"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13</w:t>
            </w:r>
          </w:p>
        </w:tc>
        <w:tc>
          <w:tcPr>
            <w:tcW w:w="752" w:type="pct"/>
          </w:tcPr>
          <w:p w14:paraId="2F7859A4"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39</w:t>
            </w:r>
          </w:p>
        </w:tc>
      </w:tr>
      <w:tr w:rsidR="008863D1" w:rsidRPr="009C0CE3" w14:paraId="62E674F4" w14:textId="77777777" w:rsidTr="008863D1">
        <w:trPr>
          <w:trHeight w:val="254"/>
        </w:trPr>
        <w:tc>
          <w:tcPr>
            <w:tcW w:w="1224" w:type="pct"/>
          </w:tcPr>
          <w:p w14:paraId="0AF9D85A"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related SAE (%)</w:t>
            </w:r>
          </w:p>
        </w:tc>
        <w:tc>
          <w:tcPr>
            <w:tcW w:w="704" w:type="pct"/>
          </w:tcPr>
          <w:p w14:paraId="2DEDB702"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10</w:t>
            </w:r>
          </w:p>
        </w:tc>
        <w:tc>
          <w:tcPr>
            <w:tcW w:w="773" w:type="pct"/>
          </w:tcPr>
          <w:p w14:paraId="1392980D"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13</w:t>
            </w:r>
          </w:p>
        </w:tc>
        <w:tc>
          <w:tcPr>
            <w:tcW w:w="773" w:type="pct"/>
          </w:tcPr>
          <w:p w14:paraId="79DFF9C5"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w w:val="102"/>
                <w:sz w:val="19"/>
              </w:rPr>
              <w:t>5</w:t>
            </w:r>
          </w:p>
        </w:tc>
        <w:tc>
          <w:tcPr>
            <w:tcW w:w="774" w:type="pct"/>
          </w:tcPr>
          <w:p w14:paraId="207DEC9C"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w w:val="102"/>
                <w:sz w:val="19"/>
              </w:rPr>
              <w:t>6</w:t>
            </w:r>
          </w:p>
        </w:tc>
        <w:tc>
          <w:tcPr>
            <w:tcW w:w="752" w:type="pct"/>
          </w:tcPr>
          <w:p w14:paraId="19EAE1D5"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w w:val="102"/>
                <w:sz w:val="19"/>
              </w:rPr>
              <w:t>9</w:t>
            </w:r>
          </w:p>
        </w:tc>
      </w:tr>
      <w:tr w:rsidR="008863D1" w:rsidRPr="009C0CE3" w14:paraId="4731949C" w14:textId="77777777" w:rsidTr="008863D1">
        <w:trPr>
          <w:trHeight w:val="219"/>
        </w:trPr>
        <w:tc>
          <w:tcPr>
            <w:tcW w:w="1224" w:type="pct"/>
          </w:tcPr>
          <w:p w14:paraId="3E21A6E8" w14:textId="23BC3C56"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szCs w:val="19"/>
              </w:rPr>
              <w:t xml:space="preserve">Patients with Grade </w:t>
            </w:r>
            <w:r w:rsidR="00CE2749">
              <w:sym w:font="Symbol" w:char="F0B3"/>
            </w:r>
            <w:r w:rsidR="007D66D3">
              <w:rPr>
                <w:rFonts w:asciiTheme="minorHAnsi" w:hAnsiTheme="minorHAnsi"/>
                <w:color w:val="231F20"/>
                <w:sz w:val="19"/>
                <w:szCs w:val="19"/>
              </w:rPr>
              <w:t xml:space="preserve"> </w:t>
            </w:r>
            <w:r w:rsidRPr="009C0CE3">
              <w:rPr>
                <w:rFonts w:asciiTheme="minorHAnsi" w:hAnsiTheme="minorHAnsi"/>
                <w:color w:val="231F20"/>
                <w:sz w:val="19"/>
                <w:szCs w:val="19"/>
              </w:rPr>
              <w:t>3 AE (%)</w:t>
            </w:r>
          </w:p>
        </w:tc>
        <w:tc>
          <w:tcPr>
            <w:tcW w:w="704" w:type="pct"/>
          </w:tcPr>
          <w:p w14:paraId="2C0CEC32"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74</w:t>
            </w:r>
          </w:p>
        </w:tc>
        <w:tc>
          <w:tcPr>
            <w:tcW w:w="773" w:type="pct"/>
          </w:tcPr>
          <w:p w14:paraId="06CE12CF"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61</w:t>
            </w:r>
          </w:p>
        </w:tc>
        <w:tc>
          <w:tcPr>
            <w:tcW w:w="773" w:type="pct"/>
          </w:tcPr>
          <w:p w14:paraId="2AB43E1B"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56</w:t>
            </w:r>
          </w:p>
        </w:tc>
        <w:tc>
          <w:tcPr>
            <w:tcW w:w="774" w:type="pct"/>
          </w:tcPr>
          <w:p w14:paraId="5FBF6068"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50</w:t>
            </w:r>
          </w:p>
        </w:tc>
        <w:tc>
          <w:tcPr>
            <w:tcW w:w="752" w:type="pct"/>
          </w:tcPr>
          <w:p w14:paraId="4BE26460"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61</w:t>
            </w:r>
          </w:p>
        </w:tc>
      </w:tr>
      <w:tr w:rsidR="008863D1" w:rsidRPr="009C0CE3" w14:paraId="549F0F4F" w14:textId="77777777" w:rsidTr="008863D1">
        <w:trPr>
          <w:trHeight w:val="254"/>
        </w:trPr>
        <w:tc>
          <w:tcPr>
            <w:tcW w:w="1224" w:type="pct"/>
          </w:tcPr>
          <w:p w14:paraId="541F076D"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 xml:space="preserve">Patients with AE leading to discontinuation </w:t>
            </w:r>
            <w:r>
              <w:rPr>
                <w:rFonts w:asciiTheme="minorHAnsi" w:hAnsiTheme="minorHAnsi"/>
                <w:color w:val="231F20"/>
                <w:sz w:val="19"/>
              </w:rPr>
              <w:t>(</w:t>
            </w:r>
            <w:r w:rsidRPr="009C0CE3">
              <w:rPr>
                <w:rFonts w:asciiTheme="minorHAnsi" w:hAnsiTheme="minorHAnsi"/>
                <w:color w:val="231F20"/>
                <w:sz w:val="19"/>
              </w:rPr>
              <w:t>%)</w:t>
            </w:r>
          </w:p>
        </w:tc>
        <w:tc>
          <w:tcPr>
            <w:tcW w:w="704" w:type="pct"/>
          </w:tcPr>
          <w:p w14:paraId="456CC9DF"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sz w:val="19"/>
              </w:rPr>
              <w:t>13</w:t>
            </w:r>
          </w:p>
        </w:tc>
        <w:tc>
          <w:tcPr>
            <w:tcW w:w="773" w:type="pct"/>
          </w:tcPr>
          <w:p w14:paraId="798951B7"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9</w:t>
            </w:r>
          </w:p>
        </w:tc>
        <w:tc>
          <w:tcPr>
            <w:tcW w:w="773" w:type="pct"/>
          </w:tcPr>
          <w:p w14:paraId="2410D44A"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6</w:t>
            </w:r>
          </w:p>
        </w:tc>
        <w:tc>
          <w:tcPr>
            <w:tcW w:w="774" w:type="pct"/>
          </w:tcPr>
          <w:p w14:paraId="34ACE9A2"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6</w:t>
            </w:r>
          </w:p>
        </w:tc>
        <w:tc>
          <w:tcPr>
            <w:tcW w:w="752" w:type="pct"/>
          </w:tcPr>
          <w:p w14:paraId="688BC204"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9</w:t>
            </w:r>
          </w:p>
        </w:tc>
      </w:tr>
      <w:tr w:rsidR="008863D1" w:rsidRPr="009C0CE3" w14:paraId="23214C05" w14:textId="77777777" w:rsidTr="008863D1">
        <w:trPr>
          <w:trHeight w:val="237"/>
        </w:trPr>
        <w:tc>
          <w:tcPr>
            <w:tcW w:w="1224" w:type="pct"/>
          </w:tcPr>
          <w:p w14:paraId="751B2D33"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AE leading to dose reduction (%)</w:t>
            </w:r>
          </w:p>
        </w:tc>
        <w:tc>
          <w:tcPr>
            <w:tcW w:w="704" w:type="pct"/>
          </w:tcPr>
          <w:p w14:paraId="2EA2061F"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41</w:t>
            </w:r>
          </w:p>
        </w:tc>
        <w:tc>
          <w:tcPr>
            <w:tcW w:w="773" w:type="pct"/>
          </w:tcPr>
          <w:p w14:paraId="18D1B233"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34</w:t>
            </w:r>
          </w:p>
        </w:tc>
        <w:tc>
          <w:tcPr>
            <w:tcW w:w="773" w:type="pct"/>
          </w:tcPr>
          <w:p w14:paraId="3FAE0753"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16</w:t>
            </w:r>
          </w:p>
        </w:tc>
        <w:tc>
          <w:tcPr>
            <w:tcW w:w="774" w:type="pct"/>
          </w:tcPr>
          <w:p w14:paraId="125BC8DB"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25</w:t>
            </w:r>
          </w:p>
        </w:tc>
        <w:tc>
          <w:tcPr>
            <w:tcW w:w="752" w:type="pct"/>
          </w:tcPr>
          <w:p w14:paraId="66353AE5"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28</w:t>
            </w:r>
          </w:p>
        </w:tc>
      </w:tr>
      <w:tr w:rsidR="008863D1" w:rsidRPr="009C0CE3" w14:paraId="6DBEBFAE" w14:textId="77777777" w:rsidTr="008863D1">
        <w:trPr>
          <w:trHeight w:val="217"/>
        </w:trPr>
        <w:tc>
          <w:tcPr>
            <w:tcW w:w="1224" w:type="pct"/>
          </w:tcPr>
          <w:p w14:paraId="4F6E13B6"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AE leading to drug interruption (%)</w:t>
            </w:r>
          </w:p>
        </w:tc>
        <w:tc>
          <w:tcPr>
            <w:tcW w:w="704" w:type="pct"/>
          </w:tcPr>
          <w:p w14:paraId="4CF71A4A"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56</w:t>
            </w:r>
          </w:p>
        </w:tc>
        <w:tc>
          <w:tcPr>
            <w:tcW w:w="773" w:type="pct"/>
          </w:tcPr>
          <w:p w14:paraId="3EB8554F"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45</w:t>
            </w:r>
          </w:p>
        </w:tc>
        <w:tc>
          <w:tcPr>
            <w:tcW w:w="773" w:type="pct"/>
          </w:tcPr>
          <w:p w14:paraId="40AD9C07"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43</w:t>
            </w:r>
          </w:p>
        </w:tc>
        <w:tc>
          <w:tcPr>
            <w:tcW w:w="774" w:type="pct"/>
          </w:tcPr>
          <w:p w14:paraId="5F479AB3"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38</w:t>
            </w:r>
          </w:p>
        </w:tc>
        <w:tc>
          <w:tcPr>
            <w:tcW w:w="752" w:type="pct"/>
          </w:tcPr>
          <w:p w14:paraId="59069CEB" w14:textId="77777777" w:rsidR="008863D1" w:rsidRPr="009C0CE3" w:rsidRDefault="008863D1" w:rsidP="007D2F65">
            <w:pPr>
              <w:pStyle w:val="TableParagraph"/>
              <w:ind w:left="0" w:right="0"/>
              <w:jc w:val="center"/>
              <w:rPr>
                <w:rFonts w:asciiTheme="minorHAnsi" w:hAnsiTheme="minorHAnsi"/>
                <w:sz w:val="19"/>
              </w:rPr>
            </w:pPr>
            <w:r w:rsidRPr="009C0CE3">
              <w:rPr>
                <w:rFonts w:asciiTheme="minorHAnsi" w:hAnsiTheme="minorHAnsi"/>
                <w:color w:val="231F20"/>
                <w:sz w:val="19"/>
              </w:rPr>
              <w:t>46</w:t>
            </w:r>
          </w:p>
        </w:tc>
      </w:tr>
      <w:tr w:rsidR="008863D1" w:rsidRPr="009C0CE3" w14:paraId="6D64EA34" w14:textId="77777777" w:rsidTr="008863D1">
        <w:trPr>
          <w:trHeight w:val="251"/>
        </w:trPr>
        <w:tc>
          <w:tcPr>
            <w:tcW w:w="1224" w:type="pct"/>
          </w:tcPr>
          <w:p w14:paraId="49CC6E05" w14:textId="77777777" w:rsidR="008863D1" w:rsidRPr="009C0CE3" w:rsidRDefault="008863D1" w:rsidP="007D2F65">
            <w:pPr>
              <w:pStyle w:val="TableParagraph"/>
              <w:ind w:left="0" w:right="0"/>
              <w:rPr>
                <w:rFonts w:asciiTheme="minorHAnsi" w:hAnsiTheme="minorHAnsi"/>
                <w:sz w:val="19"/>
              </w:rPr>
            </w:pPr>
            <w:r w:rsidRPr="009C0CE3">
              <w:rPr>
                <w:rFonts w:asciiTheme="minorHAnsi" w:hAnsiTheme="minorHAnsi"/>
                <w:color w:val="231F20"/>
                <w:sz w:val="19"/>
              </w:rPr>
              <w:t>Patients with AE leading to death (%)</w:t>
            </w:r>
          </w:p>
        </w:tc>
        <w:tc>
          <w:tcPr>
            <w:tcW w:w="704" w:type="pct"/>
          </w:tcPr>
          <w:p w14:paraId="42A5A0BD"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9</w:t>
            </w:r>
          </w:p>
        </w:tc>
        <w:tc>
          <w:tcPr>
            <w:tcW w:w="773" w:type="pct"/>
          </w:tcPr>
          <w:p w14:paraId="67145437"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7</w:t>
            </w:r>
          </w:p>
        </w:tc>
        <w:tc>
          <w:tcPr>
            <w:tcW w:w="773" w:type="pct"/>
          </w:tcPr>
          <w:p w14:paraId="11EFAEDB"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4</w:t>
            </w:r>
          </w:p>
        </w:tc>
        <w:tc>
          <w:tcPr>
            <w:tcW w:w="774" w:type="pct"/>
          </w:tcPr>
          <w:p w14:paraId="3313B81D"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0</w:t>
            </w:r>
          </w:p>
        </w:tc>
        <w:tc>
          <w:tcPr>
            <w:tcW w:w="752" w:type="pct"/>
          </w:tcPr>
          <w:p w14:paraId="168AFEFD" w14:textId="77777777" w:rsidR="008863D1" w:rsidRPr="009C0CE3" w:rsidRDefault="008863D1" w:rsidP="007D2F65">
            <w:pPr>
              <w:pStyle w:val="TableParagraph"/>
              <w:ind w:left="0" w:right="0"/>
              <w:jc w:val="center"/>
              <w:rPr>
                <w:rFonts w:asciiTheme="minorHAnsi" w:hAnsiTheme="minorHAnsi"/>
                <w:sz w:val="18"/>
              </w:rPr>
            </w:pPr>
            <w:r w:rsidRPr="009C0CE3">
              <w:rPr>
                <w:rFonts w:asciiTheme="minorHAnsi" w:hAnsiTheme="minorHAnsi"/>
                <w:color w:val="231F20"/>
                <w:w w:val="102"/>
                <w:sz w:val="19"/>
              </w:rPr>
              <w:t>6</w:t>
            </w:r>
          </w:p>
        </w:tc>
      </w:tr>
    </w:tbl>
    <w:p w14:paraId="4FF96324" w14:textId="79FB8064" w:rsidR="00FC0D4E" w:rsidRDefault="00FC0D4E" w:rsidP="007D2F65">
      <w:pPr>
        <w:pStyle w:val="TableDescription"/>
      </w:pPr>
      <w:bookmarkStart w:id="70" w:name="_Ref30499010"/>
      <w:r>
        <w:t>AE = adverse event, SAE = serious adverse event.</w:t>
      </w:r>
    </w:p>
    <w:p w14:paraId="40797F9A" w14:textId="2B46967E" w:rsidR="003576A2" w:rsidRDefault="00986F56" w:rsidP="007D2F65">
      <w:pPr>
        <w:pStyle w:val="TableDescription"/>
      </w:pPr>
      <w:r>
        <w:rPr>
          <w:rFonts w:asciiTheme="minorHAnsi" w:hAnsiTheme="minorHAnsi" w:cs="Calibri"/>
        </w:rPr>
        <w:t xml:space="preserve">Source: </w:t>
      </w:r>
      <w:r w:rsidR="003576A2">
        <w:t xml:space="preserve">reformatted </w:t>
      </w:r>
      <w:r w:rsidR="003576A2" w:rsidRPr="009C0CE3">
        <w:rPr>
          <w:rFonts w:asciiTheme="minorHAnsi" w:hAnsiTheme="minorHAnsi" w:cs="Calibri"/>
        </w:rPr>
        <w:t xml:space="preserve">FDA </w:t>
      </w:r>
      <w:r w:rsidR="003576A2">
        <w:rPr>
          <w:rFonts w:asciiTheme="minorHAnsi" w:hAnsiTheme="minorHAnsi" w:cs="Calibri"/>
        </w:rPr>
        <w:t>table.</w:t>
      </w:r>
      <w:r w:rsidR="003576A2">
        <w:rPr>
          <w:rFonts w:asciiTheme="minorHAnsi" w:hAnsiTheme="minorHAnsi" w:cs="Calibri"/>
        </w:rPr>
        <w:fldChar w:fldCharType="begin"/>
      </w:r>
      <w:r w:rsidR="003576A2">
        <w:rPr>
          <w:rFonts w:asciiTheme="minorHAnsi" w:hAnsiTheme="minorHAnsi" w:cs="Calibri"/>
        </w:rPr>
        <w:instrText xml:space="preserve"> NOTEREF _Ref50554541 \f \h </w:instrText>
      </w:r>
      <w:r w:rsidR="003576A2">
        <w:rPr>
          <w:rFonts w:asciiTheme="minorHAnsi" w:hAnsiTheme="minorHAnsi" w:cs="Calibri"/>
        </w:rPr>
      </w:r>
      <w:r w:rsidR="003576A2">
        <w:rPr>
          <w:rFonts w:asciiTheme="minorHAnsi" w:hAnsiTheme="minorHAnsi" w:cs="Calibri"/>
        </w:rPr>
        <w:fldChar w:fldCharType="separate"/>
      </w:r>
      <w:r w:rsidR="003576A2" w:rsidRPr="005743D8">
        <w:rPr>
          <w:rStyle w:val="FootnoteReference"/>
        </w:rPr>
        <w:t>12</w:t>
      </w:r>
      <w:r w:rsidR="003576A2">
        <w:rPr>
          <w:rFonts w:asciiTheme="minorHAnsi" w:hAnsiTheme="minorHAnsi" w:cs="Calibri"/>
        </w:rPr>
        <w:fldChar w:fldCharType="end"/>
      </w:r>
    </w:p>
    <w:p w14:paraId="71C68B6E" w14:textId="6F2BAFE0" w:rsidR="006421E2" w:rsidRPr="006421E2" w:rsidRDefault="006421E2" w:rsidP="002239A3">
      <w:pPr>
        <w:pStyle w:val="TableTitle"/>
      </w:pPr>
      <w:r w:rsidRPr="006421E2">
        <w:t xml:space="preserve">Table </w:t>
      </w:r>
      <w:fldSimple w:instr=" SEQ Table \* ARABIC ">
        <w:r w:rsidR="009B407B">
          <w:rPr>
            <w:noProof/>
          </w:rPr>
          <w:t>26</w:t>
        </w:r>
      </w:fldSimple>
      <w:bookmarkEnd w:id="70"/>
      <w:r w:rsidR="00E7212D">
        <w:t xml:space="preserve">. Treatment </w:t>
      </w:r>
      <w:r w:rsidRPr="006421E2">
        <w:t xml:space="preserve">emergent adverse events  by groupings of </w:t>
      </w:r>
      <w:r w:rsidR="00B20392">
        <w:t>P</w:t>
      </w:r>
      <w:r w:rsidRPr="006421E2">
        <w:t xml:space="preserve">referred </w:t>
      </w:r>
      <w:r w:rsidR="00B20392">
        <w:t>T</w:t>
      </w:r>
      <w:r w:rsidRPr="006421E2">
        <w:t xml:space="preserve">erm that occurred in at least 10% of patients in the integrated safety population </w:t>
      </w:r>
    </w:p>
    <w:tbl>
      <w:tblPr>
        <w:tblStyle w:val="TableTGAblue"/>
        <w:tblW w:w="8907" w:type="dxa"/>
        <w:tblLayout w:type="fixed"/>
        <w:tblLook w:val="01E0" w:firstRow="1" w:lastRow="1" w:firstColumn="1" w:lastColumn="1" w:noHBand="0" w:noVBand="0"/>
      </w:tblPr>
      <w:tblGrid>
        <w:gridCol w:w="3634"/>
        <w:gridCol w:w="2564"/>
        <w:gridCol w:w="2699"/>
        <w:gridCol w:w="10"/>
      </w:tblGrid>
      <w:tr w:rsidR="006421E2" w:rsidRPr="006421E2" w14:paraId="37AB6D9C" w14:textId="77777777" w:rsidTr="003576A2">
        <w:trPr>
          <w:cnfStyle w:val="100000000000" w:firstRow="1" w:lastRow="0" w:firstColumn="0" w:lastColumn="0" w:oddVBand="0" w:evenVBand="0" w:oddHBand="0" w:evenHBand="0" w:firstRowFirstColumn="0" w:firstRowLastColumn="0" w:lastRowFirstColumn="0" w:lastRowLastColumn="0"/>
          <w:trHeight w:val="20"/>
        </w:trPr>
        <w:tc>
          <w:tcPr>
            <w:tcW w:w="3634" w:type="dxa"/>
            <w:vMerge w:val="restart"/>
            <w:tcBorders>
              <w:top w:val="single" w:sz="4" w:space="0" w:color="auto"/>
              <w:left w:val="single" w:sz="4" w:space="0" w:color="auto"/>
              <w:bottom w:val="single" w:sz="4" w:space="0" w:color="auto"/>
              <w:right w:val="single" w:sz="4" w:space="0" w:color="auto"/>
            </w:tcBorders>
          </w:tcPr>
          <w:p w14:paraId="717FE55A" w14:textId="735290BB" w:rsidR="006421E2" w:rsidRPr="007D2F65" w:rsidRDefault="006421E2" w:rsidP="007D2F65">
            <w:pPr>
              <w:pStyle w:val="TableTitle"/>
              <w:ind w:left="0" w:right="0"/>
              <w:rPr>
                <w:b/>
                <w:sz w:val="20"/>
                <w:szCs w:val="20"/>
                <w:lang w:val="en-US"/>
              </w:rPr>
            </w:pPr>
            <w:r w:rsidRPr="007D2F65">
              <w:rPr>
                <w:sz w:val="20"/>
                <w:szCs w:val="20"/>
                <w:lang w:val="en-US"/>
              </w:rPr>
              <w:t xml:space="preserve">System organ class </w:t>
            </w:r>
          </w:p>
          <w:p w14:paraId="528E9026" w14:textId="77777777" w:rsidR="006421E2" w:rsidRPr="007D2F65" w:rsidRDefault="006421E2" w:rsidP="007D2F65">
            <w:pPr>
              <w:ind w:left="0" w:right="0"/>
              <w:rPr>
                <w:sz w:val="20"/>
                <w:szCs w:val="20"/>
                <w:lang w:val="en-US"/>
              </w:rPr>
            </w:pPr>
            <w:r w:rsidRPr="007D2F65">
              <w:rPr>
                <w:sz w:val="20"/>
                <w:szCs w:val="20"/>
                <w:lang w:val="en-US"/>
              </w:rPr>
              <w:t>Adverse event</w:t>
            </w:r>
          </w:p>
        </w:tc>
        <w:tc>
          <w:tcPr>
            <w:tcW w:w="5273" w:type="dxa"/>
            <w:gridSpan w:val="3"/>
            <w:tcBorders>
              <w:top w:val="single" w:sz="4" w:space="0" w:color="auto"/>
              <w:left w:val="single" w:sz="4" w:space="0" w:color="auto"/>
              <w:bottom w:val="single" w:sz="4" w:space="0" w:color="auto"/>
              <w:right w:val="single" w:sz="4" w:space="0" w:color="auto"/>
            </w:tcBorders>
          </w:tcPr>
          <w:p w14:paraId="423CF5B8" w14:textId="131F8D33" w:rsidR="006421E2" w:rsidRPr="007D2F65" w:rsidRDefault="006421E2" w:rsidP="007D2F65">
            <w:pPr>
              <w:ind w:left="0" w:right="0"/>
              <w:rPr>
                <w:sz w:val="20"/>
                <w:szCs w:val="20"/>
                <w:lang w:val="en-US"/>
              </w:rPr>
            </w:pPr>
            <w:r w:rsidRPr="007D2F65">
              <w:rPr>
                <w:sz w:val="20"/>
                <w:szCs w:val="20"/>
                <w:lang w:val="en-US"/>
              </w:rPr>
              <w:t>Entrectinib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355</w:t>
            </w:r>
          </w:p>
        </w:tc>
      </w:tr>
      <w:tr w:rsidR="006421E2" w:rsidRPr="006421E2" w14:paraId="7B296C46" w14:textId="77777777" w:rsidTr="003576A2">
        <w:trPr>
          <w:trHeight w:val="20"/>
        </w:trPr>
        <w:tc>
          <w:tcPr>
            <w:tcW w:w="3634" w:type="dxa"/>
            <w:vMerge/>
            <w:tcBorders>
              <w:top w:val="single" w:sz="4" w:space="0" w:color="auto"/>
            </w:tcBorders>
          </w:tcPr>
          <w:p w14:paraId="4698C460" w14:textId="77777777" w:rsidR="006421E2" w:rsidRPr="007D2F65" w:rsidRDefault="006421E2" w:rsidP="007D2F65">
            <w:pPr>
              <w:ind w:left="0" w:right="0"/>
              <w:rPr>
                <w:sz w:val="20"/>
                <w:szCs w:val="20"/>
              </w:rPr>
            </w:pPr>
          </w:p>
        </w:tc>
        <w:tc>
          <w:tcPr>
            <w:tcW w:w="2564" w:type="dxa"/>
            <w:tcBorders>
              <w:top w:val="single" w:sz="4" w:space="0" w:color="auto"/>
            </w:tcBorders>
            <w:shd w:val="clear" w:color="auto" w:fill="006DA2"/>
          </w:tcPr>
          <w:p w14:paraId="6DB27462" w14:textId="77777777" w:rsidR="006421E2" w:rsidRPr="007D2F65" w:rsidRDefault="006421E2" w:rsidP="007D2F65">
            <w:pPr>
              <w:ind w:left="0" w:right="0"/>
              <w:rPr>
                <w:b/>
                <w:color w:val="FFFFFF" w:themeColor="background1"/>
                <w:sz w:val="20"/>
                <w:szCs w:val="20"/>
                <w:lang w:val="en-US"/>
              </w:rPr>
            </w:pPr>
            <w:r w:rsidRPr="007D2F65">
              <w:rPr>
                <w:b/>
                <w:color w:val="FFFFFF" w:themeColor="background1"/>
                <w:sz w:val="20"/>
                <w:szCs w:val="20"/>
                <w:lang w:val="en-US"/>
              </w:rPr>
              <w:t>All grades (%)</w:t>
            </w:r>
          </w:p>
        </w:tc>
        <w:tc>
          <w:tcPr>
            <w:tcW w:w="2709" w:type="dxa"/>
            <w:gridSpan w:val="2"/>
            <w:tcBorders>
              <w:top w:val="single" w:sz="4" w:space="0" w:color="auto"/>
            </w:tcBorders>
            <w:shd w:val="clear" w:color="auto" w:fill="006DA2"/>
          </w:tcPr>
          <w:p w14:paraId="7227C7D0" w14:textId="67D54EFB" w:rsidR="006421E2" w:rsidRPr="007D2F65" w:rsidRDefault="006421E2" w:rsidP="007D2F65">
            <w:pPr>
              <w:ind w:left="0" w:right="0"/>
              <w:rPr>
                <w:b/>
                <w:bCs/>
                <w:color w:val="FFFFFF" w:themeColor="background1"/>
                <w:sz w:val="20"/>
                <w:szCs w:val="20"/>
                <w:lang w:val="en-US"/>
              </w:rPr>
            </w:pPr>
            <w:r w:rsidRPr="007D2F65">
              <w:rPr>
                <w:b/>
                <w:bCs/>
                <w:color w:val="FFFFFF" w:themeColor="background1"/>
                <w:sz w:val="20"/>
                <w:szCs w:val="20"/>
                <w:lang w:val="en-US"/>
              </w:rPr>
              <w:t xml:space="preserve">Grade </w:t>
            </w:r>
            <w:r w:rsidR="00CE2749" w:rsidRPr="00CE2749">
              <w:rPr>
                <w:b/>
                <w:color w:val="FFFFFF" w:themeColor="background1"/>
              </w:rPr>
              <w:sym w:font="Symbol" w:char="F0B3"/>
            </w:r>
            <w:r w:rsidR="007D66D3" w:rsidRPr="007D2F65">
              <w:rPr>
                <w:b/>
                <w:bCs/>
                <w:color w:val="FFFFFF" w:themeColor="background1"/>
                <w:sz w:val="20"/>
                <w:szCs w:val="20"/>
                <w:lang w:val="en-US"/>
              </w:rPr>
              <w:t xml:space="preserve"> </w:t>
            </w:r>
            <w:r w:rsidRPr="007D2F65">
              <w:rPr>
                <w:b/>
                <w:bCs/>
                <w:color w:val="FFFFFF" w:themeColor="background1"/>
                <w:sz w:val="20"/>
                <w:szCs w:val="20"/>
                <w:lang w:val="en-US"/>
              </w:rPr>
              <w:t>3 * (%)</w:t>
            </w:r>
          </w:p>
        </w:tc>
      </w:tr>
      <w:tr w:rsidR="006421E2" w:rsidRPr="006421E2" w14:paraId="47CE7804" w14:textId="77777777" w:rsidTr="003576A2">
        <w:trPr>
          <w:trHeight w:val="20"/>
        </w:trPr>
        <w:tc>
          <w:tcPr>
            <w:tcW w:w="8907" w:type="dxa"/>
            <w:gridSpan w:val="4"/>
          </w:tcPr>
          <w:p w14:paraId="7F2BA10D" w14:textId="77777777" w:rsidR="006421E2" w:rsidRPr="007D2F65" w:rsidRDefault="006421E2" w:rsidP="007D2F65">
            <w:pPr>
              <w:ind w:left="0" w:right="0"/>
              <w:rPr>
                <w:b/>
                <w:sz w:val="20"/>
                <w:szCs w:val="20"/>
                <w:lang w:val="en-US"/>
              </w:rPr>
            </w:pPr>
            <w:r w:rsidRPr="007D2F65">
              <w:rPr>
                <w:b/>
                <w:sz w:val="20"/>
                <w:szCs w:val="20"/>
                <w:lang w:val="en-US"/>
              </w:rPr>
              <w:t>General</w:t>
            </w:r>
          </w:p>
        </w:tc>
      </w:tr>
      <w:tr w:rsidR="006421E2" w:rsidRPr="006421E2" w14:paraId="4A2D363D" w14:textId="77777777" w:rsidTr="003576A2">
        <w:trPr>
          <w:trHeight w:val="20"/>
        </w:trPr>
        <w:tc>
          <w:tcPr>
            <w:tcW w:w="3634" w:type="dxa"/>
          </w:tcPr>
          <w:p w14:paraId="56DF1AE0" w14:textId="77777777" w:rsidR="006421E2" w:rsidRPr="007D2F65" w:rsidRDefault="006421E2" w:rsidP="001F1814">
            <w:pPr>
              <w:ind w:left="0" w:right="0"/>
              <w:rPr>
                <w:sz w:val="20"/>
                <w:szCs w:val="20"/>
                <w:lang w:val="en-US"/>
              </w:rPr>
            </w:pPr>
            <w:r w:rsidRPr="007D2F65">
              <w:rPr>
                <w:sz w:val="20"/>
                <w:szCs w:val="20"/>
                <w:lang w:val="en-US"/>
              </w:rPr>
              <w:t>Fatigue</w:t>
            </w:r>
            <w:r w:rsidRPr="007D2F65">
              <w:rPr>
                <w:sz w:val="20"/>
                <w:szCs w:val="20"/>
                <w:vertAlign w:val="superscript"/>
                <w:lang w:val="en-US"/>
              </w:rPr>
              <w:t>1</w:t>
            </w:r>
          </w:p>
        </w:tc>
        <w:tc>
          <w:tcPr>
            <w:tcW w:w="2564" w:type="dxa"/>
          </w:tcPr>
          <w:p w14:paraId="4816F305" w14:textId="77777777" w:rsidR="006421E2" w:rsidRPr="007D2F65" w:rsidRDefault="006421E2" w:rsidP="007D2F65">
            <w:pPr>
              <w:ind w:left="0" w:right="0"/>
              <w:jc w:val="center"/>
              <w:rPr>
                <w:sz w:val="20"/>
                <w:szCs w:val="20"/>
                <w:lang w:val="en-US"/>
              </w:rPr>
            </w:pPr>
            <w:r w:rsidRPr="007D2F65">
              <w:rPr>
                <w:sz w:val="20"/>
                <w:szCs w:val="20"/>
                <w:lang w:val="en-US"/>
              </w:rPr>
              <w:t>48</w:t>
            </w:r>
          </w:p>
        </w:tc>
        <w:tc>
          <w:tcPr>
            <w:tcW w:w="2709" w:type="dxa"/>
            <w:gridSpan w:val="2"/>
          </w:tcPr>
          <w:p w14:paraId="3375D305" w14:textId="77777777" w:rsidR="006421E2" w:rsidRPr="007D2F65" w:rsidRDefault="006421E2" w:rsidP="007D2F65">
            <w:pPr>
              <w:ind w:left="0" w:right="0"/>
              <w:jc w:val="center"/>
              <w:rPr>
                <w:sz w:val="20"/>
                <w:szCs w:val="20"/>
                <w:lang w:val="en-US"/>
              </w:rPr>
            </w:pPr>
            <w:r w:rsidRPr="007D2F65">
              <w:rPr>
                <w:sz w:val="20"/>
                <w:szCs w:val="20"/>
                <w:lang w:val="en-US"/>
              </w:rPr>
              <w:t>5</w:t>
            </w:r>
          </w:p>
        </w:tc>
      </w:tr>
      <w:tr w:rsidR="006421E2" w:rsidRPr="006421E2" w14:paraId="73F4BF90" w14:textId="77777777" w:rsidTr="003576A2">
        <w:trPr>
          <w:trHeight w:val="20"/>
        </w:trPr>
        <w:tc>
          <w:tcPr>
            <w:tcW w:w="3634" w:type="dxa"/>
          </w:tcPr>
          <w:p w14:paraId="4386B0AE" w14:textId="77777777" w:rsidR="006421E2" w:rsidRPr="007D2F65" w:rsidRDefault="006421E2" w:rsidP="001F1814">
            <w:pPr>
              <w:ind w:left="0" w:right="0"/>
              <w:rPr>
                <w:sz w:val="20"/>
                <w:szCs w:val="20"/>
                <w:lang w:val="en-US"/>
              </w:rPr>
            </w:pPr>
            <w:r w:rsidRPr="007D2F65">
              <w:rPr>
                <w:sz w:val="20"/>
                <w:szCs w:val="20"/>
                <w:lang w:val="en-US"/>
              </w:rPr>
              <w:t>Edema</w:t>
            </w:r>
            <w:r w:rsidRPr="007D2F65">
              <w:rPr>
                <w:sz w:val="20"/>
                <w:szCs w:val="20"/>
                <w:vertAlign w:val="superscript"/>
                <w:lang w:val="en-US"/>
              </w:rPr>
              <w:t>2</w:t>
            </w:r>
          </w:p>
        </w:tc>
        <w:tc>
          <w:tcPr>
            <w:tcW w:w="2564" w:type="dxa"/>
          </w:tcPr>
          <w:p w14:paraId="2134D9FB" w14:textId="77777777" w:rsidR="006421E2" w:rsidRPr="007D2F65" w:rsidRDefault="006421E2" w:rsidP="007D2F65">
            <w:pPr>
              <w:ind w:left="0" w:right="0"/>
              <w:jc w:val="center"/>
              <w:rPr>
                <w:sz w:val="20"/>
                <w:szCs w:val="20"/>
                <w:lang w:val="en-US"/>
              </w:rPr>
            </w:pPr>
            <w:r w:rsidRPr="007D2F65">
              <w:rPr>
                <w:sz w:val="20"/>
                <w:szCs w:val="20"/>
                <w:lang w:val="en-US"/>
              </w:rPr>
              <w:t>40</w:t>
            </w:r>
          </w:p>
        </w:tc>
        <w:tc>
          <w:tcPr>
            <w:tcW w:w="2709" w:type="dxa"/>
            <w:gridSpan w:val="2"/>
          </w:tcPr>
          <w:p w14:paraId="039B32B3" w14:textId="77777777" w:rsidR="006421E2" w:rsidRPr="007D2F65" w:rsidRDefault="006421E2" w:rsidP="007D2F65">
            <w:pPr>
              <w:ind w:left="0" w:right="0"/>
              <w:jc w:val="center"/>
              <w:rPr>
                <w:sz w:val="20"/>
                <w:szCs w:val="20"/>
                <w:lang w:val="en-US"/>
              </w:rPr>
            </w:pPr>
            <w:r w:rsidRPr="007D2F65">
              <w:rPr>
                <w:sz w:val="20"/>
                <w:szCs w:val="20"/>
                <w:lang w:val="en-US"/>
              </w:rPr>
              <w:t>1.1</w:t>
            </w:r>
          </w:p>
        </w:tc>
      </w:tr>
      <w:tr w:rsidR="006421E2" w:rsidRPr="006421E2" w14:paraId="494BD213" w14:textId="77777777" w:rsidTr="003576A2">
        <w:trPr>
          <w:trHeight w:val="20"/>
        </w:trPr>
        <w:tc>
          <w:tcPr>
            <w:tcW w:w="3634" w:type="dxa"/>
          </w:tcPr>
          <w:p w14:paraId="0F65DC8B" w14:textId="77777777" w:rsidR="006421E2" w:rsidRPr="007D2F65" w:rsidRDefault="006421E2" w:rsidP="001F1814">
            <w:pPr>
              <w:ind w:left="0" w:right="0"/>
              <w:rPr>
                <w:sz w:val="20"/>
                <w:szCs w:val="20"/>
                <w:lang w:val="en-US"/>
              </w:rPr>
            </w:pPr>
            <w:r w:rsidRPr="007D2F65">
              <w:rPr>
                <w:sz w:val="20"/>
                <w:szCs w:val="20"/>
                <w:lang w:val="en-US"/>
              </w:rPr>
              <w:lastRenderedPageBreak/>
              <w:t>Pyrexia</w:t>
            </w:r>
          </w:p>
        </w:tc>
        <w:tc>
          <w:tcPr>
            <w:tcW w:w="2564" w:type="dxa"/>
          </w:tcPr>
          <w:p w14:paraId="51CA8342" w14:textId="77777777" w:rsidR="006421E2" w:rsidRPr="007D2F65" w:rsidRDefault="006421E2" w:rsidP="007D2F65">
            <w:pPr>
              <w:ind w:left="0" w:right="0"/>
              <w:jc w:val="center"/>
              <w:rPr>
                <w:sz w:val="20"/>
                <w:szCs w:val="20"/>
                <w:lang w:val="en-US"/>
              </w:rPr>
            </w:pPr>
            <w:r w:rsidRPr="007D2F65">
              <w:rPr>
                <w:sz w:val="20"/>
                <w:szCs w:val="20"/>
                <w:lang w:val="en-US"/>
              </w:rPr>
              <w:t>21</w:t>
            </w:r>
          </w:p>
        </w:tc>
        <w:tc>
          <w:tcPr>
            <w:tcW w:w="2709" w:type="dxa"/>
            <w:gridSpan w:val="2"/>
          </w:tcPr>
          <w:p w14:paraId="611A4EBF"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7711CB41" w14:textId="77777777" w:rsidTr="003576A2">
        <w:trPr>
          <w:trHeight w:val="20"/>
        </w:trPr>
        <w:tc>
          <w:tcPr>
            <w:tcW w:w="8907" w:type="dxa"/>
            <w:gridSpan w:val="4"/>
          </w:tcPr>
          <w:p w14:paraId="7CC6F0D3" w14:textId="77777777" w:rsidR="006421E2" w:rsidRPr="007D2F65" w:rsidRDefault="006421E2" w:rsidP="001F1814">
            <w:pPr>
              <w:ind w:left="0" w:right="0"/>
              <w:rPr>
                <w:b/>
                <w:sz w:val="20"/>
                <w:szCs w:val="20"/>
                <w:lang w:val="en-US"/>
              </w:rPr>
            </w:pPr>
            <w:r w:rsidRPr="007D2F65">
              <w:rPr>
                <w:b/>
                <w:sz w:val="20"/>
                <w:szCs w:val="20"/>
                <w:lang w:val="en-US"/>
              </w:rPr>
              <w:t>Gastrointestinal</w:t>
            </w:r>
          </w:p>
        </w:tc>
      </w:tr>
      <w:tr w:rsidR="006421E2" w:rsidRPr="006421E2" w14:paraId="0462B057" w14:textId="77777777" w:rsidTr="003576A2">
        <w:trPr>
          <w:trHeight w:val="20"/>
        </w:trPr>
        <w:tc>
          <w:tcPr>
            <w:tcW w:w="3634" w:type="dxa"/>
          </w:tcPr>
          <w:p w14:paraId="00AF7F84" w14:textId="77777777" w:rsidR="006421E2" w:rsidRPr="007D2F65" w:rsidRDefault="006421E2" w:rsidP="001F1814">
            <w:pPr>
              <w:ind w:left="0" w:right="0"/>
              <w:rPr>
                <w:sz w:val="20"/>
                <w:szCs w:val="20"/>
                <w:lang w:val="en-US"/>
              </w:rPr>
            </w:pPr>
            <w:r w:rsidRPr="007D2F65">
              <w:rPr>
                <w:sz w:val="20"/>
                <w:szCs w:val="20"/>
                <w:lang w:val="en-US"/>
              </w:rPr>
              <w:t>Constipation</w:t>
            </w:r>
          </w:p>
        </w:tc>
        <w:tc>
          <w:tcPr>
            <w:tcW w:w="2564" w:type="dxa"/>
          </w:tcPr>
          <w:p w14:paraId="67BBAB04" w14:textId="77777777" w:rsidR="006421E2" w:rsidRPr="007D2F65" w:rsidRDefault="006421E2" w:rsidP="007D2F65">
            <w:pPr>
              <w:ind w:left="0" w:right="0"/>
              <w:jc w:val="center"/>
              <w:rPr>
                <w:sz w:val="20"/>
                <w:szCs w:val="20"/>
                <w:lang w:val="en-US"/>
              </w:rPr>
            </w:pPr>
            <w:r w:rsidRPr="007D2F65">
              <w:rPr>
                <w:sz w:val="20"/>
                <w:szCs w:val="20"/>
                <w:lang w:val="en-US"/>
              </w:rPr>
              <w:t>46</w:t>
            </w:r>
          </w:p>
        </w:tc>
        <w:tc>
          <w:tcPr>
            <w:tcW w:w="2709" w:type="dxa"/>
            <w:gridSpan w:val="2"/>
          </w:tcPr>
          <w:p w14:paraId="259C9DE9" w14:textId="77777777" w:rsidR="006421E2" w:rsidRPr="007D2F65" w:rsidRDefault="006421E2" w:rsidP="007D2F65">
            <w:pPr>
              <w:ind w:left="0" w:right="0"/>
              <w:jc w:val="center"/>
              <w:rPr>
                <w:sz w:val="20"/>
                <w:szCs w:val="20"/>
                <w:lang w:val="en-US"/>
              </w:rPr>
            </w:pPr>
            <w:r w:rsidRPr="007D2F65">
              <w:rPr>
                <w:sz w:val="20"/>
                <w:szCs w:val="20"/>
                <w:lang w:val="en-US"/>
              </w:rPr>
              <w:t>0.6</w:t>
            </w:r>
          </w:p>
        </w:tc>
      </w:tr>
      <w:tr w:rsidR="006421E2" w:rsidRPr="006421E2" w14:paraId="70C3B264" w14:textId="77777777" w:rsidTr="003576A2">
        <w:trPr>
          <w:trHeight w:val="20"/>
        </w:trPr>
        <w:tc>
          <w:tcPr>
            <w:tcW w:w="3634" w:type="dxa"/>
          </w:tcPr>
          <w:p w14:paraId="5913B206" w14:textId="77777777" w:rsidR="006421E2" w:rsidRPr="007D2F65" w:rsidRDefault="006421E2" w:rsidP="001F1814">
            <w:pPr>
              <w:ind w:left="0" w:right="0"/>
              <w:rPr>
                <w:sz w:val="20"/>
                <w:szCs w:val="20"/>
                <w:lang w:val="en-US"/>
              </w:rPr>
            </w:pPr>
            <w:r w:rsidRPr="007D2F65">
              <w:rPr>
                <w:sz w:val="20"/>
                <w:szCs w:val="20"/>
                <w:lang w:val="en-US"/>
              </w:rPr>
              <w:t>Diarrhea</w:t>
            </w:r>
          </w:p>
        </w:tc>
        <w:tc>
          <w:tcPr>
            <w:tcW w:w="2564" w:type="dxa"/>
          </w:tcPr>
          <w:p w14:paraId="63A187C3" w14:textId="77777777" w:rsidR="006421E2" w:rsidRPr="007D2F65" w:rsidRDefault="006421E2" w:rsidP="007D2F65">
            <w:pPr>
              <w:ind w:left="0" w:right="0"/>
              <w:jc w:val="center"/>
              <w:rPr>
                <w:sz w:val="20"/>
                <w:szCs w:val="20"/>
                <w:lang w:val="en-US"/>
              </w:rPr>
            </w:pPr>
            <w:r w:rsidRPr="007D2F65">
              <w:rPr>
                <w:sz w:val="20"/>
                <w:szCs w:val="20"/>
                <w:lang w:val="en-US"/>
              </w:rPr>
              <w:t>35</w:t>
            </w:r>
          </w:p>
        </w:tc>
        <w:tc>
          <w:tcPr>
            <w:tcW w:w="2709" w:type="dxa"/>
            <w:gridSpan w:val="2"/>
          </w:tcPr>
          <w:p w14:paraId="46E24025" w14:textId="77777777" w:rsidR="006421E2" w:rsidRPr="007D2F65" w:rsidRDefault="006421E2" w:rsidP="007D2F65">
            <w:pPr>
              <w:ind w:left="0" w:right="0"/>
              <w:jc w:val="center"/>
              <w:rPr>
                <w:sz w:val="20"/>
                <w:szCs w:val="20"/>
                <w:lang w:val="en-US"/>
              </w:rPr>
            </w:pPr>
            <w:r w:rsidRPr="007D2F65">
              <w:rPr>
                <w:sz w:val="20"/>
                <w:szCs w:val="20"/>
                <w:lang w:val="en-US"/>
              </w:rPr>
              <w:t>2.0</w:t>
            </w:r>
          </w:p>
        </w:tc>
      </w:tr>
      <w:tr w:rsidR="006421E2" w:rsidRPr="006421E2" w14:paraId="6AC7D9F1" w14:textId="77777777" w:rsidTr="003576A2">
        <w:trPr>
          <w:trHeight w:val="20"/>
        </w:trPr>
        <w:tc>
          <w:tcPr>
            <w:tcW w:w="3634" w:type="dxa"/>
          </w:tcPr>
          <w:p w14:paraId="1E9F9633" w14:textId="77777777" w:rsidR="006421E2" w:rsidRPr="007D2F65" w:rsidRDefault="006421E2" w:rsidP="001F1814">
            <w:pPr>
              <w:ind w:left="0" w:right="0"/>
              <w:rPr>
                <w:sz w:val="20"/>
                <w:szCs w:val="20"/>
                <w:lang w:val="en-US"/>
              </w:rPr>
            </w:pPr>
            <w:r w:rsidRPr="007D2F65">
              <w:rPr>
                <w:sz w:val="20"/>
                <w:szCs w:val="20"/>
                <w:lang w:val="en-US"/>
              </w:rPr>
              <w:t>Nausea</w:t>
            </w:r>
          </w:p>
        </w:tc>
        <w:tc>
          <w:tcPr>
            <w:tcW w:w="2564" w:type="dxa"/>
          </w:tcPr>
          <w:p w14:paraId="6B51DD58" w14:textId="77777777" w:rsidR="006421E2" w:rsidRPr="007D2F65" w:rsidRDefault="006421E2" w:rsidP="007D2F65">
            <w:pPr>
              <w:ind w:left="0" w:right="0"/>
              <w:jc w:val="center"/>
              <w:rPr>
                <w:sz w:val="20"/>
                <w:szCs w:val="20"/>
                <w:lang w:val="en-US"/>
              </w:rPr>
            </w:pPr>
            <w:r w:rsidRPr="007D2F65">
              <w:rPr>
                <w:sz w:val="20"/>
                <w:szCs w:val="20"/>
                <w:lang w:val="en-US"/>
              </w:rPr>
              <w:t>34</w:t>
            </w:r>
          </w:p>
        </w:tc>
        <w:tc>
          <w:tcPr>
            <w:tcW w:w="2709" w:type="dxa"/>
            <w:gridSpan w:val="2"/>
          </w:tcPr>
          <w:p w14:paraId="3EA5695D"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19B52144" w14:textId="77777777" w:rsidTr="003576A2">
        <w:trPr>
          <w:trHeight w:val="20"/>
        </w:trPr>
        <w:tc>
          <w:tcPr>
            <w:tcW w:w="3634" w:type="dxa"/>
          </w:tcPr>
          <w:p w14:paraId="1000E57E" w14:textId="77777777" w:rsidR="006421E2" w:rsidRPr="007D2F65" w:rsidRDefault="006421E2" w:rsidP="001F1814">
            <w:pPr>
              <w:ind w:left="0" w:right="0"/>
              <w:rPr>
                <w:sz w:val="20"/>
                <w:szCs w:val="20"/>
                <w:lang w:val="en-US"/>
              </w:rPr>
            </w:pPr>
            <w:r w:rsidRPr="007D2F65">
              <w:rPr>
                <w:sz w:val="20"/>
                <w:szCs w:val="20"/>
                <w:lang w:val="en-US"/>
              </w:rPr>
              <w:t>Vomiting</w:t>
            </w:r>
          </w:p>
        </w:tc>
        <w:tc>
          <w:tcPr>
            <w:tcW w:w="2564" w:type="dxa"/>
          </w:tcPr>
          <w:p w14:paraId="0D70DED4" w14:textId="77777777" w:rsidR="006421E2" w:rsidRPr="007D2F65" w:rsidRDefault="006421E2" w:rsidP="007D2F65">
            <w:pPr>
              <w:ind w:left="0" w:right="0"/>
              <w:jc w:val="center"/>
              <w:rPr>
                <w:sz w:val="20"/>
                <w:szCs w:val="20"/>
                <w:lang w:val="en-US"/>
              </w:rPr>
            </w:pPr>
            <w:r w:rsidRPr="007D2F65">
              <w:rPr>
                <w:sz w:val="20"/>
                <w:szCs w:val="20"/>
                <w:lang w:val="en-US"/>
              </w:rPr>
              <w:t>24</w:t>
            </w:r>
          </w:p>
        </w:tc>
        <w:tc>
          <w:tcPr>
            <w:tcW w:w="2709" w:type="dxa"/>
            <w:gridSpan w:val="2"/>
          </w:tcPr>
          <w:p w14:paraId="3E212C81"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4EC09728" w14:textId="77777777" w:rsidTr="003576A2">
        <w:trPr>
          <w:trHeight w:val="20"/>
        </w:trPr>
        <w:tc>
          <w:tcPr>
            <w:tcW w:w="3634" w:type="dxa"/>
          </w:tcPr>
          <w:p w14:paraId="54C9DD5B" w14:textId="77777777" w:rsidR="006421E2" w:rsidRPr="007D2F65" w:rsidRDefault="006421E2" w:rsidP="001F1814">
            <w:pPr>
              <w:ind w:left="0" w:right="0"/>
              <w:rPr>
                <w:sz w:val="20"/>
                <w:szCs w:val="20"/>
                <w:lang w:val="en-US"/>
              </w:rPr>
            </w:pPr>
            <w:r w:rsidRPr="007D2F65">
              <w:rPr>
                <w:sz w:val="20"/>
                <w:szCs w:val="20"/>
                <w:lang w:val="en-US"/>
              </w:rPr>
              <w:t>Abdominal pain</w:t>
            </w:r>
            <w:r w:rsidRPr="007D2F65">
              <w:rPr>
                <w:sz w:val="20"/>
                <w:szCs w:val="20"/>
                <w:vertAlign w:val="superscript"/>
                <w:lang w:val="en-US"/>
              </w:rPr>
              <w:t>3</w:t>
            </w:r>
          </w:p>
        </w:tc>
        <w:tc>
          <w:tcPr>
            <w:tcW w:w="2564" w:type="dxa"/>
          </w:tcPr>
          <w:p w14:paraId="5F3DD9FA" w14:textId="77777777" w:rsidR="006421E2" w:rsidRPr="007D2F65" w:rsidRDefault="006421E2" w:rsidP="007D2F65">
            <w:pPr>
              <w:ind w:left="0" w:right="0"/>
              <w:jc w:val="center"/>
              <w:rPr>
                <w:sz w:val="20"/>
                <w:szCs w:val="20"/>
                <w:lang w:val="en-US"/>
              </w:rPr>
            </w:pPr>
            <w:r w:rsidRPr="007D2F65">
              <w:rPr>
                <w:sz w:val="20"/>
                <w:szCs w:val="20"/>
                <w:lang w:val="en-US"/>
              </w:rPr>
              <w:t>16</w:t>
            </w:r>
          </w:p>
        </w:tc>
        <w:tc>
          <w:tcPr>
            <w:tcW w:w="2709" w:type="dxa"/>
            <w:gridSpan w:val="2"/>
          </w:tcPr>
          <w:p w14:paraId="62E03791" w14:textId="77777777" w:rsidR="006421E2" w:rsidRPr="007D2F65" w:rsidRDefault="006421E2" w:rsidP="007D2F65">
            <w:pPr>
              <w:ind w:left="0" w:right="0"/>
              <w:jc w:val="center"/>
              <w:rPr>
                <w:sz w:val="20"/>
                <w:szCs w:val="20"/>
                <w:lang w:val="en-US"/>
              </w:rPr>
            </w:pPr>
            <w:r w:rsidRPr="007D2F65">
              <w:rPr>
                <w:sz w:val="20"/>
                <w:szCs w:val="20"/>
                <w:lang w:val="en-US"/>
              </w:rPr>
              <w:t>0.6</w:t>
            </w:r>
          </w:p>
        </w:tc>
      </w:tr>
      <w:tr w:rsidR="006421E2" w:rsidRPr="006421E2" w14:paraId="6C83E05C" w14:textId="77777777" w:rsidTr="003576A2">
        <w:trPr>
          <w:trHeight w:val="20"/>
        </w:trPr>
        <w:tc>
          <w:tcPr>
            <w:tcW w:w="8907" w:type="dxa"/>
            <w:gridSpan w:val="4"/>
          </w:tcPr>
          <w:p w14:paraId="4D73BF6F" w14:textId="7A071C7B" w:rsidR="006421E2" w:rsidRPr="007D2F65" w:rsidRDefault="006421E2" w:rsidP="001F1814">
            <w:pPr>
              <w:ind w:left="0" w:right="0"/>
              <w:rPr>
                <w:b/>
                <w:sz w:val="20"/>
                <w:szCs w:val="20"/>
                <w:lang w:val="en-US"/>
              </w:rPr>
            </w:pPr>
            <w:r w:rsidRPr="007D2F65">
              <w:rPr>
                <w:b/>
                <w:sz w:val="20"/>
                <w:szCs w:val="20"/>
                <w:lang w:val="en-US"/>
              </w:rPr>
              <w:t xml:space="preserve">Nervous </w:t>
            </w:r>
            <w:r w:rsidR="00FC0D4E">
              <w:rPr>
                <w:b/>
                <w:sz w:val="20"/>
                <w:szCs w:val="20"/>
                <w:lang w:val="en-US"/>
              </w:rPr>
              <w:t>s</w:t>
            </w:r>
            <w:r w:rsidRPr="007D2F65">
              <w:rPr>
                <w:b/>
                <w:sz w:val="20"/>
                <w:szCs w:val="20"/>
                <w:lang w:val="en-US"/>
              </w:rPr>
              <w:t>ystem</w:t>
            </w:r>
          </w:p>
        </w:tc>
      </w:tr>
      <w:tr w:rsidR="006421E2" w:rsidRPr="006421E2" w14:paraId="77A1AFAB" w14:textId="77777777" w:rsidTr="003576A2">
        <w:trPr>
          <w:trHeight w:val="20"/>
        </w:trPr>
        <w:tc>
          <w:tcPr>
            <w:tcW w:w="3634" w:type="dxa"/>
          </w:tcPr>
          <w:p w14:paraId="1A431DDD" w14:textId="77777777" w:rsidR="006421E2" w:rsidRPr="007D2F65" w:rsidRDefault="006421E2" w:rsidP="001F1814">
            <w:pPr>
              <w:ind w:left="0" w:right="0"/>
              <w:rPr>
                <w:sz w:val="20"/>
                <w:szCs w:val="20"/>
                <w:lang w:val="en-US"/>
              </w:rPr>
            </w:pPr>
            <w:proofErr w:type="spellStart"/>
            <w:r w:rsidRPr="007D2F65">
              <w:rPr>
                <w:sz w:val="20"/>
                <w:szCs w:val="20"/>
                <w:lang w:val="en-US"/>
              </w:rPr>
              <w:t>Dysgeusia</w:t>
            </w:r>
            <w:proofErr w:type="spellEnd"/>
          </w:p>
        </w:tc>
        <w:tc>
          <w:tcPr>
            <w:tcW w:w="2564" w:type="dxa"/>
          </w:tcPr>
          <w:p w14:paraId="1BDD6541" w14:textId="77777777" w:rsidR="006421E2" w:rsidRPr="007D2F65" w:rsidRDefault="006421E2" w:rsidP="007D2F65">
            <w:pPr>
              <w:ind w:left="0" w:right="0"/>
              <w:jc w:val="center"/>
              <w:rPr>
                <w:sz w:val="20"/>
                <w:szCs w:val="20"/>
                <w:lang w:val="en-US"/>
              </w:rPr>
            </w:pPr>
            <w:r w:rsidRPr="007D2F65">
              <w:rPr>
                <w:sz w:val="20"/>
                <w:szCs w:val="20"/>
                <w:lang w:val="en-US"/>
              </w:rPr>
              <w:t>44</w:t>
            </w:r>
          </w:p>
        </w:tc>
        <w:tc>
          <w:tcPr>
            <w:tcW w:w="2709" w:type="dxa"/>
            <w:gridSpan w:val="2"/>
          </w:tcPr>
          <w:p w14:paraId="17822A69"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18D76AEA" w14:textId="77777777" w:rsidTr="003576A2">
        <w:trPr>
          <w:trHeight w:val="20"/>
        </w:trPr>
        <w:tc>
          <w:tcPr>
            <w:tcW w:w="3634" w:type="dxa"/>
          </w:tcPr>
          <w:p w14:paraId="10DD35CD" w14:textId="77777777" w:rsidR="006421E2" w:rsidRPr="007D2F65" w:rsidRDefault="006421E2" w:rsidP="001F1814">
            <w:pPr>
              <w:ind w:left="0" w:right="0"/>
              <w:rPr>
                <w:sz w:val="20"/>
                <w:szCs w:val="20"/>
                <w:lang w:val="en-US"/>
              </w:rPr>
            </w:pPr>
            <w:r w:rsidRPr="007D2F65">
              <w:rPr>
                <w:sz w:val="20"/>
                <w:szCs w:val="20"/>
                <w:lang w:val="en-US"/>
              </w:rPr>
              <w:t>Dizziness</w:t>
            </w:r>
            <w:r w:rsidRPr="007D2F65">
              <w:rPr>
                <w:sz w:val="20"/>
                <w:szCs w:val="20"/>
                <w:vertAlign w:val="superscript"/>
                <w:lang w:val="en-US"/>
              </w:rPr>
              <w:t>4</w:t>
            </w:r>
          </w:p>
        </w:tc>
        <w:tc>
          <w:tcPr>
            <w:tcW w:w="2564" w:type="dxa"/>
          </w:tcPr>
          <w:p w14:paraId="1165A48F" w14:textId="77777777" w:rsidR="006421E2" w:rsidRPr="007D2F65" w:rsidRDefault="006421E2" w:rsidP="007D2F65">
            <w:pPr>
              <w:ind w:left="0" w:right="0"/>
              <w:jc w:val="center"/>
              <w:rPr>
                <w:sz w:val="20"/>
                <w:szCs w:val="20"/>
                <w:lang w:val="en-US"/>
              </w:rPr>
            </w:pPr>
            <w:r w:rsidRPr="007D2F65">
              <w:rPr>
                <w:sz w:val="20"/>
                <w:szCs w:val="20"/>
                <w:lang w:val="en-US"/>
              </w:rPr>
              <w:t>38</w:t>
            </w:r>
          </w:p>
        </w:tc>
        <w:tc>
          <w:tcPr>
            <w:tcW w:w="2709" w:type="dxa"/>
            <w:gridSpan w:val="2"/>
          </w:tcPr>
          <w:p w14:paraId="0366C670"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20714AAE" w14:textId="77777777" w:rsidTr="003576A2">
        <w:trPr>
          <w:trHeight w:val="20"/>
        </w:trPr>
        <w:tc>
          <w:tcPr>
            <w:tcW w:w="3634" w:type="dxa"/>
          </w:tcPr>
          <w:p w14:paraId="1B2D5DA4" w14:textId="77777777" w:rsidR="006421E2" w:rsidRPr="007D2F65" w:rsidRDefault="006421E2" w:rsidP="001F1814">
            <w:pPr>
              <w:ind w:left="0" w:right="0"/>
              <w:rPr>
                <w:sz w:val="20"/>
                <w:szCs w:val="20"/>
                <w:lang w:val="en-US"/>
              </w:rPr>
            </w:pPr>
            <w:r w:rsidRPr="007D2F65">
              <w:rPr>
                <w:sz w:val="20"/>
                <w:szCs w:val="20"/>
                <w:lang w:val="en-US"/>
              </w:rPr>
              <w:t>Dysesthesia</w:t>
            </w:r>
            <w:r w:rsidRPr="007D2F65">
              <w:rPr>
                <w:sz w:val="20"/>
                <w:szCs w:val="20"/>
                <w:vertAlign w:val="superscript"/>
                <w:lang w:val="en-US"/>
              </w:rPr>
              <w:t>5</w:t>
            </w:r>
          </w:p>
        </w:tc>
        <w:tc>
          <w:tcPr>
            <w:tcW w:w="2564" w:type="dxa"/>
          </w:tcPr>
          <w:p w14:paraId="366E0CC2" w14:textId="77777777" w:rsidR="006421E2" w:rsidRPr="007D2F65" w:rsidRDefault="006421E2" w:rsidP="007D2F65">
            <w:pPr>
              <w:ind w:left="0" w:right="0"/>
              <w:jc w:val="center"/>
              <w:rPr>
                <w:sz w:val="20"/>
                <w:szCs w:val="20"/>
                <w:lang w:val="en-US"/>
              </w:rPr>
            </w:pPr>
            <w:r w:rsidRPr="007D2F65">
              <w:rPr>
                <w:sz w:val="20"/>
                <w:szCs w:val="20"/>
                <w:lang w:val="en-US"/>
              </w:rPr>
              <w:t>34</w:t>
            </w:r>
          </w:p>
        </w:tc>
        <w:tc>
          <w:tcPr>
            <w:tcW w:w="2709" w:type="dxa"/>
            <w:gridSpan w:val="2"/>
          </w:tcPr>
          <w:p w14:paraId="36EC4073"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4152F2D1" w14:textId="77777777" w:rsidTr="003576A2">
        <w:trPr>
          <w:trHeight w:val="20"/>
        </w:trPr>
        <w:tc>
          <w:tcPr>
            <w:tcW w:w="3634" w:type="dxa"/>
          </w:tcPr>
          <w:p w14:paraId="354AB2F4" w14:textId="77777777" w:rsidR="006421E2" w:rsidRPr="007D2F65" w:rsidRDefault="006421E2" w:rsidP="001F1814">
            <w:pPr>
              <w:ind w:left="0" w:right="0"/>
              <w:rPr>
                <w:sz w:val="20"/>
                <w:szCs w:val="20"/>
                <w:lang w:val="en-US"/>
              </w:rPr>
            </w:pPr>
            <w:r w:rsidRPr="007D2F65">
              <w:rPr>
                <w:sz w:val="20"/>
                <w:szCs w:val="20"/>
                <w:lang w:val="en-US"/>
              </w:rPr>
              <w:t>Cognitive impairment</w:t>
            </w:r>
            <w:r w:rsidRPr="007D2F65">
              <w:rPr>
                <w:sz w:val="20"/>
                <w:szCs w:val="20"/>
                <w:vertAlign w:val="superscript"/>
                <w:lang w:val="en-US"/>
              </w:rPr>
              <w:t>6</w:t>
            </w:r>
          </w:p>
        </w:tc>
        <w:tc>
          <w:tcPr>
            <w:tcW w:w="2564" w:type="dxa"/>
          </w:tcPr>
          <w:p w14:paraId="0DC007E5" w14:textId="77777777" w:rsidR="006421E2" w:rsidRPr="007D2F65" w:rsidRDefault="006421E2" w:rsidP="007D2F65">
            <w:pPr>
              <w:ind w:left="0" w:right="0"/>
              <w:jc w:val="center"/>
              <w:rPr>
                <w:sz w:val="20"/>
                <w:szCs w:val="20"/>
                <w:lang w:val="en-US"/>
              </w:rPr>
            </w:pPr>
            <w:r w:rsidRPr="007D2F65">
              <w:rPr>
                <w:sz w:val="20"/>
                <w:szCs w:val="20"/>
                <w:lang w:val="en-US"/>
              </w:rPr>
              <w:t>27</w:t>
            </w:r>
          </w:p>
        </w:tc>
        <w:tc>
          <w:tcPr>
            <w:tcW w:w="2709" w:type="dxa"/>
            <w:gridSpan w:val="2"/>
          </w:tcPr>
          <w:p w14:paraId="1AFB9A16" w14:textId="77777777" w:rsidR="006421E2" w:rsidRPr="007D2F65" w:rsidRDefault="006421E2" w:rsidP="007D2F65">
            <w:pPr>
              <w:ind w:left="0" w:right="0"/>
              <w:jc w:val="center"/>
              <w:rPr>
                <w:sz w:val="20"/>
                <w:szCs w:val="20"/>
                <w:lang w:val="en-US"/>
              </w:rPr>
            </w:pPr>
            <w:r w:rsidRPr="007D2F65">
              <w:rPr>
                <w:sz w:val="20"/>
                <w:szCs w:val="20"/>
                <w:lang w:val="en-US"/>
              </w:rPr>
              <w:t>4.5</w:t>
            </w:r>
          </w:p>
        </w:tc>
      </w:tr>
      <w:tr w:rsidR="006421E2" w:rsidRPr="006421E2" w14:paraId="7681DE4E" w14:textId="77777777" w:rsidTr="003576A2">
        <w:trPr>
          <w:trHeight w:val="20"/>
        </w:trPr>
        <w:tc>
          <w:tcPr>
            <w:tcW w:w="3634" w:type="dxa"/>
          </w:tcPr>
          <w:p w14:paraId="263A17F1" w14:textId="77777777" w:rsidR="006421E2" w:rsidRPr="007D2F65" w:rsidRDefault="006421E2" w:rsidP="001F1814">
            <w:pPr>
              <w:ind w:left="0" w:right="0"/>
              <w:rPr>
                <w:sz w:val="20"/>
                <w:szCs w:val="20"/>
                <w:lang w:val="en-US"/>
              </w:rPr>
            </w:pPr>
            <w:r w:rsidRPr="007D2F65">
              <w:rPr>
                <w:sz w:val="20"/>
                <w:szCs w:val="20"/>
                <w:lang w:val="en-US"/>
              </w:rPr>
              <w:t>Peripheral sensory neuropathy</w:t>
            </w:r>
            <w:r w:rsidRPr="007D2F65">
              <w:rPr>
                <w:sz w:val="20"/>
                <w:szCs w:val="20"/>
                <w:vertAlign w:val="superscript"/>
                <w:lang w:val="en-US"/>
              </w:rPr>
              <w:t>7</w:t>
            </w:r>
          </w:p>
        </w:tc>
        <w:tc>
          <w:tcPr>
            <w:tcW w:w="2564" w:type="dxa"/>
          </w:tcPr>
          <w:p w14:paraId="1DB52E20" w14:textId="77777777" w:rsidR="006421E2" w:rsidRPr="007D2F65" w:rsidRDefault="006421E2" w:rsidP="007D2F65">
            <w:pPr>
              <w:ind w:left="0" w:right="0"/>
              <w:jc w:val="center"/>
              <w:rPr>
                <w:sz w:val="20"/>
                <w:szCs w:val="20"/>
                <w:lang w:val="en-US"/>
              </w:rPr>
            </w:pPr>
            <w:r w:rsidRPr="007D2F65">
              <w:rPr>
                <w:sz w:val="20"/>
                <w:szCs w:val="20"/>
                <w:lang w:val="en-US"/>
              </w:rPr>
              <w:t>18</w:t>
            </w:r>
          </w:p>
        </w:tc>
        <w:tc>
          <w:tcPr>
            <w:tcW w:w="2709" w:type="dxa"/>
            <w:gridSpan w:val="2"/>
          </w:tcPr>
          <w:p w14:paraId="4AB75698" w14:textId="77777777" w:rsidR="006421E2" w:rsidRPr="007D2F65" w:rsidRDefault="006421E2" w:rsidP="007D2F65">
            <w:pPr>
              <w:ind w:left="0" w:right="0"/>
              <w:jc w:val="center"/>
              <w:rPr>
                <w:sz w:val="20"/>
                <w:szCs w:val="20"/>
                <w:lang w:val="en-US"/>
              </w:rPr>
            </w:pPr>
            <w:r w:rsidRPr="007D2F65">
              <w:rPr>
                <w:sz w:val="20"/>
                <w:szCs w:val="20"/>
                <w:lang w:val="en-US"/>
              </w:rPr>
              <w:t>1.1</w:t>
            </w:r>
          </w:p>
        </w:tc>
      </w:tr>
      <w:tr w:rsidR="006421E2" w:rsidRPr="006421E2" w14:paraId="3034E920" w14:textId="77777777" w:rsidTr="003576A2">
        <w:trPr>
          <w:trHeight w:val="20"/>
        </w:trPr>
        <w:tc>
          <w:tcPr>
            <w:tcW w:w="3634" w:type="dxa"/>
          </w:tcPr>
          <w:p w14:paraId="6F3A5569" w14:textId="77777777" w:rsidR="006421E2" w:rsidRPr="007D2F65" w:rsidRDefault="006421E2" w:rsidP="001F1814">
            <w:pPr>
              <w:ind w:left="0" w:right="0"/>
              <w:rPr>
                <w:sz w:val="20"/>
                <w:szCs w:val="20"/>
                <w:lang w:val="en-US"/>
              </w:rPr>
            </w:pPr>
            <w:r w:rsidRPr="007D2F65">
              <w:rPr>
                <w:sz w:val="20"/>
                <w:szCs w:val="20"/>
                <w:lang w:val="en-US"/>
              </w:rPr>
              <w:t>Headache</w:t>
            </w:r>
          </w:p>
        </w:tc>
        <w:tc>
          <w:tcPr>
            <w:tcW w:w="2564" w:type="dxa"/>
          </w:tcPr>
          <w:p w14:paraId="2BEB9FBF" w14:textId="77777777" w:rsidR="006421E2" w:rsidRPr="007D2F65" w:rsidRDefault="006421E2" w:rsidP="007D2F65">
            <w:pPr>
              <w:ind w:left="0" w:right="0"/>
              <w:jc w:val="center"/>
              <w:rPr>
                <w:sz w:val="20"/>
                <w:szCs w:val="20"/>
                <w:lang w:val="en-US"/>
              </w:rPr>
            </w:pPr>
            <w:r w:rsidRPr="007D2F65">
              <w:rPr>
                <w:sz w:val="20"/>
                <w:szCs w:val="20"/>
                <w:lang w:val="en-US"/>
              </w:rPr>
              <w:t>18</w:t>
            </w:r>
          </w:p>
        </w:tc>
        <w:tc>
          <w:tcPr>
            <w:tcW w:w="2709" w:type="dxa"/>
            <w:gridSpan w:val="2"/>
          </w:tcPr>
          <w:p w14:paraId="095C2CF2"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3BE8FDC9" w14:textId="77777777" w:rsidTr="003576A2">
        <w:trPr>
          <w:trHeight w:val="20"/>
        </w:trPr>
        <w:tc>
          <w:tcPr>
            <w:tcW w:w="3634" w:type="dxa"/>
          </w:tcPr>
          <w:p w14:paraId="78E046B7" w14:textId="77777777" w:rsidR="006421E2" w:rsidRPr="007D2F65" w:rsidRDefault="006421E2" w:rsidP="001F1814">
            <w:pPr>
              <w:ind w:left="0" w:right="0"/>
              <w:rPr>
                <w:sz w:val="20"/>
                <w:szCs w:val="20"/>
                <w:lang w:val="en-US"/>
              </w:rPr>
            </w:pPr>
            <w:r w:rsidRPr="007D2F65">
              <w:rPr>
                <w:sz w:val="20"/>
                <w:szCs w:val="20"/>
                <w:lang w:val="en-US"/>
              </w:rPr>
              <w:t>Ataxia</w:t>
            </w:r>
            <w:r w:rsidRPr="007D2F65">
              <w:rPr>
                <w:sz w:val="20"/>
                <w:szCs w:val="20"/>
                <w:vertAlign w:val="superscript"/>
                <w:lang w:val="en-US"/>
              </w:rPr>
              <w:t>8</w:t>
            </w:r>
          </w:p>
        </w:tc>
        <w:tc>
          <w:tcPr>
            <w:tcW w:w="2564" w:type="dxa"/>
          </w:tcPr>
          <w:p w14:paraId="4F05CF5E" w14:textId="77777777" w:rsidR="006421E2" w:rsidRPr="007D2F65" w:rsidRDefault="006421E2" w:rsidP="007D2F65">
            <w:pPr>
              <w:ind w:left="0" w:right="0"/>
              <w:jc w:val="center"/>
              <w:rPr>
                <w:sz w:val="20"/>
                <w:szCs w:val="20"/>
                <w:lang w:val="en-US"/>
              </w:rPr>
            </w:pPr>
            <w:r w:rsidRPr="007D2F65">
              <w:rPr>
                <w:sz w:val="20"/>
                <w:szCs w:val="20"/>
                <w:lang w:val="en-US"/>
              </w:rPr>
              <w:t>17</w:t>
            </w:r>
          </w:p>
        </w:tc>
        <w:tc>
          <w:tcPr>
            <w:tcW w:w="2709" w:type="dxa"/>
            <w:gridSpan w:val="2"/>
          </w:tcPr>
          <w:p w14:paraId="2CF130C7"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1CC13C04" w14:textId="77777777" w:rsidTr="003576A2">
        <w:trPr>
          <w:trHeight w:val="20"/>
        </w:trPr>
        <w:tc>
          <w:tcPr>
            <w:tcW w:w="3634" w:type="dxa"/>
          </w:tcPr>
          <w:p w14:paraId="745CEA66" w14:textId="77777777" w:rsidR="006421E2" w:rsidRPr="007D2F65" w:rsidRDefault="006421E2" w:rsidP="001F1814">
            <w:pPr>
              <w:ind w:left="0" w:right="0"/>
              <w:rPr>
                <w:sz w:val="20"/>
                <w:szCs w:val="20"/>
                <w:lang w:val="en-US"/>
              </w:rPr>
            </w:pPr>
            <w:r w:rsidRPr="007D2F65">
              <w:rPr>
                <w:sz w:val="20"/>
                <w:szCs w:val="20"/>
                <w:lang w:val="en-US"/>
              </w:rPr>
              <w:t>Sleep</w:t>
            </w:r>
            <w:r w:rsidRPr="007D2F65">
              <w:rPr>
                <w:sz w:val="20"/>
                <w:szCs w:val="20"/>
                <w:vertAlign w:val="superscript"/>
                <w:lang w:val="en-US"/>
              </w:rPr>
              <w:t>9</w:t>
            </w:r>
          </w:p>
        </w:tc>
        <w:tc>
          <w:tcPr>
            <w:tcW w:w="2564" w:type="dxa"/>
          </w:tcPr>
          <w:p w14:paraId="2B9937DA" w14:textId="77777777" w:rsidR="006421E2" w:rsidRPr="007D2F65" w:rsidRDefault="006421E2" w:rsidP="007D2F65">
            <w:pPr>
              <w:ind w:left="0" w:right="0"/>
              <w:jc w:val="center"/>
              <w:rPr>
                <w:sz w:val="20"/>
                <w:szCs w:val="20"/>
                <w:lang w:val="en-US"/>
              </w:rPr>
            </w:pPr>
            <w:r w:rsidRPr="007D2F65">
              <w:rPr>
                <w:sz w:val="20"/>
                <w:szCs w:val="20"/>
                <w:lang w:val="en-US"/>
              </w:rPr>
              <w:t>14</w:t>
            </w:r>
          </w:p>
        </w:tc>
        <w:tc>
          <w:tcPr>
            <w:tcW w:w="2709" w:type="dxa"/>
            <w:gridSpan w:val="2"/>
          </w:tcPr>
          <w:p w14:paraId="30007625" w14:textId="77777777" w:rsidR="006421E2" w:rsidRPr="007D2F65" w:rsidRDefault="006421E2" w:rsidP="007D2F65">
            <w:pPr>
              <w:ind w:left="0" w:right="0"/>
              <w:jc w:val="center"/>
              <w:rPr>
                <w:sz w:val="20"/>
                <w:szCs w:val="20"/>
                <w:lang w:val="en-US"/>
              </w:rPr>
            </w:pPr>
            <w:r w:rsidRPr="007D2F65">
              <w:rPr>
                <w:sz w:val="20"/>
                <w:szCs w:val="20"/>
                <w:lang w:val="en-US"/>
              </w:rPr>
              <w:t>0.6</w:t>
            </w:r>
          </w:p>
        </w:tc>
      </w:tr>
      <w:tr w:rsidR="006421E2" w:rsidRPr="006421E2" w14:paraId="263C99B0" w14:textId="77777777" w:rsidTr="003576A2">
        <w:trPr>
          <w:trHeight w:val="20"/>
        </w:trPr>
        <w:tc>
          <w:tcPr>
            <w:tcW w:w="3634" w:type="dxa"/>
          </w:tcPr>
          <w:p w14:paraId="3C281F60" w14:textId="77777777" w:rsidR="006421E2" w:rsidRPr="007D2F65" w:rsidRDefault="006421E2" w:rsidP="001F1814">
            <w:pPr>
              <w:ind w:left="0" w:right="0"/>
              <w:rPr>
                <w:sz w:val="20"/>
                <w:szCs w:val="20"/>
                <w:lang w:val="en-US"/>
              </w:rPr>
            </w:pPr>
            <w:r w:rsidRPr="007D2F65">
              <w:rPr>
                <w:sz w:val="20"/>
                <w:szCs w:val="20"/>
                <w:lang w:val="en-US"/>
              </w:rPr>
              <w:t>Mood disorders</w:t>
            </w:r>
            <w:r w:rsidRPr="007D2F65">
              <w:rPr>
                <w:sz w:val="20"/>
                <w:szCs w:val="20"/>
                <w:vertAlign w:val="superscript"/>
                <w:lang w:val="en-US"/>
              </w:rPr>
              <w:t>10</w:t>
            </w:r>
          </w:p>
        </w:tc>
        <w:tc>
          <w:tcPr>
            <w:tcW w:w="2564" w:type="dxa"/>
          </w:tcPr>
          <w:p w14:paraId="6A486902" w14:textId="77777777" w:rsidR="006421E2" w:rsidRPr="007D2F65" w:rsidRDefault="006421E2" w:rsidP="007D2F65">
            <w:pPr>
              <w:ind w:left="0" w:right="0"/>
              <w:jc w:val="center"/>
              <w:rPr>
                <w:sz w:val="20"/>
                <w:szCs w:val="20"/>
                <w:lang w:val="en-US"/>
              </w:rPr>
            </w:pPr>
            <w:r w:rsidRPr="007D2F65">
              <w:rPr>
                <w:sz w:val="20"/>
                <w:szCs w:val="20"/>
                <w:lang w:val="en-US"/>
              </w:rPr>
              <w:t>10</w:t>
            </w:r>
          </w:p>
        </w:tc>
        <w:tc>
          <w:tcPr>
            <w:tcW w:w="2709" w:type="dxa"/>
            <w:gridSpan w:val="2"/>
          </w:tcPr>
          <w:p w14:paraId="76F16856" w14:textId="77777777" w:rsidR="006421E2" w:rsidRPr="007D2F65" w:rsidRDefault="006421E2" w:rsidP="007D2F65">
            <w:pPr>
              <w:ind w:left="0" w:right="0"/>
              <w:jc w:val="center"/>
              <w:rPr>
                <w:sz w:val="20"/>
                <w:szCs w:val="20"/>
                <w:lang w:val="en-US"/>
              </w:rPr>
            </w:pPr>
            <w:r w:rsidRPr="007D2F65">
              <w:rPr>
                <w:sz w:val="20"/>
                <w:szCs w:val="20"/>
                <w:lang w:val="en-US"/>
              </w:rPr>
              <w:t>0.6</w:t>
            </w:r>
          </w:p>
        </w:tc>
      </w:tr>
      <w:tr w:rsidR="006421E2" w:rsidRPr="006421E2" w14:paraId="32EE0B09" w14:textId="77777777" w:rsidTr="003576A2">
        <w:trPr>
          <w:trHeight w:val="20"/>
        </w:trPr>
        <w:tc>
          <w:tcPr>
            <w:tcW w:w="8907" w:type="dxa"/>
            <w:gridSpan w:val="4"/>
          </w:tcPr>
          <w:p w14:paraId="7DE0C4E2" w14:textId="142BBCD5" w:rsidR="006421E2" w:rsidRPr="007D2F65" w:rsidRDefault="006421E2" w:rsidP="007D2F65">
            <w:pPr>
              <w:ind w:left="0" w:right="0"/>
              <w:rPr>
                <w:b/>
                <w:sz w:val="20"/>
                <w:szCs w:val="20"/>
                <w:lang w:val="en-US"/>
              </w:rPr>
            </w:pPr>
            <w:r w:rsidRPr="007D2F65">
              <w:rPr>
                <w:b/>
                <w:sz w:val="20"/>
                <w:szCs w:val="20"/>
                <w:lang w:val="en-US"/>
              </w:rPr>
              <w:t xml:space="preserve">Respiratory, </w:t>
            </w:r>
            <w:r w:rsidR="00FC0D4E">
              <w:rPr>
                <w:b/>
                <w:sz w:val="20"/>
                <w:szCs w:val="20"/>
                <w:lang w:val="en-US"/>
              </w:rPr>
              <w:t>t</w:t>
            </w:r>
            <w:r w:rsidRPr="007D2F65">
              <w:rPr>
                <w:b/>
                <w:sz w:val="20"/>
                <w:szCs w:val="20"/>
                <w:lang w:val="en-US"/>
              </w:rPr>
              <w:t xml:space="preserve">horacic and </w:t>
            </w:r>
            <w:r w:rsidR="00FC0D4E">
              <w:rPr>
                <w:b/>
                <w:sz w:val="20"/>
                <w:szCs w:val="20"/>
                <w:lang w:val="en-US"/>
              </w:rPr>
              <w:t>m</w:t>
            </w:r>
            <w:r w:rsidRPr="007D2F65">
              <w:rPr>
                <w:b/>
                <w:sz w:val="20"/>
                <w:szCs w:val="20"/>
                <w:lang w:val="en-US"/>
              </w:rPr>
              <w:t>ediastinal</w:t>
            </w:r>
          </w:p>
        </w:tc>
      </w:tr>
      <w:tr w:rsidR="006421E2" w:rsidRPr="006421E2" w14:paraId="427B67CF" w14:textId="77777777" w:rsidTr="003576A2">
        <w:trPr>
          <w:trHeight w:val="20"/>
        </w:trPr>
        <w:tc>
          <w:tcPr>
            <w:tcW w:w="3634" w:type="dxa"/>
          </w:tcPr>
          <w:p w14:paraId="712A38B3" w14:textId="77777777" w:rsidR="006421E2" w:rsidRPr="007D2F65" w:rsidRDefault="006421E2" w:rsidP="001F1814">
            <w:pPr>
              <w:ind w:left="0" w:right="0"/>
              <w:rPr>
                <w:sz w:val="20"/>
                <w:szCs w:val="20"/>
                <w:lang w:val="en-US"/>
              </w:rPr>
            </w:pPr>
            <w:r w:rsidRPr="007D2F65">
              <w:rPr>
                <w:sz w:val="20"/>
                <w:szCs w:val="20"/>
                <w:lang w:val="en-US"/>
              </w:rPr>
              <w:t>Dyspnea</w:t>
            </w:r>
          </w:p>
        </w:tc>
        <w:tc>
          <w:tcPr>
            <w:tcW w:w="2564" w:type="dxa"/>
          </w:tcPr>
          <w:p w14:paraId="7BCE2276" w14:textId="77777777" w:rsidR="006421E2" w:rsidRPr="007D2F65" w:rsidRDefault="006421E2" w:rsidP="007D2F65">
            <w:pPr>
              <w:ind w:left="0" w:right="0"/>
              <w:jc w:val="center"/>
              <w:rPr>
                <w:sz w:val="20"/>
                <w:szCs w:val="20"/>
                <w:lang w:val="en-US"/>
              </w:rPr>
            </w:pPr>
            <w:r w:rsidRPr="007D2F65">
              <w:rPr>
                <w:sz w:val="20"/>
                <w:szCs w:val="20"/>
                <w:lang w:val="en-US"/>
              </w:rPr>
              <w:t>30</w:t>
            </w:r>
          </w:p>
        </w:tc>
        <w:tc>
          <w:tcPr>
            <w:tcW w:w="2709" w:type="dxa"/>
            <w:gridSpan w:val="2"/>
          </w:tcPr>
          <w:p w14:paraId="2E0CF763" w14:textId="77777777" w:rsidR="006421E2" w:rsidRPr="007D2F65" w:rsidRDefault="006421E2" w:rsidP="007D2F65">
            <w:pPr>
              <w:ind w:left="0" w:right="0"/>
              <w:jc w:val="center"/>
              <w:rPr>
                <w:sz w:val="20"/>
                <w:szCs w:val="20"/>
                <w:lang w:val="en-US"/>
              </w:rPr>
            </w:pPr>
            <w:r w:rsidRPr="007D2F65">
              <w:rPr>
                <w:sz w:val="20"/>
                <w:szCs w:val="20"/>
                <w:lang w:val="en-US"/>
              </w:rPr>
              <w:t>6*</w:t>
            </w:r>
          </w:p>
        </w:tc>
      </w:tr>
      <w:tr w:rsidR="006421E2" w:rsidRPr="006421E2" w14:paraId="16ADBC1F" w14:textId="77777777" w:rsidTr="003576A2">
        <w:trPr>
          <w:trHeight w:val="20"/>
        </w:trPr>
        <w:tc>
          <w:tcPr>
            <w:tcW w:w="3634" w:type="dxa"/>
          </w:tcPr>
          <w:p w14:paraId="134A37AF" w14:textId="77777777" w:rsidR="006421E2" w:rsidRPr="007D2F65" w:rsidRDefault="006421E2" w:rsidP="001F1814">
            <w:pPr>
              <w:ind w:left="0" w:right="0"/>
              <w:rPr>
                <w:sz w:val="20"/>
                <w:szCs w:val="20"/>
                <w:lang w:val="en-US"/>
              </w:rPr>
            </w:pPr>
            <w:r w:rsidRPr="007D2F65">
              <w:rPr>
                <w:sz w:val="20"/>
                <w:szCs w:val="20"/>
                <w:lang w:val="en-US"/>
              </w:rPr>
              <w:t>Cough</w:t>
            </w:r>
          </w:p>
        </w:tc>
        <w:tc>
          <w:tcPr>
            <w:tcW w:w="2564" w:type="dxa"/>
          </w:tcPr>
          <w:p w14:paraId="2146F2FE" w14:textId="77777777" w:rsidR="006421E2" w:rsidRPr="007D2F65" w:rsidRDefault="006421E2" w:rsidP="007D2F65">
            <w:pPr>
              <w:ind w:left="0" w:right="0"/>
              <w:jc w:val="center"/>
              <w:rPr>
                <w:sz w:val="20"/>
                <w:szCs w:val="20"/>
                <w:lang w:val="en-US"/>
              </w:rPr>
            </w:pPr>
            <w:r w:rsidRPr="007D2F65">
              <w:rPr>
                <w:sz w:val="20"/>
                <w:szCs w:val="20"/>
                <w:lang w:val="en-US"/>
              </w:rPr>
              <w:t>24</w:t>
            </w:r>
          </w:p>
        </w:tc>
        <w:tc>
          <w:tcPr>
            <w:tcW w:w="2709" w:type="dxa"/>
            <w:gridSpan w:val="2"/>
          </w:tcPr>
          <w:p w14:paraId="39E4B983"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5A6FD02F" w14:textId="77777777" w:rsidTr="003576A2">
        <w:trPr>
          <w:trHeight w:val="20"/>
        </w:trPr>
        <w:tc>
          <w:tcPr>
            <w:tcW w:w="8907" w:type="dxa"/>
            <w:gridSpan w:val="4"/>
          </w:tcPr>
          <w:p w14:paraId="2216A976" w14:textId="021B75A5" w:rsidR="006421E2" w:rsidRPr="007D2F65" w:rsidRDefault="006421E2" w:rsidP="001F1814">
            <w:pPr>
              <w:ind w:left="0" w:right="0"/>
              <w:rPr>
                <w:b/>
                <w:sz w:val="20"/>
                <w:szCs w:val="20"/>
                <w:lang w:val="en-US"/>
              </w:rPr>
            </w:pPr>
            <w:r w:rsidRPr="007D2F65">
              <w:rPr>
                <w:b/>
                <w:sz w:val="20"/>
                <w:szCs w:val="20"/>
                <w:lang w:val="en-US"/>
              </w:rPr>
              <w:t xml:space="preserve">Musculoskeletal and </w:t>
            </w:r>
            <w:r w:rsidR="00FC0D4E">
              <w:rPr>
                <w:b/>
                <w:sz w:val="20"/>
                <w:szCs w:val="20"/>
                <w:lang w:val="en-US"/>
              </w:rPr>
              <w:t>c</w:t>
            </w:r>
            <w:r w:rsidRPr="007D2F65">
              <w:rPr>
                <w:b/>
                <w:sz w:val="20"/>
                <w:szCs w:val="20"/>
                <w:lang w:val="en-US"/>
              </w:rPr>
              <w:t xml:space="preserve">onnective </w:t>
            </w:r>
            <w:r w:rsidR="00FC0D4E">
              <w:rPr>
                <w:b/>
                <w:sz w:val="20"/>
                <w:szCs w:val="20"/>
                <w:lang w:val="en-US"/>
              </w:rPr>
              <w:t>t</w:t>
            </w:r>
            <w:r w:rsidRPr="007D2F65">
              <w:rPr>
                <w:b/>
                <w:sz w:val="20"/>
                <w:szCs w:val="20"/>
                <w:lang w:val="en-US"/>
              </w:rPr>
              <w:t>issue</w:t>
            </w:r>
          </w:p>
        </w:tc>
      </w:tr>
      <w:tr w:rsidR="006421E2" w:rsidRPr="006421E2" w14:paraId="53EDBB15" w14:textId="77777777" w:rsidTr="003576A2">
        <w:trPr>
          <w:trHeight w:val="20"/>
        </w:trPr>
        <w:tc>
          <w:tcPr>
            <w:tcW w:w="3634" w:type="dxa"/>
          </w:tcPr>
          <w:p w14:paraId="0E927D62" w14:textId="77777777" w:rsidR="006421E2" w:rsidRPr="007D2F65" w:rsidRDefault="006421E2" w:rsidP="001F1814">
            <w:pPr>
              <w:ind w:left="0" w:right="0"/>
              <w:rPr>
                <w:sz w:val="20"/>
                <w:szCs w:val="20"/>
                <w:lang w:val="en-US"/>
              </w:rPr>
            </w:pPr>
            <w:r w:rsidRPr="007D2F65">
              <w:rPr>
                <w:sz w:val="20"/>
                <w:szCs w:val="20"/>
                <w:lang w:val="en-US"/>
              </w:rPr>
              <w:t>Myalgia</w:t>
            </w:r>
            <w:r w:rsidRPr="007D2F65">
              <w:rPr>
                <w:sz w:val="20"/>
                <w:szCs w:val="20"/>
                <w:vertAlign w:val="superscript"/>
                <w:lang w:val="en-US"/>
              </w:rPr>
              <w:t>11</w:t>
            </w:r>
          </w:p>
        </w:tc>
        <w:tc>
          <w:tcPr>
            <w:tcW w:w="2564" w:type="dxa"/>
          </w:tcPr>
          <w:p w14:paraId="24E0D811" w14:textId="77777777" w:rsidR="006421E2" w:rsidRPr="007D2F65" w:rsidRDefault="006421E2" w:rsidP="007D2F65">
            <w:pPr>
              <w:ind w:left="0" w:right="0"/>
              <w:jc w:val="center"/>
              <w:rPr>
                <w:sz w:val="20"/>
                <w:szCs w:val="20"/>
                <w:lang w:val="en-US"/>
              </w:rPr>
            </w:pPr>
            <w:r w:rsidRPr="007D2F65">
              <w:rPr>
                <w:sz w:val="20"/>
                <w:szCs w:val="20"/>
                <w:lang w:val="en-US"/>
              </w:rPr>
              <w:t>28</w:t>
            </w:r>
          </w:p>
        </w:tc>
        <w:tc>
          <w:tcPr>
            <w:tcW w:w="2709" w:type="dxa"/>
            <w:gridSpan w:val="2"/>
          </w:tcPr>
          <w:p w14:paraId="60CDD83E" w14:textId="77777777" w:rsidR="006421E2" w:rsidRPr="007D2F65" w:rsidRDefault="006421E2" w:rsidP="007D2F65">
            <w:pPr>
              <w:ind w:left="0" w:right="0"/>
              <w:jc w:val="center"/>
              <w:rPr>
                <w:sz w:val="20"/>
                <w:szCs w:val="20"/>
                <w:lang w:val="en-US"/>
              </w:rPr>
            </w:pPr>
            <w:r w:rsidRPr="007D2F65">
              <w:rPr>
                <w:sz w:val="20"/>
                <w:szCs w:val="20"/>
                <w:lang w:val="en-US"/>
              </w:rPr>
              <w:t>1.1</w:t>
            </w:r>
          </w:p>
        </w:tc>
      </w:tr>
      <w:tr w:rsidR="006421E2" w:rsidRPr="006421E2" w14:paraId="4EF34EE9" w14:textId="77777777" w:rsidTr="003576A2">
        <w:trPr>
          <w:trHeight w:val="20"/>
        </w:trPr>
        <w:tc>
          <w:tcPr>
            <w:tcW w:w="3634" w:type="dxa"/>
          </w:tcPr>
          <w:p w14:paraId="622EF86E" w14:textId="77777777" w:rsidR="006421E2" w:rsidRPr="007D2F65" w:rsidRDefault="006421E2" w:rsidP="001F1814">
            <w:pPr>
              <w:ind w:left="0" w:right="0"/>
              <w:rPr>
                <w:sz w:val="20"/>
                <w:szCs w:val="20"/>
                <w:lang w:val="en-US"/>
              </w:rPr>
            </w:pPr>
            <w:r w:rsidRPr="007D2F65">
              <w:rPr>
                <w:sz w:val="20"/>
                <w:szCs w:val="20"/>
                <w:lang w:val="en-US"/>
              </w:rPr>
              <w:t>Arthralgia</w:t>
            </w:r>
          </w:p>
        </w:tc>
        <w:tc>
          <w:tcPr>
            <w:tcW w:w="2564" w:type="dxa"/>
          </w:tcPr>
          <w:p w14:paraId="3EFD9211" w14:textId="77777777" w:rsidR="006421E2" w:rsidRPr="007D2F65" w:rsidRDefault="006421E2" w:rsidP="007D2F65">
            <w:pPr>
              <w:ind w:left="0" w:right="0"/>
              <w:jc w:val="center"/>
              <w:rPr>
                <w:sz w:val="20"/>
                <w:szCs w:val="20"/>
                <w:lang w:val="en-US"/>
              </w:rPr>
            </w:pPr>
            <w:r w:rsidRPr="007D2F65">
              <w:rPr>
                <w:sz w:val="20"/>
                <w:szCs w:val="20"/>
                <w:lang w:val="en-US"/>
              </w:rPr>
              <w:t>21</w:t>
            </w:r>
          </w:p>
        </w:tc>
        <w:tc>
          <w:tcPr>
            <w:tcW w:w="2709" w:type="dxa"/>
            <w:gridSpan w:val="2"/>
          </w:tcPr>
          <w:p w14:paraId="20D9648E" w14:textId="77777777" w:rsidR="006421E2" w:rsidRPr="007D2F65" w:rsidRDefault="006421E2" w:rsidP="007D2F65">
            <w:pPr>
              <w:ind w:left="0" w:right="0"/>
              <w:jc w:val="center"/>
              <w:rPr>
                <w:sz w:val="20"/>
                <w:szCs w:val="20"/>
                <w:lang w:val="en-US"/>
              </w:rPr>
            </w:pPr>
            <w:r w:rsidRPr="007D2F65">
              <w:rPr>
                <w:sz w:val="20"/>
                <w:szCs w:val="20"/>
                <w:lang w:val="en-US"/>
              </w:rPr>
              <w:t>0.6</w:t>
            </w:r>
          </w:p>
        </w:tc>
      </w:tr>
      <w:tr w:rsidR="006421E2" w:rsidRPr="006421E2" w14:paraId="56859C05" w14:textId="77777777" w:rsidTr="003576A2">
        <w:trPr>
          <w:trHeight w:val="20"/>
        </w:trPr>
        <w:tc>
          <w:tcPr>
            <w:tcW w:w="3634" w:type="dxa"/>
          </w:tcPr>
          <w:p w14:paraId="67272ABE" w14:textId="77777777" w:rsidR="006421E2" w:rsidRPr="007D2F65" w:rsidRDefault="006421E2" w:rsidP="001F1814">
            <w:pPr>
              <w:ind w:left="0" w:right="0"/>
              <w:rPr>
                <w:sz w:val="20"/>
                <w:szCs w:val="20"/>
                <w:lang w:val="en-US"/>
              </w:rPr>
            </w:pPr>
            <w:r w:rsidRPr="007D2F65">
              <w:rPr>
                <w:sz w:val="20"/>
                <w:szCs w:val="20"/>
                <w:lang w:val="en-US"/>
              </w:rPr>
              <w:t>Muscular weakness</w:t>
            </w:r>
          </w:p>
        </w:tc>
        <w:tc>
          <w:tcPr>
            <w:tcW w:w="2564" w:type="dxa"/>
          </w:tcPr>
          <w:p w14:paraId="649F9CA7" w14:textId="77777777" w:rsidR="006421E2" w:rsidRPr="007D2F65" w:rsidRDefault="006421E2" w:rsidP="007D2F65">
            <w:pPr>
              <w:ind w:left="0" w:right="0"/>
              <w:jc w:val="center"/>
              <w:rPr>
                <w:sz w:val="20"/>
                <w:szCs w:val="20"/>
                <w:lang w:val="en-US"/>
              </w:rPr>
            </w:pPr>
            <w:r w:rsidRPr="007D2F65">
              <w:rPr>
                <w:sz w:val="20"/>
                <w:szCs w:val="20"/>
                <w:lang w:val="en-US"/>
              </w:rPr>
              <w:t>12</w:t>
            </w:r>
          </w:p>
        </w:tc>
        <w:tc>
          <w:tcPr>
            <w:tcW w:w="2709" w:type="dxa"/>
            <w:gridSpan w:val="2"/>
          </w:tcPr>
          <w:p w14:paraId="5A49A681"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1B9B320B" w14:textId="77777777" w:rsidTr="003576A2">
        <w:trPr>
          <w:trHeight w:val="20"/>
        </w:trPr>
        <w:tc>
          <w:tcPr>
            <w:tcW w:w="3634" w:type="dxa"/>
          </w:tcPr>
          <w:p w14:paraId="5EBF6101" w14:textId="77777777" w:rsidR="006421E2" w:rsidRPr="007D2F65" w:rsidRDefault="006421E2" w:rsidP="001F1814">
            <w:pPr>
              <w:ind w:left="0" w:right="0"/>
              <w:rPr>
                <w:sz w:val="20"/>
                <w:szCs w:val="20"/>
                <w:lang w:val="en-US"/>
              </w:rPr>
            </w:pPr>
            <w:r w:rsidRPr="007D2F65">
              <w:rPr>
                <w:sz w:val="20"/>
                <w:szCs w:val="20"/>
                <w:lang w:val="en-US"/>
              </w:rPr>
              <w:t>Back pain</w:t>
            </w:r>
          </w:p>
        </w:tc>
        <w:tc>
          <w:tcPr>
            <w:tcW w:w="2564" w:type="dxa"/>
          </w:tcPr>
          <w:p w14:paraId="6EF9407F" w14:textId="77777777" w:rsidR="006421E2" w:rsidRPr="007D2F65" w:rsidRDefault="006421E2" w:rsidP="007D2F65">
            <w:pPr>
              <w:ind w:left="0" w:right="0"/>
              <w:jc w:val="center"/>
              <w:rPr>
                <w:sz w:val="20"/>
                <w:szCs w:val="20"/>
                <w:lang w:val="en-US"/>
              </w:rPr>
            </w:pPr>
            <w:r w:rsidRPr="007D2F65">
              <w:rPr>
                <w:sz w:val="20"/>
                <w:szCs w:val="20"/>
                <w:lang w:val="en-US"/>
              </w:rPr>
              <w:t>12</w:t>
            </w:r>
          </w:p>
        </w:tc>
        <w:tc>
          <w:tcPr>
            <w:tcW w:w="2709" w:type="dxa"/>
            <w:gridSpan w:val="2"/>
          </w:tcPr>
          <w:p w14:paraId="6B2C3FDF" w14:textId="77777777" w:rsidR="006421E2" w:rsidRPr="007D2F65" w:rsidRDefault="006421E2" w:rsidP="007D2F65">
            <w:pPr>
              <w:ind w:left="0" w:right="0"/>
              <w:jc w:val="center"/>
              <w:rPr>
                <w:sz w:val="20"/>
                <w:szCs w:val="20"/>
                <w:lang w:val="en-US"/>
              </w:rPr>
            </w:pPr>
            <w:r w:rsidRPr="007D2F65">
              <w:rPr>
                <w:sz w:val="20"/>
                <w:szCs w:val="20"/>
                <w:lang w:val="en-US"/>
              </w:rPr>
              <w:t>1</w:t>
            </w:r>
          </w:p>
        </w:tc>
      </w:tr>
      <w:tr w:rsidR="006421E2" w:rsidRPr="006421E2" w14:paraId="7807480F" w14:textId="77777777" w:rsidTr="003576A2">
        <w:trPr>
          <w:trHeight w:val="20"/>
        </w:trPr>
        <w:tc>
          <w:tcPr>
            <w:tcW w:w="3634" w:type="dxa"/>
          </w:tcPr>
          <w:p w14:paraId="2BDB965B" w14:textId="77777777" w:rsidR="006421E2" w:rsidRPr="007D2F65" w:rsidRDefault="006421E2" w:rsidP="001F1814">
            <w:pPr>
              <w:ind w:left="0" w:right="0"/>
              <w:rPr>
                <w:sz w:val="20"/>
                <w:szCs w:val="20"/>
                <w:lang w:val="en-US"/>
              </w:rPr>
            </w:pPr>
            <w:r w:rsidRPr="007D2F65">
              <w:rPr>
                <w:sz w:val="20"/>
                <w:szCs w:val="20"/>
                <w:lang w:val="en-US"/>
              </w:rPr>
              <w:t>Pain in extremity</w:t>
            </w:r>
          </w:p>
        </w:tc>
        <w:tc>
          <w:tcPr>
            <w:tcW w:w="2564" w:type="dxa"/>
          </w:tcPr>
          <w:p w14:paraId="2223EA0A" w14:textId="77777777" w:rsidR="006421E2" w:rsidRPr="007D2F65" w:rsidRDefault="006421E2" w:rsidP="007D2F65">
            <w:pPr>
              <w:ind w:left="0" w:right="0"/>
              <w:jc w:val="center"/>
              <w:rPr>
                <w:sz w:val="20"/>
                <w:szCs w:val="20"/>
                <w:lang w:val="en-US"/>
              </w:rPr>
            </w:pPr>
            <w:r w:rsidRPr="007D2F65">
              <w:rPr>
                <w:sz w:val="20"/>
                <w:szCs w:val="20"/>
                <w:lang w:val="en-US"/>
              </w:rPr>
              <w:t>11</w:t>
            </w:r>
          </w:p>
        </w:tc>
        <w:tc>
          <w:tcPr>
            <w:tcW w:w="2709" w:type="dxa"/>
            <w:gridSpan w:val="2"/>
          </w:tcPr>
          <w:p w14:paraId="56D65853"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1FB8EFD9" w14:textId="77777777" w:rsidTr="00D84CA8">
        <w:trPr>
          <w:gridAfter w:val="1"/>
          <w:wAfter w:w="10" w:type="dxa"/>
          <w:trHeight w:val="20"/>
        </w:trPr>
        <w:tc>
          <w:tcPr>
            <w:tcW w:w="3634" w:type="dxa"/>
          </w:tcPr>
          <w:p w14:paraId="4A645478" w14:textId="727CD9BC" w:rsidR="006421E2" w:rsidRPr="007D2F65" w:rsidRDefault="006421E2" w:rsidP="007D2F65">
            <w:pPr>
              <w:ind w:left="0" w:right="0"/>
              <w:rPr>
                <w:b/>
                <w:sz w:val="20"/>
                <w:szCs w:val="20"/>
                <w:lang w:val="en-US"/>
              </w:rPr>
            </w:pPr>
            <w:r w:rsidRPr="007D2F65">
              <w:rPr>
                <w:b/>
                <w:sz w:val="20"/>
                <w:szCs w:val="20"/>
                <w:lang w:val="en-US"/>
              </w:rPr>
              <w:lastRenderedPageBreak/>
              <w:t xml:space="preserve">Metabolism and </w:t>
            </w:r>
            <w:r w:rsidR="00FC0D4E">
              <w:rPr>
                <w:b/>
                <w:sz w:val="20"/>
                <w:szCs w:val="20"/>
                <w:lang w:val="en-US"/>
              </w:rPr>
              <w:t>n</w:t>
            </w:r>
            <w:r w:rsidRPr="007D2F65">
              <w:rPr>
                <w:b/>
                <w:sz w:val="20"/>
                <w:szCs w:val="20"/>
                <w:lang w:val="en-US"/>
              </w:rPr>
              <w:t>utritional</w:t>
            </w:r>
          </w:p>
        </w:tc>
        <w:tc>
          <w:tcPr>
            <w:tcW w:w="2564" w:type="dxa"/>
          </w:tcPr>
          <w:p w14:paraId="06096487" w14:textId="77777777" w:rsidR="006421E2" w:rsidRPr="007D2F65" w:rsidRDefault="006421E2" w:rsidP="007D2F65">
            <w:pPr>
              <w:ind w:left="0" w:right="0"/>
              <w:rPr>
                <w:sz w:val="20"/>
                <w:szCs w:val="20"/>
                <w:lang w:val="en-US"/>
              </w:rPr>
            </w:pPr>
          </w:p>
        </w:tc>
        <w:tc>
          <w:tcPr>
            <w:tcW w:w="2699" w:type="dxa"/>
          </w:tcPr>
          <w:p w14:paraId="316235DB" w14:textId="77777777" w:rsidR="006421E2" w:rsidRPr="007D2F65" w:rsidRDefault="006421E2" w:rsidP="007D2F65">
            <w:pPr>
              <w:ind w:left="0" w:right="0"/>
              <w:rPr>
                <w:sz w:val="20"/>
                <w:szCs w:val="20"/>
                <w:lang w:val="en-US"/>
              </w:rPr>
            </w:pPr>
          </w:p>
        </w:tc>
      </w:tr>
      <w:tr w:rsidR="006421E2" w:rsidRPr="006421E2" w14:paraId="6E110B18" w14:textId="77777777" w:rsidTr="00D84CA8">
        <w:trPr>
          <w:gridAfter w:val="1"/>
          <w:wAfter w:w="10" w:type="dxa"/>
          <w:trHeight w:val="20"/>
        </w:trPr>
        <w:tc>
          <w:tcPr>
            <w:tcW w:w="3634" w:type="dxa"/>
          </w:tcPr>
          <w:p w14:paraId="14D610C8" w14:textId="77777777" w:rsidR="006421E2" w:rsidRPr="007D2F65" w:rsidRDefault="006421E2" w:rsidP="001F1814">
            <w:pPr>
              <w:ind w:left="0" w:right="0"/>
              <w:rPr>
                <w:sz w:val="20"/>
                <w:szCs w:val="20"/>
                <w:lang w:val="en-US"/>
              </w:rPr>
            </w:pPr>
            <w:r w:rsidRPr="007D2F65">
              <w:rPr>
                <w:sz w:val="20"/>
                <w:szCs w:val="20"/>
                <w:lang w:val="en-US"/>
              </w:rPr>
              <w:t>Increased weight</w:t>
            </w:r>
          </w:p>
        </w:tc>
        <w:tc>
          <w:tcPr>
            <w:tcW w:w="2564" w:type="dxa"/>
          </w:tcPr>
          <w:p w14:paraId="734E7DED" w14:textId="77777777" w:rsidR="006421E2" w:rsidRPr="007D2F65" w:rsidRDefault="006421E2" w:rsidP="007D2F65">
            <w:pPr>
              <w:ind w:left="0" w:right="0"/>
              <w:jc w:val="center"/>
              <w:rPr>
                <w:sz w:val="20"/>
                <w:szCs w:val="20"/>
                <w:lang w:val="en-US"/>
              </w:rPr>
            </w:pPr>
            <w:r w:rsidRPr="007D2F65">
              <w:rPr>
                <w:sz w:val="20"/>
                <w:szCs w:val="20"/>
                <w:lang w:val="en-US"/>
              </w:rPr>
              <w:t>25</w:t>
            </w:r>
          </w:p>
        </w:tc>
        <w:tc>
          <w:tcPr>
            <w:tcW w:w="2699" w:type="dxa"/>
          </w:tcPr>
          <w:p w14:paraId="2541F2EC" w14:textId="77777777" w:rsidR="006421E2" w:rsidRPr="007D2F65" w:rsidRDefault="006421E2" w:rsidP="007D2F65">
            <w:pPr>
              <w:ind w:left="0" w:right="0"/>
              <w:jc w:val="center"/>
              <w:rPr>
                <w:sz w:val="20"/>
                <w:szCs w:val="20"/>
                <w:lang w:val="en-US"/>
              </w:rPr>
            </w:pPr>
            <w:r w:rsidRPr="007D2F65">
              <w:rPr>
                <w:sz w:val="20"/>
                <w:szCs w:val="20"/>
                <w:lang w:val="en-US"/>
              </w:rPr>
              <w:t>7</w:t>
            </w:r>
          </w:p>
        </w:tc>
      </w:tr>
      <w:tr w:rsidR="006421E2" w:rsidRPr="006421E2" w14:paraId="3CC34DCB" w14:textId="77777777" w:rsidTr="00D84CA8">
        <w:trPr>
          <w:gridAfter w:val="1"/>
          <w:wAfter w:w="10" w:type="dxa"/>
          <w:trHeight w:val="20"/>
        </w:trPr>
        <w:tc>
          <w:tcPr>
            <w:tcW w:w="3634" w:type="dxa"/>
          </w:tcPr>
          <w:p w14:paraId="1EE37CE0" w14:textId="77777777" w:rsidR="006421E2" w:rsidRPr="007D2F65" w:rsidRDefault="006421E2" w:rsidP="001F1814">
            <w:pPr>
              <w:ind w:left="0" w:right="0"/>
              <w:rPr>
                <w:sz w:val="20"/>
                <w:szCs w:val="20"/>
                <w:lang w:val="en-US"/>
              </w:rPr>
            </w:pPr>
            <w:r w:rsidRPr="007D2F65">
              <w:rPr>
                <w:sz w:val="20"/>
                <w:szCs w:val="20"/>
                <w:lang w:val="en-US"/>
              </w:rPr>
              <w:t>Decreased appetite</w:t>
            </w:r>
          </w:p>
        </w:tc>
        <w:tc>
          <w:tcPr>
            <w:tcW w:w="2564" w:type="dxa"/>
          </w:tcPr>
          <w:p w14:paraId="183A593F" w14:textId="77777777" w:rsidR="006421E2" w:rsidRPr="007D2F65" w:rsidRDefault="006421E2" w:rsidP="007D2F65">
            <w:pPr>
              <w:ind w:left="0" w:right="0"/>
              <w:jc w:val="center"/>
              <w:rPr>
                <w:sz w:val="20"/>
                <w:szCs w:val="20"/>
                <w:lang w:val="en-US"/>
              </w:rPr>
            </w:pPr>
            <w:r w:rsidRPr="007D2F65">
              <w:rPr>
                <w:sz w:val="20"/>
                <w:szCs w:val="20"/>
                <w:lang w:val="en-US"/>
              </w:rPr>
              <w:t>13</w:t>
            </w:r>
          </w:p>
        </w:tc>
        <w:tc>
          <w:tcPr>
            <w:tcW w:w="2699" w:type="dxa"/>
          </w:tcPr>
          <w:p w14:paraId="117E7E63" w14:textId="77777777" w:rsidR="006421E2" w:rsidRPr="007D2F65" w:rsidRDefault="006421E2" w:rsidP="007D2F65">
            <w:pPr>
              <w:ind w:left="0" w:right="0"/>
              <w:jc w:val="center"/>
              <w:rPr>
                <w:sz w:val="20"/>
                <w:szCs w:val="20"/>
                <w:lang w:val="en-US"/>
              </w:rPr>
            </w:pPr>
            <w:r w:rsidRPr="007D2F65">
              <w:rPr>
                <w:sz w:val="20"/>
                <w:szCs w:val="20"/>
                <w:lang w:val="en-US"/>
              </w:rPr>
              <w:t>0.3</w:t>
            </w:r>
          </w:p>
        </w:tc>
      </w:tr>
      <w:tr w:rsidR="006421E2" w:rsidRPr="006421E2" w14:paraId="7D8C1ED5" w14:textId="77777777" w:rsidTr="00D84CA8">
        <w:trPr>
          <w:gridAfter w:val="1"/>
          <w:wAfter w:w="10" w:type="dxa"/>
          <w:trHeight w:val="20"/>
        </w:trPr>
        <w:tc>
          <w:tcPr>
            <w:tcW w:w="3634" w:type="dxa"/>
          </w:tcPr>
          <w:p w14:paraId="2B8C3692" w14:textId="77777777" w:rsidR="006421E2" w:rsidRPr="007D2F65" w:rsidRDefault="006421E2" w:rsidP="001F1814">
            <w:pPr>
              <w:ind w:left="0" w:right="0"/>
              <w:rPr>
                <w:sz w:val="20"/>
                <w:szCs w:val="20"/>
                <w:lang w:val="en-US"/>
              </w:rPr>
            </w:pPr>
            <w:r w:rsidRPr="007D2F65">
              <w:rPr>
                <w:sz w:val="20"/>
                <w:szCs w:val="20"/>
                <w:lang w:val="en-US"/>
              </w:rPr>
              <w:t>Dehydration</w:t>
            </w:r>
          </w:p>
        </w:tc>
        <w:tc>
          <w:tcPr>
            <w:tcW w:w="2564" w:type="dxa"/>
          </w:tcPr>
          <w:p w14:paraId="3D164001" w14:textId="77777777" w:rsidR="006421E2" w:rsidRPr="007D2F65" w:rsidRDefault="006421E2" w:rsidP="007D2F65">
            <w:pPr>
              <w:ind w:left="0" w:right="0"/>
              <w:jc w:val="center"/>
              <w:rPr>
                <w:sz w:val="20"/>
                <w:szCs w:val="20"/>
                <w:lang w:val="en-US"/>
              </w:rPr>
            </w:pPr>
            <w:r w:rsidRPr="007D2F65">
              <w:rPr>
                <w:sz w:val="20"/>
                <w:szCs w:val="20"/>
                <w:lang w:val="en-US"/>
              </w:rPr>
              <w:t>10</w:t>
            </w:r>
          </w:p>
        </w:tc>
        <w:tc>
          <w:tcPr>
            <w:tcW w:w="2699" w:type="dxa"/>
          </w:tcPr>
          <w:p w14:paraId="19A22C59" w14:textId="77777777" w:rsidR="006421E2" w:rsidRPr="007D2F65" w:rsidRDefault="006421E2" w:rsidP="007D2F65">
            <w:pPr>
              <w:ind w:left="0" w:right="0"/>
              <w:jc w:val="center"/>
              <w:rPr>
                <w:sz w:val="20"/>
                <w:szCs w:val="20"/>
                <w:lang w:val="en-US"/>
              </w:rPr>
            </w:pPr>
            <w:r w:rsidRPr="007D2F65">
              <w:rPr>
                <w:sz w:val="20"/>
                <w:szCs w:val="20"/>
                <w:lang w:val="en-US"/>
              </w:rPr>
              <w:t>1.1</w:t>
            </w:r>
          </w:p>
        </w:tc>
      </w:tr>
      <w:tr w:rsidR="006421E2" w:rsidRPr="006421E2" w14:paraId="253452F1" w14:textId="77777777" w:rsidTr="00D84CA8">
        <w:trPr>
          <w:gridAfter w:val="1"/>
          <w:wAfter w:w="10" w:type="dxa"/>
          <w:trHeight w:val="20"/>
        </w:trPr>
        <w:tc>
          <w:tcPr>
            <w:tcW w:w="3634" w:type="dxa"/>
          </w:tcPr>
          <w:p w14:paraId="0387BCAE" w14:textId="77777777" w:rsidR="006421E2" w:rsidRPr="007D2F65" w:rsidRDefault="006421E2" w:rsidP="001F1814">
            <w:pPr>
              <w:ind w:left="0" w:right="0"/>
              <w:rPr>
                <w:b/>
                <w:sz w:val="20"/>
                <w:szCs w:val="20"/>
                <w:lang w:val="en-US"/>
              </w:rPr>
            </w:pPr>
            <w:r w:rsidRPr="007D2F65">
              <w:rPr>
                <w:b/>
                <w:sz w:val="20"/>
                <w:szCs w:val="20"/>
                <w:lang w:val="en-US"/>
              </w:rPr>
              <w:t>Eye</w:t>
            </w:r>
          </w:p>
        </w:tc>
        <w:tc>
          <w:tcPr>
            <w:tcW w:w="2564" w:type="dxa"/>
          </w:tcPr>
          <w:p w14:paraId="095E16E3" w14:textId="77777777" w:rsidR="006421E2" w:rsidRPr="007D2F65" w:rsidRDefault="006421E2" w:rsidP="007D2F65">
            <w:pPr>
              <w:ind w:left="0" w:right="0"/>
              <w:rPr>
                <w:sz w:val="20"/>
                <w:szCs w:val="20"/>
                <w:lang w:val="en-US"/>
              </w:rPr>
            </w:pPr>
          </w:p>
        </w:tc>
        <w:tc>
          <w:tcPr>
            <w:tcW w:w="2699" w:type="dxa"/>
          </w:tcPr>
          <w:p w14:paraId="79A0B45D" w14:textId="77777777" w:rsidR="006421E2" w:rsidRPr="007D2F65" w:rsidRDefault="006421E2" w:rsidP="007D2F65">
            <w:pPr>
              <w:ind w:left="0" w:right="0"/>
              <w:rPr>
                <w:sz w:val="20"/>
                <w:szCs w:val="20"/>
                <w:lang w:val="en-US"/>
              </w:rPr>
            </w:pPr>
          </w:p>
        </w:tc>
      </w:tr>
      <w:tr w:rsidR="006421E2" w:rsidRPr="006421E2" w14:paraId="6A783448" w14:textId="77777777" w:rsidTr="00D84CA8">
        <w:trPr>
          <w:gridAfter w:val="1"/>
          <w:wAfter w:w="10" w:type="dxa"/>
          <w:trHeight w:val="20"/>
        </w:trPr>
        <w:tc>
          <w:tcPr>
            <w:tcW w:w="3634" w:type="dxa"/>
          </w:tcPr>
          <w:p w14:paraId="635EA477" w14:textId="77777777" w:rsidR="006421E2" w:rsidRPr="007D2F65" w:rsidRDefault="006421E2" w:rsidP="001F1814">
            <w:pPr>
              <w:ind w:left="0" w:right="0"/>
              <w:rPr>
                <w:sz w:val="20"/>
                <w:szCs w:val="20"/>
                <w:lang w:val="en-US"/>
              </w:rPr>
            </w:pPr>
            <w:r w:rsidRPr="007D2F65">
              <w:rPr>
                <w:sz w:val="20"/>
                <w:szCs w:val="20"/>
                <w:lang w:val="en-US"/>
              </w:rPr>
              <w:t>Vision disorders</w:t>
            </w:r>
            <w:r w:rsidRPr="007D2F65">
              <w:rPr>
                <w:sz w:val="20"/>
                <w:szCs w:val="20"/>
                <w:vertAlign w:val="superscript"/>
                <w:lang w:val="en-US"/>
              </w:rPr>
              <w:t>12</w:t>
            </w:r>
          </w:p>
        </w:tc>
        <w:tc>
          <w:tcPr>
            <w:tcW w:w="2564" w:type="dxa"/>
          </w:tcPr>
          <w:p w14:paraId="40D85CEC" w14:textId="77777777" w:rsidR="006421E2" w:rsidRPr="007D2F65" w:rsidRDefault="006421E2" w:rsidP="007D2F65">
            <w:pPr>
              <w:ind w:left="0" w:right="0"/>
              <w:jc w:val="center"/>
              <w:rPr>
                <w:sz w:val="20"/>
                <w:szCs w:val="20"/>
                <w:lang w:val="en-US"/>
              </w:rPr>
            </w:pPr>
            <w:r w:rsidRPr="007D2F65">
              <w:rPr>
                <w:sz w:val="20"/>
                <w:szCs w:val="20"/>
                <w:lang w:val="en-US"/>
              </w:rPr>
              <w:t>21</w:t>
            </w:r>
          </w:p>
        </w:tc>
        <w:tc>
          <w:tcPr>
            <w:tcW w:w="2699" w:type="dxa"/>
          </w:tcPr>
          <w:p w14:paraId="47718E98" w14:textId="77777777" w:rsidR="006421E2" w:rsidRPr="007D2F65" w:rsidRDefault="006421E2" w:rsidP="007D2F65">
            <w:pPr>
              <w:ind w:left="0" w:right="0"/>
              <w:jc w:val="center"/>
              <w:rPr>
                <w:sz w:val="20"/>
                <w:szCs w:val="20"/>
                <w:lang w:val="en-US"/>
              </w:rPr>
            </w:pPr>
            <w:r w:rsidRPr="007D2F65">
              <w:rPr>
                <w:sz w:val="20"/>
                <w:szCs w:val="20"/>
                <w:lang w:val="en-US"/>
              </w:rPr>
              <w:t>0.8</w:t>
            </w:r>
          </w:p>
        </w:tc>
      </w:tr>
      <w:tr w:rsidR="006421E2" w:rsidRPr="006421E2" w14:paraId="1DE18CB3" w14:textId="77777777" w:rsidTr="00D84CA8">
        <w:trPr>
          <w:gridAfter w:val="1"/>
          <w:wAfter w:w="10" w:type="dxa"/>
          <w:trHeight w:val="20"/>
        </w:trPr>
        <w:tc>
          <w:tcPr>
            <w:tcW w:w="8897" w:type="dxa"/>
            <w:gridSpan w:val="3"/>
          </w:tcPr>
          <w:p w14:paraId="207AB0E9" w14:textId="77777777" w:rsidR="006421E2" w:rsidRPr="007D2F65" w:rsidRDefault="006421E2" w:rsidP="001F1814">
            <w:pPr>
              <w:ind w:left="0" w:right="0"/>
              <w:rPr>
                <w:b/>
                <w:sz w:val="20"/>
                <w:szCs w:val="20"/>
                <w:lang w:val="en-US"/>
              </w:rPr>
            </w:pPr>
            <w:r w:rsidRPr="007D2F65">
              <w:rPr>
                <w:b/>
                <w:sz w:val="20"/>
                <w:szCs w:val="20"/>
                <w:lang w:val="en-US"/>
              </w:rPr>
              <w:t>Infections</w:t>
            </w:r>
          </w:p>
        </w:tc>
      </w:tr>
      <w:tr w:rsidR="006421E2" w:rsidRPr="006421E2" w14:paraId="031D92BE" w14:textId="77777777" w:rsidTr="00D84CA8">
        <w:trPr>
          <w:gridAfter w:val="1"/>
          <w:wAfter w:w="10" w:type="dxa"/>
          <w:trHeight w:val="20"/>
        </w:trPr>
        <w:tc>
          <w:tcPr>
            <w:tcW w:w="3634" w:type="dxa"/>
          </w:tcPr>
          <w:p w14:paraId="70DF6F63" w14:textId="77777777" w:rsidR="006421E2" w:rsidRPr="007D2F65" w:rsidRDefault="006421E2" w:rsidP="001F1814">
            <w:pPr>
              <w:ind w:left="0" w:right="0"/>
              <w:rPr>
                <w:sz w:val="20"/>
                <w:szCs w:val="20"/>
                <w:lang w:val="en-US"/>
              </w:rPr>
            </w:pPr>
            <w:r w:rsidRPr="007D2F65">
              <w:rPr>
                <w:sz w:val="20"/>
                <w:szCs w:val="20"/>
                <w:lang w:val="en-US"/>
              </w:rPr>
              <w:t>Urinary tract infection</w:t>
            </w:r>
          </w:p>
        </w:tc>
        <w:tc>
          <w:tcPr>
            <w:tcW w:w="2564" w:type="dxa"/>
          </w:tcPr>
          <w:p w14:paraId="46C12A4A" w14:textId="77777777" w:rsidR="006421E2" w:rsidRPr="007D2F65" w:rsidRDefault="006421E2" w:rsidP="007D2F65">
            <w:pPr>
              <w:ind w:left="0" w:right="0"/>
              <w:jc w:val="center"/>
              <w:rPr>
                <w:sz w:val="20"/>
                <w:szCs w:val="20"/>
                <w:lang w:val="en-US"/>
              </w:rPr>
            </w:pPr>
            <w:r w:rsidRPr="007D2F65">
              <w:rPr>
                <w:sz w:val="20"/>
                <w:szCs w:val="20"/>
                <w:lang w:val="en-US"/>
              </w:rPr>
              <w:t>13</w:t>
            </w:r>
          </w:p>
        </w:tc>
        <w:tc>
          <w:tcPr>
            <w:tcW w:w="2699" w:type="dxa"/>
          </w:tcPr>
          <w:p w14:paraId="7B804680" w14:textId="77777777" w:rsidR="006421E2" w:rsidRPr="007D2F65" w:rsidRDefault="006421E2" w:rsidP="007D2F65">
            <w:pPr>
              <w:ind w:left="0" w:right="0"/>
              <w:jc w:val="center"/>
              <w:rPr>
                <w:sz w:val="20"/>
                <w:szCs w:val="20"/>
                <w:lang w:val="en-US"/>
              </w:rPr>
            </w:pPr>
            <w:r w:rsidRPr="007D2F65">
              <w:rPr>
                <w:sz w:val="20"/>
                <w:szCs w:val="20"/>
                <w:lang w:val="en-US"/>
              </w:rPr>
              <w:t>2.3</w:t>
            </w:r>
          </w:p>
        </w:tc>
      </w:tr>
      <w:tr w:rsidR="006421E2" w:rsidRPr="006421E2" w14:paraId="7E88DE46" w14:textId="77777777" w:rsidTr="00D84CA8">
        <w:trPr>
          <w:gridAfter w:val="1"/>
          <w:wAfter w:w="10" w:type="dxa"/>
          <w:trHeight w:val="20"/>
        </w:trPr>
        <w:tc>
          <w:tcPr>
            <w:tcW w:w="3634" w:type="dxa"/>
          </w:tcPr>
          <w:p w14:paraId="2093286A" w14:textId="77777777" w:rsidR="006421E2" w:rsidRPr="007D2F65" w:rsidRDefault="006421E2" w:rsidP="001F1814">
            <w:pPr>
              <w:ind w:left="0" w:right="0"/>
              <w:rPr>
                <w:sz w:val="20"/>
                <w:szCs w:val="20"/>
                <w:lang w:val="en-US"/>
              </w:rPr>
            </w:pPr>
            <w:r w:rsidRPr="007D2F65">
              <w:rPr>
                <w:sz w:val="20"/>
                <w:szCs w:val="20"/>
                <w:lang w:val="en-US"/>
              </w:rPr>
              <w:t>Lung infection</w:t>
            </w:r>
            <w:r w:rsidRPr="007D2F65">
              <w:rPr>
                <w:sz w:val="20"/>
                <w:szCs w:val="20"/>
                <w:vertAlign w:val="superscript"/>
                <w:lang w:val="en-US"/>
              </w:rPr>
              <w:t>13</w:t>
            </w:r>
          </w:p>
        </w:tc>
        <w:tc>
          <w:tcPr>
            <w:tcW w:w="2564" w:type="dxa"/>
          </w:tcPr>
          <w:p w14:paraId="4882367D" w14:textId="77777777" w:rsidR="006421E2" w:rsidRPr="007D2F65" w:rsidRDefault="006421E2" w:rsidP="007D2F65">
            <w:pPr>
              <w:ind w:left="0" w:right="0"/>
              <w:jc w:val="center"/>
              <w:rPr>
                <w:sz w:val="20"/>
                <w:szCs w:val="20"/>
                <w:lang w:val="en-US"/>
              </w:rPr>
            </w:pPr>
            <w:r w:rsidRPr="007D2F65">
              <w:rPr>
                <w:sz w:val="20"/>
                <w:szCs w:val="20"/>
                <w:lang w:val="en-US"/>
              </w:rPr>
              <w:t>10</w:t>
            </w:r>
          </w:p>
        </w:tc>
        <w:tc>
          <w:tcPr>
            <w:tcW w:w="2699" w:type="dxa"/>
          </w:tcPr>
          <w:p w14:paraId="46712AEF" w14:textId="77777777" w:rsidR="006421E2" w:rsidRPr="007D2F65" w:rsidRDefault="006421E2" w:rsidP="007D2F65">
            <w:pPr>
              <w:ind w:left="0" w:right="0"/>
              <w:jc w:val="center"/>
              <w:rPr>
                <w:sz w:val="20"/>
                <w:szCs w:val="20"/>
                <w:lang w:val="en-US"/>
              </w:rPr>
            </w:pPr>
            <w:r w:rsidRPr="007D2F65">
              <w:rPr>
                <w:sz w:val="20"/>
                <w:szCs w:val="20"/>
                <w:lang w:val="en-US"/>
              </w:rPr>
              <w:t>6*</w:t>
            </w:r>
          </w:p>
        </w:tc>
      </w:tr>
      <w:tr w:rsidR="006421E2" w:rsidRPr="006421E2" w14:paraId="7616757D" w14:textId="77777777" w:rsidTr="00D84CA8">
        <w:trPr>
          <w:gridAfter w:val="1"/>
          <w:wAfter w:w="10" w:type="dxa"/>
          <w:trHeight w:val="20"/>
        </w:trPr>
        <w:tc>
          <w:tcPr>
            <w:tcW w:w="8897" w:type="dxa"/>
            <w:gridSpan w:val="3"/>
          </w:tcPr>
          <w:p w14:paraId="63C42042" w14:textId="77777777" w:rsidR="006421E2" w:rsidRPr="007D2F65" w:rsidRDefault="006421E2" w:rsidP="001F1814">
            <w:pPr>
              <w:ind w:left="0" w:right="0"/>
              <w:rPr>
                <w:b/>
                <w:sz w:val="20"/>
                <w:szCs w:val="20"/>
                <w:lang w:val="en-US"/>
              </w:rPr>
            </w:pPr>
            <w:r w:rsidRPr="007D2F65">
              <w:rPr>
                <w:b/>
                <w:sz w:val="20"/>
                <w:szCs w:val="20"/>
                <w:lang w:val="en-US"/>
              </w:rPr>
              <w:t>Vascular</w:t>
            </w:r>
          </w:p>
        </w:tc>
      </w:tr>
      <w:tr w:rsidR="006421E2" w:rsidRPr="006421E2" w14:paraId="4E0CA9B6" w14:textId="77777777" w:rsidTr="00D84CA8">
        <w:trPr>
          <w:gridAfter w:val="1"/>
          <w:wAfter w:w="10" w:type="dxa"/>
          <w:trHeight w:val="20"/>
        </w:trPr>
        <w:tc>
          <w:tcPr>
            <w:tcW w:w="3634" w:type="dxa"/>
          </w:tcPr>
          <w:p w14:paraId="56A643BB" w14:textId="77777777" w:rsidR="006421E2" w:rsidRPr="007D2F65" w:rsidRDefault="006421E2" w:rsidP="001F1814">
            <w:pPr>
              <w:ind w:left="0" w:right="0"/>
              <w:rPr>
                <w:sz w:val="20"/>
                <w:szCs w:val="20"/>
                <w:lang w:val="en-US"/>
              </w:rPr>
            </w:pPr>
            <w:r w:rsidRPr="007D2F65">
              <w:rPr>
                <w:sz w:val="20"/>
                <w:szCs w:val="20"/>
                <w:lang w:val="en-US"/>
              </w:rPr>
              <w:t>Hypotension</w:t>
            </w:r>
            <w:r w:rsidRPr="007D2F65">
              <w:rPr>
                <w:sz w:val="20"/>
                <w:szCs w:val="20"/>
                <w:vertAlign w:val="superscript"/>
                <w:lang w:val="en-US"/>
              </w:rPr>
              <w:t>14</w:t>
            </w:r>
          </w:p>
        </w:tc>
        <w:tc>
          <w:tcPr>
            <w:tcW w:w="2564" w:type="dxa"/>
          </w:tcPr>
          <w:p w14:paraId="43813892" w14:textId="77777777" w:rsidR="006421E2" w:rsidRPr="007D2F65" w:rsidRDefault="006421E2" w:rsidP="007D2F65">
            <w:pPr>
              <w:ind w:left="0" w:right="0"/>
              <w:jc w:val="center"/>
              <w:rPr>
                <w:sz w:val="20"/>
                <w:szCs w:val="20"/>
                <w:lang w:val="en-US"/>
              </w:rPr>
            </w:pPr>
            <w:r w:rsidRPr="007D2F65">
              <w:rPr>
                <w:sz w:val="20"/>
                <w:szCs w:val="20"/>
                <w:lang w:val="en-US"/>
              </w:rPr>
              <w:t>18</w:t>
            </w:r>
          </w:p>
        </w:tc>
        <w:tc>
          <w:tcPr>
            <w:tcW w:w="2699" w:type="dxa"/>
          </w:tcPr>
          <w:p w14:paraId="4F64187F" w14:textId="77777777" w:rsidR="006421E2" w:rsidRPr="007D2F65" w:rsidRDefault="006421E2" w:rsidP="007D2F65">
            <w:pPr>
              <w:ind w:left="0" w:right="0"/>
              <w:jc w:val="center"/>
              <w:rPr>
                <w:sz w:val="20"/>
                <w:szCs w:val="20"/>
                <w:lang w:val="en-US"/>
              </w:rPr>
            </w:pPr>
            <w:r w:rsidRPr="007D2F65">
              <w:rPr>
                <w:sz w:val="20"/>
                <w:szCs w:val="20"/>
                <w:lang w:val="en-US"/>
              </w:rPr>
              <w:t>2.8</w:t>
            </w:r>
          </w:p>
        </w:tc>
      </w:tr>
      <w:tr w:rsidR="006421E2" w:rsidRPr="006421E2" w14:paraId="24AFE134" w14:textId="77777777" w:rsidTr="00D84CA8">
        <w:trPr>
          <w:gridAfter w:val="1"/>
          <w:wAfter w:w="10" w:type="dxa"/>
          <w:trHeight w:val="20"/>
        </w:trPr>
        <w:tc>
          <w:tcPr>
            <w:tcW w:w="8897" w:type="dxa"/>
            <w:gridSpan w:val="3"/>
          </w:tcPr>
          <w:p w14:paraId="56D78255" w14:textId="77777777" w:rsidR="006421E2" w:rsidRPr="007D2F65" w:rsidRDefault="006421E2" w:rsidP="001F1814">
            <w:pPr>
              <w:ind w:left="0" w:right="0"/>
              <w:rPr>
                <w:b/>
                <w:sz w:val="20"/>
                <w:szCs w:val="20"/>
                <w:lang w:val="en-US"/>
              </w:rPr>
            </w:pPr>
            <w:r w:rsidRPr="007D2F65">
              <w:rPr>
                <w:b/>
                <w:sz w:val="20"/>
                <w:szCs w:val="20"/>
                <w:lang w:val="en-US"/>
              </w:rPr>
              <w:t>Skin and Subcutaneous Tissue</w:t>
            </w:r>
          </w:p>
        </w:tc>
      </w:tr>
      <w:tr w:rsidR="006421E2" w:rsidRPr="006421E2" w14:paraId="3610D219" w14:textId="77777777" w:rsidTr="00D84CA8">
        <w:trPr>
          <w:gridAfter w:val="1"/>
          <w:wAfter w:w="10" w:type="dxa"/>
          <w:trHeight w:val="20"/>
        </w:trPr>
        <w:tc>
          <w:tcPr>
            <w:tcW w:w="3634" w:type="dxa"/>
          </w:tcPr>
          <w:p w14:paraId="0A5F5811" w14:textId="77777777" w:rsidR="006421E2" w:rsidRPr="007D2F65" w:rsidRDefault="006421E2" w:rsidP="001F1814">
            <w:pPr>
              <w:ind w:left="0" w:right="0"/>
              <w:rPr>
                <w:sz w:val="20"/>
                <w:szCs w:val="20"/>
                <w:lang w:val="en-US"/>
              </w:rPr>
            </w:pPr>
            <w:r w:rsidRPr="007D2F65">
              <w:rPr>
                <w:sz w:val="20"/>
                <w:szCs w:val="20"/>
                <w:lang w:val="en-US"/>
              </w:rPr>
              <w:t>Rash</w:t>
            </w:r>
            <w:r w:rsidRPr="007D2F65">
              <w:rPr>
                <w:sz w:val="20"/>
                <w:szCs w:val="20"/>
                <w:vertAlign w:val="superscript"/>
                <w:lang w:val="en-US"/>
              </w:rPr>
              <w:t>15</w:t>
            </w:r>
          </w:p>
        </w:tc>
        <w:tc>
          <w:tcPr>
            <w:tcW w:w="2564" w:type="dxa"/>
          </w:tcPr>
          <w:p w14:paraId="06C2454B" w14:textId="77777777" w:rsidR="006421E2" w:rsidRPr="007D2F65" w:rsidRDefault="006421E2" w:rsidP="007D2F65">
            <w:pPr>
              <w:ind w:left="0" w:right="0"/>
              <w:jc w:val="center"/>
              <w:rPr>
                <w:sz w:val="20"/>
                <w:szCs w:val="20"/>
                <w:lang w:val="en-US"/>
              </w:rPr>
            </w:pPr>
            <w:r w:rsidRPr="007D2F65">
              <w:rPr>
                <w:sz w:val="20"/>
                <w:szCs w:val="20"/>
                <w:lang w:val="en-US"/>
              </w:rPr>
              <w:t>11</w:t>
            </w:r>
          </w:p>
        </w:tc>
        <w:tc>
          <w:tcPr>
            <w:tcW w:w="2699" w:type="dxa"/>
          </w:tcPr>
          <w:p w14:paraId="65E8FBCD" w14:textId="77777777" w:rsidR="006421E2" w:rsidRPr="007D2F65" w:rsidRDefault="006421E2" w:rsidP="007D2F65">
            <w:pPr>
              <w:ind w:left="0" w:right="0"/>
              <w:jc w:val="center"/>
              <w:rPr>
                <w:sz w:val="20"/>
                <w:szCs w:val="20"/>
                <w:lang w:val="en-US"/>
              </w:rPr>
            </w:pPr>
            <w:r w:rsidRPr="007D2F65">
              <w:rPr>
                <w:sz w:val="20"/>
                <w:szCs w:val="20"/>
                <w:lang w:val="en-US"/>
              </w:rPr>
              <w:t>0.8</w:t>
            </w:r>
          </w:p>
        </w:tc>
      </w:tr>
    </w:tbl>
    <w:p w14:paraId="72D2D2E1" w14:textId="7C349994" w:rsidR="003576A2" w:rsidRDefault="003576A2" w:rsidP="002239A3">
      <w:pPr>
        <w:pStyle w:val="TableDescription"/>
      </w:pPr>
      <w:r>
        <w:t>Source: reformatted FDA table.</w:t>
      </w:r>
      <w:r>
        <w:fldChar w:fldCharType="begin"/>
      </w:r>
      <w:r>
        <w:instrText xml:space="preserve"> NOTEREF _Ref50554541 \f \h </w:instrText>
      </w:r>
      <w:r>
        <w:fldChar w:fldCharType="separate"/>
      </w:r>
      <w:r w:rsidRPr="005743D8">
        <w:rPr>
          <w:rStyle w:val="FootnoteReference"/>
        </w:rPr>
        <w:t>12</w:t>
      </w:r>
      <w:r>
        <w:fldChar w:fldCharType="end"/>
      </w:r>
      <w:r>
        <w:t xml:space="preserve"> Preferred Terms </w:t>
      </w:r>
      <w:r w:rsidRPr="003576A2">
        <w:t>based on clinical judgement and agreed b</w:t>
      </w:r>
      <w:r>
        <w:t>etween FDA and the US sponsor.</w:t>
      </w:r>
    </w:p>
    <w:p w14:paraId="3E58CEC4" w14:textId="3AB9F43D" w:rsidR="006421E2" w:rsidRPr="001823E7" w:rsidRDefault="00431C48" w:rsidP="002239A3">
      <w:pPr>
        <w:pStyle w:val="TableDescription"/>
      </w:pPr>
      <w:r>
        <w:t>*</w:t>
      </w:r>
      <w:r w:rsidR="006421E2" w:rsidRPr="001823E7">
        <w:t>Grades 3</w:t>
      </w:r>
      <w:r w:rsidR="00FC0D4E">
        <w:t xml:space="preserve"> to </w:t>
      </w:r>
      <w:r w:rsidR="006421E2" w:rsidRPr="001823E7">
        <w:t xml:space="preserve">5, inclusive of fatal adverse reactions, including 2 events of pneumonia and 2 events of </w:t>
      </w:r>
      <w:proofErr w:type="spellStart"/>
      <w:r w:rsidR="006421E2" w:rsidRPr="001823E7">
        <w:t>dyspnea</w:t>
      </w:r>
      <w:proofErr w:type="spellEnd"/>
      <w:r w:rsidR="006421E2" w:rsidRPr="001823E7">
        <w:t>.</w:t>
      </w:r>
    </w:p>
    <w:p w14:paraId="7F233CA2" w14:textId="70F9DBAE" w:rsidR="006421E2" w:rsidRPr="006421E2" w:rsidRDefault="002239A3" w:rsidP="002239A3">
      <w:pPr>
        <w:pStyle w:val="TableDescription"/>
      </w:pPr>
      <w:r w:rsidRPr="002239A3">
        <w:rPr>
          <w:vertAlign w:val="superscript"/>
        </w:rPr>
        <w:t>1</w:t>
      </w:r>
      <w:r>
        <w:t xml:space="preserve"> </w:t>
      </w:r>
      <w:r w:rsidR="006421E2" w:rsidRPr="001823E7">
        <w:t>Includes fatigue, asthenia</w:t>
      </w:r>
      <w:r>
        <w:t xml:space="preserve">, </w:t>
      </w:r>
      <w:r w:rsidRPr="002239A3">
        <w:rPr>
          <w:vertAlign w:val="superscript"/>
        </w:rPr>
        <w:t>2</w:t>
      </w:r>
      <w:r>
        <w:t xml:space="preserve"> </w:t>
      </w:r>
      <w:r w:rsidR="006421E2" w:rsidRPr="001823E7">
        <w:t xml:space="preserve">Includes face </w:t>
      </w:r>
      <w:proofErr w:type="spellStart"/>
      <w:r w:rsidR="006421E2" w:rsidRPr="001823E7">
        <w:t>edema</w:t>
      </w:r>
      <w:proofErr w:type="spellEnd"/>
      <w:r w:rsidR="006421E2" w:rsidRPr="001823E7">
        <w:t xml:space="preserve">, fluid retention, generalized </w:t>
      </w:r>
      <w:proofErr w:type="spellStart"/>
      <w:r w:rsidR="006421E2" w:rsidRPr="001823E7">
        <w:t>edema</w:t>
      </w:r>
      <w:proofErr w:type="spellEnd"/>
      <w:r w:rsidR="006421E2" w:rsidRPr="001823E7">
        <w:t xml:space="preserve">, localized </w:t>
      </w:r>
      <w:proofErr w:type="spellStart"/>
      <w:r w:rsidR="006421E2" w:rsidRPr="001823E7">
        <w:t>edema</w:t>
      </w:r>
      <w:proofErr w:type="spellEnd"/>
      <w:r w:rsidR="006421E2" w:rsidRPr="001823E7">
        <w:t xml:space="preserve">, </w:t>
      </w:r>
      <w:proofErr w:type="spellStart"/>
      <w:r w:rsidR="006421E2" w:rsidRPr="001823E7">
        <w:t>edema</w:t>
      </w:r>
      <w:proofErr w:type="spellEnd"/>
      <w:r w:rsidR="006421E2" w:rsidRPr="001823E7">
        <w:t xml:space="preserve">, </w:t>
      </w:r>
      <w:proofErr w:type="spellStart"/>
      <w:r w:rsidR="006421E2" w:rsidRPr="001823E7">
        <w:t>edema</w:t>
      </w:r>
      <w:proofErr w:type="spellEnd"/>
      <w:r w:rsidR="006421E2" w:rsidRPr="001823E7">
        <w:t xml:space="preserve"> peripheral, peripheral swelling</w:t>
      </w:r>
      <w:r>
        <w:t xml:space="preserve">, </w:t>
      </w:r>
      <w:r w:rsidRPr="002239A3">
        <w:rPr>
          <w:vertAlign w:val="superscript"/>
        </w:rPr>
        <w:t>3</w:t>
      </w:r>
      <w:r>
        <w:t xml:space="preserve"> </w:t>
      </w:r>
      <w:r w:rsidR="006421E2" w:rsidRPr="001823E7">
        <w:t>Includes abdominal pain upper, abdominal pain, lower, abdominal discomfort, abdominal tenderness</w:t>
      </w:r>
      <w:r>
        <w:t xml:space="preserve">, </w:t>
      </w:r>
      <w:r w:rsidRPr="002239A3">
        <w:rPr>
          <w:vertAlign w:val="superscript"/>
        </w:rPr>
        <w:t>4</w:t>
      </w:r>
      <w:r>
        <w:t xml:space="preserve"> </w:t>
      </w:r>
      <w:r w:rsidR="006421E2" w:rsidRPr="001823E7">
        <w:t>Includes dizziness, vertigo, dizziness postural</w:t>
      </w:r>
      <w:r>
        <w:t xml:space="preserve">, </w:t>
      </w:r>
      <w:r w:rsidRPr="002239A3">
        <w:rPr>
          <w:vertAlign w:val="superscript"/>
        </w:rPr>
        <w:t>5</w:t>
      </w:r>
      <w:r>
        <w:t xml:space="preserve"> </w:t>
      </w:r>
      <w:r w:rsidR="006421E2" w:rsidRPr="001823E7">
        <w:t xml:space="preserve">Includes </w:t>
      </w:r>
      <w:proofErr w:type="spellStart"/>
      <w:r w:rsidR="006421E2" w:rsidRPr="001823E7">
        <w:t>paresthesia</w:t>
      </w:r>
      <w:proofErr w:type="spellEnd"/>
      <w:r w:rsidR="006421E2" w:rsidRPr="001823E7">
        <w:t xml:space="preserve">, hyperesthesia, hypoesthesia, dysesthesia, oral </w:t>
      </w:r>
      <w:proofErr w:type="spellStart"/>
      <w:r w:rsidR="006421E2" w:rsidRPr="001823E7">
        <w:t>hypoaesthesia</w:t>
      </w:r>
      <w:proofErr w:type="spellEnd"/>
      <w:r w:rsidR="006421E2" w:rsidRPr="001823E7">
        <w:t xml:space="preserve">, palmar- plantar </w:t>
      </w:r>
      <w:proofErr w:type="spellStart"/>
      <w:r w:rsidR="006421E2" w:rsidRPr="001823E7">
        <w:t>erythrodysaesthesia</w:t>
      </w:r>
      <w:proofErr w:type="spellEnd"/>
      <w:r w:rsidR="006421E2" w:rsidRPr="001823E7">
        <w:t xml:space="preserve">, oral </w:t>
      </w:r>
      <w:proofErr w:type="spellStart"/>
      <w:r w:rsidR="006421E2" w:rsidRPr="001823E7">
        <w:t>paresthesia</w:t>
      </w:r>
      <w:proofErr w:type="spellEnd"/>
      <w:r w:rsidR="006421E2" w:rsidRPr="001823E7">
        <w:t xml:space="preserve">, genital </w:t>
      </w:r>
      <w:proofErr w:type="spellStart"/>
      <w:r w:rsidR="006421E2" w:rsidRPr="001823E7">
        <w:t>hypoaesthesia</w:t>
      </w:r>
      <w:proofErr w:type="spellEnd"/>
      <w:r>
        <w:t xml:space="preserve">, </w:t>
      </w:r>
      <w:r w:rsidRPr="00007D7D">
        <w:rPr>
          <w:vertAlign w:val="superscript"/>
        </w:rPr>
        <w:t>6</w:t>
      </w:r>
      <w:r>
        <w:t xml:space="preserve"> </w:t>
      </w:r>
      <w:r w:rsidR="006421E2" w:rsidRPr="001823E7">
        <w:t xml:space="preserve">Includes amnesia, aphasia, cognitive disorder, </w:t>
      </w:r>
      <w:proofErr w:type="spellStart"/>
      <w:r w:rsidR="006421E2" w:rsidRPr="001823E7">
        <w:t>confusional</w:t>
      </w:r>
      <w:proofErr w:type="spellEnd"/>
      <w:r w:rsidR="006421E2" w:rsidRPr="001823E7">
        <w:t xml:space="preserve"> s</w:t>
      </w:r>
      <w:r w:rsidR="00846E09">
        <w:t xml:space="preserve">tate, delirium, disturbance in </w:t>
      </w:r>
      <w:r w:rsidR="006421E2" w:rsidRPr="001823E7">
        <w:t>attention, hallucinations, visual hallucination, memory impairment, mental disorder, mental status changes</w:t>
      </w:r>
      <w:r>
        <w:t xml:space="preserve">, </w:t>
      </w:r>
      <w:r w:rsidRPr="00007D7D">
        <w:rPr>
          <w:vertAlign w:val="superscript"/>
        </w:rPr>
        <w:t>7</w:t>
      </w:r>
      <w:r>
        <w:t xml:space="preserve"> </w:t>
      </w:r>
      <w:r w:rsidR="006421E2" w:rsidRPr="001823E7">
        <w:t>Includes neuralgia, neuropathy peripheral, peripheral motor neuropathy, peripheral sensory neuropathy</w:t>
      </w:r>
      <w:r>
        <w:t xml:space="preserve">, </w:t>
      </w:r>
      <w:r w:rsidRPr="00007D7D">
        <w:rPr>
          <w:vertAlign w:val="superscript"/>
        </w:rPr>
        <w:t>8</w:t>
      </w:r>
      <w:r>
        <w:t xml:space="preserve">. </w:t>
      </w:r>
      <w:r w:rsidR="006421E2" w:rsidRPr="001823E7">
        <w:t>Includes ataxia, balance disorder, gait disturbances</w:t>
      </w:r>
      <w:r>
        <w:t xml:space="preserve">, </w:t>
      </w:r>
      <w:r w:rsidRPr="00007D7D">
        <w:rPr>
          <w:vertAlign w:val="superscript"/>
        </w:rPr>
        <w:t>9</w:t>
      </w:r>
      <w:r>
        <w:t>.</w:t>
      </w:r>
      <w:r w:rsidR="006421E2" w:rsidRPr="001823E7">
        <w:t>Includes hypersomnia, insomnia, sleep disorder, somnolence</w:t>
      </w:r>
      <w:r>
        <w:t xml:space="preserve">, </w:t>
      </w:r>
      <w:r w:rsidRPr="00007D7D">
        <w:rPr>
          <w:vertAlign w:val="superscript"/>
        </w:rPr>
        <w:t>10</w:t>
      </w:r>
      <w:r>
        <w:t xml:space="preserve"> </w:t>
      </w:r>
      <w:r w:rsidR="006421E2" w:rsidRPr="001823E7">
        <w:t>Includes anxiety, affect lability, affective disorder, agitation, depressed mood, euphoric mood, mood altered, mood swings, irritability, depression, persistent depressive disorder, psychomotor retardation</w:t>
      </w:r>
      <w:r>
        <w:t xml:space="preserve">, </w:t>
      </w:r>
      <w:r w:rsidRPr="00007D7D">
        <w:rPr>
          <w:vertAlign w:val="superscript"/>
        </w:rPr>
        <w:t>11</w:t>
      </w:r>
      <w:r>
        <w:t xml:space="preserve"> </w:t>
      </w:r>
      <w:r w:rsidR="006421E2" w:rsidRPr="001823E7">
        <w:t>Includes: musculoskeletal pain, musculoskeletal chest pain, myalgia, neck pain</w:t>
      </w:r>
      <w:r>
        <w:t xml:space="preserve">, </w:t>
      </w:r>
      <w:r w:rsidRPr="00007D7D">
        <w:rPr>
          <w:vertAlign w:val="superscript"/>
        </w:rPr>
        <w:t>12</w:t>
      </w:r>
      <w:r>
        <w:t xml:space="preserve">. </w:t>
      </w:r>
      <w:r w:rsidR="006421E2" w:rsidRPr="001823E7">
        <w:t xml:space="preserve">Includes blindness, cataract, cortical cataract, corneal erosion, diplopia, eye disorder, photophobia, </w:t>
      </w:r>
      <w:proofErr w:type="spellStart"/>
      <w:r w:rsidR="006421E2" w:rsidRPr="001823E7">
        <w:t>photopsia</w:t>
      </w:r>
      <w:proofErr w:type="spellEnd"/>
      <w:r w:rsidR="006421E2" w:rsidRPr="001823E7">
        <w:t xml:space="preserve">, retinal </w:t>
      </w:r>
      <w:proofErr w:type="spellStart"/>
      <w:r w:rsidR="006421E2" w:rsidRPr="001823E7">
        <w:t>hemorrhage</w:t>
      </w:r>
      <w:proofErr w:type="spellEnd"/>
      <w:r w:rsidR="006421E2" w:rsidRPr="001823E7">
        <w:t>, vision blurred, visual impairment, vitreous adhesions, vitreous detachment, vitreous floaters</w:t>
      </w:r>
      <w:r>
        <w:t xml:space="preserve">, </w:t>
      </w:r>
      <w:r w:rsidRPr="00007D7D">
        <w:rPr>
          <w:vertAlign w:val="superscript"/>
        </w:rPr>
        <w:t>13</w:t>
      </w:r>
      <w:r>
        <w:t xml:space="preserve"> </w:t>
      </w:r>
      <w:r w:rsidR="006421E2" w:rsidRPr="001823E7">
        <w:t>Includes lower respiratory tract infection, lung infection, pneumonia, respiratory tract infection</w:t>
      </w:r>
      <w:r>
        <w:t xml:space="preserve">, </w:t>
      </w:r>
      <w:r w:rsidRPr="00007D7D">
        <w:rPr>
          <w:vertAlign w:val="superscript"/>
        </w:rPr>
        <w:t>14</w:t>
      </w:r>
      <w:r>
        <w:t xml:space="preserve"> </w:t>
      </w:r>
      <w:r w:rsidR="006421E2" w:rsidRPr="001823E7">
        <w:t>Includes hypotension, orthostatic hypotension</w:t>
      </w:r>
      <w:r>
        <w:t xml:space="preserve">, </w:t>
      </w:r>
      <w:r w:rsidRPr="00007D7D">
        <w:rPr>
          <w:vertAlign w:val="superscript"/>
        </w:rPr>
        <w:t>15</w:t>
      </w:r>
      <w:r>
        <w:t xml:space="preserve"> </w:t>
      </w:r>
      <w:r w:rsidR="006421E2" w:rsidRPr="001823E7">
        <w:t xml:space="preserve">Includes rash, rash maculopapular, rash pruritic, rash erythematous, rash </w:t>
      </w:r>
      <w:r>
        <w:t>popular.</w:t>
      </w:r>
    </w:p>
    <w:p w14:paraId="05DA0AF7" w14:textId="447833DD" w:rsidR="006421E2" w:rsidRPr="006421E2" w:rsidRDefault="006421E2" w:rsidP="002239A3">
      <w:pPr>
        <w:pStyle w:val="TableTitle"/>
      </w:pPr>
      <w:bookmarkStart w:id="71" w:name="_Ref30499012"/>
      <w:r w:rsidRPr="006421E2">
        <w:lastRenderedPageBreak/>
        <w:t xml:space="preserve">Table </w:t>
      </w:r>
      <w:fldSimple w:instr=" SEQ Table \* ARABIC ">
        <w:r w:rsidR="009B407B">
          <w:rPr>
            <w:noProof/>
          </w:rPr>
          <w:t>27</w:t>
        </w:r>
      </w:fldSimple>
      <w:bookmarkEnd w:id="71"/>
      <w:r w:rsidR="00FC0D4E">
        <w:t>:</w:t>
      </w:r>
      <w:r w:rsidRPr="006421E2">
        <w:t xml:space="preserve"> Laboratory abnormalities that worsened from </w:t>
      </w:r>
      <w:r w:rsidR="00957601">
        <w:t>Baseline</w:t>
      </w:r>
      <w:r w:rsidRPr="006421E2">
        <w:t xml:space="preserve"> in at least 20% of patients in the integrated safety population</w:t>
      </w:r>
    </w:p>
    <w:tbl>
      <w:tblPr>
        <w:tblStyle w:val="TableTGAblue"/>
        <w:tblW w:w="8900" w:type="dxa"/>
        <w:tblLayout w:type="fixed"/>
        <w:tblLook w:val="01E0" w:firstRow="1" w:lastRow="1" w:firstColumn="1" w:lastColumn="1" w:noHBand="0" w:noVBand="0"/>
      </w:tblPr>
      <w:tblGrid>
        <w:gridCol w:w="3658"/>
        <w:gridCol w:w="2711"/>
        <w:gridCol w:w="2531"/>
      </w:tblGrid>
      <w:tr w:rsidR="006421E2" w:rsidRPr="00C23E64" w14:paraId="6B3E7E70" w14:textId="77777777" w:rsidTr="00D84CA8">
        <w:trPr>
          <w:cnfStyle w:val="100000000000" w:firstRow="1" w:lastRow="0" w:firstColumn="0" w:lastColumn="0" w:oddVBand="0" w:evenVBand="0" w:oddHBand="0" w:evenHBand="0" w:firstRowFirstColumn="0" w:firstRowLastColumn="0" w:lastRowFirstColumn="0" w:lastRowLastColumn="0"/>
          <w:trHeight w:val="783"/>
        </w:trPr>
        <w:tc>
          <w:tcPr>
            <w:tcW w:w="3658" w:type="dxa"/>
            <w:vMerge w:val="restart"/>
            <w:tcBorders>
              <w:top w:val="single" w:sz="4" w:space="0" w:color="auto"/>
              <w:left w:val="single" w:sz="4" w:space="0" w:color="auto"/>
              <w:bottom w:val="single" w:sz="4" w:space="0" w:color="auto"/>
              <w:right w:val="single" w:sz="4" w:space="0" w:color="auto"/>
            </w:tcBorders>
          </w:tcPr>
          <w:p w14:paraId="65DF0C8B" w14:textId="526A9155" w:rsidR="006421E2" w:rsidRPr="007D2F65" w:rsidRDefault="006421E2" w:rsidP="007D2F65">
            <w:pPr>
              <w:ind w:left="0" w:right="0"/>
              <w:rPr>
                <w:sz w:val="20"/>
                <w:szCs w:val="20"/>
                <w:lang w:val="en-US"/>
              </w:rPr>
            </w:pPr>
            <w:r w:rsidRPr="007D2F65">
              <w:rPr>
                <w:sz w:val="20"/>
                <w:szCs w:val="20"/>
                <w:lang w:val="en-US"/>
              </w:rPr>
              <w:t xml:space="preserve">Laboratory </w:t>
            </w:r>
            <w:r w:rsidR="00B20392">
              <w:rPr>
                <w:sz w:val="20"/>
                <w:szCs w:val="20"/>
                <w:lang w:val="en-US"/>
              </w:rPr>
              <w:t>a</w:t>
            </w:r>
            <w:r w:rsidRPr="007D2F65">
              <w:rPr>
                <w:sz w:val="20"/>
                <w:szCs w:val="20"/>
                <w:lang w:val="en-US"/>
              </w:rPr>
              <w:t>bnormality</w:t>
            </w:r>
          </w:p>
        </w:tc>
        <w:tc>
          <w:tcPr>
            <w:tcW w:w="5242" w:type="dxa"/>
            <w:gridSpan w:val="2"/>
            <w:tcBorders>
              <w:top w:val="single" w:sz="4" w:space="0" w:color="auto"/>
              <w:left w:val="single" w:sz="4" w:space="0" w:color="auto"/>
              <w:bottom w:val="single" w:sz="4" w:space="0" w:color="auto"/>
              <w:right w:val="single" w:sz="4" w:space="0" w:color="auto"/>
            </w:tcBorders>
          </w:tcPr>
          <w:p w14:paraId="38F11EDE" w14:textId="77777777" w:rsidR="006421E2" w:rsidRPr="007B0C16" w:rsidRDefault="006421E2" w:rsidP="007D2F65">
            <w:pPr>
              <w:ind w:left="0" w:right="0"/>
              <w:rPr>
                <w:sz w:val="20"/>
                <w:szCs w:val="20"/>
                <w:lang w:val="fr-CH"/>
              </w:rPr>
            </w:pPr>
            <w:r w:rsidRPr="007B0C16">
              <w:rPr>
                <w:sz w:val="20"/>
                <w:szCs w:val="20"/>
                <w:lang w:val="fr-CH"/>
              </w:rPr>
              <w:t>Entrectinib NCI-CTCAE Grade</w:t>
            </w:r>
          </w:p>
          <w:p w14:paraId="1539F37B" w14:textId="528E7169" w:rsidR="006421E2" w:rsidRPr="007B0C16" w:rsidRDefault="006421E2" w:rsidP="007D2F65">
            <w:pPr>
              <w:ind w:left="0" w:right="0"/>
              <w:rPr>
                <w:sz w:val="20"/>
                <w:szCs w:val="20"/>
                <w:lang w:val="fr-CH"/>
              </w:rPr>
            </w:pPr>
            <w:r w:rsidRPr="007B0C16">
              <w:rPr>
                <w:sz w:val="20"/>
                <w:szCs w:val="20"/>
                <w:lang w:val="fr-CH"/>
              </w:rPr>
              <w:t>N</w:t>
            </w:r>
            <w:r w:rsidR="00F2463B" w:rsidRPr="007B0C16">
              <w:rPr>
                <w:sz w:val="20"/>
                <w:szCs w:val="20"/>
                <w:lang w:val="fr-CH"/>
              </w:rPr>
              <w:t xml:space="preserve"> </w:t>
            </w:r>
            <w:r w:rsidRPr="007B0C16">
              <w:rPr>
                <w:sz w:val="20"/>
                <w:szCs w:val="20"/>
                <w:lang w:val="fr-CH"/>
              </w:rPr>
              <w:t>= 355</w:t>
            </w:r>
            <w:r w:rsidRPr="007B0C16">
              <w:rPr>
                <w:sz w:val="20"/>
                <w:szCs w:val="20"/>
                <w:vertAlign w:val="superscript"/>
                <w:lang w:val="fr-CH"/>
              </w:rPr>
              <w:t>1</w:t>
            </w:r>
          </w:p>
        </w:tc>
      </w:tr>
      <w:tr w:rsidR="006421E2" w:rsidRPr="00FC0D4E" w14:paraId="133368C0" w14:textId="77777777" w:rsidTr="00D84CA8">
        <w:trPr>
          <w:trHeight w:val="260"/>
        </w:trPr>
        <w:tc>
          <w:tcPr>
            <w:tcW w:w="3658" w:type="dxa"/>
            <w:vMerge/>
            <w:tcBorders>
              <w:top w:val="single" w:sz="4" w:space="0" w:color="auto"/>
            </w:tcBorders>
          </w:tcPr>
          <w:p w14:paraId="578576D6" w14:textId="77777777" w:rsidR="006421E2" w:rsidRPr="007B0C16" w:rsidRDefault="006421E2" w:rsidP="007D2F65">
            <w:pPr>
              <w:ind w:left="0" w:right="0"/>
              <w:rPr>
                <w:color w:val="FFFFFF" w:themeColor="background1"/>
                <w:sz w:val="20"/>
                <w:szCs w:val="20"/>
                <w:lang w:val="fr-CH"/>
              </w:rPr>
            </w:pPr>
          </w:p>
        </w:tc>
        <w:tc>
          <w:tcPr>
            <w:tcW w:w="2711" w:type="dxa"/>
            <w:tcBorders>
              <w:top w:val="single" w:sz="4" w:space="0" w:color="auto"/>
            </w:tcBorders>
            <w:shd w:val="clear" w:color="auto" w:fill="006DA2"/>
          </w:tcPr>
          <w:p w14:paraId="362CDC2A" w14:textId="77777777" w:rsidR="006421E2" w:rsidRPr="007D2F65" w:rsidRDefault="006421E2" w:rsidP="007D2F65">
            <w:pPr>
              <w:ind w:left="0" w:right="0"/>
              <w:rPr>
                <w:b/>
                <w:color w:val="FFFFFF" w:themeColor="background1"/>
                <w:sz w:val="20"/>
                <w:szCs w:val="20"/>
                <w:lang w:val="en-US"/>
              </w:rPr>
            </w:pPr>
            <w:r w:rsidRPr="007D2F65">
              <w:rPr>
                <w:b/>
                <w:color w:val="FFFFFF" w:themeColor="background1"/>
                <w:sz w:val="20"/>
                <w:szCs w:val="20"/>
                <w:lang w:val="en-US"/>
              </w:rPr>
              <w:t>All Grades (%)</w:t>
            </w:r>
          </w:p>
        </w:tc>
        <w:tc>
          <w:tcPr>
            <w:tcW w:w="2531" w:type="dxa"/>
            <w:tcBorders>
              <w:top w:val="single" w:sz="4" w:space="0" w:color="auto"/>
            </w:tcBorders>
            <w:shd w:val="clear" w:color="auto" w:fill="006DA2"/>
          </w:tcPr>
          <w:p w14:paraId="72070ABA" w14:textId="77777777" w:rsidR="006421E2" w:rsidRPr="007D2F65" w:rsidRDefault="006421E2" w:rsidP="007D2F65">
            <w:pPr>
              <w:ind w:left="0" w:right="0"/>
              <w:rPr>
                <w:b/>
                <w:color w:val="FFFFFF" w:themeColor="background1"/>
                <w:sz w:val="20"/>
                <w:szCs w:val="20"/>
                <w:lang w:val="en-US"/>
              </w:rPr>
            </w:pPr>
            <w:r w:rsidRPr="007D2F65">
              <w:rPr>
                <w:b/>
                <w:color w:val="FFFFFF" w:themeColor="background1"/>
                <w:sz w:val="20"/>
                <w:szCs w:val="20"/>
                <w:lang w:val="en-US"/>
              </w:rPr>
              <w:t>Grade 3 or 4 (%)</w:t>
            </w:r>
          </w:p>
        </w:tc>
      </w:tr>
      <w:tr w:rsidR="001F1814" w:rsidRPr="00FC0D4E" w14:paraId="0FCB3E4F" w14:textId="77777777" w:rsidTr="00DF1F99">
        <w:trPr>
          <w:trHeight w:val="260"/>
        </w:trPr>
        <w:tc>
          <w:tcPr>
            <w:tcW w:w="8900" w:type="dxa"/>
            <w:gridSpan w:val="3"/>
          </w:tcPr>
          <w:p w14:paraId="52793AA2" w14:textId="6E7F1493" w:rsidR="001F1814" w:rsidRPr="007D2F65" w:rsidRDefault="001F1814" w:rsidP="007D2F65">
            <w:pPr>
              <w:ind w:left="0" w:right="0"/>
              <w:jc w:val="center"/>
              <w:rPr>
                <w:sz w:val="20"/>
                <w:szCs w:val="20"/>
                <w:lang w:val="en-US"/>
              </w:rPr>
            </w:pPr>
            <w:r w:rsidRPr="007D2F65">
              <w:rPr>
                <w:b/>
                <w:sz w:val="20"/>
                <w:szCs w:val="20"/>
                <w:lang w:val="en-US"/>
              </w:rPr>
              <w:t>Hematology</w:t>
            </w:r>
          </w:p>
        </w:tc>
      </w:tr>
      <w:tr w:rsidR="006421E2" w:rsidRPr="00FC0D4E" w14:paraId="10A06567" w14:textId="77777777" w:rsidTr="00D84CA8">
        <w:trPr>
          <w:trHeight w:val="260"/>
        </w:trPr>
        <w:tc>
          <w:tcPr>
            <w:tcW w:w="3658" w:type="dxa"/>
          </w:tcPr>
          <w:p w14:paraId="03220DEE" w14:textId="77777777" w:rsidR="006421E2" w:rsidRPr="007D2F65" w:rsidRDefault="006421E2" w:rsidP="001F1814">
            <w:pPr>
              <w:ind w:left="0" w:right="0"/>
              <w:rPr>
                <w:sz w:val="20"/>
                <w:szCs w:val="20"/>
                <w:lang w:val="en-US"/>
              </w:rPr>
            </w:pPr>
            <w:r w:rsidRPr="007D2F65">
              <w:rPr>
                <w:sz w:val="20"/>
                <w:szCs w:val="20"/>
                <w:lang w:val="en-US"/>
              </w:rPr>
              <w:t>Anemia</w:t>
            </w:r>
          </w:p>
        </w:tc>
        <w:tc>
          <w:tcPr>
            <w:tcW w:w="2711" w:type="dxa"/>
          </w:tcPr>
          <w:p w14:paraId="4C7D23E6" w14:textId="77777777" w:rsidR="006421E2" w:rsidRPr="007D2F65" w:rsidRDefault="006421E2" w:rsidP="007D2F65">
            <w:pPr>
              <w:ind w:left="0" w:right="0"/>
              <w:jc w:val="center"/>
              <w:rPr>
                <w:sz w:val="20"/>
                <w:szCs w:val="20"/>
                <w:lang w:val="en-US"/>
              </w:rPr>
            </w:pPr>
            <w:r w:rsidRPr="007D2F65">
              <w:rPr>
                <w:sz w:val="20"/>
                <w:szCs w:val="20"/>
                <w:lang w:val="en-US"/>
              </w:rPr>
              <w:t>67</w:t>
            </w:r>
          </w:p>
        </w:tc>
        <w:tc>
          <w:tcPr>
            <w:tcW w:w="2531" w:type="dxa"/>
          </w:tcPr>
          <w:p w14:paraId="77D7107C" w14:textId="77777777" w:rsidR="006421E2" w:rsidRPr="007D2F65" w:rsidRDefault="006421E2" w:rsidP="007D2F65">
            <w:pPr>
              <w:ind w:left="0" w:right="0"/>
              <w:jc w:val="center"/>
              <w:rPr>
                <w:sz w:val="20"/>
                <w:szCs w:val="20"/>
                <w:lang w:val="en-US"/>
              </w:rPr>
            </w:pPr>
            <w:r w:rsidRPr="007D2F65">
              <w:rPr>
                <w:sz w:val="20"/>
                <w:szCs w:val="20"/>
                <w:lang w:val="en-US"/>
              </w:rPr>
              <w:t>9</w:t>
            </w:r>
          </w:p>
        </w:tc>
      </w:tr>
      <w:tr w:rsidR="006421E2" w:rsidRPr="00FC0D4E" w14:paraId="1491B6F7" w14:textId="77777777" w:rsidTr="00D84CA8">
        <w:trPr>
          <w:trHeight w:val="260"/>
        </w:trPr>
        <w:tc>
          <w:tcPr>
            <w:tcW w:w="3658" w:type="dxa"/>
          </w:tcPr>
          <w:p w14:paraId="745ED9BC" w14:textId="77777777" w:rsidR="006421E2" w:rsidRPr="007D2F65" w:rsidRDefault="006421E2" w:rsidP="001F1814">
            <w:pPr>
              <w:ind w:left="0" w:right="0"/>
              <w:rPr>
                <w:sz w:val="20"/>
                <w:szCs w:val="20"/>
                <w:lang w:val="en-US"/>
              </w:rPr>
            </w:pPr>
            <w:proofErr w:type="spellStart"/>
            <w:r w:rsidRPr="007D2F65">
              <w:rPr>
                <w:sz w:val="20"/>
                <w:szCs w:val="20"/>
                <w:lang w:val="en-US"/>
              </w:rPr>
              <w:t>Lymphopenia</w:t>
            </w:r>
            <w:proofErr w:type="spellEnd"/>
          </w:p>
        </w:tc>
        <w:tc>
          <w:tcPr>
            <w:tcW w:w="2711" w:type="dxa"/>
          </w:tcPr>
          <w:p w14:paraId="75D3FFC6" w14:textId="77777777" w:rsidR="006421E2" w:rsidRPr="007D2F65" w:rsidRDefault="006421E2" w:rsidP="007D2F65">
            <w:pPr>
              <w:ind w:left="0" w:right="0"/>
              <w:jc w:val="center"/>
              <w:rPr>
                <w:sz w:val="20"/>
                <w:szCs w:val="20"/>
                <w:lang w:val="en-US"/>
              </w:rPr>
            </w:pPr>
            <w:r w:rsidRPr="007D2F65">
              <w:rPr>
                <w:sz w:val="20"/>
                <w:szCs w:val="20"/>
                <w:lang w:val="en-US"/>
              </w:rPr>
              <w:t>40</w:t>
            </w:r>
          </w:p>
        </w:tc>
        <w:tc>
          <w:tcPr>
            <w:tcW w:w="2531" w:type="dxa"/>
          </w:tcPr>
          <w:p w14:paraId="61084025" w14:textId="77777777" w:rsidR="006421E2" w:rsidRPr="007D2F65" w:rsidRDefault="006421E2" w:rsidP="007D2F65">
            <w:pPr>
              <w:ind w:left="0" w:right="0"/>
              <w:jc w:val="center"/>
              <w:rPr>
                <w:sz w:val="20"/>
                <w:szCs w:val="20"/>
                <w:lang w:val="en-US"/>
              </w:rPr>
            </w:pPr>
            <w:r w:rsidRPr="007D2F65">
              <w:rPr>
                <w:sz w:val="20"/>
                <w:szCs w:val="20"/>
                <w:lang w:val="en-US"/>
              </w:rPr>
              <w:t>12</w:t>
            </w:r>
          </w:p>
        </w:tc>
      </w:tr>
      <w:tr w:rsidR="006421E2" w:rsidRPr="00FC0D4E" w14:paraId="2E02C190" w14:textId="77777777" w:rsidTr="00D84CA8">
        <w:trPr>
          <w:trHeight w:val="260"/>
        </w:trPr>
        <w:tc>
          <w:tcPr>
            <w:tcW w:w="3658" w:type="dxa"/>
          </w:tcPr>
          <w:p w14:paraId="3524EE4F" w14:textId="77777777" w:rsidR="006421E2" w:rsidRPr="007D2F65" w:rsidRDefault="006421E2" w:rsidP="001F1814">
            <w:pPr>
              <w:ind w:left="0" w:right="0"/>
              <w:rPr>
                <w:sz w:val="20"/>
                <w:szCs w:val="20"/>
                <w:lang w:val="en-US"/>
              </w:rPr>
            </w:pPr>
            <w:r w:rsidRPr="007D2F65">
              <w:rPr>
                <w:sz w:val="20"/>
                <w:szCs w:val="20"/>
                <w:lang w:val="en-US"/>
              </w:rPr>
              <w:t>Neutropenia</w:t>
            </w:r>
          </w:p>
        </w:tc>
        <w:tc>
          <w:tcPr>
            <w:tcW w:w="2711" w:type="dxa"/>
          </w:tcPr>
          <w:p w14:paraId="64D7189A" w14:textId="77777777" w:rsidR="006421E2" w:rsidRPr="007D2F65" w:rsidRDefault="006421E2" w:rsidP="007D2F65">
            <w:pPr>
              <w:ind w:left="0" w:right="0"/>
              <w:jc w:val="center"/>
              <w:rPr>
                <w:sz w:val="20"/>
                <w:szCs w:val="20"/>
                <w:lang w:val="en-US"/>
              </w:rPr>
            </w:pPr>
            <w:r w:rsidRPr="007D2F65">
              <w:rPr>
                <w:sz w:val="20"/>
                <w:szCs w:val="20"/>
                <w:lang w:val="en-US"/>
              </w:rPr>
              <w:t>28</w:t>
            </w:r>
          </w:p>
        </w:tc>
        <w:tc>
          <w:tcPr>
            <w:tcW w:w="2531" w:type="dxa"/>
          </w:tcPr>
          <w:p w14:paraId="2AD7A5DC" w14:textId="77777777" w:rsidR="006421E2" w:rsidRPr="007D2F65" w:rsidRDefault="006421E2" w:rsidP="007D2F65">
            <w:pPr>
              <w:ind w:left="0" w:right="0"/>
              <w:jc w:val="center"/>
              <w:rPr>
                <w:sz w:val="20"/>
                <w:szCs w:val="20"/>
                <w:lang w:val="en-US"/>
              </w:rPr>
            </w:pPr>
            <w:r w:rsidRPr="007D2F65">
              <w:rPr>
                <w:sz w:val="20"/>
                <w:szCs w:val="20"/>
                <w:lang w:val="en-US"/>
              </w:rPr>
              <w:t>7</w:t>
            </w:r>
          </w:p>
        </w:tc>
      </w:tr>
      <w:tr w:rsidR="001F1814" w:rsidRPr="00FC0D4E" w14:paraId="64C44EFE" w14:textId="77777777" w:rsidTr="002A04C4">
        <w:trPr>
          <w:trHeight w:val="260"/>
        </w:trPr>
        <w:tc>
          <w:tcPr>
            <w:tcW w:w="8900" w:type="dxa"/>
            <w:gridSpan w:val="3"/>
          </w:tcPr>
          <w:p w14:paraId="5A575E2A" w14:textId="0B6B06EF" w:rsidR="001F1814" w:rsidRPr="007D2F65" w:rsidRDefault="001F1814" w:rsidP="007D2F65">
            <w:pPr>
              <w:ind w:left="0" w:right="0"/>
              <w:jc w:val="center"/>
              <w:rPr>
                <w:sz w:val="20"/>
                <w:szCs w:val="20"/>
                <w:lang w:val="en-US"/>
              </w:rPr>
            </w:pPr>
            <w:r w:rsidRPr="007D2F65">
              <w:rPr>
                <w:b/>
                <w:sz w:val="20"/>
                <w:szCs w:val="20"/>
                <w:lang w:val="en-US"/>
              </w:rPr>
              <w:t>Chemistry</w:t>
            </w:r>
          </w:p>
        </w:tc>
      </w:tr>
      <w:tr w:rsidR="006421E2" w:rsidRPr="00FC0D4E" w14:paraId="7F186C4B" w14:textId="77777777" w:rsidTr="00D84CA8">
        <w:trPr>
          <w:trHeight w:val="261"/>
        </w:trPr>
        <w:tc>
          <w:tcPr>
            <w:tcW w:w="3658" w:type="dxa"/>
          </w:tcPr>
          <w:p w14:paraId="5A174907" w14:textId="77777777" w:rsidR="006421E2" w:rsidRPr="007D2F65" w:rsidRDefault="006421E2" w:rsidP="001F1814">
            <w:pPr>
              <w:ind w:left="0" w:right="0"/>
              <w:rPr>
                <w:sz w:val="20"/>
                <w:szCs w:val="20"/>
                <w:lang w:val="en-US"/>
              </w:rPr>
            </w:pPr>
            <w:r w:rsidRPr="007D2F65">
              <w:rPr>
                <w:sz w:val="20"/>
                <w:szCs w:val="20"/>
                <w:lang w:val="en-US"/>
              </w:rPr>
              <w:t>Increased creatinine</w:t>
            </w:r>
            <w:r w:rsidRPr="007D2F65">
              <w:rPr>
                <w:sz w:val="20"/>
                <w:szCs w:val="20"/>
                <w:vertAlign w:val="superscript"/>
                <w:lang w:val="en-US"/>
              </w:rPr>
              <w:t>2</w:t>
            </w:r>
          </w:p>
        </w:tc>
        <w:tc>
          <w:tcPr>
            <w:tcW w:w="2711" w:type="dxa"/>
          </w:tcPr>
          <w:p w14:paraId="4A597AD1" w14:textId="77777777" w:rsidR="006421E2" w:rsidRPr="007D2F65" w:rsidRDefault="006421E2" w:rsidP="007D2F65">
            <w:pPr>
              <w:ind w:left="0" w:right="0"/>
              <w:jc w:val="center"/>
              <w:rPr>
                <w:sz w:val="20"/>
                <w:szCs w:val="20"/>
                <w:lang w:val="en-US"/>
              </w:rPr>
            </w:pPr>
            <w:r w:rsidRPr="007D2F65">
              <w:rPr>
                <w:sz w:val="20"/>
                <w:szCs w:val="20"/>
                <w:lang w:val="en-US"/>
              </w:rPr>
              <w:t>73</w:t>
            </w:r>
          </w:p>
        </w:tc>
        <w:tc>
          <w:tcPr>
            <w:tcW w:w="2531" w:type="dxa"/>
          </w:tcPr>
          <w:p w14:paraId="65C985A1" w14:textId="77777777" w:rsidR="006421E2" w:rsidRPr="007D2F65" w:rsidRDefault="006421E2" w:rsidP="007D2F65">
            <w:pPr>
              <w:ind w:left="0" w:right="0"/>
              <w:jc w:val="center"/>
              <w:rPr>
                <w:sz w:val="20"/>
                <w:szCs w:val="20"/>
                <w:lang w:val="en-US"/>
              </w:rPr>
            </w:pPr>
            <w:r w:rsidRPr="007D2F65">
              <w:rPr>
                <w:sz w:val="20"/>
                <w:szCs w:val="20"/>
                <w:lang w:val="en-US"/>
              </w:rPr>
              <w:t>2.1</w:t>
            </w:r>
          </w:p>
        </w:tc>
      </w:tr>
      <w:tr w:rsidR="006421E2" w:rsidRPr="00FC0D4E" w14:paraId="5EF79890" w14:textId="77777777" w:rsidTr="00D84CA8">
        <w:trPr>
          <w:trHeight w:val="260"/>
        </w:trPr>
        <w:tc>
          <w:tcPr>
            <w:tcW w:w="3658" w:type="dxa"/>
          </w:tcPr>
          <w:p w14:paraId="66FF6E48" w14:textId="77777777" w:rsidR="006421E2" w:rsidRPr="007D2F65" w:rsidRDefault="006421E2" w:rsidP="001F1814">
            <w:pPr>
              <w:ind w:left="0" w:right="0"/>
              <w:rPr>
                <w:sz w:val="20"/>
                <w:szCs w:val="20"/>
                <w:lang w:val="en-US"/>
              </w:rPr>
            </w:pPr>
            <w:r w:rsidRPr="007D2F65">
              <w:rPr>
                <w:sz w:val="20"/>
                <w:szCs w:val="20"/>
                <w:lang w:val="en-US"/>
              </w:rPr>
              <w:t>Hyperuricemia</w:t>
            </w:r>
            <w:r w:rsidRPr="007D2F65">
              <w:rPr>
                <w:sz w:val="20"/>
                <w:szCs w:val="20"/>
                <w:vertAlign w:val="superscript"/>
                <w:lang w:val="en-US"/>
              </w:rPr>
              <w:t>3</w:t>
            </w:r>
          </w:p>
        </w:tc>
        <w:tc>
          <w:tcPr>
            <w:tcW w:w="2711" w:type="dxa"/>
          </w:tcPr>
          <w:p w14:paraId="7036B5DE" w14:textId="77777777" w:rsidR="006421E2" w:rsidRPr="007D2F65" w:rsidRDefault="006421E2" w:rsidP="007D2F65">
            <w:pPr>
              <w:ind w:left="0" w:right="0"/>
              <w:jc w:val="center"/>
              <w:rPr>
                <w:sz w:val="20"/>
                <w:szCs w:val="20"/>
                <w:lang w:val="en-US"/>
              </w:rPr>
            </w:pPr>
            <w:r w:rsidRPr="007D2F65">
              <w:rPr>
                <w:sz w:val="20"/>
                <w:szCs w:val="20"/>
                <w:lang w:val="en-US"/>
              </w:rPr>
              <w:t>52</w:t>
            </w:r>
          </w:p>
        </w:tc>
        <w:tc>
          <w:tcPr>
            <w:tcW w:w="2531" w:type="dxa"/>
          </w:tcPr>
          <w:p w14:paraId="7DEBED32" w14:textId="77777777" w:rsidR="006421E2" w:rsidRPr="007D2F65" w:rsidRDefault="006421E2" w:rsidP="007D2F65">
            <w:pPr>
              <w:ind w:left="0" w:right="0"/>
              <w:jc w:val="center"/>
              <w:rPr>
                <w:sz w:val="20"/>
                <w:szCs w:val="20"/>
                <w:lang w:val="en-US"/>
              </w:rPr>
            </w:pPr>
            <w:r w:rsidRPr="007D2F65">
              <w:rPr>
                <w:sz w:val="20"/>
                <w:szCs w:val="20"/>
                <w:lang w:val="en-US"/>
              </w:rPr>
              <w:t>8</w:t>
            </w:r>
          </w:p>
        </w:tc>
      </w:tr>
      <w:tr w:rsidR="006421E2" w:rsidRPr="00FC0D4E" w14:paraId="1E777A8D" w14:textId="77777777" w:rsidTr="00D84CA8">
        <w:trPr>
          <w:trHeight w:val="260"/>
        </w:trPr>
        <w:tc>
          <w:tcPr>
            <w:tcW w:w="3658" w:type="dxa"/>
          </w:tcPr>
          <w:p w14:paraId="5BA4C0D3" w14:textId="77777777" w:rsidR="006421E2" w:rsidRPr="007D2F65" w:rsidRDefault="006421E2" w:rsidP="001F1814">
            <w:pPr>
              <w:ind w:left="0" w:right="0"/>
              <w:rPr>
                <w:sz w:val="20"/>
                <w:szCs w:val="20"/>
                <w:lang w:val="en-US"/>
              </w:rPr>
            </w:pPr>
            <w:r w:rsidRPr="007D2F65">
              <w:rPr>
                <w:sz w:val="20"/>
                <w:szCs w:val="20"/>
                <w:lang w:val="en-US"/>
              </w:rPr>
              <w:t>Increased AST</w:t>
            </w:r>
          </w:p>
        </w:tc>
        <w:tc>
          <w:tcPr>
            <w:tcW w:w="2711" w:type="dxa"/>
          </w:tcPr>
          <w:p w14:paraId="5A8649CC" w14:textId="77777777" w:rsidR="006421E2" w:rsidRPr="007D2F65" w:rsidRDefault="006421E2" w:rsidP="007D2F65">
            <w:pPr>
              <w:ind w:left="0" w:right="0"/>
              <w:jc w:val="center"/>
              <w:rPr>
                <w:sz w:val="20"/>
                <w:szCs w:val="20"/>
                <w:lang w:val="en-US"/>
              </w:rPr>
            </w:pPr>
            <w:r w:rsidRPr="007D2F65">
              <w:rPr>
                <w:sz w:val="20"/>
                <w:szCs w:val="20"/>
                <w:lang w:val="en-US"/>
              </w:rPr>
              <w:t>44</w:t>
            </w:r>
          </w:p>
        </w:tc>
        <w:tc>
          <w:tcPr>
            <w:tcW w:w="2531" w:type="dxa"/>
          </w:tcPr>
          <w:p w14:paraId="6CCA0D92" w14:textId="77777777" w:rsidR="006421E2" w:rsidRPr="007D2F65" w:rsidRDefault="006421E2" w:rsidP="007D2F65">
            <w:pPr>
              <w:ind w:left="0" w:right="0"/>
              <w:jc w:val="center"/>
              <w:rPr>
                <w:sz w:val="20"/>
                <w:szCs w:val="20"/>
                <w:lang w:val="en-US"/>
              </w:rPr>
            </w:pPr>
            <w:r w:rsidRPr="007D2F65">
              <w:rPr>
                <w:sz w:val="20"/>
                <w:szCs w:val="20"/>
                <w:lang w:val="en-US"/>
              </w:rPr>
              <w:t>2.7</w:t>
            </w:r>
          </w:p>
        </w:tc>
      </w:tr>
      <w:tr w:rsidR="006421E2" w:rsidRPr="00FC0D4E" w14:paraId="6204503A" w14:textId="77777777" w:rsidTr="00D84CA8">
        <w:trPr>
          <w:trHeight w:val="260"/>
        </w:trPr>
        <w:tc>
          <w:tcPr>
            <w:tcW w:w="3658" w:type="dxa"/>
          </w:tcPr>
          <w:p w14:paraId="68A524E6" w14:textId="77777777" w:rsidR="006421E2" w:rsidRPr="007D2F65" w:rsidRDefault="006421E2" w:rsidP="001F1814">
            <w:pPr>
              <w:ind w:left="0" w:right="0"/>
              <w:rPr>
                <w:sz w:val="20"/>
                <w:szCs w:val="20"/>
                <w:lang w:val="en-US"/>
              </w:rPr>
            </w:pPr>
            <w:r w:rsidRPr="007D2F65">
              <w:rPr>
                <w:sz w:val="20"/>
                <w:szCs w:val="20"/>
                <w:lang w:val="en-US"/>
              </w:rPr>
              <w:t>Increased ALT</w:t>
            </w:r>
          </w:p>
        </w:tc>
        <w:tc>
          <w:tcPr>
            <w:tcW w:w="2711" w:type="dxa"/>
          </w:tcPr>
          <w:p w14:paraId="228575CE" w14:textId="77777777" w:rsidR="006421E2" w:rsidRPr="007D2F65" w:rsidRDefault="006421E2" w:rsidP="007D2F65">
            <w:pPr>
              <w:ind w:left="0" w:right="0"/>
              <w:jc w:val="center"/>
              <w:rPr>
                <w:sz w:val="20"/>
                <w:szCs w:val="20"/>
                <w:lang w:val="en-US"/>
              </w:rPr>
            </w:pPr>
            <w:r w:rsidRPr="007D2F65">
              <w:rPr>
                <w:sz w:val="20"/>
                <w:szCs w:val="20"/>
                <w:lang w:val="en-US"/>
              </w:rPr>
              <w:t>38</w:t>
            </w:r>
          </w:p>
        </w:tc>
        <w:tc>
          <w:tcPr>
            <w:tcW w:w="2531" w:type="dxa"/>
          </w:tcPr>
          <w:p w14:paraId="7505290A" w14:textId="77777777" w:rsidR="006421E2" w:rsidRPr="007D2F65" w:rsidRDefault="006421E2" w:rsidP="007D2F65">
            <w:pPr>
              <w:ind w:left="0" w:right="0"/>
              <w:jc w:val="center"/>
              <w:rPr>
                <w:sz w:val="20"/>
                <w:szCs w:val="20"/>
                <w:lang w:val="en-US"/>
              </w:rPr>
            </w:pPr>
            <w:r w:rsidRPr="007D2F65">
              <w:rPr>
                <w:sz w:val="20"/>
                <w:szCs w:val="20"/>
                <w:lang w:val="en-US"/>
              </w:rPr>
              <w:t>2.9</w:t>
            </w:r>
          </w:p>
        </w:tc>
      </w:tr>
      <w:tr w:rsidR="006421E2" w:rsidRPr="00FC0D4E" w14:paraId="61756102" w14:textId="77777777" w:rsidTr="00D84CA8">
        <w:trPr>
          <w:trHeight w:val="260"/>
        </w:trPr>
        <w:tc>
          <w:tcPr>
            <w:tcW w:w="3658" w:type="dxa"/>
          </w:tcPr>
          <w:p w14:paraId="5A86BAFA" w14:textId="77777777" w:rsidR="006421E2" w:rsidRPr="007D2F65" w:rsidRDefault="006421E2" w:rsidP="001F1814">
            <w:pPr>
              <w:ind w:left="0" w:right="0"/>
              <w:rPr>
                <w:sz w:val="20"/>
                <w:szCs w:val="20"/>
                <w:lang w:val="en-US"/>
              </w:rPr>
            </w:pPr>
            <w:r w:rsidRPr="007D2F65">
              <w:rPr>
                <w:sz w:val="20"/>
                <w:szCs w:val="20"/>
                <w:lang w:val="en-US"/>
              </w:rPr>
              <w:t>Hypernatremia</w:t>
            </w:r>
          </w:p>
        </w:tc>
        <w:tc>
          <w:tcPr>
            <w:tcW w:w="2711" w:type="dxa"/>
          </w:tcPr>
          <w:p w14:paraId="7DBFF6F6" w14:textId="77777777" w:rsidR="006421E2" w:rsidRPr="007D2F65" w:rsidRDefault="006421E2" w:rsidP="007D2F65">
            <w:pPr>
              <w:ind w:left="0" w:right="0"/>
              <w:jc w:val="center"/>
              <w:rPr>
                <w:sz w:val="20"/>
                <w:szCs w:val="20"/>
                <w:lang w:val="en-US"/>
              </w:rPr>
            </w:pPr>
            <w:r w:rsidRPr="007D2F65">
              <w:rPr>
                <w:sz w:val="20"/>
                <w:szCs w:val="20"/>
                <w:lang w:val="en-US"/>
              </w:rPr>
              <w:t>35</w:t>
            </w:r>
          </w:p>
        </w:tc>
        <w:tc>
          <w:tcPr>
            <w:tcW w:w="2531" w:type="dxa"/>
          </w:tcPr>
          <w:p w14:paraId="48723C05" w14:textId="77777777" w:rsidR="006421E2" w:rsidRPr="007D2F65" w:rsidRDefault="006421E2" w:rsidP="007D2F65">
            <w:pPr>
              <w:ind w:left="0" w:right="0"/>
              <w:jc w:val="center"/>
              <w:rPr>
                <w:sz w:val="20"/>
                <w:szCs w:val="20"/>
                <w:lang w:val="en-US"/>
              </w:rPr>
            </w:pPr>
            <w:r w:rsidRPr="007D2F65">
              <w:rPr>
                <w:sz w:val="20"/>
                <w:szCs w:val="20"/>
                <w:lang w:val="en-US"/>
              </w:rPr>
              <w:t>0.9</w:t>
            </w:r>
          </w:p>
        </w:tc>
      </w:tr>
      <w:tr w:rsidR="006421E2" w:rsidRPr="00FC0D4E" w14:paraId="1B219BED" w14:textId="77777777" w:rsidTr="00D84CA8">
        <w:trPr>
          <w:trHeight w:val="260"/>
        </w:trPr>
        <w:tc>
          <w:tcPr>
            <w:tcW w:w="3658" w:type="dxa"/>
          </w:tcPr>
          <w:p w14:paraId="6F1777B8" w14:textId="77777777" w:rsidR="006421E2" w:rsidRPr="007D2F65" w:rsidRDefault="006421E2" w:rsidP="001F1814">
            <w:pPr>
              <w:ind w:left="0" w:right="0"/>
              <w:rPr>
                <w:sz w:val="20"/>
                <w:szCs w:val="20"/>
                <w:lang w:val="en-US"/>
              </w:rPr>
            </w:pPr>
            <w:r w:rsidRPr="007D2F65">
              <w:rPr>
                <w:sz w:val="20"/>
                <w:szCs w:val="20"/>
                <w:lang w:val="en-US"/>
              </w:rPr>
              <w:t>Hypocalcemia</w:t>
            </w:r>
          </w:p>
        </w:tc>
        <w:tc>
          <w:tcPr>
            <w:tcW w:w="2711" w:type="dxa"/>
          </w:tcPr>
          <w:p w14:paraId="7258C08E" w14:textId="77777777" w:rsidR="006421E2" w:rsidRPr="007D2F65" w:rsidRDefault="006421E2" w:rsidP="007D2F65">
            <w:pPr>
              <w:ind w:left="0" w:right="0"/>
              <w:jc w:val="center"/>
              <w:rPr>
                <w:sz w:val="20"/>
                <w:szCs w:val="20"/>
                <w:lang w:val="en-US"/>
              </w:rPr>
            </w:pPr>
            <w:r w:rsidRPr="007D2F65">
              <w:rPr>
                <w:sz w:val="20"/>
                <w:szCs w:val="20"/>
                <w:lang w:val="en-US"/>
              </w:rPr>
              <w:t>34</w:t>
            </w:r>
          </w:p>
        </w:tc>
        <w:tc>
          <w:tcPr>
            <w:tcW w:w="2531" w:type="dxa"/>
          </w:tcPr>
          <w:p w14:paraId="51E00B62" w14:textId="77777777" w:rsidR="006421E2" w:rsidRPr="007D2F65" w:rsidRDefault="006421E2" w:rsidP="007D2F65">
            <w:pPr>
              <w:ind w:left="0" w:right="0"/>
              <w:jc w:val="center"/>
              <w:rPr>
                <w:sz w:val="20"/>
                <w:szCs w:val="20"/>
                <w:lang w:val="en-US"/>
              </w:rPr>
            </w:pPr>
            <w:r w:rsidRPr="007D2F65">
              <w:rPr>
                <w:sz w:val="20"/>
                <w:szCs w:val="20"/>
                <w:lang w:val="en-US"/>
              </w:rPr>
              <w:t>1.8</w:t>
            </w:r>
          </w:p>
        </w:tc>
      </w:tr>
      <w:tr w:rsidR="006421E2" w:rsidRPr="00FC0D4E" w14:paraId="5E97C5C2" w14:textId="77777777" w:rsidTr="00D84CA8">
        <w:trPr>
          <w:trHeight w:val="260"/>
        </w:trPr>
        <w:tc>
          <w:tcPr>
            <w:tcW w:w="3658" w:type="dxa"/>
          </w:tcPr>
          <w:p w14:paraId="73678718" w14:textId="77777777" w:rsidR="006421E2" w:rsidRPr="007D2F65" w:rsidRDefault="006421E2" w:rsidP="001F1814">
            <w:pPr>
              <w:ind w:left="0" w:right="0"/>
              <w:rPr>
                <w:sz w:val="20"/>
                <w:szCs w:val="20"/>
                <w:lang w:val="en-US"/>
              </w:rPr>
            </w:pPr>
            <w:r w:rsidRPr="007D2F65">
              <w:rPr>
                <w:sz w:val="20"/>
                <w:szCs w:val="20"/>
                <w:lang w:val="en-US"/>
              </w:rPr>
              <w:t>Hypophosphatemia</w:t>
            </w:r>
          </w:p>
        </w:tc>
        <w:tc>
          <w:tcPr>
            <w:tcW w:w="2711" w:type="dxa"/>
          </w:tcPr>
          <w:p w14:paraId="65B6A62B" w14:textId="77777777" w:rsidR="006421E2" w:rsidRPr="007D2F65" w:rsidRDefault="006421E2" w:rsidP="007D2F65">
            <w:pPr>
              <w:ind w:left="0" w:right="0"/>
              <w:jc w:val="center"/>
              <w:rPr>
                <w:sz w:val="20"/>
                <w:szCs w:val="20"/>
                <w:lang w:val="en-US"/>
              </w:rPr>
            </w:pPr>
            <w:r w:rsidRPr="007D2F65">
              <w:rPr>
                <w:sz w:val="20"/>
                <w:szCs w:val="20"/>
                <w:lang w:val="en-US"/>
              </w:rPr>
              <w:t>30</w:t>
            </w:r>
          </w:p>
        </w:tc>
        <w:tc>
          <w:tcPr>
            <w:tcW w:w="2531" w:type="dxa"/>
          </w:tcPr>
          <w:p w14:paraId="2B11A29A" w14:textId="77777777" w:rsidR="006421E2" w:rsidRPr="007D2F65" w:rsidRDefault="006421E2" w:rsidP="007D2F65">
            <w:pPr>
              <w:ind w:left="0" w:right="0"/>
              <w:jc w:val="center"/>
              <w:rPr>
                <w:sz w:val="20"/>
                <w:szCs w:val="20"/>
                <w:lang w:val="en-US"/>
              </w:rPr>
            </w:pPr>
            <w:r w:rsidRPr="007D2F65">
              <w:rPr>
                <w:sz w:val="20"/>
                <w:szCs w:val="20"/>
                <w:lang w:val="en-US"/>
              </w:rPr>
              <w:t>7</w:t>
            </w:r>
          </w:p>
        </w:tc>
      </w:tr>
      <w:tr w:rsidR="006421E2" w:rsidRPr="00FC0D4E" w14:paraId="6E4F5192" w14:textId="77777777" w:rsidTr="00D84CA8">
        <w:trPr>
          <w:trHeight w:val="260"/>
        </w:trPr>
        <w:tc>
          <w:tcPr>
            <w:tcW w:w="3658" w:type="dxa"/>
          </w:tcPr>
          <w:p w14:paraId="7F8A9F2E" w14:textId="77777777" w:rsidR="006421E2" w:rsidRPr="007D2F65" w:rsidRDefault="006421E2" w:rsidP="001F1814">
            <w:pPr>
              <w:ind w:left="0" w:right="0"/>
              <w:rPr>
                <w:sz w:val="20"/>
                <w:szCs w:val="20"/>
                <w:lang w:val="en-US"/>
              </w:rPr>
            </w:pPr>
            <w:r w:rsidRPr="007D2F65">
              <w:rPr>
                <w:sz w:val="20"/>
                <w:szCs w:val="20"/>
                <w:lang w:val="en-US"/>
              </w:rPr>
              <w:t>Increased lipase</w:t>
            </w:r>
          </w:p>
        </w:tc>
        <w:tc>
          <w:tcPr>
            <w:tcW w:w="2711" w:type="dxa"/>
          </w:tcPr>
          <w:p w14:paraId="0409A3A5" w14:textId="77777777" w:rsidR="006421E2" w:rsidRPr="007D2F65" w:rsidRDefault="006421E2" w:rsidP="007D2F65">
            <w:pPr>
              <w:ind w:left="0" w:right="0"/>
              <w:jc w:val="center"/>
              <w:rPr>
                <w:sz w:val="20"/>
                <w:szCs w:val="20"/>
                <w:lang w:val="en-US"/>
              </w:rPr>
            </w:pPr>
            <w:r w:rsidRPr="007D2F65">
              <w:rPr>
                <w:sz w:val="20"/>
                <w:szCs w:val="20"/>
                <w:lang w:val="en-US"/>
              </w:rPr>
              <w:t>28</w:t>
            </w:r>
          </w:p>
        </w:tc>
        <w:tc>
          <w:tcPr>
            <w:tcW w:w="2531" w:type="dxa"/>
          </w:tcPr>
          <w:p w14:paraId="00D7B535" w14:textId="77777777"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FC0D4E" w14:paraId="0B974808" w14:textId="77777777" w:rsidTr="00D84CA8">
        <w:trPr>
          <w:trHeight w:val="261"/>
        </w:trPr>
        <w:tc>
          <w:tcPr>
            <w:tcW w:w="3658" w:type="dxa"/>
          </w:tcPr>
          <w:p w14:paraId="73F94B64" w14:textId="77777777" w:rsidR="006421E2" w:rsidRPr="007D2F65" w:rsidRDefault="006421E2" w:rsidP="001F1814">
            <w:pPr>
              <w:ind w:left="0" w:right="0"/>
              <w:rPr>
                <w:sz w:val="20"/>
                <w:szCs w:val="20"/>
                <w:lang w:val="en-US"/>
              </w:rPr>
            </w:pPr>
            <w:r w:rsidRPr="007D2F65">
              <w:rPr>
                <w:sz w:val="20"/>
                <w:szCs w:val="20"/>
                <w:lang w:val="en-US"/>
              </w:rPr>
              <w:t>Hypoalbuminemia</w:t>
            </w:r>
          </w:p>
        </w:tc>
        <w:tc>
          <w:tcPr>
            <w:tcW w:w="2711" w:type="dxa"/>
          </w:tcPr>
          <w:p w14:paraId="3DCE42B9" w14:textId="77777777" w:rsidR="006421E2" w:rsidRPr="007D2F65" w:rsidRDefault="006421E2" w:rsidP="007D2F65">
            <w:pPr>
              <w:ind w:left="0" w:right="0"/>
              <w:jc w:val="center"/>
              <w:rPr>
                <w:sz w:val="20"/>
                <w:szCs w:val="20"/>
                <w:lang w:val="en-US"/>
              </w:rPr>
            </w:pPr>
            <w:r w:rsidRPr="007D2F65">
              <w:rPr>
                <w:sz w:val="20"/>
                <w:szCs w:val="20"/>
                <w:lang w:val="en-US"/>
              </w:rPr>
              <w:t>28</w:t>
            </w:r>
          </w:p>
        </w:tc>
        <w:tc>
          <w:tcPr>
            <w:tcW w:w="2531" w:type="dxa"/>
          </w:tcPr>
          <w:p w14:paraId="2CE295BD" w14:textId="77777777" w:rsidR="006421E2" w:rsidRPr="007D2F65" w:rsidRDefault="006421E2" w:rsidP="007D2F65">
            <w:pPr>
              <w:ind w:left="0" w:right="0"/>
              <w:jc w:val="center"/>
              <w:rPr>
                <w:sz w:val="20"/>
                <w:szCs w:val="20"/>
                <w:lang w:val="en-US"/>
              </w:rPr>
            </w:pPr>
            <w:r w:rsidRPr="007D2F65">
              <w:rPr>
                <w:sz w:val="20"/>
                <w:szCs w:val="20"/>
                <w:lang w:val="en-US"/>
              </w:rPr>
              <w:t>2.9</w:t>
            </w:r>
          </w:p>
        </w:tc>
      </w:tr>
      <w:tr w:rsidR="006421E2" w:rsidRPr="00FC0D4E" w14:paraId="032BAA44" w14:textId="77777777" w:rsidTr="00D84CA8">
        <w:trPr>
          <w:trHeight w:val="260"/>
        </w:trPr>
        <w:tc>
          <w:tcPr>
            <w:tcW w:w="3658" w:type="dxa"/>
          </w:tcPr>
          <w:p w14:paraId="45B3229D" w14:textId="77777777" w:rsidR="006421E2" w:rsidRPr="007D2F65" w:rsidRDefault="006421E2" w:rsidP="001F1814">
            <w:pPr>
              <w:ind w:left="0" w:right="0"/>
              <w:rPr>
                <w:sz w:val="20"/>
                <w:szCs w:val="20"/>
                <w:lang w:val="en-US"/>
              </w:rPr>
            </w:pPr>
            <w:r w:rsidRPr="007D2F65">
              <w:rPr>
                <w:sz w:val="20"/>
                <w:szCs w:val="20"/>
                <w:lang w:val="en-US"/>
              </w:rPr>
              <w:t>Increased amylase</w:t>
            </w:r>
          </w:p>
        </w:tc>
        <w:tc>
          <w:tcPr>
            <w:tcW w:w="2711" w:type="dxa"/>
          </w:tcPr>
          <w:p w14:paraId="0443B45C" w14:textId="77777777" w:rsidR="006421E2" w:rsidRPr="007D2F65" w:rsidRDefault="006421E2" w:rsidP="007D2F65">
            <w:pPr>
              <w:ind w:left="0" w:right="0"/>
              <w:jc w:val="center"/>
              <w:rPr>
                <w:sz w:val="20"/>
                <w:szCs w:val="20"/>
                <w:lang w:val="en-US"/>
              </w:rPr>
            </w:pPr>
            <w:r w:rsidRPr="007D2F65">
              <w:rPr>
                <w:sz w:val="20"/>
                <w:szCs w:val="20"/>
                <w:lang w:val="en-US"/>
              </w:rPr>
              <w:t>26</w:t>
            </w:r>
          </w:p>
        </w:tc>
        <w:tc>
          <w:tcPr>
            <w:tcW w:w="2531" w:type="dxa"/>
          </w:tcPr>
          <w:p w14:paraId="346AE04D" w14:textId="77777777" w:rsidR="006421E2" w:rsidRPr="007D2F65" w:rsidRDefault="006421E2" w:rsidP="007D2F65">
            <w:pPr>
              <w:ind w:left="0" w:right="0"/>
              <w:jc w:val="center"/>
              <w:rPr>
                <w:sz w:val="20"/>
                <w:szCs w:val="20"/>
                <w:lang w:val="en-US"/>
              </w:rPr>
            </w:pPr>
            <w:r w:rsidRPr="007D2F65">
              <w:rPr>
                <w:sz w:val="20"/>
                <w:szCs w:val="20"/>
                <w:lang w:val="en-US"/>
              </w:rPr>
              <w:t>5.4</w:t>
            </w:r>
          </w:p>
        </w:tc>
      </w:tr>
      <w:tr w:rsidR="006421E2" w:rsidRPr="00FC0D4E" w14:paraId="640B72FA" w14:textId="77777777" w:rsidTr="00D84CA8">
        <w:trPr>
          <w:trHeight w:val="260"/>
        </w:trPr>
        <w:tc>
          <w:tcPr>
            <w:tcW w:w="3658" w:type="dxa"/>
          </w:tcPr>
          <w:p w14:paraId="3D2FA056" w14:textId="77777777" w:rsidR="006421E2" w:rsidRPr="007D2F65" w:rsidRDefault="006421E2" w:rsidP="001F1814">
            <w:pPr>
              <w:ind w:left="0" w:right="0"/>
              <w:rPr>
                <w:sz w:val="20"/>
                <w:szCs w:val="20"/>
                <w:lang w:val="en-US"/>
              </w:rPr>
            </w:pPr>
            <w:r w:rsidRPr="007D2F65">
              <w:rPr>
                <w:sz w:val="20"/>
                <w:szCs w:val="20"/>
                <w:lang w:val="en-US"/>
              </w:rPr>
              <w:t>Hyperkalemia</w:t>
            </w:r>
          </w:p>
        </w:tc>
        <w:tc>
          <w:tcPr>
            <w:tcW w:w="2711" w:type="dxa"/>
          </w:tcPr>
          <w:p w14:paraId="6726CE78" w14:textId="77777777" w:rsidR="006421E2" w:rsidRPr="007D2F65" w:rsidRDefault="006421E2" w:rsidP="007D2F65">
            <w:pPr>
              <w:ind w:left="0" w:right="0"/>
              <w:jc w:val="center"/>
              <w:rPr>
                <w:sz w:val="20"/>
                <w:szCs w:val="20"/>
                <w:lang w:val="en-US"/>
              </w:rPr>
            </w:pPr>
            <w:r w:rsidRPr="007D2F65">
              <w:rPr>
                <w:sz w:val="20"/>
                <w:szCs w:val="20"/>
                <w:lang w:val="en-US"/>
              </w:rPr>
              <w:t>25</w:t>
            </w:r>
          </w:p>
        </w:tc>
        <w:tc>
          <w:tcPr>
            <w:tcW w:w="2531" w:type="dxa"/>
          </w:tcPr>
          <w:p w14:paraId="56CBD085" w14:textId="77777777" w:rsidR="006421E2" w:rsidRPr="007D2F65" w:rsidRDefault="006421E2" w:rsidP="007D2F65">
            <w:pPr>
              <w:ind w:left="0" w:right="0"/>
              <w:jc w:val="center"/>
              <w:rPr>
                <w:sz w:val="20"/>
                <w:szCs w:val="20"/>
                <w:lang w:val="en-US"/>
              </w:rPr>
            </w:pPr>
            <w:r w:rsidRPr="007D2F65">
              <w:rPr>
                <w:sz w:val="20"/>
                <w:szCs w:val="20"/>
                <w:lang w:val="en-US"/>
              </w:rPr>
              <w:t>1.5</w:t>
            </w:r>
          </w:p>
        </w:tc>
      </w:tr>
      <w:tr w:rsidR="006421E2" w:rsidRPr="00FC0D4E" w14:paraId="7BFC8D74" w14:textId="77777777" w:rsidTr="00D84CA8">
        <w:trPr>
          <w:trHeight w:val="260"/>
        </w:trPr>
        <w:tc>
          <w:tcPr>
            <w:tcW w:w="3658" w:type="dxa"/>
          </w:tcPr>
          <w:p w14:paraId="2646D9E8" w14:textId="77777777" w:rsidR="006421E2" w:rsidRPr="007D2F65" w:rsidRDefault="006421E2" w:rsidP="001F1814">
            <w:pPr>
              <w:ind w:left="0" w:right="0"/>
              <w:rPr>
                <w:sz w:val="20"/>
                <w:szCs w:val="20"/>
                <w:lang w:val="en-US"/>
              </w:rPr>
            </w:pPr>
            <w:r w:rsidRPr="007D2F65">
              <w:rPr>
                <w:sz w:val="20"/>
                <w:szCs w:val="20"/>
                <w:lang w:val="en-US"/>
              </w:rPr>
              <w:t>Increased alkaline phosphatase</w:t>
            </w:r>
          </w:p>
        </w:tc>
        <w:tc>
          <w:tcPr>
            <w:tcW w:w="2711" w:type="dxa"/>
          </w:tcPr>
          <w:p w14:paraId="07226124" w14:textId="77777777" w:rsidR="006421E2" w:rsidRPr="007D2F65" w:rsidRDefault="006421E2" w:rsidP="007D2F65">
            <w:pPr>
              <w:ind w:left="0" w:right="0"/>
              <w:jc w:val="center"/>
              <w:rPr>
                <w:sz w:val="20"/>
                <w:szCs w:val="20"/>
                <w:lang w:val="en-US"/>
              </w:rPr>
            </w:pPr>
            <w:r w:rsidRPr="007D2F65">
              <w:rPr>
                <w:sz w:val="20"/>
                <w:szCs w:val="20"/>
                <w:lang w:val="en-US"/>
              </w:rPr>
              <w:t>25</w:t>
            </w:r>
          </w:p>
        </w:tc>
        <w:tc>
          <w:tcPr>
            <w:tcW w:w="2531" w:type="dxa"/>
          </w:tcPr>
          <w:p w14:paraId="4CF55CF9" w14:textId="77777777" w:rsidR="006421E2" w:rsidRPr="007D2F65" w:rsidRDefault="006421E2" w:rsidP="007D2F65">
            <w:pPr>
              <w:ind w:left="0" w:right="0"/>
              <w:jc w:val="center"/>
              <w:rPr>
                <w:sz w:val="20"/>
                <w:szCs w:val="20"/>
                <w:lang w:val="en-US"/>
              </w:rPr>
            </w:pPr>
            <w:r w:rsidRPr="007D2F65">
              <w:rPr>
                <w:sz w:val="20"/>
                <w:szCs w:val="20"/>
                <w:lang w:val="en-US"/>
              </w:rPr>
              <w:t>0.9</w:t>
            </w:r>
          </w:p>
        </w:tc>
      </w:tr>
      <w:tr w:rsidR="006421E2" w:rsidRPr="00FC0D4E" w14:paraId="7B60515A" w14:textId="77777777" w:rsidTr="00D84CA8">
        <w:trPr>
          <w:trHeight w:val="260"/>
        </w:trPr>
        <w:tc>
          <w:tcPr>
            <w:tcW w:w="3658" w:type="dxa"/>
          </w:tcPr>
          <w:p w14:paraId="22CB828B" w14:textId="77777777" w:rsidR="006421E2" w:rsidRPr="007D2F65" w:rsidRDefault="006421E2" w:rsidP="001F1814">
            <w:pPr>
              <w:ind w:left="0" w:right="0"/>
              <w:rPr>
                <w:sz w:val="20"/>
                <w:szCs w:val="20"/>
                <w:lang w:val="en-US"/>
              </w:rPr>
            </w:pPr>
            <w:r w:rsidRPr="007D2F65">
              <w:rPr>
                <w:sz w:val="20"/>
                <w:szCs w:val="20"/>
                <w:lang w:val="en-US"/>
              </w:rPr>
              <w:t>Hyperglycemia</w:t>
            </w:r>
            <w:r w:rsidRPr="007D2F65">
              <w:rPr>
                <w:sz w:val="20"/>
                <w:szCs w:val="20"/>
                <w:vertAlign w:val="superscript"/>
                <w:lang w:val="en-US"/>
              </w:rPr>
              <w:t>4</w:t>
            </w:r>
          </w:p>
        </w:tc>
        <w:tc>
          <w:tcPr>
            <w:tcW w:w="2711" w:type="dxa"/>
          </w:tcPr>
          <w:p w14:paraId="745BDB72" w14:textId="77777777" w:rsidR="006421E2" w:rsidRPr="007D2F65" w:rsidRDefault="006421E2" w:rsidP="007D2F65">
            <w:pPr>
              <w:ind w:left="0" w:right="0"/>
              <w:jc w:val="center"/>
              <w:rPr>
                <w:sz w:val="20"/>
                <w:szCs w:val="20"/>
                <w:lang w:val="en-US"/>
              </w:rPr>
            </w:pPr>
            <w:r w:rsidRPr="007D2F65">
              <w:rPr>
                <w:sz w:val="20"/>
                <w:szCs w:val="20"/>
                <w:lang w:val="en-US"/>
              </w:rPr>
              <w:t>NE</w:t>
            </w:r>
            <w:r w:rsidRPr="007D2F65">
              <w:rPr>
                <w:sz w:val="20"/>
                <w:szCs w:val="20"/>
                <w:vertAlign w:val="superscript"/>
                <w:lang w:val="en-US"/>
              </w:rPr>
              <w:t>3</w:t>
            </w:r>
          </w:p>
        </w:tc>
        <w:tc>
          <w:tcPr>
            <w:tcW w:w="2531" w:type="dxa"/>
          </w:tcPr>
          <w:p w14:paraId="02FE932A" w14:textId="77777777" w:rsidR="006421E2" w:rsidRPr="007D2F65" w:rsidRDefault="006421E2" w:rsidP="007D2F65">
            <w:pPr>
              <w:ind w:left="0" w:right="0"/>
              <w:jc w:val="center"/>
              <w:rPr>
                <w:sz w:val="20"/>
                <w:szCs w:val="20"/>
                <w:lang w:val="en-US"/>
              </w:rPr>
            </w:pPr>
            <w:r w:rsidRPr="007D2F65">
              <w:rPr>
                <w:sz w:val="20"/>
                <w:szCs w:val="20"/>
                <w:lang w:val="en-US"/>
              </w:rPr>
              <w:t>3.8</w:t>
            </w:r>
          </w:p>
        </w:tc>
      </w:tr>
    </w:tbl>
    <w:p w14:paraId="1C01C2F0" w14:textId="77777777" w:rsidR="00B20392" w:rsidRDefault="00B20392" w:rsidP="00B20392">
      <w:pPr>
        <w:pStyle w:val="FigureDescription"/>
      </w:pPr>
      <w:r>
        <w:rPr>
          <w:rFonts w:asciiTheme="minorHAnsi" w:hAnsiTheme="minorHAnsi" w:cs="Calibri"/>
        </w:rPr>
        <w:t xml:space="preserve">Source: </w:t>
      </w:r>
      <w:r>
        <w:t xml:space="preserve">reformatted </w:t>
      </w:r>
      <w:r>
        <w:rPr>
          <w:rFonts w:asciiTheme="minorHAnsi" w:hAnsiTheme="minorHAnsi" w:cs="Calibri"/>
        </w:rPr>
        <w:t>FDA table.</w:t>
      </w:r>
      <w:r>
        <w:rPr>
          <w:rFonts w:asciiTheme="minorHAnsi" w:hAnsiTheme="minorHAnsi" w:cs="Calibri"/>
        </w:rPr>
        <w:fldChar w:fldCharType="begin"/>
      </w:r>
      <w:r>
        <w:rPr>
          <w:rFonts w:asciiTheme="minorHAnsi" w:hAnsiTheme="minorHAnsi" w:cs="Calibri"/>
        </w:rPr>
        <w:instrText xml:space="preserve"> NOTEREF _Ref50554541 \f \h </w:instrText>
      </w:r>
      <w:r>
        <w:rPr>
          <w:rFonts w:asciiTheme="minorHAnsi" w:hAnsiTheme="minorHAnsi" w:cs="Calibri"/>
        </w:rPr>
      </w:r>
      <w:r>
        <w:rPr>
          <w:rFonts w:asciiTheme="minorHAnsi" w:hAnsiTheme="minorHAnsi" w:cs="Calibri"/>
        </w:rPr>
        <w:fldChar w:fldCharType="separate"/>
      </w:r>
      <w:r>
        <w:rPr>
          <w:rStyle w:val="FootnoteReference"/>
        </w:rPr>
        <w:t>12</w:t>
      </w:r>
      <w:r>
        <w:rPr>
          <w:rFonts w:asciiTheme="minorHAnsi" w:hAnsiTheme="minorHAnsi" w:cs="Calibri"/>
        </w:rPr>
        <w:fldChar w:fldCharType="end"/>
      </w:r>
    </w:p>
    <w:p w14:paraId="391DD226" w14:textId="67F544E3" w:rsidR="006421E2" w:rsidRPr="006421E2" w:rsidRDefault="006421E2" w:rsidP="002239A3">
      <w:pPr>
        <w:pStyle w:val="TableDescription"/>
      </w:pPr>
      <w:r w:rsidRPr="006421E2">
        <w:t xml:space="preserve">AST: </w:t>
      </w:r>
      <w:r w:rsidR="009857DF">
        <w:t>a</w:t>
      </w:r>
      <w:r w:rsidR="009857DF" w:rsidRPr="006421E2">
        <w:t xml:space="preserve">spartate </w:t>
      </w:r>
      <w:r w:rsidR="009857DF">
        <w:t>a</w:t>
      </w:r>
      <w:r w:rsidRPr="006421E2">
        <w:t xml:space="preserve">minotransferase; ALT: </w:t>
      </w:r>
      <w:r w:rsidR="009857DF">
        <w:t>a</w:t>
      </w:r>
      <w:r w:rsidRPr="006421E2">
        <w:t xml:space="preserve">lanine </w:t>
      </w:r>
      <w:r w:rsidR="009857DF">
        <w:t>a</w:t>
      </w:r>
      <w:r w:rsidRPr="006421E2">
        <w:t>minotransferase</w:t>
      </w:r>
    </w:p>
    <w:p w14:paraId="4813CE4D" w14:textId="2C70556E" w:rsidR="006421E2" w:rsidRPr="006421E2" w:rsidRDefault="006421E2" w:rsidP="002239A3">
      <w:pPr>
        <w:pStyle w:val="TableDescription"/>
      </w:pPr>
      <w:r w:rsidRPr="006421E2">
        <w:rPr>
          <w:vertAlign w:val="superscript"/>
        </w:rPr>
        <w:t>1</w:t>
      </w:r>
      <w:r w:rsidRPr="006421E2">
        <w:t xml:space="preserve"> Denominator for each laboratory parameter is based on the number of patients with a </w:t>
      </w:r>
      <w:r w:rsidR="00957601">
        <w:t>Baseline</w:t>
      </w:r>
      <w:r w:rsidRPr="006421E2">
        <w:t xml:space="preserve"> and post-treatment laboratory value available which ranged from 111 to 346 patients.</w:t>
      </w:r>
    </w:p>
    <w:p w14:paraId="3ADE394A" w14:textId="77777777" w:rsidR="006421E2" w:rsidRPr="006421E2" w:rsidRDefault="006421E2" w:rsidP="002239A3">
      <w:pPr>
        <w:pStyle w:val="TableDescription"/>
      </w:pPr>
      <w:r w:rsidRPr="006421E2">
        <w:rPr>
          <w:vertAlign w:val="superscript"/>
        </w:rPr>
        <w:t>2</w:t>
      </w:r>
      <w:r w:rsidRPr="006421E2">
        <w:t xml:space="preserve"> Based on NCI CTCAE v5.0</w:t>
      </w:r>
    </w:p>
    <w:p w14:paraId="7A489323" w14:textId="77777777" w:rsidR="006421E2" w:rsidRPr="006421E2" w:rsidRDefault="006421E2" w:rsidP="002239A3">
      <w:pPr>
        <w:pStyle w:val="TableDescription"/>
      </w:pPr>
      <w:r w:rsidRPr="006421E2">
        <w:rPr>
          <w:vertAlign w:val="superscript"/>
        </w:rPr>
        <w:t>3</w:t>
      </w:r>
      <w:r w:rsidRPr="006421E2">
        <w:t xml:space="preserve"> Based on NCI CTCAE v4.03 using laboratory dataset (ALB), adverse event dataset (AAE) and concomitant medication dataset (ACM)</w:t>
      </w:r>
    </w:p>
    <w:p w14:paraId="6908AB64" w14:textId="63AA4A55" w:rsidR="006421E2" w:rsidRPr="00107C76" w:rsidRDefault="006421E2" w:rsidP="00107C76">
      <w:pPr>
        <w:pStyle w:val="TableDescription"/>
      </w:pPr>
      <w:r w:rsidRPr="006421E2">
        <w:rPr>
          <w:vertAlign w:val="superscript"/>
        </w:rPr>
        <w:t>4</w:t>
      </w:r>
      <w:r w:rsidRPr="006421E2">
        <w:t xml:space="preserve"> NE</w:t>
      </w:r>
      <w:r w:rsidR="00F2463B">
        <w:t xml:space="preserve"> </w:t>
      </w:r>
      <w:r w:rsidRPr="006421E2">
        <w:t>=</w:t>
      </w:r>
      <w:r w:rsidR="00F2463B">
        <w:t xml:space="preserve"> </w:t>
      </w:r>
      <w:r w:rsidRPr="006421E2">
        <w:t>Not evaluable. Grade 1 and 2 could not be determined per NCI CTCAE v5.0, as fasting glu</w:t>
      </w:r>
      <w:r w:rsidR="00107C76">
        <w:t>cose values were not collected.</w:t>
      </w:r>
    </w:p>
    <w:p w14:paraId="0CA40DAC" w14:textId="6C307D91" w:rsidR="006421E2" w:rsidRPr="006421E2" w:rsidRDefault="006421E2" w:rsidP="00107C76">
      <w:pPr>
        <w:pStyle w:val="Heading6"/>
      </w:pPr>
      <w:r w:rsidRPr="006421E2">
        <w:lastRenderedPageBreak/>
        <w:t xml:space="preserve">Serious </w:t>
      </w:r>
      <w:r w:rsidR="00F40A0C">
        <w:t>adverse events and high g</w:t>
      </w:r>
      <w:r w:rsidRPr="006421E2">
        <w:t>rade (</w:t>
      </w:r>
      <w:r w:rsidR="00CE2749">
        <w:sym w:font="Symbol" w:char="F0B3"/>
      </w:r>
      <w:r w:rsidR="007D66D3">
        <w:t xml:space="preserve"> </w:t>
      </w:r>
      <w:r w:rsidRPr="006421E2">
        <w:t>3) adverse events</w:t>
      </w:r>
    </w:p>
    <w:p w14:paraId="0CAD3A02" w14:textId="5103806E" w:rsidR="006421E2" w:rsidRPr="006421E2" w:rsidRDefault="006421E2" w:rsidP="006421E2">
      <w:pPr>
        <w:rPr>
          <w:b/>
        </w:rPr>
      </w:pPr>
      <w:r w:rsidRPr="006421E2">
        <w:t>Adverse event</w:t>
      </w:r>
      <w:r w:rsidR="00D97822">
        <w:t>s that were serious (</w:t>
      </w:r>
      <w:r w:rsidR="00D97822">
        <w:fldChar w:fldCharType="begin"/>
      </w:r>
      <w:r w:rsidR="00D97822">
        <w:instrText xml:space="preserve"> REF _Ref30420000 \h </w:instrText>
      </w:r>
      <w:r w:rsidR="00D97822">
        <w:fldChar w:fldCharType="separate"/>
      </w:r>
      <w:r w:rsidR="005743D8" w:rsidRPr="006421E2">
        <w:t xml:space="preserve">Table </w:t>
      </w:r>
      <w:r w:rsidR="005743D8">
        <w:rPr>
          <w:noProof/>
        </w:rPr>
        <w:t>22</w:t>
      </w:r>
      <w:r w:rsidR="00D97822">
        <w:fldChar w:fldCharType="end"/>
      </w:r>
      <w:r w:rsidR="00D97822">
        <w:t xml:space="preserve">) </w:t>
      </w:r>
      <w:r w:rsidRPr="006421E2">
        <w:t>occurred in 39% of the integrated safety population. Serious adverse events were defined in the study protocol using standard definitions, although the FDA review notes that the definition did not include adverse events that, if they</w:t>
      </w:r>
      <w:r w:rsidR="00FC0D4E">
        <w:t xml:space="preserve"> ha</w:t>
      </w:r>
      <w:r w:rsidRPr="006421E2">
        <w:t>d occurred in a more severe form or were allowed to continue, may have caused death (</w:t>
      </w:r>
      <w:r w:rsidR="00BD04CD">
        <w:t>for example</w:t>
      </w:r>
      <w:r w:rsidRPr="006421E2">
        <w:t xml:space="preserve"> ‘near misses’).</w:t>
      </w:r>
    </w:p>
    <w:p w14:paraId="6C970CE1" w14:textId="3FAA9EA5" w:rsidR="006421E2" w:rsidRPr="006421E2" w:rsidRDefault="006421E2" w:rsidP="00007D7D">
      <w:pPr>
        <w:pStyle w:val="TableTitle"/>
      </w:pPr>
      <w:bookmarkStart w:id="72" w:name="_Ref30420000"/>
      <w:r w:rsidRPr="006421E2">
        <w:t xml:space="preserve">Table </w:t>
      </w:r>
      <w:fldSimple w:instr=" SEQ Table \* ARABIC ">
        <w:r w:rsidR="009B407B">
          <w:rPr>
            <w:noProof/>
          </w:rPr>
          <w:t>28</w:t>
        </w:r>
      </w:fldSimple>
      <w:bookmarkEnd w:id="72"/>
      <w:r w:rsidR="00FC0D4E">
        <w:t>:</w:t>
      </w:r>
      <w:r w:rsidRPr="006421E2">
        <w:t xml:space="preserve"> </w:t>
      </w:r>
      <w:r w:rsidR="00B20392">
        <w:t>Serious adverse events</w:t>
      </w:r>
      <w:r w:rsidR="00B20392" w:rsidRPr="006421E2">
        <w:t xml:space="preserve"> </w:t>
      </w:r>
      <w:r w:rsidRPr="006421E2">
        <w:t>with incidence &gt;</w:t>
      </w:r>
      <w:r w:rsidR="00AD3CCF">
        <w:t xml:space="preserve"> </w:t>
      </w:r>
      <w:r w:rsidRPr="006421E2">
        <w:t>1% b</w:t>
      </w:r>
      <w:r w:rsidR="00AD3CCF">
        <w:t xml:space="preserve">y </w:t>
      </w:r>
      <w:r w:rsidR="0088305F">
        <w:t>S</w:t>
      </w:r>
      <w:r w:rsidR="00AD3CCF">
        <w:t xml:space="preserve">ystem </w:t>
      </w:r>
      <w:r w:rsidR="0088305F">
        <w:t>O</w:t>
      </w:r>
      <w:r w:rsidR="00AD3CCF">
        <w:t xml:space="preserve">rgan </w:t>
      </w:r>
      <w:r w:rsidR="0088305F">
        <w:t>C</w:t>
      </w:r>
      <w:r w:rsidR="00AD3CCF">
        <w:t xml:space="preserve">lass and </w:t>
      </w:r>
      <w:r w:rsidR="0088305F">
        <w:t>P</w:t>
      </w:r>
      <w:r w:rsidR="00AD3CCF">
        <w:t xml:space="preserve">referred </w:t>
      </w:r>
      <w:r w:rsidR="0088305F">
        <w:t>T</w:t>
      </w:r>
      <w:r w:rsidRPr="006421E2">
        <w:t>erm</w:t>
      </w:r>
    </w:p>
    <w:tbl>
      <w:tblPr>
        <w:tblStyle w:val="TableTGAblue"/>
        <w:tblW w:w="5000" w:type="pct"/>
        <w:tblLayout w:type="fixed"/>
        <w:tblLook w:val="01E0" w:firstRow="1" w:lastRow="1" w:firstColumn="1" w:lastColumn="1" w:noHBand="0" w:noVBand="0"/>
      </w:tblPr>
      <w:tblGrid>
        <w:gridCol w:w="2777"/>
        <w:gridCol w:w="1192"/>
        <w:gridCol w:w="1060"/>
        <w:gridCol w:w="1193"/>
        <w:gridCol w:w="1193"/>
        <w:gridCol w:w="1079"/>
      </w:tblGrid>
      <w:tr w:rsidR="00007D7D" w:rsidRPr="00B20392" w14:paraId="1B901BF3" w14:textId="77777777" w:rsidTr="007D2F65">
        <w:trPr>
          <w:cnfStyle w:val="100000000000" w:firstRow="1" w:lastRow="0" w:firstColumn="0" w:lastColumn="0" w:oddVBand="0" w:evenVBand="0" w:oddHBand="0" w:evenHBand="0" w:firstRowFirstColumn="0" w:firstRowLastColumn="0" w:lastRowFirstColumn="0" w:lastRowLastColumn="0"/>
          <w:trHeight w:val="20"/>
        </w:trPr>
        <w:tc>
          <w:tcPr>
            <w:tcW w:w="1635" w:type="pct"/>
            <w:tcBorders>
              <w:top w:val="single" w:sz="4" w:space="0" w:color="auto"/>
              <w:left w:val="single" w:sz="4" w:space="0" w:color="auto"/>
              <w:bottom w:val="single" w:sz="4" w:space="0" w:color="auto"/>
              <w:right w:val="single" w:sz="4" w:space="0" w:color="auto"/>
            </w:tcBorders>
          </w:tcPr>
          <w:p w14:paraId="2426DD8B" w14:textId="4297A94E" w:rsidR="006421E2" w:rsidRPr="007D2F65" w:rsidRDefault="006421E2" w:rsidP="007D2F65">
            <w:pPr>
              <w:pStyle w:val="TableTitle"/>
              <w:ind w:left="0" w:right="0"/>
              <w:rPr>
                <w:sz w:val="20"/>
                <w:szCs w:val="20"/>
                <w:lang w:val="en-US"/>
              </w:rPr>
            </w:pPr>
            <w:r w:rsidRPr="007D2F65">
              <w:rPr>
                <w:sz w:val="20"/>
                <w:szCs w:val="20"/>
                <w:lang w:val="en-US"/>
              </w:rPr>
              <w:t>SOC/Preferred Term</w:t>
            </w:r>
          </w:p>
        </w:tc>
        <w:tc>
          <w:tcPr>
            <w:tcW w:w="702" w:type="pct"/>
            <w:tcBorders>
              <w:top w:val="single" w:sz="4" w:space="0" w:color="auto"/>
              <w:left w:val="single" w:sz="4" w:space="0" w:color="auto"/>
              <w:bottom w:val="single" w:sz="4" w:space="0" w:color="auto"/>
              <w:right w:val="single" w:sz="4" w:space="0" w:color="auto"/>
            </w:tcBorders>
          </w:tcPr>
          <w:p w14:paraId="020DD82B" w14:textId="77777777" w:rsidR="006421E2" w:rsidRPr="007D2F65" w:rsidRDefault="006421E2" w:rsidP="007D2F65">
            <w:pPr>
              <w:ind w:left="0" w:right="0"/>
              <w:rPr>
                <w:i/>
                <w:sz w:val="20"/>
                <w:szCs w:val="20"/>
                <w:lang w:val="en-US"/>
              </w:rPr>
            </w:pPr>
            <w:r w:rsidRPr="007D2F65">
              <w:rPr>
                <w:i/>
                <w:sz w:val="20"/>
                <w:szCs w:val="20"/>
                <w:lang w:val="en-US"/>
              </w:rPr>
              <w:t>NTRK</w:t>
            </w:r>
          </w:p>
          <w:p w14:paraId="682AA5B6" w14:textId="7A5167F8" w:rsidR="006421E2" w:rsidRPr="007D2F65" w:rsidRDefault="006421E2" w:rsidP="007D2F65">
            <w:pPr>
              <w:ind w:left="0" w:right="0"/>
              <w:rPr>
                <w:sz w:val="20"/>
                <w:szCs w:val="20"/>
                <w:lang w:val="en-US"/>
              </w:rPr>
            </w:pPr>
            <w:r w:rsidRPr="007D2F65">
              <w:rPr>
                <w:sz w:val="20"/>
                <w:szCs w:val="20"/>
                <w:lang w:val="en-US"/>
              </w:rPr>
              <w:t>Adult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68) (%)</w:t>
            </w:r>
          </w:p>
        </w:tc>
        <w:tc>
          <w:tcPr>
            <w:tcW w:w="624" w:type="pct"/>
            <w:tcBorders>
              <w:top w:val="single" w:sz="4" w:space="0" w:color="auto"/>
              <w:left w:val="single" w:sz="4" w:space="0" w:color="auto"/>
              <w:bottom w:val="single" w:sz="4" w:space="0" w:color="auto"/>
              <w:right w:val="single" w:sz="4" w:space="0" w:color="auto"/>
            </w:tcBorders>
          </w:tcPr>
          <w:p w14:paraId="47242AE2" w14:textId="77777777" w:rsidR="006421E2" w:rsidRPr="007D2F65" w:rsidRDefault="006421E2" w:rsidP="007D2F65">
            <w:pPr>
              <w:ind w:left="0" w:right="0"/>
              <w:rPr>
                <w:sz w:val="20"/>
                <w:szCs w:val="20"/>
                <w:lang w:val="en-US"/>
              </w:rPr>
            </w:pPr>
            <w:r w:rsidRPr="007D2F65">
              <w:rPr>
                <w:sz w:val="20"/>
                <w:szCs w:val="20"/>
                <w:lang w:val="en-US"/>
              </w:rPr>
              <w:t>ROS1 NSCLC</w:t>
            </w:r>
          </w:p>
          <w:p w14:paraId="518E02EE" w14:textId="4C2F8756" w:rsidR="006421E2" w:rsidRPr="007D2F65" w:rsidRDefault="006421E2" w:rsidP="007D2F65">
            <w:pPr>
              <w:ind w:left="0" w:right="0"/>
              <w:rPr>
                <w:sz w:val="20"/>
                <w:szCs w:val="20"/>
                <w:lang w:val="en-US"/>
              </w:rPr>
            </w:pPr>
            <w:r w:rsidRPr="007D2F65">
              <w:rPr>
                <w:sz w:val="20"/>
                <w:szCs w:val="20"/>
                <w:lang w:val="en-US"/>
              </w:rPr>
              <w:t>Adult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133 (%)</w:t>
            </w:r>
          </w:p>
        </w:tc>
        <w:tc>
          <w:tcPr>
            <w:tcW w:w="702" w:type="pct"/>
            <w:tcBorders>
              <w:top w:val="single" w:sz="4" w:space="0" w:color="auto"/>
              <w:left w:val="single" w:sz="4" w:space="0" w:color="auto"/>
              <w:bottom w:val="single" w:sz="4" w:space="0" w:color="auto"/>
              <w:right w:val="single" w:sz="4" w:space="0" w:color="auto"/>
            </w:tcBorders>
          </w:tcPr>
          <w:p w14:paraId="501354B4" w14:textId="77777777" w:rsidR="006421E2" w:rsidRPr="007D2F65" w:rsidRDefault="006421E2" w:rsidP="007D2F65">
            <w:pPr>
              <w:ind w:left="0" w:right="0"/>
              <w:rPr>
                <w:sz w:val="20"/>
                <w:szCs w:val="20"/>
                <w:lang w:val="en-US"/>
              </w:rPr>
            </w:pPr>
            <w:r w:rsidRPr="007D2F65">
              <w:rPr>
                <w:sz w:val="20"/>
                <w:szCs w:val="20"/>
                <w:lang w:val="en-US"/>
              </w:rPr>
              <w:t xml:space="preserve">Other Adult </w:t>
            </w:r>
            <w:proofErr w:type="spellStart"/>
            <w:r w:rsidRPr="007D2F65">
              <w:rPr>
                <w:sz w:val="20"/>
                <w:szCs w:val="20"/>
                <w:lang w:val="en-US"/>
              </w:rPr>
              <w:t>nonNTRK</w:t>
            </w:r>
            <w:proofErr w:type="spellEnd"/>
            <w:r w:rsidRPr="007D2F65">
              <w:rPr>
                <w:sz w:val="20"/>
                <w:szCs w:val="20"/>
                <w:lang w:val="en-US"/>
              </w:rPr>
              <w:t>, nonROS1</w:t>
            </w:r>
          </w:p>
          <w:p w14:paraId="10A55AFB" w14:textId="21BB2363" w:rsidR="006421E2" w:rsidRPr="007D2F65" w:rsidRDefault="00F2463B" w:rsidP="007D2F65">
            <w:pPr>
              <w:ind w:left="0" w:right="0"/>
              <w:rPr>
                <w:sz w:val="20"/>
                <w:szCs w:val="20"/>
                <w:lang w:val="en-US"/>
              </w:rPr>
            </w:pPr>
            <w:r w:rsidRPr="007D2F65">
              <w:rPr>
                <w:sz w:val="20"/>
                <w:szCs w:val="20"/>
                <w:lang w:val="en-US"/>
              </w:rPr>
              <w:t xml:space="preserve">n </w:t>
            </w:r>
            <w:r w:rsidR="006421E2" w:rsidRPr="007D2F65">
              <w:rPr>
                <w:sz w:val="20"/>
                <w:szCs w:val="20"/>
                <w:lang w:val="en-US"/>
              </w:rPr>
              <w:t>=</w:t>
            </w:r>
            <w:r w:rsidRPr="007D2F65">
              <w:rPr>
                <w:sz w:val="20"/>
                <w:szCs w:val="20"/>
                <w:lang w:val="en-US"/>
              </w:rPr>
              <w:t xml:space="preserve"> </w:t>
            </w:r>
            <w:r w:rsidR="006421E2" w:rsidRPr="007D2F65">
              <w:rPr>
                <w:sz w:val="20"/>
                <w:szCs w:val="20"/>
                <w:lang w:val="en-US"/>
              </w:rPr>
              <w:t>137 (%)</w:t>
            </w:r>
          </w:p>
        </w:tc>
        <w:tc>
          <w:tcPr>
            <w:tcW w:w="702" w:type="pct"/>
            <w:tcBorders>
              <w:top w:val="single" w:sz="4" w:space="0" w:color="auto"/>
              <w:left w:val="single" w:sz="4" w:space="0" w:color="auto"/>
              <w:bottom w:val="single" w:sz="4" w:space="0" w:color="auto"/>
              <w:right w:val="single" w:sz="4" w:space="0" w:color="auto"/>
            </w:tcBorders>
          </w:tcPr>
          <w:p w14:paraId="3ED247BB" w14:textId="6455823A" w:rsidR="006421E2" w:rsidRPr="007D2F65" w:rsidRDefault="006421E2" w:rsidP="007D2F65">
            <w:pPr>
              <w:ind w:left="0" w:right="0"/>
              <w:rPr>
                <w:sz w:val="20"/>
                <w:szCs w:val="20"/>
                <w:lang w:val="en-US"/>
              </w:rPr>
            </w:pPr>
            <w:proofErr w:type="spellStart"/>
            <w:r w:rsidRPr="007D2F65">
              <w:rPr>
                <w:sz w:val="20"/>
                <w:szCs w:val="20"/>
                <w:lang w:val="en-US"/>
              </w:rPr>
              <w:t>P</w:t>
            </w:r>
            <w:r w:rsidR="00B20392">
              <w:rPr>
                <w:sz w:val="20"/>
                <w:szCs w:val="20"/>
                <w:lang w:val="en-US"/>
              </w:rPr>
              <w:t>a</w:t>
            </w:r>
            <w:r w:rsidRPr="007D2F65">
              <w:rPr>
                <w:sz w:val="20"/>
                <w:szCs w:val="20"/>
                <w:lang w:val="en-US"/>
              </w:rPr>
              <w:t>ediatric</w:t>
            </w:r>
            <w:proofErr w:type="spellEnd"/>
            <w:r w:rsidRPr="007D2F65">
              <w:rPr>
                <w:sz w:val="20"/>
                <w:szCs w:val="20"/>
                <w:lang w:val="en-US"/>
              </w:rPr>
              <w:t xml:space="preserve">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17 (%)</w:t>
            </w:r>
          </w:p>
        </w:tc>
        <w:tc>
          <w:tcPr>
            <w:tcW w:w="635" w:type="pct"/>
            <w:tcBorders>
              <w:top w:val="single" w:sz="4" w:space="0" w:color="auto"/>
              <w:left w:val="single" w:sz="4" w:space="0" w:color="auto"/>
              <w:bottom w:val="single" w:sz="4" w:space="0" w:color="auto"/>
              <w:right w:val="single" w:sz="4" w:space="0" w:color="auto"/>
            </w:tcBorders>
          </w:tcPr>
          <w:p w14:paraId="15B35352" w14:textId="4B0813B1" w:rsidR="006421E2" w:rsidRPr="007D2F65" w:rsidRDefault="006421E2" w:rsidP="007D2F65">
            <w:pPr>
              <w:ind w:left="0" w:right="0"/>
              <w:rPr>
                <w:sz w:val="20"/>
                <w:szCs w:val="20"/>
                <w:lang w:val="en-US"/>
              </w:rPr>
            </w:pPr>
            <w:r w:rsidRPr="007D2F65">
              <w:rPr>
                <w:sz w:val="20"/>
                <w:szCs w:val="20"/>
                <w:lang w:val="en-US"/>
              </w:rPr>
              <w:t>All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355 (%)</w:t>
            </w:r>
          </w:p>
        </w:tc>
      </w:tr>
      <w:tr w:rsidR="00007D7D" w:rsidRPr="00B20392" w14:paraId="06AC56C6" w14:textId="77777777" w:rsidTr="007D2F65">
        <w:trPr>
          <w:trHeight w:val="20"/>
        </w:trPr>
        <w:tc>
          <w:tcPr>
            <w:tcW w:w="1635" w:type="pct"/>
            <w:tcBorders>
              <w:top w:val="single" w:sz="4" w:space="0" w:color="auto"/>
            </w:tcBorders>
          </w:tcPr>
          <w:p w14:paraId="028D04BC" w14:textId="77777777" w:rsidR="006421E2" w:rsidRPr="007D2F65" w:rsidRDefault="006421E2" w:rsidP="007D2F65">
            <w:pPr>
              <w:ind w:left="0" w:right="0"/>
              <w:rPr>
                <w:sz w:val="20"/>
                <w:szCs w:val="20"/>
                <w:lang w:val="en-US"/>
              </w:rPr>
            </w:pPr>
            <w:r w:rsidRPr="007D2F65">
              <w:rPr>
                <w:sz w:val="20"/>
                <w:szCs w:val="20"/>
                <w:lang w:val="en-US"/>
              </w:rPr>
              <w:t>Total n (%)</w:t>
            </w:r>
          </w:p>
        </w:tc>
        <w:tc>
          <w:tcPr>
            <w:tcW w:w="702" w:type="pct"/>
            <w:tcBorders>
              <w:top w:val="single" w:sz="4" w:space="0" w:color="auto"/>
            </w:tcBorders>
          </w:tcPr>
          <w:p w14:paraId="76FB5066" w14:textId="77777777" w:rsidR="006421E2" w:rsidRPr="007D2F65" w:rsidRDefault="006421E2" w:rsidP="007D2F65">
            <w:pPr>
              <w:ind w:left="0" w:right="0"/>
              <w:rPr>
                <w:sz w:val="20"/>
                <w:szCs w:val="20"/>
                <w:lang w:val="en-US"/>
              </w:rPr>
            </w:pPr>
            <w:r w:rsidRPr="007D2F65">
              <w:rPr>
                <w:sz w:val="20"/>
                <w:szCs w:val="20"/>
                <w:lang w:val="en-US"/>
              </w:rPr>
              <w:t>32 (47)</w:t>
            </w:r>
          </w:p>
        </w:tc>
        <w:tc>
          <w:tcPr>
            <w:tcW w:w="624" w:type="pct"/>
            <w:tcBorders>
              <w:top w:val="single" w:sz="4" w:space="0" w:color="auto"/>
            </w:tcBorders>
          </w:tcPr>
          <w:p w14:paraId="22484A6D" w14:textId="77777777" w:rsidR="006421E2" w:rsidRPr="007D2F65" w:rsidRDefault="006421E2" w:rsidP="007D2F65">
            <w:pPr>
              <w:ind w:left="0" w:right="0"/>
              <w:rPr>
                <w:sz w:val="20"/>
                <w:szCs w:val="20"/>
                <w:lang w:val="en-US"/>
              </w:rPr>
            </w:pPr>
            <w:r w:rsidRPr="007D2F65">
              <w:rPr>
                <w:sz w:val="20"/>
                <w:szCs w:val="20"/>
                <w:lang w:val="en-US"/>
              </w:rPr>
              <w:t>50 (37)</w:t>
            </w:r>
          </w:p>
        </w:tc>
        <w:tc>
          <w:tcPr>
            <w:tcW w:w="702" w:type="pct"/>
            <w:tcBorders>
              <w:top w:val="single" w:sz="4" w:space="0" w:color="auto"/>
            </w:tcBorders>
          </w:tcPr>
          <w:p w14:paraId="4A5BFB42" w14:textId="77777777" w:rsidR="006421E2" w:rsidRPr="007D2F65" w:rsidRDefault="006421E2" w:rsidP="007D2F65">
            <w:pPr>
              <w:ind w:left="0" w:right="0"/>
              <w:rPr>
                <w:sz w:val="20"/>
                <w:szCs w:val="20"/>
                <w:lang w:val="en-US"/>
              </w:rPr>
            </w:pPr>
            <w:r w:rsidRPr="007D2F65">
              <w:rPr>
                <w:sz w:val="20"/>
                <w:szCs w:val="20"/>
                <w:lang w:val="en-US"/>
              </w:rPr>
              <w:t>53 (39)</w:t>
            </w:r>
          </w:p>
        </w:tc>
        <w:tc>
          <w:tcPr>
            <w:tcW w:w="702" w:type="pct"/>
            <w:tcBorders>
              <w:top w:val="single" w:sz="4" w:space="0" w:color="auto"/>
            </w:tcBorders>
          </w:tcPr>
          <w:p w14:paraId="45C2EDA4" w14:textId="77777777" w:rsidR="006421E2" w:rsidRPr="007D2F65" w:rsidRDefault="006421E2" w:rsidP="007D2F65">
            <w:pPr>
              <w:ind w:left="0" w:right="0"/>
              <w:rPr>
                <w:sz w:val="20"/>
                <w:szCs w:val="20"/>
                <w:lang w:val="en-US"/>
              </w:rPr>
            </w:pPr>
            <w:r w:rsidRPr="007D2F65">
              <w:rPr>
                <w:sz w:val="20"/>
                <w:szCs w:val="20"/>
                <w:lang w:val="en-US"/>
              </w:rPr>
              <w:t>2 (13)</w:t>
            </w:r>
          </w:p>
        </w:tc>
        <w:tc>
          <w:tcPr>
            <w:tcW w:w="635" w:type="pct"/>
            <w:tcBorders>
              <w:top w:val="single" w:sz="4" w:space="0" w:color="auto"/>
            </w:tcBorders>
          </w:tcPr>
          <w:p w14:paraId="62237E2C" w14:textId="77777777" w:rsidR="006421E2" w:rsidRPr="007D2F65" w:rsidRDefault="006421E2" w:rsidP="007D2F65">
            <w:pPr>
              <w:ind w:left="0" w:right="0"/>
              <w:rPr>
                <w:sz w:val="20"/>
                <w:szCs w:val="20"/>
                <w:lang w:val="en-US"/>
              </w:rPr>
            </w:pPr>
            <w:r w:rsidRPr="007D2F65">
              <w:rPr>
                <w:sz w:val="20"/>
                <w:szCs w:val="20"/>
                <w:lang w:val="en-US"/>
              </w:rPr>
              <w:t>137 (39)</w:t>
            </w:r>
          </w:p>
        </w:tc>
      </w:tr>
      <w:tr w:rsidR="006421E2" w:rsidRPr="00B20392" w14:paraId="5814D7F4" w14:textId="77777777" w:rsidTr="007D2F65">
        <w:trPr>
          <w:trHeight w:val="20"/>
        </w:trPr>
        <w:tc>
          <w:tcPr>
            <w:tcW w:w="1635" w:type="pct"/>
          </w:tcPr>
          <w:p w14:paraId="1C8995EA" w14:textId="77777777" w:rsidR="006421E2" w:rsidRPr="007D2F65" w:rsidRDefault="006421E2" w:rsidP="007D2F65">
            <w:pPr>
              <w:ind w:left="0" w:right="0"/>
              <w:rPr>
                <w:b/>
                <w:sz w:val="20"/>
                <w:szCs w:val="20"/>
                <w:lang w:val="en-US"/>
              </w:rPr>
            </w:pPr>
            <w:r w:rsidRPr="007D2F65">
              <w:rPr>
                <w:b/>
                <w:sz w:val="20"/>
                <w:szCs w:val="20"/>
                <w:lang w:val="en-US"/>
              </w:rPr>
              <w:t>Respiratory and mediastinal disorders</w:t>
            </w:r>
          </w:p>
        </w:tc>
        <w:tc>
          <w:tcPr>
            <w:tcW w:w="702" w:type="pct"/>
          </w:tcPr>
          <w:p w14:paraId="6548FD62" w14:textId="77777777" w:rsidR="006421E2" w:rsidRPr="007D2F65" w:rsidRDefault="006421E2" w:rsidP="007D2F65">
            <w:pPr>
              <w:ind w:left="0" w:right="0"/>
              <w:rPr>
                <w:sz w:val="20"/>
                <w:szCs w:val="20"/>
                <w:lang w:val="en-US"/>
              </w:rPr>
            </w:pPr>
            <w:r w:rsidRPr="007D2F65">
              <w:rPr>
                <w:sz w:val="20"/>
                <w:szCs w:val="20"/>
                <w:lang w:val="en-US"/>
              </w:rPr>
              <w:t>11 (16)</w:t>
            </w:r>
          </w:p>
        </w:tc>
        <w:tc>
          <w:tcPr>
            <w:tcW w:w="624" w:type="pct"/>
          </w:tcPr>
          <w:p w14:paraId="3C2D8E77" w14:textId="77777777" w:rsidR="006421E2" w:rsidRPr="007D2F65" w:rsidRDefault="006421E2" w:rsidP="007D2F65">
            <w:pPr>
              <w:ind w:left="0" w:right="0"/>
              <w:rPr>
                <w:sz w:val="20"/>
                <w:szCs w:val="20"/>
                <w:lang w:val="en-US"/>
              </w:rPr>
            </w:pPr>
            <w:r w:rsidRPr="007D2F65">
              <w:rPr>
                <w:sz w:val="20"/>
                <w:szCs w:val="20"/>
                <w:lang w:val="en-US"/>
              </w:rPr>
              <w:t>16 (12)</w:t>
            </w:r>
          </w:p>
        </w:tc>
        <w:tc>
          <w:tcPr>
            <w:tcW w:w="702" w:type="pct"/>
          </w:tcPr>
          <w:p w14:paraId="3ABF3A5B" w14:textId="77777777" w:rsidR="006421E2" w:rsidRPr="007D2F65" w:rsidRDefault="006421E2" w:rsidP="007D2F65">
            <w:pPr>
              <w:ind w:left="0" w:right="0"/>
              <w:rPr>
                <w:sz w:val="20"/>
                <w:szCs w:val="20"/>
                <w:lang w:val="en-US"/>
              </w:rPr>
            </w:pPr>
            <w:r w:rsidRPr="007D2F65">
              <w:rPr>
                <w:sz w:val="20"/>
                <w:szCs w:val="20"/>
                <w:lang w:val="en-US"/>
              </w:rPr>
              <w:t>17 (12)</w:t>
            </w:r>
          </w:p>
        </w:tc>
        <w:tc>
          <w:tcPr>
            <w:tcW w:w="702" w:type="pct"/>
          </w:tcPr>
          <w:p w14:paraId="552E87B4" w14:textId="77777777" w:rsidR="006421E2" w:rsidRPr="007D2F65" w:rsidRDefault="006421E2" w:rsidP="007D2F65">
            <w:pPr>
              <w:ind w:left="0" w:right="0"/>
              <w:rPr>
                <w:sz w:val="20"/>
                <w:szCs w:val="20"/>
                <w:lang w:val="en-US"/>
              </w:rPr>
            </w:pPr>
            <w:r w:rsidRPr="007D2F65">
              <w:rPr>
                <w:sz w:val="20"/>
                <w:szCs w:val="20"/>
                <w:lang w:val="en-US"/>
              </w:rPr>
              <w:t>2 (13)</w:t>
            </w:r>
          </w:p>
        </w:tc>
        <w:tc>
          <w:tcPr>
            <w:tcW w:w="635" w:type="pct"/>
          </w:tcPr>
          <w:p w14:paraId="7518EBA4" w14:textId="77777777" w:rsidR="006421E2" w:rsidRPr="007D2F65" w:rsidRDefault="006421E2" w:rsidP="007D2F65">
            <w:pPr>
              <w:ind w:left="0" w:right="0"/>
              <w:rPr>
                <w:sz w:val="20"/>
                <w:szCs w:val="20"/>
                <w:lang w:val="en-US"/>
              </w:rPr>
            </w:pPr>
            <w:r w:rsidRPr="007D2F65">
              <w:rPr>
                <w:sz w:val="20"/>
                <w:szCs w:val="20"/>
                <w:lang w:val="en-US"/>
              </w:rPr>
              <w:t>46 (13)</w:t>
            </w:r>
          </w:p>
        </w:tc>
      </w:tr>
      <w:tr w:rsidR="006421E2" w:rsidRPr="00B20392" w14:paraId="79BCBD7E" w14:textId="77777777" w:rsidTr="007D2F65">
        <w:trPr>
          <w:trHeight w:val="20"/>
        </w:trPr>
        <w:tc>
          <w:tcPr>
            <w:tcW w:w="1635" w:type="pct"/>
          </w:tcPr>
          <w:p w14:paraId="32ADA2B4" w14:textId="77777777" w:rsidR="006421E2" w:rsidRPr="007D2F65" w:rsidRDefault="006421E2" w:rsidP="001F1814">
            <w:pPr>
              <w:ind w:left="0" w:right="0"/>
              <w:rPr>
                <w:sz w:val="20"/>
                <w:szCs w:val="20"/>
                <w:lang w:val="en-US"/>
              </w:rPr>
            </w:pPr>
            <w:r w:rsidRPr="007D2F65">
              <w:rPr>
                <w:sz w:val="20"/>
                <w:szCs w:val="20"/>
                <w:lang w:val="en-US"/>
              </w:rPr>
              <w:t>Dyspnea</w:t>
            </w:r>
          </w:p>
        </w:tc>
        <w:tc>
          <w:tcPr>
            <w:tcW w:w="702" w:type="pct"/>
          </w:tcPr>
          <w:p w14:paraId="4A479EEB"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38A87ACF" w14:textId="77777777" w:rsidR="006421E2" w:rsidRPr="007D2F65" w:rsidRDefault="006421E2" w:rsidP="007D2F65">
            <w:pPr>
              <w:ind w:left="0" w:right="0"/>
              <w:rPr>
                <w:sz w:val="20"/>
                <w:szCs w:val="20"/>
                <w:lang w:val="en-US"/>
              </w:rPr>
            </w:pPr>
            <w:r w:rsidRPr="007D2F65">
              <w:rPr>
                <w:sz w:val="20"/>
                <w:szCs w:val="20"/>
                <w:lang w:val="en-US"/>
              </w:rPr>
              <w:t>6 (4.5)</w:t>
            </w:r>
          </w:p>
        </w:tc>
        <w:tc>
          <w:tcPr>
            <w:tcW w:w="702" w:type="pct"/>
          </w:tcPr>
          <w:p w14:paraId="327C1E15" w14:textId="77777777" w:rsidR="006421E2" w:rsidRPr="007D2F65" w:rsidRDefault="006421E2" w:rsidP="007D2F65">
            <w:pPr>
              <w:ind w:left="0" w:right="0"/>
              <w:rPr>
                <w:sz w:val="20"/>
                <w:szCs w:val="20"/>
                <w:lang w:val="en-US"/>
              </w:rPr>
            </w:pPr>
            <w:r w:rsidRPr="007D2F65">
              <w:rPr>
                <w:sz w:val="20"/>
                <w:szCs w:val="20"/>
                <w:lang w:val="en-US"/>
              </w:rPr>
              <w:t>5 (3.6)</w:t>
            </w:r>
          </w:p>
        </w:tc>
        <w:tc>
          <w:tcPr>
            <w:tcW w:w="702" w:type="pct"/>
          </w:tcPr>
          <w:p w14:paraId="5E9ADF06" w14:textId="77777777" w:rsidR="006421E2" w:rsidRPr="007D2F65" w:rsidRDefault="006421E2" w:rsidP="007D2F65">
            <w:pPr>
              <w:ind w:left="0" w:right="0"/>
              <w:rPr>
                <w:sz w:val="20"/>
                <w:szCs w:val="20"/>
                <w:lang w:val="en-US"/>
              </w:rPr>
            </w:pPr>
            <w:r w:rsidRPr="007D2F65">
              <w:rPr>
                <w:sz w:val="20"/>
                <w:szCs w:val="20"/>
                <w:lang w:val="en-US"/>
              </w:rPr>
              <w:t>0</w:t>
            </w:r>
          </w:p>
        </w:tc>
        <w:tc>
          <w:tcPr>
            <w:tcW w:w="635" w:type="pct"/>
          </w:tcPr>
          <w:p w14:paraId="766AC962" w14:textId="77777777" w:rsidR="006421E2" w:rsidRPr="007D2F65" w:rsidRDefault="006421E2" w:rsidP="007D2F65">
            <w:pPr>
              <w:ind w:left="0" w:right="0"/>
              <w:rPr>
                <w:sz w:val="20"/>
                <w:szCs w:val="20"/>
                <w:lang w:val="en-US"/>
              </w:rPr>
            </w:pPr>
            <w:r w:rsidRPr="007D2F65">
              <w:rPr>
                <w:sz w:val="20"/>
                <w:szCs w:val="20"/>
                <w:lang w:val="en-US"/>
              </w:rPr>
              <w:t>13 (3.7)</w:t>
            </w:r>
          </w:p>
        </w:tc>
      </w:tr>
      <w:tr w:rsidR="006421E2" w:rsidRPr="00B20392" w14:paraId="3DCBF272" w14:textId="77777777" w:rsidTr="007D2F65">
        <w:trPr>
          <w:trHeight w:val="20"/>
        </w:trPr>
        <w:tc>
          <w:tcPr>
            <w:tcW w:w="1635" w:type="pct"/>
          </w:tcPr>
          <w:p w14:paraId="58BE8594" w14:textId="77777777" w:rsidR="006421E2" w:rsidRPr="007D2F65" w:rsidRDefault="006421E2" w:rsidP="001F1814">
            <w:pPr>
              <w:ind w:left="0" w:right="0"/>
              <w:rPr>
                <w:sz w:val="20"/>
                <w:szCs w:val="20"/>
                <w:lang w:val="en-US"/>
              </w:rPr>
            </w:pPr>
            <w:r w:rsidRPr="007D2F65">
              <w:rPr>
                <w:sz w:val="20"/>
                <w:szCs w:val="20"/>
                <w:lang w:val="en-US"/>
              </w:rPr>
              <w:t>Acute respiratory failure/respiratory distress</w:t>
            </w:r>
          </w:p>
        </w:tc>
        <w:tc>
          <w:tcPr>
            <w:tcW w:w="702" w:type="pct"/>
          </w:tcPr>
          <w:p w14:paraId="201773E1" w14:textId="77777777" w:rsidR="006421E2" w:rsidRPr="007D2F65" w:rsidRDefault="006421E2" w:rsidP="007D2F65">
            <w:pPr>
              <w:ind w:left="0" w:right="0"/>
              <w:rPr>
                <w:sz w:val="20"/>
                <w:szCs w:val="20"/>
                <w:lang w:val="en-US"/>
              </w:rPr>
            </w:pPr>
            <w:r w:rsidRPr="007D2F65">
              <w:rPr>
                <w:sz w:val="20"/>
                <w:szCs w:val="20"/>
                <w:lang w:val="en-US"/>
              </w:rPr>
              <w:t>3 (4.4)</w:t>
            </w:r>
          </w:p>
        </w:tc>
        <w:tc>
          <w:tcPr>
            <w:tcW w:w="624" w:type="pct"/>
          </w:tcPr>
          <w:p w14:paraId="3EC554E8" w14:textId="77777777" w:rsidR="006421E2" w:rsidRPr="007D2F65" w:rsidRDefault="006421E2" w:rsidP="007D2F65">
            <w:pPr>
              <w:ind w:left="0" w:right="0"/>
              <w:rPr>
                <w:sz w:val="20"/>
                <w:szCs w:val="20"/>
                <w:lang w:val="en-US"/>
              </w:rPr>
            </w:pPr>
            <w:r w:rsidRPr="007D2F65">
              <w:rPr>
                <w:sz w:val="20"/>
                <w:szCs w:val="20"/>
                <w:lang w:val="en-US"/>
              </w:rPr>
              <w:t>0</w:t>
            </w:r>
          </w:p>
        </w:tc>
        <w:tc>
          <w:tcPr>
            <w:tcW w:w="702" w:type="pct"/>
          </w:tcPr>
          <w:p w14:paraId="33571DC7" w14:textId="77777777" w:rsidR="006421E2" w:rsidRPr="007D2F65" w:rsidRDefault="006421E2" w:rsidP="007D2F65">
            <w:pPr>
              <w:ind w:left="0" w:right="0"/>
              <w:rPr>
                <w:sz w:val="20"/>
                <w:szCs w:val="20"/>
                <w:lang w:val="en-US"/>
              </w:rPr>
            </w:pPr>
            <w:r w:rsidRPr="007D2F65">
              <w:rPr>
                <w:sz w:val="20"/>
                <w:szCs w:val="20"/>
                <w:lang w:val="en-US"/>
              </w:rPr>
              <w:t>4 (2.9)</w:t>
            </w:r>
          </w:p>
        </w:tc>
        <w:tc>
          <w:tcPr>
            <w:tcW w:w="702" w:type="pct"/>
          </w:tcPr>
          <w:p w14:paraId="301E1870" w14:textId="77777777" w:rsidR="006421E2" w:rsidRPr="007D2F65" w:rsidRDefault="006421E2" w:rsidP="007D2F65">
            <w:pPr>
              <w:ind w:left="0" w:right="0"/>
              <w:rPr>
                <w:sz w:val="20"/>
                <w:szCs w:val="20"/>
                <w:lang w:val="en-US"/>
              </w:rPr>
            </w:pPr>
            <w:r w:rsidRPr="007D2F65">
              <w:rPr>
                <w:sz w:val="20"/>
                <w:szCs w:val="20"/>
                <w:lang w:val="en-US"/>
              </w:rPr>
              <w:t>0</w:t>
            </w:r>
          </w:p>
        </w:tc>
        <w:tc>
          <w:tcPr>
            <w:tcW w:w="635" w:type="pct"/>
          </w:tcPr>
          <w:p w14:paraId="0D9C3C8F" w14:textId="77777777" w:rsidR="006421E2" w:rsidRPr="007D2F65" w:rsidRDefault="006421E2" w:rsidP="007D2F65">
            <w:pPr>
              <w:ind w:left="0" w:right="0"/>
              <w:rPr>
                <w:sz w:val="20"/>
                <w:szCs w:val="20"/>
                <w:lang w:val="en-US"/>
              </w:rPr>
            </w:pPr>
            <w:r w:rsidRPr="007D2F65">
              <w:rPr>
                <w:sz w:val="20"/>
                <w:szCs w:val="20"/>
                <w:lang w:val="en-US"/>
              </w:rPr>
              <w:t>7 (2)</w:t>
            </w:r>
          </w:p>
        </w:tc>
      </w:tr>
      <w:tr w:rsidR="006421E2" w:rsidRPr="00B20392" w14:paraId="2A8C6C11" w14:textId="77777777" w:rsidTr="007D2F65">
        <w:trPr>
          <w:trHeight w:val="20"/>
        </w:trPr>
        <w:tc>
          <w:tcPr>
            <w:tcW w:w="1635" w:type="pct"/>
          </w:tcPr>
          <w:p w14:paraId="5420D79B" w14:textId="77777777" w:rsidR="006421E2" w:rsidRPr="007D2F65" w:rsidRDefault="006421E2" w:rsidP="001F1814">
            <w:pPr>
              <w:ind w:left="0" w:right="0"/>
              <w:rPr>
                <w:sz w:val="20"/>
                <w:szCs w:val="20"/>
                <w:lang w:val="en-US"/>
              </w:rPr>
            </w:pPr>
            <w:r w:rsidRPr="007D2F65">
              <w:rPr>
                <w:sz w:val="20"/>
                <w:szCs w:val="20"/>
                <w:lang w:val="en-US"/>
              </w:rPr>
              <w:t>Pleural effusion</w:t>
            </w:r>
          </w:p>
        </w:tc>
        <w:tc>
          <w:tcPr>
            <w:tcW w:w="702" w:type="pct"/>
          </w:tcPr>
          <w:p w14:paraId="0AFC2722" w14:textId="77777777" w:rsidR="006421E2" w:rsidRPr="007D2F65" w:rsidRDefault="006421E2" w:rsidP="007D2F65">
            <w:pPr>
              <w:ind w:left="0" w:right="0"/>
              <w:rPr>
                <w:sz w:val="20"/>
                <w:szCs w:val="20"/>
                <w:lang w:val="en-US"/>
              </w:rPr>
            </w:pPr>
            <w:r w:rsidRPr="007D2F65">
              <w:rPr>
                <w:sz w:val="20"/>
                <w:szCs w:val="20"/>
                <w:lang w:val="en-US"/>
              </w:rPr>
              <w:t>3 (4.4)</w:t>
            </w:r>
          </w:p>
        </w:tc>
        <w:tc>
          <w:tcPr>
            <w:tcW w:w="624" w:type="pct"/>
          </w:tcPr>
          <w:p w14:paraId="06760451" w14:textId="77777777" w:rsidR="006421E2" w:rsidRPr="007D2F65" w:rsidRDefault="006421E2" w:rsidP="007D2F65">
            <w:pPr>
              <w:ind w:left="0" w:right="0"/>
              <w:rPr>
                <w:sz w:val="20"/>
                <w:szCs w:val="20"/>
                <w:lang w:val="en-US"/>
              </w:rPr>
            </w:pPr>
            <w:r w:rsidRPr="007D2F65">
              <w:rPr>
                <w:sz w:val="20"/>
                <w:szCs w:val="20"/>
                <w:lang w:val="en-US"/>
              </w:rPr>
              <w:t>5 (3.7)</w:t>
            </w:r>
          </w:p>
        </w:tc>
        <w:tc>
          <w:tcPr>
            <w:tcW w:w="702" w:type="pct"/>
          </w:tcPr>
          <w:p w14:paraId="78905D68" w14:textId="77777777" w:rsidR="006421E2" w:rsidRPr="007D2F65" w:rsidRDefault="006421E2" w:rsidP="007D2F65">
            <w:pPr>
              <w:ind w:left="0" w:right="0"/>
              <w:rPr>
                <w:sz w:val="20"/>
                <w:szCs w:val="20"/>
                <w:lang w:val="en-US"/>
              </w:rPr>
            </w:pPr>
            <w:r w:rsidRPr="007D2F65">
              <w:rPr>
                <w:sz w:val="20"/>
                <w:szCs w:val="20"/>
                <w:lang w:val="en-US"/>
              </w:rPr>
              <w:t>3 (2.1)</w:t>
            </w:r>
          </w:p>
        </w:tc>
        <w:tc>
          <w:tcPr>
            <w:tcW w:w="702" w:type="pct"/>
          </w:tcPr>
          <w:p w14:paraId="555C51A5" w14:textId="77777777" w:rsidR="006421E2" w:rsidRPr="007D2F65" w:rsidRDefault="006421E2" w:rsidP="007D2F65">
            <w:pPr>
              <w:ind w:left="0" w:right="0"/>
              <w:rPr>
                <w:sz w:val="20"/>
                <w:szCs w:val="20"/>
                <w:lang w:val="en-US"/>
              </w:rPr>
            </w:pPr>
            <w:r w:rsidRPr="007D2F65">
              <w:rPr>
                <w:sz w:val="20"/>
                <w:szCs w:val="20"/>
                <w:lang w:val="en-US"/>
              </w:rPr>
              <w:t>2 (13)</w:t>
            </w:r>
          </w:p>
        </w:tc>
        <w:tc>
          <w:tcPr>
            <w:tcW w:w="635" w:type="pct"/>
          </w:tcPr>
          <w:p w14:paraId="51B51250" w14:textId="77777777" w:rsidR="006421E2" w:rsidRPr="007D2F65" w:rsidRDefault="006421E2" w:rsidP="007D2F65">
            <w:pPr>
              <w:ind w:left="0" w:right="0"/>
              <w:rPr>
                <w:sz w:val="20"/>
                <w:szCs w:val="20"/>
                <w:lang w:val="en-US"/>
              </w:rPr>
            </w:pPr>
            <w:r w:rsidRPr="007D2F65">
              <w:rPr>
                <w:sz w:val="20"/>
                <w:szCs w:val="20"/>
                <w:lang w:val="en-US"/>
              </w:rPr>
              <w:t>12 (3.4)</w:t>
            </w:r>
          </w:p>
        </w:tc>
      </w:tr>
      <w:tr w:rsidR="006421E2" w:rsidRPr="00B20392" w14:paraId="4BFDEEC5" w14:textId="77777777" w:rsidTr="007D2F65">
        <w:trPr>
          <w:trHeight w:val="20"/>
        </w:trPr>
        <w:tc>
          <w:tcPr>
            <w:tcW w:w="1635" w:type="pct"/>
          </w:tcPr>
          <w:p w14:paraId="681A9C51" w14:textId="77777777" w:rsidR="006421E2" w:rsidRPr="007D2F65" w:rsidRDefault="006421E2" w:rsidP="001F1814">
            <w:pPr>
              <w:ind w:left="0" w:right="0"/>
              <w:rPr>
                <w:sz w:val="20"/>
                <w:szCs w:val="20"/>
                <w:lang w:val="en-US"/>
              </w:rPr>
            </w:pPr>
            <w:r w:rsidRPr="007D2F65">
              <w:rPr>
                <w:sz w:val="20"/>
                <w:szCs w:val="20"/>
                <w:lang w:val="en-US"/>
              </w:rPr>
              <w:t>Pulmonary embolism</w:t>
            </w:r>
          </w:p>
        </w:tc>
        <w:tc>
          <w:tcPr>
            <w:tcW w:w="702" w:type="pct"/>
          </w:tcPr>
          <w:p w14:paraId="5FEBCEF4"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746F4652" w14:textId="77777777" w:rsidR="006421E2" w:rsidRPr="007D2F65" w:rsidRDefault="006421E2" w:rsidP="007D2F65">
            <w:pPr>
              <w:ind w:left="0" w:right="0"/>
              <w:rPr>
                <w:sz w:val="20"/>
                <w:szCs w:val="20"/>
                <w:lang w:val="en-US"/>
              </w:rPr>
            </w:pPr>
            <w:r w:rsidRPr="007D2F65">
              <w:rPr>
                <w:sz w:val="20"/>
                <w:szCs w:val="20"/>
                <w:lang w:val="en-US"/>
              </w:rPr>
              <w:t>3 (2.2)</w:t>
            </w:r>
          </w:p>
        </w:tc>
        <w:tc>
          <w:tcPr>
            <w:tcW w:w="702" w:type="pct"/>
          </w:tcPr>
          <w:p w14:paraId="6BE9B644" w14:textId="77777777" w:rsidR="006421E2" w:rsidRPr="007D2F65" w:rsidRDefault="006421E2" w:rsidP="007D2F65">
            <w:pPr>
              <w:ind w:left="0" w:right="0"/>
              <w:rPr>
                <w:sz w:val="20"/>
                <w:szCs w:val="20"/>
                <w:lang w:val="en-US"/>
              </w:rPr>
            </w:pPr>
            <w:r w:rsidRPr="007D2F65">
              <w:rPr>
                <w:sz w:val="20"/>
                <w:szCs w:val="20"/>
                <w:lang w:val="en-US"/>
              </w:rPr>
              <w:t>3 (2.1)</w:t>
            </w:r>
          </w:p>
        </w:tc>
        <w:tc>
          <w:tcPr>
            <w:tcW w:w="702" w:type="pct"/>
          </w:tcPr>
          <w:p w14:paraId="00023FED" w14:textId="77777777" w:rsidR="006421E2" w:rsidRPr="007D2F65" w:rsidRDefault="006421E2" w:rsidP="007D2F65">
            <w:pPr>
              <w:ind w:left="0" w:right="0"/>
              <w:rPr>
                <w:sz w:val="20"/>
                <w:szCs w:val="20"/>
                <w:lang w:val="en-US"/>
              </w:rPr>
            </w:pPr>
            <w:r w:rsidRPr="007D2F65">
              <w:rPr>
                <w:sz w:val="20"/>
                <w:szCs w:val="20"/>
                <w:lang w:val="en-US"/>
              </w:rPr>
              <w:t>0</w:t>
            </w:r>
          </w:p>
        </w:tc>
        <w:tc>
          <w:tcPr>
            <w:tcW w:w="635" w:type="pct"/>
          </w:tcPr>
          <w:p w14:paraId="715B05E4" w14:textId="77777777" w:rsidR="006421E2" w:rsidRPr="007D2F65" w:rsidRDefault="006421E2" w:rsidP="007D2F65">
            <w:pPr>
              <w:ind w:left="0" w:right="0"/>
              <w:rPr>
                <w:sz w:val="20"/>
                <w:szCs w:val="20"/>
                <w:lang w:val="en-US"/>
              </w:rPr>
            </w:pPr>
            <w:r w:rsidRPr="007D2F65">
              <w:rPr>
                <w:sz w:val="20"/>
                <w:szCs w:val="20"/>
                <w:lang w:val="en-US"/>
              </w:rPr>
              <w:t>8 (2.2)</w:t>
            </w:r>
          </w:p>
        </w:tc>
      </w:tr>
      <w:tr w:rsidR="006421E2" w:rsidRPr="00B20392" w14:paraId="4D15AF9B" w14:textId="77777777" w:rsidTr="007D2F65">
        <w:trPr>
          <w:trHeight w:val="20"/>
        </w:trPr>
        <w:tc>
          <w:tcPr>
            <w:tcW w:w="1635" w:type="pct"/>
          </w:tcPr>
          <w:p w14:paraId="67BDD567" w14:textId="77777777" w:rsidR="006421E2" w:rsidRPr="007D2F65" w:rsidRDefault="006421E2" w:rsidP="001F1814">
            <w:pPr>
              <w:ind w:left="0" w:right="0"/>
              <w:rPr>
                <w:b/>
                <w:sz w:val="20"/>
                <w:szCs w:val="20"/>
                <w:lang w:val="en-US"/>
              </w:rPr>
            </w:pPr>
            <w:r w:rsidRPr="007D2F65">
              <w:rPr>
                <w:b/>
                <w:sz w:val="20"/>
                <w:szCs w:val="20"/>
                <w:lang w:val="en-US"/>
              </w:rPr>
              <w:t>Infections and infestations</w:t>
            </w:r>
          </w:p>
        </w:tc>
        <w:tc>
          <w:tcPr>
            <w:tcW w:w="702" w:type="pct"/>
          </w:tcPr>
          <w:p w14:paraId="78B0C873" w14:textId="77777777" w:rsidR="006421E2" w:rsidRPr="007D2F65" w:rsidRDefault="006421E2" w:rsidP="007D2F65">
            <w:pPr>
              <w:ind w:left="0" w:right="0"/>
              <w:rPr>
                <w:sz w:val="20"/>
                <w:szCs w:val="20"/>
                <w:lang w:val="en-US"/>
              </w:rPr>
            </w:pPr>
            <w:r w:rsidRPr="007D2F65">
              <w:rPr>
                <w:sz w:val="20"/>
                <w:szCs w:val="20"/>
                <w:lang w:val="en-US"/>
              </w:rPr>
              <w:t>11 (16)</w:t>
            </w:r>
          </w:p>
        </w:tc>
        <w:tc>
          <w:tcPr>
            <w:tcW w:w="624" w:type="pct"/>
          </w:tcPr>
          <w:p w14:paraId="3106E388" w14:textId="77777777" w:rsidR="006421E2" w:rsidRPr="007D2F65" w:rsidRDefault="006421E2" w:rsidP="007D2F65">
            <w:pPr>
              <w:ind w:left="0" w:right="0"/>
              <w:rPr>
                <w:sz w:val="20"/>
                <w:szCs w:val="20"/>
                <w:lang w:val="en-US"/>
              </w:rPr>
            </w:pPr>
            <w:r w:rsidRPr="007D2F65">
              <w:rPr>
                <w:sz w:val="20"/>
                <w:szCs w:val="20"/>
                <w:lang w:val="en-US"/>
              </w:rPr>
              <w:t>13 (10)</w:t>
            </w:r>
          </w:p>
        </w:tc>
        <w:tc>
          <w:tcPr>
            <w:tcW w:w="702" w:type="pct"/>
          </w:tcPr>
          <w:p w14:paraId="7053A6B4" w14:textId="77777777" w:rsidR="006421E2" w:rsidRPr="007D2F65" w:rsidRDefault="006421E2" w:rsidP="007D2F65">
            <w:pPr>
              <w:ind w:left="0" w:right="0"/>
              <w:rPr>
                <w:sz w:val="20"/>
                <w:szCs w:val="20"/>
                <w:lang w:val="en-US"/>
              </w:rPr>
            </w:pPr>
            <w:r w:rsidRPr="007D2F65">
              <w:rPr>
                <w:sz w:val="20"/>
                <w:szCs w:val="20"/>
                <w:lang w:val="en-US"/>
              </w:rPr>
              <w:t>11 (8)</w:t>
            </w:r>
          </w:p>
        </w:tc>
        <w:tc>
          <w:tcPr>
            <w:tcW w:w="702" w:type="pct"/>
          </w:tcPr>
          <w:p w14:paraId="542F4079" w14:textId="77777777" w:rsidR="006421E2" w:rsidRPr="007D2F65" w:rsidRDefault="006421E2" w:rsidP="007D2F65">
            <w:pPr>
              <w:ind w:left="0" w:right="0"/>
              <w:rPr>
                <w:sz w:val="20"/>
                <w:szCs w:val="20"/>
                <w:lang w:val="en-US"/>
              </w:rPr>
            </w:pPr>
            <w:r w:rsidRPr="007D2F65">
              <w:rPr>
                <w:sz w:val="20"/>
                <w:szCs w:val="20"/>
                <w:lang w:val="en-US"/>
              </w:rPr>
              <w:t>1 (6)</w:t>
            </w:r>
          </w:p>
        </w:tc>
        <w:tc>
          <w:tcPr>
            <w:tcW w:w="635" w:type="pct"/>
          </w:tcPr>
          <w:p w14:paraId="33C9502D" w14:textId="77777777" w:rsidR="006421E2" w:rsidRPr="007D2F65" w:rsidRDefault="006421E2" w:rsidP="007D2F65">
            <w:pPr>
              <w:ind w:left="0" w:right="0"/>
              <w:rPr>
                <w:sz w:val="20"/>
                <w:szCs w:val="20"/>
                <w:lang w:val="en-US"/>
              </w:rPr>
            </w:pPr>
            <w:r w:rsidRPr="007D2F65">
              <w:rPr>
                <w:sz w:val="20"/>
                <w:szCs w:val="20"/>
                <w:lang w:val="en-US"/>
              </w:rPr>
              <w:t>36 (10)</w:t>
            </w:r>
          </w:p>
        </w:tc>
      </w:tr>
      <w:tr w:rsidR="006421E2" w:rsidRPr="00B20392" w14:paraId="2AB0889A" w14:textId="77777777" w:rsidTr="007D2F65">
        <w:trPr>
          <w:trHeight w:val="20"/>
        </w:trPr>
        <w:tc>
          <w:tcPr>
            <w:tcW w:w="1635" w:type="pct"/>
          </w:tcPr>
          <w:p w14:paraId="53FE9E4E" w14:textId="77777777" w:rsidR="006421E2" w:rsidRPr="007D2F65" w:rsidRDefault="006421E2" w:rsidP="001F1814">
            <w:pPr>
              <w:ind w:left="0" w:right="0"/>
              <w:rPr>
                <w:sz w:val="20"/>
                <w:szCs w:val="20"/>
                <w:lang w:val="en-US"/>
              </w:rPr>
            </w:pPr>
            <w:r w:rsidRPr="007D2F65">
              <w:rPr>
                <w:sz w:val="20"/>
                <w:szCs w:val="20"/>
                <w:lang w:val="en-US"/>
              </w:rPr>
              <w:t>Pneumonia</w:t>
            </w:r>
          </w:p>
        </w:tc>
        <w:tc>
          <w:tcPr>
            <w:tcW w:w="702" w:type="pct"/>
          </w:tcPr>
          <w:p w14:paraId="6A0BFDBC"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6912089C" w14:textId="77777777" w:rsidR="006421E2" w:rsidRPr="007D2F65" w:rsidRDefault="006421E2" w:rsidP="007D2F65">
            <w:pPr>
              <w:ind w:left="0" w:right="0"/>
              <w:rPr>
                <w:sz w:val="20"/>
                <w:szCs w:val="20"/>
                <w:lang w:val="en-US"/>
              </w:rPr>
            </w:pPr>
            <w:r w:rsidRPr="007D2F65">
              <w:rPr>
                <w:sz w:val="20"/>
                <w:szCs w:val="20"/>
                <w:lang w:val="en-US"/>
              </w:rPr>
              <w:t>2 (1.5)</w:t>
            </w:r>
          </w:p>
        </w:tc>
        <w:tc>
          <w:tcPr>
            <w:tcW w:w="702" w:type="pct"/>
          </w:tcPr>
          <w:p w14:paraId="73E1376A" w14:textId="77777777" w:rsidR="006421E2" w:rsidRPr="007D2F65" w:rsidRDefault="006421E2" w:rsidP="007D2F65">
            <w:pPr>
              <w:ind w:left="0" w:right="0"/>
              <w:rPr>
                <w:sz w:val="20"/>
                <w:szCs w:val="20"/>
                <w:lang w:val="en-US"/>
              </w:rPr>
            </w:pPr>
            <w:r w:rsidRPr="007D2F65">
              <w:rPr>
                <w:sz w:val="20"/>
                <w:szCs w:val="20"/>
                <w:lang w:val="en-US"/>
              </w:rPr>
              <w:t>10 (7)</w:t>
            </w:r>
          </w:p>
        </w:tc>
        <w:tc>
          <w:tcPr>
            <w:tcW w:w="702" w:type="pct"/>
          </w:tcPr>
          <w:p w14:paraId="2217C92F" w14:textId="77777777" w:rsidR="006421E2" w:rsidRPr="007D2F65" w:rsidRDefault="006421E2" w:rsidP="007D2F65">
            <w:pPr>
              <w:ind w:left="0" w:right="0"/>
              <w:rPr>
                <w:sz w:val="20"/>
                <w:szCs w:val="20"/>
                <w:lang w:val="en-US"/>
              </w:rPr>
            </w:pPr>
            <w:r w:rsidRPr="007D2F65">
              <w:rPr>
                <w:sz w:val="20"/>
                <w:szCs w:val="20"/>
                <w:lang w:val="en-US"/>
              </w:rPr>
              <w:t>0</w:t>
            </w:r>
          </w:p>
        </w:tc>
        <w:tc>
          <w:tcPr>
            <w:tcW w:w="635" w:type="pct"/>
          </w:tcPr>
          <w:p w14:paraId="058DC44E" w14:textId="77777777" w:rsidR="006421E2" w:rsidRPr="007D2F65" w:rsidRDefault="006421E2" w:rsidP="007D2F65">
            <w:pPr>
              <w:ind w:left="0" w:right="0"/>
              <w:rPr>
                <w:sz w:val="20"/>
                <w:szCs w:val="20"/>
                <w:lang w:val="en-US"/>
              </w:rPr>
            </w:pPr>
            <w:r w:rsidRPr="007D2F65">
              <w:rPr>
                <w:sz w:val="20"/>
                <w:szCs w:val="20"/>
                <w:lang w:val="en-US"/>
              </w:rPr>
              <w:t>14 (3.9)</w:t>
            </w:r>
          </w:p>
        </w:tc>
      </w:tr>
      <w:tr w:rsidR="006421E2" w:rsidRPr="00B20392" w14:paraId="0BD7B215" w14:textId="77777777" w:rsidTr="007D2F65">
        <w:trPr>
          <w:trHeight w:val="20"/>
        </w:trPr>
        <w:tc>
          <w:tcPr>
            <w:tcW w:w="1635" w:type="pct"/>
          </w:tcPr>
          <w:p w14:paraId="5175527D" w14:textId="77777777" w:rsidR="006421E2" w:rsidRPr="007D2F65" w:rsidRDefault="006421E2" w:rsidP="001F1814">
            <w:pPr>
              <w:ind w:left="0" w:right="0"/>
              <w:rPr>
                <w:sz w:val="20"/>
                <w:szCs w:val="20"/>
                <w:lang w:val="en-US"/>
              </w:rPr>
            </w:pPr>
            <w:r w:rsidRPr="007D2F65">
              <w:rPr>
                <w:sz w:val="20"/>
                <w:szCs w:val="20"/>
                <w:lang w:val="en-US"/>
              </w:rPr>
              <w:t>Sepsis</w:t>
            </w:r>
          </w:p>
        </w:tc>
        <w:tc>
          <w:tcPr>
            <w:tcW w:w="702" w:type="pct"/>
          </w:tcPr>
          <w:p w14:paraId="1CEA5762" w14:textId="77777777" w:rsidR="006421E2" w:rsidRPr="007D2F65" w:rsidRDefault="006421E2" w:rsidP="007D2F65">
            <w:pPr>
              <w:ind w:left="0" w:right="0"/>
              <w:rPr>
                <w:sz w:val="20"/>
                <w:szCs w:val="20"/>
                <w:lang w:val="en-US"/>
              </w:rPr>
            </w:pPr>
            <w:r w:rsidRPr="007D2F65">
              <w:rPr>
                <w:sz w:val="20"/>
                <w:szCs w:val="20"/>
                <w:lang w:val="en-US"/>
              </w:rPr>
              <w:t>2(2.9)</w:t>
            </w:r>
          </w:p>
        </w:tc>
        <w:tc>
          <w:tcPr>
            <w:tcW w:w="624" w:type="pct"/>
          </w:tcPr>
          <w:p w14:paraId="65271980" w14:textId="77777777" w:rsidR="006421E2" w:rsidRPr="007D2F65" w:rsidRDefault="006421E2" w:rsidP="007D2F65">
            <w:pPr>
              <w:ind w:left="0" w:right="0"/>
              <w:rPr>
                <w:sz w:val="20"/>
                <w:szCs w:val="20"/>
                <w:lang w:val="en-US"/>
              </w:rPr>
            </w:pPr>
            <w:r w:rsidRPr="007D2F65">
              <w:rPr>
                <w:sz w:val="20"/>
                <w:szCs w:val="20"/>
                <w:lang w:val="en-US"/>
              </w:rPr>
              <w:t>1 (0.7)</w:t>
            </w:r>
          </w:p>
        </w:tc>
        <w:tc>
          <w:tcPr>
            <w:tcW w:w="702" w:type="pct"/>
          </w:tcPr>
          <w:p w14:paraId="280A279B" w14:textId="77777777" w:rsidR="006421E2" w:rsidRPr="007D2F65" w:rsidRDefault="006421E2" w:rsidP="007D2F65">
            <w:pPr>
              <w:ind w:left="0" w:right="0"/>
              <w:rPr>
                <w:sz w:val="20"/>
                <w:szCs w:val="20"/>
                <w:lang w:val="en-US"/>
              </w:rPr>
            </w:pPr>
            <w:r w:rsidRPr="007D2F65">
              <w:rPr>
                <w:sz w:val="20"/>
                <w:szCs w:val="20"/>
                <w:lang w:val="en-US"/>
              </w:rPr>
              <w:t>6 (4.4)</w:t>
            </w:r>
          </w:p>
        </w:tc>
        <w:tc>
          <w:tcPr>
            <w:tcW w:w="702" w:type="pct"/>
          </w:tcPr>
          <w:p w14:paraId="289E3290" w14:textId="77777777" w:rsidR="006421E2" w:rsidRPr="007D2F65" w:rsidRDefault="006421E2" w:rsidP="007D2F65">
            <w:pPr>
              <w:ind w:left="0" w:right="0"/>
              <w:rPr>
                <w:sz w:val="20"/>
                <w:szCs w:val="20"/>
                <w:lang w:val="en-US"/>
              </w:rPr>
            </w:pPr>
            <w:r w:rsidRPr="007D2F65">
              <w:rPr>
                <w:sz w:val="20"/>
                <w:szCs w:val="20"/>
                <w:lang w:val="en-US"/>
              </w:rPr>
              <w:t>0</w:t>
            </w:r>
          </w:p>
        </w:tc>
        <w:tc>
          <w:tcPr>
            <w:tcW w:w="635" w:type="pct"/>
          </w:tcPr>
          <w:p w14:paraId="58067C34" w14:textId="77777777" w:rsidR="006421E2" w:rsidRPr="007D2F65" w:rsidRDefault="006421E2" w:rsidP="007D2F65">
            <w:pPr>
              <w:ind w:left="0" w:right="0"/>
              <w:rPr>
                <w:sz w:val="20"/>
                <w:szCs w:val="20"/>
                <w:lang w:val="en-US"/>
              </w:rPr>
            </w:pPr>
            <w:r w:rsidRPr="007D2F65">
              <w:rPr>
                <w:sz w:val="20"/>
                <w:szCs w:val="20"/>
                <w:lang w:val="en-US"/>
              </w:rPr>
              <w:t>9 (2.5)</w:t>
            </w:r>
          </w:p>
        </w:tc>
      </w:tr>
      <w:tr w:rsidR="006421E2" w:rsidRPr="00B20392" w14:paraId="006661BC" w14:textId="77777777" w:rsidTr="007D2F65">
        <w:trPr>
          <w:trHeight w:val="20"/>
        </w:trPr>
        <w:tc>
          <w:tcPr>
            <w:tcW w:w="1635" w:type="pct"/>
          </w:tcPr>
          <w:p w14:paraId="6CD78546" w14:textId="77777777" w:rsidR="006421E2" w:rsidRPr="007D2F65" w:rsidRDefault="006421E2" w:rsidP="001F1814">
            <w:pPr>
              <w:ind w:left="0" w:right="0"/>
              <w:rPr>
                <w:b/>
                <w:sz w:val="20"/>
                <w:szCs w:val="20"/>
                <w:lang w:val="en-US"/>
              </w:rPr>
            </w:pPr>
            <w:r w:rsidRPr="007D2F65">
              <w:rPr>
                <w:b/>
                <w:sz w:val="20"/>
                <w:szCs w:val="20"/>
                <w:lang w:val="en-US"/>
              </w:rPr>
              <w:t>Nervous system and psychiatric disorders</w:t>
            </w:r>
          </w:p>
        </w:tc>
        <w:tc>
          <w:tcPr>
            <w:tcW w:w="702" w:type="pct"/>
          </w:tcPr>
          <w:p w14:paraId="2320D0BB" w14:textId="77777777" w:rsidR="006421E2" w:rsidRPr="007D2F65" w:rsidRDefault="006421E2" w:rsidP="007D2F65">
            <w:pPr>
              <w:ind w:left="0" w:right="0"/>
              <w:rPr>
                <w:sz w:val="20"/>
                <w:szCs w:val="20"/>
                <w:lang w:val="en-US"/>
              </w:rPr>
            </w:pPr>
            <w:r w:rsidRPr="007D2F65">
              <w:rPr>
                <w:sz w:val="20"/>
                <w:szCs w:val="20"/>
                <w:lang w:val="en-US"/>
              </w:rPr>
              <w:t>8 (12)</w:t>
            </w:r>
          </w:p>
        </w:tc>
        <w:tc>
          <w:tcPr>
            <w:tcW w:w="624" w:type="pct"/>
          </w:tcPr>
          <w:p w14:paraId="3CF46AFA" w14:textId="77777777" w:rsidR="006421E2" w:rsidRPr="007D2F65" w:rsidRDefault="006421E2" w:rsidP="007D2F65">
            <w:pPr>
              <w:ind w:left="0" w:right="0"/>
              <w:rPr>
                <w:sz w:val="20"/>
                <w:szCs w:val="20"/>
                <w:lang w:val="en-US"/>
              </w:rPr>
            </w:pPr>
            <w:r w:rsidRPr="007D2F65">
              <w:rPr>
                <w:sz w:val="20"/>
                <w:szCs w:val="20"/>
                <w:lang w:val="en-US"/>
              </w:rPr>
              <w:t>16 (12)</w:t>
            </w:r>
          </w:p>
        </w:tc>
        <w:tc>
          <w:tcPr>
            <w:tcW w:w="702" w:type="pct"/>
          </w:tcPr>
          <w:p w14:paraId="07B8D8E2" w14:textId="77777777" w:rsidR="006421E2" w:rsidRPr="007D2F65" w:rsidRDefault="006421E2" w:rsidP="007D2F65">
            <w:pPr>
              <w:ind w:left="0" w:right="0"/>
              <w:rPr>
                <w:sz w:val="20"/>
                <w:szCs w:val="20"/>
                <w:lang w:val="en-US"/>
              </w:rPr>
            </w:pPr>
            <w:r w:rsidRPr="007D2F65">
              <w:rPr>
                <w:sz w:val="20"/>
                <w:szCs w:val="20"/>
                <w:lang w:val="en-US"/>
              </w:rPr>
              <w:t>11 (8)</w:t>
            </w:r>
          </w:p>
        </w:tc>
        <w:tc>
          <w:tcPr>
            <w:tcW w:w="702" w:type="pct"/>
          </w:tcPr>
          <w:p w14:paraId="59650455" w14:textId="6210FFAE" w:rsidR="006421E2" w:rsidRPr="007D2F65" w:rsidRDefault="00E06B14" w:rsidP="007D2F65">
            <w:pPr>
              <w:ind w:left="0" w:right="0"/>
              <w:rPr>
                <w:sz w:val="20"/>
                <w:szCs w:val="20"/>
                <w:lang w:val="en-US"/>
              </w:rPr>
            </w:pPr>
            <w:r>
              <w:rPr>
                <w:sz w:val="20"/>
                <w:szCs w:val="20"/>
                <w:lang w:val="en-US"/>
              </w:rPr>
              <w:t>0</w:t>
            </w:r>
          </w:p>
        </w:tc>
        <w:tc>
          <w:tcPr>
            <w:tcW w:w="635" w:type="pct"/>
          </w:tcPr>
          <w:p w14:paraId="13640D7E" w14:textId="77777777" w:rsidR="006421E2" w:rsidRPr="007D2F65" w:rsidRDefault="006421E2" w:rsidP="007D2F65">
            <w:pPr>
              <w:ind w:left="0" w:right="0"/>
              <w:rPr>
                <w:sz w:val="20"/>
                <w:szCs w:val="20"/>
                <w:lang w:val="en-US"/>
              </w:rPr>
            </w:pPr>
            <w:r w:rsidRPr="007D2F65">
              <w:rPr>
                <w:sz w:val="20"/>
                <w:szCs w:val="20"/>
                <w:lang w:val="en-US"/>
              </w:rPr>
              <w:t>35 (10)</w:t>
            </w:r>
          </w:p>
        </w:tc>
      </w:tr>
      <w:tr w:rsidR="006421E2" w:rsidRPr="00B20392" w14:paraId="0FA85708" w14:textId="77777777" w:rsidTr="007D2F65">
        <w:trPr>
          <w:trHeight w:val="20"/>
        </w:trPr>
        <w:tc>
          <w:tcPr>
            <w:tcW w:w="1635" w:type="pct"/>
          </w:tcPr>
          <w:p w14:paraId="72C01D4B" w14:textId="77777777" w:rsidR="006421E2" w:rsidRPr="007D2F65" w:rsidRDefault="006421E2" w:rsidP="001F1814">
            <w:pPr>
              <w:ind w:left="0" w:right="0"/>
              <w:rPr>
                <w:sz w:val="20"/>
                <w:szCs w:val="20"/>
                <w:lang w:val="en-US"/>
              </w:rPr>
            </w:pPr>
            <w:r w:rsidRPr="007D2F65">
              <w:rPr>
                <w:sz w:val="20"/>
                <w:szCs w:val="20"/>
                <w:lang w:val="en-US"/>
              </w:rPr>
              <w:t>Cognitive disorder</w:t>
            </w:r>
          </w:p>
        </w:tc>
        <w:tc>
          <w:tcPr>
            <w:tcW w:w="702" w:type="pct"/>
          </w:tcPr>
          <w:p w14:paraId="4F30C8B2" w14:textId="77777777" w:rsidR="006421E2" w:rsidRPr="007D2F65" w:rsidRDefault="006421E2" w:rsidP="007D2F65">
            <w:pPr>
              <w:ind w:left="0" w:right="0"/>
              <w:rPr>
                <w:sz w:val="20"/>
                <w:szCs w:val="20"/>
                <w:lang w:val="en-US"/>
              </w:rPr>
            </w:pPr>
            <w:r w:rsidRPr="007D2F65">
              <w:rPr>
                <w:sz w:val="20"/>
                <w:szCs w:val="20"/>
                <w:lang w:val="en-US"/>
              </w:rPr>
              <w:t>1 (1.5)</w:t>
            </w:r>
          </w:p>
        </w:tc>
        <w:tc>
          <w:tcPr>
            <w:tcW w:w="624" w:type="pct"/>
          </w:tcPr>
          <w:p w14:paraId="1D904608" w14:textId="77777777" w:rsidR="006421E2" w:rsidRPr="007D2F65" w:rsidRDefault="006421E2" w:rsidP="007D2F65">
            <w:pPr>
              <w:ind w:left="0" w:right="0"/>
              <w:rPr>
                <w:sz w:val="20"/>
                <w:szCs w:val="20"/>
                <w:lang w:val="en-US"/>
              </w:rPr>
            </w:pPr>
            <w:r w:rsidRPr="007D2F65">
              <w:rPr>
                <w:sz w:val="20"/>
                <w:szCs w:val="20"/>
                <w:lang w:val="en-US"/>
              </w:rPr>
              <w:t>2(1.5)</w:t>
            </w:r>
          </w:p>
        </w:tc>
        <w:tc>
          <w:tcPr>
            <w:tcW w:w="702" w:type="pct"/>
          </w:tcPr>
          <w:p w14:paraId="42DB73ED" w14:textId="77777777" w:rsidR="006421E2" w:rsidRPr="007D2F65" w:rsidRDefault="006421E2" w:rsidP="007D2F65">
            <w:pPr>
              <w:ind w:left="0" w:right="0"/>
              <w:rPr>
                <w:sz w:val="20"/>
                <w:szCs w:val="20"/>
                <w:lang w:val="en-US"/>
              </w:rPr>
            </w:pPr>
            <w:r w:rsidRPr="007D2F65">
              <w:rPr>
                <w:sz w:val="20"/>
                <w:szCs w:val="20"/>
                <w:lang w:val="en-US"/>
              </w:rPr>
              <w:t>2 (1.4)</w:t>
            </w:r>
          </w:p>
        </w:tc>
        <w:tc>
          <w:tcPr>
            <w:tcW w:w="702" w:type="pct"/>
          </w:tcPr>
          <w:p w14:paraId="77FB2ED3" w14:textId="5AE9DA26" w:rsidR="006421E2" w:rsidRPr="007D2F65" w:rsidRDefault="00E06B14" w:rsidP="007D2F65">
            <w:pPr>
              <w:ind w:left="0" w:right="0"/>
              <w:rPr>
                <w:sz w:val="20"/>
                <w:szCs w:val="20"/>
                <w:lang w:val="en-US"/>
              </w:rPr>
            </w:pPr>
            <w:r>
              <w:rPr>
                <w:sz w:val="20"/>
                <w:szCs w:val="20"/>
                <w:lang w:val="en-US"/>
              </w:rPr>
              <w:t>0</w:t>
            </w:r>
          </w:p>
        </w:tc>
        <w:tc>
          <w:tcPr>
            <w:tcW w:w="635" w:type="pct"/>
          </w:tcPr>
          <w:p w14:paraId="7A404BC9" w14:textId="77777777" w:rsidR="006421E2" w:rsidRPr="007D2F65" w:rsidRDefault="006421E2" w:rsidP="007D2F65">
            <w:pPr>
              <w:ind w:left="0" w:right="0"/>
              <w:rPr>
                <w:sz w:val="20"/>
                <w:szCs w:val="20"/>
                <w:lang w:val="en-US"/>
              </w:rPr>
            </w:pPr>
            <w:r w:rsidRPr="007D2F65">
              <w:rPr>
                <w:sz w:val="20"/>
                <w:szCs w:val="20"/>
                <w:lang w:val="en-US"/>
              </w:rPr>
              <w:t>5 (1.4)</w:t>
            </w:r>
          </w:p>
        </w:tc>
      </w:tr>
      <w:tr w:rsidR="006421E2" w:rsidRPr="00B20392" w14:paraId="2DD3B6D3" w14:textId="77777777" w:rsidTr="007D2F65">
        <w:trPr>
          <w:trHeight w:val="20"/>
        </w:trPr>
        <w:tc>
          <w:tcPr>
            <w:tcW w:w="1635" w:type="pct"/>
          </w:tcPr>
          <w:p w14:paraId="481F8EDE" w14:textId="77777777" w:rsidR="006421E2" w:rsidRPr="007D2F65" w:rsidRDefault="006421E2" w:rsidP="001F1814">
            <w:pPr>
              <w:ind w:left="0" w:right="0"/>
              <w:rPr>
                <w:sz w:val="20"/>
                <w:szCs w:val="20"/>
                <w:lang w:val="en-US"/>
              </w:rPr>
            </w:pPr>
            <w:r w:rsidRPr="007D2F65">
              <w:rPr>
                <w:sz w:val="20"/>
                <w:szCs w:val="20"/>
                <w:lang w:val="en-US"/>
              </w:rPr>
              <w:t>Syncope</w:t>
            </w:r>
          </w:p>
        </w:tc>
        <w:tc>
          <w:tcPr>
            <w:tcW w:w="702" w:type="pct"/>
          </w:tcPr>
          <w:p w14:paraId="7DB8C6FE" w14:textId="77777777" w:rsidR="006421E2" w:rsidRPr="007D2F65" w:rsidRDefault="006421E2" w:rsidP="007D2F65">
            <w:pPr>
              <w:ind w:left="0" w:right="0"/>
              <w:rPr>
                <w:sz w:val="20"/>
                <w:szCs w:val="20"/>
                <w:lang w:val="en-US"/>
              </w:rPr>
            </w:pPr>
            <w:r w:rsidRPr="007D2F65">
              <w:rPr>
                <w:sz w:val="20"/>
                <w:szCs w:val="20"/>
                <w:lang w:val="en-US"/>
              </w:rPr>
              <w:t>0 (0)</w:t>
            </w:r>
          </w:p>
        </w:tc>
        <w:tc>
          <w:tcPr>
            <w:tcW w:w="624" w:type="pct"/>
          </w:tcPr>
          <w:p w14:paraId="34B6F124" w14:textId="77777777" w:rsidR="006421E2" w:rsidRPr="007D2F65" w:rsidRDefault="006421E2" w:rsidP="007D2F65">
            <w:pPr>
              <w:ind w:left="0" w:right="0"/>
              <w:rPr>
                <w:sz w:val="20"/>
                <w:szCs w:val="20"/>
                <w:lang w:val="en-US"/>
              </w:rPr>
            </w:pPr>
            <w:r w:rsidRPr="007D2F65">
              <w:rPr>
                <w:sz w:val="20"/>
                <w:szCs w:val="20"/>
                <w:lang w:val="en-US"/>
              </w:rPr>
              <w:t>2 (1.5)</w:t>
            </w:r>
          </w:p>
        </w:tc>
        <w:tc>
          <w:tcPr>
            <w:tcW w:w="702" w:type="pct"/>
          </w:tcPr>
          <w:p w14:paraId="694DB716" w14:textId="77777777" w:rsidR="006421E2" w:rsidRPr="007D2F65" w:rsidRDefault="006421E2" w:rsidP="007D2F65">
            <w:pPr>
              <w:ind w:left="0" w:right="0"/>
              <w:rPr>
                <w:sz w:val="20"/>
                <w:szCs w:val="20"/>
                <w:lang w:val="en-US"/>
              </w:rPr>
            </w:pPr>
            <w:r w:rsidRPr="007D2F65">
              <w:rPr>
                <w:sz w:val="20"/>
                <w:szCs w:val="20"/>
                <w:lang w:val="en-US"/>
              </w:rPr>
              <w:t>1 (0.7)</w:t>
            </w:r>
          </w:p>
        </w:tc>
        <w:tc>
          <w:tcPr>
            <w:tcW w:w="702" w:type="pct"/>
          </w:tcPr>
          <w:p w14:paraId="6575ABFE" w14:textId="0D529A47" w:rsidR="006421E2" w:rsidRPr="007D2F65" w:rsidRDefault="00E06B14" w:rsidP="007D2F65">
            <w:pPr>
              <w:ind w:left="0" w:right="0"/>
              <w:rPr>
                <w:sz w:val="20"/>
                <w:szCs w:val="20"/>
                <w:lang w:val="en-US"/>
              </w:rPr>
            </w:pPr>
            <w:r>
              <w:rPr>
                <w:sz w:val="20"/>
                <w:szCs w:val="20"/>
                <w:lang w:val="en-US"/>
              </w:rPr>
              <w:t>0</w:t>
            </w:r>
          </w:p>
        </w:tc>
        <w:tc>
          <w:tcPr>
            <w:tcW w:w="635" w:type="pct"/>
          </w:tcPr>
          <w:p w14:paraId="6E5429C7" w14:textId="77777777" w:rsidR="006421E2" w:rsidRPr="007D2F65" w:rsidRDefault="006421E2" w:rsidP="007D2F65">
            <w:pPr>
              <w:ind w:left="0" w:right="0"/>
              <w:rPr>
                <w:sz w:val="20"/>
                <w:szCs w:val="20"/>
                <w:lang w:val="en-US"/>
              </w:rPr>
            </w:pPr>
            <w:r w:rsidRPr="007D2F65">
              <w:rPr>
                <w:sz w:val="20"/>
                <w:szCs w:val="20"/>
                <w:lang w:val="en-US"/>
              </w:rPr>
              <w:t>3 (0.8)</w:t>
            </w:r>
          </w:p>
        </w:tc>
      </w:tr>
      <w:tr w:rsidR="006421E2" w:rsidRPr="00B20392" w14:paraId="5B0AD7D3" w14:textId="77777777" w:rsidTr="007D2F65">
        <w:trPr>
          <w:trHeight w:val="20"/>
        </w:trPr>
        <w:tc>
          <w:tcPr>
            <w:tcW w:w="1635" w:type="pct"/>
          </w:tcPr>
          <w:p w14:paraId="2E197620" w14:textId="77777777" w:rsidR="006421E2" w:rsidRPr="007D2F65" w:rsidRDefault="006421E2" w:rsidP="001F1814">
            <w:pPr>
              <w:ind w:left="0" w:right="0"/>
              <w:rPr>
                <w:sz w:val="20"/>
                <w:szCs w:val="20"/>
                <w:lang w:val="en-US"/>
              </w:rPr>
            </w:pPr>
            <w:r w:rsidRPr="007D2F65">
              <w:rPr>
                <w:sz w:val="20"/>
                <w:szCs w:val="20"/>
                <w:lang w:val="en-US"/>
              </w:rPr>
              <w:t>Ataxia</w:t>
            </w:r>
          </w:p>
        </w:tc>
        <w:tc>
          <w:tcPr>
            <w:tcW w:w="702" w:type="pct"/>
          </w:tcPr>
          <w:p w14:paraId="21D56951" w14:textId="77777777" w:rsidR="006421E2" w:rsidRPr="007D2F65" w:rsidRDefault="006421E2" w:rsidP="007D2F65">
            <w:pPr>
              <w:ind w:left="0" w:right="0"/>
              <w:rPr>
                <w:sz w:val="20"/>
                <w:szCs w:val="20"/>
                <w:lang w:val="en-US"/>
              </w:rPr>
            </w:pPr>
            <w:r w:rsidRPr="007D2F65">
              <w:rPr>
                <w:sz w:val="20"/>
                <w:szCs w:val="20"/>
                <w:lang w:val="en-US"/>
              </w:rPr>
              <w:t>1 (1.5)</w:t>
            </w:r>
          </w:p>
        </w:tc>
        <w:tc>
          <w:tcPr>
            <w:tcW w:w="624" w:type="pct"/>
          </w:tcPr>
          <w:p w14:paraId="13360B0A" w14:textId="77777777" w:rsidR="006421E2" w:rsidRPr="007D2F65" w:rsidRDefault="006421E2" w:rsidP="007D2F65">
            <w:pPr>
              <w:ind w:left="0" w:right="0"/>
              <w:rPr>
                <w:sz w:val="20"/>
                <w:szCs w:val="20"/>
                <w:lang w:val="en-US"/>
              </w:rPr>
            </w:pPr>
            <w:r w:rsidRPr="007D2F65">
              <w:rPr>
                <w:sz w:val="20"/>
                <w:szCs w:val="20"/>
                <w:lang w:val="en-US"/>
              </w:rPr>
              <w:t>1 (0.7)</w:t>
            </w:r>
          </w:p>
        </w:tc>
        <w:tc>
          <w:tcPr>
            <w:tcW w:w="702" w:type="pct"/>
          </w:tcPr>
          <w:p w14:paraId="1B524478" w14:textId="77777777" w:rsidR="006421E2" w:rsidRPr="007D2F65" w:rsidRDefault="006421E2" w:rsidP="007D2F65">
            <w:pPr>
              <w:ind w:left="0" w:right="0"/>
              <w:rPr>
                <w:sz w:val="20"/>
                <w:szCs w:val="20"/>
                <w:lang w:val="en-US"/>
              </w:rPr>
            </w:pPr>
            <w:r w:rsidRPr="007D2F65">
              <w:rPr>
                <w:sz w:val="20"/>
                <w:szCs w:val="20"/>
                <w:lang w:val="en-US"/>
              </w:rPr>
              <w:t>1 (0.7)</w:t>
            </w:r>
          </w:p>
        </w:tc>
        <w:tc>
          <w:tcPr>
            <w:tcW w:w="702" w:type="pct"/>
          </w:tcPr>
          <w:p w14:paraId="3E196E29" w14:textId="0530CD36" w:rsidR="006421E2" w:rsidRPr="007D2F65" w:rsidRDefault="00E06B14" w:rsidP="007D2F65">
            <w:pPr>
              <w:ind w:left="0" w:right="0"/>
              <w:rPr>
                <w:sz w:val="20"/>
                <w:szCs w:val="20"/>
                <w:lang w:val="en-US"/>
              </w:rPr>
            </w:pPr>
            <w:r>
              <w:rPr>
                <w:sz w:val="20"/>
                <w:szCs w:val="20"/>
                <w:lang w:val="en-US"/>
              </w:rPr>
              <w:t>0</w:t>
            </w:r>
          </w:p>
        </w:tc>
        <w:tc>
          <w:tcPr>
            <w:tcW w:w="635" w:type="pct"/>
          </w:tcPr>
          <w:p w14:paraId="70A3E811" w14:textId="77777777" w:rsidR="006421E2" w:rsidRPr="007D2F65" w:rsidRDefault="006421E2" w:rsidP="007D2F65">
            <w:pPr>
              <w:ind w:left="0" w:right="0"/>
              <w:rPr>
                <w:sz w:val="20"/>
                <w:szCs w:val="20"/>
                <w:lang w:val="en-US"/>
              </w:rPr>
            </w:pPr>
            <w:r w:rsidRPr="007D2F65">
              <w:rPr>
                <w:sz w:val="20"/>
                <w:szCs w:val="20"/>
                <w:lang w:val="en-US"/>
              </w:rPr>
              <w:t>3 (0.8)</w:t>
            </w:r>
          </w:p>
        </w:tc>
      </w:tr>
      <w:tr w:rsidR="006421E2" w:rsidRPr="00B20392" w14:paraId="5E0FAB2E" w14:textId="77777777" w:rsidTr="007D2F65">
        <w:trPr>
          <w:trHeight w:val="20"/>
        </w:trPr>
        <w:tc>
          <w:tcPr>
            <w:tcW w:w="1635" w:type="pct"/>
          </w:tcPr>
          <w:p w14:paraId="4A069909" w14:textId="77777777" w:rsidR="006421E2" w:rsidRPr="007D2F65" w:rsidRDefault="006421E2" w:rsidP="001F1814">
            <w:pPr>
              <w:ind w:left="0" w:right="0"/>
              <w:rPr>
                <w:sz w:val="20"/>
                <w:szCs w:val="20"/>
                <w:lang w:val="en-US"/>
              </w:rPr>
            </w:pPr>
            <w:r w:rsidRPr="007D2F65">
              <w:rPr>
                <w:sz w:val="20"/>
                <w:szCs w:val="20"/>
                <w:lang w:val="en-US"/>
              </w:rPr>
              <w:t>Dizziness</w:t>
            </w:r>
          </w:p>
        </w:tc>
        <w:tc>
          <w:tcPr>
            <w:tcW w:w="702" w:type="pct"/>
          </w:tcPr>
          <w:p w14:paraId="7A29D0DF" w14:textId="77777777" w:rsidR="006421E2" w:rsidRPr="007D2F65" w:rsidRDefault="006421E2" w:rsidP="007D2F65">
            <w:pPr>
              <w:ind w:left="0" w:right="0"/>
              <w:rPr>
                <w:sz w:val="20"/>
                <w:szCs w:val="20"/>
                <w:lang w:val="en-US"/>
              </w:rPr>
            </w:pPr>
            <w:r w:rsidRPr="007D2F65">
              <w:rPr>
                <w:sz w:val="20"/>
                <w:szCs w:val="20"/>
                <w:lang w:val="en-US"/>
              </w:rPr>
              <w:t>1 (1.5)</w:t>
            </w:r>
          </w:p>
        </w:tc>
        <w:tc>
          <w:tcPr>
            <w:tcW w:w="624" w:type="pct"/>
          </w:tcPr>
          <w:p w14:paraId="313EFCB7" w14:textId="77777777" w:rsidR="006421E2" w:rsidRPr="007D2F65" w:rsidRDefault="006421E2" w:rsidP="007D2F65">
            <w:pPr>
              <w:ind w:left="0" w:right="0"/>
              <w:rPr>
                <w:sz w:val="20"/>
                <w:szCs w:val="20"/>
                <w:lang w:val="en-US"/>
              </w:rPr>
            </w:pPr>
            <w:r w:rsidRPr="007D2F65">
              <w:rPr>
                <w:sz w:val="20"/>
                <w:szCs w:val="20"/>
                <w:lang w:val="en-US"/>
              </w:rPr>
              <w:t>1 (0.7)</w:t>
            </w:r>
          </w:p>
        </w:tc>
        <w:tc>
          <w:tcPr>
            <w:tcW w:w="702" w:type="pct"/>
          </w:tcPr>
          <w:p w14:paraId="5871BC24" w14:textId="77777777" w:rsidR="006421E2" w:rsidRPr="007D2F65" w:rsidRDefault="006421E2" w:rsidP="007D2F65">
            <w:pPr>
              <w:ind w:left="0" w:right="0"/>
              <w:rPr>
                <w:sz w:val="20"/>
                <w:szCs w:val="20"/>
                <w:lang w:val="en-US"/>
              </w:rPr>
            </w:pPr>
            <w:r w:rsidRPr="007D2F65">
              <w:rPr>
                <w:sz w:val="20"/>
                <w:szCs w:val="20"/>
                <w:lang w:val="en-US"/>
              </w:rPr>
              <w:t>0</w:t>
            </w:r>
          </w:p>
        </w:tc>
        <w:tc>
          <w:tcPr>
            <w:tcW w:w="702" w:type="pct"/>
          </w:tcPr>
          <w:p w14:paraId="1E4B8BBE" w14:textId="306FE0AF" w:rsidR="006421E2" w:rsidRPr="007D2F65" w:rsidRDefault="00E06B14" w:rsidP="007D2F65">
            <w:pPr>
              <w:ind w:left="0" w:right="0"/>
              <w:rPr>
                <w:sz w:val="20"/>
                <w:szCs w:val="20"/>
                <w:lang w:val="en-US"/>
              </w:rPr>
            </w:pPr>
            <w:r>
              <w:rPr>
                <w:sz w:val="20"/>
                <w:szCs w:val="20"/>
                <w:lang w:val="en-US"/>
              </w:rPr>
              <w:t>0</w:t>
            </w:r>
          </w:p>
        </w:tc>
        <w:tc>
          <w:tcPr>
            <w:tcW w:w="635" w:type="pct"/>
          </w:tcPr>
          <w:p w14:paraId="533CC99F" w14:textId="77777777" w:rsidR="006421E2" w:rsidRPr="007D2F65" w:rsidRDefault="006421E2" w:rsidP="007D2F65">
            <w:pPr>
              <w:ind w:left="0" w:right="0"/>
              <w:rPr>
                <w:sz w:val="20"/>
                <w:szCs w:val="20"/>
                <w:lang w:val="en-US"/>
              </w:rPr>
            </w:pPr>
            <w:r w:rsidRPr="007D2F65">
              <w:rPr>
                <w:sz w:val="20"/>
                <w:szCs w:val="20"/>
                <w:lang w:val="en-US"/>
              </w:rPr>
              <w:t>2 (0.6)</w:t>
            </w:r>
          </w:p>
        </w:tc>
      </w:tr>
      <w:tr w:rsidR="006421E2" w:rsidRPr="00B20392" w14:paraId="59477ACD" w14:textId="77777777" w:rsidTr="007D2F65">
        <w:trPr>
          <w:trHeight w:val="20"/>
        </w:trPr>
        <w:tc>
          <w:tcPr>
            <w:tcW w:w="1635" w:type="pct"/>
          </w:tcPr>
          <w:p w14:paraId="1A26FC6C" w14:textId="77777777" w:rsidR="006421E2" w:rsidRPr="007D2F65" w:rsidRDefault="006421E2" w:rsidP="001F1814">
            <w:pPr>
              <w:ind w:left="0" w:right="0"/>
              <w:rPr>
                <w:sz w:val="20"/>
                <w:szCs w:val="20"/>
                <w:lang w:val="en-US"/>
              </w:rPr>
            </w:pPr>
            <w:r w:rsidRPr="007D2F65">
              <w:rPr>
                <w:sz w:val="20"/>
                <w:szCs w:val="20"/>
                <w:lang w:val="en-US"/>
              </w:rPr>
              <w:t>Mental status changes/confusion</w:t>
            </w:r>
          </w:p>
        </w:tc>
        <w:tc>
          <w:tcPr>
            <w:tcW w:w="702" w:type="pct"/>
          </w:tcPr>
          <w:p w14:paraId="64AE869C" w14:textId="77777777" w:rsidR="006421E2" w:rsidRPr="007D2F65" w:rsidRDefault="006421E2" w:rsidP="007D2F65">
            <w:pPr>
              <w:ind w:left="0" w:right="0"/>
              <w:rPr>
                <w:sz w:val="20"/>
                <w:szCs w:val="20"/>
                <w:lang w:val="en-US"/>
              </w:rPr>
            </w:pPr>
            <w:r w:rsidRPr="007D2F65">
              <w:rPr>
                <w:sz w:val="20"/>
                <w:szCs w:val="20"/>
                <w:lang w:val="en-US"/>
              </w:rPr>
              <w:t>1 (1.5)</w:t>
            </w:r>
          </w:p>
        </w:tc>
        <w:tc>
          <w:tcPr>
            <w:tcW w:w="624" w:type="pct"/>
          </w:tcPr>
          <w:p w14:paraId="166F0489" w14:textId="77777777" w:rsidR="006421E2" w:rsidRPr="007D2F65" w:rsidRDefault="006421E2" w:rsidP="007D2F65">
            <w:pPr>
              <w:ind w:left="0" w:right="0"/>
              <w:rPr>
                <w:sz w:val="20"/>
                <w:szCs w:val="20"/>
                <w:lang w:val="en-US"/>
              </w:rPr>
            </w:pPr>
            <w:r w:rsidRPr="007D2F65">
              <w:rPr>
                <w:sz w:val="20"/>
                <w:szCs w:val="20"/>
                <w:lang w:val="en-US"/>
              </w:rPr>
              <w:t>2 (1.5)</w:t>
            </w:r>
          </w:p>
        </w:tc>
        <w:tc>
          <w:tcPr>
            <w:tcW w:w="702" w:type="pct"/>
          </w:tcPr>
          <w:p w14:paraId="3C0DCAE5" w14:textId="77777777" w:rsidR="006421E2" w:rsidRPr="007D2F65" w:rsidRDefault="006421E2" w:rsidP="007D2F65">
            <w:pPr>
              <w:ind w:left="0" w:right="0"/>
              <w:rPr>
                <w:sz w:val="20"/>
                <w:szCs w:val="20"/>
                <w:lang w:val="en-US"/>
              </w:rPr>
            </w:pPr>
            <w:r w:rsidRPr="007D2F65">
              <w:rPr>
                <w:sz w:val="20"/>
                <w:szCs w:val="20"/>
                <w:lang w:val="en-US"/>
              </w:rPr>
              <w:t>3 (2.1)</w:t>
            </w:r>
          </w:p>
        </w:tc>
        <w:tc>
          <w:tcPr>
            <w:tcW w:w="702" w:type="pct"/>
          </w:tcPr>
          <w:p w14:paraId="782D85D6" w14:textId="69B7B866" w:rsidR="006421E2" w:rsidRPr="007D2F65" w:rsidRDefault="00E06B14" w:rsidP="007D2F65">
            <w:pPr>
              <w:ind w:left="0" w:right="0"/>
              <w:rPr>
                <w:sz w:val="20"/>
                <w:szCs w:val="20"/>
                <w:lang w:val="en-US"/>
              </w:rPr>
            </w:pPr>
            <w:r>
              <w:rPr>
                <w:sz w:val="20"/>
                <w:szCs w:val="20"/>
                <w:lang w:val="en-US"/>
              </w:rPr>
              <w:t>0</w:t>
            </w:r>
          </w:p>
        </w:tc>
        <w:tc>
          <w:tcPr>
            <w:tcW w:w="635" w:type="pct"/>
          </w:tcPr>
          <w:p w14:paraId="057449FF" w14:textId="77777777" w:rsidR="006421E2" w:rsidRPr="007D2F65" w:rsidRDefault="006421E2" w:rsidP="007D2F65">
            <w:pPr>
              <w:ind w:left="0" w:right="0"/>
              <w:rPr>
                <w:sz w:val="20"/>
                <w:szCs w:val="20"/>
                <w:lang w:val="en-US"/>
              </w:rPr>
            </w:pPr>
            <w:r w:rsidRPr="007D2F65">
              <w:rPr>
                <w:sz w:val="20"/>
                <w:szCs w:val="20"/>
                <w:lang w:val="en-US"/>
              </w:rPr>
              <w:t>5 (1.4)</w:t>
            </w:r>
          </w:p>
        </w:tc>
      </w:tr>
      <w:tr w:rsidR="006421E2" w:rsidRPr="00B20392" w14:paraId="29295D9B" w14:textId="77777777" w:rsidTr="007D2F65">
        <w:trPr>
          <w:trHeight w:val="20"/>
        </w:trPr>
        <w:tc>
          <w:tcPr>
            <w:tcW w:w="1635" w:type="pct"/>
          </w:tcPr>
          <w:p w14:paraId="263EE909" w14:textId="77777777" w:rsidR="006421E2" w:rsidRPr="007D2F65" w:rsidRDefault="006421E2" w:rsidP="001F1814">
            <w:pPr>
              <w:ind w:left="0" w:right="0"/>
              <w:rPr>
                <w:sz w:val="20"/>
                <w:szCs w:val="20"/>
                <w:lang w:val="en-US"/>
              </w:rPr>
            </w:pPr>
            <w:r w:rsidRPr="007D2F65">
              <w:rPr>
                <w:sz w:val="20"/>
                <w:szCs w:val="20"/>
                <w:lang w:val="en-US"/>
              </w:rPr>
              <w:t>Depression</w:t>
            </w:r>
          </w:p>
        </w:tc>
        <w:tc>
          <w:tcPr>
            <w:tcW w:w="702" w:type="pct"/>
          </w:tcPr>
          <w:p w14:paraId="567EBA96" w14:textId="77777777" w:rsidR="006421E2" w:rsidRPr="007D2F65" w:rsidRDefault="006421E2" w:rsidP="007D2F65">
            <w:pPr>
              <w:ind w:left="0" w:right="0"/>
              <w:rPr>
                <w:sz w:val="20"/>
                <w:szCs w:val="20"/>
                <w:lang w:val="en-US"/>
              </w:rPr>
            </w:pPr>
            <w:r w:rsidRPr="007D2F65">
              <w:rPr>
                <w:sz w:val="20"/>
                <w:szCs w:val="20"/>
                <w:lang w:val="en-US"/>
              </w:rPr>
              <w:t>1 (1.5)</w:t>
            </w:r>
          </w:p>
        </w:tc>
        <w:tc>
          <w:tcPr>
            <w:tcW w:w="624" w:type="pct"/>
          </w:tcPr>
          <w:p w14:paraId="56C8EECC" w14:textId="77777777" w:rsidR="006421E2" w:rsidRPr="007D2F65" w:rsidRDefault="006421E2" w:rsidP="007D2F65">
            <w:pPr>
              <w:ind w:left="0" w:right="0"/>
              <w:rPr>
                <w:sz w:val="20"/>
                <w:szCs w:val="20"/>
                <w:lang w:val="en-US"/>
              </w:rPr>
            </w:pPr>
            <w:r w:rsidRPr="007D2F65">
              <w:rPr>
                <w:sz w:val="20"/>
                <w:szCs w:val="20"/>
                <w:lang w:val="en-US"/>
              </w:rPr>
              <w:t>0</w:t>
            </w:r>
          </w:p>
        </w:tc>
        <w:tc>
          <w:tcPr>
            <w:tcW w:w="702" w:type="pct"/>
          </w:tcPr>
          <w:p w14:paraId="757DEDEF" w14:textId="77777777" w:rsidR="006421E2" w:rsidRPr="007D2F65" w:rsidRDefault="006421E2" w:rsidP="007D2F65">
            <w:pPr>
              <w:ind w:left="0" w:right="0"/>
              <w:rPr>
                <w:sz w:val="20"/>
                <w:szCs w:val="20"/>
                <w:lang w:val="en-US"/>
              </w:rPr>
            </w:pPr>
            <w:r w:rsidRPr="007D2F65">
              <w:rPr>
                <w:sz w:val="20"/>
                <w:szCs w:val="20"/>
                <w:lang w:val="en-US"/>
              </w:rPr>
              <w:t>0</w:t>
            </w:r>
          </w:p>
        </w:tc>
        <w:tc>
          <w:tcPr>
            <w:tcW w:w="702" w:type="pct"/>
          </w:tcPr>
          <w:p w14:paraId="7B1DE441" w14:textId="351ABCD6" w:rsidR="006421E2" w:rsidRPr="007D2F65" w:rsidRDefault="00E06B14" w:rsidP="007D2F65">
            <w:pPr>
              <w:ind w:left="0" w:right="0"/>
              <w:rPr>
                <w:sz w:val="20"/>
                <w:szCs w:val="20"/>
                <w:lang w:val="en-US"/>
              </w:rPr>
            </w:pPr>
            <w:r>
              <w:rPr>
                <w:sz w:val="20"/>
                <w:szCs w:val="20"/>
                <w:lang w:val="en-US"/>
              </w:rPr>
              <w:t>0</w:t>
            </w:r>
          </w:p>
        </w:tc>
        <w:tc>
          <w:tcPr>
            <w:tcW w:w="635" w:type="pct"/>
          </w:tcPr>
          <w:p w14:paraId="44CA8A53" w14:textId="77777777" w:rsidR="006421E2" w:rsidRPr="007D2F65" w:rsidRDefault="006421E2" w:rsidP="007D2F65">
            <w:pPr>
              <w:ind w:left="0" w:right="0"/>
              <w:rPr>
                <w:sz w:val="20"/>
                <w:szCs w:val="20"/>
                <w:lang w:val="en-US"/>
              </w:rPr>
            </w:pPr>
            <w:r w:rsidRPr="007D2F65">
              <w:rPr>
                <w:sz w:val="20"/>
                <w:szCs w:val="20"/>
                <w:lang w:val="en-US"/>
              </w:rPr>
              <w:t>1 (0.3)</w:t>
            </w:r>
          </w:p>
        </w:tc>
      </w:tr>
      <w:tr w:rsidR="006421E2" w:rsidRPr="00B20392" w14:paraId="522E240C" w14:textId="77777777" w:rsidTr="007D2F65">
        <w:trPr>
          <w:trHeight w:val="20"/>
        </w:trPr>
        <w:tc>
          <w:tcPr>
            <w:tcW w:w="1635" w:type="pct"/>
          </w:tcPr>
          <w:p w14:paraId="32F8D9C7" w14:textId="77777777" w:rsidR="006421E2" w:rsidRPr="007D2F65" w:rsidRDefault="006421E2" w:rsidP="007D2F65">
            <w:pPr>
              <w:ind w:left="0" w:right="0"/>
              <w:rPr>
                <w:b/>
                <w:sz w:val="20"/>
                <w:szCs w:val="20"/>
                <w:lang w:val="en-US"/>
              </w:rPr>
            </w:pPr>
            <w:r w:rsidRPr="007D2F65">
              <w:rPr>
                <w:b/>
                <w:sz w:val="20"/>
                <w:szCs w:val="20"/>
                <w:lang w:val="en-US"/>
              </w:rPr>
              <w:t>Cardiac disorders</w:t>
            </w:r>
          </w:p>
        </w:tc>
        <w:tc>
          <w:tcPr>
            <w:tcW w:w="702" w:type="pct"/>
          </w:tcPr>
          <w:p w14:paraId="0FC7724D" w14:textId="77777777" w:rsidR="006421E2" w:rsidRPr="007D2F65" w:rsidRDefault="006421E2" w:rsidP="007D2F65">
            <w:pPr>
              <w:ind w:left="0" w:right="0"/>
              <w:rPr>
                <w:sz w:val="20"/>
                <w:szCs w:val="20"/>
                <w:lang w:val="en-US"/>
              </w:rPr>
            </w:pPr>
            <w:r w:rsidRPr="007D2F65">
              <w:rPr>
                <w:sz w:val="20"/>
                <w:szCs w:val="20"/>
                <w:lang w:val="en-US"/>
              </w:rPr>
              <w:t>5 (7)</w:t>
            </w:r>
          </w:p>
        </w:tc>
        <w:tc>
          <w:tcPr>
            <w:tcW w:w="624" w:type="pct"/>
          </w:tcPr>
          <w:p w14:paraId="7178A0A1" w14:textId="77777777" w:rsidR="006421E2" w:rsidRPr="007D2F65" w:rsidRDefault="006421E2" w:rsidP="007D2F65">
            <w:pPr>
              <w:ind w:left="0" w:right="0"/>
              <w:rPr>
                <w:sz w:val="20"/>
                <w:szCs w:val="20"/>
                <w:lang w:val="en-US"/>
              </w:rPr>
            </w:pPr>
            <w:r w:rsidRPr="007D2F65">
              <w:rPr>
                <w:sz w:val="20"/>
                <w:szCs w:val="20"/>
                <w:lang w:val="en-US"/>
              </w:rPr>
              <w:t>6(4.5)</w:t>
            </w:r>
          </w:p>
        </w:tc>
        <w:tc>
          <w:tcPr>
            <w:tcW w:w="702" w:type="pct"/>
          </w:tcPr>
          <w:p w14:paraId="3BB72438" w14:textId="77777777" w:rsidR="006421E2" w:rsidRPr="007D2F65" w:rsidRDefault="006421E2" w:rsidP="007D2F65">
            <w:pPr>
              <w:ind w:left="0" w:right="0"/>
              <w:rPr>
                <w:sz w:val="20"/>
                <w:szCs w:val="20"/>
                <w:lang w:val="en-US"/>
              </w:rPr>
            </w:pPr>
            <w:r w:rsidRPr="007D2F65">
              <w:rPr>
                <w:sz w:val="20"/>
                <w:szCs w:val="20"/>
                <w:lang w:val="en-US"/>
              </w:rPr>
              <w:t>2 (1.4)</w:t>
            </w:r>
          </w:p>
        </w:tc>
        <w:tc>
          <w:tcPr>
            <w:tcW w:w="702" w:type="pct"/>
          </w:tcPr>
          <w:p w14:paraId="7BF54930" w14:textId="0AC73127" w:rsidR="006421E2" w:rsidRPr="007D2F65" w:rsidRDefault="00E06B14" w:rsidP="007D2F65">
            <w:pPr>
              <w:ind w:left="0" w:right="0"/>
              <w:rPr>
                <w:sz w:val="20"/>
                <w:szCs w:val="20"/>
                <w:lang w:val="en-US"/>
              </w:rPr>
            </w:pPr>
            <w:r>
              <w:rPr>
                <w:sz w:val="20"/>
                <w:szCs w:val="20"/>
                <w:lang w:val="en-US"/>
              </w:rPr>
              <w:t>0</w:t>
            </w:r>
          </w:p>
        </w:tc>
        <w:tc>
          <w:tcPr>
            <w:tcW w:w="635" w:type="pct"/>
          </w:tcPr>
          <w:p w14:paraId="0C05B645" w14:textId="77777777" w:rsidR="006421E2" w:rsidRPr="007D2F65" w:rsidRDefault="006421E2" w:rsidP="007D2F65">
            <w:pPr>
              <w:ind w:left="0" w:right="0"/>
              <w:rPr>
                <w:sz w:val="20"/>
                <w:szCs w:val="20"/>
                <w:lang w:val="en-US"/>
              </w:rPr>
            </w:pPr>
            <w:r w:rsidRPr="007D2F65">
              <w:rPr>
                <w:sz w:val="20"/>
                <w:szCs w:val="20"/>
                <w:lang w:val="en-US"/>
              </w:rPr>
              <w:t>13 (3.7)</w:t>
            </w:r>
          </w:p>
        </w:tc>
      </w:tr>
      <w:tr w:rsidR="006421E2" w:rsidRPr="00B20392" w14:paraId="470FDE6C" w14:textId="77777777" w:rsidTr="007D2F65">
        <w:trPr>
          <w:trHeight w:val="20"/>
        </w:trPr>
        <w:tc>
          <w:tcPr>
            <w:tcW w:w="1635" w:type="pct"/>
          </w:tcPr>
          <w:p w14:paraId="4F29B5ED" w14:textId="77777777" w:rsidR="006421E2" w:rsidRPr="007D2F65" w:rsidRDefault="006421E2" w:rsidP="001F1814">
            <w:pPr>
              <w:ind w:left="0" w:right="0"/>
              <w:rPr>
                <w:b/>
                <w:sz w:val="20"/>
                <w:szCs w:val="20"/>
                <w:lang w:val="en-US"/>
              </w:rPr>
            </w:pPr>
            <w:r w:rsidRPr="007D2F65">
              <w:rPr>
                <w:b/>
                <w:sz w:val="20"/>
                <w:szCs w:val="20"/>
                <w:lang w:val="en-US"/>
              </w:rPr>
              <w:lastRenderedPageBreak/>
              <w:t>Vascular disorders</w:t>
            </w:r>
          </w:p>
        </w:tc>
        <w:tc>
          <w:tcPr>
            <w:tcW w:w="702" w:type="pct"/>
          </w:tcPr>
          <w:p w14:paraId="0E352F93"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296ED227" w14:textId="77777777" w:rsidR="006421E2" w:rsidRPr="007D2F65" w:rsidRDefault="006421E2" w:rsidP="007D2F65">
            <w:pPr>
              <w:ind w:left="0" w:right="0"/>
              <w:rPr>
                <w:sz w:val="20"/>
                <w:szCs w:val="20"/>
                <w:lang w:val="en-US"/>
              </w:rPr>
            </w:pPr>
            <w:r w:rsidRPr="007D2F65">
              <w:rPr>
                <w:sz w:val="20"/>
                <w:szCs w:val="20"/>
                <w:lang w:val="en-US"/>
              </w:rPr>
              <w:t>3(2.2)</w:t>
            </w:r>
          </w:p>
        </w:tc>
        <w:tc>
          <w:tcPr>
            <w:tcW w:w="702" w:type="pct"/>
          </w:tcPr>
          <w:p w14:paraId="1B80DB0B" w14:textId="77777777" w:rsidR="006421E2" w:rsidRPr="007D2F65" w:rsidRDefault="006421E2" w:rsidP="007D2F65">
            <w:pPr>
              <w:ind w:left="0" w:right="0"/>
              <w:rPr>
                <w:sz w:val="20"/>
                <w:szCs w:val="20"/>
                <w:lang w:val="en-US"/>
              </w:rPr>
            </w:pPr>
            <w:r w:rsidRPr="007D2F65">
              <w:rPr>
                <w:sz w:val="20"/>
                <w:szCs w:val="20"/>
                <w:lang w:val="en-US"/>
              </w:rPr>
              <w:t>2 (1.4)</w:t>
            </w:r>
          </w:p>
        </w:tc>
        <w:tc>
          <w:tcPr>
            <w:tcW w:w="702" w:type="pct"/>
          </w:tcPr>
          <w:p w14:paraId="395FE34D" w14:textId="422D2C04" w:rsidR="006421E2" w:rsidRPr="007D2F65" w:rsidRDefault="00E06B14" w:rsidP="007D2F65">
            <w:pPr>
              <w:ind w:left="0" w:right="0"/>
              <w:rPr>
                <w:sz w:val="20"/>
                <w:szCs w:val="20"/>
                <w:lang w:val="en-US"/>
              </w:rPr>
            </w:pPr>
            <w:r>
              <w:rPr>
                <w:sz w:val="20"/>
                <w:szCs w:val="20"/>
                <w:lang w:val="en-US"/>
              </w:rPr>
              <w:t>0</w:t>
            </w:r>
          </w:p>
        </w:tc>
        <w:tc>
          <w:tcPr>
            <w:tcW w:w="635" w:type="pct"/>
          </w:tcPr>
          <w:p w14:paraId="2E9FE48E" w14:textId="77777777" w:rsidR="006421E2" w:rsidRPr="007D2F65" w:rsidRDefault="006421E2" w:rsidP="007D2F65">
            <w:pPr>
              <w:ind w:left="0" w:right="0"/>
              <w:rPr>
                <w:sz w:val="20"/>
                <w:szCs w:val="20"/>
                <w:lang w:val="en-US"/>
              </w:rPr>
            </w:pPr>
            <w:r w:rsidRPr="007D2F65">
              <w:rPr>
                <w:sz w:val="20"/>
                <w:szCs w:val="20"/>
                <w:lang w:val="en-US"/>
              </w:rPr>
              <w:t>7 (2)</w:t>
            </w:r>
          </w:p>
        </w:tc>
      </w:tr>
      <w:tr w:rsidR="006421E2" w:rsidRPr="00B20392" w14:paraId="42AF92F4" w14:textId="77777777" w:rsidTr="007D2F65">
        <w:trPr>
          <w:trHeight w:val="20"/>
        </w:trPr>
        <w:tc>
          <w:tcPr>
            <w:tcW w:w="1635" w:type="pct"/>
          </w:tcPr>
          <w:p w14:paraId="46D4AFF9" w14:textId="77777777" w:rsidR="006421E2" w:rsidRPr="007D2F65" w:rsidRDefault="006421E2" w:rsidP="001F1814">
            <w:pPr>
              <w:ind w:left="0" w:right="0"/>
              <w:rPr>
                <w:sz w:val="20"/>
                <w:szCs w:val="20"/>
                <w:lang w:val="en-US"/>
              </w:rPr>
            </w:pPr>
            <w:r w:rsidRPr="007D2F65">
              <w:rPr>
                <w:sz w:val="20"/>
                <w:szCs w:val="20"/>
                <w:lang w:val="en-US"/>
              </w:rPr>
              <w:t>Hypotension</w:t>
            </w:r>
          </w:p>
        </w:tc>
        <w:tc>
          <w:tcPr>
            <w:tcW w:w="702" w:type="pct"/>
          </w:tcPr>
          <w:p w14:paraId="686FBC05"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218D007B" w14:textId="77777777" w:rsidR="006421E2" w:rsidRPr="007D2F65" w:rsidRDefault="006421E2" w:rsidP="007D2F65">
            <w:pPr>
              <w:ind w:left="0" w:right="0"/>
              <w:rPr>
                <w:sz w:val="20"/>
                <w:szCs w:val="20"/>
                <w:lang w:val="en-US"/>
              </w:rPr>
            </w:pPr>
            <w:r w:rsidRPr="007D2F65">
              <w:rPr>
                <w:sz w:val="20"/>
                <w:szCs w:val="20"/>
                <w:lang w:val="en-US"/>
              </w:rPr>
              <w:t>3(2.2)</w:t>
            </w:r>
          </w:p>
        </w:tc>
        <w:tc>
          <w:tcPr>
            <w:tcW w:w="702" w:type="pct"/>
          </w:tcPr>
          <w:p w14:paraId="39584168" w14:textId="77777777" w:rsidR="006421E2" w:rsidRPr="007D2F65" w:rsidRDefault="006421E2" w:rsidP="007D2F65">
            <w:pPr>
              <w:ind w:left="0" w:right="0"/>
              <w:rPr>
                <w:sz w:val="20"/>
                <w:szCs w:val="20"/>
                <w:lang w:val="en-US"/>
              </w:rPr>
            </w:pPr>
            <w:r w:rsidRPr="007D2F65">
              <w:rPr>
                <w:sz w:val="20"/>
                <w:szCs w:val="20"/>
                <w:lang w:val="en-US"/>
              </w:rPr>
              <w:t>1</w:t>
            </w:r>
          </w:p>
        </w:tc>
        <w:tc>
          <w:tcPr>
            <w:tcW w:w="702" w:type="pct"/>
          </w:tcPr>
          <w:p w14:paraId="09D1FAA4" w14:textId="6335A0B2" w:rsidR="006421E2" w:rsidRPr="007D2F65" w:rsidRDefault="00E06B14" w:rsidP="007D2F65">
            <w:pPr>
              <w:ind w:left="0" w:right="0"/>
              <w:rPr>
                <w:sz w:val="20"/>
                <w:szCs w:val="20"/>
                <w:lang w:val="en-US"/>
              </w:rPr>
            </w:pPr>
            <w:r>
              <w:rPr>
                <w:sz w:val="20"/>
                <w:szCs w:val="20"/>
                <w:lang w:val="en-US"/>
              </w:rPr>
              <w:t>0</w:t>
            </w:r>
          </w:p>
        </w:tc>
        <w:tc>
          <w:tcPr>
            <w:tcW w:w="635" w:type="pct"/>
          </w:tcPr>
          <w:p w14:paraId="57892078" w14:textId="77777777" w:rsidR="006421E2" w:rsidRPr="007D2F65" w:rsidRDefault="006421E2" w:rsidP="007D2F65">
            <w:pPr>
              <w:ind w:left="0" w:right="0"/>
              <w:rPr>
                <w:sz w:val="20"/>
                <w:szCs w:val="20"/>
                <w:lang w:val="en-US"/>
              </w:rPr>
            </w:pPr>
            <w:r w:rsidRPr="007D2F65">
              <w:rPr>
                <w:sz w:val="20"/>
                <w:szCs w:val="20"/>
                <w:lang w:val="en-US"/>
              </w:rPr>
              <w:t>6 (1.7)</w:t>
            </w:r>
          </w:p>
        </w:tc>
      </w:tr>
      <w:tr w:rsidR="006421E2" w:rsidRPr="00B20392" w14:paraId="7C323436" w14:textId="77777777" w:rsidTr="007D2F65">
        <w:trPr>
          <w:trHeight w:val="20"/>
        </w:trPr>
        <w:tc>
          <w:tcPr>
            <w:tcW w:w="1635" w:type="pct"/>
          </w:tcPr>
          <w:p w14:paraId="64A5820A" w14:textId="77777777" w:rsidR="006421E2" w:rsidRPr="007D2F65" w:rsidRDefault="006421E2" w:rsidP="001F1814">
            <w:pPr>
              <w:ind w:left="0" w:right="0"/>
              <w:rPr>
                <w:b/>
                <w:sz w:val="20"/>
                <w:szCs w:val="20"/>
                <w:lang w:val="en-US"/>
              </w:rPr>
            </w:pPr>
            <w:r w:rsidRPr="007D2F65">
              <w:rPr>
                <w:b/>
                <w:sz w:val="20"/>
                <w:szCs w:val="20"/>
                <w:lang w:val="en-US"/>
              </w:rPr>
              <w:t>Gastrointestinal disorders</w:t>
            </w:r>
          </w:p>
        </w:tc>
        <w:tc>
          <w:tcPr>
            <w:tcW w:w="702" w:type="pct"/>
          </w:tcPr>
          <w:p w14:paraId="3C7AACF3" w14:textId="77777777" w:rsidR="006421E2" w:rsidRPr="007D2F65" w:rsidRDefault="006421E2" w:rsidP="007D2F65">
            <w:pPr>
              <w:ind w:left="0" w:right="0"/>
              <w:rPr>
                <w:sz w:val="20"/>
                <w:szCs w:val="20"/>
                <w:lang w:val="en-US"/>
              </w:rPr>
            </w:pPr>
            <w:r w:rsidRPr="007D2F65">
              <w:rPr>
                <w:sz w:val="20"/>
                <w:szCs w:val="20"/>
                <w:lang w:val="en-US"/>
              </w:rPr>
              <w:t>0</w:t>
            </w:r>
          </w:p>
        </w:tc>
        <w:tc>
          <w:tcPr>
            <w:tcW w:w="624" w:type="pct"/>
          </w:tcPr>
          <w:p w14:paraId="4949AEA8" w14:textId="77777777" w:rsidR="006421E2" w:rsidRPr="007D2F65" w:rsidRDefault="006421E2" w:rsidP="007D2F65">
            <w:pPr>
              <w:ind w:left="0" w:right="0"/>
              <w:rPr>
                <w:sz w:val="20"/>
                <w:szCs w:val="20"/>
                <w:lang w:val="en-US"/>
              </w:rPr>
            </w:pPr>
            <w:r w:rsidRPr="007D2F65">
              <w:rPr>
                <w:sz w:val="20"/>
                <w:szCs w:val="20"/>
                <w:lang w:val="en-US"/>
              </w:rPr>
              <w:t>4 (3)</w:t>
            </w:r>
          </w:p>
        </w:tc>
        <w:tc>
          <w:tcPr>
            <w:tcW w:w="702" w:type="pct"/>
          </w:tcPr>
          <w:p w14:paraId="2ABE4EB4" w14:textId="77777777" w:rsidR="006421E2" w:rsidRPr="007D2F65" w:rsidRDefault="006421E2" w:rsidP="007D2F65">
            <w:pPr>
              <w:ind w:left="0" w:right="0"/>
              <w:rPr>
                <w:sz w:val="20"/>
                <w:szCs w:val="20"/>
                <w:lang w:val="en-US"/>
              </w:rPr>
            </w:pPr>
            <w:r w:rsidRPr="007D2F65">
              <w:rPr>
                <w:sz w:val="20"/>
                <w:szCs w:val="20"/>
                <w:lang w:val="en-US"/>
              </w:rPr>
              <w:t>10 (7)</w:t>
            </w:r>
          </w:p>
        </w:tc>
        <w:tc>
          <w:tcPr>
            <w:tcW w:w="702" w:type="pct"/>
          </w:tcPr>
          <w:p w14:paraId="61DE29E7" w14:textId="4297EC9A" w:rsidR="006421E2" w:rsidRPr="007D2F65" w:rsidRDefault="00E06B14" w:rsidP="007D2F65">
            <w:pPr>
              <w:ind w:left="0" w:right="0"/>
              <w:rPr>
                <w:sz w:val="20"/>
                <w:szCs w:val="20"/>
                <w:lang w:val="en-US"/>
              </w:rPr>
            </w:pPr>
            <w:r>
              <w:rPr>
                <w:sz w:val="20"/>
                <w:szCs w:val="20"/>
                <w:lang w:val="en-US"/>
              </w:rPr>
              <w:t>0</w:t>
            </w:r>
          </w:p>
        </w:tc>
        <w:tc>
          <w:tcPr>
            <w:tcW w:w="635" w:type="pct"/>
          </w:tcPr>
          <w:p w14:paraId="22FA6CF2" w14:textId="77777777" w:rsidR="006421E2" w:rsidRPr="007D2F65" w:rsidRDefault="006421E2" w:rsidP="007D2F65">
            <w:pPr>
              <w:ind w:left="0" w:right="0"/>
              <w:rPr>
                <w:sz w:val="20"/>
                <w:szCs w:val="20"/>
                <w:lang w:val="en-US"/>
              </w:rPr>
            </w:pPr>
            <w:r w:rsidRPr="007D2F65">
              <w:rPr>
                <w:sz w:val="20"/>
                <w:szCs w:val="20"/>
                <w:lang w:val="en-US"/>
              </w:rPr>
              <w:t>14 (4)</w:t>
            </w:r>
          </w:p>
        </w:tc>
      </w:tr>
      <w:tr w:rsidR="006421E2" w:rsidRPr="00B20392" w14:paraId="4002B169" w14:textId="77777777" w:rsidTr="007D2F65">
        <w:trPr>
          <w:trHeight w:val="20"/>
        </w:trPr>
        <w:tc>
          <w:tcPr>
            <w:tcW w:w="1635" w:type="pct"/>
          </w:tcPr>
          <w:p w14:paraId="2D09F394" w14:textId="77777777" w:rsidR="006421E2" w:rsidRPr="007D2F65" w:rsidRDefault="006421E2" w:rsidP="001F1814">
            <w:pPr>
              <w:ind w:left="0" w:right="0"/>
              <w:rPr>
                <w:b/>
                <w:sz w:val="20"/>
                <w:szCs w:val="20"/>
                <w:lang w:val="en-US"/>
              </w:rPr>
            </w:pPr>
            <w:r w:rsidRPr="007D2F65">
              <w:rPr>
                <w:b/>
                <w:sz w:val="20"/>
                <w:szCs w:val="20"/>
                <w:lang w:val="en-US"/>
              </w:rPr>
              <w:t>General and administration site disorders</w:t>
            </w:r>
          </w:p>
        </w:tc>
        <w:tc>
          <w:tcPr>
            <w:tcW w:w="702" w:type="pct"/>
          </w:tcPr>
          <w:p w14:paraId="71D24742" w14:textId="77777777" w:rsidR="006421E2" w:rsidRPr="007D2F65" w:rsidRDefault="006421E2" w:rsidP="007D2F65">
            <w:pPr>
              <w:ind w:left="0" w:right="0"/>
              <w:rPr>
                <w:sz w:val="20"/>
                <w:szCs w:val="20"/>
                <w:lang w:val="en-US"/>
              </w:rPr>
            </w:pPr>
            <w:r w:rsidRPr="007D2F65">
              <w:rPr>
                <w:sz w:val="20"/>
                <w:szCs w:val="20"/>
                <w:lang w:val="en-US"/>
              </w:rPr>
              <w:t>2 (2.9)</w:t>
            </w:r>
          </w:p>
        </w:tc>
        <w:tc>
          <w:tcPr>
            <w:tcW w:w="624" w:type="pct"/>
          </w:tcPr>
          <w:p w14:paraId="2B04AEA8" w14:textId="77777777" w:rsidR="006421E2" w:rsidRPr="007D2F65" w:rsidRDefault="006421E2" w:rsidP="007D2F65">
            <w:pPr>
              <w:ind w:left="0" w:right="0"/>
              <w:rPr>
                <w:sz w:val="20"/>
                <w:szCs w:val="20"/>
                <w:lang w:val="en-US"/>
              </w:rPr>
            </w:pPr>
            <w:r w:rsidRPr="007D2F65">
              <w:rPr>
                <w:sz w:val="20"/>
                <w:szCs w:val="20"/>
                <w:lang w:val="en-US"/>
              </w:rPr>
              <w:t>6 (4.4)</w:t>
            </w:r>
          </w:p>
        </w:tc>
        <w:tc>
          <w:tcPr>
            <w:tcW w:w="702" w:type="pct"/>
          </w:tcPr>
          <w:p w14:paraId="6DAD2A49" w14:textId="77777777" w:rsidR="006421E2" w:rsidRPr="007D2F65" w:rsidRDefault="006421E2" w:rsidP="007D2F65">
            <w:pPr>
              <w:ind w:left="0" w:right="0"/>
              <w:rPr>
                <w:sz w:val="20"/>
                <w:szCs w:val="20"/>
                <w:lang w:val="en-US"/>
              </w:rPr>
            </w:pPr>
            <w:r w:rsidRPr="007D2F65">
              <w:rPr>
                <w:sz w:val="20"/>
                <w:szCs w:val="20"/>
                <w:lang w:val="en-US"/>
              </w:rPr>
              <w:t>7 (5)</w:t>
            </w:r>
          </w:p>
        </w:tc>
        <w:tc>
          <w:tcPr>
            <w:tcW w:w="702" w:type="pct"/>
          </w:tcPr>
          <w:p w14:paraId="273C28C2" w14:textId="409739C7" w:rsidR="006421E2" w:rsidRPr="007D2F65" w:rsidRDefault="00E06B14" w:rsidP="007D2F65">
            <w:pPr>
              <w:ind w:left="0" w:right="0"/>
              <w:rPr>
                <w:sz w:val="20"/>
                <w:szCs w:val="20"/>
                <w:lang w:val="en-US"/>
              </w:rPr>
            </w:pPr>
            <w:r>
              <w:rPr>
                <w:sz w:val="20"/>
                <w:szCs w:val="20"/>
                <w:lang w:val="en-US"/>
              </w:rPr>
              <w:t>0</w:t>
            </w:r>
          </w:p>
        </w:tc>
        <w:tc>
          <w:tcPr>
            <w:tcW w:w="635" w:type="pct"/>
          </w:tcPr>
          <w:p w14:paraId="49F4663B" w14:textId="77777777" w:rsidR="006421E2" w:rsidRPr="007D2F65" w:rsidRDefault="006421E2" w:rsidP="007D2F65">
            <w:pPr>
              <w:ind w:left="0" w:right="0"/>
              <w:rPr>
                <w:sz w:val="20"/>
                <w:szCs w:val="20"/>
                <w:lang w:val="en-US"/>
              </w:rPr>
            </w:pPr>
            <w:r w:rsidRPr="007D2F65">
              <w:rPr>
                <w:sz w:val="20"/>
                <w:szCs w:val="20"/>
                <w:lang w:val="en-US"/>
              </w:rPr>
              <w:t>15 (4.2)</w:t>
            </w:r>
          </w:p>
        </w:tc>
      </w:tr>
      <w:tr w:rsidR="006421E2" w:rsidRPr="00B20392" w14:paraId="75F1CAA4" w14:textId="77777777" w:rsidTr="007D2F65">
        <w:trPr>
          <w:trHeight w:val="20"/>
        </w:trPr>
        <w:tc>
          <w:tcPr>
            <w:tcW w:w="1635" w:type="pct"/>
          </w:tcPr>
          <w:p w14:paraId="425CEA07" w14:textId="77777777" w:rsidR="006421E2" w:rsidRPr="007D2F65" w:rsidRDefault="006421E2" w:rsidP="001F1814">
            <w:pPr>
              <w:ind w:left="0" w:right="0"/>
              <w:rPr>
                <w:sz w:val="20"/>
                <w:szCs w:val="20"/>
                <w:lang w:val="en-US"/>
              </w:rPr>
            </w:pPr>
            <w:r w:rsidRPr="007D2F65">
              <w:rPr>
                <w:sz w:val="20"/>
                <w:szCs w:val="20"/>
                <w:lang w:val="en-US"/>
              </w:rPr>
              <w:t>Pyrexia</w:t>
            </w:r>
          </w:p>
        </w:tc>
        <w:tc>
          <w:tcPr>
            <w:tcW w:w="702" w:type="pct"/>
          </w:tcPr>
          <w:p w14:paraId="018AE311" w14:textId="77777777" w:rsidR="006421E2" w:rsidRPr="007D2F65" w:rsidRDefault="006421E2" w:rsidP="007D2F65">
            <w:pPr>
              <w:ind w:left="0" w:right="0"/>
              <w:rPr>
                <w:sz w:val="20"/>
                <w:szCs w:val="20"/>
                <w:lang w:val="en-US"/>
              </w:rPr>
            </w:pPr>
            <w:r w:rsidRPr="007D2F65">
              <w:rPr>
                <w:sz w:val="20"/>
                <w:szCs w:val="20"/>
                <w:lang w:val="en-US"/>
              </w:rPr>
              <w:t>0</w:t>
            </w:r>
          </w:p>
        </w:tc>
        <w:tc>
          <w:tcPr>
            <w:tcW w:w="624" w:type="pct"/>
          </w:tcPr>
          <w:p w14:paraId="4835B275" w14:textId="77777777" w:rsidR="006421E2" w:rsidRPr="007D2F65" w:rsidRDefault="006421E2" w:rsidP="007D2F65">
            <w:pPr>
              <w:ind w:left="0" w:right="0"/>
              <w:rPr>
                <w:sz w:val="20"/>
                <w:szCs w:val="20"/>
                <w:lang w:val="en-US"/>
              </w:rPr>
            </w:pPr>
            <w:r w:rsidRPr="007D2F65">
              <w:rPr>
                <w:sz w:val="20"/>
                <w:szCs w:val="20"/>
                <w:lang w:val="en-US"/>
              </w:rPr>
              <w:t>4 (3)</w:t>
            </w:r>
          </w:p>
        </w:tc>
        <w:tc>
          <w:tcPr>
            <w:tcW w:w="702" w:type="pct"/>
          </w:tcPr>
          <w:p w14:paraId="4F0BFD95" w14:textId="77777777" w:rsidR="006421E2" w:rsidRPr="007D2F65" w:rsidRDefault="006421E2" w:rsidP="007D2F65">
            <w:pPr>
              <w:ind w:left="0" w:right="0"/>
              <w:rPr>
                <w:sz w:val="20"/>
                <w:szCs w:val="20"/>
                <w:lang w:val="en-US"/>
              </w:rPr>
            </w:pPr>
            <w:r w:rsidRPr="007D2F65">
              <w:rPr>
                <w:sz w:val="20"/>
                <w:szCs w:val="20"/>
                <w:lang w:val="en-US"/>
              </w:rPr>
              <w:t>3 (2.1)</w:t>
            </w:r>
          </w:p>
        </w:tc>
        <w:tc>
          <w:tcPr>
            <w:tcW w:w="702" w:type="pct"/>
          </w:tcPr>
          <w:p w14:paraId="1A0C2296" w14:textId="17B9F037" w:rsidR="006421E2" w:rsidRPr="007D2F65" w:rsidRDefault="00E06B14" w:rsidP="007D2F65">
            <w:pPr>
              <w:ind w:left="0" w:right="0"/>
              <w:rPr>
                <w:sz w:val="20"/>
                <w:szCs w:val="20"/>
                <w:lang w:val="en-US"/>
              </w:rPr>
            </w:pPr>
            <w:r>
              <w:rPr>
                <w:sz w:val="20"/>
                <w:szCs w:val="20"/>
                <w:lang w:val="en-US"/>
              </w:rPr>
              <w:t>0</w:t>
            </w:r>
          </w:p>
        </w:tc>
        <w:tc>
          <w:tcPr>
            <w:tcW w:w="635" w:type="pct"/>
          </w:tcPr>
          <w:p w14:paraId="5E9785B8" w14:textId="77777777" w:rsidR="006421E2" w:rsidRPr="007D2F65" w:rsidRDefault="006421E2" w:rsidP="007D2F65">
            <w:pPr>
              <w:ind w:left="0" w:right="0"/>
              <w:rPr>
                <w:sz w:val="20"/>
                <w:szCs w:val="20"/>
                <w:lang w:val="en-US"/>
              </w:rPr>
            </w:pPr>
            <w:r w:rsidRPr="007D2F65">
              <w:rPr>
                <w:sz w:val="20"/>
                <w:szCs w:val="20"/>
                <w:lang w:val="en-US"/>
              </w:rPr>
              <w:t>7 (2)</w:t>
            </w:r>
          </w:p>
        </w:tc>
      </w:tr>
    </w:tbl>
    <w:p w14:paraId="57F7FDDF" w14:textId="4CB13107" w:rsidR="006421E2" w:rsidRPr="006421E2" w:rsidRDefault="00B20392" w:rsidP="007D2F65">
      <w:pPr>
        <w:pStyle w:val="FigureDescription"/>
      </w:pPr>
      <w:r>
        <w:rPr>
          <w:rFonts w:asciiTheme="minorHAnsi" w:hAnsiTheme="minorHAnsi" w:cs="Calibri"/>
        </w:rPr>
        <w:t xml:space="preserve">Source: </w:t>
      </w:r>
      <w:r>
        <w:t xml:space="preserve">reformatted </w:t>
      </w:r>
      <w:r>
        <w:rPr>
          <w:rFonts w:asciiTheme="minorHAnsi" w:hAnsiTheme="minorHAnsi" w:cs="Calibri"/>
        </w:rPr>
        <w:t>FDA table.</w:t>
      </w:r>
      <w:r>
        <w:rPr>
          <w:rFonts w:asciiTheme="minorHAnsi" w:hAnsiTheme="minorHAnsi" w:cs="Calibri"/>
        </w:rPr>
        <w:fldChar w:fldCharType="begin"/>
      </w:r>
      <w:r>
        <w:rPr>
          <w:rFonts w:asciiTheme="minorHAnsi" w:hAnsiTheme="minorHAnsi" w:cs="Calibri"/>
        </w:rPr>
        <w:instrText xml:space="preserve"> NOTEREF _Ref50554541 \f \h </w:instrText>
      </w:r>
      <w:r>
        <w:rPr>
          <w:rFonts w:asciiTheme="minorHAnsi" w:hAnsiTheme="minorHAnsi" w:cs="Calibri"/>
        </w:rPr>
      </w:r>
      <w:r>
        <w:rPr>
          <w:rFonts w:asciiTheme="minorHAnsi" w:hAnsiTheme="minorHAnsi" w:cs="Calibri"/>
        </w:rPr>
        <w:fldChar w:fldCharType="separate"/>
      </w:r>
      <w:r>
        <w:rPr>
          <w:rStyle w:val="FootnoteReference"/>
        </w:rPr>
        <w:t>12</w:t>
      </w:r>
      <w:r>
        <w:rPr>
          <w:rFonts w:asciiTheme="minorHAnsi" w:hAnsiTheme="minorHAnsi" w:cs="Calibri"/>
        </w:rPr>
        <w:fldChar w:fldCharType="end"/>
      </w:r>
      <w:r w:rsidR="0088305F">
        <w:rPr>
          <w:rFonts w:asciiTheme="minorHAnsi" w:hAnsiTheme="minorHAnsi" w:cs="Calibri"/>
        </w:rPr>
        <w:t xml:space="preserve"> SOC = System Organ Class.</w:t>
      </w:r>
    </w:p>
    <w:p w14:paraId="5FD33D6F" w14:textId="77777777" w:rsidR="006421E2" w:rsidRPr="007D2F65" w:rsidRDefault="006421E2">
      <w:pPr>
        <w:pStyle w:val="Heading6"/>
        <w:rPr>
          <w:rStyle w:val="Heading6Char"/>
          <w:bCs/>
          <w:i/>
        </w:rPr>
      </w:pPr>
      <w:r w:rsidRPr="0088305F">
        <w:t>Dis</w:t>
      </w:r>
      <w:r w:rsidRPr="007D2F65">
        <w:rPr>
          <w:rStyle w:val="Heading6Char"/>
          <w:bCs/>
          <w:i/>
        </w:rPr>
        <w:t>continuations, interruptions and dose reductions due to adverse events</w:t>
      </w:r>
    </w:p>
    <w:p w14:paraId="45E8BAF8" w14:textId="38D976A5" w:rsidR="006421E2" w:rsidRPr="006421E2" w:rsidRDefault="006421E2" w:rsidP="006421E2">
      <w:r w:rsidRPr="006421E2">
        <w:t xml:space="preserve">Adverse events that most commonly led to drug discontinuation, interruption or reduction of dosing for patients in the integrated safety population are summarised in </w:t>
      </w:r>
      <w:r w:rsidRPr="006421E2">
        <w:fldChar w:fldCharType="begin"/>
      </w:r>
      <w:r w:rsidRPr="006421E2">
        <w:instrText xml:space="preserve"> REF _Ref30419618 \h </w:instrText>
      </w:r>
      <w:r w:rsidRPr="006421E2">
        <w:fldChar w:fldCharType="separate"/>
      </w:r>
      <w:r w:rsidR="005743D8" w:rsidRPr="006421E2">
        <w:t xml:space="preserve">Table </w:t>
      </w:r>
      <w:r w:rsidR="005743D8">
        <w:rPr>
          <w:noProof/>
        </w:rPr>
        <w:t>23</w:t>
      </w:r>
      <w:r w:rsidRPr="006421E2">
        <w:fldChar w:fldCharType="end"/>
      </w:r>
      <w:r w:rsidRPr="006421E2">
        <w:t>.</w:t>
      </w:r>
    </w:p>
    <w:p w14:paraId="0C59884D" w14:textId="2D1F8D0C" w:rsidR="006421E2" w:rsidRPr="006421E2" w:rsidRDefault="006421E2" w:rsidP="00007D7D">
      <w:pPr>
        <w:pStyle w:val="TableTitle"/>
      </w:pPr>
      <w:bookmarkStart w:id="73" w:name="_Ref30419618"/>
      <w:r w:rsidRPr="006421E2">
        <w:t xml:space="preserve">Table </w:t>
      </w:r>
      <w:fldSimple w:instr=" SEQ Table \* ARABIC ">
        <w:r w:rsidR="009B407B">
          <w:rPr>
            <w:noProof/>
          </w:rPr>
          <w:t>29</w:t>
        </w:r>
      </w:fldSimple>
      <w:bookmarkEnd w:id="73"/>
      <w:r w:rsidR="0088305F">
        <w:t>:</w:t>
      </w:r>
      <w:r w:rsidRPr="006421E2">
        <w:t xml:space="preserve"> Adverse events that led to discontinuations, interruptions and dose changes in the integrated safety population, all reported as percentages </w:t>
      </w:r>
    </w:p>
    <w:tbl>
      <w:tblPr>
        <w:tblStyle w:val="TableTGAblue"/>
        <w:tblW w:w="5000" w:type="pct"/>
        <w:tblLayout w:type="fixed"/>
        <w:tblLook w:val="01E0" w:firstRow="1" w:lastRow="1" w:firstColumn="1" w:lastColumn="1" w:noHBand="0" w:noVBand="0"/>
      </w:tblPr>
      <w:tblGrid>
        <w:gridCol w:w="2388"/>
        <w:gridCol w:w="1222"/>
        <w:gridCol w:w="1221"/>
        <w:gridCol w:w="1221"/>
        <w:gridCol w:w="1221"/>
        <w:gridCol w:w="1221"/>
      </w:tblGrid>
      <w:tr w:rsidR="006421E2" w:rsidRPr="0088305F" w14:paraId="73FC8B3F" w14:textId="77777777" w:rsidTr="007D2F65">
        <w:trPr>
          <w:cnfStyle w:val="100000000000" w:firstRow="1" w:lastRow="0" w:firstColumn="0" w:lastColumn="0" w:oddVBand="0" w:evenVBand="0" w:oddHBand="0" w:evenHBand="0" w:firstRowFirstColumn="0" w:firstRowLastColumn="0" w:lastRowFirstColumn="0" w:lastRowLastColumn="0"/>
          <w:trHeight w:val="1187"/>
        </w:trPr>
        <w:tc>
          <w:tcPr>
            <w:tcW w:w="1405" w:type="pct"/>
            <w:tcBorders>
              <w:top w:val="single" w:sz="4" w:space="0" w:color="auto"/>
              <w:left w:val="single" w:sz="4" w:space="0" w:color="auto"/>
              <w:bottom w:val="single" w:sz="4" w:space="0" w:color="auto"/>
              <w:right w:val="single" w:sz="4" w:space="0" w:color="auto"/>
            </w:tcBorders>
          </w:tcPr>
          <w:p w14:paraId="61CE9B08" w14:textId="77777777" w:rsidR="006421E2" w:rsidRPr="007D2F65" w:rsidRDefault="006421E2" w:rsidP="007D2F65">
            <w:pPr>
              <w:ind w:left="0" w:right="0"/>
              <w:rPr>
                <w:sz w:val="20"/>
                <w:szCs w:val="20"/>
                <w:lang w:val="en-US"/>
              </w:rPr>
            </w:pPr>
            <w:r w:rsidRPr="007D2F65">
              <w:rPr>
                <w:sz w:val="20"/>
                <w:szCs w:val="20"/>
                <w:lang w:val="en-US"/>
              </w:rPr>
              <w:t>Preferred Term</w:t>
            </w:r>
          </w:p>
        </w:tc>
        <w:tc>
          <w:tcPr>
            <w:tcW w:w="719" w:type="pct"/>
            <w:tcBorders>
              <w:top w:val="single" w:sz="4" w:space="0" w:color="auto"/>
              <w:left w:val="single" w:sz="4" w:space="0" w:color="auto"/>
              <w:bottom w:val="single" w:sz="4" w:space="0" w:color="auto"/>
              <w:right w:val="single" w:sz="4" w:space="0" w:color="auto"/>
            </w:tcBorders>
          </w:tcPr>
          <w:p w14:paraId="4E1E706D" w14:textId="77777777" w:rsidR="006421E2" w:rsidRPr="007D2F65" w:rsidRDefault="006421E2" w:rsidP="007D2F65">
            <w:pPr>
              <w:ind w:left="0" w:right="0"/>
              <w:rPr>
                <w:i/>
                <w:sz w:val="20"/>
                <w:szCs w:val="20"/>
                <w:lang w:val="en-US"/>
              </w:rPr>
            </w:pPr>
            <w:r w:rsidRPr="007D2F65">
              <w:rPr>
                <w:i/>
                <w:sz w:val="20"/>
                <w:szCs w:val="20"/>
                <w:lang w:val="en-US"/>
              </w:rPr>
              <w:t>NTRK</w:t>
            </w:r>
          </w:p>
          <w:p w14:paraId="00CBDC5E" w14:textId="53C0DB54" w:rsidR="006421E2" w:rsidRPr="007D2F65" w:rsidRDefault="006421E2" w:rsidP="007D2F65">
            <w:pPr>
              <w:ind w:left="0" w:right="0"/>
              <w:rPr>
                <w:sz w:val="20"/>
                <w:szCs w:val="20"/>
                <w:lang w:val="en-US"/>
              </w:rPr>
            </w:pPr>
            <w:r w:rsidRPr="007D2F65">
              <w:rPr>
                <w:sz w:val="20"/>
                <w:szCs w:val="20"/>
                <w:lang w:val="en-US"/>
              </w:rPr>
              <w:t>Adult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68)</w:t>
            </w:r>
          </w:p>
        </w:tc>
        <w:tc>
          <w:tcPr>
            <w:tcW w:w="719" w:type="pct"/>
            <w:tcBorders>
              <w:top w:val="single" w:sz="4" w:space="0" w:color="auto"/>
              <w:left w:val="single" w:sz="4" w:space="0" w:color="auto"/>
              <w:bottom w:val="single" w:sz="4" w:space="0" w:color="auto"/>
              <w:right w:val="single" w:sz="4" w:space="0" w:color="auto"/>
            </w:tcBorders>
          </w:tcPr>
          <w:p w14:paraId="27D1C2AA" w14:textId="77777777" w:rsidR="006421E2" w:rsidRPr="007D2F65" w:rsidRDefault="006421E2" w:rsidP="007D2F65">
            <w:pPr>
              <w:ind w:left="0" w:right="0"/>
              <w:rPr>
                <w:sz w:val="20"/>
                <w:szCs w:val="20"/>
                <w:lang w:val="en-US"/>
              </w:rPr>
            </w:pPr>
            <w:r w:rsidRPr="007D2F65">
              <w:rPr>
                <w:i/>
                <w:sz w:val="20"/>
                <w:szCs w:val="20"/>
                <w:lang w:val="en-US"/>
              </w:rPr>
              <w:t xml:space="preserve">ROS1 </w:t>
            </w:r>
            <w:r w:rsidRPr="007D2F65">
              <w:rPr>
                <w:sz w:val="20"/>
                <w:szCs w:val="20"/>
                <w:lang w:val="en-US"/>
              </w:rPr>
              <w:t>NSCLC</w:t>
            </w:r>
          </w:p>
          <w:p w14:paraId="3525B64C" w14:textId="198D1BF3" w:rsidR="006421E2" w:rsidRPr="007D2F65" w:rsidRDefault="006421E2" w:rsidP="007D2F65">
            <w:pPr>
              <w:ind w:left="0" w:right="0"/>
              <w:rPr>
                <w:sz w:val="20"/>
                <w:szCs w:val="20"/>
                <w:lang w:val="en-US"/>
              </w:rPr>
            </w:pPr>
            <w:r w:rsidRPr="007D2F65">
              <w:rPr>
                <w:sz w:val="20"/>
                <w:szCs w:val="20"/>
                <w:lang w:val="en-US"/>
              </w:rPr>
              <w:t>Adult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133)</w:t>
            </w:r>
          </w:p>
        </w:tc>
        <w:tc>
          <w:tcPr>
            <w:tcW w:w="719" w:type="pct"/>
            <w:tcBorders>
              <w:top w:val="single" w:sz="4" w:space="0" w:color="auto"/>
              <w:left w:val="single" w:sz="4" w:space="0" w:color="auto"/>
              <w:bottom w:val="single" w:sz="4" w:space="0" w:color="auto"/>
              <w:right w:val="single" w:sz="4" w:space="0" w:color="auto"/>
            </w:tcBorders>
          </w:tcPr>
          <w:p w14:paraId="02CF4BFB" w14:textId="06ADDBCF" w:rsidR="006421E2" w:rsidRPr="007D2F65" w:rsidRDefault="006421E2" w:rsidP="007D2F65">
            <w:pPr>
              <w:ind w:left="0" w:right="0"/>
              <w:rPr>
                <w:i/>
                <w:sz w:val="20"/>
                <w:szCs w:val="20"/>
                <w:lang w:val="en-US"/>
              </w:rPr>
            </w:pPr>
            <w:r w:rsidRPr="007D2F65">
              <w:rPr>
                <w:sz w:val="20"/>
                <w:szCs w:val="20"/>
                <w:lang w:val="en-US"/>
              </w:rPr>
              <w:t>Other Adult non</w:t>
            </w:r>
            <w:r w:rsidR="009857DF">
              <w:rPr>
                <w:sz w:val="20"/>
                <w:szCs w:val="20"/>
                <w:lang w:val="en-US"/>
              </w:rPr>
              <w:t>-</w:t>
            </w:r>
            <w:r w:rsidRPr="007D2F65">
              <w:rPr>
                <w:i/>
                <w:sz w:val="20"/>
                <w:szCs w:val="20"/>
                <w:lang w:val="en-US"/>
              </w:rPr>
              <w:t>NTRK</w:t>
            </w:r>
            <w:r w:rsidRPr="007D2F65">
              <w:rPr>
                <w:sz w:val="20"/>
                <w:szCs w:val="20"/>
                <w:lang w:val="en-US"/>
              </w:rPr>
              <w:t>, non</w:t>
            </w:r>
            <w:r w:rsidR="009857DF">
              <w:rPr>
                <w:sz w:val="20"/>
                <w:szCs w:val="20"/>
                <w:lang w:val="en-US"/>
              </w:rPr>
              <w:t>-</w:t>
            </w:r>
            <w:r w:rsidRPr="007D2F65">
              <w:rPr>
                <w:i/>
                <w:sz w:val="20"/>
                <w:szCs w:val="20"/>
                <w:lang w:val="en-US"/>
              </w:rPr>
              <w:t>ROS1</w:t>
            </w:r>
          </w:p>
          <w:p w14:paraId="65A28727" w14:textId="575382A4" w:rsidR="006421E2" w:rsidRPr="007D2F65" w:rsidRDefault="006421E2" w:rsidP="007D2F65">
            <w:pPr>
              <w:ind w:left="0" w:right="0"/>
              <w:rPr>
                <w:sz w:val="20"/>
                <w:szCs w:val="20"/>
                <w:lang w:val="en-US"/>
              </w:rPr>
            </w:pPr>
            <w:r w:rsidRPr="007D2F65">
              <w:rPr>
                <w:sz w:val="20"/>
                <w:szCs w:val="20"/>
                <w:lang w:val="en-US"/>
              </w:rPr>
              <w:t>(n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137)</w:t>
            </w:r>
          </w:p>
        </w:tc>
        <w:tc>
          <w:tcPr>
            <w:tcW w:w="719" w:type="pct"/>
            <w:tcBorders>
              <w:top w:val="single" w:sz="4" w:space="0" w:color="auto"/>
              <w:left w:val="single" w:sz="4" w:space="0" w:color="auto"/>
              <w:bottom w:val="single" w:sz="4" w:space="0" w:color="auto"/>
              <w:right w:val="single" w:sz="4" w:space="0" w:color="auto"/>
            </w:tcBorders>
          </w:tcPr>
          <w:p w14:paraId="2727D6C0" w14:textId="7A08D078" w:rsidR="006421E2" w:rsidRPr="007D2F65" w:rsidRDefault="006421E2" w:rsidP="007D2F65">
            <w:pPr>
              <w:ind w:left="0" w:right="0"/>
              <w:rPr>
                <w:sz w:val="20"/>
                <w:szCs w:val="20"/>
                <w:lang w:val="en-US"/>
              </w:rPr>
            </w:pPr>
            <w:r w:rsidRPr="007D2F65">
              <w:rPr>
                <w:sz w:val="20"/>
                <w:szCs w:val="20"/>
                <w:lang w:val="en-US"/>
              </w:rPr>
              <w:t>Pediatric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17)</w:t>
            </w:r>
          </w:p>
        </w:tc>
        <w:tc>
          <w:tcPr>
            <w:tcW w:w="719" w:type="pct"/>
            <w:tcBorders>
              <w:top w:val="single" w:sz="4" w:space="0" w:color="auto"/>
              <w:left w:val="single" w:sz="4" w:space="0" w:color="auto"/>
              <w:bottom w:val="single" w:sz="4" w:space="0" w:color="auto"/>
              <w:right w:val="single" w:sz="4" w:space="0" w:color="auto"/>
            </w:tcBorders>
          </w:tcPr>
          <w:p w14:paraId="3E6641F1" w14:textId="61D03BEF" w:rsidR="006421E2" w:rsidRPr="007D2F65" w:rsidRDefault="006421E2" w:rsidP="007D2F65">
            <w:pPr>
              <w:ind w:left="0" w:right="0"/>
              <w:rPr>
                <w:sz w:val="20"/>
                <w:szCs w:val="20"/>
                <w:lang w:val="en-US"/>
              </w:rPr>
            </w:pPr>
            <w:r w:rsidRPr="007D2F65">
              <w:rPr>
                <w:sz w:val="20"/>
                <w:szCs w:val="20"/>
                <w:lang w:val="en-US"/>
              </w:rPr>
              <w:t>All (n</w:t>
            </w:r>
            <w:r w:rsidR="00F2463B" w:rsidRPr="007D2F65">
              <w:rPr>
                <w:sz w:val="20"/>
                <w:szCs w:val="20"/>
                <w:lang w:val="en-US"/>
              </w:rPr>
              <w:t xml:space="preserve"> </w:t>
            </w:r>
            <w:r w:rsidRPr="007D2F65">
              <w:rPr>
                <w:sz w:val="20"/>
                <w:szCs w:val="20"/>
                <w:lang w:val="en-US"/>
              </w:rPr>
              <w:t>=</w:t>
            </w:r>
            <w:r w:rsidR="00F2463B" w:rsidRPr="007D2F65">
              <w:rPr>
                <w:sz w:val="20"/>
                <w:szCs w:val="20"/>
                <w:lang w:val="en-US"/>
              </w:rPr>
              <w:t xml:space="preserve"> </w:t>
            </w:r>
            <w:r w:rsidRPr="007D2F65">
              <w:rPr>
                <w:sz w:val="20"/>
                <w:szCs w:val="20"/>
                <w:lang w:val="en-US"/>
              </w:rPr>
              <w:t>355)</w:t>
            </w:r>
          </w:p>
        </w:tc>
      </w:tr>
      <w:tr w:rsidR="006421E2" w:rsidRPr="0088305F" w14:paraId="7DC06CBA" w14:textId="77777777" w:rsidTr="007D2F65">
        <w:trPr>
          <w:trHeight w:val="601"/>
        </w:trPr>
        <w:tc>
          <w:tcPr>
            <w:tcW w:w="5000" w:type="pct"/>
            <w:gridSpan w:val="6"/>
            <w:tcBorders>
              <w:top w:val="single" w:sz="4" w:space="0" w:color="auto"/>
            </w:tcBorders>
          </w:tcPr>
          <w:p w14:paraId="3A76E1C7" w14:textId="77777777" w:rsidR="006421E2" w:rsidRPr="007D2F65" w:rsidRDefault="006421E2" w:rsidP="007D2F65">
            <w:pPr>
              <w:ind w:left="0" w:right="0"/>
              <w:rPr>
                <w:b/>
                <w:i/>
                <w:sz w:val="20"/>
                <w:szCs w:val="20"/>
                <w:lang w:val="en-US"/>
              </w:rPr>
            </w:pPr>
            <w:r w:rsidRPr="007D2F65">
              <w:rPr>
                <w:i/>
                <w:sz w:val="20"/>
                <w:szCs w:val="20"/>
                <w:lang w:val="en-US"/>
              </w:rPr>
              <w:t>System Organ Classes in which AEs that led to</w:t>
            </w:r>
            <w:r w:rsidRPr="007D2F65">
              <w:rPr>
                <w:b/>
                <w:i/>
                <w:sz w:val="20"/>
                <w:szCs w:val="20"/>
                <w:lang w:val="en-US"/>
              </w:rPr>
              <w:t xml:space="preserve"> treatment discontinuation </w:t>
            </w:r>
            <w:r w:rsidRPr="007D2F65">
              <w:rPr>
                <w:i/>
                <w:sz w:val="20"/>
                <w:szCs w:val="20"/>
                <w:lang w:val="en-US"/>
              </w:rPr>
              <w:t>occurred</w:t>
            </w:r>
            <w:r w:rsidRPr="007D2F65">
              <w:rPr>
                <w:b/>
                <w:i/>
                <w:sz w:val="20"/>
                <w:szCs w:val="20"/>
                <w:lang w:val="en-US"/>
              </w:rPr>
              <w:t xml:space="preserve"> </w:t>
            </w:r>
            <w:r w:rsidRPr="007D2F65">
              <w:rPr>
                <w:i/>
                <w:sz w:val="20"/>
                <w:szCs w:val="20"/>
                <w:lang w:val="en-US"/>
              </w:rPr>
              <w:t>in at least 1% of patients in the integrated safety population</w:t>
            </w:r>
          </w:p>
        </w:tc>
      </w:tr>
      <w:tr w:rsidR="006421E2" w:rsidRPr="0088305F" w14:paraId="202DA736" w14:textId="77777777" w:rsidTr="007D2F65">
        <w:trPr>
          <w:trHeight w:val="237"/>
        </w:trPr>
        <w:tc>
          <w:tcPr>
            <w:tcW w:w="1405" w:type="pct"/>
          </w:tcPr>
          <w:p w14:paraId="5A1808D1" w14:textId="77777777" w:rsidR="006421E2" w:rsidRPr="007D2F65" w:rsidRDefault="006421E2" w:rsidP="007D2F65">
            <w:pPr>
              <w:ind w:left="0" w:right="0"/>
              <w:rPr>
                <w:sz w:val="20"/>
                <w:szCs w:val="20"/>
                <w:lang w:val="en-US"/>
              </w:rPr>
            </w:pPr>
            <w:r w:rsidRPr="007D2F65">
              <w:rPr>
                <w:sz w:val="20"/>
                <w:szCs w:val="20"/>
                <w:lang w:val="en-US"/>
              </w:rPr>
              <w:t>Total for all SOCs, %</w:t>
            </w:r>
          </w:p>
        </w:tc>
        <w:tc>
          <w:tcPr>
            <w:tcW w:w="719" w:type="pct"/>
          </w:tcPr>
          <w:p w14:paraId="67170D78" w14:textId="77777777" w:rsidR="006421E2" w:rsidRPr="007D2F65" w:rsidRDefault="006421E2" w:rsidP="007D2F65">
            <w:pPr>
              <w:ind w:left="0" w:right="0"/>
              <w:rPr>
                <w:sz w:val="20"/>
                <w:szCs w:val="20"/>
                <w:lang w:val="en-US"/>
              </w:rPr>
            </w:pPr>
            <w:r w:rsidRPr="007D2F65">
              <w:rPr>
                <w:sz w:val="20"/>
                <w:szCs w:val="20"/>
                <w:lang w:val="en-US"/>
              </w:rPr>
              <w:t>13</w:t>
            </w:r>
          </w:p>
        </w:tc>
        <w:tc>
          <w:tcPr>
            <w:tcW w:w="719" w:type="pct"/>
          </w:tcPr>
          <w:p w14:paraId="7A6CA2BC" w14:textId="77777777" w:rsidR="006421E2" w:rsidRPr="007D2F65" w:rsidRDefault="006421E2" w:rsidP="007D2F65">
            <w:pPr>
              <w:ind w:left="0" w:right="0"/>
              <w:rPr>
                <w:sz w:val="20"/>
                <w:szCs w:val="20"/>
                <w:lang w:val="en-US"/>
              </w:rPr>
            </w:pPr>
            <w:r w:rsidRPr="007D2F65">
              <w:rPr>
                <w:sz w:val="20"/>
                <w:szCs w:val="20"/>
                <w:lang w:val="en-US"/>
              </w:rPr>
              <w:t>9</w:t>
            </w:r>
          </w:p>
        </w:tc>
        <w:tc>
          <w:tcPr>
            <w:tcW w:w="719" w:type="pct"/>
          </w:tcPr>
          <w:p w14:paraId="34AC06F3"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46936D79"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20DB8297" w14:textId="77777777" w:rsidR="006421E2" w:rsidRPr="007D2F65" w:rsidRDefault="006421E2" w:rsidP="007D2F65">
            <w:pPr>
              <w:ind w:left="0" w:right="0"/>
              <w:rPr>
                <w:sz w:val="20"/>
                <w:szCs w:val="20"/>
                <w:lang w:val="en-US"/>
              </w:rPr>
            </w:pPr>
            <w:r w:rsidRPr="007D2F65">
              <w:rPr>
                <w:sz w:val="20"/>
                <w:szCs w:val="20"/>
                <w:lang w:val="en-US"/>
              </w:rPr>
              <w:t>9</w:t>
            </w:r>
          </w:p>
        </w:tc>
      </w:tr>
      <w:tr w:rsidR="006421E2" w:rsidRPr="0088305F" w14:paraId="196A6251" w14:textId="77777777" w:rsidTr="007D2F65">
        <w:trPr>
          <w:trHeight w:val="236"/>
        </w:trPr>
        <w:tc>
          <w:tcPr>
            <w:tcW w:w="5000" w:type="pct"/>
            <w:gridSpan w:val="6"/>
          </w:tcPr>
          <w:p w14:paraId="1274799E" w14:textId="2E72DE4D" w:rsidR="006421E2" w:rsidRPr="007D2F65" w:rsidRDefault="006421E2" w:rsidP="007D2F65">
            <w:pPr>
              <w:ind w:left="0" w:right="0"/>
              <w:rPr>
                <w:b/>
                <w:sz w:val="20"/>
                <w:szCs w:val="20"/>
                <w:lang w:val="en-US"/>
              </w:rPr>
            </w:pPr>
            <w:r w:rsidRPr="007D2F65">
              <w:rPr>
                <w:b/>
                <w:sz w:val="20"/>
                <w:szCs w:val="20"/>
                <w:lang w:val="en-US"/>
              </w:rPr>
              <w:t xml:space="preserve">Respiratory and </w:t>
            </w:r>
            <w:r w:rsidR="0088305F">
              <w:rPr>
                <w:b/>
                <w:sz w:val="20"/>
                <w:szCs w:val="20"/>
                <w:lang w:val="en-US"/>
              </w:rPr>
              <w:t>m</w:t>
            </w:r>
            <w:r w:rsidRPr="007D2F65">
              <w:rPr>
                <w:b/>
                <w:sz w:val="20"/>
                <w:szCs w:val="20"/>
                <w:lang w:val="en-US"/>
              </w:rPr>
              <w:t>ediastinal disorders</w:t>
            </w:r>
          </w:p>
        </w:tc>
      </w:tr>
      <w:tr w:rsidR="006421E2" w:rsidRPr="0088305F" w14:paraId="3C537A04" w14:textId="77777777" w:rsidTr="007D2F65">
        <w:trPr>
          <w:trHeight w:val="237"/>
        </w:trPr>
        <w:tc>
          <w:tcPr>
            <w:tcW w:w="1405" w:type="pct"/>
          </w:tcPr>
          <w:p w14:paraId="214A6E95" w14:textId="77777777" w:rsidR="006421E2" w:rsidRPr="007D2F65" w:rsidRDefault="006421E2" w:rsidP="007D2F65">
            <w:pPr>
              <w:ind w:left="0" w:right="0"/>
              <w:rPr>
                <w:b/>
                <w:sz w:val="20"/>
                <w:szCs w:val="20"/>
                <w:lang w:val="en-US"/>
              </w:rPr>
            </w:pPr>
            <w:r w:rsidRPr="007D2F65">
              <w:rPr>
                <w:b/>
                <w:sz w:val="20"/>
                <w:szCs w:val="20"/>
                <w:lang w:val="en-US"/>
              </w:rPr>
              <w:t>Total</w:t>
            </w:r>
          </w:p>
        </w:tc>
        <w:tc>
          <w:tcPr>
            <w:tcW w:w="719" w:type="pct"/>
          </w:tcPr>
          <w:p w14:paraId="3F810399" w14:textId="77777777" w:rsidR="006421E2" w:rsidRPr="007D2F65" w:rsidRDefault="006421E2" w:rsidP="007D2F65">
            <w:pPr>
              <w:ind w:left="0" w:right="0"/>
              <w:rPr>
                <w:b/>
                <w:sz w:val="20"/>
                <w:szCs w:val="20"/>
                <w:lang w:val="en-US"/>
              </w:rPr>
            </w:pPr>
            <w:r w:rsidRPr="007D2F65">
              <w:rPr>
                <w:b/>
                <w:sz w:val="20"/>
                <w:szCs w:val="20"/>
                <w:lang w:val="en-US"/>
              </w:rPr>
              <w:t>3</w:t>
            </w:r>
          </w:p>
        </w:tc>
        <w:tc>
          <w:tcPr>
            <w:tcW w:w="719" w:type="pct"/>
          </w:tcPr>
          <w:p w14:paraId="5373EAA2" w14:textId="77777777" w:rsidR="006421E2" w:rsidRPr="007D2F65" w:rsidRDefault="006421E2" w:rsidP="007D2F65">
            <w:pPr>
              <w:ind w:left="0" w:right="0"/>
              <w:rPr>
                <w:b/>
                <w:sz w:val="20"/>
                <w:szCs w:val="20"/>
                <w:lang w:val="en-US"/>
              </w:rPr>
            </w:pPr>
            <w:r w:rsidRPr="007D2F65">
              <w:rPr>
                <w:b/>
                <w:sz w:val="20"/>
                <w:szCs w:val="20"/>
                <w:lang w:val="en-US"/>
              </w:rPr>
              <w:t>2</w:t>
            </w:r>
          </w:p>
        </w:tc>
        <w:tc>
          <w:tcPr>
            <w:tcW w:w="719" w:type="pct"/>
          </w:tcPr>
          <w:p w14:paraId="20FD31D4" w14:textId="77777777" w:rsidR="006421E2" w:rsidRPr="007D2F65" w:rsidRDefault="006421E2" w:rsidP="007D2F65">
            <w:pPr>
              <w:ind w:left="0" w:right="0"/>
              <w:rPr>
                <w:b/>
                <w:sz w:val="20"/>
                <w:szCs w:val="20"/>
                <w:lang w:val="en-US"/>
              </w:rPr>
            </w:pPr>
            <w:r w:rsidRPr="007D2F65">
              <w:rPr>
                <w:b/>
                <w:sz w:val="20"/>
                <w:szCs w:val="20"/>
                <w:lang w:val="en-US"/>
              </w:rPr>
              <w:t>0.7</w:t>
            </w:r>
          </w:p>
        </w:tc>
        <w:tc>
          <w:tcPr>
            <w:tcW w:w="719" w:type="pct"/>
          </w:tcPr>
          <w:p w14:paraId="2C6D57DA" w14:textId="77777777" w:rsidR="006421E2" w:rsidRPr="007D2F65" w:rsidRDefault="006421E2" w:rsidP="007D2F65">
            <w:pPr>
              <w:ind w:left="0" w:right="0"/>
              <w:rPr>
                <w:b/>
                <w:sz w:val="20"/>
                <w:szCs w:val="20"/>
                <w:lang w:val="en-US"/>
              </w:rPr>
            </w:pPr>
            <w:r w:rsidRPr="007D2F65">
              <w:rPr>
                <w:b/>
                <w:sz w:val="20"/>
                <w:szCs w:val="20"/>
                <w:lang w:val="en-US"/>
              </w:rPr>
              <w:t>6</w:t>
            </w:r>
          </w:p>
        </w:tc>
        <w:tc>
          <w:tcPr>
            <w:tcW w:w="719" w:type="pct"/>
          </w:tcPr>
          <w:p w14:paraId="79D004C2" w14:textId="77777777" w:rsidR="006421E2" w:rsidRPr="007D2F65" w:rsidRDefault="006421E2" w:rsidP="007D2F65">
            <w:pPr>
              <w:ind w:left="0" w:right="0"/>
              <w:rPr>
                <w:b/>
                <w:sz w:val="20"/>
                <w:szCs w:val="20"/>
                <w:lang w:val="en-US"/>
              </w:rPr>
            </w:pPr>
            <w:r w:rsidRPr="007D2F65">
              <w:rPr>
                <w:b/>
                <w:sz w:val="20"/>
                <w:szCs w:val="20"/>
                <w:lang w:val="en-US"/>
              </w:rPr>
              <w:t>2.0</w:t>
            </w:r>
          </w:p>
        </w:tc>
      </w:tr>
      <w:tr w:rsidR="006421E2" w:rsidRPr="0088305F" w14:paraId="34769430" w14:textId="77777777" w:rsidTr="007D2F65">
        <w:trPr>
          <w:trHeight w:val="237"/>
        </w:trPr>
        <w:tc>
          <w:tcPr>
            <w:tcW w:w="1405" w:type="pct"/>
          </w:tcPr>
          <w:p w14:paraId="697CC8E3" w14:textId="77777777" w:rsidR="006421E2" w:rsidRPr="007D2F65" w:rsidRDefault="006421E2" w:rsidP="007D2F65">
            <w:pPr>
              <w:ind w:left="0" w:right="0"/>
              <w:rPr>
                <w:sz w:val="20"/>
                <w:szCs w:val="20"/>
                <w:lang w:val="en-US"/>
              </w:rPr>
            </w:pPr>
            <w:r w:rsidRPr="007D2F65">
              <w:rPr>
                <w:sz w:val="20"/>
                <w:szCs w:val="20"/>
                <w:lang w:val="en-US"/>
              </w:rPr>
              <w:t>Dyspnea</w:t>
            </w:r>
          </w:p>
        </w:tc>
        <w:tc>
          <w:tcPr>
            <w:tcW w:w="719" w:type="pct"/>
          </w:tcPr>
          <w:p w14:paraId="733399B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D9CAE84"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EDFB7E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79DCF84"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4C2EA4D6" w14:textId="77777777" w:rsidR="006421E2" w:rsidRPr="007D2F65" w:rsidRDefault="006421E2" w:rsidP="007D2F65">
            <w:pPr>
              <w:ind w:left="0" w:right="0"/>
              <w:rPr>
                <w:sz w:val="20"/>
                <w:szCs w:val="20"/>
                <w:lang w:val="en-US"/>
              </w:rPr>
            </w:pPr>
            <w:r w:rsidRPr="007D2F65">
              <w:rPr>
                <w:sz w:val="20"/>
                <w:szCs w:val="20"/>
                <w:lang w:val="en-US"/>
              </w:rPr>
              <w:t>0.6</w:t>
            </w:r>
          </w:p>
        </w:tc>
      </w:tr>
      <w:tr w:rsidR="006421E2" w:rsidRPr="0088305F" w14:paraId="0261415B" w14:textId="77777777" w:rsidTr="007D2F65">
        <w:trPr>
          <w:trHeight w:val="237"/>
        </w:trPr>
        <w:tc>
          <w:tcPr>
            <w:tcW w:w="1405" w:type="pct"/>
          </w:tcPr>
          <w:p w14:paraId="441FC53C" w14:textId="77777777" w:rsidR="006421E2" w:rsidRPr="007D2F65" w:rsidRDefault="006421E2" w:rsidP="007D2F65">
            <w:pPr>
              <w:ind w:left="0" w:right="0"/>
              <w:rPr>
                <w:sz w:val="20"/>
                <w:szCs w:val="20"/>
                <w:lang w:val="en-US"/>
              </w:rPr>
            </w:pPr>
            <w:r w:rsidRPr="007D2F65">
              <w:rPr>
                <w:sz w:val="20"/>
                <w:szCs w:val="20"/>
                <w:lang w:val="en-US"/>
              </w:rPr>
              <w:t>Acute respiratory failure</w:t>
            </w:r>
          </w:p>
        </w:tc>
        <w:tc>
          <w:tcPr>
            <w:tcW w:w="719" w:type="pct"/>
          </w:tcPr>
          <w:p w14:paraId="11DE79CC"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1EF34946"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64EC4D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6E15D38"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EC1F859" w14:textId="77777777" w:rsidR="006421E2" w:rsidRPr="007D2F65" w:rsidRDefault="006421E2" w:rsidP="007D2F65">
            <w:pPr>
              <w:ind w:left="0" w:right="0"/>
              <w:rPr>
                <w:sz w:val="20"/>
                <w:szCs w:val="20"/>
                <w:lang w:val="en-US"/>
              </w:rPr>
            </w:pPr>
            <w:r w:rsidRPr="007D2F65">
              <w:rPr>
                <w:sz w:val="20"/>
                <w:szCs w:val="20"/>
                <w:lang w:val="en-US"/>
              </w:rPr>
              <w:t>0.6</w:t>
            </w:r>
          </w:p>
        </w:tc>
      </w:tr>
      <w:tr w:rsidR="006421E2" w:rsidRPr="0088305F" w14:paraId="77807B4B" w14:textId="77777777" w:rsidTr="007D2F65">
        <w:trPr>
          <w:trHeight w:val="237"/>
        </w:trPr>
        <w:tc>
          <w:tcPr>
            <w:tcW w:w="1405" w:type="pct"/>
          </w:tcPr>
          <w:p w14:paraId="6814FD6C" w14:textId="77777777" w:rsidR="006421E2" w:rsidRPr="007D2F65" w:rsidRDefault="006421E2" w:rsidP="007D2F65">
            <w:pPr>
              <w:ind w:left="0" w:right="0"/>
              <w:rPr>
                <w:sz w:val="20"/>
                <w:szCs w:val="20"/>
                <w:lang w:val="en-US"/>
              </w:rPr>
            </w:pPr>
            <w:r w:rsidRPr="007D2F65">
              <w:rPr>
                <w:sz w:val="20"/>
                <w:szCs w:val="20"/>
                <w:lang w:val="en-US"/>
              </w:rPr>
              <w:t>Pneumonitis</w:t>
            </w:r>
          </w:p>
        </w:tc>
        <w:tc>
          <w:tcPr>
            <w:tcW w:w="719" w:type="pct"/>
          </w:tcPr>
          <w:p w14:paraId="084B0F6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2999903"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98FD857"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E6B49B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4F6B4BD"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68BE41FA" w14:textId="77777777" w:rsidTr="007D2F65">
        <w:trPr>
          <w:trHeight w:val="236"/>
        </w:trPr>
        <w:tc>
          <w:tcPr>
            <w:tcW w:w="1405" w:type="pct"/>
          </w:tcPr>
          <w:p w14:paraId="1706D4C6" w14:textId="77777777" w:rsidR="006421E2" w:rsidRPr="007D2F65" w:rsidRDefault="006421E2" w:rsidP="007D2F65">
            <w:pPr>
              <w:ind w:left="0" w:right="0"/>
              <w:rPr>
                <w:sz w:val="20"/>
                <w:szCs w:val="20"/>
                <w:lang w:val="en-US"/>
              </w:rPr>
            </w:pPr>
            <w:r w:rsidRPr="007D2F65">
              <w:rPr>
                <w:sz w:val="20"/>
                <w:szCs w:val="20"/>
                <w:lang w:val="en-US"/>
              </w:rPr>
              <w:t>Pulmonary edema</w:t>
            </w:r>
          </w:p>
        </w:tc>
        <w:tc>
          <w:tcPr>
            <w:tcW w:w="719" w:type="pct"/>
          </w:tcPr>
          <w:p w14:paraId="7C1D7263"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0BA4497"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4E61BD0"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AC5D4E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2866430"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0E83CA4D" w14:textId="77777777" w:rsidTr="007D2F65">
        <w:trPr>
          <w:trHeight w:val="237"/>
        </w:trPr>
        <w:tc>
          <w:tcPr>
            <w:tcW w:w="1405" w:type="pct"/>
          </w:tcPr>
          <w:p w14:paraId="65F60B07" w14:textId="77777777" w:rsidR="006421E2" w:rsidRPr="007D2F65" w:rsidRDefault="006421E2" w:rsidP="007D2F65">
            <w:pPr>
              <w:ind w:left="0" w:right="0"/>
              <w:rPr>
                <w:sz w:val="20"/>
                <w:szCs w:val="20"/>
                <w:lang w:val="en-US"/>
              </w:rPr>
            </w:pPr>
            <w:r w:rsidRPr="007D2F65">
              <w:rPr>
                <w:sz w:val="20"/>
                <w:szCs w:val="20"/>
                <w:lang w:val="en-US"/>
              </w:rPr>
              <w:t>Pulmonary embolism</w:t>
            </w:r>
          </w:p>
        </w:tc>
        <w:tc>
          <w:tcPr>
            <w:tcW w:w="719" w:type="pct"/>
          </w:tcPr>
          <w:p w14:paraId="2B120B5F"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E4B10B4"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50CCB76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8A41D5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B0589CA"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733CB475" w14:textId="77777777" w:rsidTr="007D2F65">
        <w:trPr>
          <w:trHeight w:val="237"/>
        </w:trPr>
        <w:tc>
          <w:tcPr>
            <w:tcW w:w="5000" w:type="pct"/>
            <w:gridSpan w:val="6"/>
          </w:tcPr>
          <w:p w14:paraId="70F49D1F" w14:textId="77777777" w:rsidR="006421E2" w:rsidRPr="007D2F65" w:rsidRDefault="006421E2" w:rsidP="007D2F65">
            <w:pPr>
              <w:ind w:left="0" w:right="0"/>
              <w:rPr>
                <w:b/>
                <w:sz w:val="20"/>
                <w:szCs w:val="20"/>
                <w:lang w:val="en-US"/>
              </w:rPr>
            </w:pPr>
            <w:r w:rsidRPr="007D2F65">
              <w:rPr>
                <w:b/>
                <w:sz w:val="20"/>
                <w:szCs w:val="20"/>
                <w:lang w:val="en-US"/>
              </w:rPr>
              <w:t>Cardiac Disorders</w:t>
            </w:r>
          </w:p>
        </w:tc>
      </w:tr>
      <w:tr w:rsidR="006421E2" w:rsidRPr="0088305F" w14:paraId="11431A73" w14:textId="77777777" w:rsidTr="007D2F65">
        <w:trPr>
          <w:trHeight w:val="237"/>
        </w:trPr>
        <w:tc>
          <w:tcPr>
            <w:tcW w:w="1405" w:type="pct"/>
          </w:tcPr>
          <w:p w14:paraId="7AE3D2A1" w14:textId="77777777" w:rsidR="006421E2" w:rsidRPr="007D2F65" w:rsidRDefault="006421E2" w:rsidP="007D2F65">
            <w:pPr>
              <w:ind w:left="0" w:right="0"/>
              <w:rPr>
                <w:b/>
                <w:sz w:val="20"/>
                <w:szCs w:val="20"/>
                <w:lang w:val="en-US"/>
              </w:rPr>
            </w:pPr>
            <w:r w:rsidRPr="007D2F65">
              <w:rPr>
                <w:b/>
                <w:sz w:val="20"/>
                <w:szCs w:val="20"/>
                <w:lang w:val="en-US"/>
              </w:rPr>
              <w:t>Total</w:t>
            </w:r>
          </w:p>
        </w:tc>
        <w:tc>
          <w:tcPr>
            <w:tcW w:w="719" w:type="pct"/>
          </w:tcPr>
          <w:p w14:paraId="11145A82" w14:textId="77777777" w:rsidR="006421E2" w:rsidRPr="007D2F65" w:rsidRDefault="006421E2" w:rsidP="007D2F65">
            <w:pPr>
              <w:ind w:left="0" w:right="0"/>
              <w:rPr>
                <w:b/>
                <w:sz w:val="20"/>
                <w:szCs w:val="20"/>
                <w:lang w:val="en-US"/>
              </w:rPr>
            </w:pPr>
            <w:r w:rsidRPr="007D2F65">
              <w:rPr>
                <w:b/>
                <w:sz w:val="20"/>
                <w:szCs w:val="20"/>
                <w:lang w:val="en-US"/>
              </w:rPr>
              <w:t>4.4</w:t>
            </w:r>
          </w:p>
        </w:tc>
        <w:tc>
          <w:tcPr>
            <w:tcW w:w="719" w:type="pct"/>
          </w:tcPr>
          <w:p w14:paraId="54E0F5FB" w14:textId="77777777" w:rsidR="006421E2" w:rsidRPr="007D2F65" w:rsidRDefault="006421E2" w:rsidP="007D2F65">
            <w:pPr>
              <w:ind w:left="0" w:right="0"/>
              <w:rPr>
                <w:b/>
                <w:sz w:val="20"/>
                <w:szCs w:val="20"/>
                <w:lang w:val="en-US"/>
              </w:rPr>
            </w:pPr>
            <w:r w:rsidRPr="007D2F65">
              <w:rPr>
                <w:b/>
                <w:sz w:val="20"/>
                <w:szCs w:val="20"/>
                <w:lang w:val="en-US"/>
              </w:rPr>
              <w:t>1.5</w:t>
            </w:r>
          </w:p>
        </w:tc>
        <w:tc>
          <w:tcPr>
            <w:tcW w:w="719" w:type="pct"/>
          </w:tcPr>
          <w:p w14:paraId="55498655" w14:textId="77777777" w:rsidR="006421E2" w:rsidRPr="007D2F65" w:rsidRDefault="006421E2" w:rsidP="007D2F65">
            <w:pPr>
              <w:ind w:left="0" w:right="0"/>
              <w:rPr>
                <w:b/>
                <w:sz w:val="20"/>
                <w:szCs w:val="20"/>
                <w:lang w:val="en-US"/>
              </w:rPr>
            </w:pPr>
            <w:r w:rsidRPr="007D2F65">
              <w:rPr>
                <w:b/>
                <w:sz w:val="20"/>
                <w:szCs w:val="20"/>
                <w:lang w:val="en-US"/>
              </w:rPr>
              <w:t>1.5</w:t>
            </w:r>
          </w:p>
        </w:tc>
        <w:tc>
          <w:tcPr>
            <w:tcW w:w="719" w:type="pct"/>
          </w:tcPr>
          <w:p w14:paraId="00B35728" w14:textId="77777777" w:rsidR="006421E2" w:rsidRPr="007D2F65" w:rsidRDefault="006421E2" w:rsidP="007D2F65">
            <w:pPr>
              <w:ind w:left="0" w:right="0"/>
              <w:rPr>
                <w:b/>
                <w:sz w:val="20"/>
                <w:szCs w:val="20"/>
                <w:lang w:val="en-US"/>
              </w:rPr>
            </w:pPr>
            <w:r w:rsidRPr="007D2F65">
              <w:rPr>
                <w:b/>
                <w:sz w:val="20"/>
                <w:szCs w:val="20"/>
                <w:lang w:val="en-US"/>
              </w:rPr>
              <w:t>0</w:t>
            </w:r>
          </w:p>
        </w:tc>
        <w:tc>
          <w:tcPr>
            <w:tcW w:w="719" w:type="pct"/>
          </w:tcPr>
          <w:p w14:paraId="7B2338B3" w14:textId="77777777" w:rsidR="006421E2" w:rsidRPr="007D2F65" w:rsidRDefault="006421E2" w:rsidP="007D2F65">
            <w:pPr>
              <w:ind w:left="0" w:right="0"/>
              <w:rPr>
                <w:b/>
                <w:sz w:val="20"/>
                <w:szCs w:val="20"/>
                <w:lang w:val="en-US"/>
              </w:rPr>
            </w:pPr>
            <w:r w:rsidRPr="007D2F65">
              <w:rPr>
                <w:b/>
                <w:sz w:val="20"/>
                <w:szCs w:val="20"/>
                <w:lang w:val="en-US"/>
              </w:rPr>
              <w:t>2.0</w:t>
            </w:r>
          </w:p>
        </w:tc>
      </w:tr>
      <w:tr w:rsidR="006421E2" w:rsidRPr="0088305F" w14:paraId="43B2AB10" w14:textId="77777777" w:rsidTr="007D2F65">
        <w:trPr>
          <w:trHeight w:val="236"/>
        </w:trPr>
        <w:tc>
          <w:tcPr>
            <w:tcW w:w="1405" w:type="pct"/>
          </w:tcPr>
          <w:p w14:paraId="565A70B0" w14:textId="77777777" w:rsidR="006421E2" w:rsidRPr="007D2F65" w:rsidRDefault="006421E2" w:rsidP="007D2F65">
            <w:pPr>
              <w:ind w:left="0" w:right="0"/>
              <w:rPr>
                <w:sz w:val="20"/>
                <w:szCs w:val="20"/>
                <w:lang w:val="en-US"/>
              </w:rPr>
            </w:pPr>
            <w:r w:rsidRPr="007D2F65">
              <w:rPr>
                <w:sz w:val="20"/>
                <w:szCs w:val="20"/>
                <w:lang w:val="en-US"/>
              </w:rPr>
              <w:lastRenderedPageBreak/>
              <w:t>Cardio-respiratory arrest</w:t>
            </w:r>
          </w:p>
        </w:tc>
        <w:tc>
          <w:tcPr>
            <w:tcW w:w="719" w:type="pct"/>
          </w:tcPr>
          <w:p w14:paraId="66A1F1A4" w14:textId="77777777" w:rsidR="006421E2" w:rsidRPr="007D2F65" w:rsidRDefault="006421E2" w:rsidP="007D2F65">
            <w:pPr>
              <w:ind w:left="0" w:right="0"/>
              <w:rPr>
                <w:sz w:val="20"/>
                <w:szCs w:val="20"/>
                <w:lang w:val="en-US"/>
              </w:rPr>
            </w:pPr>
            <w:r w:rsidRPr="007D2F65">
              <w:rPr>
                <w:sz w:val="20"/>
                <w:szCs w:val="20"/>
                <w:lang w:val="en-US"/>
              </w:rPr>
              <w:t>2.9</w:t>
            </w:r>
          </w:p>
        </w:tc>
        <w:tc>
          <w:tcPr>
            <w:tcW w:w="719" w:type="pct"/>
          </w:tcPr>
          <w:p w14:paraId="6DC01B6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DE773A3"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34C29E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BF150BA" w14:textId="77777777" w:rsidR="006421E2" w:rsidRPr="007D2F65" w:rsidRDefault="006421E2" w:rsidP="007D2F65">
            <w:pPr>
              <w:ind w:left="0" w:right="0"/>
              <w:rPr>
                <w:sz w:val="20"/>
                <w:szCs w:val="20"/>
                <w:lang w:val="en-US"/>
              </w:rPr>
            </w:pPr>
            <w:r w:rsidRPr="007D2F65">
              <w:rPr>
                <w:sz w:val="20"/>
                <w:szCs w:val="20"/>
                <w:lang w:val="en-US"/>
              </w:rPr>
              <w:t>0.6</w:t>
            </w:r>
          </w:p>
        </w:tc>
      </w:tr>
      <w:tr w:rsidR="006421E2" w:rsidRPr="0088305F" w14:paraId="59758829" w14:textId="77777777" w:rsidTr="007D2F65">
        <w:trPr>
          <w:trHeight w:val="237"/>
        </w:trPr>
        <w:tc>
          <w:tcPr>
            <w:tcW w:w="1405" w:type="pct"/>
          </w:tcPr>
          <w:p w14:paraId="38596732" w14:textId="77777777" w:rsidR="006421E2" w:rsidRPr="007D2F65" w:rsidRDefault="006421E2" w:rsidP="007D2F65">
            <w:pPr>
              <w:ind w:left="0" w:right="0"/>
              <w:rPr>
                <w:sz w:val="20"/>
                <w:szCs w:val="20"/>
                <w:lang w:val="en-US"/>
              </w:rPr>
            </w:pPr>
            <w:r w:rsidRPr="007D2F65">
              <w:rPr>
                <w:sz w:val="20"/>
                <w:szCs w:val="20"/>
                <w:lang w:val="en-US"/>
              </w:rPr>
              <w:t>CHF</w:t>
            </w:r>
          </w:p>
        </w:tc>
        <w:tc>
          <w:tcPr>
            <w:tcW w:w="719" w:type="pct"/>
          </w:tcPr>
          <w:p w14:paraId="58D8AF98"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0BD55089"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17F43FB"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A5FAE1A"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3A704F2"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287FA4F9" w14:textId="77777777" w:rsidTr="007D2F65">
        <w:trPr>
          <w:trHeight w:val="237"/>
        </w:trPr>
        <w:tc>
          <w:tcPr>
            <w:tcW w:w="1405" w:type="pct"/>
          </w:tcPr>
          <w:p w14:paraId="0CF57B58" w14:textId="77777777" w:rsidR="006421E2" w:rsidRPr="007D2F65" w:rsidRDefault="006421E2" w:rsidP="007D2F65">
            <w:pPr>
              <w:ind w:left="0" w:right="0"/>
              <w:rPr>
                <w:sz w:val="20"/>
                <w:szCs w:val="20"/>
                <w:lang w:val="en-US"/>
              </w:rPr>
            </w:pPr>
            <w:r w:rsidRPr="007D2F65">
              <w:rPr>
                <w:sz w:val="20"/>
                <w:szCs w:val="20"/>
                <w:lang w:val="en-US"/>
              </w:rPr>
              <w:t>A Fib/</w:t>
            </w:r>
            <w:proofErr w:type="spellStart"/>
            <w:r w:rsidRPr="007D2F65">
              <w:rPr>
                <w:sz w:val="20"/>
                <w:szCs w:val="20"/>
                <w:lang w:val="en-US"/>
              </w:rPr>
              <w:t>Extrasystoles</w:t>
            </w:r>
            <w:proofErr w:type="spellEnd"/>
          </w:p>
        </w:tc>
        <w:tc>
          <w:tcPr>
            <w:tcW w:w="719" w:type="pct"/>
          </w:tcPr>
          <w:p w14:paraId="40898868"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742C26A"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7294508"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654A2CBB"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9A2E031"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46250205" w14:textId="77777777" w:rsidTr="007D2F65">
        <w:trPr>
          <w:trHeight w:val="237"/>
        </w:trPr>
        <w:tc>
          <w:tcPr>
            <w:tcW w:w="1405" w:type="pct"/>
          </w:tcPr>
          <w:p w14:paraId="43E8B0E2" w14:textId="77777777" w:rsidR="006421E2" w:rsidRPr="007D2F65" w:rsidRDefault="006421E2" w:rsidP="007D2F65">
            <w:pPr>
              <w:ind w:left="0" w:right="0"/>
              <w:rPr>
                <w:sz w:val="20"/>
                <w:szCs w:val="20"/>
                <w:lang w:val="en-US"/>
              </w:rPr>
            </w:pPr>
            <w:r w:rsidRPr="007D2F65">
              <w:rPr>
                <w:sz w:val="20"/>
                <w:szCs w:val="20"/>
                <w:lang w:val="en-US"/>
              </w:rPr>
              <w:t>Myocarditis</w:t>
            </w:r>
          </w:p>
        </w:tc>
        <w:tc>
          <w:tcPr>
            <w:tcW w:w="719" w:type="pct"/>
          </w:tcPr>
          <w:p w14:paraId="50D6B26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788081E"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8AC3ECB"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2F1A7B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BBB291D"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0CBE3533" w14:textId="77777777" w:rsidTr="007D2F65">
        <w:trPr>
          <w:trHeight w:val="237"/>
        </w:trPr>
        <w:tc>
          <w:tcPr>
            <w:tcW w:w="1405" w:type="pct"/>
          </w:tcPr>
          <w:p w14:paraId="14CB5468" w14:textId="77777777" w:rsidR="006421E2" w:rsidRPr="007D2F65" w:rsidRDefault="006421E2" w:rsidP="007D2F65">
            <w:pPr>
              <w:ind w:left="0" w:right="0"/>
              <w:rPr>
                <w:sz w:val="20"/>
                <w:szCs w:val="20"/>
                <w:lang w:val="en-US"/>
              </w:rPr>
            </w:pPr>
            <w:r w:rsidRPr="007D2F65">
              <w:rPr>
                <w:sz w:val="20"/>
                <w:szCs w:val="20"/>
                <w:lang w:val="en-US"/>
              </w:rPr>
              <w:t>Cardiogenic shock</w:t>
            </w:r>
          </w:p>
        </w:tc>
        <w:tc>
          <w:tcPr>
            <w:tcW w:w="719" w:type="pct"/>
          </w:tcPr>
          <w:p w14:paraId="5771E469"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75466B0"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0BF43FEA"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4449C8C"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736649A"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78FC4662" w14:textId="77777777" w:rsidTr="007D2F65">
        <w:trPr>
          <w:trHeight w:val="236"/>
        </w:trPr>
        <w:tc>
          <w:tcPr>
            <w:tcW w:w="1405" w:type="pct"/>
          </w:tcPr>
          <w:p w14:paraId="780BA36A" w14:textId="77777777" w:rsidR="006421E2" w:rsidRPr="007D2F65" w:rsidRDefault="006421E2" w:rsidP="007D2F65">
            <w:pPr>
              <w:ind w:left="0" w:right="0"/>
              <w:rPr>
                <w:sz w:val="20"/>
                <w:szCs w:val="20"/>
                <w:lang w:val="en-US"/>
              </w:rPr>
            </w:pPr>
            <w:r w:rsidRPr="007D2F65">
              <w:rPr>
                <w:sz w:val="20"/>
                <w:szCs w:val="20"/>
                <w:lang w:val="en-US"/>
              </w:rPr>
              <w:t>Pericardial Effusion</w:t>
            </w:r>
          </w:p>
        </w:tc>
        <w:tc>
          <w:tcPr>
            <w:tcW w:w="719" w:type="pct"/>
          </w:tcPr>
          <w:p w14:paraId="71891B0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3DFEA8A"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30356CC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C99D99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53C6506"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04B39F17" w14:textId="77777777" w:rsidTr="007D2F65">
        <w:trPr>
          <w:trHeight w:val="237"/>
        </w:trPr>
        <w:tc>
          <w:tcPr>
            <w:tcW w:w="5000" w:type="pct"/>
            <w:gridSpan w:val="6"/>
          </w:tcPr>
          <w:p w14:paraId="01250814" w14:textId="77777777" w:rsidR="006421E2" w:rsidRPr="007D2F65" w:rsidRDefault="006421E2" w:rsidP="007D2F65">
            <w:pPr>
              <w:ind w:left="0" w:right="0"/>
              <w:rPr>
                <w:b/>
                <w:sz w:val="20"/>
                <w:szCs w:val="20"/>
                <w:lang w:val="en-US"/>
              </w:rPr>
            </w:pPr>
            <w:r w:rsidRPr="007D2F65">
              <w:rPr>
                <w:b/>
                <w:sz w:val="20"/>
                <w:szCs w:val="20"/>
                <w:lang w:val="en-US"/>
              </w:rPr>
              <w:t>Infections and Infestations</w:t>
            </w:r>
          </w:p>
        </w:tc>
      </w:tr>
      <w:tr w:rsidR="006421E2" w:rsidRPr="0088305F" w14:paraId="0577832A" w14:textId="77777777" w:rsidTr="007D2F65">
        <w:trPr>
          <w:trHeight w:val="237"/>
        </w:trPr>
        <w:tc>
          <w:tcPr>
            <w:tcW w:w="1405" w:type="pct"/>
          </w:tcPr>
          <w:p w14:paraId="79EAF531" w14:textId="77777777" w:rsidR="006421E2" w:rsidRPr="007D2F65" w:rsidRDefault="006421E2" w:rsidP="007D2F65">
            <w:pPr>
              <w:ind w:left="0" w:right="0"/>
              <w:rPr>
                <w:b/>
                <w:sz w:val="20"/>
                <w:szCs w:val="20"/>
                <w:lang w:val="en-US"/>
              </w:rPr>
            </w:pPr>
            <w:r w:rsidRPr="007D2F65">
              <w:rPr>
                <w:b/>
                <w:sz w:val="20"/>
                <w:szCs w:val="20"/>
                <w:lang w:val="en-US"/>
              </w:rPr>
              <w:t>Total</w:t>
            </w:r>
          </w:p>
        </w:tc>
        <w:tc>
          <w:tcPr>
            <w:tcW w:w="719" w:type="pct"/>
          </w:tcPr>
          <w:p w14:paraId="45CD5B35" w14:textId="77777777" w:rsidR="006421E2" w:rsidRPr="007D2F65" w:rsidRDefault="006421E2" w:rsidP="007D2F65">
            <w:pPr>
              <w:ind w:left="0" w:right="0"/>
              <w:rPr>
                <w:b/>
                <w:sz w:val="20"/>
                <w:szCs w:val="20"/>
                <w:lang w:val="en-US"/>
              </w:rPr>
            </w:pPr>
            <w:r w:rsidRPr="007D2F65">
              <w:rPr>
                <w:b/>
                <w:sz w:val="20"/>
                <w:szCs w:val="20"/>
                <w:lang w:val="en-US"/>
              </w:rPr>
              <w:t>3</w:t>
            </w:r>
          </w:p>
        </w:tc>
        <w:tc>
          <w:tcPr>
            <w:tcW w:w="719" w:type="pct"/>
          </w:tcPr>
          <w:p w14:paraId="7230EB53" w14:textId="77777777" w:rsidR="006421E2" w:rsidRPr="007D2F65" w:rsidRDefault="006421E2" w:rsidP="007D2F65">
            <w:pPr>
              <w:ind w:left="0" w:right="0"/>
              <w:rPr>
                <w:b/>
                <w:sz w:val="20"/>
                <w:szCs w:val="20"/>
                <w:lang w:val="en-US"/>
              </w:rPr>
            </w:pPr>
            <w:r w:rsidRPr="007D2F65">
              <w:rPr>
                <w:b/>
                <w:sz w:val="20"/>
                <w:szCs w:val="20"/>
                <w:lang w:val="en-US"/>
              </w:rPr>
              <w:t>0.7</w:t>
            </w:r>
          </w:p>
        </w:tc>
        <w:tc>
          <w:tcPr>
            <w:tcW w:w="719" w:type="pct"/>
          </w:tcPr>
          <w:p w14:paraId="59C0BEA5" w14:textId="77777777" w:rsidR="006421E2" w:rsidRPr="007D2F65" w:rsidRDefault="006421E2" w:rsidP="007D2F65">
            <w:pPr>
              <w:ind w:left="0" w:right="0"/>
              <w:rPr>
                <w:b/>
                <w:sz w:val="20"/>
                <w:szCs w:val="20"/>
                <w:lang w:val="en-US"/>
              </w:rPr>
            </w:pPr>
            <w:r w:rsidRPr="007D2F65">
              <w:rPr>
                <w:b/>
                <w:sz w:val="20"/>
                <w:szCs w:val="20"/>
                <w:lang w:val="en-US"/>
              </w:rPr>
              <w:t>0.7</w:t>
            </w:r>
          </w:p>
        </w:tc>
        <w:tc>
          <w:tcPr>
            <w:tcW w:w="719" w:type="pct"/>
          </w:tcPr>
          <w:p w14:paraId="525EA492" w14:textId="77777777" w:rsidR="006421E2" w:rsidRPr="007D2F65" w:rsidRDefault="006421E2" w:rsidP="007D2F65">
            <w:pPr>
              <w:ind w:left="0" w:right="0"/>
              <w:rPr>
                <w:b/>
                <w:sz w:val="20"/>
                <w:szCs w:val="20"/>
                <w:lang w:val="en-US"/>
              </w:rPr>
            </w:pPr>
            <w:r w:rsidRPr="007D2F65">
              <w:rPr>
                <w:b/>
                <w:sz w:val="20"/>
                <w:szCs w:val="20"/>
                <w:lang w:val="en-US"/>
              </w:rPr>
              <w:t>0</w:t>
            </w:r>
          </w:p>
        </w:tc>
        <w:tc>
          <w:tcPr>
            <w:tcW w:w="719" w:type="pct"/>
          </w:tcPr>
          <w:p w14:paraId="13DC4CB5" w14:textId="77777777" w:rsidR="006421E2" w:rsidRPr="007D2F65" w:rsidRDefault="006421E2" w:rsidP="007D2F65">
            <w:pPr>
              <w:ind w:left="0" w:right="0"/>
              <w:rPr>
                <w:b/>
                <w:sz w:val="20"/>
                <w:szCs w:val="20"/>
                <w:lang w:val="en-US"/>
              </w:rPr>
            </w:pPr>
            <w:r w:rsidRPr="007D2F65">
              <w:rPr>
                <w:b/>
                <w:sz w:val="20"/>
                <w:szCs w:val="20"/>
                <w:lang w:val="en-US"/>
              </w:rPr>
              <w:t>1.1</w:t>
            </w:r>
          </w:p>
        </w:tc>
      </w:tr>
      <w:tr w:rsidR="006421E2" w:rsidRPr="0088305F" w14:paraId="450E26B3" w14:textId="77777777" w:rsidTr="007D2F65">
        <w:trPr>
          <w:trHeight w:val="474"/>
        </w:trPr>
        <w:tc>
          <w:tcPr>
            <w:tcW w:w="1405" w:type="pct"/>
          </w:tcPr>
          <w:p w14:paraId="06E8781E" w14:textId="07C6FAC1" w:rsidR="006421E2" w:rsidRPr="007D2F65" w:rsidRDefault="006421E2" w:rsidP="007D2F65">
            <w:pPr>
              <w:ind w:left="0" w:right="0"/>
              <w:rPr>
                <w:sz w:val="20"/>
                <w:szCs w:val="20"/>
                <w:lang w:val="en-US"/>
              </w:rPr>
            </w:pPr>
            <w:r w:rsidRPr="007D2F65">
              <w:rPr>
                <w:sz w:val="20"/>
                <w:szCs w:val="20"/>
                <w:lang w:val="en-US"/>
              </w:rPr>
              <w:t>Pneumonia/Lower</w:t>
            </w:r>
            <w:r w:rsidR="0088305F">
              <w:rPr>
                <w:sz w:val="20"/>
                <w:szCs w:val="20"/>
                <w:lang w:val="en-US"/>
              </w:rPr>
              <w:t xml:space="preserve"> </w:t>
            </w:r>
            <w:r w:rsidRPr="007D2F65">
              <w:rPr>
                <w:sz w:val="20"/>
                <w:szCs w:val="20"/>
                <w:lang w:val="en-US"/>
              </w:rPr>
              <w:t>RTI/Lung infection</w:t>
            </w:r>
          </w:p>
        </w:tc>
        <w:tc>
          <w:tcPr>
            <w:tcW w:w="719" w:type="pct"/>
          </w:tcPr>
          <w:p w14:paraId="1F54D5B1"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1496A306"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1F8C7BC"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0137E17"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6D92FDE" w14:textId="77777777" w:rsidR="006421E2" w:rsidRPr="007D2F65" w:rsidRDefault="006421E2" w:rsidP="007D2F65">
            <w:pPr>
              <w:ind w:left="0" w:right="0"/>
              <w:rPr>
                <w:sz w:val="20"/>
                <w:szCs w:val="20"/>
                <w:lang w:val="en-US"/>
              </w:rPr>
            </w:pPr>
            <w:r w:rsidRPr="007D2F65">
              <w:rPr>
                <w:sz w:val="20"/>
                <w:szCs w:val="20"/>
                <w:lang w:val="en-US"/>
              </w:rPr>
              <w:t>0.8</w:t>
            </w:r>
          </w:p>
        </w:tc>
      </w:tr>
      <w:tr w:rsidR="006421E2" w:rsidRPr="0088305F" w14:paraId="700E8ABB" w14:textId="77777777" w:rsidTr="007D2F65">
        <w:trPr>
          <w:trHeight w:val="237"/>
        </w:trPr>
        <w:tc>
          <w:tcPr>
            <w:tcW w:w="1405" w:type="pct"/>
          </w:tcPr>
          <w:p w14:paraId="4AEF6CB4" w14:textId="77777777" w:rsidR="006421E2" w:rsidRPr="007D2F65" w:rsidRDefault="006421E2" w:rsidP="007D2F65">
            <w:pPr>
              <w:ind w:left="0" w:right="0"/>
              <w:rPr>
                <w:sz w:val="20"/>
                <w:szCs w:val="20"/>
                <w:lang w:val="en-US"/>
              </w:rPr>
            </w:pPr>
            <w:r w:rsidRPr="007D2F65">
              <w:rPr>
                <w:sz w:val="20"/>
                <w:szCs w:val="20"/>
                <w:lang w:val="en-US"/>
              </w:rPr>
              <w:t>Sepsis</w:t>
            </w:r>
          </w:p>
        </w:tc>
        <w:tc>
          <w:tcPr>
            <w:tcW w:w="719" w:type="pct"/>
          </w:tcPr>
          <w:p w14:paraId="5E2A20C3"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1137BDD9"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27ADB9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E47EF33"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8B05737"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3AEAB254" w14:textId="77777777" w:rsidTr="007D2F65">
        <w:trPr>
          <w:trHeight w:val="237"/>
        </w:trPr>
        <w:tc>
          <w:tcPr>
            <w:tcW w:w="5000" w:type="pct"/>
            <w:gridSpan w:val="6"/>
          </w:tcPr>
          <w:p w14:paraId="78ED1926" w14:textId="77777777" w:rsidR="006421E2" w:rsidRPr="007D2F65" w:rsidRDefault="006421E2" w:rsidP="007D2F65">
            <w:pPr>
              <w:ind w:left="0" w:right="0"/>
              <w:rPr>
                <w:b/>
                <w:sz w:val="20"/>
                <w:szCs w:val="20"/>
                <w:lang w:val="en-US"/>
              </w:rPr>
            </w:pPr>
            <w:r w:rsidRPr="007D2F65">
              <w:rPr>
                <w:b/>
                <w:sz w:val="20"/>
                <w:szCs w:val="20"/>
                <w:lang w:val="en-US"/>
              </w:rPr>
              <w:t>General disorders and administrative site conditions</w:t>
            </w:r>
          </w:p>
        </w:tc>
      </w:tr>
      <w:tr w:rsidR="006421E2" w:rsidRPr="0088305F" w14:paraId="03CA6FF4" w14:textId="77777777" w:rsidTr="007D2F65">
        <w:trPr>
          <w:trHeight w:val="237"/>
        </w:trPr>
        <w:tc>
          <w:tcPr>
            <w:tcW w:w="1405" w:type="pct"/>
          </w:tcPr>
          <w:p w14:paraId="58C80D2B" w14:textId="77777777" w:rsidR="006421E2" w:rsidRPr="007D2F65" w:rsidRDefault="006421E2" w:rsidP="007D2F65">
            <w:pPr>
              <w:ind w:left="0" w:right="0"/>
              <w:rPr>
                <w:b/>
                <w:sz w:val="20"/>
                <w:szCs w:val="20"/>
                <w:lang w:val="en-US"/>
              </w:rPr>
            </w:pPr>
            <w:r w:rsidRPr="007D2F65">
              <w:rPr>
                <w:b/>
                <w:sz w:val="20"/>
                <w:szCs w:val="20"/>
                <w:lang w:val="en-US"/>
              </w:rPr>
              <w:t>Total</w:t>
            </w:r>
          </w:p>
        </w:tc>
        <w:tc>
          <w:tcPr>
            <w:tcW w:w="719" w:type="pct"/>
          </w:tcPr>
          <w:p w14:paraId="0DADFD7F" w14:textId="77777777" w:rsidR="006421E2" w:rsidRPr="007D2F65" w:rsidRDefault="006421E2" w:rsidP="007D2F65">
            <w:pPr>
              <w:ind w:left="0" w:right="0"/>
              <w:rPr>
                <w:b/>
                <w:sz w:val="20"/>
                <w:szCs w:val="20"/>
                <w:lang w:val="en-US"/>
              </w:rPr>
            </w:pPr>
            <w:r w:rsidRPr="007D2F65">
              <w:rPr>
                <w:b/>
                <w:sz w:val="20"/>
                <w:szCs w:val="20"/>
                <w:lang w:val="en-US"/>
              </w:rPr>
              <w:t>1.5</w:t>
            </w:r>
          </w:p>
        </w:tc>
        <w:tc>
          <w:tcPr>
            <w:tcW w:w="719" w:type="pct"/>
          </w:tcPr>
          <w:p w14:paraId="66E2A090" w14:textId="77777777" w:rsidR="006421E2" w:rsidRPr="007D2F65" w:rsidRDefault="006421E2" w:rsidP="007D2F65">
            <w:pPr>
              <w:ind w:left="0" w:right="0"/>
              <w:rPr>
                <w:b/>
                <w:sz w:val="20"/>
                <w:szCs w:val="20"/>
                <w:lang w:val="en-US"/>
              </w:rPr>
            </w:pPr>
            <w:r w:rsidRPr="007D2F65">
              <w:rPr>
                <w:b/>
                <w:sz w:val="20"/>
                <w:szCs w:val="20"/>
                <w:lang w:val="en-US"/>
              </w:rPr>
              <w:t>0.7</w:t>
            </w:r>
          </w:p>
        </w:tc>
        <w:tc>
          <w:tcPr>
            <w:tcW w:w="719" w:type="pct"/>
          </w:tcPr>
          <w:p w14:paraId="1F36B3B1" w14:textId="77777777" w:rsidR="006421E2" w:rsidRPr="007D2F65" w:rsidRDefault="006421E2" w:rsidP="007D2F65">
            <w:pPr>
              <w:ind w:left="0" w:right="0"/>
              <w:rPr>
                <w:b/>
                <w:sz w:val="20"/>
                <w:szCs w:val="20"/>
                <w:lang w:val="en-US"/>
              </w:rPr>
            </w:pPr>
            <w:r w:rsidRPr="007D2F65">
              <w:rPr>
                <w:b/>
                <w:sz w:val="20"/>
                <w:szCs w:val="20"/>
                <w:lang w:val="en-US"/>
              </w:rPr>
              <w:t>1.5</w:t>
            </w:r>
          </w:p>
        </w:tc>
        <w:tc>
          <w:tcPr>
            <w:tcW w:w="719" w:type="pct"/>
          </w:tcPr>
          <w:p w14:paraId="10985F0D" w14:textId="77777777" w:rsidR="006421E2" w:rsidRPr="007D2F65" w:rsidRDefault="006421E2" w:rsidP="007D2F65">
            <w:pPr>
              <w:ind w:left="0" w:right="0"/>
              <w:rPr>
                <w:b/>
                <w:sz w:val="20"/>
                <w:szCs w:val="20"/>
                <w:lang w:val="en-US"/>
              </w:rPr>
            </w:pPr>
            <w:r w:rsidRPr="007D2F65">
              <w:rPr>
                <w:b/>
                <w:sz w:val="20"/>
                <w:szCs w:val="20"/>
                <w:lang w:val="en-US"/>
              </w:rPr>
              <w:t>0</w:t>
            </w:r>
          </w:p>
        </w:tc>
        <w:tc>
          <w:tcPr>
            <w:tcW w:w="719" w:type="pct"/>
          </w:tcPr>
          <w:p w14:paraId="40832FB8" w14:textId="77777777" w:rsidR="006421E2" w:rsidRPr="007D2F65" w:rsidRDefault="006421E2" w:rsidP="007D2F65">
            <w:pPr>
              <w:ind w:left="0" w:right="0"/>
              <w:rPr>
                <w:b/>
                <w:sz w:val="20"/>
                <w:szCs w:val="20"/>
                <w:lang w:val="en-US"/>
              </w:rPr>
            </w:pPr>
            <w:r w:rsidRPr="007D2F65">
              <w:rPr>
                <w:b/>
                <w:sz w:val="20"/>
                <w:szCs w:val="20"/>
                <w:lang w:val="en-US"/>
              </w:rPr>
              <w:t>1.1</w:t>
            </w:r>
          </w:p>
        </w:tc>
      </w:tr>
      <w:tr w:rsidR="006421E2" w:rsidRPr="0088305F" w14:paraId="7297CDE8" w14:textId="77777777" w:rsidTr="007D2F65">
        <w:trPr>
          <w:trHeight w:val="236"/>
        </w:trPr>
        <w:tc>
          <w:tcPr>
            <w:tcW w:w="1405" w:type="pct"/>
          </w:tcPr>
          <w:p w14:paraId="08358969" w14:textId="77777777" w:rsidR="006421E2" w:rsidRPr="007D2F65" w:rsidRDefault="006421E2" w:rsidP="007D2F65">
            <w:pPr>
              <w:ind w:left="0" w:right="0"/>
              <w:rPr>
                <w:sz w:val="20"/>
                <w:szCs w:val="20"/>
                <w:lang w:val="en-US"/>
              </w:rPr>
            </w:pPr>
            <w:r w:rsidRPr="007D2F65">
              <w:rPr>
                <w:sz w:val="20"/>
                <w:szCs w:val="20"/>
                <w:lang w:val="en-US"/>
              </w:rPr>
              <w:t>Fatigue</w:t>
            </w:r>
          </w:p>
        </w:tc>
        <w:tc>
          <w:tcPr>
            <w:tcW w:w="719" w:type="pct"/>
          </w:tcPr>
          <w:p w14:paraId="08E5233E"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5985A77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7754A14"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69A7CBA9"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53D0FE6" w14:textId="77777777" w:rsidR="006421E2" w:rsidRPr="007D2F65" w:rsidRDefault="006421E2" w:rsidP="007D2F65">
            <w:pPr>
              <w:ind w:left="0" w:right="0"/>
              <w:rPr>
                <w:sz w:val="20"/>
                <w:szCs w:val="20"/>
                <w:lang w:val="en-US"/>
              </w:rPr>
            </w:pPr>
            <w:r w:rsidRPr="007D2F65">
              <w:rPr>
                <w:sz w:val="20"/>
                <w:szCs w:val="20"/>
                <w:lang w:val="en-US"/>
              </w:rPr>
              <w:t>0.6</w:t>
            </w:r>
          </w:p>
        </w:tc>
      </w:tr>
      <w:tr w:rsidR="006421E2" w:rsidRPr="0088305F" w14:paraId="7AAB80E7" w14:textId="77777777" w:rsidTr="007D2F65">
        <w:trPr>
          <w:trHeight w:val="237"/>
        </w:trPr>
        <w:tc>
          <w:tcPr>
            <w:tcW w:w="1405" w:type="pct"/>
          </w:tcPr>
          <w:p w14:paraId="44C337F0" w14:textId="77777777" w:rsidR="006421E2" w:rsidRPr="007D2F65" w:rsidRDefault="006421E2" w:rsidP="007D2F65">
            <w:pPr>
              <w:ind w:left="0" w:right="0"/>
              <w:rPr>
                <w:sz w:val="20"/>
                <w:szCs w:val="20"/>
                <w:lang w:val="en-US"/>
              </w:rPr>
            </w:pPr>
            <w:r w:rsidRPr="007D2F65">
              <w:rPr>
                <w:sz w:val="20"/>
                <w:szCs w:val="20"/>
                <w:lang w:val="en-US"/>
              </w:rPr>
              <w:t>Malaise</w:t>
            </w:r>
          </w:p>
        </w:tc>
        <w:tc>
          <w:tcPr>
            <w:tcW w:w="719" w:type="pct"/>
          </w:tcPr>
          <w:p w14:paraId="1045D95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2B0A33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D7189E9"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7C473D4"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69C7118"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52918E3B" w14:textId="77777777" w:rsidTr="007D2F65">
        <w:trPr>
          <w:trHeight w:val="237"/>
        </w:trPr>
        <w:tc>
          <w:tcPr>
            <w:tcW w:w="1405" w:type="pct"/>
          </w:tcPr>
          <w:p w14:paraId="207D204C" w14:textId="77777777" w:rsidR="006421E2" w:rsidRPr="007D2F65" w:rsidRDefault="006421E2" w:rsidP="007D2F65">
            <w:pPr>
              <w:ind w:left="0" w:right="0"/>
              <w:rPr>
                <w:sz w:val="20"/>
                <w:szCs w:val="20"/>
                <w:lang w:val="en-US"/>
              </w:rPr>
            </w:pPr>
            <w:r w:rsidRPr="007D2F65">
              <w:rPr>
                <w:sz w:val="20"/>
                <w:szCs w:val="20"/>
                <w:lang w:val="en-US"/>
              </w:rPr>
              <w:t>Peripheral edema</w:t>
            </w:r>
          </w:p>
        </w:tc>
        <w:tc>
          <w:tcPr>
            <w:tcW w:w="719" w:type="pct"/>
          </w:tcPr>
          <w:p w14:paraId="7B4CB92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969150B"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5F59203C"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936847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B8403C6" w14:textId="77777777" w:rsidR="006421E2" w:rsidRPr="007D2F65" w:rsidRDefault="006421E2" w:rsidP="007D2F65">
            <w:pPr>
              <w:ind w:left="0" w:right="0"/>
              <w:rPr>
                <w:sz w:val="20"/>
                <w:szCs w:val="20"/>
                <w:lang w:val="en-US"/>
              </w:rPr>
            </w:pPr>
            <w:r w:rsidRPr="007D2F65">
              <w:rPr>
                <w:sz w:val="20"/>
                <w:szCs w:val="20"/>
                <w:lang w:val="en-US"/>
              </w:rPr>
              <w:t>0.3</w:t>
            </w:r>
          </w:p>
        </w:tc>
      </w:tr>
      <w:tr w:rsidR="006421E2" w:rsidRPr="0088305F" w14:paraId="6984D5C2" w14:textId="77777777" w:rsidTr="007D2F65">
        <w:trPr>
          <w:trHeight w:val="421"/>
        </w:trPr>
        <w:tc>
          <w:tcPr>
            <w:tcW w:w="5000" w:type="pct"/>
            <w:gridSpan w:val="6"/>
          </w:tcPr>
          <w:p w14:paraId="350A5C54" w14:textId="77777777" w:rsidR="006421E2" w:rsidRPr="007D2F65" w:rsidRDefault="006421E2" w:rsidP="007D2F65">
            <w:pPr>
              <w:ind w:left="0" w:right="0"/>
              <w:rPr>
                <w:i/>
                <w:sz w:val="20"/>
                <w:szCs w:val="20"/>
                <w:lang w:val="en-US"/>
              </w:rPr>
            </w:pPr>
            <w:r w:rsidRPr="007D2F65">
              <w:rPr>
                <w:i/>
                <w:sz w:val="20"/>
                <w:szCs w:val="20"/>
                <w:lang w:val="en-US"/>
              </w:rPr>
              <w:t xml:space="preserve">AEs that led to </w:t>
            </w:r>
            <w:r w:rsidRPr="007D2F65">
              <w:rPr>
                <w:b/>
                <w:i/>
                <w:sz w:val="20"/>
                <w:szCs w:val="20"/>
                <w:lang w:val="en-US"/>
              </w:rPr>
              <w:t>treatment interruption</w:t>
            </w:r>
            <w:r w:rsidRPr="007D2F65">
              <w:rPr>
                <w:i/>
                <w:sz w:val="20"/>
                <w:szCs w:val="20"/>
                <w:lang w:val="en-US"/>
              </w:rPr>
              <w:t xml:space="preserve"> in at least 1% of patients in the integrated safety population</w:t>
            </w:r>
          </w:p>
        </w:tc>
      </w:tr>
      <w:tr w:rsidR="006421E2" w:rsidRPr="0088305F" w14:paraId="63394E87" w14:textId="77777777" w:rsidTr="007D2F65">
        <w:trPr>
          <w:trHeight w:val="237"/>
        </w:trPr>
        <w:tc>
          <w:tcPr>
            <w:tcW w:w="1405" w:type="pct"/>
          </w:tcPr>
          <w:p w14:paraId="28096C1D" w14:textId="77777777" w:rsidR="006421E2" w:rsidRPr="007D2F65" w:rsidRDefault="006421E2" w:rsidP="007D2F65">
            <w:pPr>
              <w:ind w:left="0" w:right="0"/>
              <w:rPr>
                <w:b/>
                <w:sz w:val="20"/>
                <w:szCs w:val="20"/>
                <w:lang w:val="en-US"/>
              </w:rPr>
            </w:pPr>
            <w:r w:rsidRPr="007D2F65">
              <w:rPr>
                <w:b/>
                <w:sz w:val="20"/>
                <w:szCs w:val="20"/>
                <w:lang w:val="en-US"/>
              </w:rPr>
              <w:t>Total %</w:t>
            </w:r>
          </w:p>
        </w:tc>
        <w:tc>
          <w:tcPr>
            <w:tcW w:w="719" w:type="pct"/>
          </w:tcPr>
          <w:p w14:paraId="0C8558F3" w14:textId="77777777" w:rsidR="006421E2" w:rsidRPr="007D2F65" w:rsidRDefault="006421E2" w:rsidP="007D2F65">
            <w:pPr>
              <w:ind w:left="0" w:right="0"/>
              <w:rPr>
                <w:b/>
                <w:sz w:val="20"/>
                <w:szCs w:val="20"/>
                <w:lang w:val="en-US"/>
              </w:rPr>
            </w:pPr>
            <w:r w:rsidRPr="007D2F65">
              <w:rPr>
                <w:b/>
                <w:sz w:val="20"/>
                <w:szCs w:val="20"/>
                <w:lang w:val="en-US"/>
              </w:rPr>
              <w:t>56</w:t>
            </w:r>
          </w:p>
        </w:tc>
        <w:tc>
          <w:tcPr>
            <w:tcW w:w="719" w:type="pct"/>
          </w:tcPr>
          <w:p w14:paraId="72B20F88" w14:textId="77777777" w:rsidR="006421E2" w:rsidRPr="007D2F65" w:rsidRDefault="006421E2" w:rsidP="007D2F65">
            <w:pPr>
              <w:ind w:left="0" w:right="0"/>
              <w:rPr>
                <w:b/>
                <w:sz w:val="20"/>
                <w:szCs w:val="20"/>
                <w:lang w:val="en-US"/>
              </w:rPr>
            </w:pPr>
            <w:r w:rsidRPr="007D2F65">
              <w:rPr>
                <w:b/>
                <w:sz w:val="20"/>
                <w:szCs w:val="20"/>
                <w:lang w:val="en-US"/>
              </w:rPr>
              <w:t>45</w:t>
            </w:r>
          </w:p>
        </w:tc>
        <w:tc>
          <w:tcPr>
            <w:tcW w:w="719" w:type="pct"/>
          </w:tcPr>
          <w:p w14:paraId="340AC985" w14:textId="77777777" w:rsidR="006421E2" w:rsidRPr="007D2F65" w:rsidRDefault="006421E2" w:rsidP="007D2F65">
            <w:pPr>
              <w:ind w:left="0" w:right="0"/>
              <w:rPr>
                <w:b/>
                <w:sz w:val="20"/>
                <w:szCs w:val="20"/>
                <w:lang w:val="en-US"/>
              </w:rPr>
            </w:pPr>
            <w:r w:rsidRPr="007D2F65">
              <w:rPr>
                <w:b/>
                <w:sz w:val="20"/>
                <w:szCs w:val="20"/>
                <w:lang w:val="en-US"/>
              </w:rPr>
              <w:t>43</w:t>
            </w:r>
          </w:p>
        </w:tc>
        <w:tc>
          <w:tcPr>
            <w:tcW w:w="719" w:type="pct"/>
          </w:tcPr>
          <w:p w14:paraId="1CE1C990" w14:textId="77777777" w:rsidR="006421E2" w:rsidRPr="007D2F65" w:rsidRDefault="006421E2" w:rsidP="007D2F65">
            <w:pPr>
              <w:ind w:left="0" w:right="0"/>
              <w:rPr>
                <w:b/>
                <w:sz w:val="20"/>
                <w:szCs w:val="20"/>
                <w:lang w:val="en-US"/>
              </w:rPr>
            </w:pPr>
            <w:r w:rsidRPr="007D2F65">
              <w:rPr>
                <w:b/>
                <w:sz w:val="20"/>
                <w:szCs w:val="20"/>
                <w:lang w:val="en-US"/>
              </w:rPr>
              <w:t>38</w:t>
            </w:r>
          </w:p>
        </w:tc>
        <w:tc>
          <w:tcPr>
            <w:tcW w:w="719" w:type="pct"/>
          </w:tcPr>
          <w:p w14:paraId="1CFE4F6A" w14:textId="77777777" w:rsidR="006421E2" w:rsidRPr="007D2F65" w:rsidRDefault="006421E2" w:rsidP="007D2F65">
            <w:pPr>
              <w:ind w:left="0" w:right="0"/>
              <w:rPr>
                <w:b/>
                <w:sz w:val="20"/>
                <w:szCs w:val="20"/>
                <w:lang w:val="en-US"/>
              </w:rPr>
            </w:pPr>
            <w:r w:rsidRPr="007D2F65">
              <w:rPr>
                <w:b/>
                <w:sz w:val="20"/>
                <w:szCs w:val="20"/>
                <w:lang w:val="en-US"/>
              </w:rPr>
              <w:t>46</w:t>
            </w:r>
          </w:p>
        </w:tc>
      </w:tr>
      <w:tr w:rsidR="006421E2" w:rsidRPr="0088305F" w14:paraId="25F75448" w14:textId="77777777" w:rsidTr="007D2F65">
        <w:trPr>
          <w:trHeight w:val="238"/>
        </w:trPr>
        <w:tc>
          <w:tcPr>
            <w:tcW w:w="1405" w:type="pct"/>
          </w:tcPr>
          <w:p w14:paraId="288673A6" w14:textId="77777777" w:rsidR="006421E2" w:rsidRPr="007D2F65" w:rsidRDefault="006421E2" w:rsidP="007D2F65">
            <w:pPr>
              <w:ind w:left="0" w:right="0"/>
              <w:rPr>
                <w:sz w:val="20"/>
                <w:szCs w:val="20"/>
                <w:lang w:val="en-US"/>
              </w:rPr>
            </w:pPr>
            <w:r w:rsidRPr="007D2F65">
              <w:rPr>
                <w:sz w:val="20"/>
                <w:szCs w:val="20"/>
                <w:lang w:val="en-US"/>
              </w:rPr>
              <w:t>Increased creatinine/AKI</w:t>
            </w:r>
          </w:p>
        </w:tc>
        <w:tc>
          <w:tcPr>
            <w:tcW w:w="719" w:type="pct"/>
          </w:tcPr>
          <w:p w14:paraId="490F82A4"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7313B786"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567489BD"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4FD4ED74" w14:textId="77777777" w:rsidR="006421E2" w:rsidRPr="007D2F65" w:rsidRDefault="006421E2" w:rsidP="007D2F65">
            <w:pPr>
              <w:ind w:left="0" w:right="0"/>
              <w:rPr>
                <w:sz w:val="20"/>
                <w:szCs w:val="20"/>
                <w:lang w:val="en-US"/>
              </w:rPr>
            </w:pPr>
            <w:r w:rsidRPr="007D2F65">
              <w:rPr>
                <w:sz w:val="20"/>
                <w:szCs w:val="20"/>
                <w:lang w:val="en-US"/>
              </w:rPr>
              <w:t>12.5</w:t>
            </w:r>
          </w:p>
        </w:tc>
        <w:tc>
          <w:tcPr>
            <w:tcW w:w="719" w:type="pct"/>
          </w:tcPr>
          <w:p w14:paraId="36A65428" w14:textId="77777777" w:rsidR="006421E2" w:rsidRPr="007D2F65" w:rsidRDefault="006421E2" w:rsidP="007D2F65">
            <w:pPr>
              <w:ind w:left="0" w:right="0"/>
              <w:rPr>
                <w:sz w:val="20"/>
                <w:szCs w:val="20"/>
                <w:lang w:val="en-US"/>
              </w:rPr>
            </w:pPr>
            <w:r w:rsidRPr="007D2F65">
              <w:rPr>
                <w:sz w:val="20"/>
                <w:szCs w:val="20"/>
                <w:lang w:val="en-US"/>
              </w:rPr>
              <w:t>3.9</w:t>
            </w:r>
          </w:p>
        </w:tc>
      </w:tr>
      <w:tr w:rsidR="006421E2" w:rsidRPr="0088305F" w14:paraId="08A4DE40" w14:textId="77777777" w:rsidTr="007D2F65">
        <w:trPr>
          <w:trHeight w:val="237"/>
        </w:trPr>
        <w:tc>
          <w:tcPr>
            <w:tcW w:w="1405" w:type="pct"/>
          </w:tcPr>
          <w:p w14:paraId="1C690827" w14:textId="77777777" w:rsidR="006421E2" w:rsidRPr="007D2F65" w:rsidRDefault="006421E2" w:rsidP="007D2F65">
            <w:pPr>
              <w:ind w:left="0" w:right="0"/>
              <w:rPr>
                <w:sz w:val="20"/>
                <w:szCs w:val="20"/>
                <w:lang w:val="en-US"/>
              </w:rPr>
            </w:pPr>
            <w:r w:rsidRPr="007D2F65">
              <w:rPr>
                <w:sz w:val="20"/>
                <w:szCs w:val="20"/>
                <w:lang w:val="en-US"/>
              </w:rPr>
              <w:t>Fatigue</w:t>
            </w:r>
          </w:p>
        </w:tc>
        <w:tc>
          <w:tcPr>
            <w:tcW w:w="719" w:type="pct"/>
          </w:tcPr>
          <w:p w14:paraId="046A8A47" w14:textId="77777777" w:rsidR="006421E2" w:rsidRPr="007D2F65" w:rsidRDefault="006421E2" w:rsidP="007D2F65">
            <w:pPr>
              <w:ind w:left="0" w:right="0"/>
              <w:rPr>
                <w:sz w:val="20"/>
                <w:szCs w:val="20"/>
                <w:lang w:val="en-US"/>
              </w:rPr>
            </w:pPr>
            <w:r w:rsidRPr="007D2F65">
              <w:rPr>
                <w:sz w:val="20"/>
                <w:szCs w:val="20"/>
                <w:lang w:val="en-US"/>
              </w:rPr>
              <w:t>7</w:t>
            </w:r>
          </w:p>
        </w:tc>
        <w:tc>
          <w:tcPr>
            <w:tcW w:w="719" w:type="pct"/>
          </w:tcPr>
          <w:p w14:paraId="06476B90"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7CF61567"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07A00310"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20A22CFE" w14:textId="77777777" w:rsidR="006421E2" w:rsidRPr="007D2F65" w:rsidRDefault="006421E2" w:rsidP="007D2F65">
            <w:pPr>
              <w:ind w:left="0" w:right="0"/>
              <w:rPr>
                <w:sz w:val="20"/>
                <w:szCs w:val="20"/>
                <w:lang w:val="en-US"/>
              </w:rPr>
            </w:pPr>
            <w:r w:rsidRPr="007D2F65">
              <w:rPr>
                <w:sz w:val="20"/>
                <w:szCs w:val="20"/>
                <w:lang w:val="en-US"/>
              </w:rPr>
              <w:t>3.7</w:t>
            </w:r>
          </w:p>
        </w:tc>
      </w:tr>
      <w:tr w:rsidR="006421E2" w:rsidRPr="0088305F" w14:paraId="5E43E012" w14:textId="77777777" w:rsidTr="007D2F65">
        <w:trPr>
          <w:trHeight w:val="236"/>
        </w:trPr>
        <w:tc>
          <w:tcPr>
            <w:tcW w:w="1405" w:type="pct"/>
          </w:tcPr>
          <w:p w14:paraId="37EEE5C9" w14:textId="77777777" w:rsidR="006421E2" w:rsidRPr="007D2F65" w:rsidRDefault="006421E2" w:rsidP="007D2F65">
            <w:pPr>
              <w:ind w:left="0" w:right="0"/>
              <w:rPr>
                <w:sz w:val="20"/>
                <w:szCs w:val="20"/>
                <w:lang w:val="en-US"/>
              </w:rPr>
            </w:pPr>
            <w:r w:rsidRPr="007D2F65">
              <w:rPr>
                <w:sz w:val="20"/>
                <w:szCs w:val="20"/>
                <w:lang w:val="en-US"/>
              </w:rPr>
              <w:t>Anemia</w:t>
            </w:r>
          </w:p>
        </w:tc>
        <w:tc>
          <w:tcPr>
            <w:tcW w:w="719" w:type="pct"/>
          </w:tcPr>
          <w:p w14:paraId="62F2341F" w14:textId="77777777" w:rsidR="006421E2" w:rsidRPr="007D2F65" w:rsidRDefault="006421E2" w:rsidP="007D2F65">
            <w:pPr>
              <w:ind w:left="0" w:right="0"/>
              <w:rPr>
                <w:sz w:val="20"/>
                <w:szCs w:val="20"/>
                <w:lang w:val="en-US"/>
              </w:rPr>
            </w:pPr>
            <w:r w:rsidRPr="007D2F65">
              <w:rPr>
                <w:sz w:val="20"/>
                <w:szCs w:val="20"/>
                <w:lang w:val="en-US"/>
              </w:rPr>
              <w:t>9</w:t>
            </w:r>
          </w:p>
        </w:tc>
        <w:tc>
          <w:tcPr>
            <w:tcW w:w="719" w:type="pct"/>
          </w:tcPr>
          <w:p w14:paraId="00C67CE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9B181A1"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09C6D8A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C734C53" w14:textId="77777777" w:rsidR="006421E2" w:rsidRPr="007D2F65" w:rsidRDefault="006421E2" w:rsidP="007D2F65">
            <w:pPr>
              <w:ind w:left="0" w:right="0"/>
              <w:rPr>
                <w:sz w:val="20"/>
                <w:szCs w:val="20"/>
                <w:lang w:val="en-US"/>
              </w:rPr>
            </w:pPr>
            <w:r w:rsidRPr="007D2F65">
              <w:rPr>
                <w:sz w:val="20"/>
                <w:szCs w:val="20"/>
                <w:lang w:val="en-US"/>
              </w:rPr>
              <w:t>3.1</w:t>
            </w:r>
          </w:p>
        </w:tc>
      </w:tr>
      <w:tr w:rsidR="006421E2" w:rsidRPr="0088305F" w14:paraId="3920AD35" w14:textId="77777777" w:rsidTr="007D2F65">
        <w:trPr>
          <w:trHeight w:val="237"/>
        </w:trPr>
        <w:tc>
          <w:tcPr>
            <w:tcW w:w="1405" w:type="pct"/>
          </w:tcPr>
          <w:p w14:paraId="6CF7FD29" w14:textId="77777777" w:rsidR="006421E2" w:rsidRPr="007D2F65" w:rsidRDefault="006421E2" w:rsidP="007D2F65">
            <w:pPr>
              <w:ind w:left="0" w:right="0"/>
              <w:rPr>
                <w:sz w:val="20"/>
                <w:szCs w:val="20"/>
                <w:lang w:val="en-US"/>
              </w:rPr>
            </w:pPr>
            <w:r w:rsidRPr="007D2F65">
              <w:rPr>
                <w:sz w:val="20"/>
                <w:szCs w:val="20"/>
                <w:lang w:val="en-US"/>
              </w:rPr>
              <w:t>Diarrhea</w:t>
            </w:r>
          </w:p>
        </w:tc>
        <w:tc>
          <w:tcPr>
            <w:tcW w:w="719" w:type="pct"/>
          </w:tcPr>
          <w:p w14:paraId="00B7F9F2"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2CFC69B2"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6A6F8EA8"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54C0A2D3"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7D336E70" w14:textId="77777777" w:rsidR="006421E2" w:rsidRPr="007D2F65" w:rsidRDefault="006421E2" w:rsidP="007D2F65">
            <w:pPr>
              <w:ind w:left="0" w:right="0"/>
              <w:rPr>
                <w:sz w:val="20"/>
                <w:szCs w:val="20"/>
                <w:lang w:val="en-US"/>
              </w:rPr>
            </w:pPr>
            <w:r w:rsidRPr="007D2F65">
              <w:rPr>
                <w:sz w:val="20"/>
                <w:szCs w:val="20"/>
                <w:lang w:val="en-US"/>
              </w:rPr>
              <w:t>2.8</w:t>
            </w:r>
          </w:p>
        </w:tc>
      </w:tr>
      <w:tr w:rsidR="006421E2" w:rsidRPr="0088305F" w14:paraId="63298869" w14:textId="77777777" w:rsidTr="007D2F65">
        <w:trPr>
          <w:trHeight w:val="237"/>
        </w:trPr>
        <w:tc>
          <w:tcPr>
            <w:tcW w:w="1405" w:type="pct"/>
          </w:tcPr>
          <w:p w14:paraId="35A1A119" w14:textId="77777777" w:rsidR="006421E2" w:rsidRPr="007D2F65" w:rsidRDefault="006421E2" w:rsidP="007D2F65">
            <w:pPr>
              <w:ind w:left="0" w:right="0"/>
              <w:rPr>
                <w:sz w:val="20"/>
                <w:szCs w:val="20"/>
                <w:lang w:val="en-US"/>
              </w:rPr>
            </w:pPr>
            <w:r w:rsidRPr="007D2F65">
              <w:rPr>
                <w:sz w:val="20"/>
                <w:szCs w:val="20"/>
                <w:lang w:val="en-US"/>
              </w:rPr>
              <w:t>Pyrexia</w:t>
            </w:r>
          </w:p>
        </w:tc>
        <w:tc>
          <w:tcPr>
            <w:tcW w:w="719" w:type="pct"/>
          </w:tcPr>
          <w:p w14:paraId="14AE0391"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72CB9017"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0663A7F6"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382F4788"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8D80AF8" w14:textId="77777777" w:rsidR="006421E2" w:rsidRPr="007D2F65" w:rsidRDefault="006421E2" w:rsidP="007D2F65">
            <w:pPr>
              <w:ind w:left="0" w:right="0"/>
              <w:rPr>
                <w:sz w:val="20"/>
                <w:szCs w:val="20"/>
                <w:lang w:val="en-US"/>
              </w:rPr>
            </w:pPr>
            <w:r w:rsidRPr="007D2F65">
              <w:rPr>
                <w:sz w:val="20"/>
                <w:szCs w:val="20"/>
                <w:lang w:val="en-US"/>
              </w:rPr>
              <w:t>2.8</w:t>
            </w:r>
          </w:p>
        </w:tc>
      </w:tr>
      <w:tr w:rsidR="006421E2" w:rsidRPr="0088305F" w14:paraId="0EEF6750" w14:textId="77777777" w:rsidTr="007D2F65">
        <w:trPr>
          <w:trHeight w:val="237"/>
        </w:trPr>
        <w:tc>
          <w:tcPr>
            <w:tcW w:w="1405" w:type="pct"/>
          </w:tcPr>
          <w:p w14:paraId="4B630673" w14:textId="77777777" w:rsidR="006421E2" w:rsidRPr="007D2F65" w:rsidRDefault="006421E2" w:rsidP="007D2F65">
            <w:pPr>
              <w:ind w:left="0" w:right="0"/>
              <w:rPr>
                <w:sz w:val="20"/>
                <w:szCs w:val="20"/>
                <w:lang w:val="en-US"/>
              </w:rPr>
            </w:pPr>
            <w:r w:rsidRPr="007D2F65">
              <w:rPr>
                <w:sz w:val="20"/>
                <w:szCs w:val="20"/>
                <w:lang w:val="en-US"/>
              </w:rPr>
              <w:t>Dizziness</w:t>
            </w:r>
          </w:p>
        </w:tc>
        <w:tc>
          <w:tcPr>
            <w:tcW w:w="719" w:type="pct"/>
          </w:tcPr>
          <w:p w14:paraId="30FB4F9B"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3429C161" w14:textId="77777777" w:rsidR="006421E2" w:rsidRPr="007D2F65" w:rsidRDefault="006421E2" w:rsidP="007D2F65">
            <w:pPr>
              <w:ind w:left="0" w:right="0"/>
              <w:rPr>
                <w:sz w:val="20"/>
                <w:szCs w:val="20"/>
                <w:lang w:val="en-US"/>
              </w:rPr>
            </w:pPr>
            <w:r w:rsidRPr="007D2F65">
              <w:rPr>
                <w:sz w:val="20"/>
                <w:szCs w:val="20"/>
                <w:lang w:val="en-US"/>
              </w:rPr>
              <w:t>5</w:t>
            </w:r>
          </w:p>
        </w:tc>
        <w:tc>
          <w:tcPr>
            <w:tcW w:w="719" w:type="pct"/>
          </w:tcPr>
          <w:p w14:paraId="40EC786F"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4AD51E2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CF1AFBA" w14:textId="77777777" w:rsidR="006421E2" w:rsidRPr="007D2F65" w:rsidRDefault="006421E2" w:rsidP="007D2F65">
            <w:pPr>
              <w:ind w:left="0" w:right="0"/>
              <w:rPr>
                <w:sz w:val="20"/>
                <w:szCs w:val="20"/>
                <w:lang w:val="en-US"/>
              </w:rPr>
            </w:pPr>
            <w:r w:rsidRPr="007D2F65">
              <w:rPr>
                <w:sz w:val="20"/>
                <w:szCs w:val="20"/>
                <w:lang w:val="en-US"/>
              </w:rPr>
              <w:t>2.5</w:t>
            </w:r>
          </w:p>
        </w:tc>
      </w:tr>
      <w:tr w:rsidR="006421E2" w:rsidRPr="0088305F" w14:paraId="1C5D92D1" w14:textId="77777777" w:rsidTr="007D2F65">
        <w:trPr>
          <w:trHeight w:val="237"/>
        </w:trPr>
        <w:tc>
          <w:tcPr>
            <w:tcW w:w="1405" w:type="pct"/>
          </w:tcPr>
          <w:p w14:paraId="115B1B8B" w14:textId="77777777" w:rsidR="006421E2" w:rsidRPr="007D2F65" w:rsidRDefault="006421E2" w:rsidP="007D2F65">
            <w:pPr>
              <w:ind w:left="0" w:right="0"/>
              <w:rPr>
                <w:sz w:val="20"/>
                <w:szCs w:val="20"/>
                <w:lang w:val="en-US"/>
              </w:rPr>
            </w:pPr>
            <w:r w:rsidRPr="007D2F65">
              <w:rPr>
                <w:sz w:val="20"/>
                <w:szCs w:val="20"/>
                <w:lang w:val="en-US"/>
              </w:rPr>
              <w:t>Nausea</w:t>
            </w:r>
          </w:p>
        </w:tc>
        <w:tc>
          <w:tcPr>
            <w:tcW w:w="719" w:type="pct"/>
          </w:tcPr>
          <w:p w14:paraId="6F3C4ECD"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77A80E39"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05369560"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1A0D304F"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7031587" w14:textId="77777777" w:rsidR="006421E2" w:rsidRPr="007D2F65" w:rsidRDefault="006421E2" w:rsidP="007D2F65">
            <w:pPr>
              <w:ind w:left="0" w:right="0"/>
              <w:rPr>
                <w:sz w:val="20"/>
                <w:szCs w:val="20"/>
                <w:lang w:val="en-US"/>
              </w:rPr>
            </w:pPr>
            <w:r w:rsidRPr="007D2F65">
              <w:rPr>
                <w:sz w:val="20"/>
                <w:szCs w:val="20"/>
                <w:lang w:val="en-US"/>
              </w:rPr>
              <w:t>2.3</w:t>
            </w:r>
          </w:p>
        </w:tc>
      </w:tr>
      <w:tr w:rsidR="006421E2" w:rsidRPr="0088305F" w14:paraId="0318B6F0" w14:textId="77777777" w:rsidTr="007D2F65">
        <w:trPr>
          <w:trHeight w:val="236"/>
        </w:trPr>
        <w:tc>
          <w:tcPr>
            <w:tcW w:w="1405" w:type="pct"/>
          </w:tcPr>
          <w:p w14:paraId="4CD62D4C" w14:textId="77777777" w:rsidR="006421E2" w:rsidRPr="007D2F65" w:rsidRDefault="006421E2" w:rsidP="007D2F65">
            <w:pPr>
              <w:ind w:left="0" w:right="0"/>
              <w:rPr>
                <w:sz w:val="20"/>
                <w:szCs w:val="20"/>
                <w:lang w:val="en-US"/>
              </w:rPr>
            </w:pPr>
            <w:r w:rsidRPr="007D2F65">
              <w:rPr>
                <w:sz w:val="20"/>
                <w:szCs w:val="20"/>
                <w:lang w:val="en-US"/>
              </w:rPr>
              <w:lastRenderedPageBreak/>
              <w:t>Dyspnea</w:t>
            </w:r>
          </w:p>
        </w:tc>
        <w:tc>
          <w:tcPr>
            <w:tcW w:w="719" w:type="pct"/>
          </w:tcPr>
          <w:p w14:paraId="4F94A07D"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13DDBA1F"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3C3A0184"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1858FF0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93C2308" w14:textId="77777777" w:rsidR="006421E2" w:rsidRPr="007D2F65" w:rsidRDefault="006421E2" w:rsidP="007D2F65">
            <w:pPr>
              <w:ind w:left="0" w:right="0"/>
              <w:rPr>
                <w:sz w:val="20"/>
                <w:szCs w:val="20"/>
                <w:lang w:val="en-US"/>
              </w:rPr>
            </w:pPr>
            <w:r w:rsidRPr="007D2F65">
              <w:rPr>
                <w:sz w:val="20"/>
                <w:szCs w:val="20"/>
                <w:lang w:val="en-US"/>
              </w:rPr>
              <w:t>2.3</w:t>
            </w:r>
          </w:p>
        </w:tc>
      </w:tr>
      <w:tr w:rsidR="006421E2" w:rsidRPr="0088305F" w14:paraId="054FB140" w14:textId="77777777" w:rsidTr="007D2F65">
        <w:trPr>
          <w:trHeight w:val="237"/>
        </w:trPr>
        <w:tc>
          <w:tcPr>
            <w:tcW w:w="1405" w:type="pct"/>
          </w:tcPr>
          <w:p w14:paraId="662EBE2C" w14:textId="77777777" w:rsidR="006421E2" w:rsidRPr="007D2F65" w:rsidRDefault="006421E2" w:rsidP="007D2F65">
            <w:pPr>
              <w:ind w:left="0" w:right="0"/>
              <w:rPr>
                <w:sz w:val="20"/>
                <w:szCs w:val="20"/>
                <w:lang w:val="en-US"/>
              </w:rPr>
            </w:pPr>
            <w:r w:rsidRPr="007D2F65">
              <w:rPr>
                <w:sz w:val="20"/>
                <w:szCs w:val="20"/>
                <w:lang w:val="en-US"/>
              </w:rPr>
              <w:t>Pneumonia</w:t>
            </w:r>
          </w:p>
        </w:tc>
        <w:tc>
          <w:tcPr>
            <w:tcW w:w="719" w:type="pct"/>
          </w:tcPr>
          <w:p w14:paraId="2A42858A"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5509CAA9"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73B092D4"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57FDBC43"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3C2C29E3" w14:textId="77777777" w:rsidR="006421E2" w:rsidRPr="007D2F65" w:rsidRDefault="006421E2" w:rsidP="007D2F65">
            <w:pPr>
              <w:ind w:left="0" w:right="0"/>
              <w:rPr>
                <w:sz w:val="20"/>
                <w:szCs w:val="20"/>
                <w:lang w:val="en-US"/>
              </w:rPr>
            </w:pPr>
            <w:r w:rsidRPr="007D2F65">
              <w:rPr>
                <w:sz w:val="20"/>
                <w:szCs w:val="20"/>
                <w:lang w:val="en-US"/>
              </w:rPr>
              <w:t>2.3</w:t>
            </w:r>
          </w:p>
        </w:tc>
      </w:tr>
      <w:tr w:rsidR="006421E2" w:rsidRPr="0088305F" w14:paraId="61FE7A56" w14:textId="77777777" w:rsidTr="007D2F65">
        <w:trPr>
          <w:trHeight w:val="237"/>
        </w:trPr>
        <w:tc>
          <w:tcPr>
            <w:tcW w:w="1405" w:type="pct"/>
          </w:tcPr>
          <w:p w14:paraId="5D4F982D" w14:textId="77777777" w:rsidR="006421E2" w:rsidRPr="007D2F65" w:rsidRDefault="006421E2" w:rsidP="007D2F65">
            <w:pPr>
              <w:ind w:left="0" w:right="0"/>
              <w:rPr>
                <w:sz w:val="20"/>
                <w:szCs w:val="20"/>
                <w:lang w:val="en-US"/>
              </w:rPr>
            </w:pPr>
            <w:r w:rsidRPr="007D2F65">
              <w:rPr>
                <w:sz w:val="20"/>
                <w:szCs w:val="20"/>
                <w:lang w:val="en-US"/>
              </w:rPr>
              <w:t>Cognitive disorder</w:t>
            </w:r>
          </w:p>
        </w:tc>
        <w:tc>
          <w:tcPr>
            <w:tcW w:w="719" w:type="pct"/>
          </w:tcPr>
          <w:p w14:paraId="518DCB77"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7C37B42" w14:textId="77777777" w:rsidR="006421E2" w:rsidRPr="007D2F65" w:rsidRDefault="006421E2" w:rsidP="007D2F65">
            <w:pPr>
              <w:ind w:left="0" w:right="0"/>
              <w:rPr>
                <w:sz w:val="20"/>
                <w:szCs w:val="20"/>
                <w:lang w:val="en-US"/>
              </w:rPr>
            </w:pPr>
            <w:r w:rsidRPr="007D2F65">
              <w:rPr>
                <w:sz w:val="20"/>
                <w:szCs w:val="20"/>
                <w:lang w:val="en-US"/>
              </w:rPr>
              <w:t>4.5</w:t>
            </w:r>
          </w:p>
        </w:tc>
        <w:tc>
          <w:tcPr>
            <w:tcW w:w="719" w:type="pct"/>
          </w:tcPr>
          <w:p w14:paraId="315C6373"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40600FC3"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04995A4" w14:textId="77777777" w:rsidR="006421E2" w:rsidRPr="007D2F65" w:rsidRDefault="006421E2" w:rsidP="007D2F65">
            <w:pPr>
              <w:ind w:left="0" w:right="0"/>
              <w:rPr>
                <w:sz w:val="20"/>
                <w:szCs w:val="20"/>
                <w:lang w:val="en-US"/>
              </w:rPr>
            </w:pPr>
            <w:r w:rsidRPr="007D2F65">
              <w:rPr>
                <w:sz w:val="20"/>
                <w:szCs w:val="20"/>
                <w:lang w:val="en-US"/>
              </w:rPr>
              <w:t>2.0</w:t>
            </w:r>
          </w:p>
        </w:tc>
      </w:tr>
      <w:tr w:rsidR="006421E2" w:rsidRPr="0088305F" w14:paraId="3C7CB129" w14:textId="77777777" w:rsidTr="007D2F65">
        <w:trPr>
          <w:trHeight w:val="237"/>
        </w:trPr>
        <w:tc>
          <w:tcPr>
            <w:tcW w:w="1405" w:type="pct"/>
          </w:tcPr>
          <w:p w14:paraId="7AA81333" w14:textId="77777777" w:rsidR="006421E2" w:rsidRPr="007D2F65" w:rsidRDefault="006421E2" w:rsidP="007D2F65">
            <w:pPr>
              <w:ind w:left="0" w:right="0"/>
              <w:rPr>
                <w:sz w:val="20"/>
                <w:szCs w:val="20"/>
                <w:lang w:val="en-US"/>
              </w:rPr>
            </w:pPr>
            <w:r w:rsidRPr="007D2F65">
              <w:rPr>
                <w:sz w:val="20"/>
                <w:szCs w:val="20"/>
                <w:lang w:val="en-US"/>
              </w:rPr>
              <w:t>Neutropenia</w:t>
            </w:r>
          </w:p>
        </w:tc>
        <w:tc>
          <w:tcPr>
            <w:tcW w:w="719" w:type="pct"/>
          </w:tcPr>
          <w:p w14:paraId="1CF5833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1B6A56D"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26F50A09"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218EC108"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7C900780" w14:textId="77777777" w:rsidR="006421E2" w:rsidRPr="007D2F65" w:rsidRDefault="006421E2" w:rsidP="007D2F65">
            <w:pPr>
              <w:ind w:left="0" w:right="0"/>
              <w:rPr>
                <w:sz w:val="20"/>
                <w:szCs w:val="20"/>
                <w:lang w:val="en-US"/>
              </w:rPr>
            </w:pPr>
            <w:r w:rsidRPr="007D2F65">
              <w:rPr>
                <w:sz w:val="20"/>
                <w:szCs w:val="20"/>
                <w:lang w:val="en-US"/>
              </w:rPr>
              <w:t>2.0</w:t>
            </w:r>
          </w:p>
        </w:tc>
      </w:tr>
      <w:tr w:rsidR="006421E2" w:rsidRPr="0088305F" w14:paraId="662087DF" w14:textId="77777777" w:rsidTr="007D2F65">
        <w:trPr>
          <w:trHeight w:val="236"/>
        </w:trPr>
        <w:tc>
          <w:tcPr>
            <w:tcW w:w="1405" w:type="pct"/>
          </w:tcPr>
          <w:p w14:paraId="16A54EE2" w14:textId="77777777" w:rsidR="006421E2" w:rsidRPr="007D2F65" w:rsidRDefault="006421E2" w:rsidP="007D2F65">
            <w:pPr>
              <w:ind w:left="0" w:right="0"/>
              <w:rPr>
                <w:sz w:val="20"/>
                <w:szCs w:val="20"/>
                <w:lang w:val="en-US"/>
              </w:rPr>
            </w:pPr>
            <w:r w:rsidRPr="007D2F65">
              <w:rPr>
                <w:sz w:val="20"/>
                <w:szCs w:val="20"/>
                <w:lang w:val="en-US"/>
              </w:rPr>
              <w:t>AST increase</w:t>
            </w:r>
          </w:p>
        </w:tc>
        <w:tc>
          <w:tcPr>
            <w:tcW w:w="719" w:type="pct"/>
          </w:tcPr>
          <w:p w14:paraId="5ECFF789"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6B582EE4"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310BBECA"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2AA31CD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E95DBDD" w14:textId="77777777" w:rsidR="006421E2" w:rsidRPr="007D2F65" w:rsidRDefault="006421E2" w:rsidP="007D2F65">
            <w:pPr>
              <w:ind w:left="0" w:right="0"/>
              <w:rPr>
                <w:sz w:val="20"/>
                <w:szCs w:val="20"/>
                <w:lang w:val="en-US"/>
              </w:rPr>
            </w:pPr>
            <w:r w:rsidRPr="007D2F65">
              <w:rPr>
                <w:sz w:val="20"/>
                <w:szCs w:val="20"/>
                <w:lang w:val="en-US"/>
              </w:rPr>
              <w:t>1.7</w:t>
            </w:r>
          </w:p>
        </w:tc>
      </w:tr>
      <w:tr w:rsidR="006421E2" w:rsidRPr="0088305F" w14:paraId="62EAE443" w14:textId="77777777" w:rsidTr="007D2F65">
        <w:trPr>
          <w:trHeight w:val="237"/>
        </w:trPr>
        <w:tc>
          <w:tcPr>
            <w:tcW w:w="1405" w:type="pct"/>
          </w:tcPr>
          <w:p w14:paraId="09096702" w14:textId="778E7C3A" w:rsidR="006421E2" w:rsidRPr="007D2F65" w:rsidRDefault="006421E2" w:rsidP="007D2F65">
            <w:pPr>
              <w:ind w:left="0" w:right="0"/>
              <w:rPr>
                <w:sz w:val="20"/>
                <w:szCs w:val="20"/>
                <w:lang w:val="en-US"/>
              </w:rPr>
            </w:pPr>
            <w:r w:rsidRPr="007D2F65">
              <w:rPr>
                <w:sz w:val="20"/>
                <w:szCs w:val="20"/>
                <w:lang w:val="en-US"/>
              </w:rPr>
              <w:t xml:space="preserve">Pleural </w:t>
            </w:r>
            <w:r w:rsidR="0088305F">
              <w:rPr>
                <w:sz w:val="20"/>
                <w:szCs w:val="20"/>
                <w:lang w:val="en-US"/>
              </w:rPr>
              <w:t>e</w:t>
            </w:r>
            <w:r w:rsidRPr="007D2F65">
              <w:rPr>
                <w:sz w:val="20"/>
                <w:szCs w:val="20"/>
                <w:lang w:val="en-US"/>
              </w:rPr>
              <w:t>ffusion</w:t>
            </w:r>
          </w:p>
        </w:tc>
        <w:tc>
          <w:tcPr>
            <w:tcW w:w="719" w:type="pct"/>
          </w:tcPr>
          <w:p w14:paraId="48C167E8"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3EBC0141"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4D88E983"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8732AB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539BBEB" w14:textId="77777777" w:rsidR="006421E2" w:rsidRPr="007D2F65" w:rsidRDefault="006421E2" w:rsidP="007D2F65">
            <w:pPr>
              <w:ind w:left="0" w:right="0"/>
              <w:rPr>
                <w:sz w:val="20"/>
                <w:szCs w:val="20"/>
                <w:lang w:val="en-US"/>
              </w:rPr>
            </w:pPr>
            <w:r w:rsidRPr="007D2F65">
              <w:rPr>
                <w:sz w:val="20"/>
                <w:szCs w:val="20"/>
                <w:lang w:val="en-US"/>
              </w:rPr>
              <w:t>1.7</w:t>
            </w:r>
          </w:p>
        </w:tc>
      </w:tr>
      <w:tr w:rsidR="006421E2" w:rsidRPr="0088305F" w14:paraId="5F73C763" w14:textId="77777777" w:rsidTr="007D2F65">
        <w:trPr>
          <w:trHeight w:val="237"/>
        </w:trPr>
        <w:tc>
          <w:tcPr>
            <w:tcW w:w="1405" w:type="pct"/>
          </w:tcPr>
          <w:p w14:paraId="6843B987" w14:textId="77777777" w:rsidR="006421E2" w:rsidRPr="007D2F65" w:rsidRDefault="006421E2" w:rsidP="007D2F65">
            <w:pPr>
              <w:ind w:left="0" w:right="0"/>
              <w:rPr>
                <w:sz w:val="20"/>
                <w:szCs w:val="20"/>
                <w:lang w:val="en-US"/>
              </w:rPr>
            </w:pPr>
            <w:r w:rsidRPr="007D2F65">
              <w:rPr>
                <w:sz w:val="20"/>
                <w:szCs w:val="20"/>
                <w:lang w:val="en-US"/>
              </w:rPr>
              <w:t>Vomiting</w:t>
            </w:r>
          </w:p>
        </w:tc>
        <w:tc>
          <w:tcPr>
            <w:tcW w:w="719" w:type="pct"/>
          </w:tcPr>
          <w:p w14:paraId="09314C0F"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33F9106"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78AB6825"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62C752E5"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13C3F3FC" w14:textId="77777777" w:rsidR="006421E2" w:rsidRPr="007D2F65" w:rsidRDefault="006421E2" w:rsidP="007D2F65">
            <w:pPr>
              <w:ind w:left="0" w:right="0"/>
              <w:rPr>
                <w:sz w:val="20"/>
                <w:szCs w:val="20"/>
                <w:lang w:val="en-US"/>
              </w:rPr>
            </w:pPr>
            <w:r w:rsidRPr="007D2F65">
              <w:rPr>
                <w:sz w:val="20"/>
                <w:szCs w:val="20"/>
                <w:lang w:val="en-US"/>
              </w:rPr>
              <w:t>1.4</w:t>
            </w:r>
          </w:p>
        </w:tc>
      </w:tr>
      <w:tr w:rsidR="006421E2" w:rsidRPr="0088305F" w14:paraId="16480C3B" w14:textId="77777777" w:rsidTr="007D2F65">
        <w:trPr>
          <w:trHeight w:val="237"/>
        </w:trPr>
        <w:tc>
          <w:tcPr>
            <w:tcW w:w="1405" w:type="pct"/>
          </w:tcPr>
          <w:p w14:paraId="77B50DAF" w14:textId="77777777" w:rsidR="006421E2" w:rsidRPr="007D2F65" w:rsidRDefault="006421E2" w:rsidP="007D2F65">
            <w:pPr>
              <w:ind w:left="0" w:right="0"/>
              <w:rPr>
                <w:sz w:val="20"/>
                <w:szCs w:val="20"/>
                <w:lang w:val="en-US"/>
              </w:rPr>
            </w:pPr>
            <w:r w:rsidRPr="007D2F65">
              <w:rPr>
                <w:sz w:val="20"/>
                <w:szCs w:val="20"/>
                <w:lang w:val="en-US"/>
              </w:rPr>
              <w:t>ALT increase</w:t>
            </w:r>
          </w:p>
        </w:tc>
        <w:tc>
          <w:tcPr>
            <w:tcW w:w="719" w:type="pct"/>
          </w:tcPr>
          <w:p w14:paraId="77DAE1EA"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2319CB37"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2F95C48A"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1FA1A78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7A45470" w14:textId="77777777" w:rsidR="006421E2" w:rsidRPr="007D2F65" w:rsidRDefault="006421E2" w:rsidP="007D2F65">
            <w:pPr>
              <w:ind w:left="0" w:right="0"/>
              <w:rPr>
                <w:sz w:val="20"/>
                <w:szCs w:val="20"/>
                <w:lang w:val="en-US"/>
              </w:rPr>
            </w:pPr>
            <w:r w:rsidRPr="007D2F65">
              <w:rPr>
                <w:sz w:val="20"/>
                <w:szCs w:val="20"/>
                <w:lang w:val="en-US"/>
              </w:rPr>
              <w:t>1.4</w:t>
            </w:r>
          </w:p>
        </w:tc>
      </w:tr>
      <w:tr w:rsidR="006421E2" w:rsidRPr="0088305F" w14:paraId="69C3C757" w14:textId="77777777" w:rsidTr="007D2F65">
        <w:trPr>
          <w:trHeight w:val="237"/>
        </w:trPr>
        <w:tc>
          <w:tcPr>
            <w:tcW w:w="1405" w:type="pct"/>
          </w:tcPr>
          <w:p w14:paraId="6509E81B" w14:textId="77777777" w:rsidR="006421E2" w:rsidRPr="007D2F65" w:rsidRDefault="006421E2" w:rsidP="007D2F65">
            <w:pPr>
              <w:ind w:left="0" w:right="0"/>
              <w:rPr>
                <w:sz w:val="20"/>
                <w:szCs w:val="20"/>
                <w:lang w:val="en-US"/>
              </w:rPr>
            </w:pPr>
            <w:r w:rsidRPr="007D2F65">
              <w:rPr>
                <w:sz w:val="20"/>
                <w:szCs w:val="20"/>
                <w:lang w:val="en-US"/>
              </w:rPr>
              <w:t>Lipase increase</w:t>
            </w:r>
          </w:p>
        </w:tc>
        <w:tc>
          <w:tcPr>
            <w:tcW w:w="719" w:type="pct"/>
          </w:tcPr>
          <w:p w14:paraId="481A483F"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3527D11"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E94C964"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2CFF07D3"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EDC054A" w14:textId="77777777" w:rsidR="006421E2" w:rsidRPr="007D2F65" w:rsidRDefault="006421E2" w:rsidP="007D2F65">
            <w:pPr>
              <w:ind w:left="0" w:right="0"/>
              <w:rPr>
                <w:sz w:val="20"/>
                <w:szCs w:val="20"/>
                <w:lang w:val="en-US"/>
              </w:rPr>
            </w:pPr>
            <w:r w:rsidRPr="007D2F65">
              <w:rPr>
                <w:sz w:val="20"/>
                <w:szCs w:val="20"/>
                <w:lang w:val="en-US"/>
              </w:rPr>
              <w:t>1.4</w:t>
            </w:r>
          </w:p>
        </w:tc>
      </w:tr>
      <w:tr w:rsidR="006421E2" w:rsidRPr="0088305F" w14:paraId="6ADED1D0" w14:textId="77777777" w:rsidTr="007D2F65">
        <w:trPr>
          <w:trHeight w:val="236"/>
        </w:trPr>
        <w:tc>
          <w:tcPr>
            <w:tcW w:w="1405" w:type="pct"/>
          </w:tcPr>
          <w:p w14:paraId="16C33E2F" w14:textId="77777777" w:rsidR="006421E2" w:rsidRPr="007D2F65" w:rsidRDefault="006421E2" w:rsidP="007D2F65">
            <w:pPr>
              <w:ind w:left="0" w:right="0"/>
              <w:rPr>
                <w:sz w:val="20"/>
                <w:szCs w:val="20"/>
                <w:lang w:val="en-US"/>
              </w:rPr>
            </w:pPr>
            <w:r w:rsidRPr="007D2F65">
              <w:rPr>
                <w:sz w:val="20"/>
                <w:szCs w:val="20"/>
                <w:lang w:val="en-US"/>
              </w:rPr>
              <w:t>UTI</w:t>
            </w:r>
          </w:p>
        </w:tc>
        <w:tc>
          <w:tcPr>
            <w:tcW w:w="719" w:type="pct"/>
          </w:tcPr>
          <w:p w14:paraId="5B3541ED"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252F0B6C"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18D5FE69"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648DC34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D888EE6" w14:textId="77777777" w:rsidR="006421E2" w:rsidRPr="007D2F65" w:rsidRDefault="006421E2" w:rsidP="007D2F65">
            <w:pPr>
              <w:ind w:left="0" w:right="0"/>
              <w:rPr>
                <w:sz w:val="20"/>
                <w:szCs w:val="20"/>
                <w:lang w:val="en-US"/>
              </w:rPr>
            </w:pPr>
            <w:r w:rsidRPr="007D2F65">
              <w:rPr>
                <w:sz w:val="20"/>
                <w:szCs w:val="20"/>
                <w:lang w:val="en-US"/>
              </w:rPr>
              <w:t>1.4</w:t>
            </w:r>
          </w:p>
        </w:tc>
      </w:tr>
      <w:tr w:rsidR="006421E2" w:rsidRPr="0088305F" w14:paraId="5EE73EAC" w14:textId="77777777" w:rsidTr="007D2F65">
        <w:trPr>
          <w:trHeight w:val="237"/>
        </w:trPr>
        <w:tc>
          <w:tcPr>
            <w:tcW w:w="1405" w:type="pct"/>
          </w:tcPr>
          <w:p w14:paraId="0124049D" w14:textId="77777777" w:rsidR="006421E2" w:rsidRPr="007D2F65" w:rsidRDefault="006421E2" w:rsidP="007D2F65">
            <w:pPr>
              <w:ind w:left="0" w:right="0"/>
              <w:rPr>
                <w:sz w:val="20"/>
                <w:szCs w:val="20"/>
                <w:lang w:val="en-US"/>
              </w:rPr>
            </w:pPr>
            <w:r w:rsidRPr="007D2F65">
              <w:rPr>
                <w:sz w:val="20"/>
                <w:szCs w:val="20"/>
                <w:lang w:val="en-US"/>
              </w:rPr>
              <w:t>Peripheral edema</w:t>
            </w:r>
          </w:p>
        </w:tc>
        <w:tc>
          <w:tcPr>
            <w:tcW w:w="719" w:type="pct"/>
          </w:tcPr>
          <w:p w14:paraId="5DD1ABD0"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4FB92DEB"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0E23702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0918114"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9117CA2" w14:textId="77777777" w:rsidR="006421E2" w:rsidRPr="007D2F65" w:rsidRDefault="006421E2" w:rsidP="007D2F65">
            <w:pPr>
              <w:ind w:left="0" w:right="0"/>
              <w:rPr>
                <w:sz w:val="20"/>
                <w:szCs w:val="20"/>
                <w:lang w:val="en-US"/>
              </w:rPr>
            </w:pPr>
            <w:r w:rsidRPr="007D2F65">
              <w:rPr>
                <w:sz w:val="20"/>
                <w:szCs w:val="20"/>
                <w:lang w:val="en-US"/>
              </w:rPr>
              <w:t>1.1</w:t>
            </w:r>
          </w:p>
        </w:tc>
      </w:tr>
      <w:tr w:rsidR="006421E2" w:rsidRPr="0088305F" w14:paraId="57220074" w14:textId="77777777" w:rsidTr="007D2F65">
        <w:trPr>
          <w:trHeight w:val="474"/>
        </w:trPr>
        <w:tc>
          <w:tcPr>
            <w:tcW w:w="1405" w:type="pct"/>
          </w:tcPr>
          <w:p w14:paraId="361F62D2" w14:textId="3040AD2A" w:rsidR="006421E2" w:rsidRPr="007D2F65" w:rsidRDefault="006421E2" w:rsidP="007D2F65">
            <w:pPr>
              <w:ind w:left="0" w:right="0"/>
              <w:rPr>
                <w:sz w:val="20"/>
                <w:szCs w:val="20"/>
                <w:lang w:val="en-US"/>
              </w:rPr>
            </w:pPr>
            <w:r w:rsidRPr="007D2F65">
              <w:rPr>
                <w:sz w:val="20"/>
                <w:szCs w:val="20"/>
                <w:lang w:val="en-US"/>
              </w:rPr>
              <w:t>Ataxia/fall/gait</w:t>
            </w:r>
            <w:r w:rsidR="0088305F">
              <w:rPr>
                <w:sz w:val="20"/>
                <w:szCs w:val="20"/>
                <w:lang w:val="en-US"/>
              </w:rPr>
              <w:t xml:space="preserve"> </w:t>
            </w:r>
            <w:r w:rsidRPr="007D2F65">
              <w:rPr>
                <w:sz w:val="20"/>
                <w:szCs w:val="20"/>
                <w:lang w:val="en-US"/>
              </w:rPr>
              <w:t>disturbance</w:t>
            </w:r>
          </w:p>
        </w:tc>
        <w:tc>
          <w:tcPr>
            <w:tcW w:w="719" w:type="pct"/>
          </w:tcPr>
          <w:p w14:paraId="6D1EDCFD"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5410D9C8"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257FC1DF"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313D5749"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94A6C1B" w14:textId="77777777" w:rsidR="006421E2" w:rsidRPr="007D2F65" w:rsidRDefault="006421E2" w:rsidP="007D2F65">
            <w:pPr>
              <w:ind w:left="0" w:right="0"/>
              <w:rPr>
                <w:sz w:val="20"/>
                <w:szCs w:val="20"/>
                <w:lang w:val="en-US"/>
              </w:rPr>
            </w:pPr>
            <w:r w:rsidRPr="007D2F65">
              <w:rPr>
                <w:sz w:val="20"/>
                <w:szCs w:val="20"/>
                <w:lang w:val="en-US"/>
              </w:rPr>
              <w:t>1.1</w:t>
            </w:r>
          </w:p>
        </w:tc>
      </w:tr>
      <w:tr w:rsidR="006421E2" w:rsidRPr="0088305F" w14:paraId="6FEC292F" w14:textId="77777777" w:rsidTr="007D2F65">
        <w:trPr>
          <w:trHeight w:val="712"/>
        </w:trPr>
        <w:tc>
          <w:tcPr>
            <w:tcW w:w="1405" w:type="pct"/>
          </w:tcPr>
          <w:p w14:paraId="777948A5" w14:textId="5EEA425F" w:rsidR="006421E2" w:rsidRPr="007D2F65" w:rsidRDefault="006421E2" w:rsidP="007D2F65">
            <w:pPr>
              <w:ind w:left="0" w:right="0"/>
              <w:rPr>
                <w:sz w:val="20"/>
                <w:szCs w:val="20"/>
                <w:lang w:val="en-US"/>
              </w:rPr>
            </w:pPr>
            <w:proofErr w:type="spellStart"/>
            <w:r w:rsidRPr="007D2F65">
              <w:rPr>
                <w:sz w:val="20"/>
                <w:szCs w:val="20"/>
                <w:lang w:val="en-US"/>
              </w:rPr>
              <w:t>Confusional</w:t>
            </w:r>
            <w:proofErr w:type="spellEnd"/>
            <w:r w:rsidRPr="007D2F65">
              <w:rPr>
                <w:sz w:val="20"/>
                <w:szCs w:val="20"/>
                <w:lang w:val="en-US"/>
              </w:rPr>
              <w:t xml:space="preserve"> state/</w:t>
            </w:r>
            <w:r w:rsidR="0088305F">
              <w:rPr>
                <w:sz w:val="20"/>
                <w:szCs w:val="20"/>
                <w:lang w:val="en-US"/>
              </w:rPr>
              <w:t>m</w:t>
            </w:r>
            <w:r w:rsidRPr="007D2F65">
              <w:rPr>
                <w:sz w:val="20"/>
                <w:szCs w:val="20"/>
                <w:lang w:val="en-US"/>
              </w:rPr>
              <w:t xml:space="preserve">ental </w:t>
            </w:r>
            <w:r w:rsidR="0088305F">
              <w:rPr>
                <w:sz w:val="20"/>
                <w:szCs w:val="20"/>
                <w:lang w:val="en-US"/>
              </w:rPr>
              <w:t>s</w:t>
            </w:r>
            <w:r w:rsidRPr="007D2F65">
              <w:rPr>
                <w:sz w:val="20"/>
                <w:szCs w:val="20"/>
                <w:lang w:val="en-US"/>
              </w:rPr>
              <w:t>tatus</w:t>
            </w:r>
            <w:r w:rsidR="0088305F">
              <w:rPr>
                <w:sz w:val="20"/>
                <w:szCs w:val="20"/>
                <w:lang w:val="en-US"/>
              </w:rPr>
              <w:t xml:space="preserve"> </w:t>
            </w:r>
            <w:r w:rsidRPr="007D2F65">
              <w:rPr>
                <w:sz w:val="20"/>
                <w:szCs w:val="20"/>
                <w:lang w:val="en-US"/>
              </w:rPr>
              <w:t>change</w:t>
            </w:r>
          </w:p>
        </w:tc>
        <w:tc>
          <w:tcPr>
            <w:tcW w:w="719" w:type="pct"/>
          </w:tcPr>
          <w:p w14:paraId="02E4CA05"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1E26E0D5"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548C1C01" w14:textId="77777777" w:rsidR="006421E2" w:rsidRPr="007D2F65" w:rsidRDefault="006421E2" w:rsidP="007D2F65">
            <w:pPr>
              <w:ind w:left="0" w:right="0"/>
              <w:rPr>
                <w:sz w:val="20"/>
                <w:szCs w:val="20"/>
                <w:lang w:val="en-US"/>
              </w:rPr>
            </w:pPr>
            <w:r w:rsidRPr="007D2F65">
              <w:rPr>
                <w:sz w:val="20"/>
                <w:szCs w:val="20"/>
                <w:lang w:val="en-US"/>
              </w:rPr>
              <w:t>3</w:t>
            </w:r>
          </w:p>
        </w:tc>
        <w:tc>
          <w:tcPr>
            <w:tcW w:w="719" w:type="pct"/>
          </w:tcPr>
          <w:p w14:paraId="1E1B2DE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3BDB597" w14:textId="77777777" w:rsidR="006421E2" w:rsidRPr="007D2F65" w:rsidRDefault="006421E2" w:rsidP="007D2F65">
            <w:pPr>
              <w:ind w:left="0" w:right="0"/>
              <w:rPr>
                <w:sz w:val="20"/>
                <w:szCs w:val="20"/>
                <w:lang w:val="en-US"/>
              </w:rPr>
            </w:pPr>
            <w:r w:rsidRPr="007D2F65">
              <w:rPr>
                <w:sz w:val="20"/>
                <w:szCs w:val="20"/>
                <w:lang w:val="en-US"/>
              </w:rPr>
              <w:t>1.1</w:t>
            </w:r>
          </w:p>
        </w:tc>
      </w:tr>
      <w:tr w:rsidR="006421E2" w:rsidRPr="0088305F" w14:paraId="1449D5CD" w14:textId="77777777" w:rsidTr="007D2F65">
        <w:trPr>
          <w:trHeight w:val="237"/>
        </w:trPr>
        <w:tc>
          <w:tcPr>
            <w:tcW w:w="1405" w:type="pct"/>
          </w:tcPr>
          <w:p w14:paraId="51F4ED47" w14:textId="77777777" w:rsidR="006421E2" w:rsidRPr="007D2F65" w:rsidRDefault="006421E2" w:rsidP="007D2F65">
            <w:pPr>
              <w:ind w:left="0" w:right="0"/>
              <w:rPr>
                <w:sz w:val="20"/>
                <w:szCs w:val="20"/>
                <w:lang w:val="en-US"/>
              </w:rPr>
            </w:pPr>
            <w:r w:rsidRPr="007D2F65">
              <w:rPr>
                <w:sz w:val="20"/>
                <w:szCs w:val="20"/>
                <w:lang w:val="en-US"/>
              </w:rPr>
              <w:t>Decreased appetite</w:t>
            </w:r>
          </w:p>
        </w:tc>
        <w:tc>
          <w:tcPr>
            <w:tcW w:w="719" w:type="pct"/>
          </w:tcPr>
          <w:p w14:paraId="3C3FAAB7"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7184F3DD"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148C46C5"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6483B32E"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B7DCDB8" w14:textId="77777777" w:rsidR="006421E2" w:rsidRPr="007D2F65" w:rsidRDefault="006421E2" w:rsidP="007D2F65">
            <w:pPr>
              <w:ind w:left="0" w:right="0"/>
              <w:rPr>
                <w:sz w:val="20"/>
                <w:szCs w:val="20"/>
                <w:lang w:val="en-US"/>
              </w:rPr>
            </w:pPr>
            <w:r w:rsidRPr="007D2F65">
              <w:rPr>
                <w:sz w:val="20"/>
                <w:szCs w:val="20"/>
                <w:lang w:val="en-US"/>
              </w:rPr>
              <w:t>1.1</w:t>
            </w:r>
          </w:p>
        </w:tc>
      </w:tr>
      <w:tr w:rsidR="006421E2" w:rsidRPr="0088305F" w14:paraId="0E06A996" w14:textId="77777777" w:rsidTr="007D2F65">
        <w:trPr>
          <w:trHeight w:val="237"/>
        </w:trPr>
        <w:tc>
          <w:tcPr>
            <w:tcW w:w="1405" w:type="pct"/>
          </w:tcPr>
          <w:p w14:paraId="6F9BD7A9" w14:textId="77777777" w:rsidR="006421E2" w:rsidRPr="007D2F65" w:rsidRDefault="006421E2" w:rsidP="007D2F65">
            <w:pPr>
              <w:ind w:left="0" w:right="0"/>
              <w:rPr>
                <w:sz w:val="20"/>
                <w:szCs w:val="20"/>
                <w:lang w:val="en-US"/>
              </w:rPr>
            </w:pPr>
            <w:r w:rsidRPr="007D2F65">
              <w:rPr>
                <w:sz w:val="20"/>
                <w:szCs w:val="20"/>
                <w:lang w:val="en-US"/>
              </w:rPr>
              <w:t>Hypotension</w:t>
            </w:r>
          </w:p>
        </w:tc>
        <w:tc>
          <w:tcPr>
            <w:tcW w:w="719" w:type="pct"/>
          </w:tcPr>
          <w:p w14:paraId="48AD657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3F1A051B"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6442C136"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6FFB1DBD"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0FB0D5CC" w14:textId="77777777" w:rsidR="006421E2" w:rsidRPr="007D2F65" w:rsidRDefault="006421E2" w:rsidP="007D2F65">
            <w:pPr>
              <w:ind w:left="0" w:right="0"/>
              <w:rPr>
                <w:sz w:val="20"/>
                <w:szCs w:val="20"/>
                <w:lang w:val="en-US"/>
              </w:rPr>
            </w:pPr>
            <w:r w:rsidRPr="007D2F65">
              <w:rPr>
                <w:sz w:val="20"/>
                <w:szCs w:val="20"/>
                <w:lang w:val="en-US"/>
              </w:rPr>
              <w:t>1.1</w:t>
            </w:r>
          </w:p>
        </w:tc>
      </w:tr>
      <w:tr w:rsidR="006421E2" w:rsidRPr="0088305F" w14:paraId="195CE661" w14:textId="77777777" w:rsidTr="007D2F65">
        <w:trPr>
          <w:trHeight w:val="237"/>
        </w:trPr>
        <w:tc>
          <w:tcPr>
            <w:tcW w:w="1405" w:type="pct"/>
          </w:tcPr>
          <w:p w14:paraId="30A494FE" w14:textId="77777777" w:rsidR="006421E2" w:rsidRPr="007D2F65" w:rsidRDefault="006421E2" w:rsidP="007D2F65">
            <w:pPr>
              <w:ind w:left="0" w:right="0"/>
              <w:rPr>
                <w:sz w:val="20"/>
                <w:szCs w:val="20"/>
                <w:lang w:val="en-US"/>
              </w:rPr>
            </w:pPr>
            <w:r w:rsidRPr="007D2F65">
              <w:rPr>
                <w:sz w:val="20"/>
                <w:szCs w:val="20"/>
                <w:lang w:val="en-US"/>
              </w:rPr>
              <w:t>Hypoxia</w:t>
            </w:r>
          </w:p>
        </w:tc>
        <w:tc>
          <w:tcPr>
            <w:tcW w:w="719" w:type="pct"/>
          </w:tcPr>
          <w:p w14:paraId="34F4A246"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280234A4"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77AA4FEA"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BC8CA21"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0FF3339" w14:textId="77777777" w:rsidR="006421E2" w:rsidRPr="007D2F65" w:rsidRDefault="006421E2" w:rsidP="007D2F65">
            <w:pPr>
              <w:ind w:left="0" w:right="0"/>
              <w:rPr>
                <w:sz w:val="20"/>
                <w:szCs w:val="20"/>
                <w:lang w:val="en-US"/>
              </w:rPr>
            </w:pPr>
            <w:r w:rsidRPr="007D2F65">
              <w:rPr>
                <w:sz w:val="20"/>
                <w:szCs w:val="20"/>
                <w:lang w:val="en-US"/>
              </w:rPr>
              <w:t>0.8</w:t>
            </w:r>
          </w:p>
        </w:tc>
      </w:tr>
      <w:tr w:rsidR="006421E2" w:rsidRPr="0088305F" w14:paraId="1A294F58" w14:textId="77777777" w:rsidTr="007D2F65">
        <w:trPr>
          <w:trHeight w:val="470"/>
        </w:trPr>
        <w:tc>
          <w:tcPr>
            <w:tcW w:w="5000" w:type="pct"/>
            <w:gridSpan w:val="6"/>
          </w:tcPr>
          <w:p w14:paraId="1BFED475" w14:textId="77777777" w:rsidR="006421E2" w:rsidRPr="007D2F65" w:rsidRDefault="006421E2" w:rsidP="007D2F65">
            <w:pPr>
              <w:ind w:left="0" w:right="0"/>
              <w:rPr>
                <w:b/>
                <w:i/>
                <w:sz w:val="20"/>
                <w:szCs w:val="20"/>
                <w:lang w:val="en-US"/>
              </w:rPr>
            </w:pPr>
            <w:r w:rsidRPr="007D2F65">
              <w:rPr>
                <w:i/>
                <w:sz w:val="20"/>
                <w:szCs w:val="20"/>
                <w:lang w:val="en-US"/>
              </w:rPr>
              <w:t>AEs that led to</w:t>
            </w:r>
            <w:r w:rsidRPr="007D2F65">
              <w:rPr>
                <w:b/>
                <w:i/>
                <w:sz w:val="20"/>
                <w:szCs w:val="20"/>
                <w:lang w:val="en-US"/>
              </w:rPr>
              <w:t xml:space="preserve"> dose reduction </w:t>
            </w:r>
            <w:r w:rsidRPr="007D2F65">
              <w:rPr>
                <w:i/>
                <w:sz w:val="20"/>
                <w:szCs w:val="20"/>
                <w:lang w:val="en-US"/>
              </w:rPr>
              <w:t>in at least 1% of patients in the integrated safety population</w:t>
            </w:r>
          </w:p>
        </w:tc>
      </w:tr>
      <w:tr w:rsidR="006421E2" w:rsidRPr="0088305F" w14:paraId="061E5B3C" w14:textId="77777777" w:rsidTr="007D2F65">
        <w:trPr>
          <w:trHeight w:val="237"/>
        </w:trPr>
        <w:tc>
          <w:tcPr>
            <w:tcW w:w="1405" w:type="pct"/>
          </w:tcPr>
          <w:p w14:paraId="3DD59758" w14:textId="77777777" w:rsidR="006421E2" w:rsidRPr="007D2F65" w:rsidRDefault="006421E2" w:rsidP="007D2F65">
            <w:pPr>
              <w:ind w:left="0" w:right="0"/>
              <w:rPr>
                <w:sz w:val="20"/>
                <w:szCs w:val="20"/>
                <w:lang w:val="en-US"/>
              </w:rPr>
            </w:pPr>
            <w:r w:rsidRPr="007D2F65">
              <w:rPr>
                <w:sz w:val="20"/>
                <w:szCs w:val="20"/>
                <w:lang w:val="en-US"/>
              </w:rPr>
              <w:t>Total %</w:t>
            </w:r>
          </w:p>
        </w:tc>
        <w:tc>
          <w:tcPr>
            <w:tcW w:w="719" w:type="pct"/>
          </w:tcPr>
          <w:p w14:paraId="461BE389" w14:textId="77777777" w:rsidR="006421E2" w:rsidRPr="007D2F65" w:rsidRDefault="006421E2" w:rsidP="007D2F65">
            <w:pPr>
              <w:ind w:left="0" w:right="0"/>
              <w:rPr>
                <w:sz w:val="20"/>
                <w:szCs w:val="20"/>
                <w:lang w:val="en-US"/>
              </w:rPr>
            </w:pPr>
            <w:r w:rsidRPr="007D2F65">
              <w:rPr>
                <w:sz w:val="20"/>
                <w:szCs w:val="20"/>
                <w:lang w:val="en-US"/>
              </w:rPr>
              <w:t>41</w:t>
            </w:r>
          </w:p>
        </w:tc>
        <w:tc>
          <w:tcPr>
            <w:tcW w:w="719" w:type="pct"/>
          </w:tcPr>
          <w:p w14:paraId="36F4CD12" w14:textId="77777777" w:rsidR="006421E2" w:rsidRPr="007D2F65" w:rsidRDefault="006421E2" w:rsidP="007D2F65">
            <w:pPr>
              <w:ind w:left="0" w:right="0"/>
              <w:rPr>
                <w:sz w:val="20"/>
                <w:szCs w:val="20"/>
                <w:lang w:val="en-US"/>
              </w:rPr>
            </w:pPr>
            <w:r w:rsidRPr="007D2F65">
              <w:rPr>
                <w:sz w:val="20"/>
                <w:szCs w:val="20"/>
                <w:lang w:val="en-US"/>
              </w:rPr>
              <w:t>34</w:t>
            </w:r>
          </w:p>
        </w:tc>
        <w:tc>
          <w:tcPr>
            <w:tcW w:w="719" w:type="pct"/>
          </w:tcPr>
          <w:p w14:paraId="686BFE42" w14:textId="77777777" w:rsidR="006421E2" w:rsidRPr="007D2F65" w:rsidRDefault="006421E2" w:rsidP="007D2F65">
            <w:pPr>
              <w:ind w:left="0" w:right="0"/>
              <w:rPr>
                <w:sz w:val="20"/>
                <w:szCs w:val="20"/>
                <w:lang w:val="en-US"/>
              </w:rPr>
            </w:pPr>
            <w:r w:rsidRPr="007D2F65">
              <w:rPr>
                <w:sz w:val="20"/>
                <w:szCs w:val="20"/>
                <w:lang w:val="en-US"/>
              </w:rPr>
              <w:t>16</w:t>
            </w:r>
          </w:p>
        </w:tc>
        <w:tc>
          <w:tcPr>
            <w:tcW w:w="719" w:type="pct"/>
          </w:tcPr>
          <w:p w14:paraId="12061833" w14:textId="77777777" w:rsidR="006421E2" w:rsidRPr="007D2F65" w:rsidRDefault="006421E2" w:rsidP="007D2F65">
            <w:pPr>
              <w:ind w:left="0" w:right="0"/>
              <w:rPr>
                <w:sz w:val="20"/>
                <w:szCs w:val="20"/>
                <w:lang w:val="en-US"/>
              </w:rPr>
            </w:pPr>
            <w:r w:rsidRPr="007D2F65">
              <w:rPr>
                <w:sz w:val="20"/>
                <w:szCs w:val="20"/>
                <w:lang w:val="en-US"/>
              </w:rPr>
              <w:t>25</w:t>
            </w:r>
          </w:p>
        </w:tc>
        <w:tc>
          <w:tcPr>
            <w:tcW w:w="719" w:type="pct"/>
          </w:tcPr>
          <w:p w14:paraId="0EDB176D" w14:textId="77777777" w:rsidR="006421E2" w:rsidRPr="007D2F65" w:rsidRDefault="006421E2" w:rsidP="007D2F65">
            <w:pPr>
              <w:ind w:left="0" w:right="0"/>
              <w:rPr>
                <w:sz w:val="20"/>
                <w:szCs w:val="20"/>
                <w:lang w:val="en-US"/>
              </w:rPr>
            </w:pPr>
            <w:r w:rsidRPr="007D2F65">
              <w:rPr>
                <w:sz w:val="20"/>
                <w:szCs w:val="20"/>
                <w:lang w:val="en-US"/>
              </w:rPr>
              <w:t>28</w:t>
            </w:r>
          </w:p>
        </w:tc>
      </w:tr>
      <w:tr w:rsidR="006421E2" w:rsidRPr="0088305F" w14:paraId="36968B0A" w14:textId="77777777" w:rsidTr="007D2F65">
        <w:trPr>
          <w:trHeight w:val="237"/>
        </w:trPr>
        <w:tc>
          <w:tcPr>
            <w:tcW w:w="1405" w:type="pct"/>
          </w:tcPr>
          <w:p w14:paraId="559ECDD5" w14:textId="77777777" w:rsidR="006421E2" w:rsidRPr="007D2F65" w:rsidRDefault="006421E2" w:rsidP="007D2F65">
            <w:pPr>
              <w:ind w:left="0" w:right="0"/>
              <w:rPr>
                <w:sz w:val="20"/>
                <w:szCs w:val="20"/>
                <w:lang w:val="en-US"/>
              </w:rPr>
            </w:pPr>
            <w:r w:rsidRPr="007D2F65">
              <w:rPr>
                <w:sz w:val="20"/>
                <w:szCs w:val="20"/>
                <w:lang w:val="en-US"/>
              </w:rPr>
              <w:t>Dizziness</w:t>
            </w:r>
          </w:p>
        </w:tc>
        <w:tc>
          <w:tcPr>
            <w:tcW w:w="719" w:type="pct"/>
          </w:tcPr>
          <w:p w14:paraId="484B57B2" w14:textId="77777777" w:rsidR="006421E2" w:rsidRPr="007D2F65" w:rsidRDefault="006421E2" w:rsidP="007D2F65">
            <w:pPr>
              <w:ind w:left="0" w:right="0"/>
              <w:rPr>
                <w:sz w:val="20"/>
                <w:szCs w:val="20"/>
                <w:lang w:val="en-US"/>
              </w:rPr>
            </w:pPr>
            <w:r w:rsidRPr="007D2F65">
              <w:rPr>
                <w:sz w:val="20"/>
                <w:szCs w:val="20"/>
                <w:lang w:val="en-US"/>
              </w:rPr>
              <w:t>4.4</w:t>
            </w:r>
          </w:p>
        </w:tc>
        <w:tc>
          <w:tcPr>
            <w:tcW w:w="719" w:type="pct"/>
          </w:tcPr>
          <w:p w14:paraId="0D70100C"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1F2461AC" w14:textId="77777777" w:rsidR="006421E2" w:rsidRPr="007D2F65" w:rsidRDefault="006421E2" w:rsidP="007D2F65">
            <w:pPr>
              <w:ind w:left="0" w:right="0"/>
              <w:rPr>
                <w:sz w:val="20"/>
                <w:szCs w:val="20"/>
                <w:lang w:val="en-US"/>
              </w:rPr>
            </w:pPr>
            <w:r w:rsidRPr="007D2F65">
              <w:rPr>
                <w:sz w:val="20"/>
                <w:szCs w:val="20"/>
                <w:lang w:val="en-US"/>
              </w:rPr>
              <w:t>2.2</w:t>
            </w:r>
          </w:p>
        </w:tc>
        <w:tc>
          <w:tcPr>
            <w:tcW w:w="719" w:type="pct"/>
          </w:tcPr>
          <w:p w14:paraId="51C3B7A2"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5C68ABE0" w14:textId="77777777" w:rsidR="006421E2" w:rsidRPr="007D2F65" w:rsidRDefault="006421E2" w:rsidP="007D2F65">
            <w:pPr>
              <w:ind w:left="0" w:right="0"/>
              <w:rPr>
                <w:sz w:val="20"/>
                <w:szCs w:val="20"/>
                <w:lang w:val="en-US"/>
              </w:rPr>
            </w:pPr>
            <w:r w:rsidRPr="007D2F65">
              <w:rPr>
                <w:sz w:val="20"/>
                <w:szCs w:val="20"/>
                <w:lang w:val="en-US"/>
              </w:rPr>
              <w:t>3.9</w:t>
            </w:r>
          </w:p>
        </w:tc>
      </w:tr>
      <w:tr w:rsidR="006421E2" w:rsidRPr="0088305F" w14:paraId="6D1CEB12" w14:textId="77777777" w:rsidTr="007D2F65">
        <w:trPr>
          <w:trHeight w:val="237"/>
        </w:trPr>
        <w:tc>
          <w:tcPr>
            <w:tcW w:w="1405" w:type="pct"/>
          </w:tcPr>
          <w:p w14:paraId="4860D03B" w14:textId="77777777" w:rsidR="006421E2" w:rsidRPr="007D2F65" w:rsidRDefault="006421E2" w:rsidP="007D2F65">
            <w:pPr>
              <w:ind w:left="0" w:right="0"/>
              <w:rPr>
                <w:sz w:val="20"/>
                <w:szCs w:val="20"/>
                <w:lang w:val="en-US"/>
              </w:rPr>
            </w:pPr>
            <w:r w:rsidRPr="007D2F65">
              <w:rPr>
                <w:sz w:val="20"/>
                <w:szCs w:val="20"/>
                <w:lang w:val="en-US"/>
              </w:rPr>
              <w:t>Increased creatinine</w:t>
            </w:r>
          </w:p>
        </w:tc>
        <w:tc>
          <w:tcPr>
            <w:tcW w:w="719" w:type="pct"/>
          </w:tcPr>
          <w:p w14:paraId="452139DB"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26B558E8" w14:textId="77777777" w:rsidR="006421E2" w:rsidRPr="007D2F65" w:rsidRDefault="006421E2" w:rsidP="007D2F65">
            <w:pPr>
              <w:ind w:left="0" w:right="0"/>
              <w:rPr>
                <w:sz w:val="20"/>
                <w:szCs w:val="20"/>
                <w:lang w:val="en-US"/>
              </w:rPr>
            </w:pPr>
            <w:r w:rsidRPr="007D2F65">
              <w:rPr>
                <w:sz w:val="20"/>
                <w:szCs w:val="20"/>
                <w:lang w:val="en-US"/>
              </w:rPr>
              <w:t>4</w:t>
            </w:r>
          </w:p>
        </w:tc>
        <w:tc>
          <w:tcPr>
            <w:tcW w:w="719" w:type="pct"/>
          </w:tcPr>
          <w:p w14:paraId="162087A9"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9012DE4"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3D4A7951" w14:textId="77777777" w:rsidR="006421E2" w:rsidRPr="007D2F65" w:rsidRDefault="006421E2" w:rsidP="007D2F65">
            <w:pPr>
              <w:ind w:left="0" w:right="0"/>
              <w:rPr>
                <w:sz w:val="20"/>
                <w:szCs w:val="20"/>
                <w:lang w:val="en-US"/>
              </w:rPr>
            </w:pPr>
            <w:r w:rsidRPr="007D2F65">
              <w:rPr>
                <w:sz w:val="20"/>
                <w:szCs w:val="20"/>
                <w:lang w:val="en-US"/>
              </w:rPr>
              <w:t>3.1</w:t>
            </w:r>
          </w:p>
        </w:tc>
      </w:tr>
      <w:tr w:rsidR="006421E2" w:rsidRPr="0088305F" w14:paraId="2CFEB641" w14:textId="77777777" w:rsidTr="007D2F65">
        <w:trPr>
          <w:trHeight w:val="237"/>
        </w:trPr>
        <w:tc>
          <w:tcPr>
            <w:tcW w:w="1405" w:type="pct"/>
          </w:tcPr>
          <w:p w14:paraId="0972F8CB" w14:textId="77777777" w:rsidR="006421E2" w:rsidRPr="007D2F65" w:rsidRDefault="006421E2" w:rsidP="007D2F65">
            <w:pPr>
              <w:ind w:left="0" w:right="0"/>
              <w:rPr>
                <w:sz w:val="20"/>
                <w:szCs w:val="20"/>
                <w:lang w:val="en-US"/>
              </w:rPr>
            </w:pPr>
            <w:r w:rsidRPr="007D2F65">
              <w:rPr>
                <w:sz w:val="20"/>
                <w:szCs w:val="20"/>
                <w:lang w:val="en-US"/>
              </w:rPr>
              <w:t>Fatigue</w:t>
            </w:r>
          </w:p>
        </w:tc>
        <w:tc>
          <w:tcPr>
            <w:tcW w:w="719" w:type="pct"/>
          </w:tcPr>
          <w:p w14:paraId="1ABF42EA"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3676C334" w14:textId="77777777" w:rsidR="006421E2" w:rsidRPr="007D2F65" w:rsidRDefault="006421E2" w:rsidP="007D2F65">
            <w:pPr>
              <w:ind w:left="0" w:right="0"/>
              <w:rPr>
                <w:sz w:val="20"/>
                <w:szCs w:val="20"/>
                <w:lang w:val="en-US"/>
              </w:rPr>
            </w:pPr>
            <w:r w:rsidRPr="007D2F65">
              <w:rPr>
                <w:sz w:val="20"/>
                <w:szCs w:val="20"/>
                <w:lang w:val="en-US"/>
              </w:rPr>
              <w:t>2</w:t>
            </w:r>
          </w:p>
        </w:tc>
        <w:tc>
          <w:tcPr>
            <w:tcW w:w="719" w:type="pct"/>
          </w:tcPr>
          <w:p w14:paraId="052B8493"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7189B758"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B4B90CC" w14:textId="77777777" w:rsidR="006421E2" w:rsidRPr="007D2F65" w:rsidRDefault="006421E2" w:rsidP="007D2F65">
            <w:pPr>
              <w:ind w:left="0" w:right="0"/>
              <w:rPr>
                <w:sz w:val="20"/>
                <w:szCs w:val="20"/>
                <w:lang w:val="en-US"/>
              </w:rPr>
            </w:pPr>
            <w:r w:rsidRPr="007D2F65">
              <w:rPr>
                <w:sz w:val="20"/>
                <w:szCs w:val="20"/>
                <w:lang w:val="en-US"/>
              </w:rPr>
              <w:t>2.3</w:t>
            </w:r>
          </w:p>
        </w:tc>
      </w:tr>
      <w:tr w:rsidR="006421E2" w:rsidRPr="0088305F" w14:paraId="42AE3F2F" w14:textId="77777777" w:rsidTr="007D2F65">
        <w:trPr>
          <w:trHeight w:val="237"/>
        </w:trPr>
        <w:tc>
          <w:tcPr>
            <w:tcW w:w="1405" w:type="pct"/>
          </w:tcPr>
          <w:p w14:paraId="42A2B4C7" w14:textId="77777777" w:rsidR="006421E2" w:rsidRPr="007D2F65" w:rsidRDefault="006421E2" w:rsidP="007D2F65">
            <w:pPr>
              <w:ind w:left="0" w:right="0"/>
              <w:rPr>
                <w:sz w:val="20"/>
                <w:szCs w:val="20"/>
                <w:lang w:val="en-US"/>
              </w:rPr>
            </w:pPr>
            <w:r w:rsidRPr="007D2F65">
              <w:rPr>
                <w:sz w:val="20"/>
                <w:szCs w:val="20"/>
                <w:lang w:val="en-US"/>
              </w:rPr>
              <w:t>Anemia</w:t>
            </w:r>
          </w:p>
        </w:tc>
        <w:tc>
          <w:tcPr>
            <w:tcW w:w="719" w:type="pct"/>
          </w:tcPr>
          <w:p w14:paraId="76FE15F9" w14:textId="77777777" w:rsidR="006421E2" w:rsidRPr="007D2F65" w:rsidRDefault="006421E2" w:rsidP="007D2F65">
            <w:pPr>
              <w:ind w:left="0" w:right="0"/>
              <w:rPr>
                <w:sz w:val="20"/>
                <w:szCs w:val="20"/>
                <w:lang w:val="en-US"/>
              </w:rPr>
            </w:pPr>
            <w:r w:rsidRPr="007D2F65">
              <w:rPr>
                <w:sz w:val="20"/>
                <w:szCs w:val="20"/>
                <w:lang w:val="en-US"/>
              </w:rPr>
              <w:t>7</w:t>
            </w:r>
          </w:p>
        </w:tc>
        <w:tc>
          <w:tcPr>
            <w:tcW w:w="719" w:type="pct"/>
          </w:tcPr>
          <w:p w14:paraId="0C9DEFF0"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220A950B"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0B048C15" w14:textId="77777777" w:rsidR="006421E2" w:rsidRPr="007D2F65" w:rsidRDefault="006421E2" w:rsidP="007D2F65">
            <w:pPr>
              <w:ind w:left="0" w:right="0"/>
              <w:rPr>
                <w:sz w:val="20"/>
                <w:szCs w:val="20"/>
                <w:lang w:val="en-US"/>
              </w:rPr>
            </w:pPr>
            <w:r w:rsidRPr="007D2F65">
              <w:rPr>
                <w:sz w:val="20"/>
                <w:szCs w:val="20"/>
                <w:lang w:val="en-US"/>
              </w:rPr>
              <w:t>0</w:t>
            </w:r>
          </w:p>
        </w:tc>
        <w:tc>
          <w:tcPr>
            <w:tcW w:w="719" w:type="pct"/>
          </w:tcPr>
          <w:p w14:paraId="487EC73D" w14:textId="77777777" w:rsidR="006421E2" w:rsidRPr="007D2F65" w:rsidRDefault="006421E2" w:rsidP="007D2F65">
            <w:pPr>
              <w:ind w:left="0" w:right="0"/>
              <w:rPr>
                <w:sz w:val="20"/>
                <w:szCs w:val="20"/>
                <w:lang w:val="en-US"/>
              </w:rPr>
            </w:pPr>
            <w:r w:rsidRPr="007D2F65">
              <w:rPr>
                <w:sz w:val="20"/>
                <w:szCs w:val="20"/>
                <w:lang w:val="en-US"/>
              </w:rPr>
              <w:t>1.7</w:t>
            </w:r>
          </w:p>
        </w:tc>
      </w:tr>
      <w:tr w:rsidR="006421E2" w:rsidRPr="0088305F" w14:paraId="31C08D5A" w14:textId="77777777" w:rsidTr="007D2F65">
        <w:trPr>
          <w:trHeight w:val="237"/>
        </w:trPr>
        <w:tc>
          <w:tcPr>
            <w:tcW w:w="1405" w:type="pct"/>
          </w:tcPr>
          <w:p w14:paraId="31BAC79D" w14:textId="77777777" w:rsidR="006421E2" w:rsidRPr="007D2F65" w:rsidRDefault="006421E2" w:rsidP="007D2F65">
            <w:pPr>
              <w:ind w:left="0" w:right="0"/>
              <w:rPr>
                <w:sz w:val="20"/>
                <w:szCs w:val="20"/>
                <w:lang w:val="en-US"/>
              </w:rPr>
            </w:pPr>
            <w:r w:rsidRPr="007D2F65">
              <w:rPr>
                <w:sz w:val="20"/>
                <w:szCs w:val="20"/>
                <w:lang w:val="en-US"/>
              </w:rPr>
              <w:t>Increased weight</w:t>
            </w:r>
          </w:p>
        </w:tc>
        <w:tc>
          <w:tcPr>
            <w:tcW w:w="719" w:type="pct"/>
          </w:tcPr>
          <w:p w14:paraId="6588AE32" w14:textId="77777777" w:rsidR="006421E2" w:rsidRPr="007D2F65" w:rsidRDefault="006421E2" w:rsidP="007D2F65">
            <w:pPr>
              <w:ind w:left="0" w:right="0"/>
              <w:rPr>
                <w:sz w:val="20"/>
                <w:szCs w:val="20"/>
                <w:lang w:val="en-US"/>
              </w:rPr>
            </w:pPr>
            <w:r w:rsidRPr="007D2F65">
              <w:rPr>
                <w:sz w:val="20"/>
                <w:szCs w:val="20"/>
                <w:lang w:val="en-US"/>
              </w:rPr>
              <w:t>1.5</w:t>
            </w:r>
          </w:p>
        </w:tc>
        <w:tc>
          <w:tcPr>
            <w:tcW w:w="719" w:type="pct"/>
          </w:tcPr>
          <w:p w14:paraId="478F9E0A"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6BAEB25B" w14:textId="77777777" w:rsidR="006421E2" w:rsidRPr="007D2F65" w:rsidRDefault="006421E2" w:rsidP="007D2F65">
            <w:pPr>
              <w:ind w:left="0" w:right="0"/>
              <w:rPr>
                <w:sz w:val="20"/>
                <w:szCs w:val="20"/>
                <w:lang w:val="en-US"/>
              </w:rPr>
            </w:pPr>
            <w:r w:rsidRPr="007D2F65">
              <w:rPr>
                <w:sz w:val="20"/>
                <w:szCs w:val="20"/>
                <w:lang w:val="en-US"/>
              </w:rPr>
              <w:t>0.7</w:t>
            </w:r>
          </w:p>
        </w:tc>
        <w:tc>
          <w:tcPr>
            <w:tcW w:w="719" w:type="pct"/>
          </w:tcPr>
          <w:p w14:paraId="27FD4D43" w14:textId="77777777" w:rsidR="006421E2" w:rsidRPr="007D2F65" w:rsidRDefault="006421E2" w:rsidP="007D2F65">
            <w:pPr>
              <w:ind w:left="0" w:right="0"/>
              <w:rPr>
                <w:sz w:val="20"/>
                <w:szCs w:val="20"/>
                <w:lang w:val="en-US"/>
              </w:rPr>
            </w:pPr>
            <w:r w:rsidRPr="007D2F65">
              <w:rPr>
                <w:sz w:val="20"/>
                <w:szCs w:val="20"/>
                <w:lang w:val="en-US"/>
              </w:rPr>
              <w:t>6</w:t>
            </w:r>
          </w:p>
        </w:tc>
        <w:tc>
          <w:tcPr>
            <w:tcW w:w="719" w:type="pct"/>
          </w:tcPr>
          <w:p w14:paraId="3B89D516" w14:textId="77777777" w:rsidR="006421E2" w:rsidRPr="007D2F65" w:rsidRDefault="006421E2" w:rsidP="007D2F65">
            <w:pPr>
              <w:ind w:left="0" w:right="0"/>
              <w:rPr>
                <w:sz w:val="20"/>
                <w:szCs w:val="20"/>
                <w:lang w:val="en-US"/>
              </w:rPr>
            </w:pPr>
            <w:r w:rsidRPr="007D2F65">
              <w:rPr>
                <w:sz w:val="20"/>
                <w:szCs w:val="20"/>
                <w:lang w:val="en-US"/>
              </w:rPr>
              <w:t>1.4</w:t>
            </w:r>
          </w:p>
        </w:tc>
      </w:tr>
      <w:tr w:rsidR="006421E2" w:rsidRPr="0088305F" w14:paraId="231B0133" w14:textId="77777777" w:rsidTr="007D2F65">
        <w:trPr>
          <w:trHeight w:val="237"/>
        </w:trPr>
        <w:tc>
          <w:tcPr>
            <w:tcW w:w="1405" w:type="pct"/>
          </w:tcPr>
          <w:p w14:paraId="4562A79A" w14:textId="31FF45CC" w:rsidR="006421E2" w:rsidRPr="007D2F65" w:rsidRDefault="006421E2" w:rsidP="007D2F65">
            <w:pPr>
              <w:ind w:left="0" w:right="0"/>
              <w:rPr>
                <w:sz w:val="20"/>
                <w:szCs w:val="20"/>
                <w:lang w:val="en-US"/>
              </w:rPr>
            </w:pPr>
            <w:r w:rsidRPr="007D2F65">
              <w:rPr>
                <w:sz w:val="20"/>
                <w:szCs w:val="20"/>
                <w:lang w:val="en-US"/>
              </w:rPr>
              <w:lastRenderedPageBreak/>
              <w:t xml:space="preserve">Ataxia/ </w:t>
            </w:r>
            <w:r w:rsidR="0088305F">
              <w:rPr>
                <w:sz w:val="20"/>
                <w:szCs w:val="20"/>
                <w:lang w:val="en-US"/>
              </w:rPr>
              <w:t>g</w:t>
            </w:r>
            <w:r w:rsidRPr="007D2F65">
              <w:rPr>
                <w:sz w:val="20"/>
                <w:szCs w:val="20"/>
                <w:lang w:val="en-US"/>
              </w:rPr>
              <w:t>ait disturbance/balance</w:t>
            </w:r>
            <w:r w:rsidR="0088305F">
              <w:rPr>
                <w:sz w:val="20"/>
                <w:szCs w:val="20"/>
                <w:lang w:val="en-US"/>
              </w:rPr>
              <w:t xml:space="preserve"> </w:t>
            </w:r>
            <w:r w:rsidRPr="007D2F65">
              <w:rPr>
                <w:sz w:val="20"/>
                <w:szCs w:val="20"/>
                <w:lang w:val="en-US"/>
              </w:rPr>
              <w:t>disorder</w:t>
            </w:r>
          </w:p>
        </w:tc>
        <w:tc>
          <w:tcPr>
            <w:tcW w:w="719" w:type="pct"/>
          </w:tcPr>
          <w:p w14:paraId="74C48766" w14:textId="77777777" w:rsidR="006421E2" w:rsidRPr="007D2F65" w:rsidRDefault="006421E2" w:rsidP="007D2F65">
            <w:pPr>
              <w:ind w:left="0" w:right="0"/>
              <w:jc w:val="center"/>
              <w:rPr>
                <w:sz w:val="20"/>
                <w:szCs w:val="20"/>
                <w:lang w:val="en-US"/>
              </w:rPr>
            </w:pPr>
            <w:r w:rsidRPr="007D2F65">
              <w:rPr>
                <w:sz w:val="20"/>
                <w:szCs w:val="20"/>
                <w:lang w:val="en-US"/>
              </w:rPr>
              <w:t>3</w:t>
            </w:r>
          </w:p>
        </w:tc>
        <w:tc>
          <w:tcPr>
            <w:tcW w:w="719" w:type="pct"/>
          </w:tcPr>
          <w:p w14:paraId="328B46B2" w14:textId="77777777" w:rsidR="006421E2" w:rsidRPr="007D2F65" w:rsidRDefault="006421E2" w:rsidP="007D2F65">
            <w:pPr>
              <w:ind w:left="0" w:right="0"/>
              <w:jc w:val="center"/>
              <w:rPr>
                <w:sz w:val="20"/>
                <w:szCs w:val="20"/>
                <w:lang w:val="en-US"/>
              </w:rPr>
            </w:pPr>
            <w:r w:rsidRPr="007D2F65">
              <w:rPr>
                <w:sz w:val="20"/>
                <w:szCs w:val="20"/>
                <w:lang w:val="en-US"/>
              </w:rPr>
              <w:t>3</w:t>
            </w:r>
          </w:p>
        </w:tc>
        <w:tc>
          <w:tcPr>
            <w:tcW w:w="719" w:type="pct"/>
          </w:tcPr>
          <w:p w14:paraId="2423F135" w14:textId="77777777"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11E9503B"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3EB78FF8" w14:textId="77777777"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88305F" w14:paraId="77409A6B" w14:textId="77777777" w:rsidTr="007D2F65">
        <w:trPr>
          <w:trHeight w:val="237"/>
        </w:trPr>
        <w:tc>
          <w:tcPr>
            <w:tcW w:w="1405" w:type="pct"/>
          </w:tcPr>
          <w:p w14:paraId="5E09CEC7" w14:textId="77777777" w:rsidR="006421E2" w:rsidRPr="007D2F65" w:rsidRDefault="006421E2" w:rsidP="007D2F65">
            <w:pPr>
              <w:ind w:left="0" w:right="0"/>
              <w:rPr>
                <w:sz w:val="20"/>
                <w:szCs w:val="20"/>
                <w:lang w:val="en-US"/>
              </w:rPr>
            </w:pPr>
            <w:r w:rsidRPr="007D2F65">
              <w:rPr>
                <w:sz w:val="20"/>
                <w:szCs w:val="20"/>
                <w:lang w:val="en-US"/>
              </w:rPr>
              <w:t>Cognitive disorder</w:t>
            </w:r>
          </w:p>
        </w:tc>
        <w:tc>
          <w:tcPr>
            <w:tcW w:w="719" w:type="pct"/>
          </w:tcPr>
          <w:p w14:paraId="394E8C8C" w14:textId="77777777"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1572B20D" w14:textId="77777777" w:rsidR="006421E2" w:rsidRPr="007D2F65" w:rsidRDefault="006421E2" w:rsidP="007D2F65">
            <w:pPr>
              <w:ind w:left="0" w:right="0"/>
              <w:jc w:val="center"/>
              <w:rPr>
                <w:sz w:val="20"/>
                <w:szCs w:val="20"/>
                <w:lang w:val="en-US"/>
              </w:rPr>
            </w:pPr>
            <w:r w:rsidRPr="007D2F65">
              <w:rPr>
                <w:sz w:val="20"/>
                <w:szCs w:val="20"/>
                <w:lang w:val="en-US"/>
              </w:rPr>
              <w:t>2</w:t>
            </w:r>
          </w:p>
        </w:tc>
        <w:tc>
          <w:tcPr>
            <w:tcW w:w="719" w:type="pct"/>
          </w:tcPr>
          <w:p w14:paraId="6C25525E"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6ED5E272"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1E5D2AD3" w14:textId="77777777"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88305F" w14:paraId="4F8E95A7" w14:textId="77777777" w:rsidTr="007D2F65">
        <w:trPr>
          <w:trHeight w:val="237"/>
        </w:trPr>
        <w:tc>
          <w:tcPr>
            <w:tcW w:w="1405" w:type="pct"/>
          </w:tcPr>
          <w:p w14:paraId="0470FCCD" w14:textId="77777777" w:rsidR="006421E2" w:rsidRPr="007D2F65" w:rsidRDefault="006421E2" w:rsidP="007D2F65">
            <w:pPr>
              <w:ind w:left="0" w:right="0"/>
              <w:rPr>
                <w:sz w:val="20"/>
                <w:szCs w:val="20"/>
                <w:lang w:val="en-US"/>
              </w:rPr>
            </w:pPr>
            <w:r w:rsidRPr="007D2F65">
              <w:rPr>
                <w:sz w:val="20"/>
                <w:szCs w:val="20"/>
                <w:lang w:val="en-US"/>
              </w:rPr>
              <w:t>Peripheral sensory neuropathy/paresthesia/ peripheral neuropathy</w:t>
            </w:r>
          </w:p>
        </w:tc>
        <w:tc>
          <w:tcPr>
            <w:tcW w:w="719" w:type="pct"/>
          </w:tcPr>
          <w:p w14:paraId="566CF904" w14:textId="1C02E871" w:rsidR="006421E2" w:rsidRPr="007D2F65" w:rsidRDefault="006421E2" w:rsidP="007D2F65">
            <w:pPr>
              <w:ind w:left="0" w:right="0"/>
              <w:jc w:val="center"/>
              <w:rPr>
                <w:sz w:val="20"/>
                <w:szCs w:val="20"/>
                <w:lang w:val="en-US"/>
              </w:rPr>
            </w:pPr>
            <w:r w:rsidRPr="007D2F65">
              <w:rPr>
                <w:sz w:val="20"/>
                <w:szCs w:val="20"/>
                <w:lang w:val="en-US"/>
              </w:rPr>
              <w:t>3</w:t>
            </w:r>
          </w:p>
        </w:tc>
        <w:tc>
          <w:tcPr>
            <w:tcW w:w="719" w:type="pct"/>
          </w:tcPr>
          <w:p w14:paraId="0887A7D9" w14:textId="24E5CD69" w:rsidR="006421E2" w:rsidRPr="007D2F65" w:rsidRDefault="006421E2" w:rsidP="007D2F65">
            <w:pPr>
              <w:ind w:left="0" w:right="0"/>
              <w:jc w:val="center"/>
              <w:rPr>
                <w:sz w:val="20"/>
                <w:szCs w:val="20"/>
                <w:lang w:val="en-US"/>
              </w:rPr>
            </w:pPr>
            <w:r w:rsidRPr="007D2F65">
              <w:rPr>
                <w:sz w:val="20"/>
                <w:szCs w:val="20"/>
                <w:lang w:val="en-US"/>
              </w:rPr>
              <w:t>4</w:t>
            </w:r>
          </w:p>
        </w:tc>
        <w:tc>
          <w:tcPr>
            <w:tcW w:w="719" w:type="pct"/>
          </w:tcPr>
          <w:p w14:paraId="21FC66E0" w14:textId="55C6C5F1"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7AD03861" w14:textId="39F30C94"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790F0062" w14:textId="4BD8D0A8"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88305F" w14:paraId="72FC3DBA" w14:textId="77777777" w:rsidTr="007D2F65">
        <w:trPr>
          <w:trHeight w:val="237"/>
        </w:trPr>
        <w:tc>
          <w:tcPr>
            <w:tcW w:w="1405" w:type="pct"/>
          </w:tcPr>
          <w:p w14:paraId="2C1010CB" w14:textId="77777777" w:rsidR="006421E2" w:rsidRPr="007D2F65" w:rsidRDefault="006421E2" w:rsidP="007D2F65">
            <w:pPr>
              <w:ind w:left="0" w:right="0"/>
              <w:rPr>
                <w:sz w:val="20"/>
                <w:szCs w:val="20"/>
                <w:lang w:val="en-US"/>
              </w:rPr>
            </w:pPr>
            <w:r w:rsidRPr="007D2F65">
              <w:rPr>
                <w:sz w:val="20"/>
                <w:szCs w:val="20"/>
                <w:lang w:val="en-US"/>
              </w:rPr>
              <w:t>Gait disturbance</w:t>
            </w:r>
          </w:p>
        </w:tc>
        <w:tc>
          <w:tcPr>
            <w:tcW w:w="719" w:type="pct"/>
          </w:tcPr>
          <w:p w14:paraId="7F610F83" w14:textId="77777777" w:rsidR="006421E2" w:rsidRPr="007D2F65" w:rsidRDefault="006421E2" w:rsidP="007D2F65">
            <w:pPr>
              <w:ind w:left="0" w:right="0"/>
              <w:jc w:val="center"/>
              <w:rPr>
                <w:sz w:val="20"/>
                <w:szCs w:val="20"/>
                <w:lang w:val="en-US"/>
              </w:rPr>
            </w:pPr>
            <w:r w:rsidRPr="007D2F65">
              <w:rPr>
                <w:sz w:val="20"/>
                <w:szCs w:val="20"/>
                <w:lang w:val="en-US"/>
              </w:rPr>
              <w:t>3</w:t>
            </w:r>
          </w:p>
        </w:tc>
        <w:tc>
          <w:tcPr>
            <w:tcW w:w="719" w:type="pct"/>
          </w:tcPr>
          <w:p w14:paraId="499D17A4" w14:textId="77777777" w:rsidR="006421E2" w:rsidRPr="007D2F65" w:rsidRDefault="006421E2" w:rsidP="007D2F65">
            <w:pPr>
              <w:ind w:left="0" w:right="0"/>
              <w:jc w:val="center"/>
              <w:rPr>
                <w:sz w:val="20"/>
                <w:szCs w:val="20"/>
                <w:lang w:val="en-US"/>
              </w:rPr>
            </w:pPr>
            <w:r w:rsidRPr="007D2F65">
              <w:rPr>
                <w:sz w:val="20"/>
                <w:szCs w:val="20"/>
                <w:lang w:val="en-US"/>
              </w:rPr>
              <w:t>0.7</w:t>
            </w:r>
          </w:p>
        </w:tc>
        <w:tc>
          <w:tcPr>
            <w:tcW w:w="719" w:type="pct"/>
          </w:tcPr>
          <w:p w14:paraId="2AA0BC95" w14:textId="77777777" w:rsidR="006421E2" w:rsidRPr="007D2F65" w:rsidRDefault="006421E2" w:rsidP="007D2F65">
            <w:pPr>
              <w:ind w:left="0" w:right="0"/>
              <w:jc w:val="center"/>
              <w:rPr>
                <w:sz w:val="20"/>
                <w:szCs w:val="20"/>
                <w:lang w:val="en-US"/>
              </w:rPr>
            </w:pPr>
            <w:r w:rsidRPr="007D2F65">
              <w:rPr>
                <w:sz w:val="20"/>
                <w:szCs w:val="20"/>
                <w:lang w:val="en-US"/>
              </w:rPr>
              <w:t>0.7</w:t>
            </w:r>
          </w:p>
        </w:tc>
        <w:tc>
          <w:tcPr>
            <w:tcW w:w="719" w:type="pct"/>
          </w:tcPr>
          <w:p w14:paraId="736F56F9"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11688D2A" w14:textId="77777777"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88305F" w14:paraId="1D86537E" w14:textId="77777777" w:rsidTr="007D2F65">
        <w:trPr>
          <w:trHeight w:val="237"/>
        </w:trPr>
        <w:tc>
          <w:tcPr>
            <w:tcW w:w="1405" w:type="pct"/>
          </w:tcPr>
          <w:p w14:paraId="51D8EE9F" w14:textId="77777777" w:rsidR="006421E2" w:rsidRPr="007D2F65" w:rsidRDefault="006421E2" w:rsidP="007D2F65">
            <w:pPr>
              <w:ind w:left="0" w:right="0"/>
              <w:rPr>
                <w:sz w:val="20"/>
                <w:szCs w:val="20"/>
                <w:lang w:val="en-US"/>
              </w:rPr>
            </w:pPr>
            <w:r w:rsidRPr="007D2F65">
              <w:rPr>
                <w:sz w:val="20"/>
                <w:szCs w:val="20"/>
                <w:lang w:val="en-US"/>
              </w:rPr>
              <w:t>Arthralgia</w:t>
            </w:r>
          </w:p>
        </w:tc>
        <w:tc>
          <w:tcPr>
            <w:tcW w:w="719" w:type="pct"/>
          </w:tcPr>
          <w:p w14:paraId="0A4732E4"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6878023C" w14:textId="77777777"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5EFA947B" w14:textId="77777777"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4E1F26F9" w14:textId="77777777"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1C26F4B4" w14:textId="77777777" w:rsidR="006421E2" w:rsidRPr="007D2F65" w:rsidRDefault="006421E2" w:rsidP="007D2F65">
            <w:pPr>
              <w:ind w:left="0" w:right="0"/>
              <w:jc w:val="center"/>
              <w:rPr>
                <w:sz w:val="20"/>
                <w:szCs w:val="20"/>
                <w:lang w:val="en-US"/>
              </w:rPr>
            </w:pPr>
            <w:r w:rsidRPr="007D2F65">
              <w:rPr>
                <w:sz w:val="20"/>
                <w:szCs w:val="20"/>
                <w:lang w:val="en-US"/>
              </w:rPr>
              <w:t>1.0</w:t>
            </w:r>
          </w:p>
        </w:tc>
      </w:tr>
      <w:tr w:rsidR="006421E2" w:rsidRPr="0088305F" w14:paraId="7B8DE70E" w14:textId="77777777" w:rsidTr="007D2F65">
        <w:trPr>
          <w:trHeight w:val="237"/>
        </w:trPr>
        <w:tc>
          <w:tcPr>
            <w:tcW w:w="1405" w:type="pct"/>
          </w:tcPr>
          <w:p w14:paraId="6D406B59" w14:textId="29256CC4" w:rsidR="006421E2" w:rsidRPr="007D2F65" w:rsidRDefault="006421E2" w:rsidP="007D2F65">
            <w:pPr>
              <w:ind w:left="0" w:right="0"/>
              <w:rPr>
                <w:sz w:val="20"/>
                <w:szCs w:val="20"/>
                <w:lang w:val="en-US"/>
              </w:rPr>
            </w:pPr>
            <w:proofErr w:type="spellStart"/>
            <w:r w:rsidRPr="007D2F65">
              <w:rPr>
                <w:sz w:val="20"/>
                <w:szCs w:val="20"/>
                <w:lang w:val="en-US"/>
              </w:rPr>
              <w:t>Confusional</w:t>
            </w:r>
            <w:proofErr w:type="spellEnd"/>
            <w:r w:rsidRPr="007D2F65">
              <w:rPr>
                <w:sz w:val="20"/>
                <w:szCs w:val="20"/>
                <w:lang w:val="en-US"/>
              </w:rPr>
              <w:t xml:space="preserve"> state/mental status change/somnolence/ depressed level of consciousness</w:t>
            </w:r>
            <w:r w:rsidR="0088305F">
              <w:rPr>
                <w:sz w:val="20"/>
                <w:szCs w:val="20"/>
                <w:lang w:val="en-US"/>
              </w:rPr>
              <w:t xml:space="preserve"> </w:t>
            </w:r>
            <w:r w:rsidRPr="007D2F65">
              <w:rPr>
                <w:sz w:val="20"/>
                <w:szCs w:val="20"/>
                <w:lang w:val="en-US"/>
              </w:rPr>
              <w:t>/depression/agitation/ disturbance in attention</w:t>
            </w:r>
          </w:p>
        </w:tc>
        <w:tc>
          <w:tcPr>
            <w:tcW w:w="719" w:type="pct"/>
          </w:tcPr>
          <w:p w14:paraId="10F9E021" w14:textId="0FA7C20E"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2E413256" w14:textId="7CA25EA4" w:rsidR="006421E2" w:rsidRPr="007D2F65" w:rsidRDefault="006421E2" w:rsidP="007D2F65">
            <w:pPr>
              <w:ind w:left="0" w:right="0"/>
              <w:jc w:val="center"/>
              <w:rPr>
                <w:sz w:val="20"/>
                <w:szCs w:val="20"/>
                <w:lang w:val="en-US"/>
              </w:rPr>
            </w:pPr>
            <w:r w:rsidRPr="007D2F65">
              <w:rPr>
                <w:sz w:val="20"/>
                <w:szCs w:val="20"/>
                <w:lang w:val="en-US"/>
              </w:rPr>
              <w:t>4</w:t>
            </w:r>
          </w:p>
        </w:tc>
        <w:tc>
          <w:tcPr>
            <w:tcW w:w="719" w:type="pct"/>
          </w:tcPr>
          <w:p w14:paraId="70D4125A" w14:textId="495ED5F1" w:rsidR="006421E2" w:rsidRPr="007D2F65" w:rsidRDefault="006421E2" w:rsidP="007D2F65">
            <w:pPr>
              <w:ind w:left="0" w:right="0"/>
              <w:jc w:val="center"/>
              <w:rPr>
                <w:sz w:val="20"/>
                <w:szCs w:val="20"/>
                <w:lang w:val="en-US"/>
              </w:rPr>
            </w:pPr>
            <w:r w:rsidRPr="007D2F65">
              <w:rPr>
                <w:sz w:val="20"/>
                <w:szCs w:val="20"/>
                <w:lang w:val="en-US"/>
              </w:rPr>
              <w:t>1.5</w:t>
            </w:r>
          </w:p>
        </w:tc>
        <w:tc>
          <w:tcPr>
            <w:tcW w:w="719" w:type="pct"/>
          </w:tcPr>
          <w:p w14:paraId="5E9D2168" w14:textId="3CA72518" w:rsidR="006421E2" w:rsidRPr="007D2F65" w:rsidRDefault="006421E2" w:rsidP="007D2F65">
            <w:pPr>
              <w:ind w:left="0" w:right="0"/>
              <w:jc w:val="center"/>
              <w:rPr>
                <w:sz w:val="20"/>
                <w:szCs w:val="20"/>
                <w:lang w:val="en-US"/>
              </w:rPr>
            </w:pPr>
            <w:r w:rsidRPr="007D2F65">
              <w:rPr>
                <w:sz w:val="20"/>
                <w:szCs w:val="20"/>
                <w:lang w:val="en-US"/>
              </w:rPr>
              <w:t>0</w:t>
            </w:r>
          </w:p>
        </w:tc>
        <w:tc>
          <w:tcPr>
            <w:tcW w:w="719" w:type="pct"/>
          </w:tcPr>
          <w:p w14:paraId="00774B3C" w14:textId="612F4D5B" w:rsidR="006421E2" w:rsidRPr="007D2F65" w:rsidRDefault="006421E2" w:rsidP="007D2F65">
            <w:pPr>
              <w:ind w:left="0" w:right="0"/>
              <w:jc w:val="center"/>
              <w:rPr>
                <w:sz w:val="20"/>
                <w:szCs w:val="20"/>
                <w:lang w:val="en-US"/>
              </w:rPr>
            </w:pPr>
            <w:r w:rsidRPr="007D2F65">
              <w:rPr>
                <w:sz w:val="20"/>
                <w:szCs w:val="20"/>
                <w:lang w:val="en-US"/>
              </w:rPr>
              <w:t>1.0</w:t>
            </w:r>
          </w:p>
        </w:tc>
      </w:tr>
    </w:tbl>
    <w:p w14:paraId="7C282085" w14:textId="05E19512" w:rsidR="002C208C" w:rsidRPr="006421E2" w:rsidRDefault="002C208C" w:rsidP="002C208C">
      <w:pPr>
        <w:pStyle w:val="TableDescription"/>
      </w:pPr>
      <w:r>
        <w:t>CHF: c</w:t>
      </w:r>
      <w:r w:rsidRPr="00A75CC0">
        <w:t>ongestive heart failure</w:t>
      </w:r>
      <w:r w:rsidR="009A4678">
        <w:t>;</w:t>
      </w:r>
      <w:r>
        <w:t xml:space="preserve"> RTI: </w:t>
      </w:r>
      <w:r w:rsidRPr="002C208C">
        <w:t>respiratory tract infection</w:t>
      </w:r>
      <w:r w:rsidR="009A4678">
        <w:t>;</w:t>
      </w:r>
      <w:r>
        <w:t xml:space="preserve"> AKI: a</w:t>
      </w:r>
      <w:r w:rsidRPr="002C208C">
        <w:t>cute kidney injury</w:t>
      </w:r>
      <w:r w:rsidR="009A4678">
        <w:t>;</w:t>
      </w:r>
      <w:r>
        <w:t xml:space="preserve"> </w:t>
      </w:r>
      <w:r w:rsidR="009A4678">
        <w:t>AST: aspartate aminotransferase; ALT: alanine a</w:t>
      </w:r>
      <w:r w:rsidRPr="006421E2">
        <w:t>minotransferase</w:t>
      </w:r>
      <w:r w:rsidR="009A4678">
        <w:t xml:space="preserve">; UTI: </w:t>
      </w:r>
      <w:r w:rsidR="009A4678" w:rsidRPr="009A4678">
        <w:t>urinary tract infection</w:t>
      </w:r>
      <w:r w:rsidR="009A4678">
        <w:t>.</w:t>
      </w:r>
    </w:p>
    <w:p w14:paraId="1A8CA958" w14:textId="6B186572" w:rsidR="0088305F" w:rsidRDefault="0088305F" w:rsidP="007D2F65">
      <w:pPr>
        <w:pStyle w:val="TableDescription"/>
        <w:rPr>
          <w:i/>
        </w:rPr>
      </w:pPr>
      <w:r>
        <w:t xml:space="preserve">Source: </w:t>
      </w:r>
      <w:r w:rsidRPr="006421E2">
        <w:t>FDA tables 54, 55 and 56 of the FDA multidisciplinary review, reformatted and merged</w:t>
      </w:r>
      <w:r>
        <w:t>.</w:t>
      </w:r>
      <w:r>
        <w:fldChar w:fldCharType="begin"/>
      </w:r>
      <w:r>
        <w:instrText xml:space="preserve"> NOTEREF _Ref50554541 \f \h  \* MERGEFORMAT </w:instrText>
      </w:r>
      <w:r>
        <w:fldChar w:fldCharType="separate"/>
      </w:r>
      <w:r w:rsidRPr="005743D8">
        <w:rPr>
          <w:rStyle w:val="FootnoteReference"/>
        </w:rPr>
        <w:t>12</w:t>
      </w:r>
      <w:r>
        <w:fldChar w:fldCharType="end"/>
      </w:r>
    </w:p>
    <w:p w14:paraId="490F0CE6" w14:textId="48811197" w:rsidR="006421E2" w:rsidRPr="006421E2" w:rsidRDefault="006421E2" w:rsidP="007D2F65">
      <w:pPr>
        <w:pStyle w:val="Heading6"/>
      </w:pPr>
      <w:r w:rsidRPr="006421E2">
        <w:t>Deaths and fatal adverse events</w:t>
      </w:r>
    </w:p>
    <w:p w14:paraId="616E9FFB" w14:textId="0579999B" w:rsidR="006421E2" w:rsidRPr="006421E2" w:rsidRDefault="006421E2" w:rsidP="006421E2">
      <w:r w:rsidRPr="006421E2">
        <w:t>Deaths in the integrated safety population are summarised in</w:t>
      </w:r>
      <w:r w:rsidR="00D97822">
        <w:t xml:space="preserve"> </w:t>
      </w:r>
      <w:r w:rsidR="00D97822">
        <w:fldChar w:fldCharType="begin"/>
      </w:r>
      <w:r w:rsidR="00D97822">
        <w:instrText xml:space="preserve"> REF _Ref30165099 \h </w:instrText>
      </w:r>
      <w:r w:rsidR="00D97822">
        <w:fldChar w:fldCharType="separate"/>
      </w:r>
      <w:r w:rsidR="005743D8" w:rsidRPr="006421E2">
        <w:t xml:space="preserve">Table </w:t>
      </w:r>
      <w:r w:rsidR="005743D8">
        <w:rPr>
          <w:noProof/>
        </w:rPr>
        <w:t>24</w:t>
      </w:r>
      <w:r w:rsidR="00D97822">
        <w:fldChar w:fldCharType="end"/>
      </w:r>
      <w:r w:rsidRPr="006421E2">
        <w:t>. Of the 20 adverse events that occurred within 30 days of last dose of entrectinib and resulted in death (</w:t>
      </w:r>
      <w:r w:rsidR="00D97822">
        <w:fldChar w:fldCharType="begin"/>
      </w:r>
      <w:r w:rsidR="00D97822">
        <w:instrText xml:space="preserve"> REF _Ref30165786 \h </w:instrText>
      </w:r>
      <w:r w:rsidR="00D97822">
        <w:fldChar w:fldCharType="separate"/>
      </w:r>
      <w:r w:rsidR="005743D8" w:rsidRPr="006421E2">
        <w:t>Table</w:t>
      </w:r>
      <w:r w:rsidR="009857DF">
        <w:t> </w:t>
      </w:r>
      <w:r w:rsidR="005743D8">
        <w:rPr>
          <w:noProof/>
        </w:rPr>
        <w:t>25</w:t>
      </w:r>
      <w:r w:rsidR="00D97822">
        <w:fldChar w:fldCharType="end"/>
      </w:r>
      <w:r w:rsidRPr="006421E2">
        <w:t>) none were attributed to entrectinib by the investigators, however, the FDA reviewers state:</w:t>
      </w:r>
      <w:r w:rsidR="000F0866">
        <w:fldChar w:fldCharType="begin"/>
      </w:r>
      <w:r w:rsidR="000F0866">
        <w:instrText xml:space="preserve"> NOTEREF _Ref50554541 \f \h </w:instrText>
      </w:r>
      <w:r w:rsidR="000F0866">
        <w:fldChar w:fldCharType="separate"/>
      </w:r>
      <w:r w:rsidR="005743D8" w:rsidRPr="005743D8">
        <w:rPr>
          <w:rStyle w:val="FootnoteReference"/>
        </w:rPr>
        <w:t>12</w:t>
      </w:r>
      <w:r w:rsidR="000F0866">
        <w:fldChar w:fldCharType="end"/>
      </w:r>
    </w:p>
    <w:p w14:paraId="6BFC4483" w14:textId="2F15406B" w:rsidR="006421E2" w:rsidRPr="002A1EE5" w:rsidRDefault="00140D98" w:rsidP="00140D98">
      <w:pPr>
        <w:ind w:left="720"/>
      </w:pPr>
      <w:r>
        <w:t>‘</w:t>
      </w:r>
      <w:r w:rsidR="006421E2" w:rsidRPr="002A1EE5">
        <w:t>While the reviewers agree that the majority of deaths are unlikely to be related to entrectinib, due to the single arm nature of these studies and temporal relationship between the onset of death and initiation of entrectinib in some cases, it is possible that there is a causal relationship for entrectinib in some of these deaths.</w:t>
      </w:r>
    </w:p>
    <w:p w14:paraId="47DD37BF" w14:textId="383829A9" w:rsidR="006421E2" w:rsidRPr="006421E2" w:rsidRDefault="006421E2" w:rsidP="00140D98">
      <w:pPr>
        <w:ind w:left="720"/>
      </w:pPr>
      <w:r w:rsidRPr="002A1EE5">
        <w:t>Additionally, FDA does not agree with the attribution of certain fatal events as noted above. Therefore, the package insert will include information regarding all Grade 5 AEs (deaths).</w:t>
      </w:r>
      <w:r w:rsidR="00140D98">
        <w:t>’</w:t>
      </w:r>
    </w:p>
    <w:p w14:paraId="0CB0726E" w14:textId="1BCA63E3" w:rsidR="006421E2" w:rsidRPr="006421E2" w:rsidRDefault="006421E2" w:rsidP="006421E2">
      <w:r w:rsidRPr="006421E2">
        <w:t>Notably:</w:t>
      </w:r>
      <w:r w:rsidR="000F0866">
        <w:fldChar w:fldCharType="begin"/>
      </w:r>
      <w:r w:rsidR="000F0866">
        <w:instrText xml:space="preserve"> NOTEREF _Ref50554541 \f \h </w:instrText>
      </w:r>
      <w:r w:rsidR="000F0866">
        <w:fldChar w:fldCharType="separate"/>
      </w:r>
      <w:r w:rsidR="005743D8" w:rsidRPr="005743D8">
        <w:rPr>
          <w:rStyle w:val="FootnoteReference"/>
        </w:rPr>
        <w:t>12</w:t>
      </w:r>
      <w:r w:rsidR="000F0866">
        <w:fldChar w:fldCharType="end"/>
      </w:r>
    </w:p>
    <w:p w14:paraId="6822A9D8" w14:textId="0F7C133A" w:rsidR="006421E2" w:rsidRPr="002A1EE5" w:rsidRDefault="00140D98" w:rsidP="00140D98">
      <w:pPr>
        <w:ind w:left="720"/>
      </w:pPr>
      <w:r>
        <w:t>‘</w:t>
      </w:r>
      <w:r w:rsidR="006421E2" w:rsidRPr="002A1EE5">
        <w:t>One patient committed suicide in the hospital subsequent to confirmation of disease progression. Given the documented CNS effects of entrectinib, this event is possibly/probably attributable to entrectinib.</w:t>
      </w:r>
      <w:r>
        <w:t>’</w:t>
      </w:r>
    </w:p>
    <w:p w14:paraId="14DAB30A" w14:textId="3F247CEB" w:rsidR="006421E2" w:rsidRPr="006421E2" w:rsidRDefault="006421E2" w:rsidP="00007D7D">
      <w:pPr>
        <w:pStyle w:val="TableTitle"/>
      </w:pPr>
      <w:bookmarkStart w:id="74" w:name="_Ref30165099"/>
      <w:r w:rsidRPr="006421E2">
        <w:lastRenderedPageBreak/>
        <w:t xml:space="preserve">Table </w:t>
      </w:r>
      <w:fldSimple w:instr=" SEQ Table \* ARABIC ">
        <w:r w:rsidR="009B407B">
          <w:rPr>
            <w:noProof/>
          </w:rPr>
          <w:t>30</w:t>
        </w:r>
      </w:fldSimple>
      <w:bookmarkEnd w:id="74"/>
      <w:r w:rsidR="00201B8A">
        <w:t>:</w:t>
      </w:r>
      <w:r w:rsidRPr="006421E2">
        <w:t xml:space="preserve"> Overview of deaths in the in the integrat</w:t>
      </w:r>
      <w:r w:rsidR="002A1EE5">
        <w:t xml:space="preserve">ed safety population </w:t>
      </w:r>
    </w:p>
    <w:tbl>
      <w:tblPr>
        <w:tblStyle w:val="TableTGAblue"/>
        <w:tblW w:w="8502" w:type="dxa"/>
        <w:tblLayout w:type="fixed"/>
        <w:tblLook w:val="01E0" w:firstRow="1" w:lastRow="1" w:firstColumn="1" w:lastColumn="1" w:noHBand="0" w:noVBand="0"/>
      </w:tblPr>
      <w:tblGrid>
        <w:gridCol w:w="2263"/>
        <w:gridCol w:w="1276"/>
        <w:gridCol w:w="1276"/>
        <w:gridCol w:w="1417"/>
        <w:gridCol w:w="1134"/>
        <w:gridCol w:w="1136"/>
      </w:tblGrid>
      <w:tr w:rsidR="006421E2" w:rsidRPr="00A807DB" w14:paraId="5C5CDA0B" w14:textId="77777777" w:rsidTr="00D84CA8">
        <w:trPr>
          <w:cnfStyle w:val="100000000000" w:firstRow="1" w:lastRow="0" w:firstColumn="0" w:lastColumn="0" w:oddVBand="0" w:evenVBand="0" w:oddHBand="0" w:evenHBand="0" w:firstRowFirstColumn="0" w:firstRowLastColumn="0" w:lastRowFirstColumn="0" w:lastRowLastColumn="0"/>
          <w:trHeight w:val="2277"/>
        </w:trPr>
        <w:tc>
          <w:tcPr>
            <w:tcW w:w="2263" w:type="dxa"/>
            <w:tcBorders>
              <w:top w:val="single" w:sz="4" w:space="0" w:color="auto"/>
              <w:left w:val="single" w:sz="4" w:space="0" w:color="auto"/>
              <w:bottom w:val="single" w:sz="4" w:space="0" w:color="auto"/>
              <w:right w:val="single" w:sz="4" w:space="0" w:color="auto"/>
            </w:tcBorders>
          </w:tcPr>
          <w:p w14:paraId="70525731" w14:textId="01802520" w:rsidR="006421E2" w:rsidRPr="00A807DB" w:rsidRDefault="006421E2" w:rsidP="00A807DB">
            <w:pPr>
              <w:keepNext w:val="0"/>
              <w:ind w:left="0"/>
              <w:rPr>
                <w:szCs w:val="22"/>
                <w:lang w:val="en-US"/>
              </w:rPr>
            </w:pPr>
            <w:r w:rsidRPr="00A807DB">
              <w:rPr>
                <w:szCs w:val="22"/>
                <w:lang w:val="en-US"/>
              </w:rPr>
              <w:t>Cause of Death</w:t>
            </w:r>
          </w:p>
        </w:tc>
        <w:tc>
          <w:tcPr>
            <w:tcW w:w="1276" w:type="dxa"/>
            <w:tcBorders>
              <w:top w:val="single" w:sz="4" w:space="0" w:color="auto"/>
              <w:left w:val="single" w:sz="4" w:space="0" w:color="auto"/>
              <w:bottom w:val="single" w:sz="4" w:space="0" w:color="auto"/>
              <w:right w:val="single" w:sz="4" w:space="0" w:color="auto"/>
            </w:tcBorders>
          </w:tcPr>
          <w:p w14:paraId="57AD7E5A" w14:textId="3A6E6D62" w:rsidR="006421E2" w:rsidRPr="00A807DB" w:rsidRDefault="006421E2" w:rsidP="00A807DB">
            <w:pPr>
              <w:keepNext w:val="0"/>
              <w:ind w:left="0"/>
              <w:rPr>
                <w:szCs w:val="22"/>
                <w:lang w:val="en-US"/>
              </w:rPr>
            </w:pPr>
            <w:r w:rsidRPr="00A807DB">
              <w:rPr>
                <w:i/>
                <w:szCs w:val="22"/>
                <w:lang w:val="en-US"/>
              </w:rPr>
              <w:t xml:space="preserve">NTRK </w:t>
            </w:r>
            <w:r w:rsidRPr="00A807DB">
              <w:rPr>
                <w:szCs w:val="22"/>
                <w:lang w:val="en-US"/>
              </w:rPr>
              <w:t xml:space="preserve">Adult </w:t>
            </w:r>
            <w:r w:rsidR="003D011C">
              <w:rPr>
                <w:szCs w:val="22"/>
                <w:lang w:val="en-US"/>
              </w:rPr>
              <w:t>N </w:t>
            </w:r>
            <w:r w:rsidRPr="00A807DB">
              <w:rPr>
                <w:szCs w:val="22"/>
                <w:lang w:val="en-US"/>
              </w:rPr>
              <w:t>=</w:t>
            </w:r>
            <w:r w:rsidR="00F2463B">
              <w:rPr>
                <w:szCs w:val="22"/>
                <w:lang w:val="en-US"/>
              </w:rPr>
              <w:t xml:space="preserve"> </w:t>
            </w:r>
            <w:r w:rsidRPr="00A807DB">
              <w:rPr>
                <w:szCs w:val="22"/>
                <w:lang w:val="en-US"/>
              </w:rPr>
              <w:t>68 (%)</w:t>
            </w:r>
          </w:p>
        </w:tc>
        <w:tc>
          <w:tcPr>
            <w:tcW w:w="1276" w:type="dxa"/>
            <w:tcBorders>
              <w:top w:val="single" w:sz="4" w:space="0" w:color="auto"/>
              <w:left w:val="single" w:sz="4" w:space="0" w:color="auto"/>
              <w:bottom w:val="single" w:sz="4" w:space="0" w:color="auto"/>
              <w:right w:val="single" w:sz="4" w:space="0" w:color="auto"/>
            </w:tcBorders>
          </w:tcPr>
          <w:p w14:paraId="35D525C0" w14:textId="77777777" w:rsidR="006421E2" w:rsidRPr="00A807DB" w:rsidRDefault="006421E2" w:rsidP="00A807DB">
            <w:pPr>
              <w:keepNext w:val="0"/>
              <w:ind w:left="0"/>
              <w:rPr>
                <w:szCs w:val="22"/>
                <w:lang w:val="en-US"/>
              </w:rPr>
            </w:pPr>
            <w:r w:rsidRPr="00A807DB">
              <w:rPr>
                <w:i/>
                <w:szCs w:val="22"/>
                <w:lang w:val="en-US"/>
              </w:rPr>
              <w:t xml:space="preserve">ROS1 </w:t>
            </w:r>
            <w:r w:rsidRPr="00A807DB">
              <w:rPr>
                <w:szCs w:val="22"/>
                <w:lang w:val="en-US"/>
              </w:rPr>
              <w:t>NSCLC</w:t>
            </w:r>
          </w:p>
          <w:p w14:paraId="4D161589" w14:textId="396C66C5" w:rsidR="006421E2" w:rsidRPr="00A807DB" w:rsidRDefault="006421E2" w:rsidP="00A807DB">
            <w:pPr>
              <w:keepNext w:val="0"/>
              <w:ind w:left="0"/>
              <w:rPr>
                <w:szCs w:val="22"/>
                <w:lang w:val="en-US"/>
              </w:rPr>
            </w:pPr>
            <w:r w:rsidRPr="00A807DB">
              <w:rPr>
                <w:szCs w:val="22"/>
                <w:lang w:val="en-US"/>
              </w:rPr>
              <w:t>Adult n</w:t>
            </w:r>
            <w:r w:rsidR="009857DF">
              <w:rPr>
                <w:szCs w:val="22"/>
                <w:lang w:val="en-US"/>
              </w:rPr>
              <w:t> </w:t>
            </w:r>
            <w:r w:rsidRPr="00A807DB">
              <w:rPr>
                <w:szCs w:val="22"/>
                <w:lang w:val="en-US"/>
              </w:rPr>
              <w:t>=</w:t>
            </w:r>
            <w:r w:rsidR="00F2463B">
              <w:rPr>
                <w:szCs w:val="22"/>
                <w:lang w:val="en-US"/>
              </w:rPr>
              <w:t xml:space="preserve"> </w:t>
            </w:r>
            <w:r w:rsidRPr="00A807DB">
              <w:rPr>
                <w:szCs w:val="22"/>
                <w:lang w:val="en-US"/>
              </w:rPr>
              <w:t>133 (%)</w:t>
            </w:r>
          </w:p>
        </w:tc>
        <w:tc>
          <w:tcPr>
            <w:tcW w:w="1417" w:type="dxa"/>
            <w:tcBorders>
              <w:top w:val="single" w:sz="4" w:space="0" w:color="auto"/>
              <w:left w:val="single" w:sz="4" w:space="0" w:color="auto"/>
              <w:bottom w:val="single" w:sz="4" w:space="0" w:color="auto"/>
              <w:right w:val="single" w:sz="4" w:space="0" w:color="auto"/>
            </w:tcBorders>
          </w:tcPr>
          <w:p w14:paraId="6344F9FD" w14:textId="092EF957" w:rsidR="006421E2" w:rsidRPr="00A807DB" w:rsidRDefault="006421E2" w:rsidP="007B0C16">
            <w:pPr>
              <w:keepNext w:val="0"/>
              <w:ind w:left="0"/>
              <w:rPr>
                <w:i/>
                <w:szCs w:val="22"/>
                <w:lang w:val="en-US"/>
              </w:rPr>
            </w:pPr>
            <w:r w:rsidRPr="00A807DB">
              <w:rPr>
                <w:szCs w:val="22"/>
                <w:lang w:val="en-US"/>
              </w:rPr>
              <w:t>Other Adult non</w:t>
            </w:r>
            <w:r w:rsidR="009857DF">
              <w:rPr>
                <w:szCs w:val="22"/>
                <w:lang w:val="en-US"/>
              </w:rPr>
              <w:t>-</w:t>
            </w:r>
            <w:r w:rsidRPr="00A807DB">
              <w:rPr>
                <w:i/>
                <w:szCs w:val="22"/>
                <w:lang w:val="en-US"/>
              </w:rPr>
              <w:t>NTRK</w:t>
            </w:r>
            <w:r w:rsidRPr="00A807DB">
              <w:rPr>
                <w:szCs w:val="22"/>
                <w:lang w:val="en-US"/>
              </w:rPr>
              <w:t>, non</w:t>
            </w:r>
            <w:r w:rsidRPr="00A807DB">
              <w:rPr>
                <w:i/>
                <w:szCs w:val="22"/>
                <w:lang w:val="en-US"/>
              </w:rPr>
              <w:t>ROS1</w:t>
            </w:r>
          </w:p>
          <w:p w14:paraId="68375B37" w14:textId="472F005E" w:rsidR="006421E2" w:rsidRPr="00A807DB" w:rsidRDefault="00F2463B" w:rsidP="00A807DB">
            <w:pPr>
              <w:keepNext w:val="0"/>
              <w:ind w:left="0"/>
              <w:rPr>
                <w:szCs w:val="22"/>
                <w:lang w:val="en-US"/>
              </w:rPr>
            </w:pPr>
            <w:r>
              <w:rPr>
                <w:szCs w:val="22"/>
                <w:lang w:val="en-US"/>
              </w:rPr>
              <w:t xml:space="preserve">n </w:t>
            </w:r>
            <w:r w:rsidR="00A807DB">
              <w:rPr>
                <w:szCs w:val="22"/>
                <w:lang w:val="en-US"/>
              </w:rPr>
              <w:t>=</w:t>
            </w:r>
            <w:r>
              <w:rPr>
                <w:szCs w:val="22"/>
                <w:lang w:val="en-US"/>
              </w:rPr>
              <w:t xml:space="preserve"> </w:t>
            </w:r>
            <w:r w:rsidR="00A807DB">
              <w:rPr>
                <w:szCs w:val="22"/>
                <w:lang w:val="en-US"/>
              </w:rPr>
              <w:t>137</w:t>
            </w:r>
            <w:r w:rsidR="003D011C">
              <w:rPr>
                <w:szCs w:val="22"/>
                <w:lang w:val="en-US"/>
              </w:rPr>
              <w:t xml:space="preserve"> </w:t>
            </w:r>
            <w:r w:rsidR="006421E2" w:rsidRPr="00A807DB">
              <w:rPr>
                <w:szCs w:val="22"/>
                <w:lang w:val="en-US"/>
              </w:rPr>
              <w:t>(%)</w:t>
            </w:r>
          </w:p>
        </w:tc>
        <w:tc>
          <w:tcPr>
            <w:tcW w:w="1134" w:type="dxa"/>
            <w:tcBorders>
              <w:top w:val="single" w:sz="4" w:space="0" w:color="auto"/>
              <w:left w:val="single" w:sz="4" w:space="0" w:color="auto"/>
              <w:bottom w:val="single" w:sz="4" w:space="0" w:color="auto"/>
              <w:right w:val="single" w:sz="4" w:space="0" w:color="auto"/>
            </w:tcBorders>
          </w:tcPr>
          <w:p w14:paraId="2BDC2155" w14:textId="7BD5557B" w:rsidR="006421E2" w:rsidRPr="00A807DB" w:rsidRDefault="003D011C" w:rsidP="003D011C">
            <w:pPr>
              <w:keepNext w:val="0"/>
              <w:ind w:left="0"/>
              <w:rPr>
                <w:szCs w:val="22"/>
                <w:lang w:val="en-US"/>
              </w:rPr>
            </w:pPr>
            <w:proofErr w:type="spellStart"/>
            <w:r w:rsidRPr="00A807DB">
              <w:rPr>
                <w:szCs w:val="22"/>
                <w:lang w:val="en-US"/>
              </w:rPr>
              <w:t>P</w:t>
            </w:r>
            <w:r>
              <w:rPr>
                <w:szCs w:val="22"/>
                <w:lang w:val="en-US"/>
              </w:rPr>
              <w:t>a</w:t>
            </w:r>
            <w:r w:rsidRPr="00A807DB">
              <w:rPr>
                <w:szCs w:val="22"/>
                <w:lang w:val="en-US"/>
              </w:rPr>
              <w:t>ed</w:t>
            </w:r>
            <w:proofErr w:type="spellEnd"/>
            <w:r>
              <w:rPr>
                <w:szCs w:val="22"/>
                <w:lang w:val="en-US"/>
              </w:rPr>
              <w:t>.</w:t>
            </w:r>
            <w:r w:rsidRPr="00A807DB">
              <w:rPr>
                <w:szCs w:val="22"/>
                <w:lang w:val="en-US"/>
              </w:rPr>
              <w:t xml:space="preserve"> </w:t>
            </w:r>
            <w:proofErr w:type="spellStart"/>
            <w:r>
              <w:rPr>
                <w:szCs w:val="22"/>
                <w:lang w:val="en-US"/>
              </w:rPr>
              <w:t>nN</w:t>
            </w:r>
            <w:proofErr w:type="spellEnd"/>
            <w:r>
              <w:rPr>
                <w:szCs w:val="22"/>
                <w:lang w:val="en-US"/>
              </w:rPr>
              <w:t> </w:t>
            </w:r>
            <w:r w:rsidR="006421E2" w:rsidRPr="00A807DB">
              <w:rPr>
                <w:szCs w:val="22"/>
                <w:lang w:val="en-US"/>
              </w:rPr>
              <w:t>=</w:t>
            </w:r>
            <w:r w:rsidR="00F2463B">
              <w:rPr>
                <w:szCs w:val="22"/>
                <w:lang w:val="en-US"/>
              </w:rPr>
              <w:t xml:space="preserve"> </w:t>
            </w:r>
            <w:r w:rsidR="006421E2" w:rsidRPr="00A807DB">
              <w:rPr>
                <w:szCs w:val="22"/>
                <w:lang w:val="en-US"/>
              </w:rPr>
              <w:t>17 (%)</w:t>
            </w:r>
          </w:p>
        </w:tc>
        <w:tc>
          <w:tcPr>
            <w:tcW w:w="1136" w:type="dxa"/>
            <w:tcBorders>
              <w:top w:val="single" w:sz="4" w:space="0" w:color="auto"/>
              <w:left w:val="single" w:sz="4" w:space="0" w:color="auto"/>
              <w:bottom w:val="single" w:sz="4" w:space="0" w:color="auto"/>
              <w:right w:val="single" w:sz="4" w:space="0" w:color="auto"/>
            </w:tcBorders>
          </w:tcPr>
          <w:p w14:paraId="4E41E12F" w14:textId="38CF7DFD" w:rsidR="006421E2" w:rsidRPr="00A807DB" w:rsidRDefault="006421E2" w:rsidP="00A807DB">
            <w:pPr>
              <w:keepNext w:val="0"/>
              <w:ind w:left="0"/>
              <w:rPr>
                <w:szCs w:val="22"/>
                <w:lang w:val="en-US"/>
              </w:rPr>
            </w:pPr>
            <w:r w:rsidRPr="00A807DB">
              <w:rPr>
                <w:szCs w:val="22"/>
                <w:lang w:val="en-US"/>
              </w:rPr>
              <w:t>All</w:t>
            </w:r>
          </w:p>
          <w:p w14:paraId="5068B7B7" w14:textId="26AF02C6" w:rsidR="006421E2" w:rsidRPr="00A807DB" w:rsidRDefault="003D011C" w:rsidP="00A807DB">
            <w:pPr>
              <w:keepNext w:val="0"/>
              <w:ind w:left="0"/>
              <w:rPr>
                <w:szCs w:val="22"/>
                <w:lang w:val="en-US"/>
              </w:rPr>
            </w:pPr>
            <w:r>
              <w:rPr>
                <w:szCs w:val="22"/>
                <w:lang w:val="en-US"/>
              </w:rPr>
              <w:t>N  </w:t>
            </w:r>
            <w:r w:rsidR="006421E2" w:rsidRPr="00A807DB">
              <w:rPr>
                <w:szCs w:val="22"/>
                <w:lang w:val="en-US"/>
              </w:rPr>
              <w:t>=</w:t>
            </w:r>
            <w:r>
              <w:rPr>
                <w:szCs w:val="22"/>
                <w:lang w:val="en-US"/>
              </w:rPr>
              <w:t> </w:t>
            </w:r>
            <w:r w:rsidR="006421E2" w:rsidRPr="00A807DB">
              <w:rPr>
                <w:szCs w:val="22"/>
                <w:lang w:val="en-US"/>
              </w:rPr>
              <w:t>355 (%)</w:t>
            </w:r>
          </w:p>
        </w:tc>
      </w:tr>
      <w:tr w:rsidR="006421E2" w:rsidRPr="00A807DB" w14:paraId="210A1721" w14:textId="77777777" w:rsidTr="00D84CA8">
        <w:trPr>
          <w:trHeight w:val="237"/>
        </w:trPr>
        <w:tc>
          <w:tcPr>
            <w:tcW w:w="2263" w:type="dxa"/>
            <w:tcBorders>
              <w:top w:val="single" w:sz="4" w:space="0" w:color="auto"/>
            </w:tcBorders>
          </w:tcPr>
          <w:p w14:paraId="7125CDC8" w14:textId="77777777" w:rsidR="006421E2" w:rsidRPr="00A807DB" w:rsidRDefault="006421E2" w:rsidP="00A807DB">
            <w:pPr>
              <w:ind w:left="0"/>
              <w:rPr>
                <w:b/>
                <w:szCs w:val="22"/>
                <w:lang w:val="en-US"/>
              </w:rPr>
            </w:pPr>
            <w:r w:rsidRPr="00A807DB">
              <w:rPr>
                <w:b/>
                <w:szCs w:val="22"/>
                <w:lang w:val="en-US"/>
              </w:rPr>
              <w:t>Total no. of deaths (%)</w:t>
            </w:r>
          </w:p>
        </w:tc>
        <w:tc>
          <w:tcPr>
            <w:tcW w:w="1276" w:type="dxa"/>
            <w:tcBorders>
              <w:top w:val="single" w:sz="4" w:space="0" w:color="auto"/>
            </w:tcBorders>
          </w:tcPr>
          <w:p w14:paraId="5254602D" w14:textId="77777777" w:rsidR="006421E2" w:rsidRPr="00A807DB" w:rsidRDefault="006421E2" w:rsidP="007B0C16">
            <w:pPr>
              <w:ind w:left="0" w:right="173"/>
              <w:rPr>
                <w:szCs w:val="22"/>
                <w:lang w:val="en-US"/>
              </w:rPr>
            </w:pPr>
            <w:r w:rsidRPr="00A807DB">
              <w:rPr>
                <w:szCs w:val="22"/>
                <w:lang w:val="en-US"/>
              </w:rPr>
              <w:t>22 (32)</w:t>
            </w:r>
          </w:p>
        </w:tc>
        <w:tc>
          <w:tcPr>
            <w:tcW w:w="1276" w:type="dxa"/>
            <w:tcBorders>
              <w:top w:val="single" w:sz="4" w:space="0" w:color="auto"/>
            </w:tcBorders>
          </w:tcPr>
          <w:p w14:paraId="09FA7531" w14:textId="77777777" w:rsidR="006421E2" w:rsidRPr="00A807DB" w:rsidRDefault="006421E2" w:rsidP="007B0C16">
            <w:pPr>
              <w:ind w:left="0" w:right="173"/>
              <w:rPr>
                <w:szCs w:val="22"/>
                <w:lang w:val="en-US"/>
              </w:rPr>
            </w:pPr>
            <w:r w:rsidRPr="00A807DB">
              <w:rPr>
                <w:szCs w:val="22"/>
                <w:lang w:val="en-US"/>
              </w:rPr>
              <w:t>29 (22)</w:t>
            </w:r>
          </w:p>
        </w:tc>
        <w:tc>
          <w:tcPr>
            <w:tcW w:w="1417" w:type="dxa"/>
            <w:tcBorders>
              <w:top w:val="single" w:sz="4" w:space="0" w:color="auto"/>
            </w:tcBorders>
          </w:tcPr>
          <w:p w14:paraId="686EA048" w14:textId="77777777" w:rsidR="006421E2" w:rsidRPr="00A807DB" w:rsidRDefault="006421E2" w:rsidP="007B0C16">
            <w:pPr>
              <w:ind w:left="0" w:right="173"/>
              <w:rPr>
                <w:szCs w:val="22"/>
                <w:lang w:val="en-US"/>
              </w:rPr>
            </w:pPr>
            <w:r w:rsidRPr="00A807DB">
              <w:rPr>
                <w:szCs w:val="22"/>
                <w:lang w:val="en-US"/>
              </w:rPr>
              <w:t>37 (27)</w:t>
            </w:r>
          </w:p>
        </w:tc>
        <w:tc>
          <w:tcPr>
            <w:tcW w:w="1134" w:type="dxa"/>
            <w:tcBorders>
              <w:top w:val="single" w:sz="4" w:space="0" w:color="auto"/>
            </w:tcBorders>
          </w:tcPr>
          <w:p w14:paraId="7707CEEF" w14:textId="77777777" w:rsidR="006421E2" w:rsidRPr="00A807DB" w:rsidRDefault="006421E2" w:rsidP="007B0C16">
            <w:pPr>
              <w:ind w:left="0" w:right="173"/>
              <w:rPr>
                <w:szCs w:val="22"/>
                <w:lang w:val="en-US"/>
              </w:rPr>
            </w:pPr>
            <w:r w:rsidRPr="00A807DB">
              <w:rPr>
                <w:szCs w:val="22"/>
                <w:lang w:val="en-US"/>
              </w:rPr>
              <w:t>5 (31)</w:t>
            </w:r>
          </w:p>
        </w:tc>
        <w:tc>
          <w:tcPr>
            <w:tcW w:w="1136" w:type="dxa"/>
            <w:tcBorders>
              <w:top w:val="single" w:sz="4" w:space="0" w:color="auto"/>
            </w:tcBorders>
          </w:tcPr>
          <w:p w14:paraId="019A8C6E" w14:textId="77777777" w:rsidR="006421E2" w:rsidRPr="00A807DB" w:rsidRDefault="006421E2" w:rsidP="007B0C16">
            <w:pPr>
              <w:ind w:left="0" w:right="173"/>
              <w:rPr>
                <w:szCs w:val="22"/>
                <w:lang w:val="en-US"/>
              </w:rPr>
            </w:pPr>
            <w:r w:rsidRPr="00A807DB">
              <w:rPr>
                <w:szCs w:val="22"/>
                <w:lang w:val="en-US"/>
              </w:rPr>
              <w:t>93 (26)</w:t>
            </w:r>
          </w:p>
        </w:tc>
      </w:tr>
      <w:tr w:rsidR="006421E2" w:rsidRPr="00A807DB" w14:paraId="782A9BAB" w14:textId="77777777" w:rsidTr="00D84CA8">
        <w:trPr>
          <w:trHeight w:val="474"/>
        </w:trPr>
        <w:tc>
          <w:tcPr>
            <w:tcW w:w="2263" w:type="dxa"/>
          </w:tcPr>
          <w:p w14:paraId="1B260530" w14:textId="77777777" w:rsidR="006421E2" w:rsidRPr="00A807DB" w:rsidRDefault="006421E2" w:rsidP="00A807DB">
            <w:pPr>
              <w:ind w:left="0"/>
              <w:rPr>
                <w:b/>
                <w:szCs w:val="22"/>
                <w:lang w:val="en-US"/>
              </w:rPr>
            </w:pPr>
            <w:r w:rsidRPr="00A807DB">
              <w:rPr>
                <w:b/>
                <w:szCs w:val="22"/>
                <w:lang w:val="en-US"/>
              </w:rPr>
              <w:t>Total no. of deaths due to AE</w:t>
            </w:r>
          </w:p>
        </w:tc>
        <w:tc>
          <w:tcPr>
            <w:tcW w:w="1276" w:type="dxa"/>
          </w:tcPr>
          <w:p w14:paraId="1CA1CA42" w14:textId="77777777" w:rsidR="006421E2" w:rsidRPr="00A807DB" w:rsidRDefault="006421E2" w:rsidP="007B0C16">
            <w:pPr>
              <w:ind w:left="0" w:right="173"/>
              <w:rPr>
                <w:szCs w:val="22"/>
                <w:lang w:val="en-US"/>
              </w:rPr>
            </w:pPr>
            <w:r w:rsidRPr="00A807DB">
              <w:rPr>
                <w:szCs w:val="22"/>
                <w:lang w:val="en-US"/>
              </w:rPr>
              <w:t>6 ( 9)</w:t>
            </w:r>
          </w:p>
        </w:tc>
        <w:tc>
          <w:tcPr>
            <w:tcW w:w="1276" w:type="dxa"/>
          </w:tcPr>
          <w:p w14:paraId="05D91092" w14:textId="77777777" w:rsidR="006421E2" w:rsidRPr="00A807DB" w:rsidRDefault="006421E2" w:rsidP="007B0C16">
            <w:pPr>
              <w:ind w:left="0" w:right="173"/>
              <w:rPr>
                <w:szCs w:val="22"/>
                <w:lang w:val="en-US"/>
              </w:rPr>
            </w:pPr>
            <w:r w:rsidRPr="00A807DB">
              <w:rPr>
                <w:szCs w:val="22"/>
                <w:lang w:val="en-US"/>
              </w:rPr>
              <w:t>9 (7)</w:t>
            </w:r>
          </w:p>
        </w:tc>
        <w:tc>
          <w:tcPr>
            <w:tcW w:w="1417" w:type="dxa"/>
          </w:tcPr>
          <w:p w14:paraId="735D70EA" w14:textId="77777777" w:rsidR="006421E2" w:rsidRPr="00A807DB" w:rsidRDefault="006421E2" w:rsidP="007B0C16">
            <w:pPr>
              <w:ind w:left="0" w:right="173"/>
              <w:rPr>
                <w:szCs w:val="22"/>
                <w:lang w:val="en-US"/>
              </w:rPr>
            </w:pPr>
            <w:r w:rsidRPr="00A807DB">
              <w:rPr>
                <w:szCs w:val="22"/>
                <w:lang w:val="en-US"/>
              </w:rPr>
              <w:t>5(4)</w:t>
            </w:r>
          </w:p>
        </w:tc>
        <w:tc>
          <w:tcPr>
            <w:tcW w:w="1134" w:type="dxa"/>
          </w:tcPr>
          <w:p w14:paraId="62C1A838" w14:textId="77777777" w:rsidR="006421E2" w:rsidRPr="00A807DB" w:rsidRDefault="006421E2" w:rsidP="007B0C16">
            <w:pPr>
              <w:ind w:left="0" w:right="173"/>
              <w:rPr>
                <w:szCs w:val="22"/>
                <w:lang w:val="en-US"/>
              </w:rPr>
            </w:pPr>
            <w:r w:rsidRPr="00A807DB">
              <w:rPr>
                <w:szCs w:val="22"/>
                <w:lang w:val="en-US"/>
              </w:rPr>
              <w:t>0 (0)</w:t>
            </w:r>
          </w:p>
        </w:tc>
        <w:tc>
          <w:tcPr>
            <w:tcW w:w="1136" w:type="dxa"/>
          </w:tcPr>
          <w:p w14:paraId="3A5F6175" w14:textId="77777777" w:rsidR="006421E2" w:rsidRPr="00A807DB" w:rsidRDefault="006421E2" w:rsidP="007B0C16">
            <w:pPr>
              <w:ind w:left="0" w:right="173"/>
              <w:rPr>
                <w:szCs w:val="22"/>
                <w:lang w:val="en-US"/>
              </w:rPr>
            </w:pPr>
            <w:r w:rsidRPr="00A807DB">
              <w:rPr>
                <w:szCs w:val="22"/>
                <w:lang w:val="en-US"/>
              </w:rPr>
              <w:t>20 (6)</w:t>
            </w:r>
          </w:p>
        </w:tc>
      </w:tr>
      <w:tr w:rsidR="006421E2" w:rsidRPr="00A807DB" w14:paraId="261D5C67" w14:textId="77777777" w:rsidTr="00D84CA8">
        <w:trPr>
          <w:trHeight w:val="237"/>
        </w:trPr>
        <w:tc>
          <w:tcPr>
            <w:tcW w:w="8502" w:type="dxa"/>
            <w:gridSpan w:val="6"/>
          </w:tcPr>
          <w:p w14:paraId="15A2EAFB" w14:textId="77777777" w:rsidR="006421E2" w:rsidRPr="00A807DB" w:rsidRDefault="006421E2" w:rsidP="00A807DB">
            <w:pPr>
              <w:ind w:left="0"/>
              <w:rPr>
                <w:b/>
                <w:szCs w:val="22"/>
                <w:lang w:val="en-US"/>
              </w:rPr>
            </w:pPr>
            <w:r w:rsidRPr="00A807DB">
              <w:rPr>
                <w:b/>
                <w:szCs w:val="22"/>
                <w:lang w:val="en-US"/>
              </w:rPr>
              <w:t>Death &lt; 30 days of last dose</w:t>
            </w:r>
          </w:p>
        </w:tc>
      </w:tr>
      <w:tr w:rsidR="006421E2" w:rsidRPr="00A807DB" w14:paraId="0A4FEC47" w14:textId="77777777" w:rsidTr="00D84CA8">
        <w:trPr>
          <w:trHeight w:val="237"/>
        </w:trPr>
        <w:tc>
          <w:tcPr>
            <w:tcW w:w="2263" w:type="dxa"/>
          </w:tcPr>
          <w:p w14:paraId="4F6E9E41" w14:textId="77777777" w:rsidR="006421E2" w:rsidRPr="00A807DB" w:rsidRDefault="006421E2" w:rsidP="00A807DB">
            <w:pPr>
              <w:ind w:left="0"/>
              <w:rPr>
                <w:szCs w:val="22"/>
                <w:lang w:val="en-US"/>
              </w:rPr>
            </w:pPr>
            <w:r w:rsidRPr="00A807DB">
              <w:rPr>
                <w:szCs w:val="22"/>
                <w:lang w:val="en-US"/>
              </w:rPr>
              <w:t>Total</w:t>
            </w:r>
          </w:p>
        </w:tc>
        <w:tc>
          <w:tcPr>
            <w:tcW w:w="1276" w:type="dxa"/>
          </w:tcPr>
          <w:p w14:paraId="61B9FE5A" w14:textId="77777777" w:rsidR="006421E2" w:rsidRPr="00A807DB" w:rsidRDefault="006421E2" w:rsidP="007B0C16">
            <w:pPr>
              <w:spacing w:before="0"/>
              <w:ind w:left="0" w:right="0"/>
              <w:rPr>
                <w:szCs w:val="22"/>
                <w:lang w:val="en-US"/>
              </w:rPr>
            </w:pPr>
            <w:r w:rsidRPr="00A807DB">
              <w:rPr>
                <w:szCs w:val="22"/>
                <w:lang w:val="en-US"/>
              </w:rPr>
              <w:t>8 (12)</w:t>
            </w:r>
          </w:p>
        </w:tc>
        <w:tc>
          <w:tcPr>
            <w:tcW w:w="1276" w:type="dxa"/>
          </w:tcPr>
          <w:p w14:paraId="375F9B43" w14:textId="77777777" w:rsidR="006421E2" w:rsidRPr="00A807DB" w:rsidRDefault="006421E2" w:rsidP="007B0C16">
            <w:pPr>
              <w:spacing w:before="0"/>
              <w:ind w:left="0" w:right="0"/>
              <w:rPr>
                <w:szCs w:val="22"/>
                <w:lang w:val="en-US"/>
              </w:rPr>
            </w:pPr>
            <w:r w:rsidRPr="00A807DB">
              <w:rPr>
                <w:szCs w:val="22"/>
                <w:lang w:val="en-US"/>
              </w:rPr>
              <w:t>21 (16)</w:t>
            </w:r>
          </w:p>
        </w:tc>
        <w:tc>
          <w:tcPr>
            <w:tcW w:w="1417" w:type="dxa"/>
          </w:tcPr>
          <w:p w14:paraId="69D427A3" w14:textId="77777777" w:rsidR="006421E2" w:rsidRPr="00A807DB" w:rsidRDefault="006421E2" w:rsidP="007B0C16">
            <w:pPr>
              <w:spacing w:before="0"/>
              <w:ind w:left="0" w:right="0"/>
              <w:rPr>
                <w:szCs w:val="22"/>
                <w:lang w:val="en-US"/>
              </w:rPr>
            </w:pPr>
            <w:r w:rsidRPr="00A807DB">
              <w:rPr>
                <w:szCs w:val="22"/>
                <w:lang w:val="en-US"/>
              </w:rPr>
              <w:t>17(12)</w:t>
            </w:r>
          </w:p>
        </w:tc>
        <w:tc>
          <w:tcPr>
            <w:tcW w:w="1134" w:type="dxa"/>
          </w:tcPr>
          <w:p w14:paraId="0B01914D" w14:textId="77777777" w:rsidR="006421E2" w:rsidRPr="00A807DB" w:rsidRDefault="006421E2" w:rsidP="007B0C16">
            <w:pPr>
              <w:spacing w:before="0"/>
              <w:ind w:left="0" w:right="0"/>
              <w:rPr>
                <w:szCs w:val="22"/>
                <w:lang w:val="en-US"/>
              </w:rPr>
            </w:pPr>
            <w:r w:rsidRPr="00A807DB">
              <w:rPr>
                <w:szCs w:val="22"/>
                <w:lang w:val="en-US"/>
              </w:rPr>
              <w:t>2 (13)</w:t>
            </w:r>
          </w:p>
        </w:tc>
        <w:tc>
          <w:tcPr>
            <w:tcW w:w="1136" w:type="dxa"/>
          </w:tcPr>
          <w:p w14:paraId="562FFED4" w14:textId="77777777" w:rsidR="006421E2" w:rsidRPr="00A807DB" w:rsidRDefault="006421E2" w:rsidP="007B0C16">
            <w:pPr>
              <w:spacing w:before="0"/>
              <w:ind w:left="0" w:right="0"/>
              <w:rPr>
                <w:szCs w:val="22"/>
                <w:lang w:val="en-US"/>
              </w:rPr>
            </w:pPr>
            <w:r w:rsidRPr="00A807DB">
              <w:rPr>
                <w:szCs w:val="22"/>
                <w:lang w:val="en-US"/>
              </w:rPr>
              <w:t>48 (14)</w:t>
            </w:r>
          </w:p>
        </w:tc>
      </w:tr>
      <w:tr w:rsidR="006421E2" w:rsidRPr="00A807DB" w14:paraId="61AD67C2" w14:textId="77777777" w:rsidTr="00D84CA8">
        <w:trPr>
          <w:trHeight w:val="237"/>
        </w:trPr>
        <w:tc>
          <w:tcPr>
            <w:tcW w:w="2263" w:type="dxa"/>
          </w:tcPr>
          <w:p w14:paraId="37280A6E" w14:textId="77777777" w:rsidR="006421E2" w:rsidRPr="00A807DB" w:rsidRDefault="006421E2" w:rsidP="00A807DB">
            <w:pPr>
              <w:ind w:left="0"/>
              <w:rPr>
                <w:szCs w:val="22"/>
                <w:lang w:val="en-US"/>
              </w:rPr>
            </w:pPr>
            <w:r w:rsidRPr="00A807DB">
              <w:rPr>
                <w:szCs w:val="22"/>
                <w:lang w:val="en-US"/>
              </w:rPr>
              <w:t>Progression of disease</w:t>
            </w:r>
          </w:p>
        </w:tc>
        <w:tc>
          <w:tcPr>
            <w:tcW w:w="1276" w:type="dxa"/>
          </w:tcPr>
          <w:p w14:paraId="1624DF00" w14:textId="77777777" w:rsidR="006421E2" w:rsidRPr="00A807DB" w:rsidRDefault="006421E2" w:rsidP="007B0C16">
            <w:pPr>
              <w:spacing w:before="0"/>
              <w:ind w:left="0" w:right="0"/>
              <w:rPr>
                <w:szCs w:val="22"/>
                <w:lang w:val="en-US"/>
              </w:rPr>
            </w:pPr>
            <w:r w:rsidRPr="00A807DB">
              <w:rPr>
                <w:szCs w:val="22"/>
                <w:lang w:val="en-US"/>
              </w:rPr>
              <w:t>4 (6)</w:t>
            </w:r>
          </w:p>
        </w:tc>
        <w:tc>
          <w:tcPr>
            <w:tcW w:w="1276" w:type="dxa"/>
          </w:tcPr>
          <w:p w14:paraId="1F8BCFF4" w14:textId="77777777" w:rsidR="006421E2" w:rsidRPr="00A807DB" w:rsidRDefault="006421E2" w:rsidP="007B0C16">
            <w:pPr>
              <w:spacing w:before="0"/>
              <w:ind w:left="0" w:right="0"/>
              <w:rPr>
                <w:szCs w:val="22"/>
                <w:lang w:val="en-US"/>
              </w:rPr>
            </w:pPr>
            <w:r w:rsidRPr="00A807DB">
              <w:rPr>
                <w:szCs w:val="22"/>
                <w:lang w:val="en-US"/>
              </w:rPr>
              <w:t>15 (11)</w:t>
            </w:r>
          </w:p>
        </w:tc>
        <w:tc>
          <w:tcPr>
            <w:tcW w:w="1417" w:type="dxa"/>
          </w:tcPr>
          <w:p w14:paraId="51B58C05" w14:textId="77777777" w:rsidR="006421E2" w:rsidRPr="00A807DB" w:rsidRDefault="006421E2" w:rsidP="007B0C16">
            <w:pPr>
              <w:spacing w:before="0"/>
              <w:ind w:left="0" w:right="0"/>
              <w:rPr>
                <w:szCs w:val="22"/>
                <w:lang w:val="en-US"/>
              </w:rPr>
            </w:pPr>
            <w:r w:rsidRPr="00A807DB">
              <w:rPr>
                <w:szCs w:val="22"/>
                <w:lang w:val="en-US"/>
              </w:rPr>
              <w:t>11(8)</w:t>
            </w:r>
          </w:p>
        </w:tc>
        <w:tc>
          <w:tcPr>
            <w:tcW w:w="1134" w:type="dxa"/>
          </w:tcPr>
          <w:p w14:paraId="3CC9877D" w14:textId="77777777" w:rsidR="006421E2" w:rsidRPr="00A807DB" w:rsidRDefault="006421E2" w:rsidP="007B0C16">
            <w:pPr>
              <w:spacing w:before="0"/>
              <w:ind w:left="0" w:right="0"/>
              <w:rPr>
                <w:szCs w:val="22"/>
                <w:lang w:val="en-US"/>
              </w:rPr>
            </w:pPr>
            <w:r w:rsidRPr="00A807DB">
              <w:rPr>
                <w:szCs w:val="22"/>
                <w:lang w:val="en-US"/>
              </w:rPr>
              <w:t>2(3)</w:t>
            </w:r>
          </w:p>
        </w:tc>
        <w:tc>
          <w:tcPr>
            <w:tcW w:w="1136" w:type="dxa"/>
          </w:tcPr>
          <w:p w14:paraId="1A5FA0ED" w14:textId="77777777" w:rsidR="006421E2" w:rsidRPr="00A807DB" w:rsidRDefault="006421E2" w:rsidP="007B0C16">
            <w:pPr>
              <w:spacing w:before="0"/>
              <w:ind w:left="0" w:right="0"/>
              <w:rPr>
                <w:szCs w:val="22"/>
                <w:lang w:val="en-US"/>
              </w:rPr>
            </w:pPr>
            <w:r w:rsidRPr="00A807DB">
              <w:rPr>
                <w:szCs w:val="22"/>
                <w:lang w:val="en-US"/>
              </w:rPr>
              <w:t>32 (9)</w:t>
            </w:r>
          </w:p>
        </w:tc>
      </w:tr>
      <w:tr w:rsidR="006421E2" w:rsidRPr="00A807DB" w14:paraId="04E8A0DC" w14:textId="77777777" w:rsidTr="00D84CA8">
        <w:trPr>
          <w:trHeight w:val="237"/>
        </w:trPr>
        <w:tc>
          <w:tcPr>
            <w:tcW w:w="2263" w:type="dxa"/>
          </w:tcPr>
          <w:p w14:paraId="54725824" w14:textId="77777777" w:rsidR="006421E2" w:rsidRPr="00A807DB" w:rsidRDefault="006421E2" w:rsidP="00A807DB">
            <w:pPr>
              <w:ind w:left="0"/>
              <w:rPr>
                <w:szCs w:val="22"/>
                <w:lang w:val="en-US"/>
              </w:rPr>
            </w:pPr>
            <w:r w:rsidRPr="00A807DB">
              <w:rPr>
                <w:szCs w:val="22"/>
                <w:lang w:val="en-US"/>
              </w:rPr>
              <w:t>Other</w:t>
            </w:r>
          </w:p>
        </w:tc>
        <w:tc>
          <w:tcPr>
            <w:tcW w:w="1276" w:type="dxa"/>
          </w:tcPr>
          <w:p w14:paraId="41AC2EAD" w14:textId="77777777" w:rsidR="006421E2" w:rsidRPr="00A807DB" w:rsidRDefault="006421E2" w:rsidP="007B0C16">
            <w:pPr>
              <w:spacing w:before="0"/>
              <w:ind w:left="0" w:right="0"/>
              <w:rPr>
                <w:szCs w:val="22"/>
                <w:lang w:val="en-US"/>
              </w:rPr>
            </w:pPr>
            <w:r w:rsidRPr="00A807DB">
              <w:rPr>
                <w:szCs w:val="22"/>
                <w:lang w:val="en-US"/>
              </w:rPr>
              <w:t>4 (6)</w:t>
            </w:r>
          </w:p>
        </w:tc>
        <w:tc>
          <w:tcPr>
            <w:tcW w:w="1276" w:type="dxa"/>
          </w:tcPr>
          <w:p w14:paraId="05877546" w14:textId="77777777" w:rsidR="006421E2" w:rsidRPr="00A807DB" w:rsidRDefault="006421E2" w:rsidP="007B0C16">
            <w:pPr>
              <w:spacing w:before="0"/>
              <w:ind w:left="0" w:right="0"/>
              <w:rPr>
                <w:szCs w:val="22"/>
                <w:lang w:val="en-US"/>
              </w:rPr>
            </w:pPr>
            <w:r w:rsidRPr="00A807DB">
              <w:rPr>
                <w:szCs w:val="22"/>
                <w:lang w:val="en-US"/>
              </w:rPr>
              <w:t>3 (2.2)</w:t>
            </w:r>
          </w:p>
        </w:tc>
        <w:tc>
          <w:tcPr>
            <w:tcW w:w="1417" w:type="dxa"/>
          </w:tcPr>
          <w:p w14:paraId="38AAAA6A" w14:textId="77777777" w:rsidR="006421E2" w:rsidRPr="00A807DB" w:rsidRDefault="006421E2" w:rsidP="007B0C16">
            <w:pPr>
              <w:spacing w:before="0"/>
              <w:ind w:left="0" w:right="0"/>
              <w:rPr>
                <w:szCs w:val="22"/>
                <w:lang w:val="en-US"/>
              </w:rPr>
            </w:pPr>
            <w:r w:rsidRPr="00A807DB">
              <w:rPr>
                <w:szCs w:val="22"/>
                <w:lang w:val="en-US"/>
              </w:rPr>
              <w:t>1 (0.7)</w:t>
            </w:r>
          </w:p>
        </w:tc>
        <w:tc>
          <w:tcPr>
            <w:tcW w:w="1134" w:type="dxa"/>
          </w:tcPr>
          <w:p w14:paraId="06586FE4" w14:textId="77777777" w:rsidR="006421E2" w:rsidRPr="00A807DB" w:rsidRDefault="006421E2" w:rsidP="007B0C16">
            <w:pPr>
              <w:spacing w:before="0"/>
              <w:ind w:left="0" w:right="0"/>
              <w:rPr>
                <w:szCs w:val="22"/>
                <w:lang w:val="en-US"/>
              </w:rPr>
            </w:pPr>
            <w:r w:rsidRPr="00A807DB">
              <w:rPr>
                <w:szCs w:val="22"/>
                <w:lang w:val="en-US"/>
              </w:rPr>
              <w:t>0</w:t>
            </w:r>
          </w:p>
        </w:tc>
        <w:tc>
          <w:tcPr>
            <w:tcW w:w="1136" w:type="dxa"/>
          </w:tcPr>
          <w:p w14:paraId="09C926F8" w14:textId="77777777" w:rsidR="006421E2" w:rsidRPr="00A807DB" w:rsidRDefault="006421E2" w:rsidP="007B0C16">
            <w:pPr>
              <w:spacing w:before="0"/>
              <w:ind w:left="0" w:right="0"/>
              <w:rPr>
                <w:szCs w:val="22"/>
                <w:lang w:val="en-US"/>
              </w:rPr>
            </w:pPr>
            <w:r w:rsidRPr="00A807DB">
              <w:rPr>
                <w:szCs w:val="22"/>
                <w:lang w:val="en-US"/>
              </w:rPr>
              <w:t>8(2.3)</w:t>
            </w:r>
          </w:p>
        </w:tc>
      </w:tr>
      <w:tr w:rsidR="006421E2" w:rsidRPr="00A807DB" w14:paraId="587B44FC" w14:textId="77777777" w:rsidTr="00D84CA8">
        <w:trPr>
          <w:trHeight w:val="236"/>
        </w:trPr>
        <w:tc>
          <w:tcPr>
            <w:tcW w:w="2263" w:type="dxa"/>
          </w:tcPr>
          <w:p w14:paraId="6B6FC434" w14:textId="77777777" w:rsidR="006421E2" w:rsidRPr="00A807DB" w:rsidRDefault="006421E2" w:rsidP="00A807DB">
            <w:pPr>
              <w:ind w:left="0"/>
              <w:rPr>
                <w:szCs w:val="22"/>
                <w:lang w:val="en-US"/>
              </w:rPr>
            </w:pPr>
            <w:r w:rsidRPr="00A807DB">
              <w:rPr>
                <w:szCs w:val="22"/>
                <w:lang w:val="en-US"/>
              </w:rPr>
              <w:t>Unknown</w:t>
            </w:r>
          </w:p>
        </w:tc>
        <w:tc>
          <w:tcPr>
            <w:tcW w:w="1276" w:type="dxa"/>
          </w:tcPr>
          <w:p w14:paraId="39C6E624" w14:textId="77777777" w:rsidR="006421E2" w:rsidRPr="00A807DB" w:rsidRDefault="006421E2" w:rsidP="007B0C16">
            <w:pPr>
              <w:spacing w:before="0"/>
              <w:ind w:left="0" w:right="0"/>
              <w:rPr>
                <w:szCs w:val="22"/>
                <w:lang w:val="en-US"/>
              </w:rPr>
            </w:pPr>
            <w:r w:rsidRPr="00A807DB">
              <w:rPr>
                <w:szCs w:val="22"/>
                <w:lang w:val="en-US"/>
              </w:rPr>
              <w:t>0</w:t>
            </w:r>
          </w:p>
        </w:tc>
        <w:tc>
          <w:tcPr>
            <w:tcW w:w="1276" w:type="dxa"/>
          </w:tcPr>
          <w:p w14:paraId="1E77D89C" w14:textId="77777777" w:rsidR="006421E2" w:rsidRPr="00A807DB" w:rsidRDefault="006421E2" w:rsidP="007B0C16">
            <w:pPr>
              <w:spacing w:before="0"/>
              <w:ind w:left="0" w:right="0"/>
              <w:rPr>
                <w:szCs w:val="22"/>
                <w:lang w:val="en-US"/>
              </w:rPr>
            </w:pPr>
            <w:r w:rsidRPr="00A807DB">
              <w:rPr>
                <w:szCs w:val="22"/>
                <w:lang w:val="en-US"/>
              </w:rPr>
              <w:t>3 (2.2)</w:t>
            </w:r>
          </w:p>
        </w:tc>
        <w:tc>
          <w:tcPr>
            <w:tcW w:w="1417" w:type="dxa"/>
          </w:tcPr>
          <w:p w14:paraId="76BD90DD" w14:textId="77777777" w:rsidR="006421E2" w:rsidRPr="00A807DB" w:rsidRDefault="006421E2" w:rsidP="007B0C16">
            <w:pPr>
              <w:spacing w:before="0"/>
              <w:ind w:left="0" w:right="0"/>
              <w:rPr>
                <w:szCs w:val="22"/>
                <w:lang w:val="en-US"/>
              </w:rPr>
            </w:pPr>
            <w:r w:rsidRPr="00A807DB">
              <w:rPr>
                <w:szCs w:val="22"/>
                <w:lang w:val="en-US"/>
              </w:rPr>
              <w:t>5 (3.6)</w:t>
            </w:r>
          </w:p>
        </w:tc>
        <w:tc>
          <w:tcPr>
            <w:tcW w:w="1134" w:type="dxa"/>
          </w:tcPr>
          <w:p w14:paraId="616B7754" w14:textId="77777777" w:rsidR="006421E2" w:rsidRPr="00A807DB" w:rsidRDefault="006421E2" w:rsidP="007B0C16">
            <w:pPr>
              <w:spacing w:before="0"/>
              <w:ind w:left="0" w:right="0"/>
              <w:rPr>
                <w:szCs w:val="22"/>
                <w:lang w:val="en-US"/>
              </w:rPr>
            </w:pPr>
            <w:r w:rsidRPr="00A807DB">
              <w:rPr>
                <w:szCs w:val="22"/>
                <w:lang w:val="en-US"/>
              </w:rPr>
              <w:t>0</w:t>
            </w:r>
          </w:p>
        </w:tc>
        <w:tc>
          <w:tcPr>
            <w:tcW w:w="1136" w:type="dxa"/>
          </w:tcPr>
          <w:p w14:paraId="72CDB3E5" w14:textId="77777777" w:rsidR="006421E2" w:rsidRPr="00A807DB" w:rsidRDefault="006421E2" w:rsidP="007B0C16">
            <w:pPr>
              <w:spacing w:before="0"/>
              <w:ind w:left="0" w:right="0"/>
              <w:rPr>
                <w:szCs w:val="22"/>
                <w:lang w:val="en-US"/>
              </w:rPr>
            </w:pPr>
            <w:r w:rsidRPr="00A807DB">
              <w:rPr>
                <w:szCs w:val="22"/>
                <w:lang w:val="en-US"/>
              </w:rPr>
              <w:t>8(2.3)</w:t>
            </w:r>
          </w:p>
        </w:tc>
      </w:tr>
      <w:tr w:rsidR="006421E2" w:rsidRPr="00A807DB" w14:paraId="3A0D637E" w14:textId="77777777" w:rsidTr="00D84CA8">
        <w:trPr>
          <w:trHeight w:val="237"/>
        </w:trPr>
        <w:tc>
          <w:tcPr>
            <w:tcW w:w="8502" w:type="dxa"/>
            <w:gridSpan w:val="6"/>
          </w:tcPr>
          <w:p w14:paraId="0C126DDD" w14:textId="77777777" w:rsidR="006421E2" w:rsidRPr="00A807DB" w:rsidRDefault="006421E2" w:rsidP="00A807DB">
            <w:pPr>
              <w:ind w:left="0"/>
              <w:rPr>
                <w:b/>
                <w:szCs w:val="22"/>
                <w:lang w:val="en-US"/>
              </w:rPr>
            </w:pPr>
            <w:r w:rsidRPr="00A807DB">
              <w:rPr>
                <w:b/>
                <w:szCs w:val="22"/>
                <w:lang w:val="en-US"/>
              </w:rPr>
              <w:t>Death &gt; 30 days of last dose</w:t>
            </w:r>
          </w:p>
        </w:tc>
      </w:tr>
      <w:tr w:rsidR="006421E2" w:rsidRPr="00A807DB" w14:paraId="6FD7E710" w14:textId="77777777" w:rsidTr="00D84CA8">
        <w:trPr>
          <w:trHeight w:val="237"/>
        </w:trPr>
        <w:tc>
          <w:tcPr>
            <w:tcW w:w="2263" w:type="dxa"/>
          </w:tcPr>
          <w:p w14:paraId="2EAEB90F" w14:textId="77777777" w:rsidR="006421E2" w:rsidRPr="00A807DB" w:rsidRDefault="006421E2" w:rsidP="00A807DB">
            <w:pPr>
              <w:ind w:left="0"/>
              <w:rPr>
                <w:szCs w:val="22"/>
                <w:lang w:val="en-US"/>
              </w:rPr>
            </w:pPr>
            <w:r w:rsidRPr="00A807DB">
              <w:rPr>
                <w:szCs w:val="22"/>
                <w:lang w:val="en-US"/>
              </w:rPr>
              <w:t>Total</w:t>
            </w:r>
          </w:p>
        </w:tc>
        <w:tc>
          <w:tcPr>
            <w:tcW w:w="1276" w:type="dxa"/>
          </w:tcPr>
          <w:p w14:paraId="7FFE3795" w14:textId="77777777" w:rsidR="006421E2" w:rsidRPr="00A807DB" w:rsidRDefault="006421E2" w:rsidP="007B0C16">
            <w:pPr>
              <w:ind w:left="0" w:right="173"/>
              <w:rPr>
                <w:szCs w:val="22"/>
                <w:lang w:val="en-US"/>
              </w:rPr>
            </w:pPr>
            <w:r w:rsidRPr="00A807DB">
              <w:rPr>
                <w:szCs w:val="22"/>
                <w:lang w:val="en-US"/>
              </w:rPr>
              <w:t>14 (21)</w:t>
            </w:r>
          </w:p>
        </w:tc>
        <w:tc>
          <w:tcPr>
            <w:tcW w:w="1276" w:type="dxa"/>
          </w:tcPr>
          <w:p w14:paraId="56A745BD" w14:textId="77777777" w:rsidR="006421E2" w:rsidRPr="00A807DB" w:rsidRDefault="006421E2" w:rsidP="007B0C16">
            <w:pPr>
              <w:ind w:left="0" w:right="173"/>
              <w:rPr>
                <w:szCs w:val="22"/>
                <w:lang w:val="en-US"/>
              </w:rPr>
            </w:pPr>
            <w:r w:rsidRPr="00A807DB">
              <w:rPr>
                <w:szCs w:val="22"/>
                <w:lang w:val="en-US"/>
              </w:rPr>
              <w:t>8(6)</w:t>
            </w:r>
          </w:p>
        </w:tc>
        <w:tc>
          <w:tcPr>
            <w:tcW w:w="1417" w:type="dxa"/>
          </w:tcPr>
          <w:p w14:paraId="6A2B522D" w14:textId="77777777" w:rsidR="006421E2" w:rsidRPr="00A807DB" w:rsidRDefault="006421E2" w:rsidP="007B0C16">
            <w:pPr>
              <w:ind w:left="0" w:right="173"/>
              <w:rPr>
                <w:szCs w:val="22"/>
                <w:lang w:val="en-US"/>
              </w:rPr>
            </w:pPr>
            <w:r w:rsidRPr="00A807DB">
              <w:rPr>
                <w:szCs w:val="22"/>
                <w:lang w:val="en-US"/>
              </w:rPr>
              <w:t>20 (15)</w:t>
            </w:r>
          </w:p>
        </w:tc>
        <w:tc>
          <w:tcPr>
            <w:tcW w:w="1134" w:type="dxa"/>
          </w:tcPr>
          <w:p w14:paraId="1AFC857B" w14:textId="77777777" w:rsidR="006421E2" w:rsidRPr="00A807DB" w:rsidRDefault="006421E2" w:rsidP="007B0C16">
            <w:pPr>
              <w:ind w:left="0" w:right="173"/>
              <w:rPr>
                <w:szCs w:val="22"/>
                <w:lang w:val="en-US"/>
              </w:rPr>
            </w:pPr>
            <w:r w:rsidRPr="00A807DB">
              <w:rPr>
                <w:szCs w:val="22"/>
                <w:lang w:val="en-US"/>
              </w:rPr>
              <w:t>3 (19)</w:t>
            </w:r>
          </w:p>
        </w:tc>
        <w:tc>
          <w:tcPr>
            <w:tcW w:w="1136" w:type="dxa"/>
          </w:tcPr>
          <w:p w14:paraId="64998032" w14:textId="77777777" w:rsidR="006421E2" w:rsidRPr="00A807DB" w:rsidRDefault="006421E2" w:rsidP="007B0C16">
            <w:pPr>
              <w:ind w:left="0" w:right="173"/>
              <w:rPr>
                <w:szCs w:val="22"/>
                <w:lang w:val="en-US"/>
              </w:rPr>
            </w:pPr>
            <w:r w:rsidRPr="00A807DB">
              <w:rPr>
                <w:szCs w:val="22"/>
                <w:lang w:val="en-US"/>
              </w:rPr>
              <w:t>45 (13)</w:t>
            </w:r>
          </w:p>
        </w:tc>
      </w:tr>
      <w:tr w:rsidR="006421E2" w:rsidRPr="00A807DB" w14:paraId="038253F2" w14:textId="77777777" w:rsidTr="00D84CA8">
        <w:trPr>
          <w:trHeight w:val="237"/>
        </w:trPr>
        <w:tc>
          <w:tcPr>
            <w:tcW w:w="2263" w:type="dxa"/>
          </w:tcPr>
          <w:p w14:paraId="48C8360A" w14:textId="77777777" w:rsidR="006421E2" w:rsidRPr="00A807DB" w:rsidRDefault="006421E2" w:rsidP="00A807DB">
            <w:pPr>
              <w:ind w:left="0"/>
              <w:rPr>
                <w:szCs w:val="22"/>
                <w:lang w:val="en-US"/>
              </w:rPr>
            </w:pPr>
            <w:r w:rsidRPr="00A807DB">
              <w:rPr>
                <w:szCs w:val="22"/>
                <w:lang w:val="en-US"/>
              </w:rPr>
              <w:t>Progression of disease</w:t>
            </w:r>
          </w:p>
        </w:tc>
        <w:tc>
          <w:tcPr>
            <w:tcW w:w="1276" w:type="dxa"/>
          </w:tcPr>
          <w:p w14:paraId="43CE06C2" w14:textId="77777777" w:rsidR="006421E2" w:rsidRPr="00A807DB" w:rsidRDefault="006421E2" w:rsidP="007B0C16">
            <w:pPr>
              <w:ind w:left="0" w:right="173"/>
              <w:rPr>
                <w:szCs w:val="22"/>
                <w:lang w:val="en-US"/>
              </w:rPr>
            </w:pPr>
            <w:r w:rsidRPr="00A807DB">
              <w:rPr>
                <w:szCs w:val="22"/>
                <w:lang w:val="en-US"/>
              </w:rPr>
              <w:t>12 (18)</w:t>
            </w:r>
          </w:p>
        </w:tc>
        <w:tc>
          <w:tcPr>
            <w:tcW w:w="1276" w:type="dxa"/>
          </w:tcPr>
          <w:p w14:paraId="51E6143F" w14:textId="77777777" w:rsidR="006421E2" w:rsidRPr="00A807DB" w:rsidRDefault="006421E2" w:rsidP="007B0C16">
            <w:pPr>
              <w:ind w:left="0" w:right="173"/>
              <w:rPr>
                <w:szCs w:val="22"/>
                <w:lang w:val="en-US"/>
              </w:rPr>
            </w:pPr>
            <w:r w:rsidRPr="00A807DB">
              <w:rPr>
                <w:szCs w:val="22"/>
                <w:lang w:val="en-US"/>
              </w:rPr>
              <w:t>7 (5)</w:t>
            </w:r>
          </w:p>
        </w:tc>
        <w:tc>
          <w:tcPr>
            <w:tcW w:w="1417" w:type="dxa"/>
          </w:tcPr>
          <w:p w14:paraId="02A39194" w14:textId="77777777" w:rsidR="006421E2" w:rsidRPr="00A807DB" w:rsidRDefault="006421E2" w:rsidP="007B0C16">
            <w:pPr>
              <w:ind w:left="0" w:right="173"/>
              <w:rPr>
                <w:szCs w:val="22"/>
                <w:lang w:val="en-US"/>
              </w:rPr>
            </w:pPr>
            <w:r w:rsidRPr="00A807DB">
              <w:rPr>
                <w:szCs w:val="22"/>
                <w:lang w:val="en-US"/>
              </w:rPr>
              <w:t>12 (9)</w:t>
            </w:r>
          </w:p>
        </w:tc>
        <w:tc>
          <w:tcPr>
            <w:tcW w:w="1134" w:type="dxa"/>
          </w:tcPr>
          <w:p w14:paraId="58148254" w14:textId="77777777" w:rsidR="006421E2" w:rsidRPr="00A807DB" w:rsidRDefault="006421E2" w:rsidP="007B0C16">
            <w:pPr>
              <w:ind w:left="0" w:right="173"/>
              <w:rPr>
                <w:szCs w:val="22"/>
                <w:lang w:val="en-US"/>
              </w:rPr>
            </w:pPr>
            <w:r w:rsidRPr="00A807DB">
              <w:rPr>
                <w:szCs w:val="22"/>
                <w:lang w:val="en-US"/>
              </w:rPr>
              <w:t>3 (19)</w:t>
            </w:r>
          </w:p>
        </w:tc>
        <w:tc>
          <w:tcPr>
            <w:tcW w:w="1136" w:type="dxa"/>
          </w:tcPr>
          <w:p w14:paraId="25D8A6C3" w14:textId="77777777" w:rsidR="006421E2" w:rsidRPr="00A807DB" w:rsidRDefault="006421E2" w:rsidP="007B0C16">
            <w:pPr>
              <w:ind w:left="0" w:right="173"/>
              <w:rPr>
                <w:szCs w:val="22"/>
                <w:lang w:val="en-US"/>
              </w:rPr>
            </w:pPr>
            <w:r w:rsidRPr="00A807DB">
              <w:rPr>
                <w:szCs w:val="22"/>
                <w:lang w:val="en-US"/>
              </w:rPr>
              <w:t>34 (10)</w:t>
            </w:r>
          </w:p>
        </w:tc>
      </w:tr>
      <w:tr w:rsidR="006421E2" w:rsidRPr="00A807DB" w14:paraId="3C0EF8C1" w14:textId="77777777" w:rsidTr="00D84CA8">
        <w:trPr>
          <w:trHeight w:val="236"/>
        </w:trPr>
        <w:tc>
          <w:tcPr>
            <w:tcW w:w="2263" w:type="dxa"/>
          </w:tcPr>
          <w:p w14:paraId="39DB1ADE" w14:textId="77777777" w:rsidR="006421E2" w:rsidRPr="00A807DB" w:rsidRDefault="006421E2" w:rsidP="00A807DB">
            <w:pPr>
              <w:ind w:left="0"/>
              <w:rPr>
                <w:szCs w:val="22"/>
                <w:lang w:val="en-US"/>
              </w:rPr>
            </w:pPr>
            <w:r w:rsidRPr="00A807DB">
              <w:rPr>
                <w:szCs w:val="22"/>
                <w:lang w:val="en-US"/>
              </w:rPr>
              <w:t>Other</w:t>
            </w:r>
          </w:p>
        </w:tc>
        <w:tc>
          <w:tcPr>
            <w:tcW w:w="1276" w:type="dxa"/>
          </w:tcPr>
          <w:p w14:paraId="25A29A15" w14:textId="77777777" w:rsidR="006421E2" w:rsidRPr="00A807DB" w:rsidRDefault="006421E2" w:rsidP="007B0C16">
            <w:pPr>
              <w:ind w:left="0" w:right="173"/>
              <w:rPr>
                <w:szCs w:val="22"/>
                <w:lang w:val="en-US"/>
              </w:rPr>
            </w:pPr>
            <w:r w:rsidRPr="00A807DB">
              <w:rPr>
                <w:szCs w:val="22"/>
                <w:lang w:val="en-US"/>
              </w:rPr>
              <w:t>1 (1.5)</w:t>
            </w:r>
          </w:p>
        </w:tc>
        <w:tc>
          <w:tcPr>
            <w:tcW w:w="1276" w:type="dxa"/>
          </w:tcPr>
          <w:p w14:paraId="69FDCC87" w14:textId="77777777" w:rsidR="006421E2" w:rsidRPr="00A807DB" w:rsidRDefault="006421E2" w:rsidP="007B0C16">
            <w:pPr>
              <w:ind w:left="0" w:right="173"/>
              <w:rPr>
                <w:szCs w:val="22"/>
                <w:lang w:val="en-US"/>
              </w:rPr>
            </w:pPr>
            <w:r w:rsidRPr="00A807DB">
              <w:rPr>
                <w:szCs w:val="22"/>
                <w:lang w:val="en-US"/>
              </w:rPr>
              <w:t>1 (0.7)</w:t>
            </w:r>
          </w:p>
        </w:tc>
        <w:tc>
          <w:tcPr>
            <w:tcW w:w="1417" w:type="dxa"/>
          </w:tcPr>
          <w:p w14:paraId="489C3A06" w14:textId="77777777" w:rsidR="006421E2" w:rsidRPr="00A807DB" w:rsidRDefault="006421E2" w:rsidP="007B0C16">
            <w:pPr>
              <w:ind w:left="0" w:right="173"/>
              <w:rPr>
                <w:szCs w:val="22"/>
                <w:lang w:val="en-US"/>
              </w:rPr>
            </w:pPr>
            <w:r w:rsidRPr="00A807DB">
              <w:rPr>
                <w:szCs w:val="22"/>
                <w:lang w:val="en-US"/>
              </w:rPr>
              <w:t>8(6)</w:t>
            </w:r>
          </w:p>
        </w:tc>
        <w:tc>
          <w:tcPr>
            <w:tcW w:w="1134" w:type="dxa"/>
          </w:tcPr>
          <w:p w14:paraId="2C6ACFFF" w14:textId="77777777" w:rsidR="006421E2" w:rsidRPr="00A807DB" w:rsidRDefault="006421E2" w:rsidP="007B0C16">
            <w:pPr>
              <w:ind w:left="0" w:right="173"/>
              <w:rPr>
                <w:szCs w:val="22"/>
                <w:lang w:val="en-US"/>
              </w:rPr>
            </w:pPr>
            <w:r w:rsidRPr="00A807DB">
              <w:rPr>
                <w:szCs w:val="22"/>
                <w:lang w:val="en-US"/>
              </w:rPr>
              <w:t>0</w:t>
            </w:r>
          </w:p>
        </w:tc>
        <w:tc>
          <w:tcPr>
            <w:tcW w:w="1136" w:type="dxa"/>
          </w:tcPr>
          <w:p w14:paraId="18BA3EFC" w14:textId="77777777" w:rsidR="006421E2" w:rsidRPr="00A807DB" w:rsidRDefault="006421E2" w:rsidP="007B0C16">
            <w:pPr>
              <w:ind w:left="0" w:right="173"/>
              <w:rPr>
                <w:szCs w:val="22"/>
                <w:lang w:val="en-US"/>
              </w:rPr>
            </w:pPr>
            <w:r w:rsidRPr="00A807DB">
              <w:rPr>
                <w:szCs w:val="22"/>
                <w:lang w:val="en-US"/>
              </w:rPr>
              <w:t>10 (3)</w:t>
            </w:r>
          </w:p>
        </w:tc>
      </w:tr>
      <w:tr w:rsidR="006421E2" w:rsidRPr="00A807DB" w14:paraId="29C24848" w14:textId="77777777" w:rsidTr="00D84CA8">
        <w:trPr>
          <w:trHeight w:val="238"/>
        </w:trPr>
        <w:tc>
          <w:tcPr>
            <w:tcW w:w="2263" w:type="dxa"/>
          </w:tcPr>
          <w:p w14:paraId="2569C83A" w14:textId="77777777" w:rsidR="006421E2" w:rsidRPr="00A807DB" w:rsidRDefault="006421E2" w:rsidP="00A807DB">
            <w:pPr>
              <w:ind w:left="0"/>
              <w:rPr>
                <w:szCs w:val="22"/>
                <w:lang w:val="en-US"/>
              </w:rPr>
            </w:pPr>
            <w:r w:rsidRPr="00A807DB">
              <w:rPr>
                <w:szCs w:val="22"/>
                <w:lang w:val="en-US"/>
              </w:rPr>
              <w:t>Unknown</w:t>
            </w:r>
          </w:p>
        </w:tc>
        <w:tc>
          <w:tcPr>
            <w:tcW w:w="1276" w:type="dxa"/>
          </w:tcPr>
          <w:p w14:paraId="663310D1" w14:textId="77777777" w:rsidR="006421E2" w:rsidRPr="00A807DB" w:rsidRDefault="006421E2" w:rsidP="007B0C16">
            <w:pPr>
              <w:ind w:left="0" w:right="173"/>
              <w:rPr>
                <w:szCs w:val="22"/>
                <w:lang w:val="en-US"/>
              </w:rPr>
            </w:pPr>
            <w:r w:rsidRPr="00A807DB">
              <w:rPr>
                <w:szCs w:val="22"/>
                <w:lang w:val="en-US"/>
              </w:rPr>
              <w:t>1(1.5)</w:t>
            </w:r>
          </w:p>
        </w:tc>
        <w:tc>
          <w:tcPr>
            <w:tcW w:w="1276" w:type="dxa"/>
          </w:tcPr>
          <w:p w14:paraId="50190129" w14:textId="77777777" w:rsidR="006421E2" w:rsidRPr="00A807DB" w:rsidRDefault="006421E2" w:rsidP="007B0C16">
            <w:pPr>
              <w:ind w:left="0" w:right="173"/>
              <w:rPr>
                <w:szCs w:val="22"/>
                <w:lang w:val="en-US"/>
              </w:rPr>
            </w:pPr>
            <w:r w:rsidRPr="00A807DB">
              <w:rPr>
                <w:szCs w:val="22"/>
                <w:lang w:val="en-US"/>
              </w:rPr>
              <w:t>0</w:t>
            </w:r>
          </w:p>
        </w:tc>
        <w:tc>
          <w:tcPr>
            <w:tcW w:w="1417" w:type="dxa"/>
          </w:tcPr>
          <w:p w14:paraId="6A4E5690" w14:textId="77777777" w:rsidR="006421E2" w:rsidRPr="00A807DB" w:rsidRDefault="006421E2" w:rsidP="007B0C16">
            <w:pPr>
              <w:ind w:left="0" w:right="173"/>
              <w:rPr>
                <w:szCs w:val="22"/>
                <w:lang w:val="en-US"/>
              </w:rPr>
            </w:pPr>
            <w:r w:rsidRPr="00A807DB">
              <w:rPr>
                <w:szCs w:val="22"/>
                <w:lang w:val="en-US"/>
              </w:rPr>
              <w:t>0</w:t>
            </w:r>
          </w:p>
        </w:tc>
        <w:tc>
          <w:tcPr>
            <w:tcW w:w="1134" w:type="dxa"/>
          </w:tcPr>
          <w:p w14:paraId="5A5BB5E4" w14:textId="77777777" w:rsidR="006421E2" w:rsidRPr="00A807DB" w:rsidRDefault="006421E2" w:rsidP="007B0C16">
            <w:pPr>
              <w:ind w:left="0" w:right="173"/>
              <w:rPr>
                <w:szCs w:val="22"/>
                <w:lang w:val="en-US"/>
              </w:rPr>
            </w:pPr>
            <w:r w:rsidRPr="00A807DB">
              <w:rPr>
                <w:szCs w:val="22"/>
                <w:lang w:val="en-US"/>
              </w:rPr>
              <w:t>0</w:t>
            </w:r>
          </w:p>
        </w:tc>
        <w:tc>
          <w:tcPr>
            <w:tcW w:w="1136" w:type="dxa"/>
          </w:tcPr>
          <w:p w14:paraId="0B5DD508" w14:textId="77777777" w:rsidR="006421E2" w:rsidRPr="00A807DB" w:rsidRDefault="006421E2" w:rsidP="007B0C16">
            <w:pPr>
              <w:ind w:left="0" w:right="173"/>
              <w:rPr>
                <w:szCs w:val="22"/>
                <w:lang w:val="en-US"/>
              </w:rPr>
            </w:pPr>
            <w:r w:rsidRPr="00A807DB">
              <w:rPr>
                <w:szCs w:val="22"/>
                <w:lang w:val="en-US"/>
              </w:rPr>
              <w:t>1 0.3)</w:t>
            </w:r>
          </w:p>
        </w:tc>
      </w:tr>
    </w:tbl>
    <w:p w14:paraId="1D5BCAB9" w14:textId="43C77823" w:rsidR="006421E2" w:rsidRPr="006421E2" w:rsidRDefault="00201B8A" w:rsidP="007D2F65">
      <w:pPr>
        <w:pStyle w:val="TableDescription"/>
      </w:pPr>
      <w:r>
        <w:t>Source: FDA table.</w:t>
      </w:r>
      <w:r>
        <w:rPr>
          <w:rStyle w:val="CommentReference"/>
          <w:b/>
        </w:rPr>
        <w:fldChar w:fldCharType="begin"/>
      </w:r>
      <w:r>
        <w:rPr>
          <w:rStyle w:val="CommentReference"/>
          <w:b/>
        </w:rPr>
        <w:instrText xml:space="preserve"> NOTEREF _Ref50554541 \f \h  \* MERGEFORMAT </w:instrText>
      </w:r>
      <w:r>
        <w:rPr>
          <w:rStyle w:val="CommentReference"/>
          <w:b/>
        </w:rPr>
      </w:r>
      <w:r>
        <w:rPr>
          <w:rStyle w:val="CommentReference"/>
          <w:b/>
        </w:rPr>
        <w:fldChar w:fldCharType="separate"/>
      </w:r>
      <w:r w:rsidRPr="005743D8">
        <w:rPr>
          <w:rStyle w:val="FootnoteReference"/>
        </w:rPr>
        <w:t>12</w:t>
      </w:r>
      <w:r>
        <w:rPr>
          <w:rStyle w:val="CommentReference"/>
          <w:b/>
        </w:rPr>
        <w:fldChar w:fldCharType="end"/>
      </w:r>
    </w:p>
    <w:p w14:paraId="657CE981" w14:textId="5D08FA2A" w:rsidR="006421E2" w:rsidRPr="006421E2" w:rsidRDefault="006421E2" w:rsidP="001F1814">
      <w:pPr>
        <w:pStyle w:val="TableTitle"/>
        <w:pageBreakBefore/>
      </w:pPr>
      <w:bookmarkStart w:id="75" w:name="_Ref30165786"/>
      <w:r w:rsidRPr="006421E2">
        <w:lastRenderedPageBreak/>
        <w:t xml:space="preserve">Table </w:t>
      </w:r>
      <w:fldSimple w:instr=" SEQ Table \* ARABIC ">
        <w:r w:rsidR="009B407B">
          <w:rPr>
            <w:noProof/>
          </w:rPr>
          <w:t>31</w:t>
        </w:r>
      </w:fldSimple>
      <w:bookmarkEnd w:id="75"/>
      <w:r w:rsidRPr="006421E2">
        <w:t>. Grade 5 adverse events (adverse events that led to death) in the integrated safety population</w:t>
      </w:r>
    </w:p>
    <w:tbl>
      <w:tblPr>
        <w:tblStyle w:val="TableTGAblue"/>
        <w:tblW w:w="8508" w:type="dxa"/>
        <w:tblLayout w:type="fixed"/>
        <w:tblLook w:val="01E0" w:firstRow="1" w:lastRow="1" w:firstColumn="1" w:lastColumn="1" w:noHBand="0" w:noVBand="0"/>
      </w:tblPr>
      <w:tblGrid>
        <w:gridCol w:w="2293"/>
        <w:gridCol w:w="1313"/>
        <w:gridCol w:w="1226"/>
        <w:gridCol w:w="1313"/>
        <w:gridCol w:w="1138"/>
        <w:gridCol w:w="1225"/>
      </w:tblGrid>
      <w:tr w:rsidR="006421E2" w:rsidRPr="006421E2" w14:paraId="766FEE38" w14:textId="77777777" w:rsidTr="00007D7D">
        <w:trPr>
          <w:cnfStyle w:val="100000000000" w:firstRow="1" w:lastRow="0" w:firstColumn="0" w:lastColumn="0" w:oddVBand="0" w:evenVBand="0" w:oddHBand="0" w:evenHBand="0" w:firstRowFirstColumn="0" w:firstRowLastColumn="0" w:lastRowFirstColumn="0" w:lastRowLastColumn="0"/>
          <w:trHeight w:val="949"/>
        </w:trPr>
        <w:tc>
          <w:tcPr>
            <w:tcW w:w="2293" w:type="dxa"/>
            <w:tcBorders>
              <w:top w:val="single" w:sz="4" w:space="0" w:color="auto"/>
              <w:left w:val="single" w:sz="4" w:space="0" w:color="auto"/>
              <w:bottom w:val="single" w:sz="4" w:space="0" w:color="auto"/>
              <w:right w:val="single" w:sz="4" w:space="0" w:color="auto"/>
            </w:tcBorders>
          </w:tcPr>
          <w:p w14:paraId="7F731C21" w14:textId="7A0CEE0E" w:rsidR="006421E2" w:rsidRPr="00007D7D" w:rsidRDefault="006421E2" w:rsidP="00D84CA8">
            <w:pPr>
              <w:ind w:left="0"/>
              <w:rPr>
                <w:lang w:val="en-US"/>
              </w:rPr>
            </w:pPr>
            <w:r w:rsidRPr="00007D7D">
              <w:rPr>
                <w:lang w:val="en-US"/>
              </w:rPr>
              <w:t>Preferred Term</w:t>
            </w:r>
          </w:p>
        </w:tc>
        <w:tc>
          <w:tcPr>
            <w:tcW w:w="1313" w:type="dxa"/>
            <w:tcBorders>
              <w:top w:val="single" w:sz="4" w:space="0" w:color="auto"/>
              <w:left w:val="single" w:sz="4" w:space="0" w:color="auto"/>
              <w:bottom w:val="single" w:sz="4" w:space="0" w:color="auto"/>
              <w:right w:val="single" w:sz="4" w:space="0" w:color="auto"/>
            </w:tcBorders>
          </w:tcPr>
          <w:p w14:paraId="0CAEA2D3" w14:textId="33BD3D14" w:rsidR="006421E2" w:rsidRPr="00007D7D" w:rsidRDefault="006421E2" w:rsidP="00D84CA8">
            <w:pPr>
              <w:ind w:left="0"/>
              <w:rPr>
                <w:lang w:val="en-US"/>
              </w:rPr>
            </w:pPr>
            <w:r w:rsidRPr="00007D7D">
              <w:rPr>
                <w:lang w:val="en-US"/>
              </w:rPr>
              <w:t>NTRK Adult n</w:t>
            </w:r>
            <w:r w:rsidR="00F2463B">
              <w:rPr>
                <w:lang w:val="en-US"/>
              </w:rPr>
              <w:t xml:space="preserve"> </w:t>
            </w:r>
            <w:r w:rsidRPr="00007D7D">
              <w:rPr>
                <w:lang w:val="en-US"/>
              </w:rPr>
              <w:t>=</w:t>
            </w:r>
            <w:r w:rsidR="00F2463B">
              <w:rPr>
                <w:lang w:val="en-US"/>
              </w:rPr>
              <w:t xml:space="preserve"> </w:t>
            </w:r>
            <w:r w:rsidRPr="00007D7D">
              <w:rPr>
                <w:lang w:val="en-US"/>
              </w:rPr>
              <w:t>68 (%)</w:t>
            </w:r>
          </w:p>
        </w:tc>
        <w:tc>
          <w:tcPr>
            <w:tcW w:w="1226" w:type="dxa"/>
            <w:tcBorders>
              <w:top w:val="single" w:sz="4" w:space="0" w:color="auto"/>
              <w:left w:val="single" w:sz="4" w:space="0" w:color="auto"/>
              <w:bottom w:val="single" w:sz="4" w:space="0" w:color="auto"/>
              <w:right w:val="single" w:sz="4" w:space="0" w:color="auto"/>
            </w:tcBorders>
          </w:tcPr>
          <w:p w14:paraId="22A92157" w14:textId="77777777" w:rsidR="006421E2" w:rsidRPr="00007D7D" w:rsidRDefault="006421E2" w:rsidP="006421E2">
            <w:pPr>
              <w:rPr>
                <w:lang w:val="en-US"/>
              </w:rPr>
            </w:pPr>
            <w:r w:rsidRPr="00007D7D">
              <w:rPr>
                <w:lang w:val="en-US"/>
              </w:rPr>
              <w:t>ROS1 NSCLC</w:t>
            </w:r>
          </w:p>
          <w:p w14:paraId="4D70D248" w14:textId="1DE3C4E4" w:rsidR="006421E2" w:rsidRPr="00007D7D" w:rsidRDefault="006421E2" w:rsidP="006421E2">
            <w:pPr>
              <w:rPr>
                <w:lang w:val="en-US"/>
              </w:rPr>
            </w:pPr>
            <w:r w:rsidRPr="00007D7D">
              <w:rPr>
                <w:lang w:val="en-US"/>
              </w:rPr>
              <w:t>Adult n</w:t>
            </w:r>
            <w:r w:rsidR="00F2463B">
              <w:rPr>
                <w:lang w:val="en-US"/>
              </w:rPr>
              <w:t xml:space="preserve"> </w:t>
            </w:r>
            <w:r w:rsidRPr="00007D7D">
              <w:rPr>
                <w:lang w:val="en-US"/>
              </w:rPr>
              <w:t>=</w:t>
            </w:r>
            <w:r w:rsidR="00F2463B">
              <w:rPr>
                <w:lang w:val="en-US"/>
              </w:rPr>
              <w:t xml:space="preserve"> </w:t>
            </w:r>
            <w:r w:rsidRPr="00007D7D">
              <w:rPr>
                <w:lang w:val="en-US"/>
              </w:rPr>
              <w:t>133 (%)</w:t>
            </w:r>
          </w:p>
        </w:tc>
        <w:tc>
          <w:tcPr>
            <w:tcW w:w="1313" w:type="dxa"/>
            <w:tcBorders>
              <w:top w:val="single" w:sz="4" w:space="0" w:color="auto"/>
              <w:left w:val="single" w:sz="4" w:space="0" w:color="auto"/>
              <w:bottom w:val="single" w:sz="4" w:space="0" w:color="auto"/>
              <w:right w:val="single" w:sz="4" w:space="0" w:color="auto"/>
            </w:tcBorders>
          </w:tcPr>
          <w:p w14:paraId="7C3FFF86" w14:textId="77777777" w:rsidR="006421E2" w:rsidRPr="00007D7D" w:rsidRDefault="006421E2" w:rsidP="006421E2">
            <w:pPr>
              <w:rPr>
                <w:lang w:val="en-US"/>
              </w:rPr>
            </w:pPr>
            <w:r w:rsidRPr="00007D7D">
              <w:rPr>
                <w:lang w:val="en-US"/>
              </w:rPr>
              <w:t xml:space="preserve">Other Adult </w:t>
            </w:r>
            <w:proofErr w:type="spellStart"/>
            <w:r w:rsidRPr="00007D7D">
              <w:rPr>
                <w:lang w:val="en-US"/>
              </w:rPr>
              <w:t>nonNTRK</w:t>
            </w:r>
            <w:proofErr w:type="spellEnd"/>
            <w:r w:rsidRPr="00007D7D">
              <w:rPr>
                <w:lang w:val="en-US"/>
              </w:rPr>
              <w:t>, nonROS1</w:t>
            </w:r>
          </w:p>
          <w:p w14:paraId="3E3AC30C" w14:textId="0156605B" w:rsidR="006421E2" w:rsidRPr="00007D7D" w:rsidRDefault="00F2463B" w:rsidP="006421E2">
            <w:pPr>
              <w:rPr>
                <w:lang w:val="en-US"/>
              </w:rPr>
            </w:pPr>
            <w:r>
              <w:rPr>
                <w:lang w:val="en-US"/>
              </w:rPr>
              <w:t xml:space="preserve">n </w:t>
            </w:r>
            <w:r w:rsidR="006421E2" w:rsidRPr="00007D7D">
              <w:rPr>
                <w:lang w:val="en-US"/>
              </w:rPr>
              <w:t>=</w:t>
            </w:r>
            <w:r>
              <w:rPr>
                <w:lang w:val="en-US"/>
              </w:rPr>
              <w:t xml:space="preserve"> </w:t>
            </w:r>
            <w:r w:rsidR="006421E2" w:rsidRPr="00007D7D">
              <w:rPr>
                <w:lang w:val="en-US"/>
              </w:rPr>
              <w:t>137 (%)</w:t>
            </w:r>
          </w:p>
        </w:tc>
        <w:tc>
          <w:tcPr>
            <w:tcW w:w="1138" w:type="dxa"/>
            <w:tcBorders>
              <w:top w:val="single" w:sz="4" w:space="0" w:color="auto"/>
              <w:left w:val="single" w:sz="4" w:space="0" w:color="auto"/>
              <w:bottom w:val="single" w:sz="4" w:space="0" w:color="auto"/>
              <w:right w:val="single" w:sz="4" w:space="0" w:color="auto"/>
            </w:tcBorders>
          </w:tcPr>
          <w:p w14:paraId="564A6907" w14:textId="013F681F" w:rsidR="006421E2" w:rsidRPr="00007D7D" w:rsidRDefault="006421E2" w:rsidP="00D84CA8">
            <w:pPr>
              <w:ind w:left="0"/>
              <w:rPr>
                <w:lang w:val="en-US"/>
              </w:rPr>
            </w:pPr>
            <w:r w:rsidRPr="00007D7D">
              <w:rPr>
                <w:lang w:val="en-US"/>
              </w:rPr>
              <w:t>Pediatric n</w:t>
            </w:r>
            <w:r w:rsidR="00F2463B">
              <w:rPr>
                <w:lang w:val="en-US"/>
              </w:rPr>
              <w:t xml:space="preserve"> </w:t>
            </w:r>
            <w:r w:rsidRPr="00007D7D">
              <w:rPr>
                <w:lang w:val="en-US"/>
              </w:rPr>
              <w:t>=</w:t>
            </w:r>
            <w:r w:rsidR="00F2463B">
              <w:rPr>
                <w:lang w:val="en-US"/>
              </w:rPr>
              <w:t xml:space="preserve"> </w:t>
            </w:r>
            <w:r w:rsidRPr="00007D7D">
              <w:rPr>
                <w:lang w:val="en-US"/>
              </w:rPr>
              <w:t>17 (%)</w:t>
            </w:r>
          </w:p>
        </w:tc>
        <w:tc>
          <w:tcPr>
            <w:tcW w:w="1225" w:type="dxa"/>
            <w:tcBorders>
              <w:top w:val="single" w:sz="4" w:space="0" w:color="auto"/>
              <w:left w:val="single" w:sz="4" w:space="0" w:color="auto"/>
              <w:bottom w:val="single" w:sz="4" w:space="0" w:color="auto"/>
              <w:right w:val="single" w:sz="4" w:space="0" w:color="auto"/>
            </w:tcBorders>
          </w:tcPr>
          <w:p w14:paraId="072375EE" w14:textId="1EC20CED" w:rsidR="006421E2" w:rsidRPr="00007D7D" w:rsidRDefault="006421E2" w:rsidP="00D84CA8">
            <w:pPr>
              <w:ind w:left="0"/>
              <w:rPr>
                <w:lang w:val="en-US"/>
              </w:rPr>
            </w:pPr>
            <w:r w:rsidRPr="00007D7D">
              <w:rPr>
                <w:lang w:val="en-US"/>
              </w:rPr>
              <w:t>All n</w:t>
            </w:r>
            <w:r w:rsidR="00F2463B">
              <w:rPr>
                <w:lang w:val="en-US"/>
              </w:rPr>
              <w:t xml:space="preserve"> </w:t>
            </w:r>
            <w:r w:rsidRPr="00007D7D">
              <w:rPr>
                <w:lang w:val="en-US"/>
              </w:rPr>
              <w:t>=</w:t>
            </w:r>
            <w:r w:rsidR="00F2463B">
              <w:rPr>
                <w:lang w:val="en-US"/>
              </w:rPr>
              <w:t xml:space="preserve"> </w:t>
            </w:r>
            <w:r w:rsidRPr="00007D7D">
              <w:rPr>
                <w:lang w:val="en-US"/>
              </w:rPr>
              <w:t>355 (%)</w:t>
            </w:r>
          </w:p>
        </w:tc>
      </w:tr>
      <w:tr w:rsidR="006421E2" w:rsidRPr="006421E2" w14:paraId="6033D938" w14:textId="77777777" w:rsidTr="00007D7D">
        <w:trPr>
          <w:trHeight w:val="237"/>
        </w:trPr>
        <w:tc>
          <w:tcPr>
            <w:tcW w:w="2293" w:type="dxa"/>
            <w:tcBorders>
              <w:top w:val="single" w:sz="4" w:space="0" w:color="auto"/>
            </w:tcBorders>
          </w:tcPr>
          <w:p w14:paraId="3F12D47A" w14:textId="77777777" w:rsidR="006421E2" w:rsidRPr="006421E2" w:rsidRDefault="006421E2" w:rsidP="006421E2">
            <w:pPr>
              <w:rPr>
                <w:lang w:val="en-US"/>
              </w:rPr>
            </w:pPr>
            <w:r w:rsidRPr="006421E2">
              <w:rPr>
                <w:lang w:val="en-US"/>
              </w:rPr>
              <w:t>Total(%)</w:t>
            </w:r>
          </w:p>
        </w:tc>
        <w:tc>
          <w:tcPr>
            <w:tcW w:w="1313" w:type="dxa"/>
            <w:tcBorders>
              <w:top w:val="single" w:sz="4" w:space="0" w:color="auto"/>
            </w:tcBorders>
          </w:tcPr>
          <w:p w14:paraId="506E2928" w14:textId="77777777" w:rsidR="006421E2" w:rsidRPr="006421E2" w:rsidRDefault="006421E2" w:rsidP="006421E2">
            <w:pPr>
              <w:rPr>
                <w:lang w:val="en-US"/>
              </w:rPr>
            </w:pPr>
            <w:r w:rsidRPr="006421E2">
              <w:rPr>
                <w:lang w:val="en-US"/>
              </w:rPr>
              <w:t>6 (9)</w:t>
            </w:r>
          </w:p>
        </w:tc>
        <w:tc>
          <w:tcPr>
            <w:tcW w:w="1226" w:type="dxa"/>
            <w:tcBorders>
              <w:top w:val="single" w:sz="4" w:space="0" w:color="auto"/>
            </w:tcBorders>
          </w:tcPr>
          <w:p w14:paraId="2D2DBF65" w14:textId="77777777" w:rsidR="006421E2" w:rsidRPr="006421E2" w:rsidRDefault="006421E2" w:rsidP="006421E2">
            <w:pPr>
              <w:rPr>
                <w:lang w:val="en-US"/>
              </w:rPr>
            </w:pPr>
            <w:r w:rsidRPr="006421E2">
              <w:rPr>
                <w:lang w:val="en-US"/>
              </w:rPr>
              <w:t>9 (7)</w:t>
            </w:r>
          </w:p>
        </w:tc>
        <w:tc>
          <w:tcPr>
            <w:tcW w:w="1313" w:type="dxa"/>
            <w:tcBorders>
              <w:top w:val="single" w:sz="4" w:space="0" w:color="auto"/>
            </w:tcBorders>
          </w:tcPr>
          <w:p w14:paraId="4F1453B1" w14:textId="77777777" w:rsidR="006421E2" w:rsidRPr="006421E2" w:rsidRDefault="006421E2" w:rsidP="006421E2">
            <w:pPr>
              <w:rPr>
                <w:lang w:val="en-US"/>
              </w:rPr>
            </w:pPr>
            <w:r w:rsidRPr="006421E2">
              <w:rPr>
                <w:lang w:val="en-US"/>
              </w:rPr>
              <w:t>5 (4)</w:t>
            </w:r>
          </w:p>
        </w:tc>
        <w:tc>
          <w:tcPr>
            <w:tcW w:w="1138" w:type="dxa"/>
            <w:tcBorders>
              <w:top w:val="single" w:sz="4" w:space="0" w:color="auto"/>
            </w:tcBorders>
          </w:tcPr>
          <w:p w14:paraId="59DB8A83" w14:textId="77777777" w:rsidR="006421E2" w:rsidRPr="006421E2" w:rsidRDefault="006421E2" w:rsidP="006421E2">
            <w:pPr>
              <w:rPr>
                <w:lang w:val="en-US"/>
              </w:rPr>
            </w:pPr>
            <w:r w:rsidRPr="006421E2">
              <w:rPr>
                <w:lang w:val="en-US"/>
              </w:rPr>
              <w:t>0 (0)</w:t>
            </w:r>
          </w:p>
        </w:tc>
        <w:tc>
          <w:tcPr>
            <w:tcW w:w="1225" w:type="dxa"/>
            <w:tcBorders>
              <w:top w:val="single" w:sz="4" w:space="0" w:color="auto"/>
            </w:tcBorders>
          </w:tcPr>
          <w:p w14:paraId="565D9BEE" w14:textId="77777777" w:rsidR="006421E2" w:rsidRPr="006421E2" w:rsidRDefault="006421E2" w:rsidP="006421E2">
            <w:pPr>
              <w:rPr>
                <w:lang w:val="en-US"/>
              </w:rPr>
            </w:pPr>
            <w:r w:rsidRPr="006421E2">
              <w:rPr>
                <w:lang w:val="en-US"/>
              </w:rPr>
              <w:t>20 (6)</w:t>
            </w:r>
          </w:p>
        </w:tc>
      </w:tr>
      <w:tr w:rsidR="006421E2" w:rsidRPr="006421E2" w14:paraId="3E487694" w14:textId="77777777" w:rsidTr="00007D7D">
        <w:trPr>
          <w:trHeight w:val="237"/>
        </w:trPr>
        <w:tc>
          <w:tcPr>
            <w:tcW w:w="2293" w:type="dxa"/>
          </w:tcPr>
          <w:p w14:paraId="4021186E" w14:textId="77777777" w:rsidR="006421E2" w:rsidRPr="006421E2" w:rsidRDefault="006421E2" w:rsidP="006421E2">
            <w:pPr>
              <w:rPr>
                <w:lang w:val="en-US"/>
              </w:rPr>
            </w:pPr>
            <w:r w:rsidRPr="006421E2">
              <w:rPr>
                <w:lang w:val="en-US"/>
              </w:rPr>
              <w:t>Acute Respiratory Failure</w:t>
            </w:r>
          </w:p>
        </w:tc>
        <w:tc>
          <w:tcPr>
            <w:tcW w:w="1313" w:type="dxa"/>
          </w:tcPr>
          <w:p w14:paraId="50B2FAB1" w14:textId="77777777" w:rsidR="006421E2" w:rsidRPr="006421E2" w:rsidRDefault="006421E2" w:rsidP="006421E2">
            <w:pPr>
              <w:rPr>
                <w:lang w:val="en-US"/>
              </w:rPr>
            </w:pPr>
            <w:r w:rsidRPr="006421E2">
              <w:rPr>
                <w:lang w:val="en-US"/>
              </w:rPr>
              <w:t>2 (3)</w:t>
            </w:r>
          </w:p>
        </w:tc>
        <w:tc>
          <w:tcPr>
            <w:tcW w:w="1226" w:type="dxa"/>
          </w:tcPr>
          <w:p w14:paraId="7D48441F" w14:textId="77777777" w:rsidR="006421E2" w:rsidRPr="006421E2" w:rsidRDefault="006421E2" w:rsidP="006421E2">
            <w:pPr>
              <w:rPr>
                <w:lang w:val="en-US"/>
              </w:rPr>
            </w:pPr>
            <w:r w:rsidRPr="006421E2">
              <w:rPr>
                <w:lang w:val="en-US"/>
              </w:rPr>
              <w:t>0 (0)</w:t>
            </w:r>
          </w:p>
        </w:tc>
        <w:tc>
          <w:tcPr>
            <w:tcW w:w="1313" w:type="dxa"/>
          </w:tcPr>
          <w:p w14:paraId="586A41B6" w14:textId="77777777" w:rsidR="006421E2" w:rsidRPr="006421E2" w:rsidRDefault="006421E2" w:rsidP="006421E2">
            <w:pPr>
              <w:rPr>
                <w:lang w:val="en-US"/>
              </w:rPr>
            </w:pPr>
            <w:r w:rsidRPr="006421E2">
              <w:rPr>
                <w:lang w:val="en-US"/>
              </w:rPr>
              <w:t>1 (0.7)</w:t>
            </w:r>
          </w:p>
        </w:tc>
        <w:tc>
          <w:tcPr>
            <w:tcW w:w="1138" w:type="dxa"/>
          </w:tcPr>
          <w:p w14:paraId="7F67C50B" w14:textId="77777777" w:rsidR="006421E2" w:rsidRPr="006421E2" w:rsidRDefault="006421E2" w:rsidP="006421E2">
            <w:pPr>
              <w:rPr>
                <w:lang w:val="en-US"/>
              </w:rPr>
            </w:pPr>
            <w:r w:rsidRPr="006421E2">
              <w:rPr>
                <w:lang w:val="en-US"/>
              </w:rPr>
              <w:t>0 (0)</w:t>
            </w:r>
          </w:p>
        </w:tc>
        <w:tc>
          <w:tcPr>
            <w:tcW w:w="1225" w:type="dxa"/>
          </w:tcPr>
          <w:p w14:paraId="4AFF46B5" w14:textId="77777777" w:rsidR="006421E2" w:rsidRPr="006421E2" w:rsidRDefault="006421E2" w:rsidP="006421E2">
            <w:pPr>
              <w:rPr>
                <w:lang w:val="en-US"/>
              </w:rPr>
            </w:pPr>
            <w:r w:rsidRPr="006421E2">
              <w:rPr>
                <w:lang w:val="en-US"/>
              </w:rPr>
              <w:t>2 (0.6)</w:t>
            </w:r>
          </w:p>
        </w:tc>
      </w:tr>
      <w:tr w:rsidR="006421E2" w:rsidRPr="006421E2" w14:paraId="1CB884DE" w14:textId="77777777" w:rsidTr="00007D7D">
        <w:trPr>
          <w:trHeight w:val="236"/>
        </w:trPr>
        <w:tc>
          <w:tcPr>
            <w:tcW w:w="2293" w:type="dxa"/>
          </w:tcPr>
          <w:p w14:paraId="7CF9EA06" w14:textId="77777777" w:rsidR="006421E2" w:rsidRPr="006421E2" w:rsidRDefault="006421E2" w:rsidP="006421E2">
            <w:pPr>
              <w:rPr>
                <w:lang w:val="en-US"/>
              </w:rPr>
            </w:pPr>
            <w:r w:rsidRPr="006421E2">
              <w:rPr>
                <w:lang w:val="en-US"/>
              </w:rPr>
              <w:t>Cardio-respiratory Arrest</w:t>
            </w:r>
          </w:p>
        </w:tc>
        <w:tc>
          <w:tcPr>
            <w:tcW w:w="1313" w:type="dxa"/>
          </w:tcPr>
          <w:p w14:paraId="1A93D55A" w14:textId="77777777" w:rsidR="006421E2" w:rsidRPr="006421E2" w:rsidRDefault="006421E2" w:rsidP="006421E2">
            <w:pPr>
              <w:rPr>
                <w:lang w:val="en-US"/>
              </w:rPr>
            </w:pPr>
            <w:r w:rsidRPr="006421E2">
              <w:rPr>
                <w:lang w:val="en-US"/>
              </w:rPr>
              <w:t>2 (3)</w:t>
            </w:r>
          </w:p>
        </w:tc>
        <w:tc>
          <w:tcPr>
            <w:tcW w:w="1226" w:type="dxa"/>
          </w:tcPr>
          <w:p w14:paraId="346CAA33" w14:textId="77777777" w:rsidR="006421E2" w:rsidRPr="006421E2" w:rsidRDefault="006421E2" w:rsidP="006421E2">
            <w:pPr>
              <w:rPr>
                <w:lang w:val="en-US"/>
              </w:rPr>
            </w:pPr>
            <w:r w:rsidRPr="006421E2">
              <w:rPr>
                <w:lang w:val="en-US"/>
              </w:rPr>
              <w:t>0 (0)</w:t>
            </w:r>
          </w:p>
        </w:tc>
        <w:tc>
          <w:tcPr>
            <w:tcW w:w="1313" w:type="dxa"/>
          </w:tcPr>
          <w:p w14:paraId="47CA2B76" w14:textId="77777777" w:rsidR="006421E2" w:rsidRPr="006421E2" w:rsidRDefault="006421E2" w:rsidP="006421E2">
            <w:pPr>
              <w:rPr>
                <w:lang w:val="en-US"/>
              </w:rPr>
            </w:pPr>
            <w:r w:rsidRPr="006421E2">
              <w:rPr>
                <w:lang w:val="en-US"/>
              </w:rPr>
              <w:t>0 (0)</w:t>
            </w:r>
          </w:p>
        </w:tc>
        <w:tc>
          <w:tcPr>
            <w:tcW w:w="1138" w:type="dxa"/>
          </w:tcPr>
          <w:p w14:paraId="31F22BE7" w14:textId="77777777" w:rsidR="006421E2" w:rsidRPr="006421E2" w:rsidRDefault="006421E2" w:rsidP="006421E2">
            <w:pPr>
              <w:rPr>
                <w:lang w:val="en-US"/>
              </w:rPr>
            </w:pPr>
            <w:r w:rsidRPr="006421E2">
              <w:rPr>
                <w:lang w:val="en-US"/>
              </w:rPr>
              <w:t>0 (0)</w:t>
            </w:r>
          </w:p>
        </w:tc>
        <w:tc>
          <w:tcPr>
            <w:tcW w:w="1225" w:type="dxa"/>
          </w:tcPr>
          <w:p w14:paraId="328B152F" w14:textId="77777777" w:rsidR="006421E2" w:rsidRPr="006421E2" w:rsidRDefault="006421E2" w:rsidP="006421E2">
            <w:pPr>
              <w:rPr>
                <w:lang w:val="en-US"/>
              </w:rPr>
            </w:pPr>
            <w:r w:rsidRPr="006421E2">
              <w:rPr>
                <w:lang w:val="en-US"/>
              </w:rPr>
              <w:t>2 (0.6)</w:t>
            </w:r>
          </w:p>
        </w:tc>
      </w:tr>
      <w:tr w:rsidR="006421E2" w:rsidRPr="006421E2" w14:paraId="012BC20D" w14:textId="77777777" w:rsidTr="00007D7D">
        <w:trPr>
          <w:trHeight w:val="237"/>
        </w:trPr>
        <w:tc>
          <w:tcPr>
            <w:tcW w:w="2293" w:type="dxa"/>
          </w:tcPr>
          <w:p w14:paraId="6DCDF57D" w14:textId="77777777" w:rsidR="006421E2" w:rsidRPr="006421E2" w:rsidRDefault="006421E2" w:rsidP="006421E2">
            <w:pPr>
              <w:rPr>
                <w:lang w:val="en-US"/>
              </w:rPr>
            </w:pPr>
            <w:r w:rsidRPr="006421E2">
              <w:rPr>
                <w:lang w:val="en-US"/>
              </w:rPr>
              <w:t>Dyspnea</w:t>
            </w:r>
          </w:p>
        </w:tc>
        <w:tc>
          <w:tcPr>
            <w:tcW w:w="1313" w:type="dxa"/>
          </w:tcPr>
          <w:p w14:paraId="114FA922" w14:textId="77777777" w:rsidR="006421E2" w:rsidRPr="006421E2" w:rsidRDefault="006421E2" w:rsidP="006421E2">
            <w:pPr>
              <w:rPr>
                <w:lang w:val="en-US"/>
              </w:rPr>
            </w:pPr>
            <w:r w:rsidRPr="006421E2">
              <w:rPr>
                <w:lang w:val="en-US"/>
              </w:rPr>
              <w:t>0 (0)</w:t>
            </w:r>
          </w:p>
        </w:tc>
        <w:tc>
          <w:tcPr>
            <w:tcW w:w="1226" w:type="dxa"/>
          </w:tcPr>
          <w:p w14:paraId="38184668" w14:textId="77777777" w:rsidR="006421E2" w:rsidRPr="006421E2" w:rsidRDefault="006421E2" w:rsidP="006421E2">
            <w:pPr>
              <w:rPr>
                <w:lang w:val="en-US"/>
              </w:rPr>
            </w:pPr>
            <w:r w:rsidRPr="006421E2">
              <w:rPr>
                <w:lang w:val="en-US"/>
              </w:rPr>
              <w:t>1 (0.7)</w:t>
            </w:r>
          </w:p>
        </w:tc>
        <w:tc>
          <w:tcPr>
            <w:tcW w:w="1313" w:type="dxa"/>
          </w:tcPr>
          <w:p w14:paraId="1651E172" w14:textId="77777777" w:rsidR="006421E2" w:rsidRPr="006421E2" w:rsidRDefault="006421E2" w:rsidP="006421E2">
            <w:pPr>
              <w:rPr>
                <w:lang w:val="en-US"/>
              </w:rPr>
            </w:pPr>
            <w:r w:rsidRPr="006421E2">
              <w:rPr>
                <w:lang w:val="en-US"/>
              </w:rPr>
              <w:t>1 (0.7)</w:t>
            </w:r>
          </w:p>
        </w:tc>
        <w:tc>
          <w:tcPr>
            <w:tcW w:w="1138" w:type="dxa"/>
          </w:tcPr>
          <w:p w14:paraId="5E4287D6" w14:textId="77777777" w:rsidR="006421E2" w:rsidRPr="006421E2" w:rsidRDefault="006421E2" w:rsidP="006421E2">
            <w:pPr>
              <w:rPr>
                <w:lang w:val="en-US"/>
              </w:rPr>
            </w:pPr>
            <w:r w:rsidRPr="006421E2">
              <w:rPr>
                <w:lang w:val="en-US"/>
              </w:rPr>
              <w:t>0 (0)</w:t>
            </w:r>
          </w:p>
        </w:tc>
        <w:tc>
          <w:tcPr>
            <w:tcW w:w="1225" w:type="dxa"/>
          </w:tcPr>
          <w:p w14:paraId="39620A23" w14:textId="77777777" w:rsidR="006421E2" w:rsidRPr="006421E2" w:rsidRDefault="006421E2" w:rsidP="006421E2">
            <w:pPr>
              <w:rPr>
                <w:lang w:val="en-US"/>
              </w:rPr>
            </w:pPr>
            <w:r w:rsidRPr="006421E2">
              <w:rPr>
                <w:lang w:val="en-US"/>
              </w:rPr>
              <w:t>2 (0.6)</w:t>
            </w:r>
          </w:p>
        </w:tc>
      </w:tr>
      <w:tr w:rsidR="006421E2" w:rsidRPr="006421E2" w14:paraId="78CC3173" w14:textId="77777777" w:rsidTr="00007D7D">
        <w:trPr>
          <w:trHeight w:val="237"/>
        </w:trPr>
        <w:tc>
          <w:tcPr>
            <w:tcW w:w="2293" w:type="dxa"/>
          </w:tcPr>
          <w:p w14:paraId="06C01E54" w14:textId="77777777" w:rsidR="006421E2" w:rsidRPr="006421E2" w:rsidRDefault="006421E2" w:rsidP="006421E2">
            <w:pPr>
              <w:rPr>
                <w:lang w:val="en-US"/>
              </w:rPr>
            </w:pPr>
            <w:r w:rsidRPr="006421E2">
              <w:rPr>
                <w:lang w:val="en-US"/>
              </w:rPr>
              <w:t>Meningeal Metastases</w:t>
            </w:r>
          </w:p>
        </w:tc>
        <w:tc>
          <w:tcPr>
            <w:tcW w:w="1313" w:type="dxa"/>
          </w:tcPr>
          <w:p w14:paraId="13583970" w14:textId="77777777" w:rsidR="006421E2" w:rsidRPr="006421E2" w:rsidRDefault="006421E2" w:rsidP="006421E2">
            <w:pPr>
              <w:rPr>
                <w:lang w:val="en-US"/>
              </w:rPr>
            </w:pPr>
            <w:r w:rsidRPr="006421E2">
              <w:rPr>
                <w:lang w:val="en-US"/>
              </w:rPr>
              <w:t>0 (0)</w:t>
            </w:r>
          </w:p>
        </w:tc>
        <w:tc>
          <w:tcPr>
            <w:tcW w:w="1226" w:type="dxa"/>
          </w:tcPr>
          <w:p w14:paraId="3AA03027" w14:textId="77777777" w:rsidR="006421E2" w:rsidRPr="006421E2" w:rsidRDefault="006421E2" w:rsidP="006421E2">
            <w:pPr>
              <w:rPr>
                <w:lang w:val="en-US"/>
              </w:rPr>
            </w:pPr>
            <w:r w:rsidRPr="006421E2">
              <w:rPr>
                <w:lang w:val="en-US"/>
              </w:rPr>
              <w:t>2 ( 1.4)</w:t>
            </w:r>
          </w:p>
        </w:tc>
        <w:tc>
          <w:tcPr>
            <w:tcW w:w="1313" w:type="dxa"/>
          </w:tcPr>
          <w:p w14:paraId="2E641BAD" w14:textId="77777777" w:rsidR="006421E2" w:rsidRPr="006421E2" w:rsidRDefault="006421E2" w:rsidP="006421E2">
            <w:pPr>
              <w:rPr>
                <w:lang w:val="en-US"/>
              </w:rPr>
            </w:pPr>
            <w:r w:rsidRPr="006421E2">
              <w:rPr>
                <w:lang w:val="en-US"/>
              </w:rPr>
              <w:t>0 (0)</w:t>
            </w:r>
          </w:p>
        </w:tc>
        <w:tc>
          <w:tcPr>
            <w:tcW w:w="1138" w:type="dxa"/>
          </w:tcPr>
          <w:p w14:paraId="5186935D" w14:textId="77777777" w:rsidR="006421E2" w:rsidRPr="006421E2" w:rsidRDefault="006421E2" w:rsidP="006421E2">
            <w:pPr>
              <w:rPr>
                <w:lang w:val="en-US"/>
              </w:rPr>
            </w:pPr>
            <w:r w:rsidRPr="006421E2">
              <w:rPr>
                <w:lang w:val="en-US"/>
              </w:rPr>
              <w:t>0 (0)</w:t>
            </w:r>
          </w:p>
        </w:tc>
        <w:tc>
          <w:tcPr>
            <w:tcW w:w="1225" w:type="dxa"/>
          </w:tcPr>
          <w:p w14:paraId="32D0369F" w14:textId="77777777" w:rsidR="006421E2" w:rsidRPr="006421E2" w:rsidRDefault="006421E2" w:rsidP="006421E2">
            <w:pPr>
              <w:rPr>
                <w:lang w:val="en-US"/>
              </w:rPr>
            </w:pPr>
            <w:r w:rsidRPr="006421E2">
              <w:rPr>
                <w:lang w:val="en-US"/>
              </w:rPr>
              <w:t>2 (0.6)</w:t>
            </w:r>
          </w:p>
        </w:tc>
      </w:tr>
      <w:tr w:rsidR="006421E2" w:rsidRPr="006421E2" w14:paraId="390E6BC8" w14:textId="77777777" w:rsidTr="00007D7D">
        <w:trPr>
          <w:trHeight w:val="237"/>
        </w:trPr>
        <w:tc>
          <w:tcPr>
            <w:tcW w:w="2293" w:type="dxa"/>
          </w:tcPr>
          <w:p w14:paraId="4C91F1C0" w14:textId="77777777" w:rsidR="006421E2" w:rsidRPr="006421E2" w:rsidRDefault="006421E2" w:rsidP="006421E2">
            <w:pPr>
              <w:rPr>
                <w:lang w:val="en-US"/>
              </w:rPr>
            </w:pPr>
            <w:r w:rsidRPr="006421E2">
              <w:rPr>
                <w:lang w:val="en-US"/>
              </w:rPr>
              <w:t>Pneumonia</w:t>
            </w:r>
          </w:p>
        </w:tc>
        <w:tc>
          <w:tcPr>
            <w:tcW w:w="1313" w:type="dxa"/>
          </w:tcPr>
          <w:p w14:paraId="15F43F06" w14:textId="77777777" w:rsidR="006421E2" w:rsidRPr="006421E2" w:rsidRDefault="006421E2" w:rsidP="006421E2">
            <w:pPr>
              <w:rPr>
                <w:lang w:val="en-US"/>
              </w:rPr>
            </w:pPr>
            <w:r w:rsidRPr="006421E2">
              <w:rPr>
                <w:lang w:val="en-US"/>
              </w:rPr>
              <w:t>1 (1.5)</w:t>
            </w:r>
          </w:p>
        </w:tc>
        <w:tc>
          <w:tcPr>
            <w:tcW w:w="1226" w:type="dxa"/>
          </w:tcPr>
          <w:p w14:paraId="56228EB6" w14:textId="77777777" w:rsidR="006421E2" w:rsidRPr="006421E2" w:rsidRDefault="006421E2" w:rsidP="006421E2">
            <w:pPr>
              <w:rPr>
                <w:lang w:val="en-US"/>
              </w:rPr>
            </w:pPr>
            <w:r w:rsidRPr="006421E2">
              <w:rPr>
                <w:lang w:val="en-US"/>
              </w:rPr>
              <w:t>1 (0.7)</w:t>
            </w:r>
          </w:p>
        </w:tc>
        <w:tc>
          <w:tcPr>
            <w:tcW w:w="1313" w:type="dxa"/>
          </w:tcPr>
          <w:p w14:paraId="06C9CB8A" w14:textId="77777777" w:rsidR="006421E2" w:rsidRPr="006421E2" w:rsidRDefault="006421E2" w:rsidP="006421E2">
            <w:pPr>
              <w:rPr>
                <w:lang w:val="en-US"/>
              </w:rPr>
            </w:pPr>
            <w:r w:rsidRPr="006421E2">
              <w:rPr>
                <w:lang w:val="en-US"/>
              </w:rPr>
              <w:t>0 (0)</w:t>
            </w:r>
          </w:p>
        </w:tc>
        <w:tc>
          <w:tcPr>
            <w:tcW w:w="1138" w:type="dxa"/>
          </w:tcPr>
          <w:p w14:paraId="0692246F" w14:textId="77777777" w:rsidR="006421E2" w:rsidRPr="006421E2" w:rsidRDefault="006421E2" w:rsidP="006421E2">
            <w:pPr>
              <w:rPr>
                <w:lang w:val="en-US"/>
              </w:rPr>
            </w:pPr>
            <w:r w:rsidRPr="006421E2">
              <w:rPr>
                <w:lang w:val="en-US"/>
              </w:rPr>
              <w:t>0 (0)</w:t>
            </w:r>
          </w:p>
        </w:tc>
        <w:tc>
          <w:tcPr>
            <w:tcW w:w="1225" w:type="dxa"/>
          </w:tcPr>
          <w:p w14:paraId="2F8C6BC0" w14:textId="77777777" w:rsidR="006421E2" w:rsidRPr="006421E2" w:rsidRDefault="006421E2" w:rsidP="006421E2">
            <w:pPr>
              <w:rPr>
                <w:lang w:val="en-US"/>
              </w:rPr>
            </w:pPr>
            <w:r w:rsidRPr="006421E2">
              <w:rPr>
                <w:lang w:val="en-US"/>
              </w:rPr>
              <w:t>2 (0.6)</w:t>
            </w:r>
          </w:p>
        </w:tc>
      </w:tr>
      <w:tr w:rsidR="006421E2" w:rsidRPr="006421E2" w14:paraId="4D211F9D" w14:textId="77777777" w:rsidTr="00007D7D">
        <w:trPr>
          <w:trHeight w:val="236"/>
        </w:trPr>
        <w:tc>
          <w:tcPr>
            <w:tcW w:w="2293" w:type="dxa"/>
          </w:tcPr>
          <w:p w14:paraId="7949B8FC" w14:textId="77777777" w:rsidR="006421E2" w:rsidRPr="006421E2" w:rsidRDefault="006421E2" w:rsidP="006421E2">
            <w:pPr>
              <w:rPr>
                <w:lang w:val="en-US"/>
              </w:rPr>
            </w:pPr>
            <w:r w:rsidRPr="006421E2">
              <w:rPr>
                <w:lang w:val="en-US"/>
              </w:rPr>
              <w:t>Sepsis/Septic Shock</w:t>
            </w:r>
          </w:p>
        </w:tc>
        <w:tc>
          <w:tcPr>
            <w:tcW w:w="1313" w:type="dxa"/>
          </w:tcPr>
          <w:p w14:paraId="1C4A99E1" w14:textId="77777777" w:rsidR="006421E2" w:rsidRPr="006421E2" w:rsidRDefault="006421E2" w:rsidP="006421E2">
            <w:pPr>
              <w:rPr>
                <w:lang w:val="en-US"/>
              </w:rPr>
            </w:pPr>
            <w:r w:rsidRPr="006421E2">
              <w:rPr>
                <w:lang w:val="en-US"/>
              </w:rPr>
              <w:t>1 (1.5)</w:t>
            </w:r>
          </w:p>
        </w:tc>
        <w:tc>
          <w:tcPr>
            <w:tcW w:w="1226" w:type="dxa"/>
          </w:tcPr>
          <w:p w14:paraId="74FE09CD" w14:textId="77777777" w:rsidR="006421E2" w:rsidRPr="006421E2" w:rsidRDefault="006421E2" w:rsidP="006421E2">
            <w:pPr>
              <w:rPr>
                <w:lang w:val="en-US"/>
              </w:rPr>
            </w:pPr>
            <w:r w:rsidRPr="006421E2">
              <w:rPr>
                <w:lang w:val="en-US"/>
              </w:rPr>
              <w:t>1 (0.7)</w:t>
            </w:r>
          </w:p>
        </w:tc>
        <w:tc>
          <w:tcPr>
            <w:tcW w:w="1313" w:type="dxa"/>
          </w:tcPr>
          <w:p w14:paraId="50CAFF19" w14:textId="77777777" w:rsidR="006421E2" w:rsidRPr="006421E2" w:rsidRDefault="006421E2" w:rsidP="006421E2">
            <w:pPr>
              <w:rPr>
                <w:lang w:val="en-US"/>
              </w:rPr>
            </w:pPr>
            <w:r w:rsidRPr="006421E2">
              <w:rPr>
                <w:lang w:val="en-US"/>
              </w:rPr>
              <w:t>1 (0.7)</w:t>
            </w:r>
          </w:p>
        </w:tc>
        <w:tc>
          <w:tcPr>
            <w:tcW w:w="1138" w:type="dxa"/>
          </w:tcPr>
          <w:p w14:paraId="16A94537" w14:textId="77777777" w:rsidR="006421E2" w:rsidRPr="006421E2" w:rsidRDefault="006421E2" w:rsidP="006421E2">
            <w:pPr>
              <w:rPr>
                <w:lang w:val="en-US"/>
              </w:rPr>
            </w:pPr>
            <w:r w:rsidRPr="006421E2">
              <w:rPr>
                <w:lang w:val="en-US"/>
              </w:rPr>
              <w:t>0 (0)</w:t>
            </w:r>
          </w:p>
        </w:tc>
        <w:tc>
          <w:tcPr>
            <w:tcW w:w="1225" w:type="dxa"/>
          </w:tcPr>
          <w:p w14:paraId="76D10E5E" w14:textId="77777777" w:rsidR="006421E2" w:rsidRPr="006421E2" w:rsidRDefault="006421E2" w:rsidP="006421E2">
            <w:pPr>
              <w:rPr>
                <w:lang w:val="en-US"/>
              </w:rPr>
            </w:pPr>
            <w:r w:rsidRPr="006421E2">
              <w:rPr>
                <w:lang w:val="en-US"/>
              </w:rPr>
              <w:t>3 (0.9)</w:t>
            </w:r>
          </w:p>
        </w:tc>
      </w:tr>
      <w:tr w:rsidR="006421E2" w:rsidRPr="006421E2" w14:paraId="0C19CB4A" w14:textId="77777777" w:rsidTr="00007D7D">
        <w:trPr>
          <w:trHeight w:val="237"/>
        </w:trPr>
        <w:tc>
          <w:tcPr>
            <w:tcW w:w="2293" w:type="dxa"/>
          </w:tcPr>
          <w:p w14:paraId="0AC6A06E" w14:textId="77777777" w:rsidR="006421E2" w:rsidRPr="006421E2" w:rsidRDefault="006421E2" w:rsidP="006421E2">
            <w:pPr>
              <w:rPr>
                <w:lang w:val="en-US"/>
              </w:rPr>
            </w:pPr>
            <w:r w:rsidRPr="006421E2">
              <w:rPr>
                <w:lang w:val="en-US"/>
              </w:rPr>
              <w:t>Cardiogenic Shock</w:t>
            </w:r>
          </w:p>
        </w:tc>
        <w:tc>
          <w:tcPr>
            <w:tcW w:w="1313" w:type="dxa"/>
          </w:tcPr>
          <w:p w14:paraId="01056000" w14:textId="77777777" w:rsidR="006421E2" w:rsidRPr="006421E2" w:rsidRDefault="006421E2" w:rsidP="006421E2">
            <w:pPr>
              <w:rPr>
                <w:lang w:val="en-US"/>
              </w:rPr>
            </w:pPr>
            <w:r w:rsidRPr="006421E2">
              <w:rPr>
                <w:lang w:val="en-US"/>
              </w:rPr>
              <w:t>0 (0)</w:t>
            </w:r>
          </w:p>
        </w:tc>
        <w:tc>
          <w:tcPr>
            <w:tcW w:w="1226" w:type="dxa"/>
          </w:tcPr>
          <w:p w14:paraId="464090C7" w14:textId="77777777" w:rsidR="006421E2" w:rsidRPr="006421E2" w:rsidRDefault="006421E2" w:rsidP="006421E2">
            <w:pPr>
              <w:rPr>
                <w:lang w:val="en-US"/>
              </w:rPr>
            </w:pPr>
            <w:r w:rsidRPr="006421E2">
              <w:rPr>
                <w:lang w:val="en-US"/>
              </w:rPr>
              <w:t>1 (0.7)</w:t>
            </w:r>
          </w:p>
        </w:tc>
        <w:tc>
          <w:tcPr>
            <w:tcW w:w="1313" w:type="dxa"/>
          </w:tcPr>
          <w:p w14:paraId="35FF05A6" w14:textId="77777777" w:rsidR="006421E2" w:rsidRPr="006421E2" w:rsidRDefault="006421E2" w:rsidP="006421E2">
            <w:pPr>
              <w:rPr>
                <w:lang w:val="en-US"/>
              </w:rPr>
            </w:pPr>
            <w:r w:rsidRPr="006421E2">
              <w:rPr>
                <w:lang w:val="en-US"/>
              </w:rPr>
              <w:t>0 (0)</w:t>
            </w:r>
          </w:p>
        </w:tc>
        <w:tc>
          <w:tcPr>
            <w:tcW w:w="1138" w:type="dxa"/>
          </w:tcPr>
          <w:p w14:paraId="13889111" w14:textId="77777777" w:rsidR="006421E2" w:rsidRPr="006421E2" w:rsidRDefault="006421E2" w:rsidP="006421E2">
            <w:pPr>
              <w:rPr>
                <w:lang w:val="en-US"/>
              </w:rPr>
            </w:pPr>
            <w:r w:rsidRPr="006421E2">
              <w:rPr>
                <w:lang w:val="en-US"/>
              </w:rPr>
              <w:t>0 (0)</w:t>
            </w:r>
          </w:p>
        </w:tc>
        <w:tc>
          <w:tcPr>
            <w:tcW w:w="1225" w:type="dxa"/>
          </w:tcPr>
          <w:p w14:paraId="7931F1E5" w14:textId="77777777" w:rsidR="006421E2" w:rsidRPr="006421E2" w:rsidRDefault="006421E2" w:rsidP="006421E2">
            <w:pPr>
              <w:rPr>
                <w:lang w:val="en-US"/>
              </w:rPr>
            </w:pPr>
            <w:r w:rsidRPr="006421E2">
              <w:rPr>
                <w:lang w:val="en-US"/>
              </w:rPr>
              <w:t>1 (0.3)</w:t>
            </w:r>
          </w:p>
        </w:tc>
      </w:tr>
      <w:tr w:rsidR="006421E2" w:rsidRPr="006421E2" w14:paraId="71DFA780" w14:textId="77777777" w:rsidTr="00007D7D">
        <w:trPr>
          <w:trHeight w:val="237"/>
        </w:trPr>
        <w:tc>
          <w:tcPr>
            <w:tcW w:w="2293" w:type="dxa"/>
          </w:tcPr>
          <w:p w14:paraId="54989B57" w14:textId="77777777" w:rsidR="006421E2" w:rsidRPr="006421E2" w:rsidRDefault="006421E2" w:rsidP="006421E2">
            <w:pPr>
              <w:rPr>
                <w:lang w:val="en-US"/>
              </w:rPr>
            </w:pPr>
            <w:r w:rsidRPr="006421E2">
              <w:rPr>
                <w:lang w:val="en-US"/>
              </w:rPr>
              <w:t>Cerebral Infarction</w:t>
            </w:r>
          </w:p>
        </w:tc>
        <w:tc>
          <w:tcPr>
            <w:tcW w:w="1313" w:type="dxa"/>
          </w:tcPr>
          <w:p w14:paraId="7D8C410D" w14:textId="77777777" w:rsidR="006421E2" w:rsidRPr="006421E2" w:rsidRDefault="006421E2" w:rsidP="006421E2">
            <w:pPr>
              <w:rPr>
                <w:lang w:val="en-US"/>
              </w:rPr>
            </w:pPr>
            <w:r w:rsidRPr="006421E2">
              <w:rPr>
                <w:lang w:val="en-US"/>
              </w:rPr>
              <w:t>0 (0)</w:t>
            </w:r>
          </w:p>
        </w:tc>
        <w:tc>
          <w:tcPr>
            <w:tcW w:w="1226" w:type="dxa"/>
          </w:tcPr>
          <w:p w14:paraId="08A897DF" w14:textId="77777777" w:rsidR="006421E2" w:rsidRPr="006421E2" w:rsidRDefault="006421E2" w:rsidP="006421E2">
            <w:pPr>
              <w:rPr>
                <w:lang w:val="en-US"/>
              </w:rPr>
            </w:pPr>
            <w:r w:rsidRPr="006421E2">
              <w:rPr>
                <w:lang w:val="en-US"/>
              </w:rPr>
              <w:t>1 (0.7)</w:t>
            </w:r>
          </w:p>
        </w:tc>
        <w:tc>
          <w:tcPr>
            <w:tcW w:w="1313" w:type="dxa"/>
          </w:tcPr>
          <w:p w14:paraId="46D6FB23" w14:textId="77777777" w:rsidR="006421E2" w:rsidRPr="006421E2" w:rsidRDefault="006421E2" w:rsidP="006421E2">
            <w:pPr>
              <w:rPr>
                <w:lang w:val="en-US"/>
              </w:rPr>
            </w:pPr>
            <w:r w:rsidRPr="006421E2">
              <w:rPr>
                <w:lang w:val="en-US"/>
              </w:rPr>
              <w:t>0 (0)</w:t>
            </w:r>
          </w:p>
        </w:tc>
        <w:tc>
          <w:tcPr>
            <w:tcW w:w="1138" w:type="dxa"/>
          </w:tcPr>
          <w:p w14:paraId="406D3F3D" w14:textId="77777777" w:rsidR="006421E2" w:rsidRPr="006421E2" w:rsidRDefault="006421E2" w:rsidP="006421E2">
            <w:pPr>
              <w:rPr>
                <w:lang w:val="en-US"/>
              </w:rPr>
            </w:pPr>
            <w:r w:rsidRPr="006421E2">
              <w:rPr>
                <w:lang w:val="en-US"/>
              </w:rPr>
              <w:t>0 (0)</w:t>
            </w:r>
          </w:p>
        </w:tc>
        <w:tc>
          <w:tcPr>
            <w:tcW w:w="1225" w:type="dxa"/>
          </w:tcPr>
          <w:p w14:paraId="3A1FD29D" w14:textId="77777777" w:rsidR="006421E2" w:rsidRPr="006421E2" w:rsidRDefault="006421E2" w:rsidP="006421E2">
            <w:pPr>
              <w:rPr>
                <w:lang w:val="en-US"/>
              </w:rPr>
            </w:pPr>
            <w:r w:rsidRPr="006421E2">
              <w:rPr>
                <w:lang w:val="en-US"/>
              </w:rPr>
              <w:t>1 (0.3)</w:t>
            </w:r>
          </w:p>
        </w:tc>
      </w:tr>
      <w:tr w:rsidR="006421E2" w:rsidRPr="006421E2" w14:paraId="1DA92F26" w14:textId="77777777" w:rsidTr="00007D7D">
        <w:trPr>
          <w:trHeight w:val="237"/>
        </w:trPr>
        <w:tc>
          <w:tcPr>
            <w:tcW w:w="2293" w:type="dxa"/>
          </w:tcPr>
          <w:p w14:paraId="2C29CADE" w14:textId="77777777" w:rsidR="006421E2" w:rsidRPr="006421E2" w:rsidRDefault="006421E2" w:rsidP="006421E2">
            <w:pPr>
              <w:rPr>
                <w:lang w:val="en-US"/>
              </w:rPr>
            </w:pPr>
            <w:r w:rsidRPr="006421E2">
              <w:rPr>
                <w:lang w:val="en-US"/>
              </w:rPr>
              <w:t>Completed Suicide</w:t>
            </w:r>
          </w:p>
        </w:tc>
        <w:tc>
          <w:tcPr>
            <w:tcW w:w="1313" w:type="dxa"/>
          </w:tcPr>
          <w:p w14:paraId="5A5879BE" w14:textId="77777777" w:rsidR="006421E2" w:rsidRPr="006421E2" w:rsidRDefault="006421E2" w:rsidP="006421E2">
            <w:pPr>
              <w:rPr>
                <w:lang w:val="en-US"/>
              </w:rPr>
            </w:pPr>
            <w:r w:rsidRPr="006421E2">
              <w:rPr>
                <w:lang w:val="en-US"/>
              </w:rPr>
              <w:t>0 (0)</w:t>
            </w:r>
          </w:p>
        </w:tc>
        <w:tc>
          <w:tcPr>
            <w:tcW w:w="1226" w:type="dxa"/>
          </w:tcPr>
          <w:p w14:paraId="0F4358BA" w14:textId="77777777" w:rsidR="006421E2" w:rsidRPr="006421E2" w:rsidRDefault="006421E2" w:rsidP="006421E2">
            <w:pPr>
              <w:rPr>
                <w:lang w:val="en-US"/>
              </w:rPr>
            </w:pPr>
            <w:r w:rsidRPr="006421E2">
              <w:rPr>
                <w:lang w:val="en-US"/>
              </w:rPr>
              <w:t>0 (0)</w:t>
            </w:r>
          </w:p>
        </w:tc>
        <w:tc>
          <w:tcPr>
            <w:tcW w:w="1313" w:type="dxa"/>
          </w:tcPr>
          <w:p w14:paraId="25AF7DDC" w14:textId="77777777" w:rsidR="006421E2" w:rsidRPr="006421E2" w:rsidRDefault="006421E2" w:rsidP="006421E2">
            <w:pPr>
              <w:rPr>
                <w:lang w:val="en-US"/>
              </w:rPr>
            </w:pPr>
            <w:r w:rsidRPr="006421E2">
              <w:rPr>
                <w:lang w:val="en-US"/>
              </w:rPr>
              <w:t>1 (0.7)</w:t>
            </w:r>
          </w:p>
        </w:tc>
        <w:tc>
          <w:tcPr>
            <w:tcW w:w="1138" w:type="dxa"/>
          </w:tcPr>
          <w:p w14:paraId="587C33CB" w14:textId="77777777" w:rsidR="006421E2" w:rsidRPr="006421E2" w:rsidRDefault="006421E2" w:rsidP="006421E2">
            <w:pPr>
              <w:rPr>
                <w:lang w:val="en-US"/>
              </w:rPr>
            </w:pPr>
            <w:r w:rsidRPr="006421E2">
              <w:rPr>
                <w:lang w:val="en-US"/>
              </w:rPr>
              <w:t>0 (0)</w:t>
            </w:r>
          </w:p>
        </w:tc>
        <w:tc>
          <w:tcPr>
            <w:tcW w:w="1225" w:type="dxa"/>
          </w:tcPr>
          <w:p w14:paraId="2FDBC88A" w14:textId="77777777" w:rsidR="006421E2" w:rsidRPr="006421E2" w:rsidRDefault="006421E2" w:rsidP="006421E2">
            <w:pPr>
              <w:rPr>
                <w:lang w:val="en-US"/>
              </w:rPr>
            </w:pPr>
            <w:r w:rsidRPr="006421E2">
              <w:rPr>
                <w:lang w:val="en-US"/>
              </w:rPr>
              <w:t>1 (0.3)</w:t>
            </w:r>
          </w:p>
        </w:tc>
      </w:tr>
      <w:tr w:rsidR="006421E2" w:rsidRPr="006421E2" w14:paraId="12795936" w14:textId="77777777" w:rsidTr="00007D7D">
        <w:trPr>
          <w:trHeight w:val="474"/>
        </w:trPr>
        <w:tc>
          <w:tcPr>
            <w:tcW w:w="2293" w:type="dxa"/>
          </w:tcPr>
          <w:p w14:paraId="72D67F94" w14:textId="6EDF1028" w:rsidR="006421E2" w:rsidRPr="006421E2" w:rsidRDefault="006421E2" w:rsidP="001F1814">
            <w:pPr>
              <w:rPr>
                <w:lang w:val="en-US"/>
              </w:rPr>
            </w:pPr>
            <w:r w:rsidRPr="006421E2">
              <w:rPr>
                <w:lang w:val="en-US"/>
              </w:rPr>
              <w:t>Large Intestine</w:t>
            </w:r>
            <w:r w:rsidR="001F1814">
              <w:rPr>
                <w:lang w:val="en-US"/>
              </w:rPr>
              <w:t xml:space="preserve"> </w:t>
            </w:r>
            <w:r w:rsidRPr="006421E2">
              <w:rPr>
                <w:lang w:val="en-US"/>
              </w:rPr>
              <w:t>Perforation</w:t>
            </w:r>
          </w:p>
        </w:tc>
        <w:tc>
          <w:tcPr>
            <w:tcW w:w="1313" w:type="dxa"/>
          </w:tcPr>
          <w:p w14:paraId="29E94162" w14:textId="77777777" w:rsidR="006421E2" w:rsidRPr="006421E2" w:rsidRDefault="006421E2" w:rsidP="006421E2">
            <w:pPr>
              <w:rPr>
                <w:lang w:val="en-US"/>
              </w:rPr>
            </w:pPr>
            <w:r w:rsidRPr="006421E2">
              <w:rPr>
                <w:lang w:val="en-US"/>
              </w:rPr>
              <w:t>0 (0)</w:t>
            </w:r>
          </w:p>
        </w:tc>
        <w:tc>
          <w:tcPr>
            <w:tcW w:w="1226" w:type="dxa"/>
          </w:tcPr>
          <w:p w14:paraId="747E26BD" w14:textId="77777777" w:rsidR="006421E2" w:rsidRPr="006421E2" w:rsidRDefault="006421E2" w:rsidP="006421E2">
            <w:pPr>
              <w:rPr>
                <w:lang w:val="en-US"/>
              </w:rPr>
            </w:pPr>
            <w:r w:rsidRPr="006421E2">
              <w:rPr>
                <w:lang w:val="en-US"/>
              </w:rPr>
              <w:t>1(0.7)</w:t>
            </w:r>
          </w:p>
        </w:tc>
        <w:tc>
          <w:tcPr>
            <w:tcW w:w="1313" w:type="dxa"/>
          </w:tcPr>
          <w:p w14:paraId="26A10E35" w14:textId="77777777" w:rsidR="006421E2" w:rsidRPr="006421E2" w:rsidRDefault="006421E2" w:rsidP="006421E2">
            <w:pPr>
              <w:rPr>
                <w:lang w:val="en-US"/>
              </w:rPr>
            </w:pPr>
            <w:r w:rsidRPr="006421E2">
              <w:rPr>
                <w:lang w:val="en-US"/>
              </w:rPr>
              <w:t>0 (0)</w:t>
            </w:r>
          </w:p>
        </w:tc>
        <w:tc>
          <w:tcPr>
            <w:tcW w:w="1138" w:type="dxa"/>
          </w:tcPr>
          <w:p w14:paraId="0BAAD050" w14:textId="77777777" w:rsidR="006421E2" w:rsidRPr="006421E2" w:rsidRDefault="006421E2" w:rsidP="006421E2">
            <w:pPr>
              <w:rPr>
                <w:lang w:val="en-US"/>
              </w:rPr>
            </w:pPr>
            <w:r w:rsidRPr="006421E2">
              <w:rPr>
                <w:lang w:val="en-US"/>
              </w:rPr>
              <w:t>0 (0)</w:t>
            </w:r>
          </w:p>
        </w:tc>
        <w:tc>
          <w:tcPr>
            <w:tcW w:w="1225" w:type="dxa"/>
          </w:tcPr>
          <w:p w14:paraId="3306445C" w14:textId="77777777" w:rsidR="006421E2" w:rsidRPr="006421E2" w:rsidRDefault="006421E2" w:rsidP="006421E2">
            <w:pPr>
              <w:rPr>
                <w:lang w:val="en-US"/>
              </w:rPr>
            </w:pPr>
            <w:r w:rsidRPr="006421E2">
              <w:rPr>
                <w:lang w:val="en-US"/>
              </w:rPr>
              <w:t>1 (0.3)</w:t>
            </w:r>
          </w:p>
        </w:tc>
      </w:tr>
      <w:tr w:rsidR="006421E2" w:rsidRPr="006421E2" w14:paraId="4BE992E7" w14:textId="77777777" w:rsidTr="00007D7D">
        <w:trPr>
          <w:trHeight w:val="237"/>
        </w:trPr>
        <w:tc>
          <w:tcPr>
            <w:tcW w:w="2293" w:type="dxa"/>
          </w:tcPr>
          <w:p w14:paraId="546033A6" w14:textId="77777777" w:rsidR="006421E2" w:rsidRPr="006421E2" w:rsidRDefault="006421E2" w:rsidP="006421E2">
            <w:pPr>
              <w:rPr>
                <w:lang w:val="en-US"/>
              </w:rPr>
            </w:pPr>
            <w:r w:rsidRPr="006421E2">
              <w:rPr>
                <w:lang w:val="en-US"/>
              </w:rPr>
              <w:t>Pulmonary Embolism</w:t>
            </w:r>
          </w:p>
        </w:tc>
        <w:tc>
          <w:tcPr>
            <w:tcW w:w="1313" w:type="dxa"/>
          </w:tcPr>
          <w:p w14:paraId="09AA48A4" w14:textId="77777777" w:rsidR="006421E2" w:rsidRPr="006421E2" w:rsidRDefault="006421E2" w:rsidP="006421E2">
            <w:pPr>
              <w:rPr>
                <w:lang w:val="en-US"/>
              </w:rPr>
            </w:pPr>
            <w:r w:rsidRPr="006421E2">
              <w:rPr>
                <w:lang w:val="en-US"/>
              </w:rPr>
              <w:t>0 (0)</w:t>
            </w:r>
          </w:p>
        </w:tc>
        <w:tc>
          <w:tcPr>
            <w:tcW w:w="1226" w:type="dxa"/>
          </w:tcPr>
          <w:p w14:paraId="64B16D2E" w14:textId="77777777" w:rsidR="006421E2" w:rsidRPr="006421E2" w:rsidRDefault="006421E2" w:rsidP="006421E2">
            <w:pPr>
              <w:rPr>
                <w:lang w:val="en-US"/>
              </w:rPr>
            </w:pPr>
            <w:r w:rsidRPr="006421E2">
              <w:rPr>
                <w:lang w:val="en-US"/>
              </w:rPr>
              <w:t>1 (0.7)</w:t>
            </w:r>
          </w:p>
        </w:tc>
        <w:tc>
          <w:tcPr>
            <w:tcW w:w="1313" w:type="dxa"/>
          </w:tcPr>
          <w:p w14:paraId="05B660FF" w14:textId="77777777" w:rsidR="006421E2" w:rsidRPr="006421E2" w:rsidRDefault="006421E2" w:rsidP="006421E2">
            <w:pPr>
              <w:rPr>
                <w:lang w:val="en-US"/>
              </w:rPr>
            </w:pPr>
            <w:r w:rsidRPr="006421E2">
              <w:rPr>
                <w:lang w:val="en-US"/>
              </w:rPr>
              <w:t>0 (0)</w:t>
            </w:r>
          </w:p>
        </w:tc>
        <w:tc>
          <w:tcPr>
            <w:tcW w:w="1138" w:type="dxa"/>
          </w:tcPr>
          <w:p w14:paraId="40B3BD9A" w14:textId="77777777" w:rsidR="006421E2" w:rsidRPr="006421E2" w:rsidRDefault="006421E2" w:rsidP="006421E2">
            <w:pPr>
              <w:rPr>
                <w:lang w:val="en-US"/>
              </w:rPr>
            </w:pPr>
            <w:r w:rsidRPr="006421E2">
              <w:rPr>
                <w:lang w:val="en-US"/>
              </w:rPr>
              <w:t>0 (0)</w:t>
            </w:r>
          </w:p>
        </w:tc>
        <w:tc>
          <w:tcPr>
            <w:tcW w:w="1225" w:type="dxa"/>
          </w:tcPr>
          <w:p w14:paraId="4A7D81CE" w14:textId="77777777" w:rsidR="006421E2" w:rsidRPr="006421E2" w:rsidRDefault="006421E2" w:rsidP="006421E2">
            <w:pPr>
              <w:rPr>
                <w:lang w:val="en-US"/>
              </w:rPr>
            </w:pPr>
            <w:r w:rsidRPr="006421E2">
              <w:rPr>
                <w:lang w:val="en-US"/>
              </w:rPr>
              <w:t>1(0.3)</w:t>
            </w:r>
          </w:p>
        </w:tc>
      </w:tr>
      <w:tr w:rsidR="006421E2" w:rsidRPr="006421E2" w14:paraId="439B22B7" w14:textId="77777777" w:rsidTr="00007D7D">
        <w:trPr>
          <w:trHeight w:val="237"/>
        </w:trPr>
        <w:tc>
          <w:tcPr>
            <w:tcW w:w="2293" w:type="dxa"/>
          </w:tcPr>
          <w:p w14:paraId="5AB5844E" w14:textId="77777777" w:rsidR="006421E2" w:rsidRPr="006421E2" w:rsidRDefault="006421E2" w:rsidP="006421E2">
            <w:pPr>
              <w:rPr>
                <w:lang w:val="en-US"/>
              </w:rPr>
            </w:pPr>
            <w:r w:rsidRPr="006421E2">
              <w:rPr>
                <w:lang w:val="en-US"/>
              </w:rPr>
              <w:t>Tumor Lysis Syndrome</w:t>
            </w:r>
          </w:p>
        </w:tc>
        <w:tc>
          <w:tcPr>
            <w:tcW w:w="1313" w:type="dxa"/>
          </w:tcPr>
          <w:p w14:paraId="00A17CC1" w14:textId="77777777" w:rsidR="006421E2" w:rsidRPr="006421E2" w:rsidRDefault="006421E2" w:rsidP="006421E2">
            <w:pPr>
              <w:rPr>
                <w:lang w:val="en-US"/>
              </w:rPr>
            </w:pPr>
            <w:r w:rsidRPr="006421E2">
              <w:rPr>
                <w:lang w:val="en-US"/>
              </w:rPr>
              <w:t>0 (0)</w:t>
            </w:r>
          </w:p>
        </w:tc>
        <w:tc>
          <w:tcPr>
            <w:tcW w:w="1226" w:type="dxa"/>
          </w:tcPr>
          <w:p w14:paraId="4E3BB87A" w14:textId="77777777" w:rsidR="006421E2" w:rsidRPr="006421E2" w:rsidRDefault="006421E2" w:rsidP="006421E2">
            <w:pPr>
              <w:rPr>
                <w:lang w:val="en-US"/>
              </w:rPr>
            </w:pPr>
            <w:r w:rsidRPr="006421E2">
              <w:rPr>
                <w:lang w:val="en-US"/>
              </w:rPr>
              <w:t>0 (0)</w:t>
            </w:r>
          </w:p>
        </w:tc>
        <w:tc>
          <w:tcPr>
            <w:tcW w:w="1313" w:type="dxa"/>
          </w:tcPr>
          <w:p w14:paraId="6420FB48" w14:textId="77777777" w:rsidR="006421E2" w:rsidRPr="006421E2" w:rsidRDefault="006421E2" w:rsidP="006421E2">
            <w:pPr>
              <w:rPr>
                <w:lang w:val="en-US"/>
              </w:rPr>
            </w:pPr>
            <w:r w:rsidRPr="006421E2">
              <w:rPr>
                <w:lang w:val="en-US"/>
              </w:rPr>
              <w:t>1 (0.7)</w:t>
            </w:r>
          </w:p>
        </w:tc>
        <w:tc>
          <w:tcPr>
            <w:tcW w:w="1138" w:type="dxa"/>
          </w:tcPr>
          <w:p w14:paraId="6054F217" w14:textId="77777777" w:rsidR="006421E2" w:rsidRPr="006421E2" w:rsidRDefault="006421E2" w:rsidP="006421E2">
            <w:pPr>
              <w:rPr>
                <w:lang w:val="en-US"/>
              </w:rPr>
            </w:pPr>
            <w:r w:rsidRPr="006421E2">
              <w:rPr>
                <w:lang w:val="en-US"/>
              </w:rPr>
              <w:t>0 (0)</w:t>
            </w:r>
          </w:p>
        </w:tc>
        <w:tc>
          <w:tcPr>
            <w:tcW w:w="1225" w:type="dxa"/>
          </w:tcPr>
          <w:p w14:paraId="35D83CA4" w14:textId="77777777" w:rsidR="006421E2" w:rsidRPr="006421E2" w:rsidRDefault="006421E2" w:rsidP="006421E2">
            <w:pPr>
              <w:rPr>
                <w:lang w:val="en-US"/>
              </w:rPr>
            </w:pPr>
            <w:r w:rsidRPr="006421E2">
              <w:rPr>
                <w:lang w:val="en-US"/>
              </w:rPr>
              <w:t>1 (0.3)</w:t>
            </w:r>
          </w:p>
        </w:tc>
      </w:tr>
    </w:tbl>
    <w:p w14:paraId="318F96BB" w14:textId="64C5881A" w:rsidR="006421E2" w:rsidRPr="006421E2" w:rsidRDefault="00201B8A" w:rsidP="007D2F65">
      <w:pPr>
        <w:pStyle w:val="TableDescription"/>
      </w:pPr>
      <w:r>
        <w:t>Source: FDA table.</w:t>
      </w:r>
      <w:r>
        <w:rPr>
          <w:rStyle w:val="CommentReference"/>
          <w:b/>
        </w:rPr>
        <w:fldChar w:fldCharType="begin"/>
      </w:r>
      <w:r>
        <w:rPr>
          <w:rStyle w:val="CommentReference"/>
          <w:b/>
        </w:rPr>
        <w:instrText xml:space="preserve"> NOTEREF _Ref50554541 \f \h  \* MERGEFORMAT </w:instrText>
      </w:r>
      <w:r>
        <w:rPr>
          <w:rStyle w:val="CommentReference"/>
          <w:b/>
        </w:rPr>
      </w:r>
      <w:r>
        <w:rPr>
          <w:rStyle w:val="CommentReference"/>
          <w:b/>
        </w:rPr>
        <w:fldChar w:fldCharType="separate"/>
      </w:r>
      <w:r>
        <w:rPr>
          <w:rStyle w:val="FootnoteReference"/>
        </w:rPr>
        <w:t>12</w:t>
      </w:r>
      <w:r>
        <w:rPr>
          <w:rStyle w:val="CommentReference"/>
          <w:b/>
        </w:rPr>
        <w:fldChar w:fldCharType="end"/>
      </w:r>
    </w:p>
    <w:p w14:paraId="6C964C03" w14:textId="3C7206E8" w:rsidR="006421E2" w:rsidRPr="006421E2" w:rsidRDefault="006421E2" w:rsidP="007D2F65">
      <w:pPr>
        <w:pStyle w:val="Heading5"/>
      </w:pPr>
      <w:r w:rsidRPr="006421E2">
        <w:t>Adverse events of special interest</w:t>
      </w:r>
    </w:p>
    <w:p w14:paraId="5CEF0540" w14:textId="1719D268" w:rsidR="006421E2" w:rsidRPr="006421E2" w:rsidRDefault="006421E2" w:rsidP="006421E2">
      <w:r w:rsidRPr="006421E2">
        <w:t>A number of adverse events of special interest (AESI) were identified, based on scientific literature describing clinical experience, neurobiology/mechanism of action and safety profile</w:t>
      </w:r>
      <w:r w:rsidR="00A807DB">
        <w:t xml:space="preserve"> of drugs with similar targets.</w:t>
      </w:r>
    </w:p>
    <w:p w14:paraId="58A95352" w14:textId="5762F32F" w:rsidR="006421E2" w:rsidRPr="006421E2" w:rsidRDefault="006421E2" w:rsidP="007D2F65">
      <w:pPr>
        <w:pStyle w:val="Heading6"/>
      </w:pPr>
      <w:r w:rsidRPr="006421E2">
        <w:lastRenderedPageBreak/>
        <w:t>QT prolongation including sub-study of STARTRK-2</w:t>
      </w:r>
      <w:r w:rsidR="0094772D">
        <w:t xml:space="preserve"> trial</w:t>
      </w:r>
    </w:p>
    <w:p w14:paraId="72EE6048" w14:textId="00C040BB" w:rsidR="006421E2" w:rsidRPr="006421E2" w:rsidRDefault="006421E2" w:rsidP="006421E2">
      <w:r w:rsidRPr="006421E2">
        <w:t>In S</w:t>
      </w:r>
      <w:r w:rsidR="00FA045C">
        <w:t xml:space="preserve">tudy 1091319, the concentration </w:t>
      </w:r>
      <w:proofErr w:type="spellStart"/>
      <w:r w:rsidRPr="006421E2">
        <w:t>QTc</w:t>
      </w:r>
      <w:proofErr w:type="spellEnd"/>
      <w:r w:rsidRPr="006421E2">
        <w:t xml:space="preserve"> analysis did not demonstrate a relationship between increased plasma concent</w:t>
      </w:r>
      <w:r w:rsidR="00BC7CC5">
        <w:t xml:space="preserve">ration and prolongation of </w:t>
      </w:r>
      <w:proofErr w:type="spellStart"/>
      <w:r w:rsidR="00BC7CC5">
        <w:t>QTc</w:t>
      </w:r>
      <w:proofErr w:type="spellEnd"/>
      <w:r w:rsidR="00BC7CC5">
        <w:t>.</w:t>
      </w:r>
    </w:p>
    <w:p w14:paraId="3DF08EC9" w14:textId="2B6D4B6F" w:rsidR="006421E2" w:rsidRPr="006421E2" w:rsidRDefault="006421E2" w:rsidP="006421E2">
      <w:r w:rsidRPr="006421E2">
        <w:t>A cardiac ECG sub-study of STARTRK-2</w:t>
      </w:r>
      <w:r w:rsidR="0094772D">
        <w:t xml:space="preserve"> trial</w:t>
      </w:r>
      <w:r w:rsidRPr="006421E2">
        <w:t xml:space="preserve"> included all patients enrolled in STARTRK-2</w:t>
      </w:r>
      <w:r w:rsidR="0094772D">
        <w:t xml:space="preserve"> trial</w:t>
      </w:r>
      <w:r w:rsidRPr="006421E2">
        <w:t xml:space="preserve"> from US and Japanese sites (n</w:t>
      </w:r>
      <w:r w:rsidR="00F2463B">
        <w:t xml:space="preserve"> </w:t>
      </w:r>
      <w:r w:rsidRPr="006421E2">
        <w:t>=</w:t>
      </w:r>
      <w:r w:rsidR="00F2463B">
        <w:t xml:space="preserve"> </w:t>
      </w:r>
      <w:r w:rsidRPr="006421E2">
        <w:t>113). ECGs were performed at screening, throughout treatment cycles, end of treatment visits, and if clinically indicated. Readings were taken in triplicate and centrally assessed. A dedicated FDA review team concluded that no large (&gt;</w:t>
      </w:r>
      <w:r w:rsidR="00201B8A">
        <w:t> </w:t>
      </w:r>
      <w:r w:rsidRPr="006421E2">
        <w:t xml:space="preserve">20 </w:t>
      </w:r>
      <w:proofErr w:type="spellStart"/>
      <w:r w:rsidRPr="006421E2">
        <w:t>ms</w:t>
      </w:r>
      <w:proofErr w:type="spellEnd"/>
      <w:r w:rsidRPr="006421E2">
        <w:t xml:space="preserve">) </w:t>
      </w:r>
      <w:proofErr w:type="spellStart"/>
      <w:r w:rsidRPr="006421E2">
        <w:t>QTc</w:t>
      </w:r>
      <w:proofErr w:type="spellEnd"/>
      <w:r w:rsidRPr="006421E2">
        <w:t xml:space="preserve"> prolongation effect was observed, and the d</w:t>
      </w:r>
      <w:r w:rsidR="00E7212D">
        <w:t xml:space="preserve">ata did not support an exposure </w:t>
      </w:r>
      <w:r w:rsidRPr="006421E2">
        <w:t>response analysis due to the narrow exposure range and limitations of the PK/ECG sampling schedule. Therefore, the relevance of the observed prolongations in this sin</w:t>
      </w:r>
      <w:r w:rsidR="00E7212D">
        <w:t xml:space="preserve">gle </w:t>
      </w:r>
      <w:r w:rsidRPr="006421E2">
        <w:t>arm cohort is not clear.</w:t>
      </w:r>
    </w:p>
    <w:p w14:paraId="50A28CC3" w14:textId="1C19C222" w:rsidR="006421E2" w:rsidRPr="006421E2" w:rsidRDefault="006421E2" w:rsidP="006421E2">
      <w:r w:rsidRPr="006421E2">
        <w:t>Within the integrated safety population (n</w:t>
      </w:r>
      <w:r w:rsidR="00F2463B">
        <w:t xml:space="preserve"> </w:t>
      </w:r>
      <w:r w:rsidRPr="006421E2">
        <w:t>=</w:t>
      </w:r>
      <w:r w:rsidR="00F2463B">
        <w:t xml:space="preserve"> </w:t>
      </w:r>
      <w:r w:rsidRPr="006421E2">
        <w:t>355), of the patients who had at least one post-</w:t>
      </w:r>
      <w:r w:rsidR="00957601">
        <w:t>Baseline</w:t>
      </w:r>
      <w:r w:rsidRPr="006421E2">
        <w:t xml:space="preserve"> ECG assessment, 2.8% had </w:t>
      </w:r>
      <w:proofErr w:type="spellStart"/>
      <w:r w:rsidRPr="006421E2">
        <w:t>QTc</w:t>
      </w:r>
      <w:proofErr w:type="spellEnd"/>
      <w:r w:rsidRPr="006421E2">
        <w:t xml:space="preserve"> interval prolongation of &gt;</w:t>
      </w:r>
      <w:r w:rsidR="0023337E">
        <w:t xml:space="preserve"> </w:t>
      </w:r>
      <w:r w:rsidRPr="006421E2">
        <w:t xml:space="preserve">60 </w:t>
      </w:r>
      <w:proofErr w:type="spellStart"/>
      <w:r w:rsidRPr="006421E2">
        <w:t>ms</w:t>
      </w:r>
      <w:proofErr w:type="spellEnd"/>
      <w:r w:rsidRPr="006421E2">
        <w:t xml:space="preserve"> and 1.7% had a </w:t>
      </w:r>
      <w:proofErr w:type="spellStart"/>
      <w:r w:rsidRPr="006421E2">
        <w:t>QTc</w:t>
      </w:r>
      <w:proofErr w:type="spellEnd"/>
      <w:r w:rsidRPr="006421E2">
        <w:t xml:space="preserve"> interval &gt;</w:t>
      </w:r>
      <w:r w:rsidR="0023337E">
        <w:t xml:space="preserve"> </w:t>
      </w:r>
      <w:r w:rsidRPr="006421E2">
        <w:t xml:space="preserve">500 </w:t>
      </w:r>
      <w:proofErr w:type="spellStart"/>
      <w:r w:rsidRPr="006421E2">
        <w:t>ms</w:t>
      </w:r>
      <w:proofErr w:type="spellEnd"/>
      <w:r w:rsidRPr="006421E2">
        <w:t xml:space="preserve"> after starting entrectinib. Two patients had both features, and neither had confounders recorded in their narratives that wou</w:t>
      </w:r>
      <w:r w:rsidR="00BC7CC5">
        <w:t>ld explain the QT prolongation.</w:t>
      </w:r>
    </w:p>
    <w:p w14:paraId="06FEE338" w14:textId="6F4C9973" w:rsidR="006421E2" w:rsidRPr="006421E2" w:rsidRDefault="00D97822" w:rsidP="006421E2">
      <w:r>
        <w:t>The s</w:t>
      </w:r>
      <w:r w:rsidR="006421E2" w:rsidRPr="006421E2">
        <w:t>ponsor’s draft Australian PI includes Warning/Precaution text that addresses this, including the avoidance of use in patients with congenital long QT</w:t>
      </w:r>
      <w:r w:rsidR="008177E9">
        <w:t>;</w:t>
      </w:r>
      <w:r w:rsidR="006979D3">
        <w:fldChar w:fldCharType="begin"/>
      </w:r>
      <w:r w:rsidR="006979D3">
        <w:instrText xml:space="preserve"> NOTEREF _Ref50555702 \f \h </w:instrText>
      </w:r>
      <w:r w:rsidR="006979D3">
        <w:fldChar w:fldCharType="separate"/>
      </w:r>
      <w:r w:rsidR="005743D8" w:rsidRPr="005743D8">
        <w:rPr>
          <w:rStyle w:val="FootnoteReference"/>
        </w:rPr>
        <w:t>14</w:t>
      </w:r>
      <w:r w:rsidR="006979D3">
        <w:fldChar w:fldCharType="end"/>
      </w:r>
      <w:r w:rsidR="006421E2" w:rsidRPr="006421E2">
        <w:t xml:space="preserve"> or on QT prolonging medications; also reflective of trial exclusions. The draft text does not include clinically significant </w:t>
      </w:r>
      <w:proofErr w:type="spellStart"/>
      <w:r w:rsidR="006421E2" w:rsidRPr="006421E2">
        <w:t>bradyarrhythmias</w:t>
      </w:r>
      <w:proofErr w:type="spellEnd"/>
      <w:r w:rsidR="006421E2" w:rsidRPr="006421E2">
        <w:t>, or severe or uncontrolled heart failure (which is particularly significant, given this is another class of adverse event associated with entrectinib), and will req</w:t>
      </w:r>
      <w:r>
        <w:t>uire revision to include these.</w:t>
      </w:r>
    </w:p>
    <w:p w14:paraId="7B5F8EAB" w14:textId="7458D5AB" w:rsidR="006421E2" w:rsidRPr="006421E2" w:rsidRDefault="006421E2" w:rsidP="006421E2">
      <w:r w:rsidRPr="006421E2">
        <w:t>As the data don’t su</w:t>
      </w:r>
      <w:r w:rsidR="00E7212D">
        <w:t xml:space="preserve">pport an assessment of exposure </w:t>
      </w:r>
      <w:r w:rsidRPr="006421E2">
        <w:t xml:space="preserve">response, a recommendation for a specific time point for ECG monitoring is not considered warranted at this time, noting such recommendations are not present in </w:t>
      </w:r>
      <w:r w:rsidR="008177E9">
        <w:t>the EMA or FDA label documents.</w:t>
      </w:r>
    </w:p>
    <w:p w14:paraId="1BF12039" w14:textId="77777777" w:rsidR="006421E2" w:rsidRPr="006421E2" w:rsidRDefault="006421E2" w:rsidP="007D2F65">
      <w:pPr>
        <w:pStyle w:val="Heading6"/>
      </w:pPr>
      <w:bookmarkStart w:id="76" w:name="_Ref32852612"/>
      <w:r w:rsidRPr="006421E2">
        <w:t>Neurotoxicity</w:t>
      </w:r>
      <w:bookmarkEnd w:id="76"/>
    </w:p>
    <w:p w14:paraId="0C6DE5FB" w14:textId="10C2026F" w:rsidR="006421E2" w:rsidRPr="006421E2" w:rsidRDefault="006421E2" w:rsidP="006421E2">
      <w:r w:rsidRPr="006421E2">
        <w:t xml:space="preserve">Entrectinib is known to have CNS penetrance and based on its mechanism of action, neurological adverse events were predicted to occur. Adverse event terms were grouped by FDA clinical reviewers into clinically relevant categories as below. Neurotoxicity generally appeared to be manageable with dose changes: at the data cut-off, 60% of the reported events of neurotoxicity had resolved. A small number (8%) were treated with medications for the event. One patient discontinued due to neurotoxicity – this was a patient in </w:t>
      </w:r>
      <w:r w:rsidR="00201B8A">
        <w:t xml:space="preserve">the </w:t>
      </w:r>
      <w:r w:rsidRPr="006421E2">
        <w:t>STARTRK-2</w:t>
      </w:r>
      <w:r w:rsidR="0094772D">
        <w:t xml:space="preserve"> trial</w:t>
      </w:r>
      <w:r w:rsidRPr="006421E2">
        <w:t xml:space="preserve"> who had a </w:t>
      </w:r>
      <w:r w:rsidR="00F40A0C">
        <w:t>G</w:t>
      </w:r>
      <w:r w:rsidR="00F40A0C" w:rsidRPr="00A56ACE">
        <w:t>rade</w:t>
      </w:r>
      <w:r w:rsidRPr="006421E2">
        <w:t xml:space="preserve"> 1 hallucination soon after commencing treatment, with a gradual </w:t>
      </w:r>
      <w:r w:rsidR="008177E9">
        <w:t>decline in mental status until D</w:t>
      </w:r>
      <w:r w:rsidRPr="006421E2">
        <w:t xml:space="preserve">ay 9 when he ceased treatment due to </w:t>
      </w:r>
      <w:r w:rsidR="00F40A0C">
        <w:t>G</w:t>
      </w:r>
      <w:r w:rsidR="00F40A0C" w:rsidRPr="00A56ACE">
        <w:t>rade</w:t>
      </w:r>
      <w:r w:rsidRPr="006421E2">
        <w:t xml:space="preserve"> 3 cognitive disorder and concurrent </w:t>
      </w:r>
      <w:r w:rsidR="00F40A0C">
        <w:t>G</w:t>
      </w:r>
      <w:r w:rsidR="00F40A0C" w:rsidRPr="00A56ACE">
        <w:t>rade</w:t>
      </w:r>
      <w:r w:rsidRPr="006421E2">
        <w:t xml:space="preserve"> 3 pneumonia. Ten days later he developed </w:t>
      </w:r>
      <w:r w:rsidR="00F40A0C">
        <w:t>G</w:t>
      </w:r>
      <w:r w:rsidR="00F40A0C" w:rsidRPr="00A56ACE">
        <w:t>rade</w:t>
      </w:r>
      <w:r w:rsidRPr="006421E2">
        <w:t xml:space="preserve"> 2 agitation and </w:t>
      </w:r>
      <w:r w:rsidR="00F40A0C">
        <w:t>G</w:t>
      </w:r>
      <w:r w:rsidR="00F40A0C" w:rsidRPr="00A56ACE">
        <w:t>rade</w:t>
      </w:r>
      <w:r w:rsidRPr="006421E2">
        <w:t xml:space="preserve"> 1 </w:t>
      </w:r>
      <w:proofErr w:type="spellStart"/>
      <w:r w:rsidRPr="006421E2">
        <w:t>vasogenic</w:t>
      </w:r>
      <w:proofErr w:type="spellEnd"/>
      <w:r w:rsidRPr="006421E2">
        <w:t xml:space="preserve"> cerebral oedema, and an MRI two days later showed interval increase in the size of a </w:t>
      </w:r>
      <w:proofErr w:type="spellStart"/>
      <w:r w:rsidRPr="006421E2">
        <w:t>transcallosal</w:t>
      </w:r>
      <w:proofErr w:type="spellEnd"/>
      <w:r w:rsidRPr="006421E2">
        <w:t xml:space="preserve"> lesion. The presence of infection and CNS disease confound the causality of the </w:t>
      </w:r>
      <w:r w:rsidR="00F40A0C">
        <w:t>G</w:t>
      </w:r>
      <w:r w:rsidR="00F40A0C" w:rsidRPr="00A56ACE">
        <w:t>rade</w:t>
      </w:r>
      <w:r w:rsidRPr="006421E2">
        <w:t xml:space="preserve"> 3 cognitive disorder that led to discontinuation.</w:t>
      </w:r>
    </w:p>
    <w:p w14:paraId="6F1C754B" w14:textId="3ADF5544" w:rsidR="006421E2" w:rsidRPr="006421E2" w:rsidRDefault="006421E2" w:rsidP="006421E2">
      <w:r w:rsidRPr="006421E2">
        <w:t>The FDA reviewers found the incidence of CNS adverse reactions was not different between patients with and without CNS metastases. In patients with CNS metastases, however, they did note imbalances in reports of dizziness (38%</w:t>
      </w:r>
      <w:r w:rsidR="008177E9" w:rsidRPr="008177E9">
        <w:t xml:space="preserve"> </w:t>
      </w:r>
      <w:r w:rsidR="008177E9">
        <w:t>v</w:t>
      </w:r>
      <w:r w:rsidR="008177E9" w:rsidRPr="008177E9">
        <w:t>ersus</w:t>
      </w:r>
      <w:r w:rsidR="008177E9">
        <w:t xml:space="preserve"> 31%), headache (21% v</w:t>
      </w:r>
      <w:r w:rsidR="008177E9" w:rsidRPr="008177E9">
        <w:t>ersus</w:t>
      </w:r>
      <w:r w:rsidR="008177E9">
        <w:t xml:space="preserve"> 13%), paraesthesia (20%</w:t>
      </w:r>
      <w:r w:rsidR="008177E9" w:rsidRPr="008177E9">
        <w:t xml:space="preserve"> </w:t>
      </w:r>
      <w:r w:rsidR="008177E9">
        <w:t>v</w:t>
      </w:r>
      <w:r w:rsidR="008177E9" w:rsidRPr="008177E9">
        <w:t>ersus</w:t>
      </w:r>
      <w:r w:rsidR="008177E9">
        <w:t xml:space="preserve"> 6%), balance disorder (13% v</w:t>
      </w:r>
      <w:r w:rsidR="008177E9" w:rsidRPr="008177E9">
        <w:t>ersus</w:t>
      </w:r>
      <w:r w:rsidRPr="006421E2">
        <w:t xml:space="preserve"> 4%</w:t>
      </w:r>
      <w:r w:rsidR="008177E9">
        <w:t xml:space="preserve">) and </w:t>
      </w:r>
      <w:proofErr w:type="spellStart"/>
      <w:r w:rsidR="008177E9">
        <w:t>confusional</w:t>
      </w:r>
      <w:proofErr w:type="spellEnd"/>
      <w:r w:rsidR="008177E9">
        <w:t xml:space="preserve"> state (11% v</w:t>
      </w:r>
      <w:r w:rsidR="008177E9" w:rsidRPr="008177E9">
        <w:t>ersus</w:t>
      </w:r>
      <w:r w:rsidRPr="006421E2">
        <w:t xml:space="preserve"> 2%) when comparing those who had received prior CNS irradiation (n</w:t>
      </w:r>
      <w:r w:rsidR="00F2463B">
        <w:t xml:space="preserve"> </w:t>
      </w:r>
      <w:r w:rsidRPr="006421E2">
        <w:t>=</w:t>
      </w:r>
      <w:r w:rsidR="00F2463B">
        <w:t xml:space="preserve"> </w:t>
      </w:r>
      <w:r w:rsidRPr="006421E2">
        <w:t>90) to those who had not (n</w:t>
      </w:r>
      <w:r w:rsidR="00F2463B">
        <w:t xml:space="preserve"> </w:t>
      </w:r>
      <w:r w:rsidRPr="006421E2">
        <w:t>=</w:t>
      </w:r>
      <w:r w:rsidR="00F2463B">
        <w:t xml:space="preserve"> </w:t>
      </w:r>
      <w:r w:rsidRPr="006421E2">
        <w:t>48).</w:t>
      </w:r>
    </w:p>
    <w:p w14:paraId="15A4DFAF" w14:textId="388E1788" w:rsidR="006421E2" w:rsidRPr="006421E2" w:rsidRDefault="006421E2" w:rsidP="006421E2">
      <w:r w:rsidRPr="007B0C16">
        <w:rPr>
          <w:i/>
        </w:rPr>
        <w:t>Cognitive impairment</w:t>
      </w:r>
      <w:r w:rsidR="003D011C">
        <w:t xml:space="preserve">: </w:t>
      </w:r>
      <w:r w:rsidRPr="006421E2">
        <w:t xml:space="preserve">Cognitive impairment, including amnesia, aphasia, cognitive disorder, </w:t>
      </w:r>
      <w:proofErr w:type="spellStart"/>
      <w:r w:rsidRPr="006421E2">
        <w:t>confusional</w:t>
      </w:r>
      <w:proofErr w:type="spellEnd"/>
      <w:r w:rsidRPr="006421E2">
        <w:t xml:space="preserve"> state, delirium, disturbance in attention, hallucinations, visual hallucination, memory impairment, mental disorder and mental status changes, occurred in 27% of patients. Drug interruption, dose reduction, and discontinuation were required for 13%, 18% and 1% of p</w:t>
      </w:r>
      <w:r w:rsidR="0062311C">
        <w:t>atients, respectively.</w:t>
      </w:r>
    </w:p>
    <w:p w14:paraId="5900C2AD" w14:textId="083AFBF9" w:rsidR="006421E2" w:rsidRPr="006421E2" w:rsidRDefault="006421E2" w:rsidP="006421E2">
      <w:r w:rsidRPr="007B0C16">
        <w:rPr>
          <w:i/>
        </w:rPr>
        <w:lastRenderedPageBreak/>
        <w:t>Mood disorders</w:t>
      </w:r>
      <w:r w:rsidR="003D011C">
        <w:t xml:space="preserve">: </w:t>
      </w:r>
      <w:r w:rsidRPr="006421E2">
        <w:t>Mood disorders occurred in 10% of patients, including anxiety (4.8%), depression (2.8%) and agitation (2%). Grade 3 events occurred in 0.6% of patients (n</w:t>
      </w:r>
      <w:r w:rsidR="00F2463B">
        <w:t xml:space="preserve"> </w:t>
      </w:r>
      <w:r w:rsidRPr="006421E2">
        <w:t>=</w:t>
      </w:r>
      <w:r w:rsidR="00F2463B">
        <w:t xml:space="preserve"> </w:t>
      </w:r>
      <w:r w:rsidRPr="006421E2">
        <w:t>2), and one patient completed suicide 11 days after the last dose of entrectinib (ceased due to disease progression). Dose interruption and reduction each occurred in 6% of patients with mood disorders.</w:t>
      </w:r>
    </w:p>
    <w:p w14:paraId="6A05DF80" w14:textId="62BBA33D" w:rsidR="006421E2" w:rsidRPr="006421E2" w:rsidRDefault="006421E2" w:rsidP="006421E2">
      <w:r w:rsidRPr="007B0C16">
        <w:rPr>
          <w:i/>
        </w:rPr>
        <w:t>Dizziness, syncope, ataxia, gait disturbance and hypotension</w:t>
      </w:r>
      <w:r w:rsidR="003D011C">
        <w:t xml:space="preserve">: </w:t>
      </w:r>
      <w:r w:rsidRPr="006421E2">
        <w:t>In 108 out of 135 reported cases of dizziness, underlying explanatory causes were not identified by clinical review of narratives, and entrectinib causality is considered reasonably plausible. Syncope was reported in 14 case</w:t>
      </w:r>
      <w:r w:rsidR="00EA3A0D">
        <w:t xml:space="preserve">s, around half confounded (for example, </w:t>
      </w:r>
      <w:r w:rsidRPr="006421E2">
        <w:t xml:space="preserve">hypotension and/or dehydration, QT prolongation, cardiac disease with medical history of arrest, and </w:t>
      </w:r>
      <w:proofErr w:type="spellStart"/>
      <w:r w:rsidRPr="006421E2">
        <w:t>Prinzmetal’s</w:t>
      </w:r>
      <w:proofErr w:type="spellEnd"/>
      <w:r w:rsidRPr="006421E2">
        <w:t xml:space="preserve"> angina). Ataxia was reported in 17 cases and gait disturbance in 24 cases: for most of these patients multiple other events were concurrently reported (such as vertigo, insomnia, fatigue, cognitive disturbance and confusion), suggesting</w:t>
      </w:r>
      <w:r w:rsidR="00E7212D">
        <w:t xml:space="preserve"> presentation of an entrectinib </w:t>
      </w:r>
      <w:r w:rsidR="00901ADE">
        <w:t>related neurological syndrome.</w:t>
      </w:r>
    </w:p>
    <w:p w14:paraId="7E5C2FC0" w14:textId="77777777" w:rsidR="006421E2" w:rsidRPr="006421E2" w:rsidRDefault="006421E2" w:rsidP="006421E2">
      <w:r w:rsidRPr="006421E2">
        <w:t>Hypotension mostly occurred in conjunction with explanatory factors such as dehydration, diarrhoea, vomiting, acute infections, and cardiac events.</w:t>
      </w:r>
    </w:p>
    <w:p w14:paraId="030EB60C" w14:textId="7D37E477" w:rsidR="006421E2" w:rsidRPr="006421E2" w:rsidRDefault="006421E2" w:rsidP="006421E2">
      <w:r w:rsidRPr="007B0C16">
        <w:rPr>
          <w:i/>
        </w:rPr>
        <w:t>Sleep disturbances</w:t>
      </w:r>
      <w:r w:rsidR="003D011C">
        <w:t xml:space="preserve">: </w:t>
      </w:r>
      <w:r w:rsidRPr="006421E2">
        <w:t xml:space="preserve">Sleep disturbance was reported in 14% of patients, including reports of insomnia (7%), somnolence (7%), hypersomnia (1.1%), and sleep disorder (0.3%). Two patients reported </w:t>
      </w:r>
      <w:r w:rsidR="00F40A0C">
        <w:t>G</w:t>
      </w:r>
      <w:r w:rsidR="00F40A0C" w:rsidRPr="00A56ACE">
        <w:t>rade</w:t>
      </w:r>
      <w:r w:rsidRPr="006421E2">
        <w:t xml:space="preserve"> 3 events, and entrectinib dose was reduced in 6%.</w:t>
      </w:r>
    </w:p>
    <w:p w14:paraId="25C26F10" w14:textId="7171DC90" w:rsidR="006421E2" w:rsidRPr="006421E2" w:rsidRDefault="006421E2" w:rsidP="006421E2">
      <w:r w:rsidRPr="007B0C16">
        <w:rPr>
          <w:i/>
        </w:rPr>
        <w:t>Dyspnoea</w:t>
      </w:r>
      <w:r w:rsidR="003D011C">
        <w:t xml:space="preserve">: </w:t>
      </w:r>
      <w:r w:rsidRPr="006421E2">
        <w:t>Adverse events of dyspnoea were reported in 106 patients (30%), and for around half these cases, no clear alternative aetiology or underlying cause was apparent from case review. The FDA concluded these were likely to be entrectinib related.</w:t>
      </w:r>
      <w:r w:rsidR="00F565FC">
        <w:fldChar w:fldCharType="begin"/>
      </w:r>
      <w:r w:rsidR="00F565FC">
        <w:instrText xml:space="preserve"> NOTEREF _Ref53476754 \f \h </w:instrText>
      </w:r>
      <w:r w:rsidR="00F565FC">
        <w:fldChar w:fldCharType="separate"/>
      </w:r>
      <w:r w:rsidR="00F565FC" w:rsidRPr="007D2F65">
        <w:rPr>
          <w:rStyle w:val="FootnoteReference"/>
        </w:rPr>
        <w:t>12</w:t>
      </w:r>
      <w:r w:rsidR="00F565FC">
        <w:fldChar w:fldCharType="end"/>
      </w:r>
      <w:r w:rsidRPr="006421E2">
        <w:t xml:space="preserve"> There was not a higher rate of </w:t>
      </w:r>
      <w:proofErr w:type="spellStart"/>
      <w:r w:rsidRPr="006421E2">
        <w:t>dypsnoea</w:t>
      </w:r>
      <w:proofErr w:type="spellEnd"/>
      <w:r w:rsidRPr="006421E2">
        <w:t xml:space="preserve"> with NSCLC compared to other tumours, suggesting primary histology was not a risk factor for </w:t>
      </w:r>
      <w:r w:rsidR="00E7212D">
        <w:t xml:space="preserve">dyspnoea. Whether these are CNS </w:t>
      </w:r>
      <w:r w:rsidRPr="006421E2">
        <w:t>attributable is unclear.</w:t>
      </w:r>
    </w:p>
    <w:p w14:paraId="2F2B7415" w14:textId="77777777" w:rsidR="006421E2" w:rsidRPr="00D97822" w:rsidRDefault="006421E2" w:rsidP="007D2F65">
      <w:pPr>
        <w:pStyle w:val="Heading6"/>
      </w:pPr>
      <w:r w:rsidRPr="00D97822">
        <w:t>Congestive heart failure</w:t>
      </w:r>
    </w:p>
    <w:p w14:paraId="3111171B" w14:textId="0E682C59" w:rsidR="006421E2" w:rsidRPr="006421E2" w:rsidRDefault="006421E2" w:rsidP="006421E2">
      <w:r w:rsidRPr="006421E2">
        <w:t>There were 12 events (3.4%) consistent with congestive heart failure in the integrated safety population (n</w:t>
      </w:r>
      <w:r w:rsidR="00F2463B">
        <w:t xml:space="preserve"> </w:t>
      </w:r>
      <w:r w:rsidRPr="006421E2">
        <w:t>=</w:t>
      </w:r>
      <w:r w:rsidR="00F2463B">
        <w:t xml:space="preserve"> </w:t>
      </w:r>
      <w:r w:rsidRPr="006421E2">
        <w:t xml:space="preserve">355), 8 of which were </w:t>
      </w:r>
      <w:r w:rsidR="00F40A0C">
        <w:t>G</w:t>
      </w:r>
      <w:r w:rsidR="00F40A0C" w:rsidRPr="00A56ACE">
        <w:t>rade</w:t>
      </w:r>
      <w:r w:rsidRPr="006421E2">
        <w:t xml:space="preserve"> 3 (2.3%). These cases included:</w:t>
      </w:r>
    </w:p>
    <w:p w14:paraId="77B0399A" w14:textId="798D2716" w:rsidR="006421E2" w:rsidRPr="006421E2" w:rsidRDefault="006421E2" w:rsidP="0062311C">
      <w:pPr>
        <w:pStyle w:val="ListBullet"/>
      </w:pPr>
      <w:r w:rsidRPr="006421E2">
        <w:t>de</w:t>
      </w:r>
      <w:r w:rsidR="00F2463B">
        <w:t>creased ejection fraction (EF) (</w:t>
      </w:r>
      <w:r w:rsidRPr="006421E2">
        <w:t>n</w:t>
      </w:r>
      <w:r w:rsidR="00F2463B">
        <w:t xml:space="preserve"> </w:t>
      </w:r>
      <w:r w:rsidRPr="006421E2">
        <w:t>=</w:t>
      </w:r>
      <w:r w:rsidR="00F2463B">
        <w:t xml:space="preserve"> 4)</w:t>
      </w:r>
      <w:r w:rsidRPr="006421E2">
        <w:t xml:space="preserve">, two of which were </w:t>
      </w:r>
      <w:r w:rsidR="00F40A0C">
        <w:t>G</w:t>
      </w:r>
      <w:r w:rsidR="00F40A0C" w:rsidRPr="00A56ACE">
        <w:t>rade</w:t>
      </w:r>
      <w:r w:rsidRPr="006421E2">
        <w:t xml:space="preserve"> 3</w:t>
      </w:r>
    </w:p>
    <w:p w14:paraId="3E9EBE22" w14:textId="438D5D40" w:rsidR="006421E2" w:rsidRPr="006421E2" w:rsidRDefault="00F2463B" w:rsidP="0062311C">
      <w:pPr>
        <w:pStyle w:val="ListBullet"/>
      </w:pPr>
      <w:r>
        <w:t>pulmonary oedema (</w:t>
      </w:r>
      <w:r w:rsidR="00EA3A0D">
        <w:t>n</w:t>
      </w:r>
      <w:r>
        <w:t xml:space="preserve"> </w:t>
      </w:r>
      <w:r w:rsidR="00EA3A0D">
        <w:t>=</w:t>
      </w:r>
      <w:r>
        <w:t xml:space="preserve"> 4)</w:t>
      </w:r>
    </w:p>
    <w:p w14:paraId="6AF0FB7C" w14:textId="021A4FFD" w:rsidR="006421E2" w:rsidRPr="006421E2" w:rsidRDefault="00F2463B" w:rsidP="0062311C">
      <w:pPr>
        <w:pStyle w:val="ListBullet"/>
      </w:pPr>
      <w:r>
        <w:t>cardiac failure (</w:t>
      </w:r>
      <w:r w:rsidR="006421E2" w:rsidRPr="006421E2">
        <w:t>n</w:t>
      </w:r>
      <w:r>
        <w:t xml:space="preserve"> </w:t>
      </w:r>
      <w:r w:rsidR="006421E2" w:rsidRPr="006421E2">
        <w:t>=</w:t>
      </w:r>
      <w:r>
        <w:t xml:space="preserve"> 3)</w:t>
      </w:r>
    </w:p>
    <w:p w14:paraId="39ECBBC8" w14:textId="30B99A8E" w:rsidR="006421E2" w:rsidRPr="006421E2" w:rsidRDefault="00F2463B" w:rsidP="0062311C">
      <w:pPr>
        <w:pStyle w:val="ListBullet"/>
      </w:pPr>
      <w:r>
        <w:t>congestive cardiac failure (</w:t>
      </w:r>
      <w:r w:rsidR="006421E2" w:rsidRPr="006421E2">
        <w:t>n</w:t>
      </w:r>
      <w:r>
        <w:t xml:space="preserve"> </w:t>
      </w:r>
      <w:r w:rsidR="006421E2" w:rsidRPr="006421E2">
        <w:t>=</w:t>
      </w:r>
      <w:r>
        <w:t xml:space="preserve"> 3)</w:t>
      </w:r>
    </w:p>
    <w:p w14:paraId="49ECCBAF" w14:textId="2301B93A" w:rsidR="006421E2" w:rsidRPr="006421E2" w:rsidRDefault="006421E2" w:rsidP="0062311C">
      <w:pPr>
        <w:pStyle w:val="ListBullet"/>
      </w:pPr>
      <w:r w:rsidRPr="006421E2">
        <w:t>acute right ventricular failure, cardiogenic shock a</w:t>
      </w:r>
      <w:r w:rsidR="00F2463B">
        <w:t>nd chronic ventricular failure (each n = 1)</w:t>
      </w:r>
    </w:p>
    <w:p w14:paraId="1C4EE539" w14:textId="7EFEA1A5" w:rsidR="006421E2" w:rsidRPr="006421E2" w:rsidRDefault="006421E2" w:rsidP="006421E2">
      <w:r w:rsidRPr="006421E2">
        <w:t xml:space="preserve">Eight of these heart failure events were </w:t>
      </w:r>
      <w:r w:rsidR="00F40A0C">
        <w:t>G</w:t>
      </w:r>
      <w:r w:rsidR="00F40A0C" w:rsidRPr="00A56ACE">
        <w:t>rade</w:t>
      </w:r>
      <w:r w:rsidRPr="006421E2">
        <w:t xml:space="preserve"> 3 in severity, and seven were serious, all of whom presented with dyspnoea or fluid overload, and five of whom were treated with systemic diuretics.</w:t>
      </w:r>
    </w:p>
    <w:p w14:paraId="19BC7DB9" w14:textId="08CF8185" w:rsidR="006421E2" w:rsidRPr="006421E2" w:rsidRDefault="006421E2" w:rsidP="006421E2">
      <w:r w:rsidRPr="006421E2">
        <w:t>As described in the FDA review:</w:t>
      </w:r>
      <w:r w:rsidR="00EA3A0D">
        <w:fldChar w:fldCharType="begin"/>
      </w:r>
      <w:r w:rsidR="00EA3A0D">
        <w:instrText xml:space="preserve"> NOTEREF _Ref50554541 \f \h </w:instrText>
      </w:r>
      <w:r w:rsidR="00EA3A0D">
        <w:fldChar w:fldCharType="separate"/>
      </w:r>
      <w:r w:rsidR="005743D8" w:rsidRPr="005743D8">
        <w:rPr>
          <w:rStyle w:val="FootnoteReference"/>
        </w:rPr>
        <w:t>12</w:t>
      </w:r>
      <w:r w:rsidR="00EA3A0D">
        <w:fldChar w:fldCharType="end"/>
      </w:r>
    </w:p>
    <w:p w14:paraId="6F2FD6A7" w14:textId="6B77E0AD" w:rsidR="006421E2" w:rsidRPr="0059218E" w:rsidRDefault="00140D98" w:rsidP="00140D98">
      <w:pPr>
        <w:ind w:left="720"/>
      </w:pPr>
      <w:r>
        <w:t>‘</w:t>
      </w:r>
      <w:r w:rsidR="006421E2" w:rsidRPr="00351F3A">
        <w:t xml:space="preserve">Entrectinib was interrupted in 3 patients, reduced in 1 patient, and withdrawn in 3 patients. Five of 7 patients with serious congestive heart failure events recovered. Per the summary of clinical safety, of the 12 patients with congestive heart failure events, 7 patients had a past medical cardiac history at </w:t>
      </w:r>
      <w:r w:rsidR="00957601">
        <w:t>Baseline</w:t>
      </w:r>
      <w:r w:rsidR="006421E2" w:rsidRPr="00351F3A">
        <w:t xml:space="preserve"> and/or concurrent conditions that may have predisposed them to congestive cardiac failure events. Overall, congestive heart failure events were generally manageable with entrectinib dose interruption or reduction.</w:t>
      </w:r>
    </w:p>
    <w:p w14:paraId="194ACA91" w14:textId="607060BE" w:rsidR="006421E2" w:rsidRPr="00140D98" w:rsidRDefault="006421E2" w:rsidP="00525F23">
      <w:pPr>
        <w:ind w:left="720"/>
      </w:pPr>
      <w:r w:rsidRPr="00140D98">
        <w:t>One Grade 5 adverse event of cardiogenic shock was r</w:t>
      </w:r>
      <w:r w:rsidR="002549AE">
        <w:t>eported in a patient with NSCLC</w:t>
      </w:r>
      <w:r w:rsidRPr="00140D98">
        <w:t xml:space="preserve"> due to pericardial effusion and pericardial tamponade. The patient </w:t>
      </w:r>
      <w:r w:rsidRPr="00140D98">
        <w:lastRenderedPageBreak/>
        <w:t xml:space="preserve">developed cardiogenic shock two days after starting entrectinib and died. It was noted that the patient had suspected pericardial, bilateral pleural, omental and peritoneal </w:t>
      </w:r>
      <w:proofErr w:type="spellStart"/>
      <w:r w:rsidRPr="00140D98">
        <w:t>carcinomatosis</w:t>
      </w:r>
      <w:proofErr w:type="spellEnd"/>
      <w:r w:rsidRPr="00140D98">
        <w:t xml:space="preserve"> at </w:t>
      </w:r>
      <w:r w:rsidR="00957601">
        <w:t>Baseline</w:t>
      </w:r>
      <w:r w:rsidRPr="00140D98">
        <w:t>, as well as diffused lung, liver, and bone metastases. This patient was not included in the analysis of cardiac events because Genentech did not consider the adverse event to be drug related, and instead attributed the AE to underlying disease.</w:t>
      </w:r>
    </w:p>
    <w:p w14:paraId="277F816A" w14:textId="06FAE73E" w:rsidR="006979D3" w:rsidRDefault="006421E2" w:rsidP="00525F23">
      <w:pPr>
        <w:ind w:left="720"/>
      </w:pPr>
      <w:r w:rsidRPr="00140D98">
        <w:t>One Grade 4 AE of eosinophilic myocarditis was reported in a 40 year old male… with metastatic NSCLC after receiving treatment with one do</w:t>
      </w:r>
      <w:r w:rsidR="002B37D6">
        <w:t xml:space="preserve">se of </w:t>
      </w:r>
      <w:proofErr w:type="spellStart"/>
      <w:r w:rsidR="002B37D6">
        <w:t>entrectenib</w:t>
      </w:r>
      <w:proofErr w:type="spellEnd"/>
      <w:r w:rsidR="002B37D6">
        <w:t xml:space="preserve"> at 800mg/</w:t>
      </w:r>
      <w:r w:rsidR="002B37D6" w:rsidRPr="00A73D84">
        <w:t>m</w:t>
      </w:r>
      <w:r w:rsidR="002B37D6" w:rsidRPr="002C5CF2">
        <w:rPr>
          <w:vertAlign w:val="superscript"/>
        </w:rPr>
        <w:t>2</w:t>
      </w:r>
      <w:r w:rsidR="00140D98">
        <w:t>.</w:t>
      </w:r>
    </w:p>
    <w:p w14:paraId="5F2D1286" w14:textId="6C0218D5" w:rsidR="006421E2" w:rsidRPr="00351F3A" w:rsidRDefault="00182936" w:rsidP="00525F23">
      <w:pPr>
        <w:ind w:left="720"/>
      </w:pPr>
      <w:r w:rsidRPr="00351F3A">
        <w:t>…</w:t>
      </w:r>
    </w:p>
    <w:p w14:paraId="5F2C8541" w14:textId="183A7026" w:rsidR="006421E2" w:rsidRPr="00351F3A" w:rsidRDefault="006421E2" w:rsidP="00525F23">
      <w:pPr>
        <w:ind w:left="720"/>
      </w:pPr>
      <w:r w:rsidRPr="00351F3A">
        <w:t xml:space="preserve">Congestive heart failure (CHF) was added to the </w:t>
      </w:r>
      <w:r w:rsidR="00EA3A0D">
        <w:t>warnings and precautions</w:t>
      </w:r>
      <w:r w:rsidR="00EA3A0D" w:rsidRPr="00351F3A">
        <w:t xml:space="preserve"> </w:t>
      </w:r>
      <w:r w:rsidR="00EA3A0D">
        <w:t>(</w:t>
      </w:r>
      <w:r w:rsidRPr="00351F3A">
        <w:t>W&amp;P</w:t>
      </w:r>
      <w:r w:rsidR="00EA3A0D">
        <w:t>)</w:t>
      </w:r>
      <w:r w:rsidRPr="00351F3A">
        <w:t xml:space="preserve"> section of the entrectinib product label because CHF is a serious adverse event. Although it is challenging to assess relatedness of cardiac events to </w:t>
      </w:r>
      <w:proofErr w:type="spellStart"/>
      <w:r w:rsidRPr="00351F3A">
        <w:t>entrecten</w:t>
      </w:r>
      <w:r w:rsidRPr="0059218E">
        <w:t>ib</w:t>
      </w:r>
      <w:proofErr w:type="spellEnd"/>
      <w:r w:rsidRPr="0059218E">
        <w:t xml:space="preserve"> based on the </w:t>
      </w:r>
      <w:r w:rsidR="002549AE">
        <w:t xml:space="preserve">single arm trials and most of </w:t>
      </w:r>
      <w:r w:rsidRPr="0059218E">
        <w:t>the affected patients had a prior medical history of cardiac risk factors, it is unusual to observe clinically detected CHF at an incidence of 2.3% even in clinical trials enrolling patients with refractory c</w:t>
      </w:r>
      <w:r w:rsidRPr="00140D98">
        <w:t xml:space="preserve">ancers. [One patient in STARTRK-1], who developed Grade 4 myocarditis, had a biopsy consistent with eosinophilic myocarditis possibly related to entrectinib as this is an unusual adverse event for which no such events are expected in clinical trials. A post marketing requirement (PMR) will be conducted by Genentech to further assess the contribution of </w:t>
      </w:r>
      <w:proofErr w:type="spellStart"/>
      <w:r w:rsidRPr="00140D98">
        <w:t>entrectenib</w:t>
      </w:r>
      <w:proofErr w:type="spellEnd"/>
      <w:r w:rsidRPr="00140D98">
        <w:t xml:space="preserve"> to cardiac risk and characterize cardiac adverse events. Genentech plans to conduct additional assessments for left ventricular ejection fraction (LV</w:t>
      </w:r>
      <w:r w:rsidR="00783133" w:rsidRPr="00140D98">
        <w:t xml:space="preserve"> ECOG no worse than 2</w:t>
      </w:r>
      <w:r w:rsidRPr="00140D98">
        <w:t>) at screening and Cycle 3 Day 1 in clinical trial(s) of entrectinib to better assess cardiac function prior to and during treatment.</w:t>
      </w:r>
      <w:r w:rsidR="00140D98">
        <w:t>’</w:t>
      </w:r>
    </w:p>
    <w:p w14:paraId="4A010201" w14:textId="1AF3B1E0" w:rsidR="006421E2" w:rsidRPr="006421E2" w:rsidRDefault="006421E2" w:rsidP="006421E2">
      <w:r w:rsidRPr="006421E2">
        <w:t xml:space="preserve">Congestive heart failure has been included in the draft Australian </w:t>
      </w:r>
      <w:r w:rsidR="002549AE">
        <w:t>PI</w:t>
      </w:r>
      <w:r w:rsidRPr="006421E2">
        <w:t xml:space="preserve"> under warnings/precautions, but the text is very limited by comparison to the detail included in the FDA label.</w:t>
      </w:r>
    </w:p>
    <w:p w14:paraId="23B6AFB7" w14:textId="77777777" w:rsidR="006421E2" w:rsidRPr="006421E2" w:rsidRDefault="006421E2" w:rsidP="007D2F65">
      <w:pPr>
        <w:pStyle w:val="Heading6"/>
      </w:pPr>
      <w:r w:rsidRPr="006421E2">
        <w:t>Vision disorders</w:t>
      </w:r>
    </w:p>
    <w:p w14:paraId="327FC0AB" w14:textId="77777777" w:rsidR="006421E2" w:rsidRPr="006421E2" w:rsidRDefault="006421E2" w:rsidP="006421E2">
      <w:r w:rsidRPr="006421E2">
        <w:t>Preclinical data indicated that entrectinib could cause neutrophil infiltrates of corneal stroma and single cell necrosis of the corneal epithelium, and eye examinations were included in all ongoing clinical trials.</w:t>
      </w:r>
    </w:p>
    <w:p w14:paraId="6A0F3B02" w14:textId="15928ABE" w:rsidR="006421E2" w:rsidRPr="006421E2" w:rsidRDefault="006421E2" w:rsidP="006421E2">
      <w:r w:rsidRPr="006421E2">
        <w:t xml:space="preserve">Visual disorders were reported in 21% of the integrated safety population; most cases were </w:t>
      </w:r>
      <w:r w:rsidR="00F40A0C">
        <w:t>G</w:t>
      </w:r>
      <w:r w:rsidR="00F40A0C" w:rsidRPr="00A56ACE">
        <w:t>rade</w:t>
      </w:r>
      <w:r w:rsidRPr="006421E2">
        <w:t xml:space="preserve"> 1, with 14% </w:t>
      </w:r>
      <w:r w:rsidR="00F40A0C">
        <w:t>G</w:t>
      </w:r>
      <w:r w:rsidR="00F40A0C" w:rsidRPr="00A56ACE">
        <w:t>rade</w:t>
      </w:r>
      <w:r w:rsidRPr="006421E2">
        <w:t xml:space="preserve"> 2 and 0.8% </w:t>
      </w:r>
      <w:r w:rsidR="00F40A0C">
        <w:t>G</w:t>
      </w:r>
      <w:r w:rsidR="00F40A0C" w:rsidRPr="00A56ACE">
        <w:t>rade</w:t>
      </w:r>
      <w:r w:rsidRPr="006421E2">
        <w:t xml:space="preserve"> 3 severity. The disorders spanned a range of events: The spectrum of AEs related to visio</w:t>
      </w:r>
      <w:r w:rsidR="005A1349">
        <w:t xml:space="preserve">n disorders including blurred </w:t>
      </w:r>
      <w:r w:rsidRPr="006421E2">
        <w:t xml:space="preserve">vision (9%), photophobia (5%), diplopia (3.1%), visual impairment (2%), </w:t>
      </w:r>
      <w:proofErr w:type="spellStart"/>
      <w:r w:rsidRPr="006421E2">
        <w:t>photopsia</w:t>
      </w:r>
      <w:proofErr w:type="spellEnd"/>
      <w:r w:rsidRPr="006421E2">
        <w:t xml:space="preserve"> (1.3%), vitreous floaters (1.1%), cataract (1.1%), vitreous detachment (0.8%) and 1 patient (0.3%) each with vitreous adhesions, blindness, corneal erosion, keratitis and retinal haemorrhage. Periorbital </w:t>
      </w:r>
      <w:proofErr w:type="spellStart"/>
      <w:r w:rsidRPr="006421E2">
        <w:t>edema</w:t>
      </w:r>
      <w:proofErr w:type="spellEnd"/>
      <w:r w:rsidRPr="006421E2">
        <w:t xml:space="preserve"> and eyelid swelling also occurred. Entrectinib was continued in most cases.</w:t>
      </w:r>
    </w:p>
    <w:p w14:paraId="6557A23A" w14:textId="11FB9BF8" w:rsidR="006421E2" w:rsidRPr="006421E2" w:rsidRDefault="006421E2" w:rsidP="006421E2">
      <w:r w:rsidRPr="006421E2">
        <w:t xml:space="preserve">An FDA ophthalmology review advised that severe visual disturbances were unlikely to be related to a direct effect on the eye, and were more likely to be related to CNS metastases or the effect of entrectinib on the CNS (similarly to </w:t>
      </w:r>
      <w:proofErr w:type="spellStart"/>
      <w:r w:rsidRPr="006421E2">
        <w:t>crizotinib</w:t>
      </w:r>
      <w:proofErr w:type="spellEnd"/>
      <w:r w:rsidRPr="006421E2">
        <w:t>).</w:t>
      </w:r>
    </w:p>
    <w:p w14:paraId="6DF7777D" w14:textId="6D15EC53" w:rsidR="006421E2" w:rsidRPr="006421E2" w:rsidRDefault="006421E2" w:rsidP="006421E2">
      <w:r w:rsidRPr="006421E2">
        <w:t xml:space="preserve">Entrectinib causality is considered likely for many of the visual disorders reported, based on biological plausibility, the observed neurological effects in other organ systems, positive temporality, and a number of positive </w:t>
      </w:r>
      <w:proofErr w:type="spellStart"/>
      <w:r w:rsidRPr="006421E2">
        <w:t>dechallenges</w:t>
      </w:r>
      <w:proofErr w:type="spellEnd"/>
      <w:r w:rsidRPr="006421E2">
        <w:t xml:space="preserve">. In addition to CNS effects, a subset of the observed events are consistent with dry eye syndrome or allergic response, whilst the remainder of events were considered attributable to normal </w:t>
      </w:r>
      <w:r w:rsidR="007F1C26">
        <w:t>aging.</w:t>
      </w:r>
    </w:p>
    <w:p w14:paraId="49AFF03E" w14:textId="77777777" w:rsidR="006421E2" w:rsidRPr="006421E2" w:rsidRDefault="006421E2" w:rsidP="007D2F65">
      <w:pPr>
        <w:pStyle w:val="Heading6"/>
      </w:pPr>
      <w:bookmarkStart w:id="77" w:name="_Ref31296632"/>
      <w:r w:rsidRPr="006421E2">
        <w:lastRenderedPageBreak/>
        <w:t>Skeletal fractures</w:t>
      </w:r>
      <w:bookmarkEnd w:id="77"/>
    </w:p>
    <w:p w14:paraId="7DA061D9" w14:textId="323E1976" w:rsidR="006421E2" w:rsidRPr="006421E2" w:rsidRDefault="006421E2" w:rsidP="006421E2">
      <w:r w:rsidRPr="006421E2">
        <w:t>In addition to central roles in nervous system development and maintenance, TRKA, TRKB and TRKC are also implicated in skeletal tissue formation and healing. Particularly, TRKA signalling is required for communication between osteoblasts and sensory nerves during load</w:t>
      </w:r>
      <w:r w:rsidR="00E7212D">
        <w:t xml:space="preserve"> </w:t>
      </w:r>
      <w:r w:rsidR="00901ADE">
        <w:t>induced bone formation in mice.</w:t>
      </w:r>
      <w:r w:rsidR="00901ADE">
        <w:rPr>
          <w:rStyle w:val="FootnoteReference"/>
        </w:rPr>
        <w:footnoteReference w:id="31"/>
      </w:r>
      <w:r w:rsidR="00901ADE" w:rsidRPr="006421E2">
        <w:t xml:space="preserve"> </w:t>
      </w:r>
      <w:r w:rsidRPr="006421E2">
        <w:t>Neither fractures nor tooth problems were observed with entrectinib in toxicology studies.</w:t>
      </w:r>
    </w:p>
    <w:p w14:paraId="0CD6AE2F" w14:textId="33FE334B" w:rsidR="006421E2" w:rsidRPr="006421E2" w:rsidRDefault="006421E2" w:rsidP="006421E2">
      <w:r w:rsidRPr="006421E2">
        <w:t>Reports of bilateral femoral neck fractures in paediatric patients presented at the annual American Society of Clinical</w:t>
      </w:r>
      <w:r w:rsidR="002549AE">
        <w:t xml:space="preserve"> Oncology meeting in June 2019;</w:t>
      </w:r>
      <w:r w:rsidR="0010500F">
        <w:rPr>
          <w:rStyle w:val="FootnoteReference"/>
        </w:rPr>
        <w:footnoteReference w:id="32"/>
      </w:r>
      <w:r w:rsidR="0010500F">
        <w:t xml:space="preserve"> </w:t>
      </w:r>
      <w:r w:rsidRPr="006421E2">
        <w:t>prompted additional scrutiny of this concern. A signal analysis was requested by FDA and performed by the sponsor using data from 528 patients (498 adults and 30 patients under 18 years of age) treated up until 8 Mar</w:t>
      </w:r>
      <w:r w:rsidR="0031218C">
        <w:t>ch</w:t>
      </w:r>
      <w:r w:rsidRPr="006421E2">
        <w:t xml:space="preserve"> 2019 in ALKA or STARTRK-1</w:t>
      </w:r>
      <w:r w:rsidR="00654B14">
        <w:t xml:space="preserve"> trial</w:t>
      </w:r>
      <w:r w:rsidRPr="006421E2">
        <w:t>, or 3 May 2019 in START</w:t>
      </w:r>
      <w:r w:rsidR="00654B14">
        <w:t>RK-2 or STARTRK-NG trial.</w:t>
      </w:r>
    </w:p>
    <w:p w14:paraId="22E4E75D" w14:textId="77777777" w:rsidR="006421E2" w:rsidRPr="006421E2" w:rsidRDefault="006421E2" w:rsidP="006421E2">
      <w:r w:rsidRPr="006421E2">
        <w:t>From this signal analysis, 34 patients with fractures (27 adult and 7 paediatric) were identified, 15 of them serious (3 serious paediatric cases). In all paediatric cases, the fractures involved minimal or no trauma. Two were cases of bilateral femoral neck fractures (in a 4 year old female and a 9 year old male). For both paediatric and adult cases, the median time of onset was around 4 months. Entrectinib was interrupted for 44% of patients and not discontinued for any patient. Complete healing had occurred for 71% of the paediatric and 63% of the adult cases at time of data cut-off. No data are available on how entrectinib affects healing of known fractures or risk of future fractures.</w:t>
      </w:r>
    </w:p>
    <w:p w14:paraId="428CADA8" w14:textId="77777777" w:rsidR="006421E2" w:rsidRPr="006421E2" w:rsidRDefault="006421E2" w:rsidP="006421E2">
      <w:r w:rsidRPr="006421E2">
        <w:t>For many of the cases there were confounding factors such as pre-existing osteopenia, steroid use or bone metastases. A specialist case review by FDA concluded that most fractures did not appear to be due to tumour pathology at the fracture site, but there was limited data available from which to conclude this (lack of biopsies). A history of osteoporosis was present in 5 of the 27 adults with fractures.</w:t>
      </w:r>
    </w:p>
    <w:p w14:paraId="29EEDBD3" w14:textId="632DDD71" w:rsidR="006421E2" w:rsidRPr="006421E2" w:rsidRDefault="006421E2" w:rsidP="006421E2">
      <w:r w:rsidRPr="006421E2">
        <w:t>The r</w:t>
      </w:r>
      <w:r w:rsidR="00E7212D">
        <w:t xml:space="preserve">ate of fractures in entrectinib </w:t>
      </w:r>
      <w:r w:rsidRPr="006421E2">
        <w:t>treate</w:t>
      </w:r>
      <w:r w:rsidR="002549AE">
        <w:t xml:space="preserve">d adults (about </w:t>
      </w:r>
      <w:r w:rsidRPr="006421E2">
        <w:t>5%) does not appear larger than the background rate the FDA estimates for adults with solid tumo</w:t>
      </w:r>
      <w:r w:rsidR="0031218C">
        <w:t>u</w:t>
      </w:r>
      <w:r w:rsidRPr="006421E2">
        <w:t>rs (up to 18%), but for the paediatric patients, the FDA estimates a background ra</w:t>
      </w:r>
      <w:r w:rsidR="002549AE">
        <w:t xml:space="preserve">te of 6%. The observed rate of about </w:t>
      </w:r>
      <w:r w:rsidRPr="006421E2">
        <w:t>23% incidence in paediatric patients is therefore of significant concern, and it may be that there is more reliance on TRK signalling in paediatric bone biology.</w:t>
      </w:r>
    </w:p>
    <w:p w14:paraId="4B7406AB" w14:textId="6C775C31" w:rsidR="006421E2" w:rsidRPr="006421E2" w:rsidRDefault="006421E2" w:rsidP="006421E2">
      <w:r w:rsidRPr="006421E2">
        <w:t xml:space="preserve">A specific </w:t>
      </w:r>
      <w:proofErr w:type="spellStart"/>
      <w:r w:rsidRPr="006421E2">
        <w:t>postmarket</w:t>
      </w:r>
      <w:proofErr w:type="spellEnd"/>
      <w:r w:rsidRPr="006421E2">
        <w:t xml:space="preserve"> require</w:t>
      </w:r>
      <w:r w:rsidR="00F357A6">
        <w:t>ment has been agreed to by the s</w:t>
      </w:r>
      <w:r w:rsidRPr="006421E2">
        <w:t>ponsor with the FDA to address this safety concern.</w:t>
      </w:r>
      <w:r w:rsidR="00F565FC">
        <w:fldChar w:fldCharType="begin"/>
      </w:r>
      <w:r w:rsidR="00F565FC">
        <w:instrText xml:space="preserve"> NOTEREF _Ref53476754 \f \h </w:instrText>
      </w:r>
      <w:r w:rsidR="00F565FC">
        <w:fldChar w:fldCharType="separate"/>
      </w:r>
      <w:r w:rsidR="00F565FC" w:rsidRPr="007D2F65">
        <w:rPr>
          <w:rStyle w:val="FootnoteReference"/>
        </w:rPr>
        <w:t>12</w:t>
      </w:r>
      <w:r w:rsidR="00F565FC">
        <w:fldChar w:fldCharType="end"/>
      </w:r>
      <w:r w:rsidRPr="006421E2">
        <w:t xml:space="preserve">  Additional detail regarding FDA recommendations for clinical data collection and study methodology are contained on pages 209-210 of the multidisciplinary review d</w:t>
      </w:r>
      <w:r w:rsidR="002A1EE5">
        <w:t>ocument for the NTRK indication.</w:t>
      </w:r>
      <w:r w:rsidR="007D3B18">
        <w:fldChar w:fldCharType="begin"/>
      </w:r>
      <w:r w:rsidR="007D3B18">
        <w:instrText xml:space="preserve"> NOTEREF _Ref50554541 \f \h </w:instrText>
      </w:r>
      <w:r w:rsidR="007D3B18">
        <w:fldChar w:fldCharType="separate"/>
      </w:r>
      <w:r w:rsidR="005743D8" w:rsidRPr="005743D8">
        <w:rPr>
          <w:rStyle w:val="FootnoteReference"/>
        </w:rPr>
        <w:t>12</w:t>
      </w:r>
      <w:r w:rsidR="007D3B18">
        <w:fldChar w:fldCharType="end"/>
      </w:r>
    </w:p>
    <w:p w14:paraId="3D309FDE" w14:textId="77777777" w:rsidR="006421E2" w:rsidRPr="006421E2" w:rsidRDefault="006421E2" w:rsidP="007D2F65">
      <w:pPr>
        <w:pStyle w:val="Heading6"/>
      </w:pPr>
      <w:r w:rsidRPr="006421E2">
        <w:t>Hepatotoxicity</w:t>
      </w:r>
    </w:p>
    <w:p w14:paraId="0D71E802" w14:textId="1492211F" w:rsidR="006421E2" w:rsidRPr="006421E2" w:rsidRDefault="006421E2" w:rsidP="006421E2">
      <w:r w:rsidRPr="006421E2">
        <w:t>Toxicology studies suggested hepatotoxici</w:t>
      </w:r>
      <w:r w:rsidR="007D3B18">
        <w:t>ty could be a clinical concern.</w:t>
      </w:r>
    </w:p>
    <w:p w14:paraId="65DE5ED4" w14:textId="435A91A8" w:rsidR="006421E2" w:rsidRPr="006421E2" w:rsidRDefault="006421E2" w:rsidP="006421E2">
      <w:r w:rsidRPr="006421E2">
        <w:t xml:space="preserve">Although AST and ALT elevations were very common (around 40%), the majority were low </w:t>
      </w:r>
      <w:r w:rsidR="00F40A0C">
        <w:t>g</w:t>
      </w:r>
      <w:r w:rsidR="00F40A0C" w:rsidRPr="00A56ACE">
        <w:t>rade</w:t>
      </w:r>
      <w:r w:rsidRPr="006421E2">
        <w:t xml:space="preserve"> (for each, th</w:t>
      </w:r>
      <w:r w:rsidR="00F40A0C">
        <w:t xml:space="preserve">e incidence of Grade 3 to 4 elevations was about </w:t>
      </w:r>
      <w:r w:rsidRPr="006421E2">
        <w:t xml:space="preserve">3%). AST elevation and ALT elevation both led to dose interruption in around 10% of patients and dose reduction in around 2% of patients, but no discontinuations. No cases consistent with </w:t>
      </w:r>
      <w:proofErr w:type="spellStart"/>
      <w:r w:rsidRPr="006421E2">
        <w:t>Hy’s</w:t>
      </w:r>
      <w:proofErr w:type="spellEnd"/>
      <w:r w:rsidRPr="006421E2">
        <w:t xml:space="preserve"> </w:t>
      </w:r>
      <w:r w:rsidRPr="006421E2">
        <w:lastRenderedPageBreak/>
        <w:t>Law</w:t>
      </w:r>
      <w:r w:rsidR="002549AE">
        <w:t>;</w:t>
      </w:r>
      <w:r w:rsidR="003975D4">
        <w:rPr>
          <w:rStyle w:val="FootnoteReference"/>
        </w:rPr>
        <w:footnoteReference w:id="33"/>
      </w:r>
      <w:r w:rsidRPr="006421E2">
        <w:t xml:space="preserve"> (</w:t>
      </w:r>
      <w:r w:rsidR="00BD04CD">
        <w:t>for example</w:t>
      </w:r>
      <w:r w:rsidR="00E7212D">
        <w:t xml:space="preserve"> suggestive of drug </w:t>
      </w:r>
      <w:r w:rsidRPr="006421E2">
        <w:t>induced liver injury) were reported: there were five (1.4%) cases who had concurrent elevations ALT or AST (&gt;</w:t>
      </w:r>
      <w:r w:rsidR="00F40A0C">
        <w:t xml:space="preserve"> 3 times</w:t>
      </w:r>
      <w:r w:rsidRPr="006421E2">
        <w:t xml:space="preserve"> ULN) and elevated total bilirubin (&gt;</w:t>
      </w:r>
      <w:r w:rsidR="00F40A0C">
        <w:t xml:space="preserve"> 2 times</w:t>
      </w:r>
      <w:r w:rsidRPr="006421E2">
        <w:t xml:space="preserve"> ULN), but in all of these, there were significant confounding factors preventing a conclusion of </w:t>
      </w:r>
      <w:proofErr w:type="spellStart"/>
      <w:r w:rsidRPr="006421E2">
        <w:t>Hy’s</w:t>
      </w:r>
      <w:proofErr w:type="spellEnd"/>
      <w:r w:rsidRPr="006421E2">
        <w:t xml:space="preserve"> Law being met.</w:t>
      </w:r>
    </w:p>
    <w:p w14:paraId="1EE8DD82" w14:textId="3A18BB63" w:rsidR="006421E2" w:rsidRPr="006421E2" w:rsidRDefault="006421E2" w:rsidP="007D2F65">
      <w:pPr>
        <w:pStyle w:val="Heading6"/>
      </w:pPr>
      <w:bookmarkStart w:id="78" w:name="_Ref30504687"/>
      <w:proofErr w:type="spellStart"/>
      <w:r w:rsidRPr="006421E2">
        <w:t>Hyperuricaemia</w:t>
      </w:r>
      <w:bookmarkEnd w:id="78"/>
      <w:proofErr w:type="spellEnd"/>
    </w:p>
    <w:p w14:paraId="66868CAE" w14:textId="5F3C9514" w:rsidR="006421E2" w:rsidRPr="006421E2" w:rsidRDefault="006421E2" w:rsidP="006421E2">
      <w:proofErr w:type="spellStart"/>
      <w:r w:rsidRPr="006421E2">
        <w:t>Hyperuricaemia</w:t>
      </w:r>
      <w:proofErr w:type="spellEnd"/>
      <w:r w:rsidRPr="006421E2">
        <w:t xml:space="preserve"> was reported as an adverse event in 32 patients (9%) in the integrated safety population. The majority of cases were CTCAE </w:t>
      </w:r>
      <w:r w:rsidR="00F40A0C">
        <w:t>G</w:t>
      </w:r>
      <w:r w:rsidR="00F40A0C" w:rsidRPr="00A56ACE">
        <w:t>rade</w:t>
      </w:r>
      <w:r w:rsidRPr="006421E2">
        <w:t xml:space="preserve"> 1, except 6 cases which were all </w:t>
      </w:r>
      <w:r w:rsidR="00F40A0C">
        <w:t>G</w:t>
      </w:r>
      <w:r w:rsidR="00F40A0C" w:rsidRPr="00A56ACE">
        <w:t>rade</w:t>
      </w:r>
      <w:r w:rsidRPr="006421E2">
        <w:t xml:space="preserve"> 4. One occurred in the context of tumour lysis syndrome which was fatal. All the cases except one </w:t>
      </w:r>
      <w:r w:rsidR="00F40A0C">
        <w:t>G</w:t>
      </w:r>
      <w:r w:rsidR="00F40A0C" w:rsidRPr="00A56ACE">
        <w:t>rade</w:t>
      </w:r>
      <w:r w:rsidRPr="006421E2">
        <w:t xml:space="preserve"> 4 case had resolved at the time of data cut-off: 2 (6%) required dose reduction, another 2 (6%) required dose interruption, and the remainder wer</w:t>
      </w:r>
      <w:r w:rsidR="00E7212D">
        <w:t xml:space="preserve">e able to be managed with urate </w:t>
      </w:r>
      <w:r w:rsidRPr="006421E2">
        <w:t>reducing medication.</w:t>
      </w:r>
    </w:p>
    <w:p w14:paraId="52CFE1DA" w14:textId="61D99AE8" w:rsidR="006421E2" w:rsidRPr="006421E2" w:rsidRDefault="006421E2" w:rsidP="006421E2">
      <w:r w:rsidRPr="006421E2">
        <w:t xml:space="preserve">Of 259 patients that had baseline and post-treatment urate levels available, there were 134 (52%) patients with hyperuricemia of any </w:t>
      </w:r>
      <w:r w:rsidR="00F40A0C">
        <w:t>g</w:t>
      </w:r>
      <w:r w:rsidR="00F40A0C" w:rsidRPr="00A56ACE">
        <w:t>rade</w:t>
      </w:r>
      <w:r w:rsidRPr="006421E2">
        <w:t>. Of these, 24 had le</w:t>
      </w:r>
      <w:r w:rsidR="00F40A0C">
        <w:t>vels above 10</w:t>
      </w:r>
      <w:r w:rsidR="0031218C">
        <w:t> </w:t>
      </w:r>
      <w:r w:rsidR="00F40A0C">
        <w:t>g/</w:t>
      </w:r>
      <w:proofErr w:type="spellStart"/>
      <w:r w:rsidR="00F40A0C">
        <w:t>dL</w:t>
      </w:r>
      <w:proofErr w:type="spellEnd"/>
      <w:r w:rsidR="00F40A0C">
        <w:t xml:space="preserve"> (defined as G</w:t>
      </w:r>
      <w:r w:rsidRPr="006421E2">
        <w:t>rade 4 elevation by the reviewers) and 3 had post-</w:t>
      </w:r>
      <w:r w:rsidR="00957601">
        <w:t>Baseline</w:t>
      </w:r>
      <w:r w:rsidRPr="006421E2">
        <w:t xml:space="preserve"> levels that weren’t higher than 10 g/</w:t>
      </w:r>
      <w:proofErr w:type="spellStart"/>
      <w:r w:rsidRPr="006421E2">
        <w:t>dL</w:t>
      </w:r>
      <w:proofErr w:type="spellEnd"/>
      <w:r w:rsidRPr="006421E2">
        <w:t xml:space="preserve"> but had an AE reported and were treated with allopurinol (defined as ‘physiological consequences’ and therefore </w:t>
      </w:r>
      <w:r w:rsidR="00F40A0C">
        <w:t>G</w:t>
      </w:r>
      <w:r w:rsidR="00F40A0C" w:rsidRPr="00A56ACE">
        <w:t>rade</w:t>
      </w:r>
      <w:r w:rsidRPr="006421E2">
        <w:t xml:space="preserve"> 3 elevati</w:t>
      </w:r>
      <w:r w:rsidR="00F40A0C">
        <w:t>on per CTCAE by the reviewers).</w:t>
      </w:r>
    </w:p>
    <w:p w14:paraId="0C183E97" w14:textId="77777777" w:rsidR="006421E2" w:rsidRPr="006421E2" w:rsidRDefault="006421E2" w:rsidP="007D2F65">
      <w:pPr>
        <w:pStyle w:val="Heading6"/>
      </w:pPr>
      <w:proofErr w:type="spellStart"/>
      <w:r w:rsidRPr="006421E2">
        <w:t>Embryofetal</w:t>
      </w:r>
      <w:proofErr w:type="spellEnd"/>
      <w:r w:rsidRPr="006421E2">
        <w:t xml:space="preserve"> toxicity</w:t>
      </w:r>
    </w:p>
    <w:p w14:paraId="1925EAE5" w14:textId="77777777" w:rsidR="006421E2" w:rsidRPr="006421E2" w:rsidRDefault="006421E2" w:rsidP="006421E2">
      <w:r w:rsidRPr="006421E2">
        <w:t xml:space="preserve">Based on mechanism of action, </w:t>
      </w:r>
      <w:proofErr w:type="spellStart"/>
      <w:r w:rsidRPr="006421E2">
        <w:t>embryofetal</w:t>
      </w:r>
      <w:proofErr w:type="spellEnd"/>
      <w:r w:rsidRPr="006421E2">
        <w:t xml:space="preserve"> toxicity is predicted and appropriate warnings regarding females of reproductive potential should be included in the Australian PI.</w:t>
      </w:r>
    </w:p>
    <w:p w14:paraId="5EB103F8" w14:textId="77777777" w:rsidR="006421E2" w:rsidRPr="006421E2" w:rsidRDefault="006421E2" w:rsidP="007D2F65">
      <w:pPr>
        <w:pStyle w:val="Heading6"/>
      </w:pPr>
      <w:r w:rsidRPr="006421E2">
        <w:t>Weight changes</w:t>
      </w:r>
    </w:p>
    <w:p w14:paraId="47F22473" w14:textId="30E8DBAC" w:rsidR="006421E2" w:rsidRPr="006421E2" w:rsidRDefault="006421E2" w:rsidP="006421E2">
      <w:r w:rsidRPr="006421E2">
        <w:t xml:space="preserve">TRKB is implicated in appetite control, and clinical events of weight gain could be predicted to occur with entrectinib based on mechanism of action. Weight changes were reported by around 25% of patients, 7% at </w:t>
      </w:r>
      <w:r w:rsidR="00F40A0C">
        <w:t>G</w:t>
      </w:r>
      <w:r w:rsidR="00F40A0C" w:rsidRPr="00A56ACE">
        <w:t>rade</w:t>
      </w:r>
      <w:r w:rsidRPr="006421E2">
        <w:t xml:space="preserve"> 3 severity (defined by the CTCAE as &gt;20% from </w:t>
      </w:r>
      <w:r w:rsidR="00957601">
        <w:t>Baseline</w:t>
      </w:r>
      <w:r w:rsidRPr="006421E2">
        <w:t xml:space="preserve">). Fluid retention or oedema was co-reported for a number of </w:t>
      </w:r>
      <w:r w:rsidR="00BA1F83">
        <w:t>cases and may have contributed.</w:t>
      </w:r>
    </w:p>
    <w:p w14:paraId="2F6D2413" w14:textId="77777777" w:rsidR="006421E2" w:rsidRPr="006421E2" w:rsidRDefault="006421E2" w:rsidP="007D2F65">
      <w:pPr>
        <w:pStyle w:val="Heading5"/>
      </w:pPr>
      <w:r w:rsidRPr="006421E2">
        <w:t>Paediatric safety</w:t>
      </w:r>
    </w:p>
    <w:p w14:paraId="090DADA5" w14:textId="79D2E760" w:rsidR="006421E2" w:rsidRPr="006421E2" w:rsidRDefault="006421E2" w:rsidP="006421E2">
      <w:r w:rsidRPr="006421E2">
        <w:t>The adverse event profile of entrectinib in paediatric patients (defined as patients less than 18 years of age, n</w:t>
      </w:r>
      <w:r w:rsidR="00F2463B">
        <w:t xml:space="preserve"> </w:t>
      </w:r>
      <w:r w:rsidRPr="006421E2">
        <w:t>=</w:t>
      </w:r>
      <w:r w:rsidR="00F2463B">
        <w:t xml:space="preserve"> </w:t>
      </w:r>
      <w:r w:rsidRPr="006421E2">
        <w:t>30) was compared to that for adults (n</w:t>
      </w:r>
      <w:r w:rsidR="00F2463B">
        <w:t xml:space="preserve"> </w:t>
      </w:r>
      <w:r w:rsidRPr="006421E2">
        <w:t>=</w:t>
      </w:r>
      <w:r w:rsidR="00F2463B">
        <w:t xml:space="preserve"> </w:t>
      </w:r>
      <w:r w:rsidRPr="006421E2">
        <w:t xml:space="preserve">338), noting that the size of the populations and trial design limits interpretation (see </w:t>
      </w:r>
      <w:r w:rsidRPr="006421E2">
        <w:fldChar w:fldCharType="begin"/>
      </w:r>
      <w:r w:rsidRPr="006421E2">
        <w:instrText xml:space="preserve"> REF _Ref30691598 \h </w:instrText>
      </w:r>
      <w:r w:rsidRPr="006421E2">
        <w:fldChar w:fldCharType="separate"/>
      </w:r>
      <w:r w:rsidR="005743D8" w:rsidRPr="006421E2">
        <w:t xml:space="preserve">Table </w:t>
      </w:r>
      <w:r w:rsidR="005743D8">
        <w:rPr>
          <w:noProof/>
        </w:rPr>
        <w:t>26</w:t>
      </w:r>
      <w:r w:rsidRPr="006421E2">
        <w:fldChar w:fldCharType="end"/>
      </w:r>
      <w:r w:rsidRPr="006421E2">
        <w:t>).</w:t>
      </w:r>
    </w:p>
    <w:p w14:paraId="6CCB4404" w14:textId="4FC8FB34" w:rsidR="006421E2" w:rsidRPr="006421E2" w:rsidRDefault="006421E2" w:rsidP="006421E2">
      <w:r w:rsidRPr="006421E2">
        <w:t>The FDA report characterises this</w:t>
      </w:r>
      <w:r w:rsidR="00140D98">
        <w:t xml:space="preserve"> group, in summary, as follows:</w:t>
      </w:r>
    </w:p>
    <w:p w14:paraId="4CFD4CAE" w14:textId="794F39FE" w:rsidR="006421E2" w:rsidRPr="0010500F" w:rsidRDefault="00140D98" w:rsidP="00140D98">
      <w:pPr>
        <w:ind w:left="720"/>
      </w:pPr>
      <w:r>
        <w:t>‘</w:t>
      </w:r>
      <w:r w:rsidR="006421E2" w:rsidRPr="0010500F">
        <w:t>Of these 30 patients, 7% were &lt; 2 years (n = 2), 77% were 2 to &lt; 12 years (n = 23), 17% were 12 to &lt; 18 years (n = 5); 57% had metastatic disease (n = 17) and 44% had locally advanced disease (n</w:t>
      </w:r>
      <w:r w:rsidR="00F2463B">
        <w:t xml:space="preserve"> </w:t>
      </w:r>
      <w:r w:rsidR="006421E2" w:rsidRPr="0010500F">
        <w:t>=</w:t>
      </w:r>
      <w:r w:rsidR="00F2463B">
        <w:t xml:space="preserve"> </w:t>
      </w:r>
      <w:r w:rsidR="006421E2" w:rsidRPr="0010500F">
        <w:t xml:space="preserve">13); and all patients had received prior treatment for their cancer, including surgery, radiotherapy, or systemic therapy. The most common cancers were </w:t>
      </w:r>
      <w:proofErr w:type="spellStart"/>
      <w:r w:rsidR="006421E2" w:rsidRPr="0010500F">
        <w:t>neuroblastoma</w:t>
      </w:r>
      <w:proofErr w:type="spellEnd"/>
      <w:r w:rsidR="006421E2" w:rsidRPr="0010500F">
        <w:t xml:space="preserve"> (47%), primary CNS </w:t>
      </w:r>
      <w:proofErr w:type="spellStart"/>
      <w:r w:rsidR="006421E2" w:rsidRPr="0010500F">
        <w:t>tumors</w:t>
      </w:r>
      <w:proofErr w:type="spellEnd"/>
      <w:r w:rsidR="006421E2" w:rsidRPr="0010500F">
        <w:t xml:space="preserve"> (30%), and sarcoma (10%). The median duration of exposure for all </w:t>
      </w:r>
      <w:proofErr w:type="spellStart"/>
      <w:r w:rsidR="006421E2" w:rsidRPr="0010500F">
        <w:t>pediatric</w:t>
      </w:r>
      <w:proofErr w:type="spellEnd"/>
      <w:r w:rsidR="006421E2" w:rsidRPr="0010500F">
        <w:t xml:space="preserve"> patients was 4.2 months (range: 0.2 to 22.7 months).</w:t>
      </w:r>
      <w:r>
        <w:t>’</w:t>
      </w:r>
    </w:p>
    <w:p w14:paraId="2C739989" w14:textId="05311D02" w:rsidR="006421E2" w:rsidRPr="006421E2" w:rsidRDefault="006421E2" w:rsidP="006B6C6E">
      <w:pPr>
        <w:pStyle w:val="TableTitle"/>
      </w:pPr>
      <w:bookmarkStart w:id="79" w:name="_Ref30691598"/>
      <w:r w:rsidRPr="006421E2">
        <w:lastRenderedPageBreak/>
        <w:t xml:space="preserve">Table </w:t>
      </w:r>
      <w:fldSimple w:instr=" SEQ Table \* ARABIC ">
        <w:r w:rsidR="009B407B">
          <w:rPr>
            <w:noProof/>
          </w:rPr>
          <w:t>32</w:t>
        </w:r>
      </w:fldSimple>
      <w:bookmarkEnd w:id="79"/>
      <w:r w:rsidR="0031218C">
        <w:t>:</w:t>
      </w:r>
      <w:r w:rsidRPr="006421E2">
        <w:t xml:space="preserve"> Overview of </w:t>
      </w:r>
      <w:r w:rsidR="00BE08F4">
        <w:t>G</w:t>
      </w:r>
      <w:r w:rsidRPr="006421E2">
        <w:t>rade 3 or 4 adverse events that were at least 5% more frequent in patients under than over the age of 18 years in the integrated safety population</w:t>
      </w:r>
    </w:p>
    <w:tbl>
      <w:tblPr>
        <w:tblStyle w:val="TableTGAblue"/>
        <w:tblW w:w="8217" w:type="dxa"/>
        <w:tblLayout w:type="fixed"/>
        <w:tblLook w:val="01E0" w:firstRow="1" w:lastRow="1" w:firstColumn="1" w:lastColumn="1" w:noHBand="0" w:noVBand="0"/>
      </w:tblPr>
      <w:tblGrid>
        <w:gridCol w:w="4815"/>
        <w:gridCol w:w="1701"/>
        <w:gridCol w:w="1701"/>
      </w:tblGrid>
      <w:tr w:rsidR="006421E2" w:rsidRPr="006421E2" w14:paraId="380C1CA5" w14:textId="77777777" w:rsidTr="007D2F65">
        <w:trPr>
          <w:cnfStyle w:val="100000000000" w:firstRow="1" w:lastRow="0" w:firstColumn="0" w:lastColumn="0" w:oddVBand="0" w:evenVBand="0" w:oddHBand="0" w:evenHBand="0" w:firstRowFirstColumn="0" w:firstRowLastColumn="0" w:lastRowFirstColumn="0" w:lastRowLastColumn="0"/>
          <w:trHeight w:val="711"/>
        </w:trPr>
        <w:tc>
          <w:tcPr>
            <w:tcW w:w="4815" w:type="dxa"/>
            <w:tcBorders>
              <w:top w:val="single" w:sz="4" w:space="0" w:color="auto"/>
              <w:left w:val="single" w:sz="4" w:space="0" w:color="auto"/>
              <w:bottom w:val="single" w:sz="4" w:space="0" w:color="auto"/>
              <w:right w:val="single" w:sz="4" w:space="0" w:color="auto"/>
            </w:tcBorders>
          </w:tcPr>
          <w:p w14:paraId="69D5ECF1" w14:textId="77777777" w:rsidR="006421E2" w:rsidRPr="007D2F65" w:rsidRDefault="006421E2" w:rsidP="007D2F65">
            <w:pPr>
              <w:pStyle w:val="TableTitle"/>
              <w:ind w:left="0" w:right="0"/>
              <w:rPr>
                <w:b/>
                <w:lang w:val="en-US"/>
              </w:rPr>
            </w:pPr>
            <w:r w:rsidRPr="0031218C">
              <w:rPr>
                <w:b/>
                <w:lang w:val="en-US"/>
              </w:rPr>
              <w:t>Event/laboratory abnormality</w:t>
            </w:r>
          </w:p>
        </w:tc>
        <w:tc>
          <w:tcPr>
            <w:tcW w:w="1701" w:type="dxa"/>
            <w:tcBorders>
              <w:top w:val="single" w:sz="4" w:space="0" w:color="auto"/>
              <w:left w:val="single" w:sz="4" w:space="0" w:color="auto"/>
              <w:bottom w:val="single" w:sz="4" w:space="0" w:color="auto"/>
              <w:right w:val="single" w:sz="4" w:space="0" w:color="auto"/>
            </w:tcBorders>
          </w:tcPr>
          <w:p w14:paraId="4EEFC107" w14:textId="77777777" w:rsidR="006421E2" w:rsidRPr="007D2F65" w:rsidRDefault="006421E2" w:rsidP="006421E2">
            <w:pPr>
              <w:rPr>
                <w:lang w:val="en-US"/>
              </w:rPr>
            </w:pPr>
            <w:proofErr w:type="spellStart"/>
            <w:r w:rsidRPr="0031218C">
              <w:rPr>
                <w:lang w:val="en-US"/>
              </w:rPr>
              <w:t>Paediatric</w:t>
            </w:r>
            <w:proofErr w:type="spellEnd"/>
          </w:p>
          <w:p w14:paraId="5ECCFD76" w14:textId="1772FB79" w:rsidR="006421E2" w:rsidRPr="007D2F65" w:rsidRDefault="006421E2" w:rsidP="006421E2">
            <w:pPr>
              <w:rPr>
                <w:lang w:val="en-US"/>
              </w:rPr>
            </w:pPr>
            <w:r w:rsidRPr="0031218C">
              <w:rPr>
                <w:lang w:val="en-US"/>
              </w:rPr>
              <w:t>(n</w:t>
            </w:r>
            <w:r w:rsidR="00F2463B" w:rsidRPr="0031218C">
              <w:rPr>
                <w:lang w:val="en-US"/>
              </w:rPr>
              <w:t xml:space="preserve"> </w:t>
            </w:r>
            <w:r w:rsidRPr="0031218C">
              <w:rPr>
                <w:lang w:val="en-US"/>
              </w:rPr>
              <w:t>=</w:t>
            </w:r>
            <w:r w:rsidR="00F2463B" w:rsidRPr="0031218C">
              <w:rPr>
                <w:lang w:val="en-US"/>
              </w:rPr>
              <w:t xml:space="preserve"> </w:t>
            </w:r>
            <w:r w:rsidRPr="0031218C">
              <w:rPr>
                <w:lang w:val="en-US"/>
              </w:rPr>
              <w:t>30)</w:t>
            </w:r>
          </w:p>
        </w:tc>
        <w:tc>
          <w:tcPr>
            <w:tcW w:w="1701" w:type="dxa"/>
            <w:tcBorders>
              <w:top w:val="single" w:sz="4" w:space="0" w:color="auto"/>
              <w:left w:val="single" w:sz="4" w:space="0" w:color="auto"/>
              <w:bottom w:val="single" w:sz="4" w:space="0" w:color="auto"/>
              <w:right w:val="single" w:sz="4" w:space="0" w:color="auto"/>
            </w:tcBorders>
          </w:tcPr>
          <w:p w14:paraId="7924827D" w14:textId="77777777" w:rsidR="006421E2" w:rsidRPr="007D2F65" w:rsidRDefault="006421E2" w:rsidP="006421E2">
            <w:pPr>
              <w:rPr>
                <w:lang w:val="en-US"/>
              </w:rPr>
            </w:pPr>
            <w:r w:rsidRPr="0031218C">
              <w:rPr>
                <w:lang w:val="en-US"/>
              </w:rPr>
              <w:t>Adult</w:t>
            </w:r>
          </w:p>
          <w:p w14:paraId="08AEE176" w14:textId="30BF1FAF" w:rsidR="006421E2" w:rsidRPr="007D2F65" w:rsidRDefault="006421E2" w:rsidP="006421E2">
            <w:pPr>
              <w:rPr>
                <w:lang w:val="en-US"/>
              </w:rPr>
            </w:pPr>
            <w:r w:rsidRPr="0031218C">
              <w:rPr>
                <w:lang w:val="en-US"/>
              </w:rPr>
              <w:t>(n</w:t>
            </w:r>
            <w:r w:rsidR="00F2463B" w:rsidRPr="0031218C">
              <w:rPr>
                <w:lang w:val="en-US"/>
              </w:rPr>
              <w:t xml:space="preserve"> </w:t>
            </w:r>
            <w:r w:rsidRPr="0031218C">
              <w:rPr>
                <w:lang w:val="en-US"/>
              </w:rPr>
              <w:t>=</w:t>
            </w:r>
            <w:r w:rsidR="00F2463B" w:rsidRPr="0031218C">
              <w:rPr>
                <w:lang w:val="en-US"/>
              </w:rPr>
              <w:t xml:space="preserve"> </w:t>
            </w:r>
            <w:r w:rsidRPr="0031218C">
              <w:rPr>
                <w:lang w:val="en-US"/>
              </w:rPr>
              <w:t>338)</w:t>
            </w:r>
          </w:p>
        </w:tc>
      </w:tr>
      <w:tr w:rsidR="006421E2" w:rsidRPr="006421E2" w14:paraId="2B380442" w14:textId="77777777" w:rsidTr="007D2F65">
        <w:trPr>
          <w:trHeight w:val="254"/>
        </w:trPr>
        <w:tc>
          <w:tcPr>
            <w:tcW w:w="4815" w:type="dxa"/>
            <w:tcBorders>
              <w:top w:val="single" w:sz="4" w:space="0" w:color="auto"/>
            </w:tcBorders>
          </w:tcPr>
          <w:p w14:paraId="43B3C94C" w14:textId="77777777" w:rsidR="006421E2" w:rsidRPr="006421E2" w:rsidRDefault="006421E2" w:rsidP="006421E2">
            <w:pPr>
              <w:rPr>
                <w:lang w:val="en-US"/>
              </w:rPr>
            </w:pPr>
            <w:r w:rsidRPr="006421E2">
              <w:rPr>
                <w:lang w:val="en-US"/>
              </w:rPr>
              <w:t>Neutropenia</w:t>
            </w:r>
          </w:p>
        </w:tc>
        <w:tc>
          <w:tcPr>
            <w:tcW w:w="1701" w:type="dxa"/>
            <w:tcBorders>
              <w:top w:val="single" w:sz="4" w:space="0" w:color="auto"/>
            </w:tcBorders>
          </w:tcPr>
          <w:p w14:paraId="633E3CE7" w14:textId="77777777" w:rsidR="006421E2" w:rsidRPr="006421E2" w:rsidRDefault="006421E2" w:rsidP="006421E2">
            <w:pPr>
              <w:rPr>
                <w:lang w:val="en-US"/>
              </w:rPr>
            </w:pPr>
            <w:r w:rsidRPr="006421E2">
              <w:rPr>
                <w:lang w:val="en-US"/>
              </w:rPr>
              <w:t>8 (27%)</w:t>
            </w:r>
          </w:p>
        </w:tc>
        <w:tc>
          <w:tcPr>
            <w:tcW w:w="1701" w:type="dxa"/>
            <w:tcBorders>
              <w:top w:val="single" w:sz="4" w:space="0" w:color="auto"/>
            </w:tcBorders>
          </w:tcPr>
          <w:p w14:paraId="65B35104" w14:textId="77777777" w:rsidR="006421E2" w:rsidRPr="006421E2" w:rsidRDefault="006421E2" w:rsidP="006421E2">
            <w:pPr>
              <w:rPr>
                <w:lang w:val="en-US"/>
              </w:rPr>
            </w:pPr>
            <w:r w:rsidRPr="006421E2">
              <w:rPr>
                <w:lang w:val="en-US"/>
              </w:rPr>
              <w:t>7 (2%)</w:t>
            </w:r>
          </w:p>
        </w:tc>
      </w:tr>
      <w:tr w:rsidR="006421E2" w:rsidRPr="006421E2" w14:paraId="08A46A0D" w14:textId="77777777" w:rsidTr="007D2F65">
        <w:trPr>
          <w:trHeight w:val="219"/>
        </w:trPr>
        <w:tc>
          <w:tcPr>
            <w:tcW w:w="4815" w:type="dxa"/>
          </w:tcPr>
          <w:p w14:paraId="1F0830D8" w14:textId="77777777" w:rsidR="006421E2" w:rsidRPr="006421E2" w:rsidRDefault="006421E2" w:rsidP="006421E2">
            <w:pPr>
              <w:rPr>
                <w:lang w:val="en-US"/>
              </w:rPr>
            </w:pPr>
            <w:r w:rsidRPr="006421E2">
              <w:rPr>
                <w:lang w:val="en-US"/>
              </w:rPr>
              <w:t>Bone fractures</w:t>
            </w:r>
          </w:p>
        </w:tc>
        <w:tc>
          <w:tcPr>
            <w:tcW w:w="1701" w:type="dxa"/>
          </w:tcPr>
          <w:p w14:paraId="18469248" w14:textId="77777777" w:rsidR="006421E2" w:rsidRPr="006421E2" w:rsidRDefault="006421E2" w:rsidP="006421E2">
            <w:pPr>
              <w:rPr>
                <w:lang w:val="en-US"/>
              </w:rPr>
            </w:pPr>
            <w:r w:rsidRPr="006421E2">
              <w:rPr>
                <w:lang w:val="en-US"/>
              </w:rPr>
              <w:t>7 (23%)</w:t>
            </w:r>
          </w:p>
        </w:tc>
        <w:tc>
          <w:tcPr>
            <w:tcW w:w="1701" w:type="dxa"/>
          </w:tcPr>
          <w:p w14:paraId="66669664" w14:textId="77777777" w:rsidR="006421E2" w:rsidRPr="006421E2" w:rsidRDefault="006421E2" w:rsidP="006421E2">
            <w:pPr>
              <w:rPr>
                <w:lang w:val="en-US"/>
              </w:rPr>
            </w:pPr>
            <w:r w:rsidRPr="006421E2">
              <w:rPr>
                <w:lang w:val="en-US"/>
              </w:rPr>
              <w:t>17 (5%)</w:t>
            </w:r>
          </w:p>
        </w:tc>
      </w:tr>
      <w:tr w:rsidR="006421E2" w:rsidRPr="006421E2" w14:paraId="7EAFFA8C" w14:textId="77777777" w:rsidTr="007D2F65">
        <w:trPr>
          <w:trHeight w:val="254"/>
        </w:trPr>
        <w:tc>
          <w:tcPr>
            <w:tcW w:w="4815" w:type="dxa"/>
          </w:tcPr>
          <w:p w14:paraId="26852188" w14:textId="77777777" w:rsidR="006421E2" w:rsidRPr="006421E2" w:rsidRDefault="006421E2" w:rsidP="006421E2">
            <w:pPr>
              <w:rPr>
                <w:lang w:val="en-US"/>
              </w:rPr>
            </w:pPr>
            <w:r w:rsidRPr="006421E2">
              <w:rPr>
                <w:lang w:val="en-US"/>
              </w:rPr>
              <w:t>Increased weight</w:t>
            </w:r>
          </w:p>
        </w:tc>
        <w:tc>
          <w:tcPr>
            <w:tcW w:w="1701" w:type="dxa"/>
          </w:tcPr>
          <w:p w14:paraId="5C6429B5" w14:textId="77777777" w:rsidR="006421E2" w:rsidRPr="006421E2" w:rsidRDefault="006421E2" w:rsidP="006421E2">
            <w:pPr>
              <w:rPr>
                <w:lang w:val="en-US"/>
              </w:rPr>
            </w:pPr>
            <w:r w:rsidRPr="006421E2">
              <w:rPr>
                <w:lang w:val="en-US"/>
              </w:rPr>
              <w:t>6 (20%)</w:t>
            </w:r>
          </w:p>
        </w:tc>
        <w:tc>
          <w:tcPr>
            <w:tcW w:w="1701" w:type="dxa"/>
          </w:tcPr>
          <w:p w14:paraId="09A0F3A7" w14:textId="77777777" w:rsidR="006421E2" w:rsidRPr="006421E2" w:rsidRDefault="006421E2" w:rsidP="006421E2">
            <w:pPr>
              <w:rPr>
                <w:lang w:val="en-US"/>
              </w:rPr>
            </w:pPr>
            <w:r w:rsidRPr="006421E2">
              <w:rPr>
                <w:lang w:val="en-US"/>
              </w:rPr>
              <w:t>24 (7%)</w:t>
            </w:r>
          </w:p>
        </w:tc>
      </w:tr>
      <w:tr w:rsidR="006421E2" w:rsidRPr="006421E2" w14:paraId="22DDEC37" w14:textId="77777777" w:rsidTr="007D2F65">
        <w:trPr>
          <w:trHeight w:val="237"/>
        </w:trPr>
        <w:tc>
          <w:tcPr>
            <w:tcW w:w="4815" w:type="dxa"/>
          </w:tcPr>
          <w:p w14:paraId="402BC57F" w14:textId="77777777" w:rsidR="006421E2" w:rsidRPr="006421E2" w:rsidRDefault="006421E2" w:rsidP="006421E2">
            <w:pPr>
              <w:rPr>
                <w:lang w:val="en-US"/>
              </w:rPr>
            </w:pPr>
            <w:r w:rsidRPr="006421E2">
              <w:rPr>
                <w:lang w:val="en-US"/>
              </w:rPr>
              <w:t>Thrombocytopenia</w:t>
            </w:r>
          </w:p>
        </w:tc>
        <w:tc>
          <w:tcPr>
            <w:tcW w:w="1701" w:type="dxa"/>
          </w:tcPr>
          <w:p w14:paraId="6A445DB2" w14:textId="77777777" w:rsidR="006421E2" w:rsidRPr="006421E2" w:rsidRDefault="006421E2" w:rsidP="006421E2">
            <w:pPr>
              <w:rPr>
                <w:lang w:val="en-US"/>
              </w:rPr>
            </w:pPr>
            <w:r w:rsidRPr="006421E2">
              <w:rPr>
                <w:lang w:val="en-US"/>
              </w:rPr>
              <w:t>3 (10%)</w:t>
            </w:r>
          </w:p>
        </w:tc>
        <w:tc>
          <w:tcPr>
            <w:tcW w:w="1701" w:type="dxa"/>
          </w:tcPr>
          <w:p w14:paraId="5BCB5738" w14:textId="77777777" w:rsidR="006421E2" w:rsidRPr="006421E2" w:rsidRDefault="006421E2" w:rsidP="006421E2">
            <w:pPr>
              <w:rPr>
                <w:lang w:val="en-US"/>
              </w:rPr>
            </w:pPr>
            <w:r w:rsidRPr="006421E2">
              <w:rPr>
                <w:lang w:val="en-US"/>
              </w:rPr>
              <w:t>1 (0.3%)</w:t>
            </w:r>
          </w:p>
        </w:tc>
      </w:tr>
      <w:tr w:rsidR="006421E2" w:rsidRPr="006421E2" w14:paraId="12CA36CC" w14:textId="77777777" w:rsidTr="007D2F65">
        <w:trPr>
          <w:trHeight w:val="70"/>
        </w:trPr>
        <w:tc>
          <w:tcPr>
            <w:tcW w:w="4815" w:type="dxa"/>
          </w:tcPr>
          <w:p w14:paraId="36BBD0E6" w14:textId="77777777" w:rsidR="006421E2" w:rsidRPr="006421E2" w:rsidRDefault="006421E2" w:rsidP="006421E2">
            <w:pPr>
              <w:rPr>
                <w:lang w:val="en-US"/>
              </w:rPr>
            </w:pPr>
            <w:proofErr w:type="spellStart"/>
            <w:r w:rsidRPr="006421E2">
              <w:rPr>
                <w:lang w:val="en-US"/>
              </w:rPr>
              <w:t>Lymphopenia</w:t>
            </w:r>
            <w:proofErr w:type="spellEnd"/>
          </w:p>
        </w:tc>
        <w:tc>
          <w:tcPr>
            <w:tcW w:w="1701" w:type="dxa"/>
          </w:tcPr>
          <w:p w14:paraId="5E49D601" w14:textId="77777777" w:rsidR="006421E2" w:rsidRPr="006421E2" w:rsidRDefault="006421E2" w:rsidP="006421E2">
            <w:pPr>
              <w:rPr>
                <w:lang w:val="en-US"/>
              </w:rPr>
            </w:pPr>
            <w:r w:rsidRPr="006421E2">
              <w:rPr>
                <w:lang w:val="en-US"/>
              </w:rPr>
              <w:t>2 (7%)</w:t>
            </w:r>
          </w:p>
        </w:tc>
        <w:tc>
          <w:tcPr>
            <w:tcW w:w="1701" w:type="dxa"/>
          </w:tcPr>
          <w:p w14:paraId="51A3C505" w14:textId="77777777" w:rsidR="006421E2" w:rsidRPr="006421E2" w:rsidRDefault="006421E2" w:rsidP="006421E2">
            <w:pPr>
              <w:rPr>
                <w:lang w:val="en-US"/>
              </w:rPr>
            </w:pPr>
            <w:r w:rsidRPr="006421E2">
              <w:rPr>
                <w:lang w:val="en-US"/>
              </w:rPr>
              <w:t>3 (1%)</w:t>
            </w:r>
          </w:p>
        </w:tc>
      </w:tr>
      <w:tr w:rsidR="006421E2" w:rsidRPr="006421E2" w14:paraId="6955E380" w14:textId="77777777" w:rsidTr="007D2F65">
        <w:trPr>
          <w:trHeight w:val="251"/>
        </w:trPr>
        <w:tc>
          <w:tcPr>
            <w:tcW w:w="4815" w:type="dxa"/>
          </w:tcPr>
          <w:p w14:paraId="72A4EBC0" w14:textId="77777777" w:rsidR="006421E2" w:rsidRPr="006421E2" w:rsidRDefault="006421E2" w:rsidP="006421E2">
            <w:pPr>
              <w:rPr>
                <w:lang w:val="en-US"/>
              </w:rPr>
            </w:pPr>
            <w:r w:rsidRPr="006421E2">
              <w:rPr>
                <w:lang w:val="en-US"/>
              </w:rPr>
              <w:t>Increased gamma-</w:t>
            </w:r>
            <w:proofErr w:type="spellStart"/>
            <w:r w:rsidRPr="006421E2">
              <w:rPr>
                <w:lang w:val="en-US"/>
              </w:rPr>
              <w:t>glutamyl</w:t>
            </w:r>
            <w:proofErr w:type="spellEnd"/>
            <w:r w:rsidRPr="006421E2">
              <w:rPr>
                <w:lang w:val="en-US"/>
              </w:rPr>
              <w:t xml:space="preserve"> transferase</w:t>
            </w:r>
          </w:p>
        </w:tc>
        <w:tc>
          <w:tcPr>
            <w:tcW w:w="1701" w:type="dxa"/>
          </w:tcPr>
          <w:p w14:paraId="3BF51511" w14:textId="77777777" w:rsidR="006421E2" w:rsidRPr="006421E2" w:rsidRDefault="006421E2" w:rsidP="006421E2">
            <w:pPr>
              <w:rPr>
                <w:lang w:val="en-US"/>
              </w:rPr>
            </w:pPr>
            <w:r w:rsidRPr="006421E2">
              <w:rPr>
                <w:lang w:val="en-US"/>
              </w:rPr>
              <w:t>2 (7%)</w:t>
            </w:r>
          </w:p>
        </w:tc>
        <w:tc>
          <w:tcPr>
            <w:tcW w:w="1701" w:type="dxa"/>
          </w:tcPr>
          <w:p w14:paraId="443611CE" w14:textId="77777777" w:rsidR="006421E2" w:rsidRPr="006421E2" w:rsidRDefault="006421E2" w:rsidP="006421E2">
            <w:pPr>
              <w:rPr>
                <w:lang w:val="en-US"/>
              </w:rPr>
            </w:pPr>
            <w:r w:rsidRPr="006421E2">
              <w:rPr>
                <w:lang w:val="en-US"/>
              </w:rPr>
              <w:t>0</w:t>
            </w:r>
          </w:p>
        </w:tc>
      </w:tr>
    </w:tbl>
    <w:p w14:paraId="2344C050" w14:textId="5959A80C" w:rsidR="0031218C" w:rsidRDefault="0031218C" w:rsidP="007D2F65">
      <w:pPr>
        <w:pStyle w:val="TableDescription"/>
      </w:pPr>
      <w:r>
        <w:t>Source: FDA multidisciplinary review.</w:t>
      </w:r>
      <w:r>
        <w:fldChar w:fldCharType="begin"/>
      </w:r>
      <w:r>
        <w:instrText xml:space="preserve"> NOTEREF _Ref50554541 \f \h </w:instrText>
      </w:r>
      <w:r>
        <w:fldChar w:fldCharType="separate"/>
      </w:r>
      <w:r>
        <w:rPr>
          <w:rStyle w:val="FootnoteReference"/>
        </w:rPr>
        <w:t>12</w:t>
      </w:r>
      <w:r>
        <w:fldChar w:fldCharType="end"/>
      </w:r>
    </w:p>
    <w:p w14:paraId="1F059346" w14:textId="3BFAF458" w:rsidR="006421E2" w:rsidRPr="006421E2" w:rsidRDefault="00E7212D" w:rsidP="006421E2">
      <w:r>
        <w:t xml:space="preserve">Grade 3 or 4 device </w:t>
      </w:r>
      <w:r w:rsidR="006421E2" w:rsidRPr="006421E2">
        <w:t>related infections were also higher in paediatric patients than adults (7% v</w:t>
      </w:r>
      <w:r w:rsidR="00DA6635">
        <w:t>ersu</w:t>
      </w:r>
      <w:r w:rsidR="006421E2" w:rsidRPr="006421E2">
        <w:t>s 3%).</w:t>
      </w:r>
    </w:p>
    <w:p w14:paraId="33EF9BE1" w14:textId="05DB567C" w:rsidR="006421E2" w:rsidRPr="006421E2" w:rsidRDefault="006421E2" w:rsidP="006421E2">
      <w:r w:rsidRPr="006421E2">
        <w:t xml:space="preserve">Three discontinuations due to an adverse reactions occurred in the paediatric group due to a </w:t>
      </w:r>
      <w:r w:rsidR="00F40A0C">
        <w:t>G</w:t>
      </w:r>
      <w:r w:rsidR="00F40A0C" w:rsidRPr="00A56ACE">
        <w:t>rade</w:t>
      </w:r>
      <w:r w:rsidRPr="006421E2">
        <w:t xml:space="preserve"> 4 pulmonary oedema, </w:t>
      </w:r>
      <w:r w:rsidR="00F40A0C">
        <w:t>G</w:t>
      </w:r>
      <w:r w:rsidR="00F40A0C" w:rsidRPr="00A56ACE">
        <w:t>rade</w:t>
      </w:r>
      <w:r w:rsidRPr="006421E2">
        <w:t xml:space="preserve"> 3 dyspnoea, and </w:t>
      </w:r>
      <w:r w:rsidR="00F40A0C">
        <w:t>G</w:t>
      </w:r>
      <w:r w:rsidR="00F40A0C" w:rsidRPr="00A56ACE">
        <w:t>rade</w:t>
      </w:r>
      <w:r w:rsidRPr="006421E2">
        <w:t xml:space="preserve"> 4 pancreatitis.</w:t>
      </w:r>
    </w:p>
    <w:p w14:paraId="0A3BCA1A" w14:textId="74280437" w:rsidR="006421E2" w:rsidRPr="006421E2" w:rsidRDefault="006421E2" w:rsidP="006421E2">
      <w:r w:rsidRPr="006421E2">
        <w:t>Skeletal fractures and effects on bone and tooth development are considered possible risks attributable to entrectinib in paediatric patients based on the mechanism of action of entrectinib, and findings in toxicology studies. Juvenile rats treated with entrectinib showed growth delay (including shorter bones) and imp</w:t>
      </w:r>
      <w:r w:rsidR="00FA045C">
        <w:t xml:space="preserve">aired learning and memory. Dose </w:t>
      </w:r>
      <w:r w:rsidRPr="006421E2">
        <w:t>depe</w:t>
      </w:r>
      <w:r w:rsidR="004F58A2">
        <w:t xml:space="preserve">ndent toxicity (especially bone </w:t>
      </w:r>
      <w:r w:rsidRPr="006421E2">
        <w:t>related) was also seen in foetal rat development, though mainly at a dose three times the human exposure at the proposed dosage. No fractures or tooth problems were seen in animal studies, but as noted in</w:t>
      </w:r>
      <w:r w:rsidR="009A4678">
        <w:t xml:space="preserve"> section above,</w:t>
      </w:r>
      <w:r w:rsidRPr="006421E2">
        <w:t xml:space="preserve"> </w:t>
      </w:r>
      <w:r w:rsidR="009A4678">
        <w:t>skeletal fractures,</w:t>
      </w:r>
      <w:r w:rsidR="004F58A2">
        <w:t xml:space="preserve"> two patients (a 9 year old and a 4 </w:t>
      </w:r>
      <w:r w:rsidRPr="006421E2">
        <w:t xml:space="preserve">year old) treated with entrectinib in STARTRK-NG </w:t>
      </w:r>
      <w:r w:rsidR="00746CED">
        <w:t xml:space="preserve">trial </w:t>
      </w:r>
      <w:r w:rsidRPr="006421E2">
        <w:t>developed bilateral leg fractures.</w:t>
      </w:r>
    </w:p>
    <w:p w14:paraId="32C5063D" w14:textId="77777777" w:rsidR="006421E2" w:rsidRPr="006421E2" w:rsidRDefault="006421E2" w:rsidP="007D2F65">
      <w:pPr>
        <w:pStyle w:val="Heading5"/>
      </w:pPr>
      <w:r w:rsidRPr="006421E2">
        <w:t>Safety-related conclusions</w:t>
      </w:r>
    </w:p>
    <w:p w14:paraId="4B8D0DE1" w14:textId="1A044252" w:rsidR="006421E2" w:rsidRPr="006421E2" w:rsidRDefault="006421E2" w:rsidP="006421E2">
      <w:pPr>
        <w:rPr>
          <w:lang w:val="en-US"/>
        </w:rPr>
      </w:pPr>
      <w:r w:rsidRPr="006421E2">
        <w:rPr>
          <w:lang w:val="en-US"/>
        </w:rPr>
        <w:t xml:space="preserve">The safety dataset is limited, both in population size (355 patients) and duration of exposure (median 5.5 months and maximum 42 months). It is also demographically heterogeneous, although ECOG </w:t>
      </w:r>
      <w:r w:rsidR="008E394F">
        <w:rPr>
          <w:lang w:val="en-US"/>
        </w:rPr>
        <w:t xml:space="preserve">performance status </w:t>
      </w:r>
      <w:r w:rsidRPr="006421E2">
        <w:rPr>
          <w:lang w:val="en-US"/>
        </w:rPr>
        <w:t xml:space="preserve">was mainly 0 or 1. The database is considered adequate to evaluate safety of entrectinib for the proposed usage in adults, in context of the rarity of both </w:t>
      </w:r>
      <w:r w:rsidRPr="007B0C16">
        <w:rPr>
          <w:i/>
          <w:lang w:val="en-US"/>
        </w:rPr>
        <w:t>NTRK</w:t>
      </w:r>
      <w:r w:rsidRPr="006421E2">
        <w:rPr>
          <w:lang w:val="en-US"/>
        </w:rPr>
        <w:t xml:space="preserve"> fusion-positive </w:t>
      </w:r>
      <w:proofErr w:type="spellStart"/>
      <w:r w:rsidRPr="006421E2">
        <w:rPr>
          <w:lang w:val="en-US"/>
        </w:rPr>
        <w:t>tumours</w:t>
      </w:r>
      <w:proofErr w:type="spellEnd"/>
      <w:r w:rsidRPr="006421E2">
        <w:rPr>
          <w:lang w:val="en-US"/>
        </w:rPr>
        <w:t xml:space="preserve"> and </w:t>
      </w:r>
      <w:r w:rsidRPr="007B0C16">
        <w:rPr>
          <w:i/>
          <w:lang w:val="en-US"/>
        </w:rPr>
        <w:t>ROS1</w:t>
      </w:r>
      <w:r w:rsidRPr="006421E2">
        <w:rPr>
          <w:lang w:val="en-US"/>
        </w:rPr>
        <w:t xml:space="preserve"> fusion-positive NSCLC, and the magnitude of the observed response rates.</w:t>
      </w:r>
    </w:p>
    <w:p w14:paraId="7D5A41A8" w14:textId="4956A792" w:rsidR="006421E2" w:rsidRPr="006421E2" w:rsidRDefault="006421E2" w:rsidP="006421E2">
      <w:pPr>
        <w:rPr>
          <w:lang w:val="en-US"/>
        </w:rPr>
      </w:pPr>
      <w:r w:rsidRPr="006421E2">
        <w:rPr>
          <w:lang w:val="en-US"/>
        </w:rPr>
        <w:t xml:space="preserve">The safety profile of entrectinib in the </w:t>
      </w:r>
      <w:proofErr w:type="spellStart"/>
      <w:r w:rsidRPr="006421E2">
        <w:rPr>
          <w:lang w:val="en-US"/>
        </w:rPr>
        <w:t>paediatric</w:t>
      </w:r>
      <w:proofErr w:type="spellEnd"/>
      <w:r w:rsidRPr="006421E2">
        <w:rPr>
          <w:lang w:val="en-US"/>
        </w:rPr>
        <w:t xml:space="preserve"> population is based on limited data (n</w:t>
      </w:r>
      <w:r w:rsidR="008E394F">
        <w:rPr>
          <w:lang w:val="en-US"/>
        </w:rPr>
        <w:t> </w:t>
      </w:r>
      <w:r w:rsidRPr="006421E2">
        <w:rPr>
          <w:lang w:val="en-US"/>
        </w:rPr>
        <w:t>=</w:t>
      </w:r>
      <w:r w:rsidR="008E394F">
        <w:rPr>
          <w:lang w:val="en-US"/>
        </w:rPr>
        <w:t> </w:t>
      </w:r>
      <w:r w:rsidRPr="006421E2">
        <w:rPr>
          <w:lang w:val="en-US"/>
        </w:rPr>
        <w:t>30). The FDA reviewer commented:</w:t>
      </w:r>
      <w:r w:rsidR="002549AE">
        <w:rPr>
          <w:lang w:val="en-US"/>
        </w:rPr>
        <w:fldChar w:fldCharType="begin"/>
      </w:r>
      <w:r w:rsidR="002549AE">
        <w:rPr>
          <w:lang w:val="en-US"/>
        </w:rPr>
        <w:instrText xml:space="preserve"> NOTEREF _Ref50554541 \f \h </w:instrText>
      </w:r>
      <w:r w:rsidR="002549AE">
        <w:rPr>
          <w:lang w:val="en-US"/>
        </w:rPr>
      </w:r>
      <w:r w:rsidR="002549AE">
        <w:rPr>
          <w:lang w:val="en-US"/>
        </w:rPr>
        <w:fldChar w:fldCharType="separate"/>
      </w:r>
      <w:r w:rsidR="005743D8" w:rsidRPr="005743D8">
        <w:rPr>
          <w:rStyle w:val="FootnoteReference"/>
        </w:rPr>
        <w:t>12</w:t>
      </w:r>
      <w:r w:rsidR="002549AE">
        <w:rPr>
          <w:lang w:val="en-US"/>
        </w:rPr>
        <w:fldChar w:fldCharType="end"/>
      </w:r>
    </w:p>
    <w:p w14:paraId="0A95D0D5" w14:textId="3EEF8B13" w:rsidR="006421E2" w:rsidRPr="0059218E" w:rsidRDefault="00783B4D" w:rsidP="00783B4D">
      <w:pPr>
        <w:ind w:left="720"/>
      </w:pPr>
      <w:r>
        <w:t>‘</w:t>
      </w:r>
      <w:r w:rsidR="006421E2" w:rsidRPr="00351F3A">
        <w:t xml:space="preserve">In addition to the increased incidence of skeletal fractures, </w:t>
      </w:r>
      <w:proofErr w:type="spellStart"/>
      <w:r w:rsidR="006421E2" w:rsidRPr="00351F3A">
        <w:t>cytopenias</w:t>
      </w:r>
      <w:proofErr w:type="spellEnd"/>
      <w:r w:rsidR="006421E2" w:rsidRPr="00351F3A">
        <w:t xml:space="preserve">, and elevated liver enzymes, infections appeared to be more common in the </w:t>
      </w:r>
      <w:proofErr w:type="spellStart"/>
      <w:r w:rsidR="006421E2" w:rsidRPr="00351F3A">
        <w:t>pediatric</w:t>
      </w:r>
      <w:proofErr w:type="spellEnd"/>
      <w:r w:rsidR="006421E2" w:rsidRPr="00351F3A">
        <w:t xml:space="preserve"> population; however, </w:t>
      </w:r>
      <w:proofErr w:type="spellStart"/>
      <w:r w:rsidR="006421E2" w:rsidRPr="00351F3A">
        <w:t>pediatric</w:t>
      </w:r>
      <w:proofErr w:type="spellEnd"/>
      <w:r w:rsidR="006421E2" w:rsidRPr="00351F3A">
        <w:t xml:space="preserve"> patients are prone to seasonal illnesses such upper respiratory infections and the symptoms that accompany them such as cough, nasal congestion.</w:t>
      </w:r>
    </w:p>
    <w:p w14:paraId="3079262A" w14:textId="1370331C" w:rsidR="006421E2" w:rsidRPr="00351F3A" w:rsidRDefault="006421E2" w:rsidP="00525F23">
      <w:pPr>
        <w:ind w:left="720"/>
      </w:pPr>
      <w:r w:rsidRPr="00140D98">
        <w:t xml:space="preserve">As noted above, due to the small number of </w:t>
      </w:r>
      <w:proofErr w:type="spellStart"/>
      <w:r w:rsidRPr="00140D98">
        <w:t>pediatric</w:t>
      </w:r>
      <w:proofErr w:type="spellEnd"/>
      <w:r w:rsidRPr="00140D98">
        <w:t xml:space="preserve"> patients, the modest size of the safety database in adults (n</w:t>
      </w:r>
      <w:r w:rsidR="00F2463B">
        <w:t xml:space="preserve"> </w:t>
      </w:r>
      <w:r w:rsidRPr="00140D98">
        <w:t>=</w:t>
      </w:r>
      <w:r w:rsidR="00F2463B">
        <w:t xml:space="preserve"> </w:t>
      </w:r>
      <w:r w:rsidRPr="00140D98">
        <w:t xml:space="preserve">338), the single arm design of clinical studies of entrectinib, and confounding factors such as differences in susceptibility to </w:t>
      </w:r>
      <w:r w:rsidRPr="00140D98">
        <w:lastRenderedPageBreak/>
        <w:t xml:space="preserve">infections between </w:t>
      </w:r>
      <w:proofErr w:type="spellStart"/>
      <w:r w:rsidRPr="00140D98">
        <w:t>pediatric</w:t>
      </w:r>
      <w:proofErr w:type="spellEnd"/>
      <w:r w:rsidRPr="00140D98">
        <w:t xml:space="preserve"> and adult patients, it is not possible to determine whether differences in the incidence of adverse reactions to entrectinib are related to patient age or other factors.</w:t>
      </w:r>
      <w:r w:rsidR="00783B4D">
        <w:t>’</w:t>
      </w:r>
    </w:p>
    <w:p w14:paraId="32B9E83C" w14:textId="30C89FEB" w:rsidR="006421E2" w:rsidRPr="006421E2" w:rsidRDefault="006421E2" w:rsidP="006421E2">
      <w:pPr>
        <w:rPr>
          <w:lang w:val="en-US"/>
        </w:rPr>
      </w:pPr>
      <w:r w:rsidRPr="006421E2">
        <w:rPr>
          <w:lang w:val="en-US"/>
        </w:rPr>
        <w:t xml:space="preserve">The adverse effect profile observed across the trials appears to be consistent with the mechanism of action of the drug, and the studied population. As entrectinib crosses the blood-brain barrier and neurotoxicity appears to be a TRK inhibitor class effect, the high rate of observed neurological adverse events was foreseeable. Adverse effects included cognitive, mood, sensory (visual, proprioceptive, satiety), </w:t>
      </w:r>
      <w:proofErr w:type="spellStart"/>
      <w:r w:rsidRPr="006421E2">
        <w:rPr>
          <w:lang w:val="en-US"/>
        </w:rPr>
        <w:t>dyspnoea</w:t>
      </w:r>
      <w:proofErr w:type="spellEnd"/>
      <w:r w:rsidRPr="006421E2">
        <w:rPr>
          <w:lang w:val="en-US"/>
        </w:rPr>
        <w:t xml:space="preserve"> and sleep disorders, as well as cardiac failure and skeletal fractures (particularly in the </w:t>
      </w:r>
      <w:proofErr w:type="spellStart"/>
      <w:r w:rsidRPr="006421E2">
        <w:rPr>
          <w:lang w:val="en-US"/>
        </w:rPr>
        <w:t>paediatric</w:t>
      </w:r>
      <w:proofErr w:type="spellEnd"/>
      <w:r w:rsidRPr="006421E2">
        <w:rPr>
          <w:lang w:val="en-US"/>
        </w:rPr>
        <w:t xml:space="preserve"> population). Monitoring will be required for QT</w:t>
      </w:r>
      <w:r w:rsidR="002549AE">
        <w:rPr>
          <w:lang w:val="en-US"/>
        </w:rPr>
        <w:t>;</w:t>
      </w:r>
      <w:r w:rsidR="002549AE">
        <w:rPr>
          <w:lang w:val="en-US"/>
        </w:rPr>
        <w:fldChar w:fldCharType="begin"/>
      </w:r>
      <w:r w:rsidR="002549AE">
        <w:rPr>
          <w:lang w:val="en-US"/>
        </w:rPr>
        <w:instrText xml:space="preserve"> NOTEREF _Ref50555702 \f \h </w:instrText>
      </w:r>
      <w:r w:rsidR="002549AE">
        <w:rPr>
          <w:lang w:val="en-US"/>
        </w:rPr>
      </w:r>
      <w:r w:rsidR="002549AE">
        <w:rPr>
          <w:lang w:val="en-US"/>
        </w:rPr>
        <w:fldChar w:fldCharType="separate"/>
      </w:r>
      <w:r w:rsidR="005743D8" w:rsidRPr="005743D8">
        <w:rPr>
          <w:rStyle w:val="FootnoteReference"/>
        </w:rPr>
        <w:t>14</w:t>
      </w:r>
      <w:r w:rsidR="002549AE">
        <w:rPr>
          <w:lang w:val="en-US"/>
        </w:rPr>
        <w:fldChar w:fldCharType="end"/>
      </w:r>
      <w:r w:rsidRPr="006421E2">
        <w:rPr>
          <w:lang w:val="en-US"/>
        </w:rPr>
        <w:t xml:space="preserve"> prolongation, liver enzyme elevation and </w:t>
      </w:r>
      <w:proofErr w:type="spellStart"/>
      <w:r w:rsidRPr="006421E2">
        <w:rPr>
          <w:lang w:val="en-US"/>
        </w:rPr>
        <w:t>hyperuricaemia</w:t>
      </w:r>
      <w:proofErr w:type="spellEnd"/>
      <w:r w:rsidRPr="006421E2">
        <w:rPr>
          <w:lang w:val="en-US"/>
        </w:rPr>
        <w:t>.</w:t>
      </w:r>
    </w:p>
    <w:p w14:paraId="210F0A82" w14:textId="32DC3860" w:rsidR="006421E2" w:rsidRPr="006421E2" w:rsidRDefault="006421E2" w:rsidP="006421E2">
      <w:pPr>
        <w:rPr>
          <w:lang w:val="en-US"/>
        </w:rPr>
      </w:pPr>
      <w:r w:rsidRPr="006421E2">
        <w:rPr>
          <w:lang w:val="en-US"/>
        </w:rPr>
        <w:t>Serious and fatal adverse events predominantly appear consistent w</w:t>
      </w:r>
      <w:r w:rsidR="004F58A2">
        <w:rPr>
          <w:lang w:val="en-US"/>
        </w:rPr>
        <w:t xml:space="preserve">ith disease progression, cancer </w:t>
      </w:r>
      <w:r w:rsidRPr="006421E2">
        <w:rPr>
          <w:lang w:val="en-US"/>
        </w:rPr>
        <w:t>related c</w:t>
      </w:r>
      <w:r w:rsidR="004F58A2">
        <w:rPr>
          <w:lang w:val="en-US"/>
        </w:rPr>
        <w:t xml:space="preserve">onditions or oncology treatment </w:t>
      </w:r>
      <w:r w:rsidRPr="006421E2">
        <w:rPr>
          <w:lang w:val="en-US"/>
        </w:rPr>
        <w:t xml:space="preserve">related adverse effects, but causality in a case of completed suicide can’t be discounted due to the observed potential for neurological adverse events including mood and cognitive change. Another fatal adverse event concerned a patient who died from tumor lysis syndrome, and for whom </w:t>
      </w:r>
      <w:r w:rsidR="00F40A0C">
        <w:t>G</w:t>
      </w:r>
      <w:r w:rsidR="00F40A0C" w:rsidRPr="00A56ACE">
        <w:t>rade</w:t>
      </w:r>
      <w:r w:rsidRPr="006421E2">
        <w:rPr>
          <w:lang w:val="en-US"/>
        </w:rPr>
        <w:t xml:space="preserve"> 4 uric acid elevation was also present. Given the lack of a comparator arm and the small safety database (too small to reliably detect rare events), the interpretation of safety data is difficult, and safety data represented in the PI should be comprehensive, regardless of causality attribution.</w:t>
      </w:r>
    </w:p>
    <w:p w14:paraId="5912E65B" w14:textId="47773855" w:rsidR="006421E2" w:rsidRPr="006421E2" w:rsidRDefault="006421E2" w:rsidP="006421E2">
      <w:pPr>
        <w:rPr>
          <w:lang w:val="en-US"/>
        </w:rPr>
      </w:pPr>
      <w:r w:rsidRPr="006421E2">
        <w:rPr>
          <w:lang w:val="en-US"/>
        </w:rPr>
        <w:t xml:space="preserve">Of the adverse events of special interest reviewed by </w:t>
      </w:r>
      <w:r w:rsidR="008E394F">
        <w:rPr>
          <w:lang w:val="en-US"/>
        </w:rPr>
        <w:t xml:space="preserve">the </w:t>
      </w:r>
      <w:r w:rsidRPr="006421E2">
        <w:rPr>
          <w:lang w:val="en-US"/>
        </w:rPr>
        <w:t>FDA, a number were not included in labelling:</w:t>
      </w:r>
      <w:r w:rsidR="009A4678">
        <w:rPr>
          <w:rStyle w:val="FootnoteReference"/>
          <w:lang w:val="en-US"/>
        </w:rPr>
        <w:footnoteReference w:id="34"/>
      </w:r>
    </w:p>
    <w:p w14:paraId="451C15B0" w14:textId="58D4C3FE" w:rsidR="006421E2" w:rsidRPr="00351F3A" w:rsidRDefault="00783B4D" w:rsidP="00783B4D">
      <w:pPr>
        <w:ind w:left="720"/>
      </w:pPr>
      <w:r>
        <w:t>‘</w:t>
      </w:r>
      <w:r w:rsidR="006421E2" w:rsidRPr="00351F3A">
        <w:t>AESI that were not included in the W&amp;P section of the entrectinib product label included weight changes and clinically relevant adverse reactions occurring in &lt;</w:t>
      </w:r>
      <w:r w:rsidR="00AD3CCF">
        <w:t xml:space="preserve"> </w:t>
      </w:r>
      <w:r w:rsidR="006421E2" w:rsidRPr="00351F3A">
        <w:t>10% of patients such as dysphagia (10%), fall (8%), pleural effusion (8%), syncope (3.9%), pulmonary embolism (4%), and hypoxia (4%). After assessment of the narratives and review of Genentech’s responses to multiple FDA IRs, the reviewers decided that inclusion of these adverse events in the W&amp;P section was not warranted either because a causal relationship between the AE and entrectinib was unclear or inclusion in the W&amp;P section was not necessary given that oncologists are t</w:t>
      </w:r>
      <w:r w:rsidR="006421E2" w:rsidRPr="0059218E">
        <w:t>ypically skilled in managing a variety of adverse reactions to drugs, including those described above.</w:t>
      </w:r>
      <w:r>
        <w:t>’</w:t>
      </w:r>
    </w:p>
    <w:p w14:paraId="6178D89A" w14:textId="3889CDE0" w:rsidR="006421E2" w:rsidRPr="006421E2" w:rsidRDefault="006421E2" w:rsidP="006421E2">
      <w:r w:rsidRPr="006421E2">
        <w:t xml:space="preserve">The FDA analyses of events, including term grouping, and label content for adverse effects and warnings/precautions was developed in consultation with expert clinicians (neurology, bone, ophthalmology) in the relevant fields. The Australian </w:t>
      </w:r>
      <w:r w:rsidR="0031218C">
        <w:t>P</w:t>
      </w:r>
      <w:r w:rsidRPr="006421E2">
        <w:t xml:space="preserve">roduct </w:t>
      </w:r>
      <w:r w:rsidR="0031218C">
        <w:t>I</w:t>
      </w:r>
      <w:r w:rsidRPr="006421E2">
        <w:t xml:space="preserve">nformation wording should be aligned with the FDA labelling for international harmonisation, and based on the clinical expertise that was involved in the </w:t>
      </w:r>
      <w:r w:rsidR="006B6C6E">
        <w:t>development of the content.</w:t>
      </w:r>
    </w:p>
    <w:p w14:paraId="164DD610" w14:textId="7792F549" w:rsidR="008E7846" w:rsidRDefault="00386150" w:rsidP="007B6132">
      <w:pPr>
        <w:pStyle w:val="Heading3"/>
        <w:rPr>
          <w:lang w:eastAsia="en-AU"/>
        </w:rPr>
      </w:pPr>
      <w:bookmarkStart w:id="80" w:name="_Toc52891258"/>
      <w:r>
        <w:rPr>
          <w:lang w:eastAsia="en-AU"/>
        </w:rPr>
        <w:t>Risk m</w:t>
      </w:r>
      <w:r w:rsidR="008E7846">
        <w:rPr>
          <w:lang w:eastAsia="en-AU"/>
        </w:rPr>
        <w:t xml:space="preserve">anagement </w:t>
      </w:r>
      <w:r>
        <w:rPr>
          <w:lang w:eastAsia="en-AU"/>
        </w:rPr>
        <w:t>p</w:t>
      </w:r>
      <w:r w:rsidR="008E7846">
        <w:rPr>
          <w:lang w:eastAsia="en-AU"/>
        </w:rPr>
        <w:t>lan</w:t>
      </w:r>
      <w:bookmarkEnd w:id="45"/>
      <w:bookmarkEnd w:id="80"/>
    </w:p>
    <w:p w14:paraId="692771AF" w14:textId="577EE1BB" w:rsidR="0031218C" w:rsidRDefault="0031218C" w:rsidP="008E394F">
      <w:r>
        <w:t>The sponsor</w:t>
      </w:r>
      <w:r w:rsidRPr="0031218C">
        <w:t xml:space="preserve"> has submitted the draft </w:t>
      </w:r>
      <w:r w:rsidR="008E394F">
        <w:t>EU-</w:t>
      </w:r>
      <w:r>
        <w:t>risk management plan (</w:t>
      </w:r>
      <w:r w:rsidRPr="0031218C">
        <w:t>RMP</w:t>
      </w:r>
      <w:r>
        <w:t>)</w:t>
      </w:r>
      <w:r w:rsidRPr="0031218C">
        <w:t xml:space="preserve"> version 1.0 (dated 18 December 2018; </w:t>
      </w:r>
      <w:r>
        <w:t>data lock point (</w:t>
      </w:r>
      <w:r w:rsidRPr="0031218C">
        <w:t>DLP</w:t>
      </w:r>
      <w:r>
        <w:t>)</w:t>
      </w:r>
      <w:r w:rsidRPr="0031218C">
        <w:t xml:space="preserve"> 15 November 2018) and </w:t>
      </w:r>
      <w:r>
        <w:t>Australian specific Annex (</w:t>
      </w:r>
      <w:r w:rsidRPr="0031218C">
        <w:t>ASA</w:t>
      </w:r>
      <w:r>
        <w:t>)</w:t>
      </w:r>
      <w:r w:rsidRPr="0031218C">
        <w:t xml:space="preserve"> version 1.0 (dated May 2019) in support of this application. At </w:t>
      </w:r>
      <w:r>
        <w:t>the second round of evaluation</w:t>
      </w:r>
      <w:r w:rsidRPr="0031218C">
        <w:t xml:space="preserve">, the sponsor submitted updated versions: EU-RMP version 1.2 (dated 6 November 2019; DLP 31 October 2018) and ASA version 2.0 (dated December 2019). </w:t>
      </w:r>
      <w:r w:rsidR="008E394F">
        <w:t xml:space="preserve">Following </w:t>
      </w:r>
      <w:r>
        <w:t>the second round of evaluation</w:t>
      </w:r>
      <w:r w:rsidRPr="0031218C">
        <w:t>, the sponsor submitted an updated ASA version 3.0 (dated February 2020) and an updated conversion strategy for full registration.</w:t>
      </w:r>
    </w:p>
    <w:p w14:paraId="7D6938A3" w14:textId="76D8B15F" w:rsidR="00CF1E77" w:rsidRPr="009C0CE3" w:rsidRDefault="00CF1E77" w:rsidP="00CF1E77">
      <w:pPr>
        <w:rPr>
          <w:rFonts w:asciiTheme="minorHAnsi" w:hAnsiTheme="minorHAnsi" w:cs="Calibri"/>
        </w:rPr>
      </w:pPr>
      <w:r w:rsidRPr="009C0CE3">
        <w:rPr>
          <w:rFonts w:asciiTheme="minorHAnsi" w:hAnsiTheme="minorHAnsi" w:cs="Calibri"/>
        </w:rPr>
        <w:lastRenderedPageBreak/>
        <w:t>The RMP summary of safety concerns and their associated risk monitoring and mitigation strategies (versions as at December 2019) are summarised in</w:t>
      </w:r>
      <w:r w:rsidR="0010500F">
        <w:rPr>
          <w:rFonts w:asciiTheme="minorHAnsi" w:hAnsiTheme="minorHAnsi" w:cs="Calibri"/>
        </w:rPr>
        <w:t xml:space="preserve"> </w:t>
      </w:r>
      <w:r w:rsidR="000128B2">
        <w:rPr>
          <w:rFonts w:asciiTheme="minorHAnsi" w:hAnsiTheme="minorHAnsi" w:cs="Calibri"/>
        </w:rPr>
        <w:fldChar w:fldCharType="begin"/>
      </w:r>
      <w:r w:rsidR="000128B2">
        <w:rPr>
          <w:rFonts w:asciiTheme="minorHAnsi" w:hAnsiTheme="minorHAnsi" w:cs="Calibri"/>
        </w:rPr>
        <w:instrText xml:space="preserve"> REF _Ref50556579 \h </w:instrText>
      </w:r>
      <w:r w:rsidR="000128B2">
        <w:rPr>
          <w:rFonts w:asciiTheme="minorHAnsi" w:hAnsiTheme="minorHAnsi" w:cs="Calibri"/>
        </w:rPr>
      </w:r>
      <w:r w:rsidR="000128B2">
        <w:rPr>
          <w:rFonts w:asciiTheme="minorHAnsi" w:hAnsiTheme="minorHAnsi" w:cs="Calibri"/>
        </w:rPr>
        <w:fldChar w:fldCharType="separate"/>
      </w:r>
      <w:r w:rsidR="005743D8" w:rsidRPr="005A1349">
        <w:t xml:space="preserve">Table </w:t>
      </w:r>
      <w:r w:rsidR="005743D8">
        <w:rPr>
          <w:noProof/>
        </w:rPr>
        <w:t>27</w:t>
      </w:r>
      <w:r w:rsidR="000128B2">
        <w:rPr>
          <w:rFonts w:asciiTheme="minorHAnsi" w:hAnsiTheme="minorHAnsi" w:cs="Calibri"/>
        </w:rPr>
        <w:fldChar w:fldCharType="end"/>
      </w:r>
      <w:r w:rsidRPr="009C0CE3">
        <w:rPr>
          <w:rFonts w:asciiTheme="minorHAnsi" w:hAnsiTheme="minorHAnsi" w:cs="Calibri"/>
        </w:rPr>
        <w:t>.</w:t>
      </w:r>
      <w:r w:rsidR="007B0C16">
        <w:rPr>
          <w:rStyle w:val="FootnoteReference"/>
          <w:rFonts w:asciiTheme="minorHAnsi" w:hAnsiTheme="minorHAnsi" w:cs="Calibri"/>
        </w:rPr>
        <w:footnoteReference w:id="35"/>
      </w:r>
    </w:p>
    <w:p w14:paraId="48AEC4F8" w14:textId="3F1C121C" w:rsidR="00CF1E77" w:rsidRPr="009C0CE3" w:rsidRDefault="005A1349" w:rsidP="005A1349">
      <w:pPr>
        <w:pStyle w:val="TableTitle"/>
      </w:pPr>
      <w:bookmarkStart w:id="81" w:name="_Ref50556579"/>
      <w:r w:rsidRPr="005A1349">
        <w:t xml:space="preserve">Table </w:t>
      </w:r>
      <w:fldSimple w:instr=" SEQ Table \* ARABIC ">
        <w:r w:rsidR="009B407B">
          <w:rPr>
            <w:noProof/>
          </w:rPr>
          <w:t>33</w:t>
        </w:r>
      </w:fldSimple>
      <w:bookmarkEnd w:id="81"/>
      <w:r w:rsidR="005F2697">
        <w:t>:</w:t>
      </w:r>
      <w:r w:rsidR="00CF1E77" w:rsidRPr="009C0CE3">
        <w:t xml:space="preserve"> </w:t>
      </w:r>
      <w:r w:rsidR="008E394F">
        <w:t xml:space="preserve">Sponsor’s </w:t>
      </w:r>
      <w:r w:rsidR="00CF1E77" w:rsidRPr="009C0CE3">
        <w:t>summary of safety concerns list with monitoring and mitigation strategies</w:t>
      </w:r>
    </w:p>
    <w:tbl>
      <w:tblPr>
        <w:tblStyle w:val="TableTGAblue"/>
        <w:tblW w:w="5086" w:type="pct"/>
        <w:tblLayout w:type="fixed"/>
        <w:tblLook w:val="04A0" w:firstRow="1" w:lastRow="0" w:firstColumn="1" w:lastColumn="0" w:noHBand="0" w:noVBand="1"/>
      </w:tblPr>
      <w:tblGrid>
        <w:gridCol w:w="1342"/>
        <w:gridCol w:w="3331"/>
        <w:gridCol w:w="899"/>
        <w:gridCol w:w="1079"/>
        <w:gridCol w:w="899"/>
        <w:gridCol w:w="1080"/>
      </w:tblGrid>
      <w:tr w:rsidR="00CF1E77" w:rsidRPr="009C0CE3" w14:paraId="0ED8CC0C" w14:textId="77777777" w:rsidTr="007B0C16">
        <w:trPr>
          <w:cnfStyle w:val="100000000000" w:firstRow="1" w:lastRow="0" w:firstColumn="0" w:lastColumn="0" w:oddVBand="0" w:evenVBand="0" w:oddHBand="0" w:evenHBand="0" w:firstRowFirstColumn="0" w:firstRowLastColumn="0" w:lastRowFirstColumn="0" w:lastRowLastColumn="0"/>
          <w:trHeight w:val="131"/>
        </w:trPr>
        <w:tc>
          <w:tcPr>
            <w:tcW w:w="2707" w:type="pct"/>
            <w:gridSpan w:val="2"/>
            <w:vMerge w:val="restart"/>
          </w:tcPr>
          <w:p w14:paraId="73C72C64" w14:textId="77777777" w:rsidR="00CF1E77" w:rsidRPr="009C0CE3" w:rsidRDefault="00CF1E77" w:rsidP="007D2F65">
            <w:pPr>
              <w:pStyle w:val="Tabletext"/>
              <w:ind w:left="0" w:right="0"/>
              <w:rPr>
                <w:rFonts w:asciiTheme="minorHAnsi" w:hAnsiTheme="minorHAnsi" w:cs="Calibri"/>
                <w:b w:val="0"/>
                <w:szCs w:val="19"/>
              </w:rPr>
            </w:pPr>
            <w:r w:rsidRPr="009C0CE3">
              <w:rPr>
                <w:rFonts w:asciiTheme="minorHAnsi" w:hAnsiTheme="minorHAnsi" w:cs="Calibri"/>
                <w:b w:val="0"/>
                <w:szCs w:val="19"/>
              </w:rPr>
              <w:t>Summary of safety concerns</w:t>
            </w:r>
          </w:p>
        </w:tc>
        <w:tc>
          <w:tcPr>
            <w:tcW w:w="1146" w:type="pct"/>
            <w:gridSpan w:val="2"/>
          </w:tcPr>
          <w:p w14:paraId="3AFEF16A" w14:textId="77777777" w:rsidR="00CF1E77" w:rsidRPr="009C0CE3" w:rsidRDefault="00CF1E77" w:rsidP="007D2F65">
            <w:pPr>
              <w:pStyle w:val="Tabletext"/>
              <w:ind w:left="0" w:right="0"/>
              <w:rPr>
                <w:rFonts w:asciiTheme="minorHAnsi" w:hAnsiTheme="minorHAnsi" w:cs="Calibri"/>
                <w:b w:val="0"/>
                <w:szCs w:val="19"/>
              </w:rPr>
            </w:pPr>
            <w:r w:rsidRPr="009C0CE3">
              <w:rPr>
                <w:rFonts w:asciiTheme="minorHAnsi" w:hAnsiTheme="minorHAnsi" w:cs="Calibri"/>
                <w:b w:val="0"/>
                <w:szCs w:val="19"/>
              </w:rPr>
              <w:t>Pharmacovigilance</w:t>
            </w:r>
          </w:p>
        </w:tc>
        <w:tc>
          <w:tcPr>
            <w:tcW w:w="1147" w:type="pct"/>
            <w:gridSpan w:val="2"/>
          </w:tcPr>
          <w:p w14:paraId="6180375D" w14:textId="57F7ED92" w:rsidR="00CF1E77" w:rsidRPr="009C0CE3" w:rsidRDefault="00CF1E77" w:rsidP="007D2F65">
            <w:pPr>
              <w:pStyle w:val="Tabletext"/>
              <w:ind w:left="0" w:right="0"/>
              <w:rPr>
                <w:rFonts w:asciiTheme="minorHAnsi" w:hAnsiTheme="minorHAnsi" w:cs="Calibri"/>
                <w:b w:val="0"/>
                <w:szCs w:val="19"/>
              </w:rPr>
            </w:pPr>
            <w:r w:rsidRPr="009C0CE3">
              <w:rPr>
                <w:rFonts w:asciiTheme="minorHAnsi" w:hAnsiTheme="minorHAnsi" w:cs="Calibri"/>
                <w:b w:val="0"/>
                <w:szCs w:val="19"/>
              </w:rPr>
              <w:t xml:space="preserve">Risk </w:t>
            </w:r>
            <w:r w:rsidR="005F2697">
              <w:rPr>
                <w:rFonts w:asciiTheme="minorHAnsi" w:hAnsiTheme="minorHAnsi" w:cs="Calibri"/>
                <w:b w:val="0"/>
                <w:szCs w:val="19"/>
              </w:rPr>
              <w:t>m</w:t>
            </w:r>
            <w:r w:rsidRPr="009C0CE3">
              <w:rPr>
                <w:rFonts w:asciiTheme="minorHAnsi" w:hAnsiTheme="minorHAnsi" w:cs="Calibri"/>
                <w:b w:val="0"/>
                <w:szCs w:val="19"/>
              </w:rPr>
              <w:t>inimisation</w:t>
            </w:r>
          </w:p>
        </w:tc>
      </w:tr>
      <w:tr w:rsidR="00CF1E77" w:rsidRPr="009C0CE3" w14:paraId="6D2CF50D" w14:textId="77777777" w:rsidTr="007B0C16">
        <w:trPr>
          <w:trHeight w:val="150"/>
        </w:trPr>
        <w:tc>
          <w:tcPr>
            <w:tcW w:w="2707" w:type="pct"/>
            <w:gridSpan w:val="2"/>
            <w:vMerge/>
          </w:tcPr>
          <w:p w14:paraId="2E1892FF" w14:textId="77777777" w:rsidR="00CF1E77" w:rsidRPr="009C0CE3" w:rsidRDefault="00CF1E77" w:rsidP="007D2F65">
            <w:pPr>
              <w:pStyle w:val="Tabletext"/>
              <w:ind w:left="0" w:right="0"/>
              <w:rPr>
                <w:rFonts w:asciiTheme="minorHAnsi" w:hAnsiTheme="minorHAnsi" w:cs="Calibri"/>
                <w:b/>
                <w:color w:val="FFFFFF" w:themeColor="background1"/>
                <w:szCs w:val="19"/>
              </w:rPr>
            </w:pPr>
          </w:p>
        </w:tc>
        <w:tc>
          <w:tcPr>
            <w:tcW w:w="521" w:type="pct"/>
          </w:tcPr>
          <w:p w14:paraId="7FCC01AC" w14:textId="03E3BEC5" w:rsidR="00CF1E77" w:rsidRPr="007D2F65" w:rsidRDefault="00CF1E77" w:rsidP="007D2F65">
            <w:pPr>
              <w:pStyle w:val="Tabletext"/>
              <w:ind w:left="0" w:right="0"/>
              <w:rPr>
                <w:rFonts w:asciiTheme="minorHAnsi" w:hAnsiTheme="minorHAnsi" w:cs="Calibri"/>
                <w:color w:val="auto"/>
                <w:szCs w:val="19"/>
              </w:rPr>
            </w:pPr>
            <w:r w:rsidRPr="007D2F65">
              <w:rPr>
                <w:rFonts w:asciiTheme="minorHAnsi" w:hAnsiTheme="minorHAnsi" w:cs="Calibri"/>
                <w:color w:val="auto"/>
                <w:szCs w:val="19"/>
              </w:rPr>
              <w:t>Routine</w:t>
            </w:r>
          </w:p>
        </w:tc>
        <w:tc>
          <w:tcPr>
            <w:tcW w:w="625" w:type="pct"/>
          </w:tcPr>
          <w:p w14:paraId="506916CC" w14:textId="77777777" w:rsidR="00CF1E77" w:rsidRPr="007D2F65" w:rsidRDefault="00CF1E77" w:rsidP="007D2F65">
            <w:pPr>
              <w:pStyle w:val="Tabletext"/>
              <w:ind w:left="0" w:right="0"/>
              <w:rPr>
                <w:rFonts w:asciiTheme="minorHAnsi" w:hAnsiTheme="minorHAnsi" w:cs="Calibri"/>
                <w:color w:val="auto"/>
                <w:szCs w:val="19"/>
              </w:rPr>
            </w:pPr>
            <w:r w:rsidRPr="007D2F65">
              <w:rPr>
                <w:rFonts w:asciiTheme="minorHAnsi" w:hAnsiTheme="minorHAnsi" w:cs="Calibri"/>
                <w:color w:val="auto"/>
                <w:szCs w:val="19"/>
              </w:rPr>
              <w:t>Additional</w:t>
            </w:r>
          </w:p>
        </w:tc>
        <w:tc>
          <w:tcPr>
            <w:tcW w:w="521" w:type="pct"/>
          </w:tcPr>
          <w:p w14:paraId="6A9C7EED" w14:textId="77777777" w:rsidR="00CF1E77" w:rsidRPr="007D2F65" w:rsidRDefault="00CF1E77" w:rsidP="007D2F65">
            <w:pPr>
              <w:pStyle w:val="Tabletext"/>
              <w:ind w:left="0" w:right="0"/>
              <w:rPr>
                <w:rFonts w:asciiTheme="minorHAnsi" w:hAnsiTheme="minorHAnsi" w:cs="Calibri"/>
                <w:color w:val="auto"/>
                <w:szCs w:val="19"/>
              </w:rPr>
            </w:pPr>
            <w:r w:rsidRPr="007D2F65">
              <w:rPr>
                <w:rFonts w:asciiTheme="minorHAnsi" w:hAnsiTheme="minorHAnsi" w:cs="Calibri"/>
                <w:color w:val="auto"/>
                <w:szCs w:val="19"/>
              </w:rPr>
              <w:t>Routine</w:t>
            </w:r>
          </w:p>
        </w:tc>
        <w:tc>
          <w:tcPr>
            <w:tcW w:w="626" w:type="pct"/>
          </w:tcPr>
          <w:p w14:paraId="10BE3CBE" w14:textId="77777777" w:rsidR="00CF1E77" w:rsidRPr="007D2F65" w:rsidRDefault="00CF1E77" w:rsidP="007D2F65">
            <w:pPr>
              <w:pStyle w:val="Tabletext"/>
              <w:ind w:left="0" w:right="0"/>
              <w:rPr>
                <w:rFonts w:asciiTheme="minorHAnsi" w:hAnsiTheme="minorHAnsi" w:cs="Calibri"/>
                <w:color w:val="auto"/>
                <w:szCs w:val="19"/>
              </w:rPr>
            </w:pPr>
            <w:r w:rsidRPr="007D2F65">
              <w:rPr>
                <w:rFonts w:asciiTheme="minorHAnsi" w:hAnsiTheme="minorHAnsi" w:cs="Calibri"/>
                <w:color w:val="auto"/>
                <w:szCs w:val="19"/>
              </w:rPr>
              <w:t>Additional</w:t>
            </w:r>
          </w:p>
        </w:tc>
      </w:tr>
      <w:tr w:rsidR="00CF1E77" w:rsidRPr="009C0CE3" w14:paraId="7922B4AE" w14:textId="77777777" w:rsidTr="007B0C16">
        <w:trPr>
          <w:trHeight w:val="137"/>
        </w:trPr>
        <w:tc>
          <w:tcPr>
            <w:tcW w:w="777" w:type="pct"/>
            <w:vMerge w:val="restart"/>
          </w:tcPr>
          <w:p w14:paraId="70C1DE1E" w14:textId="77777777" w:rsidR="00CF1E77" w:rsidRPr="009C0CE3" w:rsidRDefault="00CF1E77" w:rsidP="007D2F65">
            <w:pPr>
              <w:pStyle w:val="Tabletext"/>
              <w:ind w:left="0" w:right="0"/>
              <w:rPr>
                <w:rFonts w:asciiTheme="minorHAnsi" w:hAnsiTheme="minorHAnsi" w:cs="Calibri"/>
                <w:b/>
                <w:szCs w:val="19"/>
              </w:rPr>
            </w:pPr>
            <w:r w:rsidRPr="009C0CE3">
              <w:rPr>
                <w:rFonts w:asciiTheme="minorHAnsi" w:hAnsiTheme="minorHAnsi" w:cs="Calibri"/>
                <w:b/>
                <w:szCs w:val="19"/>
              </w:rPr>
              <w:t>Important identified risks</w:t>
            </w:r>
          </w:p>
        </w:tc>
        <w:tc>
          <w:tcPr>
            <w:tcW w:w="1930" w:type="pct"/>
          </w:tcPr>
          <w:p w14:paraId="58732267" w14:textId="77777777" w:rsidR="00CF1E77" w:rsidRPr="009C0CE3" w:rsidRDefault="00CF1E77" w:rsidP="007D2F65">
            <w:pPr>
              <w:autoSpaceDE w:val="0"/>
              <w:autoSpaceDN w:val="0"/>
              <w:adjustRightInd w:val="0"/>
              <w:ind w:left="0" w:right="0"/>
              <w:rPr>
                <w:rFonts w:asciiTheme="minorHAnsi" w:hAnsiTheme="minorHAnsi" w:cs="Calibri"/>
                <w:sz w:val="19"/>
                <w:szCs w:val="19"/>
              </w:rPr>
            </w:pPr>
            <w:r w:rsidRPr="009C0CE3">
              <w:rPr>
                <w:rFonts w:asciiTheme="minorHAnsi" w:hAnsiTheme="minorHAnsi" w:cs="Calibri"/>
                <w:sz w:val="19"/>
                <w:szCs w:val="19"/>
              </w:rPr>
              <w:t>Congestive heart failure</w:t>
            </w:r>
          </w:p>
        </w:tc>
        <w:tc>
          <w:tcPr>
            <w:tcW w:w="521" w:type="pct"/>
          </w:tcPr>
          <w:p w14:paraId="53FBACD9"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7922DC17"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sym w:font="Wingdings" w:char="F0FC"/>
            </w:r>
          </w:p>
        </w:tc>
        <w:tc>
          <w:tcPr>
            <w:tcW w:w="521" w:type="pct"/>
          </w:tcPr>
          <w:p w14:paraId="496267B3"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6" w:type="pct"/>
          </w:tcPr>
          <w:p w14:paraId="5F3115EB"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t>–</w:t>
            </w:r>
          </w:p>
        </w:tc>
      </w:tr>
      <w:tr w:rsidR="00CF1E77" w:rsidRPr="009C0CE3" w14:paraId="35330335" w14:textId="77777777" w:rsidTr="007B0C16">
        <w:trPr>
          <w:trHeight w:val="94"/>
        </w:trPr>
        <w:tc>
          <w:tcPr>
            <w:tcW w:w="777" w:type="pct"/>
            <w:vMerge/>
          </w:tcPr>
          <w:p w14:paraId="437A6F05" w14:textId="77777777" w:rsidR="00CF1E77" w:rsidRPr="009C0CE3" w:rsidRDefault="00CF1E77" w:rsidP="007D2F65">
            <w:pPr>
              <w:pStyle w:val="Tabletext"/>
              <w:ind w:left="0" w:right="0"/>
              <w:rPr>
                <w:rFonts w:asciiTheme="minorHAnsi" w:hAnsiTheme="minorHAnsi" w:cs="Calibri"/>
                <w:b/>
                <w:szCs w:val="19"/>
              </w:rPr>
            </w:pPr>
          </w:p>
        </w:tc>
        <w:tc>
          <w:tcPr>
            <w:tcW w:w="1930" w:type="pct"/>
          </w:tcPr>
          <w:p w14:paraId="4B01FDBD" w14:textId="77777777" w:rsidR="00CF1E77" w:rsidRPr="009C0CE3" w:rsidRDefault="00CF1E77" w:rsidP="007D2F65">
            <w:pPr>
              <w:pStyle w:val="Tabletext"/>
              <w:ind w:left="0" w:right="0"/>
              <w:rPr>
                <w:rFonts w:asciiTheme="minorHAnsi" w:hAnsiTheme="minorHAnsi" w:cs="Calibri"/>
                <w:szCs w:val="19"/>
              </w:rPr>
            </w:pPr>
            <w:r w:rsidRPr="009C0CE3">
              <w:rPr>
                <w:rFonts w:asciiTheme="minorHAnsi" w:hAnsiTheme="minorHAnsi" w:cs="Calibri"/>
                <w:szCs w:val="19"/>
              </w:rPr>
              <w:t>QT prolongation</w:t>
            </w:r>
          </w:p>
        </w:tc>
        <w:tc>
          <w:tcPr>
            <w:tcW w:w="521" w:type="pct"/>
          </w:tcPr>
          <w:p w14:paraId="26701D38"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361DB3DA"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sym w:font="Wingdings" w:char="F0FC"/>
            </w:r>
          </w:p>
        </w:tc>
        <w:tc>
          <w:tcPr>
            <w:tcW w:w="521" w:type="pct"/>
          </w:tcPr>
          <w:p w14:paraId="2C89891D"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6" w:type="pct"/>
          </w:tcPr>
          <w:p w14:paraId="335DEBFC"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t>–</w:t>
            </w:r>
          </w:p>
        </w:tc>
      </w:tr>
      <w:tr w:rsidR="00CF1E77" w:rsidRPr="009C0CE3" w14:paraId="685A4D88" w14:textId="77777777" w:rsidTr="007B0C16">
        <w:trPr>
          <w:trHeight w:val="187"/>
        </w:trPr>
        <w:tc>
          <w:tcPr>
            <w:tcW w:w="777" w:type="pct"/>
            <w:vMerge/>
          </w:tcPr>
          <w:p w14:paraId="010EC7DF" w14:textId="77777777" w:rsidR="00CF1E77" w:rsidRPr="009C0CE3" w:rsidRDefault="00CF1E77" w:rsidP="007D2F65">
            <w:pPr>
              <w:pStyle w:val="Tabletext"/>
              <w:ind w:left="0" w:right="0"/>
              <w:rPr>
                <w:rFonts w:asciiTheme="minorHAnsi" w:hAnsiTheme="minorHAnsi" w:cs="Calibri"/>
                <w:b/>
                <w:szCs w:val="19"/>
              </w:rPr>
            </w:pPr>
          </w:p>
        </w:tc>
        <w:tc>
          <w:tcPr>
            <w:tcW w:w="1930" w:type="pct"/>
          </w:tcPr>
          <w:p w14:paraId="2F1671A8" w14:textId="77777777" w:rsidR="00CF1E77" w:rsidRPr="009C0CE3" w:rsidRDefault="00CF1E77" w:rsidP="007D2F65">
            <w:pPr>
              <w:pStyle w:val="Tabletext"/>
              <w:ind w:left="0" w:right="0"/>
              <w:rPr>
                <w:rFonts w:asciiTheme="minorHAnsi" w:hAnsiTheme="minorHAnsi" w:cs="Calibri"/>
                <w:szCs w:val="19"/>
              </w:rPr>
            </w:pPr>
            <w:r w:rsidRPr="009C0CE3">
              <w:rPr>
                <w:rFonts w:asciiTheme="minorHAnsi" w:hAnsiTheme="minorHAnsi" w:cs="Calibri"/>
                <w:szCs w:val="19"/>
              </w:rPr>
              <w:t>Fractures</w:t>
            </w:r>
          </w:p>
        </w:tc>
        <w:tc>
          <w:tcPr>
            <w:tcW w:w="521" w:type="pct"/>
          </w:tcPr>
          <w:p w14:paraId="0B1303FD"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738CCA99"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sym w:font="Wingdings" w:char="F0FC"/>
            </w:r>
          </w:p>
        </w:tc>
        <w:tc>
          <w:tcPr>
            <w:tcW w:w="521" w:type="pct"/>
          </w:tcPr>
          <w:p w14:paraId="7B45554A"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6" w:type="pct"/>
          </w:tcPr>
          <w:p w14:paraId="2DE5EA4D"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t>–</w:t>
            </w:r>
          </w:p>
        </w:tc>
      </w:tr>
      <w:tr w:rsidR="00CF1E77" w:rsidRPr="009C0CE3" w14:paraId="7F254DB6" w14:textId="77777777" w:rsidTr="007B0C16">
        <w:trPr>
          <w:trHeight w:val="137"/>
        </w:trPr>
        <w:tc>
          <w:tcPr>
            <w:tcW w:w="777" w:type="pct"/>
            <w:vMerge w:val="restart"/>
          </w:tcPr>
          <w:p w14:paraId="6B5D5822" w14:textId="77777777" w:rsidR="00CF1E77" w:rsidRPr="009C0CE3" w:rsidRDefault="00CF1E77" w:rsidP="007D2F65">
            <w:pPr>
              <w:pStyle w:val="Tabletext"/>
              <w:ind w:left="0" w:right="0"/>
              <w:rPr>
                <w:rFonts w:asciiTheme="minorHAnsi" w:hAnsiTheme="minorHAnsi" w:cs="Calibri"/>
                <w:b/>
                <w:szCs w:val="19"/>
              </w:rPr>
            </w:pPr>
            <w:r w:rsidRPr="009C0CE3">
              <w:rPr>
                <w:rFonts w:asciiTheme="minorHAnsi" w:hAnsiTheme="minorHAnsi" w:cs="Calibri"/>
                <w:b/>
                <w:szCs w:val="19"/>
              </w:rPr>
              <w:t>Important potential risks</w:t>
            </w:r>
          </w:p>
        </w:tc>
        <w:tc>
          <w:tcPr>
            <w:tcW w:w="1930" w:type="pct"/>
          </w:tcPr>
          <w:p w14:paraId="770B089C" w14:textId="77777777" w:rsidR="00CF1E77" w:rsidRPr="009C0CE3" w:rsidRDefault="00CF1E77" w:rsidP="007D2F65">
            <w:pPr>
              <w:pStyle w:val="Tabletext"/>
              <w:ind w:left="0" w:right="0"/>
              <w:rPr>
                <w:rFonts w:asciiTheme="minorHAnsi" w:hAnsiTheme="minorHAnsi" w:cs="Calibri"/>
                <w:szCs w:val="19"/>
              </w:rPr>
            </w:pPr>
            <w:r w:rsidRPr="009C0CE3">
              <w:rPr>
                <w:rFonts w:asciiTheme="minorHAnsi" w:hAnsiTheme="minorHAnsi" w:cs="Calibri"/>
                <w:szCs w:val="19"/>
              </w:rPr>
              <w:t>Severe neurologic reactions</w:t>
            </w:r>
          </w:p>
        </w:tc>
        <w:tc>
          <w:tcPr>
            <w:tcW w:w="521" w:type="pct"/>
          </w:tcPr>
          <w:p w14:paraId="7D56370A"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6F8A69E6"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521" w:type="pct"/>
          </w:tcPr>
          <w:p w14:paraId="2C0D92B8"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r w:rsidRPr="009C0CE3">
              <w:rPr>
                <w:rFonts w:asciiTheme="minorHAnsi" w:hAnsiTheme="minorHAnsi" w:cs="Calibri"/>
                <w:szCs w:val="19"/>
              </w:rPr>
              <w:t>*</w:t>
            </w:r>
          </w:p>
        </w:tc>
        <w:tc>
          <w:tcPr>
            <w:tcW w:w="626" w:type="pct"/>
          </w:tcPr>
          <w:p w14:paraId="1FC2618E"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t>–</w:t>
            </w:r>
          </w:p>
        </w:tc>
      </w:tr>
      <w:tr w:rsidR="00CF1E77" w:rsidRPr="009C0CE3" w14:paraId="61633066" w14:textId="77777777" w:rsidTr="007B0C16">
        <w:trPr>
          <w:trHeight w:val="187"/>
        </w:trPr>
        <w:tc>
          <w:tcPr>
            <w:tcW w:w="777" w:type="pct"/>
            <w:vMerge/>
          </w:tcPr>
          <w:p w14:paraId="55234A1C" w14:textId="77777777" w:rsidR="00CF1E77" w:rsidRPr="009C0CE3" w:rsidRDefault="00CF1E77" w:rsidP="007D2F65">
            <w:pPr>
              <w:pStyle w:val="Tabletext"/>
              <w:ind w:left="0" w:right="0"/>
              <w:rPr>
                <w:rFonts w:asciiTheme="minorHAnsi" w:hAnsiTheme="minorHAnsi" w:cs="Calibri"/>
                <w:b/>
                <w:szCs w:val="19"/>
              </w:rPr>
            </w:pPr>
          </w:p>
        </w:tc>
        <w:tc>
          <w:tcPr>
            <w:tcW w:w="1930" w:type="pct"/>
          </w:tcPr>
          <w:p w14:paraId="45DEEBEA" w14:textId="77777777" w:rsidR="00CF1E77" w:rsidRPr="009C0CE3" w:rsidRDefault="00CF1E77" w:rsidP="007D2F65">
            <w:pPr>
              <w:pStyle w:val="Tabletext"/>
              <w:ind w:left="0" w:right="0"/>
              <w:rPr>
                <w:rFonts w:asciiTheme="minorHAnsi" w:hAnsiTheme="minorHAnsi" w:cs="Calibri"/>
                <w:szCs w:val="19"/>
              </w:rPr>
            </w:pPr>
            <w:r w:rsidRPr="009C0CE3">
              <w:rPr>
                <w:rFonts w:asciiTheme="minorHAnsi" w:hAnsiTheme="minorHAnsi" w:cs="Calibri"/>
                <w:szCs w:val="19"/>
              </w:rPr>
              <w:t>Neuro-developmental impairment in paediatric patients</w:t>
            </w:r>
          </w:p>
        </w:tc>
        <w:tc>
          <w:tcPr>
            <w:tcW w:w="521" w:type="pct"/>
          </w:tcPr>
          <w:p w14:paraId="140D3E63"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5B1F0F4A" w14:textId="77777777" w:rsidR="00CF1E77" w:rsidRPr="009C0CE3" w:rsidRDefault="00CF1E77" w:rsidP="007D2F65">
            <w:pPr>
              <w:ind w:left="0" w:right="0"/>
              <w:jc w:val="center"/>
              <w:rPr>
                <w:rFonts w:asciiTheme="minorHAnsi" w:eastAsia="Times New Roman" w:hAnsiTheme="minorHAnsi" w:cs="Calibri"/>
                <w:snapToGrid w:val="0"/>
                <w:sz w:val="19"/>
                <w:szCs w:val="19"/>
              </w:rPr>
            </w:pPr>
            <w:r w:rsidRPr="009C0CE3">
              <w:rPr>
                <w:rFonts w:asciiTheme="minorHAnsi" w:hAnsiTheme="minorHAnsi" w:cs="Calibri"/>
                <w:sz w:val="19"/>
                <w:szCs w:val="19"/>
              </w:rPr>
              <w:sym w:font="Wingdings" w:char="F0FC"/>
            </w:r>
          </w:p>
        </w:tc>
        <w:tc>
          <w:tcPr>
            <w:tcW w:w="521" w:type="pct"/>
          </w:tcPr>
          <w:p w14:paraId="519A73FB"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r w:rsidRPr="009C0CE3">
              <w:rPr>
                <w:rFonts w:asciiTheme="minorHAnsi" w:hAnsiTheme="minorHAnsi" w:cs="Calibri"/>
                <w:szCs w:val="19"/>
              </w:rPr>
              <w:t>*</w:t>
            </w:r>
          </w:p>
        </w:tc>
        <w:tc>
          <w:tcPr>
            <w:tcW w:w="626" w:type="pct"/>
          </w:tcPr>
          <w:p w14:paraId="2D6045D1" w14:textId="77777777" w:rsidR="00CF1E77" w:rsidRPr="009C0CE3" w:rsidRDefault="00CF1E77" w:rsidP="007D2F65">
            <w:pPr>
              <w:ind w:left="0" w:right="0"/>
              <w:jc w:val="center"/>
              <w:rPr>
                <w:rFonts w:asciiTheme="minorHAnsi" w:eastAsia="Times New Roman" w:hAnsiTheme="minorHAnsi" w:cs="Calibri"/>
                <w:snapToGrid w:val="0"/>
                <w:sz w:val="19"/>
                <w:szCs w:val="19"/>
              </w:rPr>
            </w:pPr>
            <w:r w:rsidRPr="009C0CE3">
              <w:rPr>
                <w:rFonts w:asciiTheme="minorHAnsi" w:hAnsiTheme="minorHAnsi" w:cs="Calibri"/>
                <w:sz w:val="19"/>
                <w:szCs w:val="19"/>
              </w:rPr>
              <w:t>–</w:t>
            </w:r>
          </w:p>
        </w:tc>
      </w:tr>
      <w:tr w:rsidR="00CF1E77" w:rsidRPr="009C0CE3" w14:paraId="5BBA312C" w14:textId="77777777" w:rsidTr="007B0C16">
        <w:trPr>
          <w:trHeight w:val="137"/>
        </w:trPr>
        <w:tc>
          <w:tcPr>
            <w:tcW w:w="777" w:type="pct"/>
            <w:vMerge w:val="restart"/>
          </w:tcPr>
          <w:p w14:paraId="3544B237" w14:textId="77777777" w:rsidR="00CF1E77" w:rsidRPr="009C0CE3" w:rsidRDefault="00CF1E77" w:rsidP="007D2F65">
            <w:pPr>
              <w:pStyle w:val="Tabletext"/>
              <w:ind w:left="0" w:right="0"/>
              <w:rPr>
                <w:rFonts w:asciiTheme="minorHAnsi" w:hAnsiTheme="minorHAnsi" w:cs="Calibri"/>
                <w:b/>
                <w:szCs w:val="19"/>
              </w:rPr>
            </w:pPr>
            <w:r w:rsidRPr="009C0CE3">
              <w:rPr>
                <w:rFonts w:asciiTheme="minorHAnsi" w:hAnsiTheme="minorHAnsi" w:cs="Calibri"/>
                <w:b/>
                <w:szCs w:val="19"/>
              </w:rPr>
              <w:t>Missing information</w:t>
            </w:r>
          </w:p>
        </w:tc>
        <w:tc>
          <w:tcPr>
            <w:tcW w:w="1930" w:type="pct"/>
          </w:tcPr>
          <w:p w14:paraId="2775B6CF" w14:textId="77777777" w:rsidR="00CF1E77" w:rsidRPr="009C0CE3" w:rsidRDefault="00CF1E77" w:rsidP="007D2F65">
            <w:pPr>
              <w:pStyle w:val="Tabletext"/>
              <w:ind w:left="0" w:right="0"/>
              <w:rPr>
                <w:rFonts w:asciiTheme="minorHAnsi" w:hAnsiTheme="minorHAnsi" w:cs="Calibri"/>
                <w:szCs w:val="19"/>
              </w:rPr>
            </w:pPr>
            <w:r w:rsidRPr="009C0CE3">
              <w:rPr>
                <w:rFonts w:asciiTheme="minorHAnsi" w:hAnsiTheme="minorHAnsi" w:cs="Calibri"/>
                <w:szCs w:val="19"/>
              </w:rPr>
              <w:t>Safety in long term use</w:t>
            </w:r>
          </w:p>
        </w:tc>
        <w:tc>
          <w:tcPr>
            <w:tcW w:w="521" w:type="pct"/>
          </w:tcPr>
          <w:p w14:paraId="69F2D9F8"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t>–</w:t>
            </w:r>
          </w:p>
        </w:tc>
        <w:tc>
          <w:tcPr>
            <w:tcW w:w="625" w:type="pct"/>
          </w:tcPr>
          <w:p w14:paraId="24A0F6D5"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521" w:type="pct"/>
          </w:tcPr>
          <w:p w14:paraId="4E2A06E5"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t>–</w:t>
            </w:r>
          </w:p>
        </w:tc>
        <w:tc>
          <w:tcPr>
            <w:tcW w:w="626" w:type="pct"/>
          </w:tcPr>
          <w:p w14:paraId="3D575DE7" w14:textId="77777777" w:rsidR="00CF1E77" w:rsidRPr="009C0CE3" w:rsidRDefault="00CF1E77" w:rsidP="007D2F65">
            <w:pPr>
              <w:pStyle w:val="Tabletext"/>
              <w:ind w:left="0" w:right="0"/>
              <w:jc w:val="center"/>
              <w:rPr>
                <w:rFonts w:asciiTheme="minorHAnsi" w:hAnsiTheme="minorHAnsi" w:cs="Calibri"/>
                <w:szCs w:val="19"/>
              </w:rPr>
            </w:pPr>
          </w:p>
        </w:tc>
      </w:tr>
      <w:tr w:rsidR="00CF1E77" w:rsidRPr="009C0CE3" w14:paraId="3EBD4535" w14:textId="77777777" w:rsidTr="007B0C16">
        <w:trPr>
          <w:trHeight w:val="592"/>
        </w:trPr>
        <w:tc>
          <w:tcPr>
            <w:tcW w:w="777" w:type="pct"/>
            <w:vMerge/>
          </w:tcPr>
          <w:p w14:paraId="10FD3F0D" w14:textId="77777777" w:rsidR="00CF1E77" w:rsidRPr="009C0CE3" w:rsidRDefault="00CF1E77" w:rsidP="007D2F65">
            <w:pPr>
              <w:pStyle w:val="Tabletext"/>
              <w:ind w:left="0" w:right="0"/>
              <w:rPr>
                <w:rFonts w:asciiTheme="minorHAnsi" w:hAnsiTheme="minorHAnsi" w:cs="Calibri"/>
                <w:b/>
                <w:szCs w:val="19"/>
              </w:rPr>
            </w:pPr>
          </w:p>
        </w:tc>
        <w:tc>
          <w:tcPr>
            <w:tcW w:w="1930" w:type="pct"/>
          </w:tcPr>
          <w:p w14:paraId="5E6895EF" w14:textId="77777777" w:rsidR="00CF1E77" w:rsidRPr="009C0CE3" w:rsidRDefault="00CF1E77" w:rsidP="007D2F65">
            <w:pPr>
              <w:autoSpaceDE w:val="0"/>
              <w:autoSpaceDN w:val="0"/>
              <w:adjustRightInd w:val="0"/>
              <w:ind w:left="0" w:right="0"/>
              <w:rPr>
                <w:rFonts w:asciiTheme="minorHAnsi" w:hAnsiTheme="minorHAnsi" w:cs="Calibri"/>
                <w:sz w:val="19"/>
                <w:szCs w:val="19"/>
              </w:rPr>
            </w:pPr>
            <w:r w:rsidRPr="009C0CE3">
              <w:rPr>
                <w:rFonts w:asciiTheme="minorHAnsi" w:hAnsiTheme="minorHAnsi" w:cs="Calibri"/>
                <w:sz w:val="19"/>
                <w:szCs w:val="19"/>
              </w:rPr>
              <w:t>Use in patients with hepatic impairment</w:t>
            </w:r>
          </w:p>
        </w:tc>
        <w:tc>
          <w:tcPr>
            <w:tcW w:w="521" w:type="pct"/>
          </w:tcPr>
          <w:p w14:paraId="6D4CE536"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5" w:type="pct"/>
          </w:tcPr>
          <w:p w14:paraId="3A023E55"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sym w:font="Wingdings" w:char="F0FC"/>
            </w:r>
            <w:r w:rsidRPr="009C0CE3">
              <w:rPr>
                <w:rFonts w:asciiTheme="minorHAnsi" w:hAnsiTheme="minorHAnsi" w:cs="Calibri"/>
                <w:sz w:val="19"/>
                <w:szCs w:val="19"/>
              </w:rPr>
              <w:t>–</w:t>
            </w:r>
          </w:p>
        </w:tc>
        <w:tc>
          <w:tcPr>
            <w:tcW w:w="521" w:type="pct"/>
          </w:tcPr>
          <w:p w14:paraId="031E0425" w14:textId="77777777" w:rsidR="00CF1E77" w:rsidRPr="009C0CE3" w:rsidRDefault="00CF1E77" w:rsidP="007D2F65">
            <w:pPr>
              <w:pStyle w:val="Tabletext"/>
              <w:ind w:left="0" w:right="0"/>
              <w:jc w:val="center"/>
              <w:rPr>
                <w:rFonts w:asciiTheme="minorHAnsi" w:hAnsiTheme="minorHAnsi" w:cs="Calibri"/>
                <w:szCs w:val="19"/>
              </w:rPr>
            </w:pPr>
            <w:r w:rsidRPr="009C0CE3">
              <w:rPr>
                <w:rFonts w:asciiTheme="minorHAnsi" w:hAnsiTheme="minorHAnsi" w:cs="Calibri"/>
                <w:szCs w:val="19"/>
              </w:rPr>
              <w:sym w:font="Wingdings" w:char="F0FC"/>
            </w:r>
          </w:p>
        </w:tc>
        <w:tc>
          <w:tcPr>
            <w:tcW w:w="626" w:type="pct"/>
          </w:tcPr>
          <w:p w14:paraId="3191BAF0" w14:textId="77777777" w:rsidR="00CF1E77" w:rsidRPr="009C0CE3" w:rsidRDefault="00CF1E77" w:rsidP="007D2F65">
            <w:pPr>
              <w:ind w:left="0" w:right="0"/>
              <w:jc w:val="center"/>
              <w:rPr>
                <w:rFonts w:asciiTheme="minorHAnsi" w:hAnsiTheme="minorHAnsi" w:cs="Calibri"/>
                <w:sz w:val="19"/>
                <w:szCs w:val="19"/>
              </w:rPr>
            </w:pPr>
            <w:r w:rsidRPr="009C0CE3">
              <w:rPr>
                <w:rFonts w:asciiTheme="minorHAnsi" w:hAnsiTheme="minorHAnsi" w:cs="Calibri"/>
                <w:sz w:val="19"/>
                <w:szCs w:val="19"/>
              </w:rPr>
              <w:t>–</w:t>
            </w:r>
          </w:p>
        </w:tc>
      </w:tr>
    </w:tbl>
    <w:p w14:paraId="01D65030" w14:textId="59268AA2" w:rsidR="00CF1E77" w:rsidRPr="009C0CE3" w:rsidRDefault="00CF1E77" w:rsidP="00E318FA">
      <w:pPr>
        <w:pStyle w:val="TableDescription"/>
        <w:rPr>
          <w:rFonts w:asciiTheme="minorHAnsi" w:hAnsiTheme="minorHAnsi" w:cs="Calibri"/>
        </w:rPr>
      </w:pPr>
      <w:r w:rsidRPr="009C0CE3">
        <w:rPr>
          <w:rFonts w:asciiTheme="minorHAnsi" w:hAnsiTheme="minorHAnsi" w:cs="Calibri"/>
        </w:rPr>
        <w:t>* Jointly under the de</w:t>
      </w:r>
      <w:r w:rsidR="00E318FA">
        <w:rPr>
          <w:rFonts w:asciiTheme="minorHAnsi" w:hAnsiTheme="minorHAnsi" w:cs="Calibri"/>
        </w:rPr>
        <w:t>scription ‘cognitive disorders’</w:t>
      </w:r>
    </w:p>
    <w:p w14:paraId="3677E204" w14:textId="5D61E3FC" w:rsidR="00125D14" w:rsidRPr="00D64E26" w:rsidRDefault="00125D14" w:rsidP="007D2F65">
      <w:pPr>
        <w:pStyle w:val="Heading4"/>
      </w:pPr>
      <w:bookmarkStart w:id="82" w:name="_Ref32223853"/>
      <w:r>
        <w:t>Confirmatory</w:t>
      </w:r>
      <w:r w:rsidRPr="00D64E26">
        <w:t xml:space="preserve"> data requirements</w:t>
      </w:r>
      <w:bookmarkEnd w:id="82"/>
    </w:p>
    <w:p w14:paraId="30268FFE" w14:textId="2CA43ACF" w:rsidR="00125D14" w:rsidRDefault="00125D14" w:rsidP="00125D14">
      <w:pPr>
        <w:rPr>
          <w:rFonts w:asciiTheme="minorHAnsi" w:hAnsiTheme="minorHAnsi" w:cs="Calibri"/>
          <w:lang w:val="en-US"/>
        </w:rPr>
      </w:pPr>
      <w:r>
        <w:rPr>
          <w:rFonts w:asciiTheme="minorHAnsi" w:hAnsiTheme="minorHAnsi" w:cs="Calibri"/>
          <w:lang w:val="en-US"/>
        </w:rPr>
        <w:t>C</w:t>
      </w:r>
      <w:r w:rsidRPr="006673B0">
        <w:rPr>
          <w:rFonts w:asciiTheme="minorHAnsi" w:hAnsiTheme="minorHAnsi" w:cs="Calibri"/>
          <w:lang w:val="en-US"/>
        </w:rPr>
        <w:t>onfirmatory data requirements</w:t>
      </w:r>
      <w:r>
        <w:rPr>
          <w:rFonts w:asciiTheme="minorHAnsi" w:hAnsiTheme="minorHAnsi" w:cs="Calibri"/>
          <w:lang w:val="en-US"/>
        </w:rPr>
        <w:t xml:space="preserve"> for Australian provisional registration relate to the NTRK indication only.</w:t>
      </w:r>
    </w:p>
    <w:p w14:paraId="526EC343" w14:textId="7812F406" w:rsidR="00125D14" w:rsidRDefault="00125D14" w:rsidP="00125D14">
      <w:pPr>
        <w:rPr>
          <w:rFonts w:asciiTheme="minorHAnsi" w:hAnsiTheme="minorHAnsi" w:cs="Calibri"/>
          <w:lang w:val="en-US"/>
        </w:rPr>
      </w:pPr>
      <w:r>
        <w:rPr>
          <w:rFonts w:asciiTheme="minorHAnsi" w:hAnsiTheme="minorHAnsi" w:cs="Calibri"/>
          <w:lang w:val="en-US"/>
        </w:rPr>
        <w:t>Confirmatory data commitments made to the FDA</w:t>
      </w:r>
      <w:r w:rsidR="00B124B1">
        <w:rPr>
          <w:rFonts w:asciiTheme="minorHAnsi" w:hAnsiTheme="minorHAnsi" w:cs="Calibri"/>
          <w:lang w:val="en-US"/>
        </w:rPr>
        <w:t xml:space="preserve"> were:</w:t>
      </w:r>
      <w:r w:rsidR="001260C0">
        <w:rPr>
          <w:rFonts w:asciiTheme="minorHAnsi" w:hAnsiTheme="minorHAnsi" w:cs="Calibri"/>
          <w:lang w:val="en-US"/>
        </w:rPr>
        <w:fldChar w:fldCharType="begin"/>
      </w:r>
      <w:r w:rsidR="001260C0">
        <w:rPr>
          <w:rFonts w:asciiTheme="minorHAnsi" w:hAnsiTheme="minorHAnsi" w:cs="Calibri"/>
          <w:lang w:val="en-US"/>
        </w:rPr>
        <w:instrText xml:space="preserve"> NOTEREF _Ref50554541 \f \h </w:instrText>
      </w:r>
      <w:r w:rsidR="001260C0">
        <w:rPr>
          <w:rFonts w:asciiTheme="minorHAnsi" w:hAnsiTheme="minorHAnsi" w:cs="Calibri"/>
          <w:lang w:val="en-US"/>
        </w:rPr>
      </w:r>
      <w:r w:rsidR="001260C0">
        <w:rPr>
          <w:rFonts w:asciiTheme="minorHAnsi" w:hAnsiTheme="minorHAnsi" w:cs="Calibri"/>
          <w:lang w:val="en-US"/>
        </w:rPr>
        <w:fldChar w:fldCharType="separate"/>
      </w:r>
      <w:r w:rsidR="005743D8" w:rsidRPr="005743D8">
        <w:rPr>
          <w:rStyle w:val="FootnoteReference"/>
        </w:rPr>
        <w:t>12</w:t>
      </w:r>
      <w:r w:rsidR="001260C0">
        <w:rPr>
          <w:rFonts w:asciiTheme="minorHAnsi" w:hAnsiTheme="minorHAnsi" w:cs="Calibri"/>
          <w:lang w:val="en-US"/>
        </w:rPr>
        <w:fldChar w:fldCharType="end"/>
      </w:r>
    </w:p>
    <w:p w14:paraId="7E45BFD2" w14:textId="47CD2D0C" w:rsidR="00125D14" w:rsidRPr="00125D14" w:rsidRDefault="008E394F" w:rsidP="00525F23">
      <w:pPr>
        <w:pStyle w:val="ListBullet"/>
        <w:rPr>
          <w:lang w:val="en-US"/>
        </w:rPr>
      </w:pPr>
      <w:proofErr w:type="spellStart"/>
      <w:r>
        <w:rPr>
          <w:lang w:val="en-US"/>
        </w:rPr>
        <w:t>Postmarketing</w:t>
      </w:r>
      <w:proofErr w:type="spellEnd"/>
      <w:r>
        <w:rPr>
          <w:lang w:val="en-US"/>
        </w:rPr>
        <w:t xml:space="preserve"> requirement (</w:t>
      </w:r>
      <w:r w:rsidR="00125D14" w:rsidRPr="00125D14">
        <w:rPr>
          <w:lang w:val="en-US"/>
        </w:rPr>
        <w:t>PMR</w:t>
      </w:r>
      <w:r>
        <w:rPr>
          <w:lang w:val="en-US"/>
        </w:rPr>
        <w:t>)</w:t>
      </w:r>
      <w:r w:rsidR="00125D14" w:rsidRPr="00125D14">
        <w:rPr>
          <w:lang w:val="en-US"/>
        </w:rPr>
        <w:t xml:space="preserve"> 3689-1 </w:t>
      </w:r>
      <w:r w:rsidR="00B124B1">
        <w:rPr>
          <w:lang w:val="en-US"/>
        </w:rPr>
        <w:t>(</w:t>
      </w:r>
      <w:r w:rsidR="00125D14" w:rsidRPr="00125D14">
        <w:rPr>
          <w:lang w:val="en-US"/>
        </w:rPr>
        <w:t>expected availability June 2021</w:t>
      </w:r>
      <w:r w:rsidR="00B124B1">
        <w:rPr>
          <w:lang w:val="en-US"/>
        </w:rPr>
        <w:t>)</w:t>
      </w:r>
      <w:r w:rsidR="00125D14" w:rsidRPr="00125D14">
        <w:rPr>
          <w:lang w:val="en-US"/>
        </w:rPr>
        <w:t>: submission of a final report and datasets for the group of 54 patients whose data supported initial registration with at least 2 years follow-up from onset of response or until disease progression, whichever comes first.</w:t>
      </w:r>
    </w:p>
    <w:p w14:paraId="54DCDD5D" w14:textId="73205450" w:rsidR="00125D14" w:rsidRPr="00125D14" w:rsidRDefault="00125D14" w:rsidP="00525F23">
      <w:pPr>
        <w:pStyle w:val="ListBullet"/>
        <w:rPr>
          <w:lang w:val="en-US"/>
        </w:rPr>
      </w:pPr>
      <w:r w:rsidRPr="00125D14">
        <w:rPr>
          <w:lang w:val="en-US"/>
        </w:rPr>
        <w:t xml:space="preserve">PMR 3689-2 </w:t>
      </w:r>
      <w:r w:rsidR="00B124B1">
        <w:rPr>
          <w:lang w:val="en-US"/>
        </w:rPr>
        <w:t>(</w:t>
      </w:r>
      <w:r w:rsidRPr="00125D14">
        <w:rPr>
          <w:lang w:val="en-US"/>
        </w:rPr>
        <w:t>expected availability March 2027</w:t>
      </w:r>
      <w:r w:rsidR="00B124B1">
        <w:rPr>
          <w:lang w:val="en-US"/>
        </w:rPr>
        <w:t>)</w:t>
      </w:r>
      <w:r w:rsidRPr="00125D14">
        <w:rPr>
          <w:lang w:val="en-US"/>
        </w:rPr>
        <w:t>: submission of a final report and datasets with additional NTRK-positive patients recruited across studies, with minimum follow-up of 12 months from onset of response for responders, requiring:</w:t>
      </w:r>
    </w:p>
    <w:p w14:paraId="38251F37" w14:textId="77777777" w:rsidR="00125D14" w:rsidRPr="00351F3A" w:rsidRDefault="00125D14" w:rsidP="00525F23">
      <w:pPr>
        <w:pStyle w:val="ListBullet2"/>
        <w:rPr>
          <w:lang w:val="en-US"/>
        </w:rPr>
      </w:pPr>
      <w:r w:rsidRPr="00351F3A">
        <w:rPr>
          <w:lang w:val="en-US"/>
        </w:rPr>
        <w:t xml:space="preserve">A sufficient number of patients to provide more precise estimates of response rates and durability for </w:t>
      </w:r>
      <w:proofErr w:type="spellStart"/>
      <w:r w:rsidRPr="00351F3A">
        <w:rPr>
          <w:lang w:val="en-US"/>
        </w:rPr>
        <w:t>paediatric</w:t>
      </w:r>
      <w:proofErr w:type="spellEnd"/>
      <w:r w:rsidRPr="00351F3A">
        <w:rPr>
          <w:lang w:val="en-US"/>
        </w:rPr>
        <w:t xml:space="preserve"> solid tumors, colorectal cancer, CNS system cancers, gynecological cancers, and melanoma</w:t>
      </w:r>
    </w:p>
    <w:p w14:paraId="032B4013" w14:textId="77777777" w:rsidR="00125D14" w:rsidRPr="00140D98" w:rsidRDefault="00125D14" w:rsidP="00525F23">
      <w:pPr>
        <w:pStyle w:val="ListBullet2"/>
        <w:rPr>
          <w:lang w:val="en-US"/>
        </w:rPr>
      </w:pPr>
      <w:r w:rsidRPr="00351F3A">
        <w:rPr>
          <w:lang w:val="en-US"/>
        </w:rPr>
        <w:lastRenderedPageBreak/>
        <w:t>A minimum of 40 patients with cancers other than the above,</w:t>
      </w:r>
      <w:r w:rsidRPr="0059218E">
        <w:rPr>
          <w:lang w:val="en-US"/>
        </w:rPr>
        <w:t xml:space="preserve"> and other than soft tissue sarcoma, non-small cell adenocarcinoma lung cancer, mammary analogue secretory carcinoma, and secretory breast cancer.</w:t>
      </w:r>
    </w:p>
    <w:p w14:paraId="2D45CA22" w14:textId="3F666BE8" w:rsidR="00125D14" w:rsidRDefault="00125D14" w:rsidP="00125D14">
      <w:pPr>
        <w:rPr>
          <w:rFonts w:asciiTheme="minorHAnsi" w:hAnsiTheme="minorHAnsi" w:cs="Calibri"/>
          <w:lang w:val="en-US"/>
        </w:rPr>
      </w:pPr>
      <w:r>
        <w:rPr>
          <w:rFonts w:asciiTheme="minorHAnsi" w:hAnsiTheme="minorHAnsi" w:cs="Calibri"/>
          <w:lang w:val="en-US"/>
        </w:rPr>
        <w:t xml:space="preserve">For the purposes of confirmatory data for Australian provisional registration, the </w:t>
      </w:r>
      <w:r w:rsidR="00F357A6">
        <w:rPr>
          <w:rFonts w:asciiTheme="minorHAnsi" w:hAnsiTheme="minorHAnsi" w:cs="Calibri"/>
          <w:lang w:val="en-US"/>
        </w:rPr>
        <w:t>s</w:t>
      </w:r>
      <w:r>
        <w:rPr>
          <w:rFonts w:asciiTheme="minorHAnsi" w:hAnsiTheme="minorHAnsi" w:cs="Calibri"/>
          <w:lang w:val="en-US"/>
        </w:rPr>
        <w:t>ponsor proposes to provide the same data. This proposal is acceptable, noting the TGA require the final</w:t>
      </w:r>
      <w:r w:rsidR="00AD3CCF">
        <w:rPr>
          <w:rFonts w:asciiTheme="minorHAnsi" w:hAnsiTheme="minorHAnsi" w:cs="Calibri"/>
          <w:lang w:val="en-US"/>
        </w:rPr>
        <w:t xml:space="preserve"> reports but not full datasets.</w:t>
      </w:r>
    </w:p>
    <w:p w14:paraId="69683ACA" w14:textId="77777777" w:rsidR="00125D14" w:rsidRDefault="00125D14" w:rsidP="00125D14">
      <w:pPr>
        <w:rPr>
          <w:rFonts w:asciiTheme="minorHAnsi" w:hAnsiTheme="minorHAnsi" w:cs="Calibri"/>
          <w:lang w:val="en-US"/>
        </w:rPr>
      </w:pPr>
      <w:r>
        <w:rPr>
          <w:rFonts w:asciiTheme="minorHAnsi" w:hAnsiTheme="minorHAnsi" w:cs="Calibri"/>
          <w:lang w:val="en-US"/>
        </w:rPr>
        <w:t xml:space="preserve">In Australia, provisional registration is granted for two years, with a maximum of two extensions, so that the entire length of provisional registration allowable is six years. </w:t>
      </w:r>
      <w:proofErr w:type="spellStart"/>
      <w:r>
        <w:rPr>
          <w:rFonts w:asciiTheme="minorHAnsi" w:hAnsiTheme="minorHAnsi" w:cs="Calibri"/>
          <w:lang w:val="en-US"/>
        </w:rPr>
        <w:t>Recognising</w:t>
      </w:r>
      <w:proofErr w:type="spellEnd"/>
      <w:r w:rsidRPr="00F80D88">
        <w:rPr>
          <w:rFonts w:asciiTheme="minorHAnsi" w:hAnsiTheme="minorHAnsi" w:cs="Calibri"/>
          <w:lang w:val="en-US"/>
        </w:rPr>
        <w:t xml:space="preserve"> that the rate of accrual is affected by the rarity of the condition</w:t>
      </w:r>
      <w:r>
        <w:rPr>
          <w:rFonts w:asciiTheme="minorHAnsi" w:hAnsiTheme="minorHAnsi" w:cs="Calibri"/>
          <w:lang w:val="en-US"/>
        </w:rPr>
        <w:t>, the provisional registration of an NTRK indication may lapse before the data required by the FDA are available. In this circumstance, there are three main possible courses of action foreseen:</w:t>
      </w:r>
    </w:p>
    <w:p w14:paraId="37BB2928" w14:textId="73CD217B" w:rsidR="00125D14" w:rsidRDefault="00125D14" w:rsidP="002549AE">
      <w:pPr>
        <w:pStyle w:val="ListBullet"/>
        <w:rPr>
          <w:lang w:val="en-US"/>
        </w:rPr>
      </w:pPr>
      <w:r w:rsidRPr="00125D14">
        <w:rPr>
          <w:lang w:val="en-US"/>
        </w:rPr>
        <w:t xml:space="preserve">The </w:t>
      </w:r>
      <w:r w:rsidR="00F357A6">
        <w:rPr>
          <w:lang w:val="en-US"/>
        </w:rPr>
        <w:t>s</w:t>
      </w:r>
      <w:r w:rsidRPr="00125D14">
        <w:rPr>
          <w:lang w:val="en-US"/>
        </w:rPr>
        <w:t>ponsor could do nothing and the provisional indication would lapse.</w:t>
      </w:r>
    </w:p>
    <w:p w14:paraId="315E5EE7" w14:textId="2190C88B" w:rsidR="00125D14" w:rsidRPr="00525F23" w:rsidRDefault="00125D14" w:rsidP="002549AE">
      <w:pPr>
        <w:pStyle w:val="ListBullet"/>
        <w:rPr>
          <w:lang w:val="en-US"/>
        </w:rPr>
      </w:pPr>
      <w:r w:rsidRPr="00525F23">
        <w:rPr>
          <w:lang w:val="en-US"/>
        </w:rPr>
        <w:t xml:space="preserve">The </w:t>
      </w:r>
      <w:r w:rsidR="00F357A6">
        <w:rPr>
          <w:lang w:val="en-US"/>
        </w:rPr>
        <w:t>s</w:t>
      </w:r>
      <w:r w:rsidRPr="00525F23">
        <w:rPr>
          <w:lang w:val="en-US"/>
        </w:rPr>
        <w:t>ponsor could apply for a new provisional registration designation and if approved, submit a new extension of indication application to register the same provisional indication.</w:t>
      </w:r>
    </w:p>
    <w:p w14:paraId="77C2F040" w14:textId="35FDCE9A" w:rsidR="00125D14" w:rsidRPr="00125D14" w:rsidRDefault="00125D14" w:rsidP="002549AE">
      <w:pPr>
        <w:pStyle w:val="ListBullet"/>
        <w:rPr>
          <w:lang w:val="en-US"/>
        </w:rPr>
      </w:pPr>
      <w:r w:rsidRPr="00525F23">
        <w:rPr>
          <w:lang w:val="en-US"/>
        </w:rPr>
        <w:t xml:space="preserve">The </w:t>
      </w:r>
      <w:r w:rsidR="00F357A6">
        <w:rPr>
          <w:lang w:val="en-US"/>
        </w:rPr>
        <w:t>s</w:t>
      </w:r>
      <w:r w:rsidRPr="00525F23">
        <w:rPr>
          <w:lang w:val="en-US"/>
        </w:rPr>
        <w:t>ponsor could submit a conversion to full registration application based on whatever evidence is available at that time. If this path was taken, the TGA Delegate would have to make a risk-benefit assessment based on the available data, inco</w:t>
      </w:r>
      <w:r w:rsidR="00AD3CCF">
        <w:rPr>
          <w:lang w:val="en-US"/>
        </w:rPr>
        <w:t>rporating residual uncertainty.</w:t>
      </w:r>
    </w:p>
    <w:p w14:paraId="1B9BB209" w14:textId="3A4F8889" w:rsidR="00125D14" w:rsidRDefault="00125D14" w:rsidP="00525F23">
      <w:r>
        <w:rPr>
          <w:lang w:val="en-US"/>
        </w:rPr>
        <w:t>Proposed wording for the conditions of registration is located in section</w:t>
      </w:r>
      <w:r w:rsidR="001260C0">
        <w:rPr>
          <w:lang w:val="en-US"/>
        </w:rPr>
        <w:t xml:space="preserve"> below, </w:t>
      </w:r>
      <w:r w:rsidR="00EA0D9A">
        <w:rPr>
          <w:lang w:val="en-US"/>
        </w:rPr>
        <w:t>‘</w:t>
      </w:r>
      <w:r w:rsidR="00EA0D9A" w:rsidRPr="007D2F65">
        <w:rPr>
          <w:i/>
          <w:lang w:val="en-US"/>
        </w:rPr>
        <w:t>C</w:t>
      </w:r>
      <w:r w:rsidR="001260C0" w:rsidRPr="007D2F65">
        <w:rPr>
          <w:i/>
          <w:lang w:val="en-US"/>
        </w:rPr>
        <w:t>onditions of registration</w:t>
      </w:r>
      <w:r w:rsidR="00EA0D9A" w:rsidRPr="007D2F65">
        <w:rPr>
          <w:i/>
          <w:lang w:val="en-US"/>
        </w:rPr>
        <w:t>’</w:t>
      </w:r>
      <w:r w:rsidR="001260C0">
        <w:rPr>
          <w:lang w:val="en-US"/>
        </w:rPr>
        <w:t>.</w:t>
      </w:r>
    </w:p>
    <w:p w14:paraId="21D97E79" w14:textId="082C03D5" w:rsidR="00CF1E77" w:rsidRPr="00D64E26" w:rsidRDefault="00CF1E77" w:rsidP="007D2F65">
      <w:pPr>
        <w:pStyle w:val="Heading4"/>
      </w:pPr>
      <w:r>
        <w:t xml:space="preserve">Other </w:t>
      </w:r>
      <w:proofErr w:type="spellStart"/>
      <w:r>
        <w:t>postmarket</w:t>
      </w:r>
      <w:proofErr w:type="spellEnd"/>
      <w:r>
        <w:t xml:space="preserve"> activities</w:t>
      </w:r>
    </w:p>
    <w:p w14:paraId="2F8FBD77" w14:textId="1835B2D5" w:rsidR="001260C0" w:rsidRDefault="00CF1E77" w:rsidP="00CF1E77">
      <w:pPr>
        <w:rPr>
          <w:rFonts w:asciiTheme="minorHAnsi" w:hAnsiTheme="minorHAnsi" w:cs="Calibri"/>
          <w:lang w:val="en-US"/>
        </w:rPr>
      </w:pPr>
      <w:r w:rsidRPr="00926E35">
        <w:rPr>
          <w:rFonts w:asciiTheme="minorHAnsi" w:hAnsiTheme="minorHAnsi" w:cs="Calibri"/>
          <w:lang w:val="en-US"/>
        </w:rPr>
        <w:t xml:space="preserve">In addition to routine pharmacovigilance and risk </w:t>
      </w:r>
      <w:proofErr w:type="spellStart"/>
      <w:r w:rsidRPr="00926E35">
        <w:rPr>
          <w:rFonts w:asciiTheme="minorHAnsi" w:hAnsiTheme="minorHAnsi" w:cs="Calibri"/>
          <w:lang w:val="en-US"/>
        </w:rPr>
        <w:t>minimisation</w:t>
      </w:r>
      <w:proofErr w:type="spellEnd"/>
      <w:r w:rsidRPr="00926E35">
        <w:rPr>
          <w:rFonts w:asciiTheme="minorHAnsi" w:hAnsiTheme="minorHAnsi" w:cs="Calibri"/>
          <w:lang w:val="en-US"/>
        </w:rPr>
        <w:t xml:space="preserve"> activities, and in line with co</w:t>
      </w:r>
      <w:r w:rsidR="00F357A6">
        <w:rPr>
          <w:rFonts w:asciiTheme="minorHAnsi" w:hAnsiTheme="minorHAnsi" w:cs="Calibri"/>
          <w:lang w:val="en-US"/>
        </w:rPr>
        <w:t>mmitments made to the FDA, the s</w:t>
      </w:r>
      <w:r w:rsidRPr="00926E35">
        <w:rPr>
          <w:rFonts w:asciiTheme="minorHAnsi" w:hAnsiTheme="minorHAnsi" w:cs="Calibri"/>
          <w:lang w:val="en-US"/>
        </w:rPr>
        <w:t>ponsor proposes to undertake analyses of data from ongoing clinical trials to address the risks of congestive heart failure, QT</w:t>
      </w:r>
      <w:r w:rsidR="002549AE">
        <w:rPr>
          <w:rFonts w:asciiTheme="minorHAnsi" w:hAnsiTheme="minorHAnsi" w:cs="Calibri"/>
          <w:lang w:val="en-US"/>
        </w:rPr>
        <w:t>;</w:t>
      </w:r>
      <w:r w:rsidR="002549AE">
        <w:rPr>
          <w:rFonts w:asciiTheme="minorHAnsi" w:hAnsiTheme="minorHAnsi" w:cs="Calibri"/>
          <w:lang w:val="en-US"/>
        </w:rPr>
        <w:fldChar w:fldCharType="begin"/>
      </w:r>
      <w:r w:rsidR="002549AE">
        <w:rPr>
          <w:rFonts w:asciiTheme="minorHAnsi" w:hAnsiTheme="minorHAnsi" w:cs="Calibri"/>
          <w:lang w:val="en-US"/>
        </w:rPr>
        <w:instrText xml:space="preserve"> NOTEREF _Ref50555702 \f \h </w:instrText>
      </w:r>
      <w:r w:rsidR="002549AE">
        <w:rPr>
          <w:rFonts w:asciiTheme="minorHAnsi" w:hAnsiTheme="minorHAnsi" w:cs="Calibri"/>
          <w:lang w:val="en-US"/>
        </w:rPr>
      </w:r>
      <w:r w:rsidR="002549AE">
        <w:rPr>
          <w:rFonts w:asciiTheme="minorHAnsi" w:hAnsiTheme="minorHAnsi" w:cs="Calibri"/>
          <w:lang w:val="en-US"/>
        </w:rPr>
        <w:fldChar w:fldCharType="separate"/>
      </w:r>
      <w:r w:rsidR="005743D8" w:rsidRPr="005743D8">
        <w:rPr>
          <w:rStyle w:val="FootnoteReference"/>
        </w:rPr>
        <w:t>14</w:t>
      </w:r>
      <w:r w:rsidR="002549AE">
        <w:rPr>
          <w:rFonts w:asciiTheme="minorHAnsi" w:hAnsiTheme="minorHAnsi" w:cs="Calibri"/>
          <w:lang w:val="en-US"/>
        </w:rPr>
        <w:fldChar w:fldCharType="end"/>
      </w:r>
      <w:r w:rsidRPr="00926E35">
        <w:rPr>
          <w:rFonts w:asciiTheme="minorHAnsi" w:hAnsiTheme="minorHAnsi" w:cs="Calibri"/>
          <w:lang w:val="en-US"/>
        </w:rPr>
        <w:t xml:space="preserve"> prolongation, fractures, severe neurologic reactions, neuro-developmental impairment in </w:t>
      </w:r>
      <w:r w:rsidR="00895FA4" w:rsidRPr="00926E35">
        <w:rPr>
          <w:rFonts w:asciiTheme="minorHAnsi" w:hAnsiTheme="minorHAnsi" w:cs="Calibri"/>
          <w:lang w:val="en-US"/>
        </w:rPr>
        <w:t>pediatrics</w:t>
      </w:r>
      <w:r w:rsidRPr="00926E35">
        <w:rPr>
          <w:rFonts w:asciiTheme="minorHAnsi" w:hAnsiTheme="minorHAnsi" w:cs="Calibri"/>
          <w:lang w:val="en-US"/>
        </w:rPr>
        <w:t xml:space="preserve"> patients, and </w:t>
      </w:r>
      <w:r>
        <w:rPr>
          <w:rFonts w:asciiTheme="minorHAnsi" w:hAnsiTheme="minorHAnsi" w:cs="Calibri"/>
          <w:lang w:val="en-US"/>
        </w:rPr>
        <w:t xml:space="preserve">longer term and developmental </w:t>
      </w:r>
      <w:r w:rsidRPr="00926E35">
        <w:rPr>
          <w:rFonts w:asciiTheme="minorHAnsi" w:hAnsiTheme="minorHAnsi" w:cs="Calibri"/>
          <w:lang w:val="en-US"/>
        </w:rPr>
        <w:t>safety. A</w:t>
      </w:r>
      <w:r>
        <w:rPr>
          <w:rFonts w:asciiTheme="minorHAnsi" w:hAnsiTheme="minorHAnsi" w:cs="Calibri"/>
          <w:lang w:val="en-US"/>
        </w:rPr>
        <w:t xml:space="preserve"> dedicated </w:t>
      </w:r>
      <w:r w:rsidRPr="00926E35">
        <w:rPr>
          <w:rFonts w:asciiTheme="minorHAnsi" w:hAnsiTheme="minorHAnsi" w:cs="Calibri"/>
          <w:lang w:val="en-US"/>
        </w:rPr>
        <w:t>study is planned to investigate use in patients with moderate or severe hepatic impairment.</w:t>
      </w:r>
      <w:r w:rsidRPr="00BF1710">
        <w:rPr>
          <w:rFonts w:asciiTheme="minorHAnsi" w:hAnsiTheme="minorHAnsi" w:cs="Calibri"/>
          <w:lang w:val="en-US"/>
        </w:rPr>
        <w:t xml:space="preserve"> </w:t>
      </w:r>
      <w:r>
        <w:rPr>
          <w:rFonts w:asciiTheme="minorHAnsi" w:hAnsiTheme="minorHAnsi" w:cs="Calibri"/>
          <w:lang w:val="en-US"/>
        </w:rPr>
        <w:t>Outcomes of the above activities should be reported to the TGA as (non-provisional registration specific) conditions of registration. Proposed wording is outlined in section</w:t>
      </w:r>
      <w:r w:rsidR="001260C0">
        <w:rPr>
          <w:rFonts w:asciiTheme="minorHAnsi" w:hAnsiTheme="minorHAnsi" w:cs="Calibri"/>
          <w:lang w:val="en-US"/>
        </w:rPr>
        <w:t xml:space="preserve"> below, </w:t>
      </w:r>
      <w:r w:rsidR="00B124B1">
        <w:rPr>
          <w:rFonts w:asciiTheme="minorHAnsi" w:hAnsiTheme="minorHAnsi" w:cs="Calibri"/>
          <w:lang w:val="en-US"/>
        </w:rPr>
        <w:t>‘</w:t>
      </w:r>
      <w:r w:rsidR="00B124B1" w:rsidRPr="007D2F65">
        <w:rPr>
          <w:rFonts w:asciiTheme="minorHAnsi" w:hAnsiTheme="minorHAnsi" w:cs="Calibri"/>
          <w:i/>
          <w:lang w:val="en-US"/>
        </w:rPr>
        <w:t>C</w:t>
      </w:r>
      <w:r w:rsidR="001260C0" w:rsidRPr="007D2F65">
        <w:rPr>
          <w:rFonts w:asciiTheme="minorHAnsi" w:hAnsiTheme="minorHAnsi" w:cs="Calibri"/>
          <w:i/>
          <w:lang w:val="en-US"/>
        </w:rPr>
        <w:t>onditions of registration</w:t>
      </w:r>
      <w:r w:rsidR="00B124B1">
        <w:rPr>
          <w:rFonts w:asciiTheme="minorHAnsi" w:hAnsiTheme="minorHAnsi" w:cs="Calibri"/>
          <w:lang w:val="en-US"/>
        </w:rPr>
        <w:t>’</w:t>
      </w:r>
      <w:r w:rsidR="001260C0">
        <w:rPr>
          <w:rFonts w:asciiTheme="minorHAnsi" w:hAnsiTheme="minorHAnsi" w:cs="Calibri"/>
          <w:lang w:val="en-US"/>
        </w:rPr>
        <w:t>.</w:t>
      </w:r>
    </w:p>
    <w:p w14:paraId="34B53516" w14:textId="080634C4" w:rsidR="00CF1E77" w:rsidRDefault="00CF1E77" w:rsidP="00CF1E77">
      <w:pPr>
        <w:rPr>
          <w:rFonts w:asciiTheme="minorHAnsi" w:hAnsiTheme="minorHAnsi" w:cs="Calibri"/>
          <w:lang w:val="en-US"/>
        </w:rPr>
      </w:pPr>
      <w:r w:rsidRPr="00926E35">
        <w:rPr>
          <w:rFonts w:asciiTheme="minorHAnsi" w:hAnsiTheme="minorHAnsi" w:cs="Calibri"/>
          <w:lang w:val="en-US"/>
        </w:rPr>
        <w:t>As entrectinib is a new chemical entity and is being considered for a provisionally registered indication, it will also be included in the Black Triangle Scheme.</w:t>
      </w:r>
      <w:r w:rsidR="005A1349">
        <w:rPr>
          <w:rFonts w:asciiTheme="minorHAnsi" w:hAnsiTheme="minorHAnsi" w:cs="Calibri"/>
          <w:lang w:val="en-US"/>
        </w:rPr>
        <w:fldChar w:fldCharType="begin"/>
      </w:r>
      <w:r w:rsidR="005A1349">
        <w:rPr>
          <w:rFonts w:asciiTheme="minorHAnsi" w:hAnsiTheme="minorHAnsi" w:cs="Calibri"/>
          <w:lang w:val="en-US"/>
        </w:rPr>
        <w:instrText xml:space="preserve"> NOTEREF _Ref50470720 \f \h </w:instrText>
      </w:r>
      <w:r w:rsidR="005A1349">
        <w:rPr>
          <w:rFonts w:asciiTheme="minorHAnsi" w:hAnsiTheme="minorHAnsi" w:cs="Calibri"/>
          <w:lang w:val="en-US"/>
        </w:rPr>
      </w:r>
      <w:r w:rsidR="005A1349">
        <w:rPr>
          <w:rFonts w:asciiTheme="minorHAnsi" w:hAnsiTheme="minorHAnsi" w:cs="Calibri"/>
          <w:lang w:val="en-US"/>
        </w:rPr>
        <w:fldChar w:fldCharType="separate"/>
      </w:r>
      <w:r w:rsidR="005743D8" w:rsidRPr="005743D8">
        <w:rPr>
          <w:rStyle w:val="FootnoteReference"/>
        </w:rPr>
        <w:t>1</w:t>
      </w:r>
      <w:r w:rsidR="005A1349">
        <w:rPr>
          <w:rFonts w:asciiTheme="minorHAnsi" w:hAnsiTheme="minorHAnsi" w:cs="Calibri"/>
          <w:lang w:val="en-US"/>
        </w:rPr>
        <w:fldChar w:fldCharType="end"/>
      </w:r>
    </w:p>
    <w:p w14:paraId="41FBC42B" w14:textId="7FC72431" w:rsidR="008E7846" w:rsidRDefault="00AA0ED0" w:rsidP="008E7846">
      <w:pPr>
        <w:pStyle w:val="Heading3"/>
      </w:pPr>
      <w:bookmarkStart w:id="83" w:name="_Toc247691531"/>
      <w:bookmarkStart w:id="84" w:name="_Toc314842515"/>
      <w:bookmarkStart w:id="85" w:name="_Toc52891259"/>
      <w:bookmarkStart w:id="86" w:name="_Toc196046505"/>
      <w:bookmarkStart w:id="87" w:name="_Toc196046949"/>
      <w:r>
        <w:t>Risk-benefit a</w:t>
      </w:r>
      <w:r w:rsidR="008E7846">
        <w:t>nalysis</w:t>
      </w:r>
      <w:bookmarkEnd w:id="83"/>
      <w:bookmarkEnd w:id="84"/>
      <w:bookmarkEnd w:id="85"/>
    </w:p>
    <w:p w14:paraId="72A170C5" w14:textId="49B3DADC" w:rsidR="00D23139" w:rsidRDefault="007D53B6" w:rsidP="00D23139">
      <w:pPr>
        <w:pStyle w:val="Heading4"/>
      </w:pPr>
      <w:r>
        <w:t>Delegate’s considerations</w:t>
      </w:r>
    </w:p>
    <w:p w14:paraId="35982C40" w14:textId="77777777" w:rsidR="00B124B1" w:rsidRPr="00D64E26" w:rsidRDefault="00B124B1" w:rsidP="007D2F65">
      <w:pPr>
        <w:pStyle w:val="Heading5"/>
      </w:pPr>
      <w:r w:rsidRPr="00595893">
        <w:t>In vitro</w:t>
      </w:r>
      <w:r>
        <w:t xml:space="preserve"> d</w:t>
      </w:r>
      <w:r w:rsidRPr="00D64E26">
        <w:t xml:space="preserve">iagnostic </w:t>
      </w:r>
      <w:r>
        <w:t>issues</w:t>
      </w:r>
    </w:p>
    <w:p w14:paraId="29E665F9" w14:textId="77777777" w:rsidR="00B124B1" w:rsidRDefault="00B124B1" w:rsidP="007D2F65">
      <w:pPr>
        <w:pStyle w:val="Heading6"/>
      </w:pPr>
      <w:r>
        <w:t>Clinical trial assay</w:t>
      </w:r>
    </w:p>
    <w:p w14:paraId="06E2C951" w14:textId="15C4694F" w:rsidR="00B124B1" w:rsidRDefault="00B124B1" w:rsidP="00B124B1">
      <w:pPr>
        <w:rPr>
          <w:rFonts w:asciiTheme="minorHAnsi" w:hAnsiTheme="minorHAnsi" w:cs="Calibri"/>
        </w:rPr>
      </w:pPr>
      <w:r w:rsidRPr="00A15073">
        <w:rPr>
          <w:rFonts w:asciiTheme="minorHAnsi" w:hAnsiTheme="minorHAnsi" w:cs="Calibri"/>
        </w:rPr>
        <w:t xml:space="preserve">Diagnostic testing in the </w:t>
      </w:r>
      <w:r w:rsidRPr="007B0C16">
        <w:rPr>
          <w:rFonts w:asciiTheme="minorHAnsi" w:hAnsiTheme="minorHAnsi" w:cs="Calibri"/>
          <w:i/>
        </w:rPr>
        <w:t>ROS1</w:t>
      </w:r>
      <w:r w:rsidRPr="00A15073">
        <w:rPr>
          <w:rFonts w:asciiTheme="minorHAnsi" w:hAnsiTheme="minorHAnsi" w:cs="Calibri"/>
        </w:rPr>
        <w:t xml:space="preserve"> and </w:t>
      </w:r>
      <w:r w:rsidRPr="007B0C16">
        <w:rPr>
          <w:rFonts w:asciiTheme="minorHAnsi" w:hAnsiTheme="minorHAnsi" w:cs="Calibri"/>
          <w:i/>
        </w:rPr>
        <w:t>NTRK</w:t>
      </w:r>
      <w:r w:rsidRPr="00A15073">
        <w:rPr>
          <w:rFonts w:asciiTheme="minorHAnsi" w:hAnsiTheme="minorHAnsi" w:cs="Calibri"/>
        </w:rPr>
        <w:t xml:space="preserve"> efficacy sets are described in detail in </w:t>
      </w:r>
      <w:r w:rsidR="008B2263">
        <w:rPr>
          <w:rFonts w:asciiTheme="minorHAnsi" w:hAnsiTheme="minorHAnsi" w:cs="Calibri"/>
        </w:rPr>
        <w:t>the ‘</w:t>
      </w:r>
      <w:r w:rsidR="008B2263" w:rsidRPr="007D2F65">
        <w:rPr>
          <w:rFonts w:asciiTheme="minorHAnsi" w:hAnsiTheme="minorHAnsi" w:cs="Calibri"/>
          <w:i/>
        </w:rPr>
        <w:t>Clinical</w:t>
      </w:r>
      <w:r w:rsidR="008B2263">
        <w:rPr>
          <w:rFonts w:asciiTheme="minorHAnsi" w:hAnsiTheme="minorHAnsi" w:cs="Calibri"/>
        </w:rPr>
        <w:t>’ section,</w:t>
      </w:r>
      <w:r>
        <w:rPr>
          <w:rFonts w:asciiTheme="minorHAnsi" w:hAnsiTheme="minorHAnsi" w:cs="Calibri"/>
        </w:rPr>
        <w:t xml:space="preserve"> above</w:t>
      </w:r>
      <w:r w:rsidR="008B2263">
        <w:rPr>
          <w:rFonts w:asciiTheme="minorHAnsi" w:hAnsiTheme="minorHAnsi" w:cs="Calibri"/>
        </w:rPr>
        <w:t>,</w:t>
      </w:r>
      <w:r w:rsidRPr="00A15073">
        <w:rPr>
          <w:rFonts w:asciiTheme="minorHAnsi" w:hAnsiTheme="minorHAnsi" w:cs="Calibri"/>
        </w:rPr>
        <w:t xml:space="preserve"> </w:t>
      </w:r>
      <w:r>
        <w:rPr>
          <w:rFonts w:asciiTheme="minorHAnsi" w:hAnsiTheme="minorHAnsi" w:cs="Calibri"/>
        </w:rPr>
        <w:t xml:space="preserve">diagnostic testing in the ROS1 efficacy set </w:t>
      </w:r>
      <w:r w:rsidRPr="00A15073">
        <w:rPr>
          <w:rFonts w:asciiTheme="minorHAnsi" w:hAnsiTheme="minorHAnsi" w:cs="Calibri"/>
        </w:rPr>
        <w:t xml:space="preserve">and </w:t>
      </w:r>
      <w:r>
        <w:rPr>
          <w:rFonts w:asciiTheme="minorHAnsi" w:hAnsiTheme="minorHAnsi" w:cs="Calibri"/>
        </w:rPr>
        <w:t>diagnostic testing in the NTRK efficacy sets.</w:t>
      </w:r>
    </w:p>
    <w:p w14:paraId="4551E352" w14:textId="77777777" w:rsidR="00B124B1" w:rsidRDefault="00B124B1" w:rsidP="00B124B1">
      <w:pPr>
        <w:rPr>
          <w:rFonts w:asciiTheme="minorHAnsi" w:hAnsiTheme="minorHAnsi" w:cs="Calibri"/>
        </w:rPr>
      </w:pPr>
      <w:r>
        <w:rPr>
          <w:rFonts w:asciiTheme="minorHAnsi" w:hAnsiTheme="minorHAnsi" w:cs="Calibri"/>
        </w:rPr>
        <w:t xml:space="preserve">A single </w:t>
      </w:r>
      <w:r w:rsidRPr="009C0CE3">
        <w:rPr>
          <w:rFonts w:asciiTheme="minorHAnsi" w:hAnsiTheme="minorHAnsi" w:cs="Calibri"/>
        </w:rPr>
        <w:t xml:space="preserve">site </w:t>
      </w:r>
      <w:r>
        <w:rPr>
          <w:rFonts w:asciiTheme="minorHAnsi" w:hAnsiTheme="minorHAnsi" w:cs="Calibri"/>
        </w:rPr>
        <w:t>RNA based NGS</w:t>
      </w:r>
      <w:r w:rsidRPr="009C0CE3">
        <w:rPr>
          <w:rFonts w:asciiTheme="minorHAnsi" w:hAnsiTheme="minorHAnsi" w:cs="Calibri"/>
        </w:rPr>
        <w:t xml:space="preserve"> test </w:t>
      </w:r>
      <w:r>
        <w:rPr>
          <w:rFonts w:asciiTheme="minorHAnsi" w:hAnsiTheme="minorHAnsi" w:cs="Calibri"/>
        </w:rPr>
        <w:t>(</w:t>
      </w:r>
      <w:proofErr w:type="spellStart"/>
      <w:r>
        <w:rPr>
          <w:rFonts w:asciiTheme="minorHAnsi" w:hAnsiTheme="minorHAnsi" w:cs="Calibri"/>
        </w:rPr>
        <w:t>Trailb</w:t>
      </w:r>
      <w:r w:rsidRPr="009C0CE3">
        <w:rPr>
          <w:rFonts w:asciiTheme="minorHAnsi" w:hAnsiTheme="minorHAnsi" w:cs="Calibri"/>
        </w:rPr>
        <w:t>laze</w:t>
      </w:r>
      <w:proofErr w:type="spellEnd"/>
      <w:r w:rsidRPr="009C0CE3">
        <w:rPr>
          <w:rFonts w:asciiTheme="minorHAnsi" w:hAnsiTheme="minorHAnsi" w:cs="Calibri"/>
        </w:rPr>
        <w:t xml:space="preserve"> Pharos</w:t>
      </w:r>
      <w:r>
        <w:rPr>
          <w:rFonts w:asciiTheme="minorHAnsi" w:hAnsiTheme="minorHAnsi" w:cs="Calibri"/>
        </w:rPr>
        <w:t>)</w:t>
      </w:r>
      <w:r>
        <w:rPr>
          <w:rFonts w:asciiTheme="minorHAnsi" w:hAnsiTheme="minorHAnsi" w:cs="Calibri"/>
        </w:rPr>
        <w:fldChar w:fldCharType="begin"/>
      </w:r>
      <w:r>
        <w:rPr>
          <w:rFonts w:asciiTheme="minorHAnsi" w:hAnsiTheme="minorHAnsi" w:cs="Calibri"/>
        </w:rPr>
        <w:instrText xml:space="preserve"> NOTEREF _Ref51157695 \f \h </w:instrText>
      </w:r>
      <w:r>
        <w:rPr>
          <w:rFonts w:asciiTheme="minorHAnsi" w:hAnsiTheme="minorHAnsi" w:cs="Calibri"/>
        </w:rPr>
      </w:r>
      <w:r>
        <w:rPr>
          <w:rFonts w:asciiTheme="minorHAnsi" w:hAnsiTheme="minorHAnsi" w:cs="Calibri"/>
        </w:rPr>
        <w:fldChar w:fldCharType="separate"/>
      </w:r>
      <w:r w:rsidRPr="005743D8">
        <w:rPr>
          <w:rStyle w:val="FootnoteReference"/>
        </w:rPr>
        <w:t>23</w:t>
      </w:r>
      <w:r>
        <w:rPr>
          <w:rFonts w:asciiTheme="minorHAnsi" w:hAnsiTheme="minorHAnsi" w:cs="Calibri"/>
        </w:rPr>
        <w:fldChar w:fldCharType="end"/>
      </w:r>
      <w:r>
        <w:rPr>
          <w:rFonts w:asciiTheme="minorHAnsi" w:hAnsiTheme="minorHAnsi" w:cs="Calibri"/>
        </w:rPr>
        <w:t xml:space="preserve"> was developed specifically for use in entrectinib studies, and was </w:t>
      </w:r>
      <w:r w:rsidRPr="009C0CE3">
        <w:rPr>
          <w:rFonts w:asciiTheme="minorHAnsi" w:hAnsiTheme="minorHAnsi" w:cs="Calibri"/>
        </w:rPr>
        <w:t xml:space="preserve">designed and operated at </w:t>
      </w:r>
      <w:proofErr w:type="spellStart"/>
      <w:r>
        <w:rPr>
          <w:rFonts w:asciiTheme="minorHAnsi" w:hAnsiTheme="minorHAnsi" w:cs="Calibri"/>
        </w:rPr>
        <w:t>Ignyta</w:t>
      </w:r>
      <w:proofErr w:type="spellEnd"/>
      <w:r>
        <w:rPr>
          <w:rFonts w:asciiTheme="minorHAnsi" w:hAnsiTheme="minorHAnsi" w:cs="Calibri"/>
        </w:rPr>
        <w:t>, the former s</w:t>
      </w:r>
      <w:r w:rsidRPr="009C0CE3">
        <w:rPr>
          <w:rFonts w:asciiTheme="minorHAnsi" w:hAnsiTheme="minorHAnsi" w:cs="Calibri"/>
        </w:rPr>
        <w:t>ponsor of entrectinib.</w:t>
      </w:r>
      <w:r>
        <w:rPr>
          <w:rFonts w:asciiTheme="minorHAnsi" w:hAnsiTheme="minorHAnsi" w:cs="Calibri"/>
        </w:rPr>
        <w:t xml:space="preserve"> This test was used to centrally confirm identified fusions where possible:</w:t>
      </w:r>
    </w:p>
    <w:p w14:paraId="718A91C9" w14:textId="77777777" w:rsidR="00B124B1" w:rsidRPr="008B2263" w:rsidRDefault="00B124B1" w:rsidP="007D2F65">
      <w:pPr>
        <w:pStyle w:val="ListBullet"/>
      </w:pPr>
      <w:r w:rsidRPr="008B2263">
        <w:lastRenderedPageBreak/>
        <w:t>Of the 51 patients in the ROS1 Primary Analysis Set, 30 (59%) had a Pharos result.</w:t>
      </w:r>
    </w:p>
    <w:p w14:paraId="6C07B36B" w14:textId="77777777" w:rsidR="00B124B1" w:rsidRPr="008B2263" w:rsidRDefault="00B124B1" w:rsidP="007D2F65">
      <w:pPr>
        <w:pStyle w:val="ListBullet"/>
      </w:pPr>
      <w:r w:rsidRPr="008B2263">
        <w:t>Of the 54 patients in the NTRK efficacy evaluable set, 45 (85%) had a Pharos result.</w:t>
      </w:r>
    </w:p>
    <w:p w14:paraId="7E7B032F" w14:textId="77777777" w:rsidR="00B124B1" w:rsidRDefault="00B124B1" w:rsidP="00B124B1">
      <w:pPr>
        <w:rPr>
          <w:rFonts w:asciiTheme="minorHAnsi" w:hAnsiTheme="minorHAnsi" w:cs="Calibri"/>
        </w:rPr>
      </w:pPr>
      <w:r>
        <w:rPr>
          <w:rFonts w:asciiTheme="minorHAnsi" w:hAnsiTheme="minorHAnsi" w:cs="Calibri"/>
        </w:rPr>
        <w:t>No tissue for retesting was available for any samples.</w:t>
      </w:r>
    </w:p>
    <w:p w14:paraId="503610E4" w14:textId="3FC24236" w:rsidR="00B124B1" w:rsidRDefault="00B124B1" w:rsidP="00B124B1">
      <w:pPr>
        <w:rPr>
          <w:rFonts w:asciiTheme="minorHAnsi" w:hAnsiTheme="minorHAnsi" w:cs="Calibri"/>
        </w:rPr>
      </w:pPr>
      <w:r>
        <w:rPr>
          <w:rFonts w:asciiTheme="minorHAnsi" w:hAnsiTheme="minorHAnsi" w:cs="Calibri"/>
        </w:rPr>
        <w:t xml:space="preserve">All </w:t>
      </w:r>
      <w:r w:rsidRPr="007B0C16">
        <w:rPr>
          <w:rFonts w:asciiTheme="minorHAnsi" w:hAnsiTheme="minorHAnsi" w:cs="Calibri"/>
          <w:i/>
        </w:rPr>
        <w:t>NTRK</w:t>
      </w:r>
      <w:r>
        <w:rPr>
          <w:rFonts w:asciiTheme="minorHAnsi" w:hAnsiTheme="minorHAnsi" w:cs="Calibri"/>
        </w:rPr>
        <w:t xml:space="preserve"> fusions were identified by nucleic acid based testing, whilst 24% of </w:t>
      </w:r>
      <w:r w:rsidRPr="007B0C16">
        <w:rPr>
          <w:rFonts w:asciiTheme="minorHAnsi" w:hAnsiTheme="minorHAnsi" w:cs="Calibri"/>
          <w:i/>
        </w:rPr>
        <w:t>ROS1</w:t>
      </w:r>
      <w:r>
        <w:rPr>
          <w:rFonts w:asciiTheme="minorHAnsi" w:hAnsiTheme="minorHAnsi" w:cs="Calibri"/>
        </w:rPr>
        <w:t xml:space="preserve"> fusions (n = 12) were identified by FISH alone. The use of FISH to identify ROS1 in NSCLC is in keeping with current clinical practice.</w:t>
      </w:r>
    </w:p>
    <w:p w14:paraId="4532ED8B" w14:textId="77777777" w:rsidR="00B124B1" w:rsidRDefault="00B124B1" w:rsidP="007D2F65">
      <w:pPr>
        <w:pStyle w:val="Heading6"/>
      </w:pPr>
      <w:r>
        <w:t>Companion diagnostic testing for selection for entrectinib therapy</w:t>
      </w:r>
    </w:p>
    <w:p w14:paraId="4DCFCADB" w14:textId="77777777" w:rsidR="00B124B1" w:rsidRDefault="00B124B1" w:rsidP="00B124B1">
      <w:pPr>
        <w:rPr>
          <w:rFonts w:asciiTheme="minorHAnsi" w:hAnsiTheme="minorHAnsi" w:cs="Calibri"/>
          <w:lang w:eastAsia="ja-JP"/>
        </w:rPr>
      </w:pPr>
      <w:r w:rsidRPr="009C0CE3">
        <w:rPr>
          <w:rFonts w:asciiTheme="minorHAnsi" w:hAnsiTheme="minorHAnsi" w:cs="Calibri"/>
          <w:lang w:eastAsia="ja-JP"/>
        </w:rPr>
        <w:t>Currently, there is n</w:t>
      </w:r>
      <w:r>
        <w:rPr>
          <w:rFonts w:asciiTheme="minorHAnsi" w:hAnsiTheme="minorHAnsi" w:cs="Calibri"/>
          <w:lang w:eastAsia="ja-JP"/>
        </w:rPr>
        <w:t xml:space="preserve">o FDA </w:t>
      </w:r>
      <w:r w:rsidRPr="009C0CE3">
        <w:rPr>
          <w:rFonts w:asciiTheme="minorHAnsi" w:hAnsiTheme="minorHAnsi" w:cs="Calibri"/>
          <w:lang w:eastAsia="ja-JP"/>
        </w:rPr>
        <w:t xml:space="preserve">approved companion diagnostic for identification of </w:t>
      </w:r>
      <w:r w:rsidRPr="007B0C16">
        <w:rPr>
          <w:rFonts w:asciiTheme="minorHAnsi" w:hAnsiTheme="minorHAnsi" w:cs="Calibri"/>
          <w:i/>
          <w:lang w:eastAsia="ja-JP"/>
        </w:rPr>
        <w:t>ROS1</w:t>
      </w:r>
      <w:r w:rsidRPr="009C0CE3">
        <w:rPr>
          <w:rFonts w:asciiTheme="minorHAnsi" w:hAnsiTheme="minorHAnsi" w:cs="Calibri"/>
          <w:lang w:eastAsia="ja-JP"/>
        </w:rPr>
        <w:t xml:space="preserve"> rearranged tumours. </w:t>
      </w:r>
      <w:r>
        <w:rPr>
          <w:rFonts w:asciiTheme="minorHAnsi" w:hAnsiTheme="minorHAnsi" w:cs="Calibri"/>
          <w:lang w:eastAsia="ja-JP"/>
        </w:rPr>
        <w:t xml:space="preserve">A DNA </w:t>
      </w:r>
      <w:r w:rsidRPr="009C0CE3">
        <w:rPr>
          <w:rFonts w:asciiTheme="minorHAnsi" w:hAnsiTheme="minorHAnsi" w:cs="Calibri"/>
          <w:lang w:eastAsia="ja-JP"/>
        </w:rPr>
        <w:t xml:space="preserve">based </w:t>
      </w:r>
      <w:proofErr w:type="spellStart"/>
      <w:r>
        <w:rPr>
          <w:rFonts w:asciiTheme="minorHAnsi" w:hAnsiTheme="minorHAnsi" w:cs="Calibri"/>
          <w:lang w:eastAsia="ja-JP"/>
        </w:rPr>
        <w:t>FoundationOne</w:t>
      </w:r>
      <w:proofErr w:type="spellEnd"/>
      <w:r>
        <w:rPr>
          <w:rFonts w:asciiTheme="minorHAnsi" w:hAnsiTheme="minorHAnsi" w:cs="Calibri"/>
          <w:lang w:eastAsia="ja-JP"/>
        </w:rPr>
        <w:t xml:space="preserve"> NGS </w:t>
      </w:r>
      <w:r w:rsidRPr="009C0CE3">
        <w:rPr>
          <w:rFonts w:asciiTheme="minorHAnsi" w:hAnsiTheme="minorHAnsi" w:cs="Calibri"/>
          <w:lang w:eastAsia="ja-JP"/>
        </w:rPr>
        <w:t>c</w:t>
      </w:r>
      <w:r>
        <w:rPr>
          <w:rFonts w:asciiTheme="minorHAnsi" w:hAnsiTheme="minorHAnsi" w:cs="Calibri"/>
          <w:lang w:eastAsia="ja-JP"/>
        </w:rPr>
        <w:t>ompanion diagnostic (F1CDx</w:t>
      </w:r>
      <w:r w:rsidRPr="009C0CE3">
        <w:rPr>
          <w:rFonts w:asciiTheme="minorHAnsi" w:hAnsiTheme="minorHAnsi" w:cs="Calibri"/>
          <w:lang w:eastAsia="ja-JP"/>
        </w:rPr>
        <w:t xml:space="preserve">) </w:t>
      </w:r>
      <w:r>
        <w:rPr>
          <w:rFonts w:asciiTheme="minorHAnsi" w:hAnsiTheme="minorHAnsi" w:cs="Calibri"/>
          <w:lang w:eastAsia="ja-JP"/>
        </w:rPr>
        <w:t>was</w:t>
      </w:r>
      <w:r w:rsidRPr="009C0CE3">
        <w:rPr>
          <w:rFonts w:asciiTheme="minorHAnsi" w:hAnsiTheme="minorHAnsi" w:cs="Calibri"/>
          <w:lang w:eastAsia="ja-JP"/>
        </w:rPr>
        <w:t xml:space="preserve"> under development</w:t>
      </w:r>
      <w:r>
        <w:rPr>
          <w:rFonts w:asciiTheme="minorHAnsi" w:hAnsiTheme="minorHAnsi" w:cs="Calibri"/>
          <w:lang w:eastAsia="ja-JP"/>
        </w:rPr>
        <w:t xml:space="preserve"> at the time of FDA approval and has since been submitted to the FDA </w:t>
      </w:r>
      <w:r w:rsidRPr="009C0CE3">
        <w:rPr>
          <w:rFonts w:asciiTheme="minorHAnsi" w:hAnsiTheme="minorHAnsi" w:cs="Calibri"/>
          <w:lang w:eastAsia="ja-JP"/>
        </w:rPr>
        <w:t xml:space="preserve">for both the </w:t>
      </w:r>
      <w:r w:rsidRPr="007B0C16">
        <w:rPr>
          <w:rFonts w:asciiTheme="minorHAnsi" w:hAnsiTheme="minorHAnsi" w:cs="Calibri"/>
          <w:i/>
          <w:lang w:eastAsia="ja-JP"/>
        </w:rPr>
        <w:t>ROS1</w:t>
      </w:r>
      <w:r w:rsidRPr="009C0CE3">
        <w:rPr>
          <w:rFonts w:asciiTheme="minorHAnsi" w:hAnsiTheme="minorHAnsi" w:cs="Calibri"/>
          <w:lang w:eastAsia="ja-JP"/>
        </w:rPr>
        <w:t xml:space="preserve"> and </w:t>
      </w:r>
      <w:r w:rsidRPr="007B0C16">
        <w:rPr>
          <w:rFonts w:asciiTheme="minorHAnsi" w:hAnsiTheme="minorHAnsi" w:cs="Calibri"/>
          <w:i/>
          <w:lang w:eastAsia="ja-JP"/>
        </w:rPr>
        <w:t>NTRK</w:t>
      </w:r>
      <w:r w:rsidRPr="009C0CE3">
        <w:rPr>
          <w:rFonts w:asciiTheme="minorHAnsi" w:hAnsiTheme="minorHAnsi" w:cs="Calibri"/>
          <w:lang w:eastAsia="ja-JP"/>
        </w:rPr>
        <w:t xml:space="preserve"> indications</w:t>
      </w:r>
      <w:r>
        <w:rPr>
          <w:rFonts w:asciiTheme="minorHAnsi" w:hAnsiTheme="minorHAnsi" w:cs="Calibri"/>
          <w:lang w:eastAsia="ja-JP"/>
        </w:rPr>
        <w:t xml:space="preserve"> in the USA.</w:t>
      </w:r>
    </w:p>
    <w:p w14:paraId="37A619D6" w14:textId="77777777" w:rsidR="00B124B1" w:rsidRPr="00F30C77" w:rsidRDefault="00B124B1" w:rsidP="007B0C16">
      <w:pPr>
        <w:pStyle w:val="Heading6"/>
        <w:rPr>
          <w:lang w:val="en-US"/>
        </w:rPr>
      </w:pPr>
      <w:r w:rsidRPr="00F30C77">
        <w:rPr>
          <w:lang w:val="en-US"/>
        </w:rPr>
        <w:t xml:space="preserve">Australian availability of </w:t>
      </w:r>
      <w:proofErr w:type="spellStart"/>
      <w:r w:rsidRPr="00F30C77">
        <w:rPr>
          <w:lang w:val="en-US"/>
        </w:rPr>
        <w:t>FoundationOne</w:t>
      </w:r>
      <w:proofErr w:type="spellEnd"/>
      <w:r w:rsidRPr="00F30C77">
        <w:rPr>
          <w:lang w:val="en-US"/>
        </w:rPr>
        <w:t xml:space="preserve"> </w:t>
      </w:r>
      <w:proofErr w:type="spellStart"/>
      <w:r w:rsidRPr="00F30C77">
        <w:rPr>
          <w:lang w:val="en-US"/>
        </w:rPr>
        <w:t>CDx</w:t>
      </w:r>
      <w:proofErr w:type="spellEnd"/>
      <w:r w:rsidRPr="00F30C77">
        <w:rPr>
          <w:lang w:val="en-US"/>
        </w:rPr>
        <w:t xml:space="preserve"> testing</w:t>
      </w:r>
    </w:p>
    <w:p w14:paraId="7A39FE41" w14:textId="77777777" w:rsidR="00B124B1" w:rsidRPr="00F30C77" w:rsidRDefault="00B124B1" w:rsidP="00B124B1">
      <w:pPr>
        <w:rPr>
          <w:rFonts w:asciiTheme="minorHAnsi" w:hAnsiTheme="minorHAnsi" w:cs="Calibri"/>
          <w:lang w:val="en-US"/>
        </w:rPr>
      </w:pPr>
      <w:r w:rsidRPr="00F30C77">
        <w:rPr>
          <w:rFonts w:asciiTheme="minorHAnsi" w:hAnsiTheme="minorHAnsi" w:cs="Calibri"/>
          <w:lang w:val="en-US"/>
        </w:rPr>
        <w:t>A summary of the issues around testing</w:t>
      </w:r>
      <w:r>
        <w:rPr>
          <w:rFonts w:asciiTheme="minorHAnsi" w:hAnsiTheme="minorHAnsi" w:cs="Calibri"/>
          <w:lang w:val="en-US"/>
        </w:rPr>
        <w:t xml:space="preserve"> in Australia was given by the s</w:t>
      </w:r>
      <w:r w:rsidRPr="00F30C77">
        <w:rPr>
          <w:rFonts w:asciiTheme="minorHAnsi" w:hAnsiTheme="minorHAnsi" w:cs="Calibri"/>
          <w:lang w:val="en-US"/>
        </w:rPr>
        <w:t>ponsor in their submission for provisional designation of the NTRK indication:</w:t>
      </w:r>
    </w:p>
    <w:p w14:paraId="1DDC09D0" w14:textId="77777777" w:rsidR="00B124B1" w:rsidRPr="00F30C77" w:rsidRDefault="00B124B1" w:rsidP="00B124B1">
      <w:pPr>
        <w:ind w:left="720"/>
        <w:rPr>
          <w:lang w:val="en-US"/>
        </w:rPr>
      </w:pPr>
      <w:r>
        <w:rPr>
          <w:lang w:val="en-US"/>
        </w:rPr>
        <w:t>‘</w:t>
      </w:r>
      <w:proofErr w:type="spellStart"/>
      <w:r>
        <w:rPr>
          <w:lang w:val="en-US"/>
        </w:rPr>
        <w:t>FoundationOne</w:t>
      </w:r>
      <w:proofErr w:type="spellEnd"/>
      <w:r w:rsidRPr="00F30C77">
        <w:rPr>
          <w:lang w:val="en-US"/>
        </w:rPr>
        <w:t xml:space="preserve"> </w:t>
      </w:r>
      <w:proofErr w:type="spellStart"/>
      <w:r w:rsidRPr="00F30C77">
        <w:rPr>
          <w:lang w:val="en-US"/>
        </w:rPr>
        <w:t>CDx</w:t>
      </w:r>
      <w:proofErr w:type="spellEnd"/>
      <w:r w:rsidRPr="00F30C77">
        <w:rPr>
          <w:lang w:val="en-US"/>
        </w:rPr>
        <w:t xml:space="preserve"> (F1CDx) is an NGS based assay for detection of substitutions, insertion and deletion alterations (</w:t>
      </w:r>
      <w:proofErr w:type="spellStart"/>
      <w:r w:rsidRPr="00F30C77">
        <w:rPr>
          <w:lang w:val="en-US"/>
        </w:rPr>
        <w:t>indels</w:t>
      </w:r>
      <w:proofErr w:type="spellEnd"/>
      <w:r w:rsidRPr="00F30C77">
        <w:rPr>
          <w:lang w:val="en-US"/>
        </w:rPr>
        <w:t xml:space="preserve">), and copy number alterations (CNAs) in 324 genes and select gene rearrangements, as well as genomic signatures including microsatellite instability (MSI) and </w:t>
      </w:r>
      <w:proofErr w:type="spellStart"/>
      <w:r w:rsidRPr="00F30C77">
        <w:rPr>
          <w:lang w:val="en-US"/>
        </w:rPr>
        <w:t>tumour</w:t>
      </w:r>
      <w:proofErr w:type="spellEnd"/>
      <w:r w:rsidRPr="00F30C77">
        <w:rPr>
          <w:lang w:val="en-US"/>
        </w:rPr>
        <w:t xml:space="preserve"> mutational burden (TMB) using DNA isolated from formalin-fixed paraffin embedded (FFPE) </w:t>
      </w:r>
      <w:proofErr w:type="spellStart"/>
      <w:r w:rsidRPr="00F30C77">
        <w:rPr>
          <w:lang w:val="en-US"/>
        </w:rPr>
        <w:t>tumour</w:t>
      </w:r>
      <w:proofErr w:type="spellEnd"/>
      <w:r w:rsidRPr="00F30C77">
        <w:rPr>
          <w:lang w:val="en-US"/>
        </w:rPr>
        <w:t xml:space="preserve"> tissue specime</w:t>
      </w:r>
      <w:r>
        <w:rPr>
          <w:lang w:val="en-US"/>
        </w:rPr>
        <w:t xml:space="preserve">ns. The F1CDx assay is a single </w:t>
      </w:r>
      <w:r w:rsidRPr="00F30C77">
        <w:rPr>
          <w:lang w:val="en-US"/>
        </w:rPr>
        <w:t>site assay performed at Foundation Medicine, Inc.</w:t>
      </w:r>
    </w:p>
    <w:p w14:paraId="1D713054" w14:textId="77777777" w:rsidR="00B124B1" w:rsidRDefault="00B124B1" w:rsidP="00B124B1">
      <w:pPr>
        <w:ind w:left="720"/>
        <w:rPr>
          <w:lang w:val="en-US"/>
        </w:rPr>
      </w:pPr>
      <w:r w:rsidRPr="00F30C77">
        <w:rPr>
          <w:lang w:val="en-US"/>
        </w:rPr>
        <w:t>…</w:t>
      </w:r>
    </w:p>
    <w:p w14:paraId="1A57D019" w14:textId="77777777" w:rsidR="00B124B1" w:rsidRPr="00F30C77" w:rsidRDefault="00B124B1" w:rsidP="00B124B1">
      <w:pPr>
        <w:ind w:left="720"/>
      </w:pPr>
      <w:r w:rsidRPr="00F30C77">
        <w:t>is currently available in Australia as a service whereby patient samples are transported to the USA for testing. As the testing occurs outside Australia, there is currently no regulatory framework to register the test here.</w:t>
      </w:r>
      <w:r>
        <w:t>’</w:t>
      </w:r>
    </w:p>
    <w:p w14:paraId="35D710CC" w14:textId="77777777" w:rsidR="00B124B1" w:rsidRDefault="00B124B1" w:rsidP="00B124B1">
      <w:pPr>
        <w:rPr>
          <w:lang w:eastAsia="zh-TW"/>
        </w:rPr>
      </w:pPr>
      <w:r>
        <w:rPr>
          <w:lang w:eastAsia="zh-TW"/>
        </w:rPr>
        <w:t>The sponsor stated in a response to the TGA clinical evaluator that no discussions with laboratory service providers in Australia are underway with respect to developing an accredited laboratory test for the gene rearrangements in Australia, however:</w:t>
      </w:r>
    </w:p>
    <w:p w14:paraId="16AC210D" w14:textId="77777777" w:rsidR="00B124B1" w:rsidRPr="00F30C77" w:rsidRDefault="00B124B1" w:rsidP="00B124B1">
      <w:pPr>
        <w:ind w:left="720"/>
      </w:pPr>
      <w:r>
        <w:t>‘…the s</w:t>
      </w:r>
      <w:r w:rsidRPr="00F30C77">
        <w:t xml:space="preserve">ponsor has developed </w:t>
      </w:r>
      <w:proofErr w:type="spellStart"/>
      <w:r w:rsidRPr="00F30C77">
        <w:t>FoundationOne</w:t>
      </w:r>
      <w:proofErr w:type="spellEnd"/>
      <w:r w:rsidRPr="00F30C77">
        <w:t xml:space="preserve"> </w:t>
      </w:r>
      <w:proofErr w:type="spellStart"/>
      <w:r w:rsidRPr="00F30C77">
        <w:t>CDx</w:t>
      </w:r>
      <w:proofErr w:type="spellEnd"/>
      <w:r w:rsidRPr="00F30C77">
        <w:t xml:space="preserve"> as a global companion test for Rozlytrek which is available commercially in Australia, but with the tes</w:t>
      </w:r>
      <w:r>
        <w:t>ting performed in the US. The s</w:t>
      </w:r>
      <w:r w:rsidRPr="00F30C77">
        <w:t>ponsor also understands that alternative, comparable tests are currentl</w:t>
      </w:r>
      <w:r>
        <w:t>y available in Australia. The s</w:t>
      </w:r>
      <w:r w:rsidRPr="00F30C77">
        <w:t>ponsor did not provide performance comparisons for these tests.</w:t>
      </w:r>
      <w:r>
        <w:t>’</w:t>
      </w:r>
    </w:p>
    <w:p w14:paraId="647CB960" w14:textId="77777777" w:rsidR="00B124B1" w:rsidRDefault="00B124B1" w:rsidP="00B124B1">
      <w:pPr>
        <w:rPr>
          <w:lang w:eastAsia="zh-TW"/>
        </w:rPr>
      </w:pPr>
      <w:proofErr w:type="spellStart"/>
      <w:r>
        <w:rPr>
          <w:lang w:eastAsia="zh-TW"/>
        </w:rPr>
        <w:t>FoundationOne</w:t>
      </w:r>
      <w:proofErr w:type="spellEnd"/>
      <w:r>
        <w:rPr>
          <w:lang w:eastAsia="zh-TW"/>
        </w:rPr>
        <w:t xml:space="preserve"> </w:t>
      </w:r>
      <w:proofErr w:type="spellStart"/>
      <w:r>
        <w:rPr>
          <w:lang w:eastAsia="zh-TW"/>
        </w:rPr>
        <w:t>Heme</w:t>
      </w:r>
      <w:proofErr w:type="spellEnd"/>
      <w:r>
        <w:rPr>
          <w:lang w:eastAsia="zh-TW"/>
        </w:rPr>
        <w:t xml:space="preserve"> appears to be an NGS test that incorporates both RNA and DNA sources, and therefore increases sensitivity, however, it is not the diagnostic intended for companion status in the US.</w:t>
      </w:r>
    </w:p>
    <w:p w14:paraId="1FE086EC" w14:textId="77777777" w:rsidR="00B124B1" w:rsidRPr="00F30C77" w:rsidRDefault="00B124B1" w:rsidP="007B0C16">
      <w:pPr>
        <w:pStyle w:val="Heading6"/>
        <w:rPr>
          <w:lang w:val="en-US"/>
        </w:rPr>
      </w:pPr>
      <w:r w:rsidRPr="00F30C77">
        <w:rPr>
          <w:lang w:val="en-US"/>
        </w:rPr>
        <w:t>Testing for ROS1 in the absence of a companion diagnostic</w:t>
      </w:r>
    </w:p>
    <w:p w14:paraId="03A4C68F" w14:textId="77777777" w:rsidR="00B124B1" w:rsidRPr="00F30C77" w:rsidRDefault="00B124B1" w:rsidP="00B124B1">
      <w:pPr>
        <w:rPr>
          <w:lang w:val="en-US"/>
        </w:rPr>
      </w:pPr>
      <w:r w:rsidRPr="00707F6C">
        <w:rPr>
          <w:lang w:val="en-US"/>
        </w:rPr>
        <w:t>The FDA’s rationale for approval of entrectinib despite the absence of a companion diagnostic was as follows</w:t>
      </w:r>
      <w:r>
        <w:rPr>
          <w:lang w:val="en-US"/>
        </w:rPr>
        <w:t>:</w:t>
      </w:r>
      <w:r>
        <w:rPr>
          <w:lang w:val="en-US"/>
        </w:rPr>
        <w:fldChar w:fldCharType="begin"/>
      </w:r>
      <w:r>
        <w:rPr>
          <w:lang w:val="en-US"/>
        </w:rPr>
        <w:instrText xml:space="preserve"> NOTEREF _Ref50554541 \f \h </w:instrText>
      </w:r>
      <w:r>
        <w:rPr>
          <w:lang w:val="en-US"/>
        </w:rPr>
      </w:r>
      <w:r>
        <w:rPr>
          <w:lang w:val="en-US"/>
        </w:rPr>
        <w:fldChar w:fldCharType="separate"/>
      </w:r>
      <w:r w:rsidRPr="005743D8">
        <w:rPr>
          <w:rStyle w:val="FootnoteReference"/>
        </w:rPr>
        <w:t>12</w:t>
      </w:r>
      <w:r>
        <w:rPr>
          <w:lang w:val="en-US"/>
        </w:rPr>
        <w:fldChar w:fldCharType="end"/>
      </w:r>
    </w:p>
    <w:p w14:paraId="6361FF9D" w14:textId="77777777" w:rsidR="00B124B1" w:rsidRPr="00F30C77" w:rsidRDefault="00B124B1" w:rsidP="00B124B1">
      <w:pPr>
        <w:ind w:left="720"/>
        <w:rPr>
          <w:lang w:val="en-US"/>
        </w:rPr>
      </w:pPr>
      <w:r>
        <w:rPr>
          <w:lang w:val="en-US"/>
        </w:rPr>
        <w:t>‘</w:t>
      </w:r>
      <w:r w:rsidRPr="00F30C77">
        <w:rPr>
          <w:lang w:val="en-US"/>
        </w:rPr>
        <w:t xml:space="preserve">Given the efficacy of entrectinib in patients with ROS1 gene fusion‐positive </w:t>
      </w:r>
      <w:proofErr w:type="spellStart"/>
      <w:r w:rsidRPr="00F30C77">
        <w:rPr>
          <w:lang w:val="en-US"/>
        </w:rPr>
        <w:t>unresectable</w:t>
      </w:r>
      <w:proofErr w:type="spellEnd"/>
      <w:r w:rsidRPr="00F30C77">
        <w:rPr>
          <w:lang w:val="en-US"/>
        </w:rPr>
        <w:t xml:space="preserve"> or metastatic NSCLC, the low prevalence of this subset of NSCLC (1‐2% of all NSCLC) and the availability of non‐companion diagnostic testing for ROS1 fusions in NSCLC, the clinical review team determined that it is in the best interest of U.S. patients to approve entrectinib before one or more companion diagnostic assays are ready for </w:t>
      </w:r>
      <w:r w:rsidRPr="008D3773">
        <w:t>pre</w:t>
      </w:r>
      <w:r>
        <w:t>market approval application (</w:t>
      </w:r>
      <w:r w:rsidRPr="00F30C77">
        <w:rPr>
          <w:lang w:val="en-US"/>
        </w:rPr>
        <w:t>PMA</w:t>
      </w:r>
      <w:r>
        <w:rPr>
          <w:lang w:val="en-US"/>
        </w:rPr>
        <w:t>)</w:t>
      </w:r>
      <w:r w:rsidRPr="00F30C77">
        <w:rPr>
          <w:lang w:val="en-US"/>
        </w:rPr>
        <w:t xml:space="preserve"> submission. Since a PMA for an </w:t>
      </w:r>
      <w:r w:rsidRPr="0043347B">
        <w:rPr>
          <w:i/>
          <w:lang w:val="en-US"/>
        </w:rPr>
        <w:t>in vitro</w:t>
      </w:r>
      <w:r w:rsidRPr="00F30C77">
        <w:rPr>
          <w:lang w:val="en-US"/>
        </w:rPr>
        <w:t xml:space="preserve"> companion diagnostic device was not submitted for contemporaneous approval with this NDA, approved labeling will state that there </w:t>
      </w:r>
      <w:r w:rsidRPr="00F30C77">
        <w:rPr>
          <w:lang w:val="en-US"/>
        </w:rPr>
        <w:lastRenderedPageBreak/>
        <w:t>is no FDA‐approved for detection of ROS1 rearrangement(s) in NSCLC for selecting patients for treatmen</w:t>
      </w:r>
      <w:r>
        <w:rPr>
          <w:lang w:val="en-US"/>
        </w:rPr>
        <w:t xml:space="preserve">t with entrectinib. Genentech </w:t>
      </w:r>
      <w:r w:rsidRPr="00F30C77">
        <w:rPr>
          <w:lang w:val="en-US"/>
        </w:rPr>
        <w:t>has agreed to a post‐marketing commitment (PMC) to provide adequate analytical and clinical validation results from clinical trial data to support labeling of a companion diagnostic test to detect ROS1 rearrangements for identifying patients who may benefit from entrectinib.</w:t>
      </w:r>
      <w:r>
        <w:rPr>
          <w:lang w:val="en-US"/>
        </w:rPr>
        <w:t>’</w:t>
      </w:r>
    </w:p>
    <w:p w14:paraId="4198158F" w14:textId="1A72E970" w:rsidR="00B124B1" w:rsidRPr="00F30C77" w:rsidRDefault="00B124B1" w:rsidP="00B124B1">
      <w:pPr>
        <w:rPr>
          <w:lang w:val="en-US"/>
        </w:rPr>
      </w:pPr>
      <w:r w:rsidRPr="00F30C77">
        <w:rPr>
          <w:lang w:val="en-US"/>
        </w:rPr>
        <w:t xml:space="preserve">The TGA </w:t>
      </w:r>
      <w:r w:rsidR="008B2263">
        <w:rPr>
          <w:lang w:val="en-US"/>
        </w:rPr>
        <w:t>D</w:t>
      </w:r>
      <w:r w:rsidRPr="00F30C77">
        <w:rPr>
          <w:lang w:val="en-US"/>
        </w:rPr>
        <w:t>elegate is in agreement with this approach.</w:t>
      </w:r>
    </w:p>
    <w:p w14:paraId="027FDB88" w14:textId="77777777" w:rsidR="00B124B1" w:rsidRPr="00F30C77" w:rsidRDefault="00B124B1" w:rsidP="00B124B1">
      <w:pPr>
        <w:rPr>
          <w:lang w:val="en-US"/>
        </w:rPr>
      </w:pPr>
      <w:r w:rsidRPr="00F30C77">
        <w:rPr>
          <w:lang w:val="en-US"/>
        </w:rPr>
        <w:t xml:space="preserve">The most sensible current approach to </w:t>
      </w:r>
      <w:r w:rsidRPr="007B0C16">
        <w:rPr>
          <w:i/>
          <w:lang w:val="en-US"/>
        </w:rPr>
        <w:t>ROS1</w:t>
      </w:r>
      <w:r w:rsidRPr="00F30C77">
        <w:rPr>
          <w:lang w:val="en-US"/>
        </w:rPr>
        <w:t xml:space="preserve">-positive </w:t>
      </w:r>
      <w:proofErr w:type="spellStart"/>
      <w:r w:rsidRPr="00F30C77">
        <w:rPr>
          <w:lang w:val="en-US"/>
        </w:rPr>
        <w:t>tumour</w:t>
      </w:r>
      <w:proofErr w:type="spellEnd"/>
      <w:r w:rsidRPr="00F30C77">
        <w:rPr>
          <w:lang w:val="en-US"/>
        </w:rPr>
        <w:t xml:space="preserve"> identification appears to be the approach used to identify patients for </w:t>
      </w:r>
      <w:proofErr w:type="spellStart"/>
      <w:r w:rsidRPr="00F30C77">
        <w:rPr>
          <w:lang w:val="en-US"/>
        </w:rPr>
        <w:t>crizotinib</w:t>
      </w:r>
      <w:proofErr w:type="spellEnd"/>
      <w:r w:rsidRPr="00F30C77">
        <w:rPr>
          <w:lang w:val="en-US"/>
        </w:rPr>
        <w:t xml:space="preserve"> therapy of the same indication. That is: use of </w:t>
      </w:r>
      <w:r>
        <w:rPr>
          <w:lang w:val="en-US"/>
        </w:rPr>
        <w:t>immunohistochemistry (</w:t>
      </w:r>
      <w:r w:rsidRPr="00F30C77">
        <w:rPr>
          <w:lang w:val="en-US"/>
        </w:rPr>
        <w:t>IHC</w:t>
      </w:r>
      <w:r>
        <w:rPr>
          <w:lang w:val="en-US"/>
        </w:rPr>
        <w:t>)</w:t>
      </w:r>
      <w:r w:rsidRPr="00F30C77">
        <w:rPr>
          <w:lang w:val="en-US"/>
        </w:rPr>
        <w:t xml:space="preserve"> as a screening tool (with positivity cut-offs defined for high sensitivity), then using FISH to confirm po</w:t>
      </w:r>
      <w:r>
        <w:rPr>
          <w:lang w:val="en-US"/>
        </w:rPr>
        <w:t>sitive or unclear IHC results.</w:t>
      </w:r>
      <w:r>
        <w:rPr>
          <w:rStyle w:val="FootnoteReference"/>
          <w:lang w:val="en-US"/>
        </w:rPr>
        <w:footnoteReference w:id="36"/>
      </w:r>
      <w:r w:rsidRPr="00F30C77">
        <w:rPr>
          <w:lang w:val="en-US"/>
        </w:rPr>
        <w:t xml:space="preserve"> In Australia, </w:t>
      </w:r>
      <w:r w:rsidRPr="007B0C16">
        <w:rPr>
          <w:i/>
          <w:lang w:val="en-US"/>
        </w:rPr>
        <w:t>ROS1</w:t>
      </w:r>
      <w:r w:rsidRPr="00F30C77">
        <w:rPr>
          <w:lang w:val="en-US"/>
        </w:rPr>
        <w:t xml:space="preserve"> testing by FISH (for determination of eligibility for treatment with </w:t>
      </w:r>
      <w:proofErr w:type="spellStart"/>
      <w:r w:rsidRPr="00F30C77">
        <w:rPr>
          <w:lang w:val="en-US"/>
        </w:rPr>
        <w:t>crizotinib</w:t>
      </w:r>
      <w:proofErr w:type="spellEnd"/>
      <w:r w:rsidRPr="00F30C77">
        <w:rPr>
          <w:lang w:val="en-US"/>
        </w:rPr>
        <w:t xml:space="preserve">) is </w:t>
      </w:r>
      <w:proofErr w:type="spellStart"/>
      <w:r w:rsidRPr="00F30C77">
        <w:rPr>
          <w:lang w:val="en-US"/>
        </w:rPr>
        <w:t>subsidised</w:t>
      </w:r>
      <w:proofErr w:type="spellEnd"/>
      <w:r w:rsidRPr="00F30C77">
        <w:rPr>
          <w:lang w:val="en-US"/>
        </w:rPr>
        <w:t xml:space="preserve"> for patients with a documented absence of both EGFR and ALK mutations, who are </w:t>
      </w:r>
      <w:r w:rsidRPr="007B0C16">
        <w:rPr>
          <w:i/>
          <w:lang w:val="en-US"/>
        </w:rPr>
        <w:t>ROS1</w:t>
      </w:r>
      <w:r w:rsidRPr="00F30C77">
        <w:rPr>
          <w:lang w:val="en-US"/>
        </w:rPr>
        <w:t>-positive by IHC. Direct DNA sequencing can be used to identify the fusion gene partner in confirmed cases or to adjudicate where FISH and IHC are in disagr</w:t>
      </w:r>
      <w:r>
        <w:rPr>
          <w:lang w:val="en-US"/>
        </w:rPr>
        <w:t>eement.</w:t>
      </w:r>
    </w:p>
    <w:p w14:paraId="7E1595F1" w14:textId="77777777" w:rsidR="00B124B1" w:rsidRPr="00F30C77" w:rsidRDefault="00B124B1" w:rsidP="00B124B1">
      <w:pPr>
        <w:rPr>
          <w:lang w:val="en-US"/>
        </w:rPr>
      </w:pPr>
      <w:r w:rsidRPr="00F30C77">
        <w:rPr>
          <w:lang w:val="en-US"/>
        </w:rPr>
        <w:t>Thi</w:t>
      </w:r>
      <w:r>
        <w:rPr>
          <w:lang w:val="en-US"/>
        </w:rPr>
        <w:t>s approach is predicted by the s</w:t>
      </w:r>
      <w:r w:rsidRPr="00F30C77">
        <w:rPr>
          <w:lang w:val="en-US"/>
        </w:rPr>
        <w:t xml:space="preserve">ponsor to be used for identification of patients with </w:t>
      </w:r>
      <w:r w:rsidRPr="007B0C16">
        <w:rPr>
          <w:i/>
          <w:lang w:val="en-US"/>
        </w:rPr>
        <w:t>ROS1</w:t>
      </w:r>
      <w:r w:rsidRPr="00F30C77">
        <w:rPr>
          <w:lang w:val="en-US"/>
        </w:rPr>
        <w:t xml:space="preserve"> mutations for the purposes of treatment with entrectinib.</w:t>
      </w:r>
    </w:p>
    <w:p w14:paraId="1D263ED5" w14:textId="45C2A1B0" w:rsidR="00B124B1" w:rsidRDefault="00B124B1" w:rsidP="00B124B1">
      <w:pPr>
        <w:rPr>
          <w:lang w:val="en-US"/>
        </w:rPr>
      </w:pPr>
      <w:r w:rsidRPr="00F30C77">
        <w:rPr>
          <w:lang w:val="en-US"/>
        </w:rPr>
        <w:t>Development and validation of a companion diagnostic test for ROS1 rearrangement should nevertheless be a condition of entrectinib registration as a broad range of tests were used in the clinical trial, and this will provide a reference standard. Proposed registration condition</w:t>
      </w:r>
      <w:r>
        <w:rPr>
          <w:lang w:val="en-US"/>
        </w:rPr>
        <w:t xml:space="preserve"> wording is outlined in </w:t>
      </w:r>
      <w:r w:rsidR="008B2263">
        <w:rPr>
          <w:lang w:val="en-US"/>
        </w:rPr>
        <w:t xml:space="preserve">the </w:t>
      </w:r>
      <w:r>
        <w:rPr>
          <w:lang w:val="en-US"/>
        </w:rPr>
        <w:t xml:space="preserve">section </w:t>
      </w:r>
      <w:r w:rsidR="008B2263">
        <w:rPr>
          <w:lang w:val="en-US"/>
        </w:rPr>
        <w:t>below</w:t>
      </w:r>
      <w:r>
        <w:rPr>
          <w:lang w:val="en-US"/>
        </w:rPr>
        <w:t xml:space="preserve">, </w:t>
      </w:r>
      <w:r w:rsidR="008B2263">
        <w:rPr>
          <w:lang w:val="en-US"/>
        </w:rPr>
        <w:t>‘</w:t>
      </w:r>
      <w:r w:rsidR="008B2263" w:rsidRPr="007D2F65">
        <w:rPr>
          <w:i/>
          <w:lang w:val="en-US"/>
        </w:rPr>
        <w:t>C</w:t>
      </w:r>
      <w:r w:rsidRPr="007D2F65">
        <w:rPr>
          <w:i/>
          <w:lang w:val="en-US"/>
        </w:rPr>
        <w:t>onditions of registration</w:t>
      </w:r>
      <w:r w:rsidR="008B2263">
        <w:rPr>
          <w:lang w:val="en-US"/>
        </w:rPr>
        <w:t>’</w:t>
      </w:r>
      <w:r>
        <w:rPr>
          <w:lang w:val="en-US"/>
        </w:rPr>
        <w:t>.</w:t>
      </w:r>
    </w:p>
    <w:p w14:paraId="5F453ABB" w14:textId="0F6FA2C1" w:rsidR="00B124B1" w:rsidRDefault="00B124B1" w:rsidP="007B0C16">
      <w:pPr>
        <w:pStyle w:val="Heading6"/>
        <w:rPr>
          <w:lang w:eastAsia="ja-JP"/>
        </w:rPr>
      </w:pPr>
      <w:r>
        <w:t xml:space="preserve">Testing for </w:t>
      </w:r>
      <w:r w:rsidR="008B2263">
        <w:t>n</w:t>
      </w:r>
      <w:r w:rsidR="008B2263" w:rsidRPr="008B2263">
        <w:t>eurotrophic tropomyosin receptor kinase</w:t>
      </w:r>
      <w:r>
        <w:rPr>
          <w:lang w:eastAsia="ja-JP"/>
        </w:rPr>
        <w:t xml:space="preserve"> in the absence of a companion diagnostic</w:t>
      </w:r>
    </w:p>
    <w:p w14:paraId="7DEB1177" w14:textId="77777777" w:rsidR="00B124B1" w:rsidRPr="009C0CE3" w:rsidRDefault="00B124B1" w:rsidP="00B124B1">
      <w:pPr>
        <w:rPr>
          <w:rFonts w:asciiTheme="minorHAnsi" w:hAnsiTheme="minorHAnsi" w:cs="Calibri"/>
        </w:rPr>
      </w:pPr>
      <w:r w:rsidRPr="009C0CE3">
        <w:rPr>
          <w:rFonts w:asciiTheme="minorHAnsi" w:hAnsiTheme="minorHAnsi" w:cs="Calibri"/>
        </w:rPr>
        <w:t xml:space="preserve">The FDA indicates in their multidisciplinary review that the post-marketing requirement agreed to by the US sponsor incorporates development of a testing approach with acceptable sensitivity and specificity, noting that addition of RNA sequencing to the DNA NGS methodologies for </w:t>
      </w:r>
      <w:r w:rsidRPr="007B0C16">
        <w:rPr>
          <w:rFonts w:asciiTheme="minorHAnsi" w:hAnsiTheme="minorHAnsi" w:cs="Calibri"/>
          <w:i/>
        </w:rPr>
        <w:t>NTRK</w:t>
      </w:r>
      <w:r w:rsidRPr="009C0CE3">
        <w:rPr>
          <w:rFonts w:asciiTheme="minorHAnsi" w:hAnsiTheme="minorHAnsi" w:cs="Calibri"/>
        </w:rPr>
        <w:t xml:space="preserve"> fusions improved its performance:</w:t>
      </w:r>
      <w:r>
        <w:rPr>
          <w:rFonts w:asciiTheme="minorHAnsi" w:hAnsiTheme="minorHAnsi" w:cs="Calibri"/>
        </w:rPr>
        <w:fldChar w:fldCharType="begin"/>
      </w:r>
      <w:r>
        <w:rPr>
          <w:rFonts w:asciiTheme="minorHAnsi" w:hAnsiTheme="minorHAnsi" w:cs="Calibri"/>
        </w:rPr>
        <w:instrText xml:space="preserve"> NOTEREF _Ref50554541 \f \h </w:instrText>
      </w:r>
      <w:r>
        <w:rPr>
          <w:rFonts w:asciiTheme="minorHAnsi" w:hAnsiTheme="minorHAnsi" w:cs="Calibri"/>
        </w:rPr>
      </w:r>
      <w:r>
        <w:rPr>
          <w:rFonts w:asciiTheme="minorHAnsi" w:hAnsiTheme="minorHAnsi" w:cs="Calibri"/>
        </w:rPr>
        <w:fldChar w:fldCharType="separate"/>
      </w:r>
      <w:r w:rsidRPr="005743D8">
        <w:rPr>
          <w:rStyle w:val="FootnoteReference"/>
        </w:rPr>
        <w:t>12</w:t>
      </w:r>
      <w:r>
        <w:rPr>
          <w:rFonts w:asciiTheme="minorHAnsi" w:hAnsiTheme="minorHAnsi" w:cs="Calibri"/>
        </w:rPr>
        <w:fldChar w:fldCharType="end"/>
      </w:r>
    </w:p>
    <w:p w14:paraId="3E09F3E6" w14:textId="77777777" w:rsidR="00B124B1" w:rsidRPr="008D3773" w:rsidRDefault="00B124B1" w:rsidP="00B124B1">
      <w:pPr>
        <w:ind w:left="720"/>
      </w:pPr>
      <w:r>
        <w:t>‘</w:t>
      </w:r>
      <w:r w:rsidRPr="008D3773">
        <w:t xml:space="preserve">… the most popular commercially available DNA </w:t>
      </w:r>
      <w:r>
        <w:t>next generation sequencing (NGS</w:t>
      </w:r>
      <w:r w:rsidRPr="008D3773">
        <w:t xml:space="preserve"> panels, such as </w:t>
      </w:r>
      <w:proofErr w:type="spellStart"/>
      <w:r w:rsidRPr="008D3773">
        <w:t>FoundationOne</w:t>
      </w:r>
      <w:proofErr w:type="spellEnd"/>
      <w:r w:rsidRPr="008D3773">
        <w:t xml:space="preserve"> </w:t>
      </w:r>
      <w:proofErr w:type="spellStart"/>
      <w:r w:rsidRPr="008D3773">
        <w:t>CDx</w:t>
      </w:r>
      <w:proofErr w:type="spellEnd"/>
      <w:r w:rsidRPr="008D3773">
        <w:t xml:space="preserve">, may not detect certain NTRK </w:t>
      </w:r>
      <w:r>
        <w:t>gene fusions.</w:t>
      </w:r>
      <w:r>
        <w:rPr>
          <w:rStyle w:val="FootnoteReference"/>
        </w:rPr>
        <w:footnoteReference w:id="37"/>
      </w:r>
      <w:r>
        <w:t xml:space="preserve"> </w:t>
      </w:r>
      <w:r w:rsidRPr="008D3773">
        <w:t xml:space="preserve">However, the addition of </w:t>
      </w:r>
      <w:proofErr w:type="spellStart"/>
      <w:r w:rsidRPr="008D3773">
        <w:t>RNAseq</w:t>
      </w:r>
      <w:proofErr w:type="spellEnd"/>
      <w:r w:rsidRPr="008D3773">
        <w:t xml:space="preserve"> to NGS testing has resulted in high sensitivity and specificity rates, 93% and 100% respectively, in detecting clinically actionable gene fusions. In addition, </w:t>
      </w:r>
      <w:proofErr w:type="spellStart"/>
      <w:r w:rsidRPr="008D3773">
        <w:t>RNAseq</w:t>
      </w:r>
      <w:proofErr w:type="spellEnd"/>
      <w:r w:rsidRPr="008D3773">
        <w:t xml:space="preserve"> requires no prior knowledge of fusion partners or </w:t>
      </w:r>
      <w:proofErr w:type="spellStart"/>
      <w:r w:rsidRPr="008D3773">
        <w:t>intronic</w:t>
      </w:r>
      <w:proofErr w:type="spellEnd"/>
      <w:r w:rsidRPr="008D3773">
        <w:t>/</w:t>
      </w:r>
      <w:proofErr w:type="spellStart"/>
      <w:r w:rsidRPr="008D3773">
        <w:t>exonic</w:t>
      </w:r>
      <w:proofErr w:type="spellEnd"/>
      <w:r w:rsidRPr="008D3773">
        <w:t xml:space="preserve"> break points. For this reason, FDA requested and Genentech agreed to a post-marketing requirement to identify an analytically validated test for detection</w:t>
      </w:r>
      <w:r>
        <w:t xml:space="preserve"> of NTRK in-frame gene fusions.</w:t>
      </w:r>
    </w:p>
    <w:p w14:paraId="1EDE872A" w14:textId="77777777" w:rsidR="00B124B1" w:rsidRPr="008D3773" w:rsidRDefault="00B124B1" w:rsidP="00B124B1">
      <w:pPr>
        <w:ind w:left="720"/>
      </w:pPr>
      <w:r>
        <w:t>…</w:t>
      </w:r>
    </w:p>
    <w:p w14:paraId="59F40A1B" w14:textId="77777777" w:rsidR="00B124B1" w:rsidRPr="008D3773" w:rsidRDefault="00B124B1" w:rsidP="00B124B1">
      <w:pPr>
        <w:ind w:left="720"/>
      </w:pPr>
      <w:r w:rsidRPr="008D3773">
        <w:t xml:space="preserve">Genentech did not submit (or identify a corporate partner to develop and submit) a </w:t>
      </w:r>
      <w:r>
        <w:t>PMA</w:t>
      </w:r>
      <w:r w:rsidRPr="008D3773">
        <w:t xml:space="preserve"> for an </w:t>
      </w:r>
      <w:r w:rsidRPr="00DA6635">
        <w:rPr>
          <w:i/>
        </w:rPr>
        <w:t>in vitro</w:t>
      </w:r>
      <w:r w:rsidRPr="008D3773">
        <w:t xml:space="preserve"> companion diagnostic device contemporaneously with these NDAs (212725 and 212726). Therefore, approved </w:t>
      </w:r>
      <w:proofErr w:type="spellStart"/>
      <w:r w:rsidRPr="008D3773">
        <w:t>labeling</w:t>
      </w:r>
      <w:proofErr w:type="spellEnd"/>
      <w:r w:rsidRPr="008D3773">
        <w:t xml:space="preserve"> will state that there is no approved companion diagnostic test for the identification of patients with NTRK-fusion solid </w:t>
      </w:r>
      <w:proofErr w:type="spellStart"/>
      <w:r w:rsidRPr="008D3773">
        <w:t>tumors</w:t>
      </w:r>
      <w:proofErr w:type="spellEnd"/>
      <w:r w:rsidRPr="008D3773">
        <w:t xml:space="preserve">. DOP2 consulted the </w:t>
      </w:r>
      <w:proofErr w:type="spellStart"/>
      <w:r w:rsidRPr="008D3773">
        <w:t>Center</w:t>
      </w:r>
      <w:proofErr w:type="spellEnd"/>
      <w:r w:rsidRPr="008D3773">
        <w:t xml:space="preserve"> for Devices and Radiologic Health (CDRH) regarding use of local tests for determination of NTRK fusion status. Given the efficacy of entrectinib in patients with NTRK gene fusions in </w:t>
      </w:r>
      <w:proofErr w:type="spellStart"/>
      <w:r w:rsidRPr="008D3773">
        <w:t>unresectable</w:t>
      </w:r>
      <w:proofErr w:type="spellEnd"/>
      <w:r w:rsidRPr="008D3773">
        <w:t xml:space="preserve"> or metastatic solid </w:t>
      </w:r>
      <w:proofErr w:type="spellStart"/>
      <w:r w:rsidRPr="008D3773">
        <w:t>tumor</w:t>
      </w:r>
      <w:proofErr w:type="spellEnd"/>
      <w:r w:rsidRPr="008D3773">
        <w:t xml:space="preserve"> specimens and the availability of non-companion diagnostic testing for NTRK fusions in solid </w:t>
      </w:r>
      <w:proofErr w:type="spellStart"/>
      <w:r w:rsidRPr="008D3773">
        <w:t>tumors</w:t>
      </w:r>
      <w:proofErr w:type="spellEnd"/>
      <w:r w:rsidRPr="008D3773">
        <w:t xml:space="preserve">, the clinical review </w:t>
      </w:r>
      <w:r w:rsidRPr="008D3773">
        <w:lastRenderedPageBreak/>
        <w:t>team and CDRH agreed that it is in the best interest of U.S. patients to approve entrectinib before one or more companion diagnostic assays are ready for a PMA submission.</w:t>
      </w:r>
      <w:r>
        <w:t>’</w:t>
      </w:r>
    </w:p>
    <w:p w14:paraId="0234A254" w14:textId="630BE541" w:rsidR="00B124B1" w:rsidRPr="00AE33B5" w:rsidRDefault="00B124B1" w:rsidP="00B124B1">
      <w:pPr>
        <w:rPr>
          <w:rFonts w:asciiTheme="minorHAnsi" w:hAnsiTheme="minorHAnsi" w:cs="Calibri"/>
          <w:lang w:val="en-US"/>
        </w:rPr>
      </w:pPr>
      <w:r w:rsidRPr="00F24906">
        <w:rPr>
          <w:rFonts w:asciiTheme="minorHAnsi" w:hAnsiTheme="minorHAnsi" w:cs="Calibri"/>
        </w:rPr>
        <w:t xml:space="preserve">The TGA </w:t>
      </w:r>
      <w:r w:rsidR="008B2263">
        <w:rPr>
          <w:rFonts w:asciiTheme="minorHAnsi" w:hAnsiTheme="minorHAnsi" w:cs="Calibri"/>
        </w:rPr>
        <w:t>D</w:t>
      </w:r>
      <w:r w:rsidRPr="00F24906">
        <w:rPr>
          <w:rFonts w:asciiTheme="minorHAnsi" w:hAnsiTheme="minorHAnsi" w:cs="Calibri"/>
        </w:rPr>
        <w:t xml:space="preserve">elegate agrees with the FDA approach that the lack of an approved companion diagnostic should not be a barrier to registration </w:t>
      </w:r>
      <w:r>
        <w:rPr>
          <w:rFonts w:asciiTheme="minorHAnsi" w:hAnsiTheme="minorHAnsi" w:cs="Calibri"/>
        </w:rPr>
        <w:t xml:space="preserve">given </w:t>
      </w:r>
      <w:r w:rsidRPr="00F24906">
        <w:rPr>
          <w:rFonts w:asciiTheme="minorHAnsi" w:hAnsiTheme="minorHAnsi" w:cs="Calibri"/>
        </w:rPr>
        <w:t>the magnitude of efficacy observed and the rarity of the condition</w:t>
      </w:r>
      <w:r>
        <w:rPr>
          <w:rFonts w:asciiTheme="minorHAnsi" w:hAnsiTheme="minorHAnsi" w:cs="Calibri"/>
        </w:rPr>
        <w:t>. The risks of n</w:t>
      </w:r>
      <w:r w:rsidRPr="00F24906">
        <w:rPr>
          <w:rFonts w:asciiTheme="minorHAnsi" w:hAnsiTheme="minorHAnsi" w:cs="Calibri"/>
        </w:rPr>
        <w:t>on-companion diagnostic testing</w:t>
      </w:r>
      <w:r>
        <w:rPr>
          <w:rFonts w:asciiTheme="minorHAnsi" w:hAnsiTheme="minorHAnsi" w:cs="Calibri"/>
        </w:rPr>
        <w:t xml:space="preserve"> are mediated by the non TGA regulatory controls to which laboratory testing in Australia is subject, noting also that </w:t>
      </w:r>
      <w:r w:rsidRPr="00F24906">
        <w:rPr>
          <w:rFonts w:asciiTheme="minorHAnsi" w:hAnsiTheme="minorHAnsi" w:cs="Calibri"/>
        </w:rPr>
        <w:t xml:space="preserve">false positives </w:t>
      </w:r>
      <w:r>
        <w:rPr>
          <w:rFonts w:asciiTheme="minorHAnsi" w:hAnsiTheme="minorHAnsi" w:cs="Calibri"/>
        </w:rPr>
        <w:t xml:space="preserve">are very unlikely based on </w:t>
      </w:r>
      <w:r w:rsidRPr="00F24906">
        <w:rPr>
          <w:rFonts w:asciiTheme="minorHAnsi" w:hAnsiTheme="minorHAnsi" w:cs="Calibri"/>
        </w:rPr>
        <w:t xml:space="preserve">the nature of the mutation. </w:t>
      </w:r>
      <w:r w:rsidRPr="00F24906">
        <w:rPr>
          <w:rFonts w:asciiTheme="minorHAnsi" w:hAnsiTheme="minorHAnsi" w:cs="Calibri"/>
          <w:lang w:val="en-US"/>
        </w:rPr>
        <w:t xml:space="preserve">Development and validation of a companion diagnostic test for NTRK rearrangement should, however, be a condition of entrectinib registration as a broad range of tests were used in the clinical trial, and this will </w:t>
      </w:r>
      <w:r>
        <w:rPr>
          <w:rFonts w:asciiTheme="minorHAnsi" w:hAnsiTheme="minorHAnsi" w:cs="Calibri"/>
          <w:lang w:val="en-US"/>
        </w:rPr>
        <w:t xml:space="preserve">provide </w:t>
      </w:r>
      <w:r w:rsidRPr="00F24906">
        <w:rPr>
          <w:rFonts w:asciiTheme="minorHAnsi" w:hAnsiTheme="minorHAnsi" w:cs="Calibri"/>
          <w:lang w:val="en-US"/>
        </w:rPr>
        <w:t xml:space="preserve">a </w:t>
      </w:r>
      <w:r>
        <w:rPr>
          <w:rFonts w:asciiTheme="minorHAnsi" w:hAnsiTheme="minorHAnsi" w:cs="Calibri"/>
          <w:lang w:val="en-US"/>
        </w:rPr>
        <w:t>formal reference standard</w:t>
      </w:r>
      <w:r w:rsidRPr="00F24906">
        <w:rPr>
          <w:rFonts w:asciiTheme="minorHAnsi" w:hAnsiTheme="minorHAnsi" w:cs="Calibri"/>
          <w:lang w:val="en-US"/>
        </w:rPr>
        <w:t>.</w:t>
      </w:r>
    </w:p>
    <w:p w14:paraId="38440EF0" w14:textId="77777777" w:rsidR="00B124B1" w:rsidRDefault="00B124B1" w:rsidP="00B124B1">
      <w:pPr>
        <w:rPr>
          <w:rFonts w:asciiTheme="minorHAnsi" w:hAnsiTheme="minorHAnsi" w:cs="Calibri"/>
        </w:rPr>
      </w:pPr>
      <w:r w:rsidRPr="00280441">
        <w:rPr>
          <w:rFonts w:asciiTheme="minorHAnsi" w:hAnsiTheme="minorHAnsi" w:cs="Calibri"/>
        </w:rPr>
        <w:t xml:space="preserve">The small study population makes it impossible to draw conclusions about efficacy within diagnostic test or histology subgroups. However, an </w:t>
      </w:r>
      <w:r w:rsidRPr="00BB5D7F">
        <w:rPr>
          <w:rFonts w:asciiTheme="minorHAnsi" w:hAnsiTheme="minorHAnsi" w:cs="Calibri"/>
        </w:rPr>
        <w:t xml:space="preserve">European Society for Medical Oncology </w:t>
      </w:r>
      <w:r>
        <w:rPr>
          <w:rFonts w:asciiTheme="minorHAnsi" w:hAnsiTheme="minorHAnsi" w:cs="Calibri"/>
        </w:rPr>
        <w:t>(</w:t>
      </w:r>
      <w:r w:rsidRPr="00280441">
        <w:rPr>
          <w:rFonts w:asciiTheme="minorHAnsi" w:hAnsiTheme="minorHAnsi" w:cs="Calibri"/>
        </w:rPr>
        <w:t>ESMO</w:t>
      </w:r>
      <w:r>
        <w:rPr>
          <w:rFonts w:asciiTheme="minorHAnsi" w:hAnsiTheme="minorHAnsi" w:cs="Calibri"/>
        </w:rPr>
        <w:t>)</w:t>
      </w:r>
      <w:r w:rsidRPr="00280441">
        <w:rPr>
          <w:rFonts w:asciiTheme="minorHAnsi" w:hAnsiTheme="minorHAnsi" w:cs="Calibri"/>
        </w:rPr>
        <w:t xml:space="preserve"> expert panel was convened to </w:t>
      </w:r>
      <w:r>
        <w:rPr>
          <w:rFonts w:asciiTheme="minorHAnsi" w:hAnsiTheme="minorHAnsi" w:cs="Calibri"/>
        </w:rPr>
        <w:t>consider</w:t>
      </w:r>
      <w:r w:rsidRPr="00442278">
        <w:rPr>
          <w:rFonts w:asciiTheme="minorHAnsi" w:hAnsiTheme="minorHAnsi" w:cs="Calibri"/>
        </w:rPr>
        <w:t xml:space="preserve"> </w:t>
      </w:r>
      <w:r>
        <w:rPr>
          <w:rFonts w:asciiTheme="minorHAnsi" w:hAnsiTheme="minorHAnsi" w:cs="Calibri"/>
        </w:rPr>
        <w:t xml:space="preserve">the best approach to the </w:t>
      </w:r>
      <w:r w:rsidRPr="00442278">
        <w:rPr>
          <w:rFonts w:asciiTheme="minorHAnsi" w:hAnsiTheme="minorHAnsi" w:cs="Calibri"/>
        </w:rPr>
        <w:t>detect</w:t>
      </w:r>
      <w:r>
        <w:rPr>
          <w:rFonts w:asciiTheme="minorHAnsi" w:hAnsiTheme="minorHAnsi" w:cs="Calibri"/>
        </w:rPr>
        <w:t>ion of</w:t>
      </w:r>
      <w:r w:rsidRPr="00442278">
        <w:rPr>
          <w:rFonts w:asciiTheme="minorHAnsi" w:hAnsiTheme="minorHAnsi" w:cs="Calibri"/>
        </w:rPr>
        <w:t xml:space="preserve"> </w:t>
      </w:r>
      <w:r w:rsidRPr="007B0C16">
        <w:rPr>
          <w:rFonts w:asciiTheme="minorHAnsi" w:hAnsiTheme="minorHAnsi" w:cs="Calibri"/>
          <w:i/>
        </w:rPr>
        <w:t>NTRK</w:t>
      </w:r>
      <w:r w:rsidRPr="00442278">
        <w:rPr>
          <w:rFonts w:asciiTheme="minorHAnsi" w:hAnsiTheme="minorHAnsi" w:cs="Calibri"/>
        </w:rPr>
        <w:t xml:space="preserve"> fusions in daily practice and clinical</w:t>
      </w:r>
      <w:r>
        <w:rPr>
          <w:rFonts w:asciiTheme="minorHAnsi" w:hAnsiTheme="minorHAnsi" w:cs="Calibri"/>
        </w:rPr>
        <w:t xml:space="preserve"> </w:t>
      </w:r>
      <w:r w:rsidRPr="00442278">
        <w:rPr>
          <w:rFonts w:asciiTheme="minorHAnsi" w:hAnsiTheme="minorHAnsi" w:cs="Calibri"/>
        </w:rPr>
        <w:t>research</w:t>
      </w:r>
      <w:r>
        <w:rPr>
          <w:rFonts w:asciiTheme="minorHAnsi" w:hAnsiTheme="minorHAnsi" w:cs="Calibri"/>
        </w:rPr>
        <w:t>. Their recommendations were published in 2019, concluding:</w:t>
      </w:r>
      <w:r>
        <w:rPr>
          <w:rStyle w:val="FootnoteReference"/>
          <w:rFonts w:asciiTheme="minorHAnsi" w:hAnsiTheme="minorHAnsi" w:cs="Calibri"/>
        </w:rPr>
        <w:footnoteReference w:id="38"/>
      </w:r>
    </w:p>
    <w:p w14:paraId="25FDDD4A" w14:textId="77777777" w:rsidR="00B124B1" w:rsidRPr="008D3773" w:rsidRDefault="00B124B1" w:rsidP="00B124B1">
      <w:pPr>
        <w:ind w:left="720"/>
      </w:pPr>
      <w:r>
        <w:t>‘</w:t>
      </w:r>
      <w:r w:rsidRPr="008D3773">
        <w:t xml:space="preserve">In tumours where </w:t>
      </w:r>
      <w:r w:rsidRPr="007B0C16">
        <w:rPr>
          <w:i/>
        </w:rPr>
        <w:t>NTRK</w:t>
      </w:r>
      <w:r w:rsidRPr="008D3773">
        <w:t xml:space="preserve"> fusions are highly recu</w:t>
      </w:r>
      <w:r>
        <w:t xml:space="preserve">rrent, FISH, RT-PCR or RNA </w:t>
      </w:r>
      <w:r w:rsidRPr="008D3773">
        <w:t xml:space="preserve">based sequencing panels can be used as confirmatory techniques, whereas in the scenario of testing an unselected population where </w:t>
      </w:r>
      <w:r w:rsidRPr="007B0C16">
        <w:rPr>
          <w:i/>
        </w:rPr>
        <w:t>NTRK1/2/3</w:t>
      </w:r>
      <w:r w:rsidRPr="008D3773">
        <w:t xml:space="preserve"> fusions are </w:t>
      </w:r>
      <w:r>
        <w:t xml:space="preserve">uncommon, either front </w:t>
      </w:r>
      <w:r w:rsidRPr="008D3773">
        <w:t>line</w:t>
      </w:r>
      <w:r>
        <w:t xml:space="preserve"> sequencing (preferentially RNA </w:t>
      </w:r>
      <w:r w:rsidRPr="008D3773">
        <w:t>sequencing) or screening by immunohistochemistry followed by sequencing of po</w:t>
      </w:r>
      <w:r>
        <w:t>sitive cases should be pursued.'</w:t>
      </w:r>
    </w:p>
    <w:p w14:paraId="171F3108" w14:textId="77777777" w:rsidR="00B124B1" w:rsidRDefault="00B124B1" w:rsidP="00B124B1">
      <w:pPr>
        <w:rPr>
          <w:lang w:val="en-US"/>
        </w:rPr>
      </w:pPr>
      <w:r w:rsidRPr="008D3773">
        <w:rPr>
          <w:lang w:val="en-US"/>
        </w:rPr>
        <w:t xml:space="preserve">These recommendations, </w:t>
      </w:r>
      <w:proofErr w:type="spellStart"/>
      <w:r w:rsidRPr="008D3773">
        <w:rPr>
          <w:lang w:val="en-US"/>
        </w:rPr>
        <w:t>summarised</w:t>
      </w:r>
      <w:proofErr w:type="spellEnd"/>
      <w:r w:rsidRPr="008D3773">
        <w:rPr>
          <w:lang w:val="en-US"/>
        </w:rPr>
        <w:t xml:space="preserve"> in the published infographic (reproduced below as </w:t>
      </w:r>
      <w:r>
        <w:rPr>
          <w:lang w:val="en-US"/>
        </w:rPr>
        <w:fldChar w:fldCharType="begin"/>
      </w:r>
      <w:r>
        <w:rPr>
          <w:lang w:val="en-US"/>
        </w:rPr>
        <w:instrText xml:space="preserve"> REF _Ref50713566 \h </w:instrText>
      </w:r>
      <w:r>
        <w:rPr>
          <w:lang w:val="en-US"/>
        </w:rPr>
      </w:r>
      <w:r>
        <w:rPr>
          <w:lang w:val="en-US"/>
        </w:rPr>
        <w:fldChar w:fldCharType="separate"/>
      </w:r>
      <w:r w:rsidRPr="008D3773">
        <w:t xml:space="preserve">Figure </w:t>
      </w:r>
      <w:r>
        <w:rPr>
          <w:noProof/>
        </w:rPr>
        <w:t>2</w:t>
      </w:r>
      <w:r>
        <w:rPr>
          <w:lang w:val="en-US"/>
        </w:rPr>
        <w:fldChar w:fldCharType="end"/>
      </w:r>
      <w:r>
        <w:rPr>
          <w:lang w:val="en-US"/>
        </w:rPr>
        <w:t>), form a useful guide.</w:t>
      </w:r>
      <w:r>
        <w:rPr>
          <w:lang w:val="en-US"/>
        </w:rPr>
        <w:fldChar w:fldCharType="begin"/>
      </w:r>
      <w:r>
        <w:rPr>
          <w:lang w:val="en-US"/>
        </w:rPr>
        <w:instrText xml:space="preserve"> NOTEREF _Ref50713385 \f \h </w:instrText>
      </w:r>
      <w:r>
        <w:rPr>
          <w:lang w:val="en-US"/>
        </w:rPr>
      </w:r>
      <w:r>
        <w:rPr>
          <w:lang w:val="en-US"/>
        </w:rPr>
        <w:fldChar w:fldCharType="separate"/>
      </w:r>
      <w:r w:rsidRPr="005743D8">
        <w:rPr>
          <w:rStyle w:val="FootnoteReference"/>
        </w:rPr>
        <w:t>34</w:t>
      </w:r>
      <w:r>
        <w:rPr>
          <w:lang w:val="en-US"/>
        </w:rPr>
        <w:fldChar w:fldCharType="end"/>
      </w:r>
    </w:p>
    <w:p w14:paraId="22A8CEE2" w14:textId="7D49498D" w:rsidR="00B124B1" w:rsidRDefault="00B124B1" w:rsidP="00B124B1">
      <w:pPr>
        <w:pStyle w:val="FigureTitle"/>
        <w:rPr>
          <w:lang w:val="en-US"/>
        </w:rPr>
      </w:pPr>
      <w:r w:rsidRPr="008D3773">
        <w:t xml:space="preserve">Figure </w:t>
      </w:r>
      <w:fldSimple w:instr=" SEQ Figure \* ARABIC ">
        <w:r>
          <w:rPr>
            <w:noProof/>
          </w:rPr>
          <w:t>2</w:t>
        </w:r>
      </w:fldSimple>
      <w:r w:rsidR="008B2263">
        <w:rPr>
          <w:noProof/>
        </w:rPr>
        <w:t>:</w:t>
      </w:r>
      <w:r w:rsidRPr="008D3773">
        <w:t xml:space="preserve"> </w:t>
      </w:r>
      <w:r>
        <w:t>Infographic (‘Figure 2’) from the ESMO</w:t>
      </w:r>
      <w:r w:rsidRPr="00280441">
        <w:t xml:space="preserve"> Translational Research and Precision Medicine Working Group </w:t>
      </w:r>
      <w:r>
        <w:t>publication.</w:t>
      </w:r>
      <w:r>
        <w:fldChar w:fldCharType="begin"/>
      </w:r>
      <w:r>
        <w:instrText xml:space="preserve"> NOTEREF _Ref50713385 \f \h </w:instrText>
      </w:r>
      <w:r>
        <w:fldChar w:fldCharType="separate"/>
      </w:r>
      <w:r w:rsidRPr="005743D8">
        <w:rPr>
          <w:rStyle w:val="FootnoteReference"/>
        </w:rPr>
        <w:t>34</w:t>
      </w:r>
      <w:r>
        <w:fldChar w:fldCharType="end"/>
      </w:r>
    </w:p>
    <w:p w14:paraId="411578D0" w14:textId="77777777" w:rsidR="00B124B1" w:rsidRDefault="00B124B1" w:rsidP="00B124B1">
      <w:pPr>
        <w:rPr>
          <w:lang w:val="en-US"/>
        </w:rPr>
      </w:pPr>
      <w:bookmarkStart w:id="88" w:name="_GoBack"/>
      <w:r>
        <w:rPr>
          <w:noProof/>
          <w:lang w:eastAsia="en-AU"/>
        </w:rPr>
        <w:drawing>
          <wp:inline distT="0" distB="0" distL="0" distR="0" wp14:anchorId="1A0FF034" wp14:editId="707EC957">
            <wp:extent cx="5346164" cy="2844800"/>
            <wp:effectExtent l="114300" t="114300" r="140335" b="146050"/>
            <wp:docPr id="3" name="Picture 3" descr="Infographic (‘Figure 2’) from the ESMO Translational Research and Precision Medicine Working Group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62" t="-452" r="1236" b="1671"/>
                    <a:stretch/>
                  </pic:blipFill>
                  <pic:spPr bwMode="auto">
                    <a:xfrm>
                      <a:off x="0" y="0"/>
                      <a:ext cx="5352787" cy="284832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bookmarkEnd w:id="88"/>
    </w:p>
    <w:p w14:paraId="6FC88CB1" w14:textId="77777777" w:rsidR="00B124B1" w:rsidRDefault="00B124B1" w:rsidP="00B124B1">
      <w:pPr>
        <w:rPr>
          <w:rFonts w:asciiTheme="minorHAnsi" w:hAnsiTheme="minorHAnsi" w:cs="Calibri"/>
          <w:lang w:eastAsia="ja-JP"/>
        </w:rPr>
      </w:pPr>
      <w:r w:rsidRPr="009C0CE3">
        <w:rPr>
          <w:rFonts w:asciiTheme="minorHAnsi" w:hAnsiTheme="minorHAnsi" w:cs="Calibri"/>
          <w:lang w:eastAsia="ja-JP"/>
        </w:rPr>
        <w:lastRenderedPageBreak/>
        <w:t xml:space="preserve">As </w:t>
      </w:r>
      <w:r>
        <w:rPr>
          <w:rFonts w:asciiTheme="minorHAnsi" w:hAnsiTheme="minorHAnsi" w:cs="Calibri"/>
          <w:lang w:eastAsia="ja-JP"/>
        </w:rPr>
        <w:t>the proposed companion diagnostic</w:t>
      </w:r>
      <w:r w:rsidRPr="009C0CE3">
        <w:rPr>
          <w:rFonts w:asciiTheme="minorHAnsi" w:hAnsiTheme="minorHAnsi" w:cs="Calibri"/>
          <w:lang w:eastAsia="ja-JP"/>
        </w:rPr>
        <w:t xml:space="preserve"> remains in development and validation, </w:t>
      </w:r>
      <w:r>
        <w:rPr>
          <w:rFonts w:asciiTheme="minorHAnsi" w:hAnsiTheme="minorHAnsi" w:cs="Calibri"/>
          <w:lang w:eastAsia="ja-JP"/>
        </w:rPr>
        <w:t xml:space="preserve">and may not be a feasible option for Australian patients depending on access and funding arrangements, </w:t>
      </w:r>
      <w:r w:rsidRPr="009C0CE3">
        <w:rPr>
          <w:rFonts w:asciiTheme="minorHAnsi" w:hAnsiTheme="minorHAnsi" w:cs="Calibri"/>
          <w:lang w:eastAsia="ja-JP"/>
        </w:rPr>
        <w:t xml:space="preserve">the most </w:t>
      </w:r>
      <w:r>
        <w:rPr>
          <w:rFonts w:asciiTheme="minorHAnsi" w:hAnsiTheme="minorHAnsi" w:cs="Calibri"/>
          <w:lang w:eastAsia="ja-JP"/>
        </w:rPr>
        <w:t>appropriate</w:t>
      </w:r>
      <w:r w:rsidRPr="009C0CE3">
        <w:rPr>
          <w:rFonts w:asciiTheme="minorHAnsi" w:hAnsiTheme="minorHAnsi" w:cs="Calibri"/>
          <w:lang w:eastAsia="ja-JP"/>
        </w:rPr>
        <w:t xml:space="preserve"> </w:t>
      </w:r>
      <w:r>
        <w:rPr>
          <w:rFonts w:asciiTheme="minorHAnsi" w:hAnsiTheme="minorHAnsi" w:cs="Calibri"/>
          <w:lang w:eastAsia="ja-JP"/>
        </w:rPr>
        <w:t>current</w:t>
      </w:r>
      <w:r w:rsidRPr="009C0CE3">
        <w:rPr>
          <w:rFonts w:asciiTheme="minorHAnsi" w:hAnsiTheme="minorHAnsi" w:cs="Calibri"/>
          <w:lang w:eastAsia="ja-JP"/>
        </w:rPr>
        <w:t xml:space="preserve"> approach to identification</w:t>
      </w:r>
      <w:r>
        <w:rPr>
          <w:rFonts w:asciiTheme="minorHAnsi" w:hAnsiTheme="minorHAnsi" w:cs="Calibri"/>
          <w:lang w:eastAsia="ja-JP"/>
        </w:rPr>
        <w:t xml:space="preserve"> of </w:t>
      </w:r>
      <w:r w:rsidRPr="007B0C16">
        <w:rPr>
          <w:rFonts w:asciiTheme="minorHAnsi" w:hAnsiTheme="minorHAnsi" w:cs="Calibri"/>
          <w:i/>
          <w:lang w:eastAsia="ja-JP"/>
        </w:rPr>
        <w:t>NTRK</w:t>
      </w:r>
      <w:r w:rsidRPr="009C0CE3">
        <w:rPr>
          <w:rFonts w:asciiTheme="minorHAnsi" w:hAnsiTheme="minorHAnsi" w:cs="Calibri"/>
          <w:lang w:eastAsia="ja-JP"/>
        </w:rPr>
        <w:t xml:space="preserve"> appears to be </w:t>
      </w:r>
      <w:r>
        <w:rPr>
          <w:rFonts w:asciiTheme="minorHAnsi" w:hAnsiTheme="minorHAnsi" w:cs="Calibri"/>
          <w:lang w:eastAsia="ja-JP"/>
        </w:rPr>
        <w:t xml:space="preserve">the algorithmic approach suggested by ESMO, or the similar one suggested by </w:t>
      </w:r>
      <w:proofErr w:type="spellStart"/>
      <w:r w:rsidRPr="00AE33B5">
        <w:rPr>
          <w:rFonts w:asciiTheme="minorHAnsi" w:hAnsiTheme="minorHAnsi" w:cs="Calibri"/>
          <w:lang w:eastAsia="ja-JP"/>
        </w:rPr>
        <w:t>Penault-Llorca</w:t>
      </w:r>
      <w:proofErr w:type="spellEnd"/>
      <w:r>
        <w:rPr>
          <w:rFonts w:asciiTheme="minorHAnsi" w:hAnsiTheme="minorHAnsi" w:cs="Calibri"/>
          <w:lang w:eastAsia="ja-JP"/>
        </w:rPr>
        <w:t xml:space="preserve"> </w:t>
      </w:r>
      <w:r>
        <w:rPr>
          <w:rFonts w:asciiTheme="minorHAnsi" w:hAnsiTheme="minorHAnsi" w:cs="Calibri"/>
          <w:i/>
          <w:lang w:eastAsia="ja-JP"/>
        </w:rPr>
        <w:t>et al</w:t>
      </w:r>
      <w:r w:rsidRPr="009C0CE3">
        <w:rPr>
          <w:rFonts w:asciiTheme="minorHAnsi" w:hAnsiTheme="minorHAnsi" w:cs="Calibri"/>
          <w:lang w:eastAsia="ja-JP"/>
        </w:rPr>
        <w:t>.</w:t>
      </w:r>
      <w:r>
        <w:rPr>
          <w:rStyle w:val="FootnoteReference"/>
          <w:rFonts w:asciiTheme="minorHAnsi" w:hAnsiTheme="minorHAnsi" w:cs="Calibri"/>
          <w:lang w:eastAsia="ja-JP"/>
        </w:rPr>
        <w:footnoteReference w:id="39"/>
      </w:r>
    </w:p>
    <w:p w14:paraId="13DFFE5E" w14:textId="5EB31C3E" w:rsidR="00B124B1" w:rsidRPr="00B124B1" w:rsidRDefault="00B124B1" w:rsidP="007D2F65">
      <w:pPr>
        <w:pStyle w:val="Heading5"/>
      </w:pPr>
      <w:r>
        <w:t>Risk-benefit analysis</w:t>
      </w:r>
    </w:p>
    <w:p w14:paraId="6F22D09A" w14:textId="7BDC5476" w:rsidR="000D2221" w:rsidRPr="000D2221" w:rsidRDefault="000D2221" w:rsidP="007D2F65">
      <w:pPr>
        <w:pStyle w:val="Heading6"/>
      </w:pPr>
      <w:r>
        <w:t xml:space="preserve">ROS1 fusion-positive </w:t>
      </w:r>
      <w:r w:rsidR="00981121">
        <w:t>non-small cell lung cancer</w:t>
      </w:r>
    </w:p>
    <w:p w14:paraId="31DF11BC" w14:textId="3BD93810" w:rsidR="0044346B" w:rsidRDefault="0044346B" w:rsidP="0044346B">
      <w:r>
        <w:t>After a minimum follow-up of 12 months, the ORR (95% CI) in 51 consecutively enrolled patients with ROS1 fusion-positi</w:t>
      </w:r>
      <w:r w:rsidR="00654B14">
        <w:t>ve NSCLC across three clinical trials</w:t>
      </w:r>
      <w:r>
        <w:t xml:space="preserve"> (</w:t>
      </w:r>
      <w:r w:rsidR="00981121">
        <w:t xml:space="preserve">the </w:t>
      </w:r>
      <w:r>
        <w:t>ALKA, STARTRK</w:t>
      </w:r>
      <w:r w:rsidR="00981121">
        <w:noBreakHyphen/>
      </w:r>
      <w:r>
        <w:t>1 and STARTRK-2</w:t>
      </w:r>
      <w:r w:rsidR="00A965A6">
        <w:t xml:space="preserve"> trials</w:t>
      </w:r>
      <w:r>
        <w:t>) was 78.4% (64.7%, 88.7%), including a CR rate of 6% and PR rate of 73%, with a median (95% CI) DOR of 15.7 (11.4, 34.8) months. At a data cut-off date of 31 Oct</w:t>
      </w:r>
      <w:r w:rsidR="00981121">
        <w:t>ober</w:t>
      </w:r>
      <w:r>
        <w:t xml:space="preserve"> 2018, 75% of responses had lasted at least 6 months, and 55% of responses had lasted at least 12 months. Subgroup sizes were small, but support conclusions of presence of intracranial activity, and similarity of response rates between patients who had and had not received previous (non-anti-ROS1) systemic </w:t>
      </w:r>
      <w:r w:rsidR="00121597">
        <w:t>therapy for metastatic disease.</w:t>
      </w:r>
    </w:p>
    <w:p w14:paraId="55B82473" w14:textId="1AFFA3B4" w:rsidR="0044346B" w:rsidRDefault="004F58A2" w:rsidP="0044346B">
      <w:r>
        <w:t xml:space="preserve">Head to </w:t>
      </w:r>
      <w:r w:rsidR="0044346B">
        <w:t xml:space="preserve">head comparative data against other therapies is not available as </w:t>
      </w:r>
      <w:r w:rsidR="0044346B" w:rsidRPr="007B0C16">
        <w:rPr>
          <w:i/>
        </w:rPr>
        <w:t>ROS1</w:t>
      </w:r>
      <w:r w:rsidR="0044346B">
        <w:t xml:space="preserve">-positive NSCLC is too rare for a randomised study to be feasible. </w:t>
      </w:r>
      <w:proofErr w:type="spellStart"/>
      <w:r w:rsidR="0044346B">
        <w:t>Crizotinib</w:t>
      </w:r>
      <w:proofErr w:type="spellEnd"/>
      <w:r w:rsidR="0044346B">
        <w:t xml:space="preserve"> is the only currently registered therapy for </w:t>
      </w:r>
      <w:r w:rsidR="0044346B" w:rsidRPr="007B0C16">
        <w:rPr>
          <w:i/>
        </w:rPr>
        <w:t>ROS1</w:t>
      </w:r>
      <w:r w:rsidR="0044346B">
        <w:t>-fusion positive NSCLC in Australia, and was registered based on single arm data (n</w:t>
      </w:r>
      <w:r w:rsidR="00F2463B">
        <w:t xml:space="preserve"> </w:t>
      </w:r>
      <w:r w:rsidR="0044346B">
        <w:t>=</w:t>
      </w:r>
      <w:r w:rsidR="00F2463B">
        <w:t xml:space="preserve"> </w:t>
      </w:r>
      <w:r w:rsidR="0044346B">
        <w:t xml:space="preserve">53), but has not demonstrated intracranial efficacy. The response rates and durability demonstrated with entrectinib appear in keeping with those seen with </w:t>
      </w:r>
      <w:proofErr w:type="spellStart"/>
      <w:r w:rsidR="0044346B">
        <w:t>crizotinib</w:t>
      </w:r>
      <w:proofErr w:type="spellEnd"/>
      <w:r w:rsidR="0044346B">
        <w:t xml:space="preserve">, and higher than those reported for first-line ROS1-agnostic therapy of NSCLC patients </w:t>
      </w:r>
      <w:r w:rsidR="000D2221">
        <w:t>(anti-PD-L1 plus chemotherapy).</w:t>
      </w:r>
    </w:p>
    <w:p w14:paraId="145B30BD" w14:textId="28B40176" w:rsidR="0044346B" w:rsidRDefault="0044346B" w:rsidP="0044346B">
      <w:r>
        <w:t xml:space="preserve">The major limitations of the submitted dataset are short duration of follow-up and small size; median duration of response is therefore not able to be precisely estimated. Despite the limitations of the data, the magnitude of response rate and durability of responses demonstrated are considered sufficient to establish efficacy for the proposed usage, based on the clinical benefit associated with tumour responses in NSCLC, the infeasibility of conducting randomised studies in this indication due to the rarity of its occurrence, and cross-trial comparisons which indicate that efficacy is likely to be acceptable to patients with </w:t>
      </w:r>
      <w:r w:rsidRPr="007B0C16">
        <w:rPr>
          <w:i/>
        </w:rPr>
        <w:t>ROS1</w:t>
      </w:r>
      <w:r>
        <w:t xml:space="preserve"> fusion-positive NSCLC. Additional data is expected to be collected through further recruitment of patients with </w:t>
      </w:r>
      <w:r w:rsidRPr="007B0C16">
        <w:rPr>
          <w:i/>
        </w:rPr>
        <w:t>ROS1</w:t>
      </w:r>
      <w:r>
        <w:t>-positive NSCLC and further follow-up of the patients included in the registration dataset, to provide a more p</w:t>
      </w:r>
      <w:r w:rsidR="000E7FA7">
        <w:t>recise estimate of ORR and DOR.</w:t>
      </w:r>
    </w:p>
    <w:p w14:paraId="03171867" w14:textId="061FA23F" w:rsidR="005B75C5" w:rsidRDefault="005A1349" w:rsidP="0044346B">
      <w:r>
        <w:t>The s</w:t>
      </w:r>
      <w:r w:rsidR="0044346B">
        <w:t>ponsor has also made post-market commitments to development and validation of a companion diagnostic. In view of the magnitude of clinical benefit observed and lack of other therapy with intracranial effectiveness, and noting that non-companion diagnostic testing is available and false positives on sequencing are very unlikely with this type of mutation, addressing this post-approval is acceptable.</w:t>
      </w:r>
    </w:p>
    <w:p w14:paraId="68B64096" w14:textId="555810C7" w:rsidR="005B75C5" w:rsidRDefault="005B75C5" w:rsidP="005B75C5">
      <w:r>
        <w:t>The risks of therapy with entrectinib have been assessed from a database limited in size and duration of exposure (n</w:t>
      </w:r>
      <w:r w:rsidR="00F2463B">
        <w:t xml:space="preserve"> </w:t>
      </w:r>
      <w:r>
        <w:t>=</w:t>
      </w:r>
      <w:r w:rsidR="00F2463B">
        <w:t xml:space="preserve"> </w:t>
      </w:r>
      <w:r>
        <w:t xml:space="preserve">355, mediation duration of exposure 5.5 months). The lack of comparative, randomised data also limits interpretability of the safety profile. Despite its shortcomings, the safety dataset is considered adequate to evaluate safety of entrectinib for the proposed usage, in context of the rarity of </w:t>
      </w:r>
      <w:r w:rsidRPr="007B0C16">
        <w:rPr>
          <w:i/>
        </w:rPr>
        <w:t>ROS1</w:t>
      </w:r>
      <w:r>
        <w:t xml:space="preserve"> fusion-positive NSCLC and the magnitude and duration of the observed response rates. Due to the limitations of the data (singl</w:t>
      </w:r>
      <w:r w:rsidR="004F58A2">
        <w:t xml:space="preserve">e </w:t>
      </w:r>
      <w:r>
        <w:t>arm, small population and short follow up), conservative representation of safety data in the PI is advisable.</w:t>
      </w:r>
    </w:p>
    <w:p w14:paraId="32D8A5CA" w14:textId="7C904095" w:rsidR="005B75C5" w:rsidRDefault="005B75C5" w:rsidP="005B75C5">
      <w:r>
        <w:lastRenderedPageBreak/>
        <w:t xml:space="preserve">The safety population was demographically heterogeneous, although ECOG </w:t>
      </w:r>
      <w:r w:rsidR="00A965A6">
        <w:t xml:space="preserve">PS </w:t>
      </w:r>
      <w:r>
        <w:t>was mainly 0 or 1. Noting the limited sample sizes, significant differences in safety were not identified between in subgroups based on demographi</w:t>
      </w:r>
      <w:r w:rsidR="00895FA4">
        <w:t>cs</w:t>
      </w:r>
      <w:r w:rsidR="000D2221">
        <w:t>.</w:t>
      </w:r>
    </w:p>
    <w:p w14:paraId="3C5D146B" w14:textId="77777777" w:rsidR="005B75C5" w:rsidRDefault="005B75C5" w:rsidP="005B75C5">
      <w:r>
        <w:t>Based on the observed clinical data, the most significant risks appear to include:</w:t>
      </w:r>
    </w:p>
    <w:p w14:paraId="59E52523" w14:textId="30221741" w:rsidR="005B75C5" w:rsidRDefault="005B75C5" w:rsidP="00121597">
      <w:pPr>
        <w:pStyle w:val="ListBullet"/>
      </w:pPr>
      <w:r>
        <w:t>Congestive cardiac failure</w:t>
      </w:r>
    </w:p>
    <w:p w14:paraId="46CE8881" w14:textId="35443BAC" w:rsidR="005B75C5" w:rsidRDefault="005B75C5" w:rsidP="00121597">
      <w:pPr>
        <w:pStyle w:val="ListBullet"/>
      </w:pPr>
      <w:r>
        <w:t>Neurotoxicity: cognitive, mood, sensory and sleep disorders, ataxia, dizziness and headaches (entrectinib crosses the blood-brain barrier and neurotoxicity appears to be a TRK inhibitor class effect)</w:t>
      </w:r>
    </w:p>
    <w:p w14:paraId="7C57A011" w14:textId="665A1182" w:rsidR="005B75C5" w:rsidRDefault="005B75C5" w:rsidP="00121597">
      <w:pPr>
        <w:pStyle w:val="ListBullet"/>
      </w:pPr>
      <w:r>
        <w:t>Skeletal fractures (these were most notable in the paediatric population to whom the ROS1 NSCLC indication is not relevant)</w:t>
      </w:r>
    </w:p>
    <w:p w14:paraId="48A498E6" w14:textId="4406039A" w:rsidR="005B75C5" w:rsidRDefault="005B75C5" w:rsidP="00121597">
      <w:pPr>
        <w:pStyle w:val="ListBullet"/>
      </w:pPr>
      <w:r>
        <w:t>Hepatotoxicity, QT</w:t>
      </w:r>
      <w:r w:rsidR="00591C75">
        <w:t>;</w:t>
      </w:r>
      <w:r w:rsidR="00591C75" w:rsidRPr="00591C75">
        <w:rPr>
          <w:vertAlign w:val="superscript"/>
        </w:rPr>
        <w:fldChar w:fldCharType="begin"/>
      </w:r>
      <w:r w:rsidR="00591C75" w:rsidRPr="00591C75">
        <w:rPr>
          <w:vertAlign w:val="superscript"/>
        </w:rPr>
        <w:instrText xml:space="preserve"> NOTEREF _Ref52866594 \h </w:instrText>
      </w:r>
      <w:r w:rsidR="00591C75">
        <w:rPr>
          <w:vertAlign w:val="superscript"/>
        </w:rPr>
        <w:instrText xml:space="preserve"> \* MERGEFORMAT </w:instrText>
      </w:r>
      <w:r w:rsidR="00591C75" w:rsidRPr="00591C75">
        <w:rPr>
          <w:vertAlign w:val="superscript"/>
        </w:rPr>
      </w:r>
      <w:r w:rsidR="00591C75" w:rsidRPr="00591C75">
        <w:rPr>
          <w:vertAlign w:val="superscript"/>
        </w:rPr>
        <w:fldChar w:fldCharType="separate"/>
      </w:r>
      <w:r w:rsidR="005743D8">
        <w:rPr>
          <w:vertAlign w:val="superscript"/>
        </w:rPr>
        <w:t>14</w:t>
      </w:r>
      <w:r w:rsidR="00591C75" w:rsidRPr="00591C75">
        <w:rPr>
          <w:vertAlign w:val="superscript"/>
        </w:rPr>
        <w:fldChar w:fldCharType="end"/>
      </w:r>
      <w:r>
        <w:t xml:space="preserve"> prolongation and hyperuricemia: these require precautionary PI text to ensure approp</w:t>
      </w:r>
      <w:r w:rsidR="00591C75">
        <w:t>riate monitoring and treatment.</w:t>
      </w:r>
    </w:p>
    <w:p w14:paraId="6D8A789B" w14:textId="722C66BF" w:rsidR="005B75C5" w:rsidRDefault="005B75C5" w:rsidP="005B75C5">
      <w:r>
        <w:t>Common (</w:t>
      </w:r>
      <w:r w:rsidR="00CE2749">
        <w:sym w:font="Symbol" w:char="F0B3"/>
      </w:r>
      <w:r w:rsidR="007D66D3">
        <w:t xml:space="preserve"> </w:t>
      </w:r>
      <w:r>
        <w:t>20%) but less serious reported toxicities included fatigue, oedema, gastrointestinal effects (diarrhoea, constipation, nausea and vomiting), weight gain,</w:t>
      </w:r>
      <w:r w:rsidR="00895FA4">
        <w:t xml:space="preserve"> cough, pyrexia, and arthralgia</w:t>
      </w:r>
      <w:r>
        <w:t>. Fatal adverse events included a case of completed suicide, and a case of tumour lysis syndrome with concurre</w:t>
      </w:r>
      <w:r w:rsidR="000E7FA7">
        <w:t xml:space="preserve">nt </w:t>
      </w:r>
      <w:r w:rsidR="00F40A0C">
        <w:t>G</w:t>
      </w:r>
      <w:r w:rsidR="00F40A0C" w:rsidRPr="00A56ACE">
        <w:t>rade</w:t>
      </w:r>
      <w:r w:rsidR="000E7FA7">
        <w:t xml:space="preserve"> 4 uric acid elevation.</w:t>
      </w:r>
    </w:p>
    <w:p w14:paraId="7441D654" w14:textId="701919B0" w:rsidR="005B75C5" w:rsidRDefault="005B75C5" w:rsidP="005B75C5">
      <w:r>
        <w:t>Most patients who discontinued treatment did so due to disease progression, with 9% of patients discon</w:t>
      </w:r>
      <w:r w:rsidR="000E7FA7">
        <w:t>tinuing due to adverse effects.</w:t>
      </w:r>
    </w:p>
    <w:p w14:paraId="7ED5C913" w14:textId="7DFCD358" w:rsidR="005B75C5" w:rsidRDefault="005B75C5" w:rsidP="005B75C5">
      <w:r>
        <w:t>The sponsor has committed to further clinical study to better characterise the risk of congestive heart f</w:t>
      </w:r>
      <w:r w:rsidR="004F58A2">
        <w:t xml:space="preserve">ailure, skeletal fractures, off </w:t>
      </w:r>
      <w:r>
        <w:t>target effects, and the effect of moderate or severe hepatic impairment on entrectinib PK.</w:t>
      </w:r>
    </w:p>
    <w:p w14:paraId="660C2BC6" w14:textId="195389BD" w:rsidR="000D2221" w:rsidRPr="00C23E64" w:rsidRDefault="00981121" w:rsidP="007D2F65">
      <w:pPr>
        <w:pStyle w:val="Heading6"/>
      </w:pPr>
      <w:r w:rsidRPr="00C23E64">
        <w:t>Neurotrophic tropomyosin receptor kinase</w:t>
      </w:r>
      <w:r w:rsidR="000D2221" w:rsidRPr="00C23E64">
        <w:t xml:space="preserve"> fusion- positive solid tumours</w:t>
      </w:r>
    </w:p>
    <w:p w14:paraId="54B3594A" w14:textId="5AA305F2" w:rsidR="000D2221" w:rsidRDefault="000D2221" w:rsidP="000D2221">
      <w:r>
        <w:t>After a minimum follow-up of 6 months, in a group of 54 consecutively enrolled pati</w:t>
      </w:r>
      <w:r w:rsidR="00654B14">
        <w:t>ents across three clinical trials</w:t>
      </w:r>
      <w:r w:rsidR="00591C75">
        <w:t xml:space="preserve"> (</w:t>
      </w:r>
      <w:r w:rsidR="00981121">
        <w:t xml:space="preserve">the </w:t>
      </w:r>
      <w:r w:rsidR="00591C75">
        <w:t>ALKA, STARTRK</w:t>
      </w:r>
      <w:r w:rsidR="00981121">
        <w:t>-</w:t>
      </w:r>
      <w:r w:rsidR="00591C75">
        <w:t>1 and STARTRK-</w:t>
      </w:r>
      <w:r>
        <w:t>2</w:t>
      </w:r>
      <w:r w:rsidR="00981121">
        <w:t xml:space="preserve"> trials</w:t>
      </w:r>
      <w:r>
        <w:t xml:space="preserve">) who had NTRK fusion-positive </w:t>
      </w:r>
      <w:proofErr w:type="spellStart"/>
      <w:r>
        <w:t>extracranial</w:t>
      </w:r>
      <w:proofErr w:type="spellEnd"/>
      <w:r>
        <w:t xml:space="preserve"> solid tumours, had not received prior anti-NTRK therapy, and who did not have any satisfactory treatment options or had progressed after any acceptable therapy, the ORR (95% CI) was 57% (43%, 71%), including a CR rate of 7% and a PR rate of 50%, with a median (95% CI) DOR of 10.4 months (7.1, not estimable). At a data cut-off date of 31 Oct</w:t>
      </w:r>
      <w:r w:rsidR="00981121">
        <w:t>ober</w:t>
      </w:r>
      <w:r>
        <w:t xml:space="preserve"> 2018, 68% of responses had lasted at least 6 months, and 45% of responses had lasted at least 12 months. Very limited data also supports activity against intracranial metastases, as well as efficacy in CNS primary disease. Data in a very small subgroup supports conclusions of activity against intracranial metastases. Although patients with primary CNS tumours were excluded from the main NTRK efficacy set, limited additional information is able to support a decision not to exclude such patients from the provisional indication.</w:t>
      </w:r>
    </w:p>
    <w:p w14:paraId="7F7561BE" w14:textId="52C8C6AA" w:rsidR="000D2221" w:rsidRDefault="000D2221" w:rsidP="000D2221">
      <w:r>
        <w:t>Renal and hepatic maturity in people aged between 12 years and 18 years is similar enough to adults (people over the age of 18 years) to allow extrapolation of the effica</w:t>
      </w:r>
      <w:r w:rsidR="008576DF">
        <w:t>cy data for entrectinib in last-</w:t>
      </w:r>
      <w:r>
        <w:t xml:space="preserve">line therapy of </w:t>
      </w:r>
      <w:r w:rsidRPr="007B0C16">
        <w:rPr>
          <w:i/>
        </w:rPr>
        <w:t>NTRK</w:t>
      </w:r>
      <w:r>
        <w:t>-positive solid tumours, based on comparable PK</w:t>
      </w:r>
      <w:r w:rsidR="00654B14">
        <w:t xml:space="preserve"> profiles in adults (in </w:t>
      </w:r>
      <w:r w:rsidR="00981121">
        <w:t xml:space="preserve">the </w:t>
      </w:r>
      <w:r w:rsidR="00654B14">
        <w:t>ALKA, ST</w:t>
      </w:r>
      <w:r>
        <w:t>ARTRK-1 and STARTRK-2</w:t>
      </w:r>
      <w:r w:rsidR="00654B14">
        <w:t xml:space="preserve"> trials</w:t>
      </w:r>
      <w:r>
        <w:t>) and adolescent patients (in a fourth entrectinib trial in pae</w:t>
      </w:r>
      <w:r w:rsidR="00BD1360">
        <w:t>diatric patients: STARTRK-NG</w:t>
      </w:r>
      <w:r w:rsidR="00654B14">
        <w:t xml:space="preserve"> trial</w:t>
      </w:r>
      <w:r w:rsidR="00BD1360">
        <w:t xml:space="preserve">). </w:t>
      </w:r>
      <w:r w:rsidR="004F58A2">
        <w:t xml:space="preserve">The BSA </w:t>
      </w:r>
      <w:r>
        <w:t>based dosing approach approved by the FDA in this</w:t>
      </w:r>
      <w:r w:rsidR="00F357A6">
        <w:t xml:space="preserve"> age group is preferred to the s</w:t>
      </w:r>
      <w:r w:rsidR="004F58A2">
        <w:t xml:space="preserve">ponsor’s proposed BSA </w:t>
      </w:r>
      <w:r>
        <w:t>based dosing, as it better fits the observed data and provides a smoother dose adjustment across BSA categories. There was insufficient data available in patients younger than 12 years to allow a safe and effective dose to be determined.</w:t>
      </w:r>
    </w:p>
    <w:p w14:paraId="5533AB83" w14:textId="24C55CE9" w:rsidR="000D2221" w:rsidRDefault="000D2221" w:rsidP="000D2221">
      <w:r>
        <w:t xml:space="preserve">The rarity of this diagnosis and the heterogeneity of </w:t>
      </w:r>
      <w:proofErr w:type="spellStart"/>
      <w:r>
        <w:t>histologies</w:t>
      </w:r>
      <w:proofErr w:type="spellEnd"/>
      <w:r>
        <w:t xml:space="preserve"> in which </w:t>
      </w:r>
      <w:r w:rsidRPr="007B0C16">
        <w:rPr>
          <w:i/>
        </w:rPr>
        <w:t>NTRK</w:t>
      </w:r>
      <w:r>
        <w:t xml:space="preserve"> rearrangements are seen renders randomised trials in this po</w:t>
      </w:r>
      <w:r w:rsidR="004F58A2">
        <w:t xml:space="preserve">pulation infeasible. The single </w:t>
      </w:r>
      <w:r>
        <w:t>arm, pooled design and size limitations of this dataset are therefore acceptable, and able to support a regulatory decision.</w:t>
      </w:r>
    </w:p>
    <w:p w14:paraId="3A47933D" w14:textId="25BCD53C" w:rsidR="000D2221" w:rsidRDefault="004F58A2" w:rsidP="000D2221">
      <w:r>
        <w:lastRenderedPageBreak/>
        <w:t xml:space="preserve">Approval of histology </w:t>
      </w:r>
      <w:r w:rsidR="000D2221">
        <w:t xml:space="preserve">agnostic indications represents a new paradigm in regulatory medicine. In the case of entrectinib, there is strong scientific rationale that TRK inhibition should induce regression in tumours harbouring an </w:t>
      </w:r>
      <w:r w:rsidR="000D2221" w:rsidRPr="007B0C16">
        <w:rPr>
          <w:i/>
        </w:rPr>
        <w:t>NTRK</w:t>
      </w:r>
      <w:r w:rsidR="000D2221">
        <w:t xml:space="preserve"> fusion mutation regardless of fusion gene partner, and supportive preclinical data indicating such an effect across multiple cell lines.</w:t>
      </w:r>
    </w:p>
    <w:p w14:paraId="66E84C0C" w14:textId="2223EDC8" w:rsidR="000D2221" w:rsidRDefault="004F58A2" w:rsidP="000D2221">
      <w:r>
        <w:t xml:space="preserve">In patients with treatment </w:t>
      </w:r>
      <w:r w:rsidR="000D2221">
        <w:t xml:space="preserve">refractory solid tumours, either no treatment options remain or those that do are usually associated with significant morbidity and/or poor efficacy, with response rates generally less than 30%. The magnitude of response rate and durability of responses demonstrated with entrectinib in this treatment context are considered likely to predict clinically meaningful benefit in such patients. However, the estimates of response rate and duration in the overall </w:t>
      </w:r>
      <w:r w:rsidR="000D2221" w:rsidRPr="007B0C16">
        <w:rPr>
          <w:i/>
        </w:rPr>
        <w:t>NTRK</w:t>
      </w:r>
      <w:r w:rsidR="000D2221">
        <w:t xml:space="preserve">-positive population as well as in subgroups based on histology are imprecise due to the small overall population and very small subgroup sizes. There also remains a risk that efficacy is not present in some </w:t>
      </w:r>
      <w:proofErr w:type="spellStart"/>
      <w:r w:rsidR="000D2221">
        <w:t>histologies</w:t>
      </w:r>
      <w:proofErr w:type="spellEnd"/>
      <w:r w:rsidR="000D2221">
        <w:t xml:space="preserve">, though responses appear to be consistent across tumour </w:t>
      </w:r>
      <w:proofErr w:type="spellStart"/>
      <w:r w:rsidR="000D2221">
        <w:t>histologies</w:t>
      </w:r>
      <w:proofErr w:type="spellEnd"/>
      <w:r w:rsidR="000D2221">
        <w:t xml:space="preserve"> from the limited data available. This risk is considered acceptable in context of the</w:t>
      </w:r>
      <w:r w:rsidR="008576DF">
        <w:t xml:space="preserve"> therapy being used last-</w:t>
      </w:r>
      <w:r w:rsidR="000D2221">
        <w:t xml:space="preserve">line, </w:t>
      </w:r>
      <w:r w:rsidR="00BD04CD">
        <w:t>for example</w:t>
      </w:r>
      <w:r w:rsidR="000D2221">
        <w:t xml:space="preserve"> an effective alternative therapy is not available.</w:t>
      </w:r>
    </w:p>
    <w:p w14:paraId="78BA4DBC" w14:textId="77777777" w:rsidR="000D2221" w:rsidRDefault="000D2221" w:rsidP="000D2221">
      <w:r>
        <w:t xml:space="preserve">Additional data is expected to be collected through further enrolment and follow-up of the STARTRK-2 and STARTRK-NG clinical trials. This confirmatory data is expected to allow a more precise estimate of response rate and duration of response in </w:t>
      </w:r>
      <w:r w:rsidRPr="007B0C16">
        <w:rPr>
          <w:i/>
        </w:rPr>
        <w:t>NTRK</w:t>
      </w:r>
      <w:r>
        <w:t xml:space="preserve"> fusion-positive solid tumours overall, in histological subgroups, including CNS primary disease, and in paediatric patients.</w:t>
      </w:r>
    </w:p>
    <w:p w14:paraId="0AF0F45B" w14:textId="3BC4D0D4" w:rsidR="000D2221" w:rsidRDefault="00BD1360" w:rsidP="000D2221">
      <w:r>
        <w:t>The s</w:t>
      </w:r>
      <w:r w:rsidR="000D2221">
        <w:t>ponsor has also made post-market commitments to development and validation of a companion diagnostic. In view of the magnitude of response rate observed and lack of availabl</w:t>
      </w:r>
      <w:r w:rsidR="004F58A2">
        <w:t xml:space="preserve">e therapies for these treatment </w:t>
      </w:r>
      <w:r w:rsidR="000D2221">
        <w:t>refractor</w:t>
      </w:r>
      <w:r w:rsidR="004F58A2">
        <w:t xml:space="preserve">y patients, and noting that non </w:t>
      </w:r>
      <w:r w:rsidR="000D2221">
        <w:t>companion diagnostic testing is available and false positives on sequencing are very unlikely with this type of mutation, addressing this post-approval is acceptable.</w:t>
      </w:r>
    </w:p>
    <w:p w14:paraId="1DE281F2" w14:textId="54336314" w:rsidR="005758B2" w:rsidRDefault="005758B2" w:rsidP="005758B2">
      <w:r>
        <w:t xml:space="preserve">The safety profile for entrectinib in the treatment of </w:t>
      </w:r>
      <w:r w:rsidRPr="007B0C16">
        <w:rPr>
          <w:i/>
        </w:rPr>
        <w:t>NTRK</w:t>
      </w:r>
      <w:r>
        <w:t xml:space="preserve"> fusion-positive solid tumours is based on the same safety dataset as for ROS1 fusion-positive NSCLC (see above). Pooling of the safety data, as presented in the FDA label, is considered appropriate in this instan</w:t>
      </w:r>
      <w:r w:rsidR="004F58A2">
        <w:t xml:space="preserve">ce based on the size and single </w:t>
      </w:r>
      <w:r>
        <w:t>arm nature of the safety dataset: separate presentation would not provide additional meaningful clinical guidance for prescribers.</w:t>
      </w:r>
    </w:p>
    <w:p w14:paraId="159FD84A" w14:textId="34D7C691" w:rsidR="005758B2" w:rsidRDefault="005758B2" w:rsidP="005758B2">
      <w:r>
        <w:t xml:space="preserve">Safety for paediatric patients with </w:t>
      </w:r>
      <w:r w:rsidRPr="007B0C16">
        <w:rPr>
          <w:i/>
        </w:rPr>
        <w:t>NTRK</w:t>
      </w:r>
      <w:r>
        <w:t xml:space="preserve"> fusion-positive solid tumours over the age of 12</w:t>
      </w:r>
      <w:r w:rsidR="00981121">
        <w:t> </w:t>
      </w:r>
      <w:r>
        <w:t xml:space="preserve">years is extrapolated from that seen in the main </w:t>
      </w:r>
      <w:r w:rsidRPr="007B0C16">
        <w:rPr>
          <w:i/>
        </w:rPr>
        <w:t>NTRK</w:t>
      </w:r>
      <w:r>
        <w:t xml:space="preserve"> efficacy population in conjunction with PK modelling.</w:t>
      </w:r>
    </w:p>
    <w:p w14:paraId="30394B47" w14:textId="25A846F4" w:rsidR="005758B2" w:rsidRDefault="005758B2" w:rsidP="009A4678">
      <w:r>
        <w:t>Very limited supporting data is available from 30 paediatric patients treated with entre</w:t>
      </w:r>
      <w:r w:rsidR="00E06B14">
        <w:t>c</w:t>
      </w:r>
      <w:r>
        <w:t>tinib in STARTRK-NG</w:t>
      </w:r>
      <w:r w:rsidR="00746CED">
        <w:t xml:space="preserve"> trial</w:t>
      </w:r>
      <w:r>
        <w:t xml:space="preserve">. Interpretation of this data is limited based on the very small sample size, but descriptively, higher grade (CTCAE </w:t>
      </w:r>
      <w:r w:rsidR="00F40A0C">
        <w:t>G</w:t>
      </w:r>
      <w:r w:rsidR="00F40A0C" w:rsidRPr="00A56ACE">
        <w:t>rade</w:t>
      </w:r>
      <w:r>
        <w:t xml:space="preserve"> 3 or 4) adverse events that occurred more frequently (at least by 5%) compared with the adult safety database </w:t>
      </w:r>
      <w:r w:rsidR="00DA6635">
        <w:t>(n</w:t>
      </w:r>
      <w:r w:rsidR="00981121">
        <w:t> </w:t>
      </w:r>
      <w:r w:rsidR="00DA6635">
        <w:t>=</w:t>
      </w:r>
      <w:r w:rsidR="00F2463B">
        <w:t xml:space="preserve"> </w:t>
      </w:r>
      <w:r w:rsidR="00DA6635">
        <w:t xml:space="preserve">338) were </w:t>
      </w:r>
      <w:proofErr w:type="spellStart"/>
      <w:r w:rsidR="00DA6635">
        <w:t>neutrop</w:t>
      </w:r>
      <w:r w:rsidR="00A965A6">
        <w:t>a</w:t>
      </w:r>
      <w:r w:rsidR="00DA6635">
        <w:t>enia</w:t>
      </w:r>
      <w:proofErr w:type="spellEnd"/>
      <w:r w:rsidR="00DA6635">
        <w:t xml:space="preserve"> (27% </w:t>
      </w:r>
      <w:r w:rsidR="00DA6635" w:rsidRPr="006421E2">
        <w:t>v</w:t>
      </w:r>
      <w:r w:rsidR="00DA6635">
        <w:t>ersu</w:t>
      </w:r>
      <w:r w:rsidR="00DA6635" w:rsidRPr="006421E2">
        <w:t>s</w:t>
      </w:r>
      <w:r w:rsidR="00DA6635">
        <w:t xml:space="preserve"> 2%), fractures (23% v</w:t>
      </w:r>
      <w:r w:rsidR="00A965A6">
        <w:t>ersus</w:t>
      </w:r>
      <w:r w:rsidR="00DA6635">
        <w:t xml:space="preserve"> 5%), </w:t>
      </w:r>
      <w:proofErr w:type="spellStart"/>
      <w:r w:rsidR="00DA6635">
        <w:t>thrombocytop</w:t>
      </w:r>
      <w:r w:rsidR="00A965A6">
        <w:t>a</w:t>
      </w:r>
      <w:r w:rsidR="00DA6635">
        <w:t>enia</w:t>
      </w:r>
      <w:proofErr w:type="spellEnd"/>
      <w:r w:rsidR="00DA6635">
        <w:t xml:space="preserve"> (10% </w:t>
      </w:r>
      <w:r w:rsidR="00DA6635" w:rsidRPr="006421E2">
        <w:t>v</w:t>
      </w:r>
      <w:r w:rsidR="00DA6635">
        <w:t>ersu</w:t>
      </w:r>
      <w:r w:rsidR="00DA6635" w:rsidRPr="006421E2">
        <w:t>s</w:t>
      </w:r>
      <w:r w:rsidR="00DA6635">
        <w:t xml:space="preserve"> 0.3%), </w:t>
      </w:r>
      <w:proofErr w:type="spellStart"/>
      <w:r w:rsidR="00DA6635">
        <w:t>lymphop</w:t>
      </w:r>
      <w:r w:rsidR="00A965A6">
        <w:t>a</w:t>
      </w:r>
      <w:r w:rsidR="00DA6635">
        <w:t>enia</w:t>
      </w:r>
      <w:proofErr w:type="spellEnd"/>
      <w:r w:rsidR="00DA6635">
        <w:t xml:space="preserve"> (7% </w:t>
      </w:r>
      <w:r w:rsidR="00DA6635" w:rsidRPr="006421E2">
        <w:t>v</w:t>
      </w:r>
      <w:r w:rsidR="00DA6635">
        <w:t>ersu</w:t>
      </w:r>
      <w:r w:rsidR="00DA6635" w:rsidRPr="006421E2">
        <w:t>s</w:t>
      </w:r>
      <w:r w:rsidR="009A4678">
        <w:t xml:space="preserve"> 1%), increased gamma-</w:t>
      </w:r>
      <w:proofErr w:type="spellStart"/>
      <w:r w:rsidR="009A4678">
        <w:t>glutamyl</w:t>
      </w:r>
      <w:proofErr w:type="spellEnd"/>
      <w:r w:rsidR="009A4678">
        <w:t xml:space="preserve"> transferase</w:t>
      </w:r>
      <w:r w:rsidR="00DA6635">
        <w:t xml:space="preserve"> (7% </w:t>
      </w:r>
      <w:r w:rsidR="00DA6635" w:rsidRPr="006421E2">
        <w:t>v</w:t>
      </w:r>
      <w:r w:rsidR="00DA6635">
        <w:t>ersu</w:t>
      </w:r>
      <w:r w:rsidR="00DA6635" w:rsidRPr="006421E2">
        <w:t>s</w:t>
      </w:r>
      <w:r>
        <w:t xml:space="preserve"> 0%),</w:t>
      </w:r>
      <w:r w:rsidR="004F58A2">
        <w:t xml:space="preserve"> device </w:t>
      </w:r>
      <w:r w:rsidR="00DA6635">
        <w:t xml:space="preserve">related infection (7% </w:t>
      </w:r>
      <w:r w:rsidR="00DA6635" w:rsidRPr="006421E2">
        <w:t>v</w:t>
      </w:r>
      <w:r w:rsidR="00DA6635">
        <w:t>ersu</w:t>
      </w:r>
      <w:r w:rsidR="00DA6635" w:rsidRPr="006421E2">
        <w:t>s</w:t>
      </w:r>
      <w:r>
        <w:t xml:space="preserve"> 0.3%), and increas</w:t>
      </w:r>
      <w:r w:rsidR="00DA6635">
        <w:t xml:space="preserve">ed weight (20% </w:t>
      </w:r>
      <w:r w:rsidR="00DA6635" w:rsidRPr="006421E2">
        <w:t>v</w:t>
      </w:r>
      <w:r w:rsidR="00DA6635">
        <w:t>ersu</w:t>
      </w:r>
      <w:r w:rsidR="00DA6635" w:rsidRPr="006421E2">
        <w:t>s</w:t>
      </w:r>
      <w:r>
        <w:t xml:space="preserve"> 7%). Three such events (</w:t>
      </w:r>
      <w:r w:rsidR="00F40A0C">
        <w:t>G</w:t>
      </w:r>
      <w:r w:rsidR="00F40A0C" w:rsidRPr="00A56ACE">
        <w:t>rade</w:t>
      </w:r>
      <w:r>
        <w:t xml:space="preserve"> 3 dyspnoea, </w:t>
      </w:r>
      <w:r w:rsidR="00F40A0C">
        <w:t>G</w:t>
      </w:r>
      <w:r w:rsidR="00F40A0C" w:rsidRPr="00A56ACE">
        <w:t>rade</w:t>
      </w:r>
      <w:r>
        <w:t xml:space="preserve"> 4 pulmonary oedema and </w:t>
      </w:r>
      <w:r w:rsidR="00F40A0C">
        <w:t>G</w:t>
      </w:r>
      <w:r w:rsidR="00F40A0C" w:rsidRPr="00A56ACE">
        <w:t>rade</w:t>
      </w:r>
      <w:r>
        <w:t xml:space="preserve"> 4 pancreatitis) led to discontinuation.</w:t>
      </w:r>
    </w:p>
    <w:p w14:paraId="2109A5B5" w14:textId="74184CF5" w:rsidR="005758B2" w:rsidRDefault="005758B2" w:rsidP="005758B2">
      <w:r>
        <w:t>Safety data in patients under the age of 12 is very sparse, and PK modelling was unable to support identification of a safe and effective dose for this patient group.</w:t>
      </w:r>
    </w:p>
    <w:p w14:paraId="0A26CC1A" w14:textId="7828A12D" w:rsidR="005758B2" w:rsidRDefault="005758B2" w:rsidP="005758B2">
      <w:r>
        <w:t>Based on mechanism of action and preclinical dat</w:t>
      </w:r>
      <w:r w:rsidR="004F58A2">
        <w:t xml:space="preserve">a, the potential for on and off </w:t>
      </w:r>
      <w:r>
        <w:t>target effects in a developing human and the short duration of clinical follow up in the paediatric safety population to date raise concerns around developmental toxicities.</w:t>
      </w:r>
    </w:p>
    <w:p w14:paraId="0D70AF88" w14:textId="7B234EEA" w:rsidR="005758B2" w:rsidRDefault="005758B2" w:rsidP="005758B2">
      <w:r>
        <w:t xml:space="preserve">A further toxicity of specific concern in the paediatric population is adverse effects on bones and teeth. Fractures were reported in 23% of paediatric patients (all associated </w:t>
      </w:r>
      <w:r>
        <w:lastRenderedPageBreak/>
        <w:t>with minimal or no trauma) compared to 5% of adults (in whom confou</w:t>
      </w:r>
      <w:r w:rsidR="00981121">
        <w:t>n</w:t>
      </w:r>
      <w:r>
        <w:t>ders such as steroid use or bone metastases were present, although evidence of fracture at site of bone metastasis was not available).</w:t>
      </w:r>
    </w:p>
    <w:p w14:paraId="03C7884B" w14:textId="731FCA81" w:rsidR="005758B2" w:rsidRDefault="005758B2" w:rsidP="005758B2">
      <w:r>
        <w:t>Further collection of safety data is expected as outlined above for the ROS1 indication, including specific addressing of the fracture risk in paediatric patients. Additional to these, the sponsor has committed to further clinical study to better characterise longer term effects of entrectinib on growth and development when used in paediatric patients.</w:t>
      </w:r>
    </w:p>
    <w:p w14:paraId="1FC4E103" w14:textId="77777777" w:rsidR="00B124B1" w:rsidRPr="009D6C64" w:rsidRDefault="00B124B1" w:rsidP="007D2F65">
      <w:pPr>
        <w:pStyle w:val="Heading5"/>
      </w:pPr>
      <w:r w:rsidRPr="009D6C64">
        <w:t>Conditions of registration</w:t>
      </w:r>
    </w:p>
    <w:p w14:paraId="5EF8E54A" w14:textId="77777777" w:rsidR="00B124B1" w:rsidRDefault="00B124B1" w:rsidP="007D2F65">
      <w:pPr>
        <w:pStyle w:val="Heading6"/>
        <w:rPr>
          <w:lang w:val="en-US"/>
        </w:rPr>
      </w:pPr>
      <w:r>
        <w:rPr>
          <w:lang w:val="en-US"/>
        </w:rPr>
        <w:t>Confirmatory data requirements for provisional registration</w:t>
      </w:r>
    </w:p>
    <w:p w14:paraId="0D812060" w14:textId="38CBABED" w:rsidR="00B124B1" w:rsidRDefault="00B124B1" w:rsidP="00B124B1">
      <w:pPr>
        <w:rPr>
          <w:rFonts w:asciiTheme="minorHAnsi" w:hAnsiTheme="minorHAnsi" w:cs="Calibri"/>
          <w:lang w:val="en-US"/>
        </w:rPr>
      </w:pPr>
      <w:r>
        <w:rPr>
          <w:rFonts w:asciiTheme="minorHAnsi" w:hAnsiTheme="minorHAnsi" w:cs="Calibri"/>
          <w:lang w:val="en-US"/>
        </w:rPr>
        <w:t xml:space="preserve">Confirmatory data commitments made to the FDA relating to the accelerated approval of the </w:t>
      </w:r>
      <w:r w:rsidRPr="007B0C16">
        <w:rPr>
          <w:rFonts w:asciiTheme="minorHAnsi" w:hAnsiTheme="minorHAnsi" w:cs="Calibri"/>
          <w:i/>
          <w:lang w:val="en-US"/>
        </w:rPr>
        <w:t>NTRK</w:t>
      </w:r>
      <w:r>
        <w:rPr>
          <w:rFonts w:asciiTheme="minorHAnsi" w:hAnsiTheme="minorHAnsi" w:cs="Calibri"/>
          <w:lang w:val="en-US"/>
        </w:rPr>
        <w:t xml:space="preserve"> indication are outlined in </w:t>
      </w:r>
      <w:r>
        <w:rPr>
          <w:rFonts w:asciiTheme="minorHAnsi" w:hAnsiTheme="minorHAnsi" w:cs="Calibri"/>
          <w:lang w:val="en-US"/>
        </w:rPr>
        <w:fldChar w:fldCharType="begin"/>
      </w:r>
      <w:r>
        <w:rPr>
          <w:rFonts w:asciiTheme="minorHAnsi" w:hAnsiTheme="minorHAnsi" w:cs="Calibri"/>
          <w:lang w:val="en-US"/>
        </w:rPr>
        <w:instrText xml:space="preserve"> REF _Ref29220998 \h  \* MERGEFORMAT </w:instrText>
      </w:r>
      <w:r>
        <w:rPr>
          <w:rFonts w:asciiTheme="minorHAnsi" w:hAnsiTheme="minorHAnsi" w:cs="Calibri"/>
          <w:lang w:val="en-US"/>
        </w:rPr>
      </w:r>
      <w:r>
        <w:rPr>
          <w:rFonts w:asciiTheme="minorHAnsi" w:hAnsiTheme="minorHAnsi" w:cs="Calibri"/>
          <w:lang w:val="en-US"/>
        </w:rPr>
        <w:fldChar w:fldCharType="separate"/>
      </w:r>
      <w:r>
        <w:rPr>
          <w:rFonts w:asciiTheme="minorHAnsi" w:hAnsiTheme="minorHAnsi" w:cs="Calibri"/>
          <w:lang w:val="en-US"/>
        </w:rPr>
        <w:t>the '</w:t>
      </w:r>
      <w:r w:rsidRPr="00517FEE">
        <w:rPr>
          <w:rFonts w:asciiTheme="minorHAnsi" w:hAnsiTheme="minorHAnsi" w:cs="Calibri"/>
          <w:i/>
          <w:lang w:val="en-US"/>
        </w:rPr>
        <w:t>Confirmatory data requirements</w:t>
      </w:r>
      <w:r w:rsidR="00981121">
        <w:rPr>
          <w:rFonts w:asciiTheme="minorHAnsi" w:hAnsiTheme="minorHAnsi" w:cs="Calibri"/>
          <w:lang w:val="en-US"/>
        </w:rPr>
        <w:t>' section above</w:t>
      </w:r>
      <w:r>
        <w:rPr>
          <w:rFonts w:asciiTheme="minorHAnsi" w:hAnsiTheme="minorHAnsi" w:cs="Calibri"/>
          <w:b/>
          <w:bCs/>
          <w:lang w:val="en-US"/>
        </w:rPr>
        <w:t>.</w:t>
      </w:r>
      <w:r>
        <w:rPr>
          <w:rFonts w:asciiTheme="minorHAnsi" w:hAnsiTheme="minorHAnsi" w:cs="Calibri"/>
          <w:lang w:val="en-US"/>
        </w:rPr>
        <w:fldChar w:fldCharType="end"/>
      </w:r>
      <w:r>
        <w:rPr>
          <w:rFonts w:asciiTheme="minorHAnsi" w:hAnsiTheme="minorHAnsi" w:cs="Calibri"/>
          <w:lang w:val="en-US"/>
        </w:rPr>
        <w:t xml:space="preserve"> For the purposes of Australian provisional registration, the sponsor proposes to provide the same confirmatory data. This proposal is acceptable (noting the TGA request to receive reports but not original datasets).</w:t>
      </w:r>
    </w:p>
    <w:p w14:paraId="2DC3CA35" w14:textId="77777777" w:rsidR="00B124B1" w:rsidRDefault="00B124B1" w:rsidP="00B124B1">
      <w:pPr>
        <w:rPr>
          <w:rFonts w:asciiTheme="minorHAnsi" w:hAnsiTheme="minorHAnsi" w:cs="Calibri"/>
          <w:lang w:val="en-US"/>
        </w:rPr>
      </w:pPr>
      <w:r>
        <w:rPr>
          <w:rFonts w:asciiTheme="minorHAnsi" w:hAnsiTheme="minorHAnsi" w:cs="Calibri"/>
          <w:lang w:val="en-US"/>
        </w:rPr>
        <w:t>In Australia, provisional registration is granted for two years, with a maximum of two extensions, so that the entire length of provisional registration allowable is six years. Provisional registration may lapse before all of the information outlined in Appendix 1 is available. The possible actions that the Delegate foresees sponsor could take if this scenario occurs are outlined in section above, confirmatory data requirements.</w:t>
      </w:r>
    </w:p>
    <w:p w14:paraId="4B312A18" w14:textId="77777777" w:rsidR="00B124B1" w:rsidRDefault="00B124B1" w:rsidP="00B124B1">
      <w:pPr>
        <w:rPr>
          <w:rFonts w:asciiTheme="minorHAnsi" w:hAnsiTheme="minorHAnsi" w:cs="Calibri"/>
          <w:lang w:val="en-US"/>
        </w:rPr>
      </w:pPr>
      <w:r>
        <w:rPr>
          <w:rFonts w:asciiTheme="minorHAnsi" w:hAnsiTheme="minorHAnsi" w:cs="Calibri"/>
          <w:lang w:val="en-US"/>
        </w:rPr>
        <w:t>In recognition of the predicted timeframes, the uncertainty around these and the possibility that provisional registration lapse may precede final report availability, the Delegate proposes to not specify a date by which submission of a final report for the NTRK indication is expected.</w:t>
      </w:r>
    </w:p>
    <w:p w14:paraId="3828C890" w14:textId="77777777" w:rsidR="00B124B1" w:rsidRPr="009D6C64" w:rsidRDefault="00B124B1" w:rsidP="00B124B1">
      <w:pPr>
        <w:rPr>
          <w:rFonts w:asciiTheme="minorHAnsi" w:hAnsiTheme="minorHAnsi" w:cs="Calibri"/>
          <w:lang w:val="en-US"/>
        </w:rPr>
      </w:pPr>
      <w:r>
        <w:rPr>
          <w:rFonts w:asciiTheme="minorHAnsi" w:hAnsiTheme="minorHAnsi" w:cs="Calibri"/>
          <w:lang w:val="en-US"/>
        </w:rPr>
        <w:t>The</w:t>
      </w:r>
      <w:r w:rsidRPr="009D6C64">
        <w:rPr>
          <w:rFonts w:asciiTheme="minorHAnsi" w:hAnsiTheme="minorHAnsi" w:cs="Calibri"/>
          <w:lang w:val="en-US"/>
        </w:rPr>
        <w:t xml:space="preserve"> </w:t>
      </w:r>
      <w:r>
        <w:rPr>
          <w:rFonts w:asciiTheme="minorHAnsi" w:hAnsiTheme="minorHAnsi" w:cs="Calibri"/>
          <w:lang w:val="en-US"/>
        </w:rPr>
        <w:t>D</w:t>
      </w:r>
      <w:r w:rsidRPr="009D6C64">
        <w:rPr>
          <w:rFonts w:asciiTheme="minorHAnsi" w:hAnsiTheme="minorHAnsi" w:cs="Calibri"/>
          <w:lang w:val="en-US"/>
        </w:rPr>
        <w:t>elegate proposes the following wording for the condition of registration specific to confirmatory data requirements for Australian provisional registration</w:t>
      </w:r>
      <w:r>
        <w:rPr>
          <w:rFonts w:asciiTheme="minorHAnsi" w:hAnsiTheme="minorHAnsi" w:cs="Calibri"/>
          <w:lang w:val="en-US"/>
        </w:rPr>
        <w:t xml:space="preserve"> (</w:t>
      </w:r>
      <w:r>
        <w:rPr>
          <w:lang w:val="en-US"/>
        </w:rPr>
        <w:t xml:space="preserve">for the NTRK indication only, submission </w:t>
      </w:r>
      <w:r w:rsidRPr="009C0CE3">
        <w:rPr>
          <w:rFonts w:asciiTheme="minorHAnsi" w:hAnsiTheme="minorHAnsi" w:cs="Calibri"/>
        </w:rPr>
        <w:t>PM-2019-01809-1-4</w:t>
      </w:r>
      <w:r>
        <w:rPr>
          <w:lang w:val="en-US"/>
        </w:rPr>
        <w:t>):</w:t>
      </w:r>
    </w:p>
    <w:p w14:paraId="0FA32118" w14:textId="77777777" w:rsidR="00B124B1" w:rsidRPr="00A6685E" w:rsidRDefault="00B124B1" w:rsidP="007D2F65">
      <w:pPr>
        <w:ind w:left="360"/>
      </w:pPr>
      <w:r w:rsidRPr="00A6685E">
        <w:t>Confirmatory trial data (as identified in the sponsor’s plan to submit comprehensive clinical data on the safety and efficacy of the medicine before the end of the 6 years that would start on the day that registration would commence) must be provided. Specifically, the sponsor must:</w:t>
      </w:r>
    </w:p>
    <w:p w14:paraId="003954F6" w14:textId="77777777" w:rsidR="00B124B1" w:rsidRPr="00981121" w:rsidRDefault="00B124B1" w:rsidP="007D2F65">
      <w:pPr>
        <w:pStyle w:val="ListBullet"/>
        <w:ind w:left="720"/>
      </w:pPr>
      <w:r w:rsidRPr="00981121">
        <w:t>Conduct studies as described in the clinical study plan in version 3.0, dated February 2020, of the Australia-specific Annex;</w:t>
      </w:r>
    </w:p>
    <w:p w14:paraId="327D2088" w14:textId="77777777" w:rsidR="00B124B1" w:rsidRPr="00981121" w:rsidRDefault="00B124B1" w:rsidP="007D2F65">
      <w:pPr>
        <w:pStyle w:val="ListBullet"/>
        <w:ind w:left="720"/>
      </w:pPr>
      <w:r w:rsidRPr="00981121">
        <w:t>Submit, by June 2021, a final report for the group of 54 patients whose data supported initial registration of the NTRK solid tumour indication, with at least 2 years of follow-up from onset of response or until disease progression, whichever came first;</w:t>
      </w:r>
    </w:p>
    <w:p w14:paraId="0555DFF9" w14:textId="77777777" w:rsidR="00B124B1" w:rsidRPr="00981121" w:rsidRDefault="00B124B1" w:rsidP="007D2F65">
      <w:pPr>
        <w:pStyle w:val="ListBullet"/>
        <w:ind w:left="720"/>
      </w:pPr>
      <w:r w:rsidRPr="009B407B">
        <w:t>Submit annual interim progress reports (recruitment status) and interim clinical study reports incorporating data f</w:t>
      </w:r>
      <w:r w:rsidRPr="000422AA">
        <w:t>or patients with NTRK fusion-positive solid tumours enrolled across the</w:t>
      </w:r>
      <w:r w:rsidRPr="00981121">
        <w:t xml:space="preserve"> ALKA, STARTRK-1 and STARTRK-2 trials, with minimum follow-up of 12 months from onset of response for responders, and requiring:</w:t>
      </w:r>
    </w:p>
    <w:p w14:paraId="4A7DF7CC" w14:textId="0B399C17" w:rsidR="00B124B1" w:rsidRPr="00981121" w:rsidRDefault="00B124B1" w:rsidP="007D2F65">
      <w:pPr>
        <w:pStyle w:val="ListBullet2"/>
        <w:ind w:left="1080"/>
      </w:pPr>
      <w:r w:rsidRPr="00981121">
        <w:t>A sufficient number of patients to provide more precise estimates of response rates and durability for paediatric solid tumo</w:t>
      </w:r>
      <w:r w:rsidR="00A965A6">
        <w:t>u</w:t>
      </w:r>
      <w:r w:rsidRPr="00981121">
        <w:t>rs, colorectal cancer, CNS system cancers, gyn</w:t>
      </w:r>
      <w:r w:rsidR="00A965A6">
        <w:t>a</w:t>
      </w:r>
      <w:r w:rsidRPr="00981121">
        <w:t>ecological cancers, and melanoma; and</w:t>
      </w:r>
    </w:p>
    <w:p w14:paraId="5D982A9E" w14:textId="77777777" w:rsidR="00B124B1" w:rsidRPr="00981121" w:rsidRDefault="00B124B1" w:rsidP="007D2F65">
      <w:pPr>
        <w:pStyle w:val="ListBullet2"/>
        <w:ind w:left="1080"/>
      </w:pPr>
      <w:r w:rsidRPr="00981121">
        <w:t>A minimum of 40 patients with cancers other than the above, and other than soft tissue sarcoma, non-small cell adenocarcinoma lung cancer, mammary analogue secretory carcinoma, and secretory breast cancer.</w:t>
      </w:r>
    </w:p>
    <w:p w14:paraId="31A7E39D" w14:textId="77777777" w:rsidR="00B124B1" w:rsidRPr="00A6685E" w:rsidRDefault="00B124B1" w:rsidP="007D2F65">
      <w:pPr>
        <w:pStyle w:val="ListBullet"/>
        <w:ind w:left="720"/>
      </w:pPr>
      <w:r w:rsidRPr="00A6685E">
        <w:t>Submission of an interim clinical s</w:t>
      </w:r>
      <w:r>
        <w:t>tudy report is expected by 2024</w:t>
      </w:r>
    </w:p>
    <w:p w14:paraId="10D3CD50" w14:textId="77777777" w:rsidR="00B124B1" w:rsidRPr="005C6BEB" w:rsidRDefault="00B124B1" w:rsidP="00B124B1">
      <w:pPr>
        <w:pStyle w:val="Heading6"/>
        <w:rPr>
          <w:lang w:val="en-US"/>
        </w:rPr>
      </w:pPr>
      <w:r>
        <w:rPr>
          <w:lang w:val="en-US"/>
        </w:rPr>
        <w:lastRenderedPageBreak/>
        <w:t>Additional conditions for submission</w:t>
      </w:r>
      <w:r w:rsidRPr="005C6BEB">
        <w:t xml:space="preserve"> </w:t>
      </w:r>
      <w:r w:rsidRPr="005C6BEB">
        <w:rPr>
          <w:lang w:val="en-US"/>
        </w:rPr>
        <w:t>PM-2019-0180</w:t>
      </w:r>
      <w:r>
        <w:rPr>
          <w:lang w:val="en-US"/>
        </w:rPr>
        <w:t>8</w:t>
      </w:r>
      <w:r w:rsidRPr="005C6BEB">
        <w:rPr>
          <w:lang w:val="en-US"/>
        </w:rPr>
        <w:t>-1-4</w:t>
      </w:r>
    </w:p>
    <w:p w14:paraId="28783049" w14:textId="31D83430" w:rsidR="00B124B1" w:rsidRDefault="00981121" w:rsidP="00B124B1">
      <w:pPr>
        <w:rPr>
          <w:lang w:val="en-US"/>
        </w:rPr>
      </w:pPr>
      <w:r>
        <w:rPr>
          <w:lang w:val="en-US"/>
        </w:rPr>
        <w:t>The D</w:t>
      </w:r>
      <w:r w:rsidR="00B124B1">
        <w:rPr>
          <w:lang w:val="en-US"/>
        </w:rPr>
        <w:t xml:space="preserve">elegate proposes the following additional conditions of registration for the ROS1 indication only (submission </w:t>
      </w:r>
      <w:r w:rsidR="00B124B1">
        <w:rPr>
          <w:rFonts w:asciiTheme="minorHAnsi" w:hAnsiTheme="minorHAnsi" w:cs="Calibri"/>
        </w:rPr>
        <w:t>PM-2019-01808</w:t>
      </w:r>
      <w:r w:rsidR="00B124B1" w:rsidRPr="009C0CE3">
        <w:rPr>
          <w:rFonts w:asciiTheme="minorHAnsi" w:hAnsiTheme="minorHAnsi" w:cs="Calibri"/>
        </w:rPr>
        <w:t>-1-4</w:t>
      </w:r>
      <w:r w:rsidR="00B124B1">
        <w:rPr>
          <w:lang w:val="en-US"/>
        </w:rPr>
        <w:t>):</w:t>
      </w:r>
    </w:p>
    <w:p w14:paraId="25E1192B" w14:textId="77777777" w:rsidR="00B124B1" w:rsidRDefault="00B124B1" w:rsidP="007D2F65">
      <w:pPr>
        <w:ind w:left="360"/>
        <w:rPr>
          <w:lang w:val="en-US"/>
        </w:rPr>
      </w:pPr>
      <w:r w:rsidRPr="00703E44">
        <w:rPr>
          <w:lang w:val="en-US"/>
        </w:rPr>
        <w:t xml:space="preserve">The </w:t>
      </w:r>
      <w:r>
        <w:rPr>
          <w:lang w:val="en-US"/>
        </w:rPr>
        <w:t>sponsor</w:t>
      </w:r>
      <w:r w:rsidRPr="00703E44">
        <w:rPr>
          <w:lang w:val="en-US"/>
        </w:rPr>
        <w:t xml:space="preserve"> must submit to TGA all of the same reports that are submitted to the FDA in fulfilling their </w:t>
      </w:r>
      <w:proofErr w:type="spellStart"/>
      <w:r w:rsidRPr="00703E44">
        <w:rPr>
          <w:lang w:val="en-US"/>
        </w:rPr>
        <w:t>postmarket</w:t>
      </w:r>
      <w:proofErr w:type="spellEnd"/>
      <w:r w:rsidRPr="00703E44">
        <w:rPr>
          <w:lang w:val="en-US"/>
        </w:rPr>
        <w:t xml:space="preserve"> requirements and commitments relevant to the </w:t>
      </w:r>
      <w:r>
        <w:rPr>
          <w:lang w:val="en-US"/>
        </w:rPr>
        <w:t xml:space="preserve">FDA </w:t>
      </w:r>
      <w:r w:rsidRPr="00703E44">
        <w:rPr>
          <w:lang w:val="en-US"/>
        </w:rPr>
        <w:t xml:space="preserve">registration of entrectinib for </w:t>
      </w:r>
      <w:r w:rsidRPr="007B0C16">
        <w:rPr>
          <w:i/>
          <w:lang w:val="en-US"/>
        </w:rPr>
        <w:t>ROS1</w:t>
      </w:r>
      <w:r w:rsidRPr="00703E44">
        <w:rPr>
          <w:lang w:val="en-US"/>
        </w:rPr>
        <w:t xml:space="preserve">-positive </w:t>
      </w:r>
      <w:r>
        <w:rPr>
          <w:lang w:val="en-US"/>
        </w:rPr>
        <w:t>NSCLC</w:t>
      </w:r>
      <w:r w:rsidRPr="00703E44">
        <w:rPr>
          <w:lang w:val="en-US"/>
        </w:rPr>
        <w:t xml:space="preserve">. The </w:t>
      </w:r>
      <w:r>
        <w:rPr>
          <w:lang w:val="en-US"/>
        </w:rPr>
        <w:t>reports are expected to include</w:t>
      </w:r>
      <w:r w:rsidRPr="00703E44">
        <w:rPr>
          <w:lang w:val="en-US"/>
        </w:rPr>
        <w:t>:</w:t>
      </w:r>
    </w:p>
    <w:p w14:paraId="478F4663" w14:textId="77777777" w:rsidR="00B124B1" w:rsidRPr="007D2F65" w:rsidRDefault="00B124B1" w:rsidP="007D2F65">
      <w:pPr>
        <w:pStyle w:val="ListBullet"/>
        <w:ind w:left="720"/>
      </w:pPr>
      <w:r w:rsidRPr="007D2F65">
        <w:t xml:space="preserve">Analytical and clinical validation of a companion diagnostic device to detect </w:t>
      </w:r>
      <w:r w:rsidRPr="007B0C16">
        <w:rPr>
          <w:i/>
        </w:rPr>
        <w:t>ROS1</w:t>
      </w:r>
      <w:r w:rsidRPr="007D2F65">
        <w:t xml:space="preserve"> rearrangements for the identification of patients who may benefit from entrectinib (submission expected during 2020)</w:t>
      </w:r>
    </w:p>
    <w:p w14:paraId="5E8C0D8B" w14:textId="77777777" w:rsidR="00B124B1" w:rsidRPr="007D2F65" w:rsidRDefault="00B124B1" w:rsidP="007D2F65">
      <w:pPr>
        <w:pStyle w:val="ListBullet"/>
        <w:ind w:left="720"/>
      </w:pPr>
      <w:r w:rsidRPr="007D2F65">
        <w:t>A study of off-target activation or inhibition by entrectinib including receptors involved in suicidal ideation (submission expected September 2020)</w:t>
      </w:r>
    </w:p>
    <w:p w14:paraId="3DF07592" w14:textId="3AA0821B" w:rsidR="00B124B1" w:rsidRPr="007D2F65" w:rsidRDefault="00B124B1" w:rsidP="007D2F65">
      <w:pPr>
        <w:pStyle w:val="ListBullet"/>
        <w:ind w:left="720"/>
      </w:pPr>
      <w:r w:rsidRPr="007D2F65">
        <w:t xml:space="preserve">A final report characterising response rates and duration of responses in a group of at least 92 patients with </w:t>
      </w:r>
      <w:r w:rsidRPr="007B0C16">
        <w:rPr>
          <w:i/>
        </w:rPr>
        <w:t>ROS1</w:t>
      </w:r>
      <w:r w:rsidRPr="007D2F65">
        <w:t>-positive NSCLC enrolled across ALKA, STARTRK</w:t>
      </w:r>
      <w:r w:rsidR="00A965A6">
        <w:noBreakHyphen/>
      </w:r>
      <w:r w:rsidRPr="007D2F65">
        <w:t>1 and STARTRK-2 trials, including the 51 patients whose data supported initial registration of the ROS1-positive NSCLC indication, once all responders have been followed for at least 18 months from the date of initial response (submission expected June 2021)</w:t>
      </w:r>
    </w:p>
    <w:p w14:paraId="4CDB4757" w14:textId="77777777" w:rsidR="00B124B1" w:rsidRPr="007D2F65" w:rsidRDefault="00B124B1" w:rsidP="007D2F65">
      <w:pPr>
        <w:pStyle w:val="ListBullet"/>
        <w:ind w:left="720"/>
      </w:pPr>
      <w:r w:rsidRPr="007D2F65">
        <w:t>A study of the effect of moderate and severe hepatic impairment on the pharmacokinetics and safety of entrectinib (submission expected December 2021)</w:t>
      </w:r>
    </w:p>
    <w:p w14:paraId="134CC4A0" w14:textId="77777777" w:rsidR="00B124B1" w:rsidRPr="007D2F65" w:rsidRDefault="00B124B1" w:rsidP="007D2F65">
      <w:pPr>
        <w:pStyle w:val="ListBullet"/>
        <w:ind w:left="720"/>
      </w:pPr>
      <w:r w:rsidRPr="007D2F65">
        <w:t>A study of cardiac risks and sequelae (submission expected June 2022)</w:t>
      </w:r>
    </w:p>
    <w:p w14:paraId="031FF6CF" w14:textId="28ED4B56" w:rsidR="00B124B1" w:rsidRPr="007D2F65" w:rsidRDefault="00B124B1" w:rsidP="007D2F65">
      <w:pPr>
        <w:pStyle w:val="ListBullet"/>
        <w:ind w:left="720"/>
      </w:pPr>
      <w:r w:rsidRPr="007D2F65">
        <w:t>A study of fracture risks and sequelae (submission expected March 2025)</w:t>
      </w:r>
      <w:r w:rsidR="00A965A6">
        <w:t>.</w:t>
      </w:r>
    </w:p>
    <w:p w14:paraId="7C4C1E04" w14:textId="77777777" w:rsidR="00B124B1" w:rsidRDefault="00B124B1" w:rsidP="00B124B1">
      <w:pPr>
        <w:pStyle w:val="Heading6"/>
        <w:rPr>
          <w:lang w:val="en-US"/>
        </w:rPr>
      </w:pPr>
      <w:r>
        <w:rPr>
          <w:lang w:val="en-US"/>
        </w:rPr>
        <w:t>Additional conditions for submission</w:t>
      </w:r>
      <w:r w:rsidRPr="005C6BEB">
        <w:t xml:space="preserve"> </w:t>
      </w:r>
      <w:r w:rsidRPr="005C6BEB">
        <w:rPr>
          <w:lang w:val="en-US"/>
        </w:rPr>
        <w:t>PM-2019-01809-1-4</w:t>
      </w:r>
    </w:p>
    <w:p w14:paraId="0F286FDA" w14:textId="1B4D0B83" w:rsidR="00B124B1" w:rsidRDefault="00E42AC9" w:rsidP="00B124B1">
      <w:pPr>
        <w:rPr>
          <w:lang w:val="en-US"/>
        </w:rPr>
      </w:pPr>
      <w:r>
        <w:rPr>
          <w:lang w:val="en-US"/>
        </w:rPr>
        <w:t>The D</w:t>
      </w:r>
      <w:r w:rsidR="00B124B1">
        <w:rPr>
          <w:lang w:val="en-US"/>
        </w:rPr>
        <w:t xml:space="preserve">elegate proposes the following additional conditions of registration for the NTRK indication only (submission </w:t>
      </w:r>
      <w:r w:rsidR="00B124B1" w:rsidRPr="009C0CE3">
        <w:rPr>
          <w:rFonts w:asciiTheme="minorHAnsi" w:hAnsiTheme="minorHAnsi" w:cs="Calibri"/>
        </w:rPr>
        <w:t>PM-2019-01809-1-4</w:t>
      </w:r>
      <w:r w:rsidR="00B124B1">
        <w:rPr>
          <w:lang w:val="en-US"/>
        </w:rPr>
        <w:t>):</w:t>
      </w:r>
    </w:p>
    <w:p w14:paraId="1D57B412" w14:textId="77777777" w:rsidR="00B124B1" w:rsidRDefault="00B124B1" w:rsidP="00B124B1">
      <w:pPr>
        <w:rPr>
          <w:lang w:val="en-US"/>
        </w:rPr>
      </w:pPr>
      <w:r w:rsidRPr="00703E44">
        <w:rPr>
          <w:lang w:val="en-US"/>
        </w:rPr>
        <w:t xml:space="preserve">The </w:t>
      </w:r>
      <w:r>
        <w:rPr>
          <w:lang w:val="en-US"/>
        </w:rPr>
        <w:t>sponsor</w:t>
      </w:r>
      <w:r w:rsidRPr="00703E44">
        <w:rPr>
          <w:lang w:val="en-US"/>
        </w:rPr>
        <w:t xml:space="preserve"> must submit to TGA all of the same reports that are submitted to the FDA in fulfilling their </w:t>
      </w:r>
      <w:proofErr w:type="spellStart"/>
      <w:r w:rsidRPr="00703E44">
        <w:rPr>
          <w:lang w:val="en-US"/>
        </w:rPr>
        <w:t>postmarket</w:t>
      </w:r>
      <w:proofErr w:type="spellEnd"/>
      <w:r w:rsidRPr="00703E44">
        <w:rPr>
          <w:lang w:val="en-US"/>
        </w:rPr>
        <w:t xml:space="preserve"> requirements and commitments relevant to the</w:t>
      </w:r>
      <w:r>
        <w:rPr>
          <w:lang w:val="en-US"/>
        </w:rPr>
        <w:t xml:space="preserve"> FDA</w:t>
      </w:r>
      <w:r w:rsidRPr="00703E44">
        <w:rPr>
          <w:lang w:val="en-US"/>
        </w:rPr>
        <w:t xml:space="preserve"> registration of entrectinib for </w:t>
      </w:r>
      <w:r w:rsidRPr="007B0C16">
        <w:rPr>
          <w:i/>
          <w:lang w:val="en-US"/>
        </w:rPr>
        <w:t>NTRK</w:t>
      </w:r>
      <w:r w:rsidRPr="00703E44">
        <w:rPr>
          <w:lang w:val="en-US"/>
        </w:rPr>
        <w:t xml:space="preserve">-positive solid </w:t>
      </w:r>
      <w:proofErr w:type="spellStart"/>
      <w:r w:rsidRPr="00703E44">
        <w:rPr>
          <w:lang w:val="en-US"/>
        </w:rPr>
        <w:t>tumours</w:t>
      </w:r>
      <w:proofErr w:type="spellEnd"/>
      <w:r w:rsidRPr="00703E44">
        <w:rPr>
          <w:lang w:val="en-US"/>
        </w:rPr>
        <w:t xml:space="preserve">. The </w:t>
      </w:r>
      <w:r>
        <w:rPr>
          <w:lang w:val="en-US"/>
        </w:rPr>
        <w:t>reports are expected to include</w:t>
      </w:r>
      <w:r w:rsidRPr="00703E44">
        <w:rPr>
          <w:lang w:val="en-US"/>
        </w:rPr>
        <w:t>:</w:t>
      </w:r>
    </w:p>
    <w:p w14:paraId="48A3E105" w14:textId="77777777" w:rsidR="00B124B1" w:rsidRPr="007D2F65" w:rsidRDefault="00B124B1" w:rsidP="007D2F65">
      <w:pPr>
        <w:pStyle w:val="ListBullet"/>
      </w:pPr>
      <w:r w:rsidRPr="007D2F65">
        <w:t xml:space="preserve">Analytical and clinical validation of a companion diagnostic device to detect </w:t>
      </w:r>
      <w:r w:rsidRPr="007B0C16">
        <w:rPr>
          <w:i/>
        </w:rPr>
        <w:t>NTRK</w:t>
      </w:r>
      <w:r w:rsidRPr="007D2F65">
        <w:t xml:space="preserve"> rearrangements for the identification of </w:t>
      </w:r>
      <w:r w:rsidRPr="00E42AC9">
        <w:t>patients who may benefit from entrectinib</w:t>
      </w:r>
      <w:r w:rsidRPr="007D2F65">
        <w:t xml:space="preserve"> (submission expected during 2020)</w:t>
      </w:r>
    </w:p>
    <w:p w14:paraId="51FC456C" w14:textId="77777777" w:rsidR="00B124B1" w:rsidRPr="007D2F65" w:rsidRDefault="00B124B1" w:rsidP="007D2F65">
      <w:pPr>
        <w:pStyle w:val="ListBullet"/>
      </w:pPr>
      <w:r w:rsidRPr="007D2F65">
        <w:t>A study of off target activation or inhibition by entrectinib including receptors involved in suicidal ideation (submission expected September 2020)</w:t>
      </w:r>
    </w:p>
    <w:p w14:paraId="56001A72" w14:textId="77777777" w:rsidR="00B124B1" w:rsidRPr="007D2F65" w:rsidRDefault="00B124B1" w:rsidP="007D2F65">
      <w:pPr>
        <w:pStyle w:val="ListBullet"/>
      </w:pPr>
      <w:r w:rsidRPr="007D2F65">
        <w:t>A study of the effect of moderate and severe hepatic impairment on the pharmacokinetics and safety of entrectinib (submission expected December 2021)</w:t>
      </w:r>
    </w:p>
    <w:p w14:paraId="5D037BED" w14:textId="77777777" w:rsidR="00B124B1" w:rsidRPr="007D2F65" w:rsidRDefault="00B124B1" w:rsidP="007D2F65">
      <w:pPr>
        <w:pStyle w:val="ListBullet"/>
      </w:pPr>
      <w:r w:rsidRPr="007D2F65">
        <w:t>A study of cardiac risks and sequelae (submission expected June 2022)</w:t>
      </w:r>
    </w:p>
    <w:p w14:paraId="69B61E3E" w14:textId="77777777" w:rsidR="00B124B1" w:rsidRPr="007D2F65" w:rsidRDefault="00B124B1" w:rsidP="007D2F65">
      <w:pPr>
        <w:pStyle w:val="ListBullet"/>
      </w:pPr>
      <w:r w:rsidRPr="007D2F65">
        <w:t>A study of fracture risks and sequelae (submission expected March 2025)</w:t>
      </w:r>
    </w:p>
    <w:p w14:paraId="0AB326FD" w14:textId="77777777" w:rsidR="00B124B1" w:rsidRPr="007D2F65" w:rsidRDefault="00B124B1" w:rsidP="007D2F65">
      <w:pPr>
        <w:pStyle w:val="ListBullet"/>
      </w:pPr>
      <w:r w:rsidRPr="007D2F65">
        <w:t xml:space="preserve">A final clinical study report incorporating data for patients with </w:t>
      </w:r>
      <w:r w:rsidRPr="007B0C16">
        <w:rPr>
          <w:i/>
        </w:rPr>
        <w:t>NTRK</w:t>
      </w:r>
      <w:r w:rsidRPr="007D2F65">
        <w:t xml:space="preserve"> fusion-positive solid tumours enrolled across the ALKA, STARTRK-1 and STARTRK-2 trials, with minimum follow-up of 12 months from onset of response for responders, and requiring:</w:t>
      </w:r>
    </w:p>
    <w:p w14:paraId="15EB720F" w14:textId="0E4FDAC3" w:rsidR="00B124B1" w:rsidRPr="007D2F65" w:rsidRDefault="00B124B1" w:rsidP="007D2F65">
      <w:pPr>
        <w:pStyle w:val="ListBullet2"/>
      </w:pPr>
      <w:r w:rsidRPr="007D2F65">
        <w:t>A sufficient number of patients to provide more precise estimates of response rates and durability for paediatric solid tumo</w:t>
      </w:r>
      <w:r w:rsidR="00A965A6">
        <w:t>ur</w:t>
      </w:r>
      <w:r w:rsidRPr="007D2F65">
        <w:t>s, colorectal cancer, CNS system cancers, gyn</w:t>
      </w:r>
      <w:r w:rsidR="00A965A6">
        <w:t>a</w:t>
      </w:r>
      <w:r w:rsidRPr="007D2F65">
        <w:t>ecological cancers, and melanoma; and</w:t>
      </w:r>
    </w:p>
    <w:p w14:paraId="04835B21" w14:textId="77777777" w:rsidR="00B124B1" w:rsidRPr="007D2F65" w:rsidRDefault="00B124B1" w:rsidP="007D2F65">
      <w:pPr>
        <w:pStyle w:val="ListBullet2"/>
      </w:pPr>
      <w:r w:rsidRPr="007D2F65">
        <w:lastRenderedPageBreak/>
        <w:t>A minimum of 40 patients with cancers other than the above, and other than soft tissue sarcoma, non-small cell adenocarcinoma lung cancer, mammary analogue secretory carcinoma, and secretory breast cancer.</w:t>
      </w:r>
    </w:p>
    <w:p w14:paraId="3E4BC4E0" w14:textId="77777777" w:rsidR="00B124B1" w:rsidRDefault="00B124B1" w:rsidP="007D2F65">
      <w:pPr>
        <w:pStyle w:val="ListBullet"/>
        <w:numPr>
          <w:ilvl w:val="0"/>
          <w:numId w:val="0"/>
        </w:numPr>
        <w:ind w:left="360"/>
        <w:rPr>
          <w:lang w:val="en-US"/>
        </w:rPr>
      </w:pPr>
      <w:r>
        <w:rPr>
          <w:lang w:val="en-US"/>
        </w:rPr>
        <w:t>(submission expected March 2027)</w:t>
      </w:r>
    </w:p>
    <w:p w14:paraId="25A8A6E2" w14:textId="091C43CC" w:rsidR="00B124B1" w:rsidRPr="00E42AC9" w:rsidRDefault="00B124B1" w:rsidP="007D2F65">
      <w:pPr>
        <w:pStyle w:val="ListBullet"/>
      </w:pPr>
      <w:r w:rsidRPr="007D2F65">
        <w:t>A study of longer term effects of entrectinib on growth and development in paediatric patients 12 years of age and older (submission expected August 2029).</w:t>
      </w:r>
    </w:p>
    <w:p w14:paraId="0ADCAC1B" w14:textId="77777777" w:rsidR="00D23139" w:rsidRDefault="00D23139" w:rsidP="00D23139">
      <w:pPr>
        <w:pStyle w:val="Heading4"/>
      </w:pPr>
      <w:r w:rsidRPr="00464396">
        <w:t>Proposed action</w:t>
      </w:r>
    </w:p>
    <w:p w14:paraId="1E35B18F" w14:textId="1B91A707" w:rsidR="005758B2" w:rsidRDefault="005758B2" w:rsidP="005758B2">
      <w:pPr>
        <w:pStyle w:val="Heading5"/>
      </w:pPr>
      <w:r>
        <w:t xml:space="preserve">ROS1 fusion-positive </w:t>
      </w:r>
      <w:r w:rsidR="00E42AC9">
        <w:t>non-small cell lung cancer</w:t>
      </w:r>
    </w:p>
    <w:p w14:paraId="4EC340E7" w14:textId="1E4136C9" w:rsidR="00456765" w:rsidRDefault="005B75C5" w:rsidP="005B75C5">
      <w:r w:rsidRPr="005B75C5">
        <w:t xml:space="preserve">The benefit-risk balance for the proposed usage is considered favourable for the purposes of Australian registration. The durable responses observed with entrectinib treatment in </w:t>
      </w:r>
      <w:r w:rsidRPr="007B0C16">
        <w:rPr>
          <w:i/>
        </w:rPr>
        <w:t>ROS1</w:t>
      </w:r>
      <w:r w:rsidRPr="005B75C5">
        <w:t xml:space="preserve"> fusion-positive NSCLC, in context of the morbidity and mortality associated with this disease and alternative treatments, are likely to make treatment with entrectinib acceptable to patients, despite the serious risks. The lack of randomised dat</w:t>
      </w:r>
      <w:r w:rsidR="004F58A2">
        <w:t xml:space="preserve">a to support assessment of time to </w:t>
      </w:r>
      <w:r w:rsidRPr="005B75C5">
        <w:t>resp</w:t>
      </w:r>
      <w:r w:rsidR="004F58A2">
        <w:t xml:space="preserve">onse endpoints and provide head to </w:t>
      </w:r>
      <w:r w:rsidRPr="005B75C5">
        <w:t>head comparison is acceptable due to the rarity of the condition and therefore infeasibility of randomised trials.</w:t>
      </w:r>
    </w:p>
    <w:p w14:paraId="2DF59D43" w14:textId="3DC16EEA" w:rsidR="005758B2" w:rsidRPr="00C23E64" w:rsidRDefault="00E42AC9" w:rsidP="005758B2">
      <w:pPr>
        <w:pStyle w:val="Heading5"/>
      </w:pPr>
      <w:r w:rsidRPr="00C23E64">
        <w:t>Neurotrophic tropomyosin receptor kinase</w:t>
      </w:r>
      <w:r w:rsidR="005758B2" w:rsidRPr="00C23E64">
        <w:t xml:space="preserve"> fusion-positive solid tumours</w:t>
      </w:r>
    </w:p>
    <w:p w14:paraId="77DE40B7" w14:textId="65E235EF" w:rsidR="005758B2" w:rsidRDefault="005758B2" w:rsidP="005758B2">
      <w:r>
        <w:t xml:space="preserve">The benefit-risk balance for the proposed usage is considered favourable for the purposes of Australian provisional registration. Durable responses have been observed with entrectinib treatment in this population of patients with </w:t>
      </w:r>
      <w:r w:rsidRPr="007B0C16">
        <w:rPr>
          <w:i/>
        </w:rPr>
        <w:t>NTRK</w:t>
      </w:r>
      <w:r>
        <w:t xml:space="preserve"> fusion-positive solid tumours who have refractory disease or no acceptable therapeutic options and no concurrent alternative driver mutation that may confer resistance. In context of the morbidity and mortality associated with refractory cancer, the clinical benefit associated with durable response is likely to make treatment with entrectinib acceptable to patients, despite the serious risks. The lack of randomised dat</w:t>
      </w:r>
      <w:r w:rsidR="004F58A2">
        <w:t xml:space="preserve">a to support assessment of time to </w:t>
      </w:r>
      <w:r>
        <w:t xml:space="preserve">response endpoints is acceptable due to the rarity of the condition and therefore infeasibility of randomised trials. Uncertainty remains over the precision of the estimate of response rates and durability in specific </w:t>
      </w:r>
      <w:proofErr w:type="spellStart"/>
      <w:r>
        <w:t>histologies</w:t>
      </w:r>
      <w:proofErr w:type="spellEnd"/>
      <w:r>
        <w:t>, as well as usage in paediatric patients.</w:t>
      </w:r>
    </w:p>
    <w:p w14:paraId="05820A86" w14:textId="2465AF88" w:rsidR="005758B2" w:rsidRPr="00456765" w:rsidRDefault="005758B2" w:rsidP="005758B2">
      <w:r>
        <w:t xml:space="preserve">Due to a paucity of suitable paediatric data and the failure of </w:t>
      </w:r>
      <w:proofErr w:type="spellStart"/>
      <w:r>
        <w:t>allometric</w:t>
      </w:r>
      <w:proofErr w:type="spellEnd"/>
      <w:r>
        <w:t xml:space="preserve"> scaling using a fixed exponent of 0.75 to adequately predict observed exposure in adult and adolescent patients, a safe and effective dose couldn’t be established, and safety and efficacy for the intended use could not be established for paediatric patients under the age of 12.</w:t>
      </w:r>
    </w:p>
    <w:p w14:paraId="62573AA0"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40"/>
      </w:r>
    </w:p>
    <w:p w14:paraId="5A5FFA3D" w14:textId="77777777" w:rsidR="007D53B6" w:rsidRPr="007D53B6" w:rsidRDefault="007D53B6" w:rsidP="007D53B6">
      <w:r w:rsidRPr="007D53B6">
        <w:t>The Delegate did not refer this application to the Advisory Committee on Medicines (ACM) for advice.</w:t>
      </w:r>
    </w:p>
    <w:p w14:paraId="0D12DD05" w14:textId="77777777" w:rsidR="008E7846" w:rsidRPr="002E238E" w:rsidRDefault="008E7846" w:rsidP="008E7846">
      <w:pPr>
        <w:pStyle w:val="Heading3"/>
      </w:pPr>
      <w:bookmarkStart w:id="89" w:name="_Toc247691532"/>
      <w:bookmarkStart w:id="90" w:name="_Toc314842516"/>
      <w:bookmarkStart w:id="91" w:name="_Toc52891260"/>
      <w:bookmarkEnd w:id="34"/>
      <w:bookmarkEnd w:id="86"/>
      <w:bookmarkEnd w:id="87"/>
      <w:r>
        <w:lastRenderedPageBreak/>
        <w:t>Outcome</w:t>
      </w:r>
      <w:bookmarkEnd w:id="89"/>
      <w:bookmarkEnd w:id="90"/>
      <w:bookmarkEnd w:id="91"/>
    </w:p>
    <w:p w14:paraId="629688AC" w14:textId="7D15826F" w:rsidR="00DA7987" w:rsidRDefault="003B4018" w:rsidP="003B4018">
      <w:pPr>
        <w:pStyle w:val="Heading4"/>
        <w:rPr>
          <w:lang w:eastAsia="en-AU"/>
        </w:rPr>
      </w:pPr>
      <w:bookmarkStart w:id="92" w:name="_Toc247691533"/>
      <w:bookmarkStart w:id="93" w:name="_Toc314842517"/>
      <w:r>
        <w:rPr>
          <w:lang w:eastAsia="en-AU"/>
        </w:rPr>
        <w:t xml:space="preserve">Submission </w:t>
      </w:r>
      <w:r w:rsidRPr="00E92999">
        <w:t>PM-2019-01808-1-4</w:t>
      </w:r>
      <w:r>
        <w:t xml:space="preserve"> (non-small cell lung cancer indication)</w:t>
      </w:r>
    </w:p>
    <w:p w14:paraId="27B5C0F1" w14:textId="661DA4F4" w:rsidR="007D53B6" w:rsidRDefault="007D53B6" w:rsidP="007D53B6">
      <w:r>
        <w:t xml:space="preserve">Based on a review of quality, safety and efficacy, </w:t>
      </w:r>
      <w:r w:rsidR="00E42AC9">
        <w:t xml:space="preserve">the </w:t>
      </w:r>
      <w:r>
        <w:t>TGA approved the registra</w:t>
      </w:r>
      <w:r w:rsidR="00202362">
        <w:t xml:space="preserve">tion of Rozlytrek </w:t>
      </w:r>
      <w:r w:rsidR="003B4018">
        <w:t>(</w:t>
      </w:r>
      <w:r w:rsidR="00202362">
        <w:t>entrectinib</w:t>
      </w:r>
      <w:r w:rsidR="003B4018">
        <w:t xml:space="preserve">) </w:t>
      </w:r>
      <w:r w:rsidR="00202362">
        <w:t>100</w:t>
      </w:r>
      <w:r w:rsidR="003B4018">
        <w:t xml:space="preserve"> </w:t>
      </w:r>
      <w:r w:rsidR="00202362">
        <w:t>mg and 200</w:t>
      </w:r>
      <w:r w:rsidR="003B4018">
        <w:t xml:space="preserve"> </w:t>
      </w:r>
      <w:r w:rsidR="00202362">
        <w:t>mg hard capsule</w:t>
      </w:r>
      <w:r w:rsidR="003B4018">
        <w:t>s</w:t>
      </w:r>
      <w:r w:rsidR="00202362">
        <w:t xml:space="preserve"> for oral</w:t>
      </w:r>
      <w:r w:rsidR="003B4018">
        <w:t xml:space="preserve"> administration, indicated for:</w:t>
      </w:r>
    </w:p>
    <w:p w14:paraId="26279590" w14:textId="586BD4CA" w:rsidR="003B4018" w:rsidRPr="003B4018" w:rsidRDefault="003B4018" w:rsidP="003B4018">
      <w:pPr>
        <w:ind w:left="720"/>
        <w:rPr>
          <w:i/>
        </w:rPr>
      </w:pPr>
      <w:r w:rsidRPr="003B4018">
        <w:rPr>
          <w:i/>
        </w:rPr>
        <w:t>Non-small cell lung cancer (NSCLC)</w:t>
      </w:r>
    </w:p>
    <w:p w14:paraId="0B210389" w14:textId="7A37C9BC" w:rsidR="008378FF" w:rsidRDefault="00202362" w:rsidP="003B4018">
      <w:pPr>
        <w:ind w:left="720"/>
        <w:rPr>
          <w:i/>
        </w:rPr>
      </w:pPr>
      <w:r w:rsidRPr="00202362">
        <w:rPr>
          <w:i/>
        </w:rPr>
        <w:t>Rozlytrek is indicated for the treatment of adult patients with advanced non-small cell lung cancer (NSCLC) whose tumours are ROS1-positive.</w:t>
      </w:r>
    </w:p>
    <w:p w14:paraId="49431F37" w14:textId="73F8867C" w:rsidR="003B4018" w:rsidRDefault="003B4018" w:rsidP="003B4018">
      <w:pPr>
        <w:pStyle w:val="Heading4"/>
      </w:pPr>
      <w:r>
        <w:t xml:space="preserve">Submission </w:t>
      </w:r>
      <w:r w:rsidRPr="009C0CE3">
        <w:t>PM-2019-01809-1-4</w:t>
      </w:r>
      <w:r>
        <w:t xml:space="preserve"> (solid tumour indication)</w:t>
      </w:r>
    </w:p>
    <w:p w14:paraId="204C322B" w14:textId="1BD7CBCD" w:rsidR="003B4018" w:rsidRDefault="003B4018" w:rsidP="003B4018">
      <w:r>
        <w:t xml:space="preserve">Based on a review of quality, safety and efficacy, </w:t>
      </w:r>
      <w:r w:rsidR="00E42AC9">
        <w:t xml:space="preserve">the </w:t>
      </w:r>
      <w:r>
        <w:t>TGA approved the provisional registration of Rozlytrek entrectinib for 100 mg and 200 mg hard capsule for oral administration, for the following extension of indications:</w:t>
      </w:r>
    </w:p>
    <w:p w14:paraId="0ECFD779" w14:textId="77777777" w:rsidR="003B4018" w:rsidRPr="007C4F56" w:rsidRDefault="003B4018" w:rsidP="003B4018">
      <w:pPr>
        <w:ind w:left="720"/>
        <w:rPr>
          <w:i/>
        </w:rPr>
      </w:pPr>
      <w:r w:rsidRPr="007C4F56">
        <w:rPr>
          <w:i/>
        </w:rPr>
        <w:t>Solid tumours</w:t>
      </w:r>
    </w:p>
    <w:p w14:paraId="568A0197" w14:textId="77777777" w:rsidR="003B4018" w:rsidRPr="007C4F56" w:rsidRDefault="003B4018" w:rsidP="003B4018">
      <w:pPr>
        <w:ind w:left="720"/>
        <w:rPr>
          <w:i/>
        </w:rPr>
      </w:pPr>
      <w:r w:rsidRPr="007C4F56">
        <w:rPr>
          <w:i/>
        </w:rPr>
        <w:t>Rozlytrek is indicated for the treatment of adult and paediatr</w:t>
      </w:r>
      <w:r>
        <w:rPr>
          <w:i/>
        </w:rPr>
        <w:t xml:space="preserve">ic patients 12 years of age and </w:t>
      </w:r>
      <w:r w:rsidRPr="007C4F56">
        <w:rPr>
          <w:i/>
        </w:rPr>
        <w:t>older with solid tumours that:</w:t>
      </w:r>
    </w:p>
    <w:p w14:paraId="076BE662" w14:textId="77777777" w:rsidR="003B4018" w:rsidRPr="007C4F56" w:rsidRDefault="003B4018" w:rsidP="003B4018">
      <w:pPr>
        <w:pStyle w:val="ListBullet"/>
        <w:numPr>
          <w:ilvl w:val="0"/>
          <w:numId w:val="1"/>
        </w:numPr>
        <w:ind w:left="1080"/>
        <w:rPr>
          <w:i/>
        </w:rPr>
      </w:pPr>
      <w:r w:rsidRPr="007C4F56">
        <w:rPr>
          <w:i/>
        </w:rPr>
        <w:t>have a neurotrophic tyrosine receptor kinase (NTRK) gene fusion without a known acquired resistance mutation,</w:t>
      </w:r>
    </w:p>
    <w:p w14:paraId="5171FFFD" w14:textId="77777777" w:rsidR="003B4018" w:rsidRPr="007C4F56" w:rsidRDefault="003B4018" w:rsidP="003B4018">
      <w:pPr>
        <w:pStyle w:val="ListBullet"/>
        <w:numPr>
          <w:ilvl w:val="0"/>
          <w:numId w:val="1"/>
        </w:numPr>
        <w:ind w:left="1080"/>
        <w:rPr>
          <w:i/>
        </w:rPr>
      </w:pPr>
      <w:r w:rsidRPr="007C4F56">
        <w:rPr>
          <w:i/>
        </w:rPr>
        <w:t>are metastatic or where surgical resection is likely to result in severe morbidity, and</w:t>
      </w:r>
    </w:p>
    <w:p w14:paraId="1D766434" w14:textId="77777777" w:rsidR="003B4018" w:rsidRPr="007C4F56" w:rsidRDefault="003B4018" w:rsidP="003B4018">
      <w:pPr>
        <w:pStyle w:val="ListBullet"/>
        <w:numPr>
          <w:ilvl w:val="0"/>
          <w:numId w:val="1"/>
        </w:numPr>
        <w:ind w:left="1080"/>
        <w:rPr>
          <w:i/>
        </w:rPr>
      </w:pPr>
      <w:r w:rsidRPr="007C4F56">
        <w:rPr>
          <w:i/>
        </w:rPr>
        <w:t>have either progressed following treatment or have no satisfactory alternative therapy.</w:t>
      </w:r>
    </w:p>
    <w:p w14:paraId="028C468E" w14:textId="6FA3FDC0" w:rsidR="003B4018" w:rsidRDefault="003B4018" w:rsidP="003B4018">
      <w:pPr>
        <w:ind w:left="720"/>
        <w:rPr>
          <w:i/>
        </w:rPr>
      </w:pPr>
      <w:r w:rsidRPr="007C4F56">
        <w:rPr>
          <w:i/>
        </w:rPr>
        <w:t>This indication was approved via the provisional appro</w:t>
      </w:r>
      <w:r>
        <w:rPr>
          <w:i/>
        </w:rPr>
        <w:t xml:space="preserve">val pathway, based on objective </w:t>
      </w:r>
      <w:r w:rsidRPr="007C4F56">
        <w:rPr>
          <w:i/>
        </w:rPr>
        <w:t>response rate and</w:t>
      </w:r>
      <w:r w:rsidR="004F58A2">
        <w:rPr>
          <w:i/>
        </w:rPr>
        <w:t xml:space="preserve"> duration of response in single </w:t>
      </w:r>
      <w:r w:rsidRPr="007C4F56">
        <w:rPr>
          <w:i/>
        </w:rPr>
        <w:t>arm trials. Full reg</w:t>
      </w:r>
      <w:r>
        <w:rPr>
          <w:i/>
        </w:rPr>
        <w:t xml:space="preserve">istration for this </w:t>
      </w:r>
      <w:r w:rsidRPr="007C4F56">
        <w:rPr>
          <w:i/>
        </w:rPr>
        <w:t>indication depends on verification and description of clinical benefit in confirmatory trials.</w:t>
      </w:r>
    </w:p>
    <w:p w14:paraId="677AA132" w14:textId="1E060EB0" w:rsidR="003B4018" w:rsidRDefault="003B4018" w:rsidP="003B4018">
      <w:r>
        <w:t>As such, the full indications at this time were:</w:t>
      </w:r>
    </w:p>
    <w:p w14:paraId="16E70AF7" w14:textId="77777777" w:rsidR="00FD1757" w:rsidRPr="00FD1757" w:rsidRDefault="00FD1757" w:rsidP="00FD1757">
      <w:pPr>
        <w:ind w:left="720"/>
        <w:rPr>
          <w:b/>
          <w:i/>
        </w:rPr>
      </w:pPr>
      <w:r w:rsidRPr="00FD1757">
        <w:rPr>
          <w:b/>
          <w:i/>
        </w:rPr>
        <w:t>Non-small cell lung cancer (NSCLC)</w:t>
      </w:r>
    </w:p>
    <w:p w14:paraId="389C7082" w14:textId="77777777" w:rsidR="00FD1757" w:rsidRDefault="00FD1757" w:rsidP="00FD1757">
      <w:pPr>
        <w:ind w:left="720"/>
        <w:rPr>
          <w:i/>
        </w:rPr>
      </w:pPr>
      <w:r w:rsidRPr="00202362">
        <w:rPr>
          <w:i/>
        </w:rPr>
        <w:t>Rozlytrek is indicated for the treatment of adult patients with advanced non-small cell lung cancer (NSCLC) whose tumours are ROS1-positive.</w:t>
      </w:r>
    </w:p>
    <w:p w14:paraId="2E9D4DB4" w14:textId="77777777" w:rsidR="00FD1757" w:rsidRPr="00FD1757" w:rsidRDefault="00FD1757" w:rsidP="00FD1757">
      <w:pPr>
        <w:ind w:left="720"/>
        <w:rPr>
          <w:b/>
          <w:i/>
        </w:rPr>
      </w:pPr>
      <w:r w:rsidRPr="00FD1757">
        <w:rPr>
          <w:b/>
          <w:i/>
        </w:rPr>
        <w:t>Solid tumours</w:t>
      </w:r>
    </w:p>
    <w:p w14:paraId="63BAAF28" w14:textId="77777777" w:rsidR="00FD1757" w:rsidRPr="007C4F56" w:rsidRDefault="00FD1757" w:rsidP="00FD1757">
      <w:pPr>
        <w:ind w:left="720"/>
        <w:rPr>
          <w:i/>
        </w:rPr>
      </w:pPr>
      <w:r w:rsidRPr="007C4F56">
        <w:rPr>
          <w:i/>
        </w:rPr>
        <w:t>Rozlytrek is indicated for the treatment of adult and paediatr</w:t>
      </w:r>
      <w:r>
        <w:rPr>
          <w:i/>
        </w:rPr>
        <w:t xml:space="preserve">ic patients 12 years of age and </w:t>
      </w:r>
      <w:r w:rsidRPr="007C4F56">
        <w:rPr>
          <w:i/>
        </w:rPr>
        <w:t>older with solid tumours that:</w:t>
      </w:r>
    </w:p>
    <w:p w14:paraId="0BDE774A" w14:textId="77777777" w:rsidR="00FD1757" w:rsidRPr="007C4F56" w:rsidRDefault="00FD1757" w:rsidP="00FD1757">
      <w:pPr>
        <w:pStyle w:val="ListBullet"/>
        <w:numPr>
          <w:ilvl w:val="0"/>
          <w:numId w:val="1"/>
        </w:numPr>
        <w:ind w:left="1080"/>
        <w:rPr>
          <w:i/>
        </w:rPr>
      </w:pPr>
      <w:r w:rsidRPr="007C4F56">
        <w:rPr>
          <w:i/>
        </w:rPr>
        <w:t>have a neurotrophic tyrosine receptor kinase (NTRK) gene fusion without a known acquired resistance mutation,</w:t>
      </w:r>
    </w:p>
    <w:p w14:paraId="7092F89E" w14:textId="77777777" w:rsidR="00FD1757" w:rsidRPr="007C4F56" w:rsidRDefault="00FD1757" w:rsidP="00FD1757">
      <w:pPr>
        <w:pStyle w:val="ListBullet"/>
        <w:numPr>
          <w:ilvl w:val="0"/>
          <w:numId w:val="1"/>
        </w:numPr>
        <w:ind w:left="1080"/>
        <w:rPr>
          <w:i/>
        </w:rPr>
      </w:pPr>
      <w:r w:rsidRPr="007C4F56">
        <w:rPr>
          <w:i/>
        </w:rPr>
        <w:t>are metastatic or where surgical resection is likely to result in severe morbidity, and</w:t>
      </w:r>
    </w:p>
    <w:p w14:paraId="5158C214" w14:textId="77777777" w:rsidR="00FD1757" w:rsidRPr="007C4F56" w:rsidRDefault="00FD1757" w:rsidP="00FD1757">
      <w:pPr>
        <w:pStyle w:val="ListBullet"/>
        <w:numPr>
          <w:ilvl w:val="0"/>
          <w:numId w:val="1"/>
        </w:numPr>
        <w:ind w:left="1080"/>
        <w:rPr>
          <w:i/>
        </w:rPr>
      </w:pPr>
      <w:r w:rsidRPr="007C4F56">
        <w:rPr>
          <w:i/>
        </w:rPr>
        <w:t>have either progressed following treatment or have no satisfactory alternative therapy.</w:t>
      </w:r>
    </w:p>
    <w:p w14:paraId="696E4150" w14:textId="6973ADE0" w:rsidR="003B4018" w:rsidRPr="00FD1757" w:rsidRDefault="00FD1757" w:rsidP="00FD1757">
      <w:pPr>
        <w:ind w:left="720"/>
        <w:rPr>
          <w:i/>
        </w:rPr>
      </w:pPr>
      <w:r w:rsidRPr="007C4F56">
        <w:rPr>
          <w:i/>
        </w:rPr>
        <w:t>This indication was approved via the provisional appro</w:t>
      </w:r>
      <w:r>
        <w:rPr>
          <w:i/>
        </w:rPr>
        <w:t xml:space="preserve">val pathway, based on objective </w:t>
      </w:r>
      <w:r w:rsidRPr="007C4F56">
        <w:rPr>
          <w:i/>
        </w:rPr>
        <w:t>response rate and du</w:t>
      </w:r>
      <w:r w:rsidR="0009648E">
        <w:rPr>
          <w:i/>
        </w:rPr>
        <w:t xml:space="preserve">ration of response in single </w:t>
      </w:r>
      <w:r w:rsidRPr="007C4F56">
        <w:rPr>
          <w:i/>
        </w:rPr>
        <w:t>arm trials. Full reg</w:t>
      </w:r>
      <w:r>
        <w:rPr>
          <w:i/>
        </w:rPr>
        <w:t xml:space="preserve">istration for this </w:t>
      </w:r>
      <w:r w:rsidRPr="007C4F56">
        <w:rPr>
          <w:i/>
        </w:rPr>
        <w:t>indication depends on verification and description of clinical benefit in confirmatory trials.</w:t>
      </w:r>
    </w:p>
    <w:p w14:paraId="59FDE1A7" w14:textId="4BF07C54" w:rsidR="00D23139" w:rsidRDefault="00D23139" w:rsidP="00D23139">
      <w:pPr>
        <w:pStyle w:val="Heading4"/>
      </w:pPr>
      <w:r w:rsidRPr="00D23139">
        <w:lastRenderedPageBreak/>
        <w:t>Specific conditions of registration applying to these goods</w:t>
      </w:r>
    </w:p>
    <w:p w14:paraId="63DE85A5" w14:textId="7AE97756" w:rsidR="003B4018" w:rsidRPr="003B4018" w:rsidRDefault="003B4018" w:rsidP="003B4018">
      <w:pPr>
        <w:pStyle w:val="Heading5"/>
        <w:rPr>
          <w:lang w:eastAsia="en-AU"/>
        </w:rPr>
      </w:pPr>
      <w:r>
        <w:rPr>
          <w:lang w:eastAsia="en-AU"/>
        </w:rPr>
        <w:t xml:space="preserve">Submission </w:t>
      </w:r>
      <w:r w:rsidRPr="00E92999">
        <w:t>PM-2019-01808-1-4</w:t>
      </w:r>
      <w:r>
        <w:t xml:space="preserve"> (non-small cell lung cancer indication)</w:t>
      </w:r>
    </w:p>
    <w:p w14:paraId="2D3C195F" w14:textId="5DE39615" w:rsidR="00C46163" w:rsidRDefault="00E42AC9" w:rsidP="00C46163">
      <w:pPr>
        <w:pStyle w:val="ListBullet"/>
      </w:pPr>
      <w:r>
        <w:t xml:space="preserve">Rozlytrek </w:t>
      </w:r>
      <w:r w:rsidR="00C46163">
        <w:t>(entrectinib) is to be included in the Black Triangle Scheme</w:t>
      </w:r>
      <w:r w:rsidR="005A1349">
        <w:fldChar w:fldCharType="begin"/>
      </w:r>
      <w:r w:rsidR="005A1349">
        <w:instrText xml:space="preserve"> NOTEREF _Ref50470720 \f \h </w:instrText>
      </w:r>
      <w:r w:rsidR="005A1349">
        <w:fldChar w:fldCharType="separate"/>
      </w:r>
      <w:r w:rsidR="005743D8" w:rsidRPr="005743D8">
        <w:rPr>
          <w:rStyle w:val="FootnoteReference"/>
        </w:rPr>
        <w:t>1</w:t>
      </w:r>
      <w:r w:rsidR="005A1349">
        <w:fldChar w:fldCharType="end"/>
      </w:r>
      <w:r w:rsidR="00C46163">
        <w:t xml:space="preserve">. The PI and </w:t>
      </w:r>
      <w:r w:rsidR="001D1EC3">
        <w:t xml:space="preserve">Consumer </w:t>
      </w:r>
      <w:r>
        <w:t>M</w:t>
      </w:r>
      <w:r w:rsidR="001D1EC3">
        <w:t>edicine</w:t>
      </w:r>
      <w:r>
        <w:t>s</w:t>
      </w:r>
      <w:r w:rsidR="001D1EC3">
        <w:t xml:space="preserve"> </w:t>
      </w:r>
      <w:r>
        <w:t>I</w:t>
      </w:r>
      <w:r w:rsidR="001D1EC3">
        <w:t>nformation (</w:t>
      </w:r>
      <w:r w:rsidR="00C46163">
        <w:t>CMI</w:t>
      </w:r>
      <w:r w:rsidR="001D1EC3">
        <w:t>)</w:t>
      </w:r>
      <w:r w:rsidR="00C46163">
        <w:t xml:space="preserve"> for </w:t>
      </w:r>
      <w:r>
        <w:t xml:space="preserve">Rozlytrek </w:t>
      </w:r>
      <w:r w:rsidR="00C46163">
        <w:t>must include the black triangle symbol and mandatory accompanying text for five years, which starts from the date that the sponsor notifies the TGA of supply of the product, or for the entire period of provisional registration, whichever is longer.</w:t>
      </w:r>
    </w:p>
    <w:p w14:paraId="5D24343F" w14:textId="3BF2AAE9" w:rsidR="00C46163" w:rsidRDefault="005758B2" w:rsidP="00C46163">
      <w:pPr>
        <w:pStyle w:val="ListBullet"/>
      </w:pPr>
      <w:r>
        <w:t>The s</w:t>
      </w:r>
      <w:r w:rsidR="00C46163">
        <w:t xml:space="preserve">ponsor must submit to TGA all of the same reports that are submitted to the FDA in fulfilling their </w:t>
      </w:r>
      <w:proofErr w:type="spellStart"/>
      <w:r w:rsidR="00C46163">
        <w:t>postmarket</w:t>
      </w:r>
      <w:proofErr w:type="spellEnd"/>
      <w:r w:rsidR="00C46163">
        <w:t xml:space="preserve"> requirements and commitments relevant to the FDA registration of entrectinib for ROS1-positive NSCLC. The reports are expected to include:</w:t>
      </w:r>
    </w:p>
    <w:p w14:paraId="34F85954" w14:textId="76B5DC15" w:rsidR="00C46163" w:rsidRDefault="00C46163" w:rsidP="00C46163">
      <w:pPr>
        <w:pStyle w:val="ListBullet2"/>
      </w:pPr>
      <w:r>
        <w:t xml:space="preserve">Analytical and clinical validation of a companion diagnostic device to detect ROS1 rearrangements for the identification of patients who may benefit from entrectinib </w:t>
      </w:r>
      <w:r w:rsidR="00E42AC9">
        <w:t>(</w:t>
      </w:r>
      <w:r>
        <w:t>submission expected during 2020</w:t>
      </w:r>
      <w:r w:rsidR="00E42AC9">
        <w:t>)</w:t>
      </w:r>
    </w:p>
    <w:p w14:paraId="119406C5" w14:textId="3C3D5BB6" w:rsidR="00C46163" w:rsidRDefault="0009648E" w:rsidP="00C46163">
      <w:pPr>
        <w:pStyle w:val="ListBullet2"/>
      </w:pPr>
      <w:r>
        <w:t xml:space="preserve">A study of off </w:t>
      </w:r>
      <w:r w:rsidR="00C46163">
        <w:t>target activation or inhibition by entrectinib including receptors</w:t>
      </w:r>
      <w:r w:rsidR="00464396">
        <w:t xml:space="preserve"> involved in suicidal ideation (</w:t>
      </w:r>
      <w:r w:rsidR="00C46163">
        <w:t>submi</w:t>
      </w:r>
      <w:r w:rsidR="00464396">
        <w:t>ssion expected September 2020)</w:t>
      </w:r>
    </w:p>
    <w:p w14:paraId="2102CB3B" w14:textId="493497B6" w:rsidR="00C46163" w:rsidRDefault="00C46163" w:rsidP="00C46163">
      <w:pPr>
        <w:pStyle w:val="ListBullet2"/>
      </w:pPr>
      <w:r>
        <w:t>A final report characterising response rates and duration of responses in a group of at least 92 patients with ROS1-positive NSCLC enrolled across ALKA, STARTRK-1 and STARTRK-2</w:t>
      </w:r>
      <w:r w:rsidR="00654B14">
        <w:t xml:space="preserve"> trials</w:t>
      </w:r>
      <w:r>
        <w:t>, including the 51 patients whose data supported initial registration of the ROS1-positive NSCLC indication, once all responders have been followed for at least 18 months fro</w:t>
      </w:r>
      <w:r w:rsidR="00464396">
        <w:t>m the date of initial response (submission expected June 2021)</w:t>
      </w:r>
    </w:p>
    <w:p w14:paraId="2CC9FD27" w14:textId="6DC903A3" w:rsidR="00C46163" w:rsidRDefault="00C46163" w:rsidP="00C46163">
      <w:pPr>
        <w:pStyle w:val="ListBullet2"/>
      </w:pPr>
      <w:r>
        <w:t>A study of the effect of moderate and severe hepatic impairment on the pharmacokine</w:t>
      </w:r>
      <w:r w:rsidR="00464396">
        <w:t>tics and safety of entrectinib (</w:t>
      </w:r>
      <w:r>
        <w:t>su</w:t>
      </w:r>
      <w:r w:rsidR="00464396">
        <w:t>bmission expected December 2021)</w:t>
      </w:r>
    </w:p>
    <w:p w14:paraId="5C017937" w14:textId="35BBFB01" w:rsidR="00C46163" w:rsidRDefault="00C46163" w:rsidP="00BE6266">
      <w:pPr>
        <w:pStyle w:val="ListBullet2"/>
      </w:pPr>
      <w:r>
        <w:t>A study</w:t>
      </w:r>
      <w:r w:rsidR="00464396">
        <w:t xml:space="preserve"> of cardiac risks and sequelae (submission expected June 2022)</w:t>
      </w:r>
    </w:p>
    <w:p w14:paraId="3F9407BA" w14:textId="0A8BBE85" w:rsidR="00C46163" w:rsidRDefault="00C46163" w:rsidP="00BE6266">
      <w:pPr>
        <w:pStyle w:val="ListBullet2"/>
      </w:pPr>
      <w:r>
        <w:t xml:space="preserve">A study </w:t>
      </w:r>
      <w:r w:rsidR="00464396">
        <w:t>of fracture risks and sequelae (submission expected March 2025)</w:t>
      </w:r>
    </w:p>
    <w:p w14:paraId="496E4BDC" w14:textId="39C90B17" w:rsidR="00BE6266" w:rsidRDefault="00C46163" w:rsidP="00C46163">
      <w:pPr>
        <w:pStyle w:val="ListBullet"/>
      </w:pPr>
      <w:r>
        <w:t xml:space="preserve">The </w:t>
      </w:r>
      <w:r w:rsidR="00E42AC9">
        <w:t xml:space="preserve">Rozlytrek </w:t>
      </w:r>
      <w:r>
        <w:t>EU-Risk Management Plan (RMP) (version 1.2, dated 6 November</w:t>
      </w:r>
      <w:r w:rsidR="00BE6266">
        <w:t xml:space="preserve"> </w:t>
      </w:r>
      <w:r>
        <w:t>2019, data lock point 31 October 2018), with Australian Specific Annex (version 2.0,</w:t>
      </w:r>
      <w:r w:rsidR="00BE6266">
        <w:t xml:space="preserve"> </w:t>
      </w:r>
      <w:r>
        <w:t>dated December 2019), included with submissions PM-2019-01808-1-4 to be revised</w:t>
      </w:r>
      <w:r w:rsidR="00BE6266">
        <w:t xml:space="preserve"> </w:t>
      </w:r>
      <w:r>
        <w:t>to the satisfaction of the TGA, will be implemented in Australia.</w:t>
      </w:r>
    </w:p>
    <w:p w14:paraId="4868F84A" w14:textId="77777777" w:rsidR="00BE6266" w:rsidRDefault="00C46163" w:rsidP="00BE6266">
      <w:pPr>
        <w:pStyle w:val="ListBullet"/>
        <w:numPr>
          <w:ilvl w:val="0"/>
          <w:numId w:val="0"/>
        </w:numPr>
        <w:ind w:left="360"/>
      </w:pPr>
      <w:r>
        <w:t>An obligatory component of risk management plans is routine pharmacovigilance.</w:t>
      </w:r>
      <w:r w:rsidR="00BE6266">
        <w:t xml:space="preserve"> </w:t>
      </w:r>
      <w:r>
        <w:t>Routine pharmacovigilance includes the submission of periodic safety update reports</w:t>
      </w:r>
      <w:r w:rsidR="00BE6266">
        <w:t xml:space="preserve"> </w:t>
      </w:r>
      <w:r>
        <w:t>(PSURs).</w:t>
      </w:r>
    </w:p>
    <w:p w14:paraId="6FB614AC" w14:textId="590A73D2" w:rsidR="00BE6266" w:rsidRDefault="00C46163" w:rsidP="00BE6266">
      <w:pPr>
        <w:pStyle w:val="ListBullet"/>
        <w:numPr>
          <w:ilvl w:val="0"/>
          <w:numId w:val="0"/>
        </w:numPr>
        <w:ind w:left="360"/>
      </w:pPr>
      <w:r>
        <w:t>Unless agreed separately between the supplier who is the recipient of the approval and</w:t>
      </w:r>
      <w:r w:rsidR="00BE6266">
        <w:t xml:space="preserve"> </w:t>
      </w:r>
      <w:r>
        <w:t>the TGA, the first report must be submitted to TGA no later than nine calendar months</w:t>
      </w:r>
      <w:r w:rsidR="00BE6266">
        <w:t xml:space="preserve"> </w:t>
      </w:r>
      <w:r>
        <w:t>after the date of th</w:t>
      </w:r>
      <w:r w:rsidR="00E42AC9">
        <w:t>e</w:t>
      </w:r>
      <w:r>
        <w:t xml:space="preserve"> approval letter. The subsequent reports must be submitted no less</w:t>
      </w:r>
      <w:r w:rsidR="00BE6266">
        <w:t xml:space="preserve"> </w:t>
      </w:r>
      <w:r>
        <w:t>frequently than every six months from the date of the first submitted report until the</w:t>
      </w:r>
      <w:r w:rsidR="00BE6266">
        <w:t xml:space="preserve"> </w:t>
      </w:r>
      <w:r>
        <w:t>period covered by such reports is not less than three years from the date of th</w:t>
      </w:r>
      <w:r w:rsidR="00E42AC9">
        <w:t>e</w:t>
      </w:r>
      <w:r w:rsidR="00BE6266">
        <w:t xml:space="preserve"> </w:t>
      </w:r>
      <w:r>
        <w:t>approval letter, or the entire period of provisional registration, whichever is longer.</w:t>
      </w:r>
      <w:r w:rsidR="00BE6266">
        <w:t xml:space="preserve"> </w:t>
      </w:r>
      <w:r>
        <w:t>The reports are to at least meet the requirements for PSURs as described in the</w:t>
      </w:r>
      <w:r w:rsidR="00BE6266">
        <w:t xml:space="preserve"> </w:t>
      </w:r>
      <w:r>
        <w:t>European Medicines Agency’s Guideline on good pharmacovigilance practices (GVP)</w:t>
      </w:r>
      <w:r w:rsidR="00BE6266">
        <w:t xml:space="preserve"> </w:t>
      </w:r>
      <w:r>
        <w:t>Module VII-periodic safety update report (Rev 1), Part VII.B Structures and processes.</w:t>
      </w:r>
      <w:r w:rsidR="00BE6266">
        <w:t xml:space="preserve"> </w:t>
      </w:r>
      <w:r>
        <w:t>Note that submission of a PSUR does not constitute an application to vary the</w:t>
      </w:r>
      <w:r w:rsidR="00BE6266">
        <w:t xml:space="preserve"> </w:t>
      </w:r>
      <w:r>
        <w:t>registration. Each report must have been prepared within ninety calendar days of the</w:t>
      </w:r>
      <w:r w:rsidR="00BE6266">
        <w:t xml:space="preserve"> </w:t>
      </w:r>
      <w:r>
        <w:t>data lock point for that report.</w:t>
      </w:r>
    </w:p>
    <w:p w14:paraId="51974C4F" w14:textId="2741FBD9" w:rsidR="003B4018" w:rsidRDefault="003B4018" w:rsidP="003B4018">
      <w:pPr>
        <w:pStyle w:val="Heading5"/>
      </w:pPr>
      <w:r>
        <w:t xml:space="preserve">Submission </w:t>
      </w:r>
      <w:r w:rsidRPr="009C0CE3">
        <w:t>PM-2019-01809-1-4</w:t>
      </w:r>
      <w:r>
        <w:t xml:space="preserve"> (solid tumour indication)</w:t>
      </w:r>
    </w:p>
    <w:p w14:paraId="5973F0EC" w14:textId="44BEDFE8" w:rsidR="003B4018" w:rsidRDefault="00E42AC9" w:rsidP="007D2F65">
      <w:pPr>
        <w:pStyle w:val="ListBullet"/>
      </w:pPr>
      <w:r>
        <w:t xml:space="preserve">Rozlytrek </w:t>
      </w:r>
      <w:r w:rsidR="003B4018">
        <w:t>(entrectinib) is to be included in the Black Triangle Scheme. The PI and</w:t>
      </w:r>
      <w:r>
        <w:t xml:space="preserve"> </w:t>
      </w:r>
      <w:r w:rsidR="003B4018">
        <w:t xml:space="preserve">CMI for </w:t>
      </w:r>
      <w:r>
        <w:t xml:space="preserve">Rozlytrek </w:t>
      </w:r>
      <w:r w:rsidR="003B4018">
        <w:t>must include the black triangle symbol and mandatory</w:t>
      </w:r>
      <w:r>
        <w:rPr>
          <w:rFonts w:eastAsiaTheme="minorHAnsi" w:cs="Cambria"/>
        </w:rPr>
        <w:t xml:space="preserve"> </w:t>
      </w:r>
      <w:r w:rsidR="003B4018">
        <w:rPr>
          <w:rFonts w:eastAsiaTheme="minorHAnsi" w:cs="Cambria"/>
        </w:rPr>
        <w:t xml:space="preserve">accompanying </w:t>
      </w:r>
      <w:r w:rsidR="003B4018">
        <w:rPr>
          <w:rFonts w:eastAsiaTheme="minorHAnsi" w:cs="Cambria"/>
        </w:rPr>
        <w:lastRenderedPageBreak/>
        <w:t>text for five years, which starts from the date that the sponsor notifies</w:t>
      </w:r>
      <w:r>
        <w:rPr>
          <w:rFonts w:eastAsiaTheme="minorHAnsi" w:cs="Cambria"/>
        </w:rPr>
        <w:t xml:space="preserve"> </w:t>
      </w:r>
      <w:r w:rsidR="003B4018">
        <w:rPr>
          <w:rFonts w:eastAsiaTheme="minorHAnsi" w:cs="Cambria"/>
        </w:rPr>
        <w:t xml:space="preserve">the TGA of supply of the product, or for the entire period of provisional registration, </w:t>
      </w:r>
      <w:r w:rsidR="003B4018">
        <w:t>whichever is longer</w:t>
      </w:r>
      <w:r w:rsidR="000E7FA7">
        <w:t>.</w:t>
      </w:r>
    </w:p>
    <w:p w14:paraId="4FEE8445" w14:textId="77777777" w:rsidR="003B4018" w:rsidRPr="004438FB" w:rsidRDefault="003B4018" w:rsidP="007D2F65">
      <w:pPr>
        <w:pStyle w:val="ListBullet"/>
      </w:pPr>
      <w:r>
        <w:t xml:space="preserve">Confirmatory trial data (as identified in the sponsor’s plan to submit comprehensive </w:t>
      </w:r>
      <w:r w:rsidRPr="004438FB">
        <w:rPr>
          <w:rFonts w:eastAsiaTheme="minorHAnsi" w:cs="Cambria"/>
        </w:rPr>
        <w:t>clinical data on the safety and efficacy of the medicine before the end of the 6 years that</w:t>
      </w:r>
      <w:r>
        <w:rPr>
          <w:rFonts w:eastAsiaTheme="minorHAnsi" w:cs="Cambria"/>
        </w:rPr>
        <w:t xml:space="preserve"> </w:t>
      </w:r>
      <w:r w:rsidRPr="004438FB">
        <w:rPr>
          <w:rFonts w:eastAsiaTheme="minorHAnsi" w:cs="Cambria"/>
        </w:rPr>
        <w:t>would start on the day that registration would commence) must be provided.</w:t>
      </w:r>
      <w:r>
        <w:rPr>
          <w:rFonts w:eastAsiaTheme="minorHAnsi" w:cs="Cambria"/>
        </w:rPr>
        <w:t xml:space="preserve"> </w:t>
      </w:r>
      <w:r w:rsidRPr="004438FB">
        <w:rPr>
          <w:rFonts w:eastAsiaTheme="minorHAnsi" w:cs="Cambria"/>
        </w:rPr>
        <w:t>Specifically, the sponsor must:</w:t>
      </w:r>
    </w:p>
    <w:p w14:paraId="0C55328C" w14:textId="77777777" w:rsidR="003B4018" w:rsidRPr="004438FB" w:rsidRDefault="003B4018" w:rsidP="007D2F65">
      <w:pPr>
        <w:pStyle w:val="ListBullet2"/>
      </w:pPr>
      <w:r>
        <w:t xml:space="preserve">Conduct studies as described in the clinical study plan in version 3.0, dated </w:t>
      </w:r>
      <w:r w:rsidRPr="004438FB">
        <w:rPr>
          <w:rFonts w:eastAsiaTheme="minorHAnsi" w:cs="Cambria"/>
        </w:rPr>
        <w:t>February 2020, of the Australia-specific Annex;</w:t>
      </w:r>
    </w:p>
    <w:p w14:paraId="3B80D26B" w14:textId="77777777" w:rsidR="003B4018" w:rsidRDefault="003B4018" w:rsidP="007D2F65">
      <w:pPr>
        <w:pStyle w:val="ListBullet2"/>
      </w:pPr>
      <w:r>
        <w:t>Submit, by June 2021, a final report for the group of 54 patients whose data supported initial registration of the NTRK solid tumour indication, with at least 2 years of follow-up from onset of response or until disease progression whichever came first;</w:t>
      </w:r>
    </w:p>
    <w:p w14:paraId="58151721" w14:textId="56D8825C" w:rsidR="003B4018" w:rsidRPr="004438FB" w:rsidRDefault="003B4018" w:rsidP="007D2F65">
      <w:pPr>
        <w:pStyle w:val="ListBullet2"/>
      </w:pPr>
      <w:r>
        <w:t xml:space="preserve">Submit annual interim progress reports (recruitment status) and one clinical </w:t>
      </w:r>
      <w:r w:rsidRPr="004438FB">
        <w:rPr>
          <w:rFonts w:eastAsiaTheme="minorHAnsi" w:cs="Cambria"/>
        </w:rPr>
        <w:t>study report incorporating data for patients with NTRK fusion-positive solid</w:t>
      </w:r>
      <w:r>
        <w:rPr>
          <w:rFonts w:eastAsiaTheme="minorHAnsi" w:cs="Cambria"/>
        </w:rPr>
        <w:t xml:space="preserve"> </w:t>
      </w:r>
      <w:r w:rsidRPr="004438FB">
        <w:rPr>
          <w:rFonts w:eastAsiaTheme="minorHAnsi" w:cs="Cambria"/>
        </w:rPr>
        <w:t>tumours enrolled across the ALKA, STARTRK-1, STARTRK-2, STARK-NG</w:t>
      </w:r>
      <w:r w:rsidR="00654B14">
        <w:rPr>
          <w:rFonts w:eastAsiaTheme="minorHAnsi" w:cs="Cambria"/>
        </w:rPr>
        <w:t xml:space="preserve"> trials</w:t>
      </w:r>
      <w:r w:rsidRPr="004438FB">
        <w:rPr>
          <w:rFonts w:eastAsiaTheme="minorHAnsi" w:cs="Cambria"/>
        </w:rPr>
        <w:t xml:space="preserve"> and</w:t>
      </w:r>
      <w:r>
        <w:rPr>
          <w:rFonts w:eastAsiaTheme="minorHAnsi" w:cs="Cambria"/>
        </w:rPr>
        <w:t xml:space="preserve"> </w:t>
      </w:r>
      <w:r w:rsidRPr="004438FB">
        <w:rPr>
          <w:rFonts w:eastAsiaTheme="minorHAnsi" w:cs="Cambria"/>
        </w:rPr>
        <w:t>potentially other studies, with minimum follow-up of 12 months from onset of</w:t>
      </w:r>
      <w:r>
        <w:rPr>
          <w:rFonts w:eastAsiaTheme="minorHAnsi" w:cs="Cambria"/>
        </w:rPr>
        <w:t xml:space="preserve"> </w:t>
      </w:r>
      <w:r w:rsidRPr="004438FB">
        <w:rPr>
          <w:rFonts w:eastAsiaTheme="minorHAnsi" w:cs="Cambria"/>
        </w:rPr>
        <w:t>response for responders, and aiming at enrolment of:</w:t>
      </w:r>
    </w:p>
    <w:p w14:paraId="3C253909" w14:textId="77777777" w:rsidR="003B4018" w:rsidRPr="004438FB" w:rsidRDefault="003B4018" w:rsidP="007D2F65">
      <w:pPr>
        <w:pStyle w:val="ListBullet3"/>
      </w:pPr>
      <w:r>
        <w:t xml:space="preserve">A sufficient number of patients to provide more precise estimates of </w:t>
      </w:r>
      <w:r w:rsidRPr="004438FB">
        <w:t xml:space="preserve">response rates and durability for paediatric solid </w:t>
      </w:r>
      <w:proofErr w:type="spellStart"/>
      <w:r w:rsidRPr="004438FB">
        <w:t>tumors</w:t>
      </w:r>
      <w:proofErr w:type="spellEnd"/>
      <w:r w:rsidRPr="004438FB">
        <w:t>, colorectal</w:t>
      </w:r>
      <w:r>
        <w:t xml:space="preserve"> </w:t>
      </w:r>
      <w:r w:rsidRPr="004438FB">
        <w:t xml:space="preserve">cancer, CNS system cancers, </w:t>
      </w:r>
      <w:proofErr w:type="spellStart"/>
      <w:r w:rsidRPr="004438FB">
        <w:t>gynecological</w:t>
      </w:r>
      <w:proofErr w:type="spellEnd"/>
      <w:r w:rsidRPr="004438FB">
        <w:t xml:space="preserve"> cancers, and melanoma; and</w:t>
      </w:r>
    </w:p>
    <w:p w14:paraId="7B09E542" w14:textId="77777777" w:rsidR="003B4018" w:rsidRPr="004438FB" w:rsidRDefault="003B4018" w:rsidP="007D2F65">
      <w:pPr>
        <w:pStyle w:val="ListBullet3"/>
      </w:pPr>
      <w:r>
        <w:t xml:space="preserve">A minimum of 40 patients with cancers other than the above, and other </w:t>
      </w:r>
      <w:r w:rsidRPr="004438FB">
        <w:t>than soft tissue sarcoma, non-small cell adenocarcinoma lung cancer,</w:t>
      </w:r>
      <w:r>
        <w:t xml:space="preserve"> </w:t>
      </w:r>
      <w:r w:rsidRPr="004438FB">
        <w:t>mammary analogue secretory carcinoma, and secretory breast cancer.</w:t>
      </w:r>
    </w:p>
    <w:p w14:paraId="45AD10C2" w14:textId="77777777" w:rsidR="003B4018" w:rsidRDefault="003B4018" w:rsidP="007D2F65">
      <w:pPr>
        <w:pStyle w:val="ListBullet2"/>
        <w:numPr>
          <w:ilvl w:val="0"/>
          <w:numId w:val="0"/>
        </w:numPr>
        <w:ind w:left="720"/>
      </w:pPr>
      <w:r>
        <w:t>Submission of an interim clinical study report is expected at latest by 2023</w:t>
      </w:r>
    </w:p>
    <w:p w14:paraId="1B68BF04" w14:textId="3159D47A" w:rsidR="003B4018" w:rsidRPr="00E42AC9" w:rsidRDefault="00F357A6" w:rsidP="007D2F65">
      <w:pPr>
        <w:pStyle w:val="ListBullet"/>
      </w:pPr>
      <w:r w:rsidRPr="009B407B">
        <w:t>The s</w:t>
      </w:r>
      <w:r w:rsidR="003B4018" w:rsidRPr="000422AA">
        <w:t xml:space="preserve">ponsor must submit to TGA all of the same reports that are submitted to the FDA in fulfilling their </w:t>
      </w:r>
      <w:proofErr w:type="spellStart"/>
      <w:r w:rsidR="003B4018" w:rsidRPr="000422AA">
        <w:t>postmarket</w:t>
      </w:r>
      <w:proofErr w:type="spellEnd"/>
      <w:r w:rsidR="003B4018" w:rsidRPr="000422AA">
        <w:t xml:space="preserve"> requirements and commitments relevant to the FDA registration of entrectinib for NTRK-positive solid tumours. The reports are expected to</w:t>
      </w:r>
      <w:r w:rsidR="003B4018" w:rsidRPr="00E42AC9">
        <w:t xml:space="preserve"> include:</w:t>
      </w:r>
    </w:p>
    <w:p w14:paraId="456E1989" w14:textId="69A0B38D" w:rsidR="003B4018" w:rsidRPr="00E42AC9" w:rsidRDefault="003B4018" w:rsidP="007D2F65">
      <w:pPr>
        <w:pStyle w:val="ListBullet2"/>
      </w:pPr>
      <w:r w:rsidRPr="00E42AC9">
        <w:t>Analytical and clinical validation of a companion diagnostic device to detect</w:t>
      </w:r>
      <w:r w:rsidR="00E42AC9" w:rsidRPr="00E42AC9">
        <w:t xml:space="preserve"> </w:t>
      </w:r>
      <w:r w:rsidRPr="00E42AC9">
        <w:t>NTRK rearrangements for the identification of patients wh</w:t>
      </w:r>
      <w:r w:rsidR="00464396" w:rsidRPr="00E42AC9">
        <w:t>o may benefit from entrectinib (submission expected during 2020)</w:t>
      </w:r>
    </w:p>
    <w:p w14:paraId="2BD6787C" w14:textId="4323FA69" w:rsidR="003B4018" w:rsidRPr="00E42AC9" w:rsidRDefault="003B4018" w:rsidP="007D2F65">
      <w:pPr>
        <w:pStyle w:val="ListBullet2"/>
      </w:pPr>
      <w:r w:rsidRPr="00E42AC9">
        <w:t>A study of off-target activation or inhibition by entrectinib including receptors</w:t>
      </w:r>
      <w:r w:rsidR="00464396" w:rsidRPr="00E42AC9">
        <w:t xml:space="preserve"> involved in suicidal ideation (</w:t>
      </w:r>
      <w:r w:rsidRPr="00E42AC9">
        <w:t>sub</w:t>
      </w:r>
      <w:r w:rsidR="00464396" w:rsidRPr="00E42AC9">
        <w:t>mission expected September 2020)</w:t>
      </w:r>
    </w:p>
    <w:p w14:paraId="5DD8ED1C" w14:textId="59B40659" w:rsidR="003B4018" w:rsidRPr="00E42AC9" w:rsidRDefault="003B4018" w:rsidP="007D2F65">
      <w:pPr>
        <w:pStyle w:val="ListBullet2"/>
      </w:pPr>
      <w:r w:rsidRPr="00E42AC9">
        <w:t>A study of the effect of moderate and severe hepatic impairment on the pharmacokine</w:t>
      </w:r>
      <w:r w:rsidR="00464396" w:rsidRPr="00E42AC9">
        <w:t>tics and safety of entrectinib (</w:t>
      </w:r>
      <w:r w:rsidRPr="00E42AC9">
        <w:t>su</w:t>
      </w:r>
      <w:r w:rsidR="00464396" w:rsidRPr="00E42AC9">
        <w:t>bmission expected December 2021)</w:t>
      </w:r>
    </w:p>
    <w:p w14:paraId="660D309F" w14:textId="02D7C64A" w:rsidR="003B4018" w:rsidRPr="00E42AC9" w:rsidRDefault="003B4018" w:rsidP="007D2F65">
      <w:pPr>
        <w:pStyle w:val="ListBullet2"/>
      </w:pPr>
      <w:r w:rsidRPr="00E42AC9">
        <w:t>A study of ca</w:t>
      </w:r>
      <w:r w:rsidR="00464396" w:rsidRPr="00E42AC9">
        <w:t>rdiac risks and sequelae (submission expected June 2022)</w:t>
      </w:r>
    </w:p>
    <w:p w14:paraId="230F41B8" w14:textId="3515C638" w:rsidR="003B4018" w:rsidRPr="00E42AC9" w:rsidRDefault="003B4018" w:rsidP="007D2F65">
      <w:pPr>
        <w:pStyle w:val="ListBullet2"/>
      </w:pPr>
      <w:r w:rsidRPr="00E42AC9">
        <w:t xml:space="preserve">A study </w:t>
      </w:r>
      <w:r w:rsidR="00464396" w:rsidRPr="00E42AC9">
        <w:t>of fracture risks and sequelae (submission expected March 2025)</w:t>
      </w:r>
    </w:p>
    <w:p w14:paraId="1B58F049" w14:textId="20ABFEF7" w:rsidR="003B4018" w:rsidRPr="00E42AC9" w:rsidRDefault="003B4018" w:rsidP="007D2F65">
      <w:pPr>
        <w:pStyle w:val="ListBullet2"/>
      </w:pPr>
      <w:r w:rsidRPr="00E42AC9">
        <w:t>A final clinical study report incorporating dat</w:t>
      </w:r>
      <w:r w:rsidR="002E2BCA" w:rsidRPr="00E42AC9">
        <w:t>a for patients with NTRK fusion-</w:t>
      </w:r>
      <w:r w:rsidRPr="00E42AC9">
        <w:t xml:space="preserve">positive solid tumours enrolled across the ALKA, STARTRK-1, STARTRK-2, STARK-NG </w:t>
      </w:r>
      <w:r w:rsidR="00654B14" w:rsidRPr="00E42AC9">
        <w:t xml:space="preserve">trials </w:t>
      </w:r>
      <w:r w:rsidRPr="00E42AC9">
        <w:t>and potentially other studies, with minimum follow-up of 12 months from onset of response for responders, and requiring:</w:t>
      </w:r>
    </w:p>
    <w:p w14:paraId="3E06DC17" w14:textId="77777777" w:rsidR="003B4018" w:rsidRPr="00E42AC9" w:rsidRDefault="003B4018" w:rsidP="007D2F65">
      <w:pPr>
        <w:pStyle w:val="ListBullet3"/>
      </w:pPr>
      <w:r w:rsidRPr="00E42AC9">
        <w:t xml:space="preserve">A sufficient number of patients to provide more precise estimates of response rates and durability for paediatric solid </w:t>
      </w:r>
      <w:proofErr w:type="spellStart"/>
      <w:r w:rsidRPr="00E42AC9">
        <w:t>tumors</w:t>
      </w:r>
      <w:proofErr w:type="spellEnd"/>
      <w:r w:rsidRPr="00E42AC9">
        <w:t xml:space="preserve">, colorectal cancer, CNS system cancers, </w:t>
      </w:r>
      <w:proofErr w:type="spellStart"/>
      <w:r w:rsidRPr="00E42AC9">
        <w:t>gynecological</w:t>
      </w:r>
      <w:proofErr w:type="spellEnd"/>
      <w:r w:rsidRPr="00E42AC9">
        <w:t xml:space="preserve"> cancers, and melanoma; and</w:t>
      </w:r>
    </w:p>
    <w:p w14:paraId="26E9E027" w14:textId="77777777" w:rsidR="00E42AC9" w:rsidRDefault="003B4018" w:rsidP="007D2F65">
      <w:pPr>
        <w:pStyle w:val="ListBullet3"/>
      </w:pPr>
      <w:r w:rsidRPr="00E42AC9">
        <w:lastRenderedPageBreak/>
        <w:t>A minimum of 40 patients with cancers other than the above, and other than soft tissue sarcoma, non-small cell adenocarcinoma lung cancer, mammary analogue secretory carcinoma, and secretory breast cancer.</w:t>
      </w:r>
    </w:p>
    <w:p w14:paraId="28362158" w14:textId="5012AB16" w:rsidR="003B4018" w:rsidRPr="000422AA" w:rsidRDefault="00E42AC9" w:rsidP="007D2F65">
      <w:pPr>
        <w:pStyle w:val="ListBullet2"/>
        <w:numPr>
          <w:ilvl w:val="0"/>
          <w:numId w:val="0"/>
        </w:numPr>
        <w:ind w:left="720"/>
      </w:pPr>
      <w:r>
        <w:t>(</w:t>
      </w:r>
      <w:r w:rsidR="003B4018" w:rsidRPr="000422AA">
        <w:t>submission expected at latest by March 2027</w:t>
      </w:r>
      <w:r>
        <w:t>)</w:t>
      </w:r>
    </w:p>
    <w:p w14:paraId="3FA9EF48" w14:textId="60B01EE1" w:rsidR="003B4018" w:rsidRPr="00E42AC9" w:rsidRDefault="003B4018" w:rsidP="007D2F65">
      <w:pPr>
        <w:pStyle w:val="ListBullet2"/>
      </w:pPr>
      <w:r w:rsidRPr="000422AA">
        <w:t>A study of longer-term effects of entrectinib on growth and development in paediatric pati</w:t>
      </w:r>
      <w:r w:rsidR="00464396" w:rsidRPr="00E42AC9">
        <w:t>ents 12 years of age and older (submission expected August 2029)</w:t>
      </w:r>
    </w:p>
    <w:p w14:paraId="754D6D7A" w14:textId="773A46C7" w:rsidR="003B4018" w:rsidRPr="00E42AC9" w:rsidRDefault="003B4018" w:rsidP="007D2F65">
      <w:pPr>
        <w:pStyle w:val="ListBullet"/>
      </w:pPr>
      <w:r w:rsidRPr="00E42AC9">
        <w:t xml:space="preserve">The </w:t>
      </w:r>
      <w:r w:rsidR="00E42AC9">
        <w:t>Rozlytrek</w:t>
      </w:r>
      <w:r w:rsidR="00E42AC9" w:rsidRPr="009B407B">
        <w:t xml:space="preserve"> </w:t>
      </w:r>
      <w:r w:rsidRPr="000422AA">
        <w:t>EU-Risk Management Plan (RMP) (version 1.2, dated 6 November 2019, data lock point 31 October 2018), with Australian Specific Annex (version 2.0, dated December 2019), included with submission PM-2019-01809-1-4, to be revised</w:t>
      </w:r>
      <w:r w:rsidRPr="00E42AC9">
        <w:t xml:space="preserve"> to the satisfaction of the TGA, will be implemented in Australia.</w:t>
      </w:r>
    </w:p>
    <w:p w14:paraId="366DD6BC" w14:textId="77777777" w:rsidR="003B4018" w:rsidRPr="00E42AC9" w:rsidRDefault="003B4018" w:rsidP="009B407B">
      <w:pPr>
        <w:pStyle w:val="ListBullet"/>
        <w:numPr>
          <w:ilvl w:val="0"/>
          <w:numId w:val="0"/>
        </w:numPr>
        <w:ind w:left="360"/>
      </w:pPr>
      <w:r w:rsidRPr="00E42AC9">
        <w:t>An obligatory component of risk management plans is routine pharmacovigilance. Routine pharmacovigilance includes the submission of periodic safety update reports (PSURs).</w:t>
      </w:r>
    </w:p>
    <w:p w14:paraId="2ED3B60D" w14:textId="120E1330" w:rsidR="003B4018" w:rsidRPr="00E42AC9" w:rsidRDefault="003B4018" w:rsidP="007D2F65">
      <w:pPr>
        <w:pStyle w:val="ListBullet"/>
        <w:numPr>
          <w:ilvl w:val="0"/>
          <w:numId w:val="0"/>
        </w:numPr>
        <w:ind w:left="360"/>
      </w:pPr>
      <w:r w:rsidRPr="00E42AC9">
        <w:t>Unless agreed separately between the supplier who is the recipient of the approval and the TGA, the first report must be submitted to TGA no later than nine calendar months after the date of th</w:t>
      </w:r>
      <w:r w:rsidR="00E42AC9">
        <w:t>e</w:t>
      </w:r>
      <w:r w:rsidRPr="000422AA">
        <w:t xml:space="preserve"> approval letter. The subsequent reports must be submitted no less frequently </w:t>
      </w:r>
      <w:r w:rsidRPr="00E42AC9">
        <w:t>than every six months from the date of the first submitted report until the period covered by such reports is not less than three years from the date of th</w:t>
      </w:r>
      <w:r w:rsidR="00E42AC9">
        <w:t>e</w:t>
      </w:r>
      <w:r w:rsidRPr="00E42AC9">
        <w:t xml:space="preserve"> approval letter, or the entire period of provisional registration, whichever is longer.</w:t>
      </w:r>
    </w:p>
    <w:p w14:paraId="24138189" w14:textId="6DAB7A68" w:rsidR="003B4018" w:rsidRPr="00E42AC9" w:rsidRDefault="003B4018" w:rsidP="007D2F65">
      <w:pPr>
        <w:pStyle w:val="ListBullet"/>
        <w:numPr>
          <w:ilvl w:val="0"/>
          <w:numId w:val="0"/>
        </w:numPr>
        <w:ind w:left="360"/>
      </w:pPr>
      <w:r w:rsidRPr="00E42AC9">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72512387" w14:textId="77777777" w:rsidR="00DA5625" w:rsidRDefault="00DA5625" w:rsidP="00DA5625">
      <w:pPr>
        <w:pStyle w:val="Heading2"/>
      </w:pPr>
      <w:bookmarkStart w:id="94" w:name="_Toc52891261"/>
      <w:r>
        <w:t>Attachment 1. Product Information</w:t>
      </w:r>
      <w:bookmarkEnd w:id="94"/>
    </w:p>
    <w:p w14:paraId="5B485B00" w14:textId="7705CAF1" w:rsidR="00291957" w:rsidRPr="00B330D9" w:rsidRDefault="00DA5625" w:rsidP="00291957">
      <w:pPr>
        <w:rPr>
          <w:color w:val="000000"/>
          <w:lang w:eastAsia="en-AU"/>
        </w:rPr>
      </w:pPr>
      <w:r w:rsidRPr="002B3624">
        <w:t xml:space="preserve">The </w:t>
      </w:r>
      <w:r>
        <w:t>PI</w:t>
      </w:r>
      <w:r w:rsidRPr="002B3624">
        <w:t xml:space="preserve"> for </w:t>
      </w:r>
      <w:r w:rsidRPr="00FD1757">
        <w:t>Rozlytrek</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TGA website at &lt;</w:t>
      </w:r>
      <w:hyperlink r:id="rId21" w:history="1">
        <w:r w:rsidRPr="007C6B9B">
          <w:rPr>
            <w:rStyle w:val="Hyperlink"/>
          </w:rPr>
          <w:t>https://www.tga.gov.au/product-information-pi</w:t>
        </w:r>
      </w:hyperlink>
      <w:r w:rsidRPr="007C6B9B">
        <w:t>&gt;.</w:t>
      </w:r>
      <w:bookmarkEnd w:id="92"/>
      <w:bookmarkEnd w:id="93"/>
    </w:p>
    <w:p w14:paraId="01D7E326"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DC2A8FE" w14:textId="77777777" w:rsidTr="00A05FA4">
        <w:trPr>
          <w:trHeight w:hRule="exact" w:val="704"/>
        </w:trPr>
        <w:tc>
          <w:tcPr>
            <w:tcW w:w="9175" w:type="dxa"/>
          </w:tcPr>
          <w:p w14:paraId="5231DB9B" w14:textId="77777777" w:rsidR="001C32CD" w:rsidRPr="00487162" w:rsidRDefault="001C32CD" w:rsidP="00A05FA4">
            <w:pPr>
              <w:pStyle w:val="TGASignoff"/>
            </w:pPr>
            <w:r w:rsidRPr="00487162">
              <w:lastRenderedPageBreak/>
              <w:t>Therapeutic Goods Administration</w:t>
            </w:r>
          </w:p>
        </w:tc>
      </w:tr>
      <w:tr w:rsidR="001C32CD" w:rsidRPr="004C239D" w14:paraId="7D2597C0" w14:textId="77777777" w:rsidTr="00A05FA4">
        <w:trPr>
          <w:trHeight w:val="1221"/>
        </w:trPr>
        <w:tc>
          <w:tcPr>
            <w:tcW w:w="9175" w:type="dxa"/>
            <w:tcMar>
              <w:top w:w="28" w:type="dxa"/>
            </w:tcMar>
          </w:tcPr>
          <w:p w14:paraId="0FDA0765" w14:textId="77777777" w:rsidR="001C32CD" w:rsidRPr="00487162" w:rsidRDefault="001C32CD" w:rsidP="00A05FA4">
            <w:pPr>
              <w:pStyle w:val="Address"/>
            </w:pPr>
            <w:r w:rsidRPr="00487162">
              <w:t>PO Box 100 Woden ACT 2606 Australia</w:t>
            </w:r>
          </w:p>
          <w:p w14:paraId="3A5A6F7B" w14:textId="04C51E77"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14:paraId="3A738798" w14:textId="192E6A10" w:rsidR="001C32CD" w:rsidRPr="004C239D" w:rsidRDefault="00356227"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263B902C"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376A" w14:textId="77777777" w:rsidR="00356227" w:rsidRDefault="00356227" w:rsidP="00C40A36">
      <w:pPr>
        <w:spacing w:after="0"/>
      </w:pPr>
      <w:r>
        <w:separator/>
      </w:r>
    </w:p>
  </w:endnote>
  <w:endnote w:type="continuationSeparator" w:id="0">
    <w:p w14:paraId="06376B07" w14:textId="77777777" w:rsidR="00356227" w:rsidRDefault="0035622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4EB5" w14:textId="77777777" w:rsidR="00356227" w:rsidRDefault="00356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1276"/>
    </w:tblGrid>
    <w:tr w:rsidR="00356227" w:rsidRPr="00487162" w14:paraId="4B9603A8" w14:textId="77777777" w:rsidTr="00CE2749">
      <w:trPr>
        <w:trHeight w:val="269"/>
      </w:trPr>
      <w:tc>
        <w:tcPr>
          <w:tcW w:w="7938" w:type="dxa"/>
          <w:tcMar>
            <w:top w:w="142" w:type="dxa"/>
            <w:bottom w:w="0" w:type="dxa"/>
          </w:tcMar>
        </w:tcPr>
        <w:p w14:paraId="170868B6" w14:textId="740C77E1" w:rsidR="00356227" w:rsidRPr="00487162" w:rsidRDefault="00356227" w:rsidP="00FF0A87">
          <w:pPr>
            <w:pStyle w:val="Footer"/>
          </w:pPr>
          <w:r w:rsidRPr="00487162">
            <w:t>AusPA</w:t>
          </w:r>
          <w:r>
            <w:t xml:space="preserve">R - </w:t>
          </w:r>
          <w:r w:rsidRPr="00E92999">
            <w:t>ROZLYTREK - entrectinib - Roche Products Pty Ltd - PM-2019-01808-1-4</w:t>
          </w:r>
          <w:r>
            <w:t xml:space="preserve"> and </w:t>
          </w:r>
          <w:r w:rsidRPr="009C0CE3">
            <w:rPr>
              <w:rFonts w:asciiTheme="minorHAnsi" w:hAnsiTheme="minorHAnsi" w:cs="Calibri"/>
            </w:rPr>
            <w:t>PM-2019-01809-1-4</w:t>
          </w:r>
          <w:r>
            <w:br/>
            <w:t>FINAL 11 December 2020</w:t>
          </w:r>
        </w:p>
      </w:tc>
      <w:tc>
        <w:tcPr>
          <w:tcW w:w="1276" w:type="dxa"/>
          <w:tcMar>
            <w:top w:w="142" w:type="dxa"/>
            <w:bottom w:w="0" w:type="dxa"/>
          </w:tcMar>
        </w:tcPr>
        <w:p w14:paraId="38A5CC29" w14:textId="0776D44B" w:rsidR="00356227" w:rsidRPr="00487162" w:rsidRDefault="00356227" w:rsidP="00DB750B">
          <w:pPr>
            <w:pStyle w:val="Footer"/>
            <w:jc w:val="right"/>
          </w:pPr>
          <w:r w:rsidRPr="00487162">
            <w:t xml:space="preserve">Page </w:t>
          </w:r>
          <w:r>
            <w:fldChar w:fldCharType="begin"/>
          </w:r>
          <w:r>
            <w:instrText xml:space="preserve"> PAGE  \* Arabic </w:instrText>
          </w:r>
          <w:r>
            <w:fldChar w:fldCharType="separate"/>
          </w:r>
          <w:r w:rsidR="00AF0D02">
            <w:rPr>
              <w:noProof/>
            </w:rPr>
            <w:t>87</w:t>
          </w:r>
          <w:r>
            <w:fldChar w:fldCharType="end"/>
          </w:r>
          <w:r w:rsidRPr="00487162">
            <w:t xml:space="preserve"> of </w:t>
          </w:r>
          <w:fldSimple w:instr=" NUMPAGES  \* Arabic ">
            <w:r w:rsidR="00AF0D02">
              <w:rPr>
                <w:noProof/>
              </w:rPr>
              <w:t>91</w:t>
            </w:r>
          </w:fldSimple>
        </w:p>
      </w:tc>
    </w:tr>
  </w:tbl>
  <w:p w14:paraId="551717CD" w14:textId="77777777" w:rsidR="00356227" w:rsidRDefault="00356227"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055F" w14:textId="77777777" w:rsidR="00356227" w:rsidRDefault="00356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56227" w:rsidRPr="00487162" w14:paraId="330830E6" w14:textId="77777777" w:rsidTr="00E45619">
      <w:trPr>
        <w:trHeight w:val="269"/>
      </w:trPr>
      <w:tc>
        <w:tcPr>
          <w:tcW w:w="4519" w:type="dxa"/>
          <w:tcBorders>
            <w:top w:val="single" w:sz="4" w:space="0" w:color="auto"/>
          </w:tcBorders>
          <w:tcMar>
            <w:top w:w="142" w:type="dxa"/>
            <w:bottom w:w="0" w:type="dxa"/>
          </w:tcMar>
        </w:tcPr>
        <w:p w14:paraId="192E73CF" w14:textId="77777777" w:rsidR="00356227" w:rsidRPr="00487162" w:rsidRDefault="00356227" w:rsidP="00FE1DEE">
          <w:pPr>
            <w:pStyle w:val="Footer"/>
          </w:pPr>
          <w:r w:rsidRPr="00487162">
            <w:t>Document title, Part #, Section # - Section title</w:t>
          </w:r>
        </w:p>
        <w:p w14:paraId="261D87C5" w14:textId="77777777" w:rsidR="00356227" w:rsidRPr="00487162" w:rsidRDefault="00356227" w:rsidP="00FE1DEE">
          <w:pPr>
            <w:pStyle w:val="Footer"/>
          </w:pPr>
          <w:r w:rsidRPr="00487162">
            <w:t>V1.0 October 2010</w:t>
          </w:r>
        </w:p>
      </w:tc>
      <w:tc>
        <w:tcPr>
          <w:tcW w:w="4342" w:type="dxa"/>
          <w:tcBorders>
            <w:top w:val="single" w:sz="4" w:space="0" w:color="auto"/>
          </w:tcBorders>
          <w:tcMar>
            <w:top w:w="142" w:type="dxa"/>
            <w:bottom w:w="0" w:type="dxa"/>
          </w:tcMar>
        </w:tcPr>
        <w:p w14:paraId="55EE538D" w14:textId="66F6A39A" w:rsidR="00356227" w:rsidRPr="00487162" w:rsidRDefault="0035622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73</w:t>
            </w:r>
          </w:fldSimple>
        </w:p>
      </w:tc>
    </w:tr>
  </w:tbl>
  <w:p w14:paraId="5C48B7E0" w14:textId="77777777" w:rsidR="00356227" w:rsidRDefault="003562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07A4" w14:textId="77777777" w:rsidR="00356227" w:rsidRPr="001C32CD" w:rsidRDefault="00356227"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56227" w14:paraId="3A2D5A2A" w14:textId="77777777" w:rsidTr="0010601F">
      <w:trPr>
        <w:trHeight w:val="108"/>
      </w:trPr>
      <w:tc>
        <w:tcPr>
          <w:tcW w:w="8875" w:type="dxa"/>
          <w:gridSpan w:val="2"/>
          <w:tcBorders>
            <w:bottom w:val="single" w:sz="4" w:space="0" w:color="auto"/>
          </w:tcBorders>
          <w:tcMar>
            <w:right w:w="284" w:type="dxa"/>
          </w:tcMar>
        </w:tcPr>
        <w:p w14:paraId="7B752A8F" w14:textId="77777777" w:rsidR="00356227" w:rsidRDefault="00356227" w:rsidP="006E08B3">
          <w:pPr>
            <w:pStyle w:val="Heading3"/>
          </w:pPr>
          <w:r>
            <w:t>Copyright</w:t>
          </w:r>
        </w:p>
        <w:p w14:paraId="58EEACD9" w14:textId="77777777" w:rsidR="00356227" w:rsidRDefault="00356227" w:rsidP="006E08B3">
          <w:r>
            <w:rPr>
              <w:rFonts w:cs="Arial"/>
            </w:rPr>
            <w:t>©</w:t>
          </w:r>
          <w:r>
            <w:t xml:space="preserve"> Commonwealth of Australia [add year]</w:t>
          </w:r>
        </w:p>
        <w:p w14:paraId="5769E60F" w14:textId="77777777" w:rsidR="00356227" w:rsidRDefault="00356227" w:rsidP="006E08B3"/>
        <w:p w14:paraId="14ABB680" w14:textId="77777777" w:rsidR="00356227" w:rsidRDefault="0035622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A85194E" w14:textId="77777777" w:rsidR="00356227" w:rsidRDefault="00356227" w:rsidP="006E08B3"/>
        <w:p w14:paraId="7F287FC7" w14:textId="77777777" w:rsidR="00356227" w:rsidRDefault="00356227" w:rsidP="006E08B3">
          <w:pPr>
            <w:pStyle w:val="Heading3"/>
          </w:pPr>
          <w:r>
            <w:t>Confidentiality</w:t>
          </w:r>
        </w:p>
        <w:p w14:paraId="4FBAE935" w14:textId="77777777" w:rsidR="00356227" w:rsidRDefault="0035622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0917018" w14:textId="77777777" w:rsidR="00356227" w:rsidRDefault="00356227" w:rsidP="006E08B3"/>
        <w:p w14:paraId="76861A63" w14:textId="77777777" w:rsidR="00356227" w:rsidRDefault="00356227" w:rsidP="006E08B3">
          <w:r>
            <w:t>For submission made by individuals, all personal details, other than your name, will be removed from your submission before it is published on the TGA’s Internet site.</w:t>
          </w:r>
        </w:p>
        <w:p w14:paraId="11AF47B9" w14:textId="77777777" w:rsidR="00356227" w:rsidRDefault="00356227" w:rsidP="006E08B3"/>
        <w:p w14:paraId="0C5F2C26" w14:textId="77777777" w:rsidR="00356227" w:rsidRDefault="0035622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56227" w14:paraId="78DA862A" w14:textId="77777777" w:rsidTr="0010601F">
      <w:trPr>
        <w:trHeight w:val="417"/>
      </w:trPr>
      <w:tc>
        <w:tcPr>
          <w:tcW w:w="4519" w:type="dxa"/>
          <w:tcBorders>
            <w:top w:val="single" w:sz="4" w:space="0" w:color="auto"/>
          </w:tcBorders>
          <w:tcMar>
            <w:top w:w="142" w:type="dxa"/>
            <w:bottom w:w="0" w:type="dxa"/>
          </w:tcMar>
        </w:tcPr>
        <w:p w14:paraId="78E8C51C" w14:textId="77777777" w:rsidR="00356227" w:rsidRDefault="00356227" w:rsidP="006E08B3">
          <w:r>
            <w:t>Document title, Part #, Section # - Section title</w:t>
          </w:r>
        </w:p>
        <w:p w14:paraId="14DECACC" w14:textId="77777777" w:rsidR="00356227" w:rsidRDefault="00356227" w:rsidP="006E08B3">
          <w:r>
            <w:t>V1.0 October 2010</w:t>
          </w:r>
        </w:p>
      </w:tc>
      <w:tc>
        <w:tcPr>
          <w:tcW w:w="4356" w:type="dxa"/>
          <w:tcBorders>
            <w:top w:val="single" w:sz="4" w:space="0" w:color="auto"/>
          </w:tcBorders>
          <w:tcMar>
            <w:top w:w="142" w:type="dxa"/>
            <w:bottom w:w="0" w:type="dxa"/>
          </w:tcMar>
        </w:tcPr>
        <w:p w14:paraId="42169EE5" w14:textId="2396BAFC" w:rsidR="00356227" w:rsidRDefault="00356227"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fldSimple w:instr=" NUMPAGES  \* Arabic ">
            <w:r>
              <w:rPr>
                <w:noProof/>
              </w:rPr>
              <w:t>93</w:t>
            </w:r>
          </w:fldSimple>
          <w:r>
            <w:t xml:space="preserve">  </w:t>
          </w:r>
        </w:p>
      </w:tc>
    </w:tr>
  </w:tbl>
  <w:p w14:paraId="7259E454" w14:textId="77777777" w:rsidR="00356227" w:rsidRDefault="003562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5A81" w14:textId="77777777" w:rsidR="00356227" w:rsidRDefault="00356227" w:rsidP="00C40A36">
      <w:pPr>
        <w:spacing w:after="0"/>
      </w:pPr>
      <w:r>
        <w:separator/>
      </w:r>
    </w:p>
  </w:footnote>
  <w:footnote w:type="continuationSeparator" w:id="0">
    <w:p w14:paraId="0A86A9B8" w14:textId="77777777" w:rsidR="00356227" w:rsidRDefault="00356227" w:rsidP="00C40A36">
      <w:pPr>
        <w:spacing w:after="0"/>
      </w:pPr>
      <w:r>
        <w:continuationSeparator/>
      </w:r>
    </w:p>
  </w:footnote>
  <w:footnote w:id="1">
    <w:p w14:paraId="6079BDE7" w14:textId="77777777" w:rsidR="00356227" w:rsidRDefault="00356227" w:rsidP="008F2283">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05B923C9" w14:textId="7A88451B" w:rsidR="00356227" w:rsidRPr="000C761A" w:rsidRDefault="00356227">
      <w:pPr>
        <w:pStyle w:val="FootnoteText"/>
        <w:rPr>
          <w:lang w:val="en-US"/>
        </w:rPr>
      </w:pPr>
      <w:r>
        <w:rPr>
          <w:rStyle w:val="FootnoteReference"/>
        </w:rPr>
        <w:footnoteRef/>
      </w:r>
      <w:r>
        <w:t xml:space="preserve"> </w:t>
      </w:r>
      <w:r>
        <w:rPr>
          <w:lang w:val="en-US"/>
        </w:rPr>
        <w:t xml:space="preserve">Stage IV lung cancer is the most advanced stage of lung cancer; the original </w:t>
      </w:r>
      <w:proofErr w:type="spellStart"/>
      <w:r>
        <w:rPr>
          <w:lang w:val="en-US"/>
        </w:rPr>
        <w:t>tumour</w:t>
      </w:r>
      <w:proofErr w:type="spellEnd"/>
      <w:r>
        <w:rPr>
          <w:lang w:val="en-US"/>
        </w:rPr>
        <w:t xml:space="preserve"> has spread or </w:t>
      </w:r>
      <w:proofErr w:type="spellStart"/>
      <w:r>
        <w:rPr>
          <w:lang w:val="en-US"/>
        </w:rPr>
        <w:t>metastasised</w:t>
      </w:r>
      <w:proofErr w:type="spellEnd"/>
      <w:r>
        <w:rPr>
          <w:lang w:val="en-US"/>
        </w:rPr>
        <w:t xml:space="preserve"> from the original lung to both lungs, the pericardium, chest cavity and/or to other distal parts of the body.</w:t>
      </w:r>
    </w:p>
  </w:footnote>
  <w:footnote w:id="3">
    <w:p w14:paraId="36AAC9F5" w14:textId="6DBAB6B7" w:rsidR="00356227" w:rsidRDefault="00356227" w:rsidP="00A63CD8">
      <w:pPr>
        <w:pStyle w:val="FootnoteText"/>
      </w:pPr>
      <w:r>
        <w:rPr>
          <w:rStyle w:val="FootnoteReference"/>
        </w:rPr>
        <w:footnoteRef/>
      </w:r>
      <w:r w:rsidRPr="00A63CD8">
        <w:t>Australian In</w:t>
      </w:r>
      <w:r>
        <w:t xml:space="preserve">stitute of Health and Welfare. Cancer Data in Australia 2019. Available from </w:t>
      </w:r>
      <w:r w:rsidRPr="00DB2C88">
        <w:t>aihw.gov.au</w:t>
      </w:r>
      <w:r>
        <w:t xml:space="preserve"> (Accessed on 8</w:t>
      </w:r>
      <w:r w:rsidRPr="00A63CD8">
        <w:t xml:space="preserve"> September 2019)</w:t>
      </w:r>
      <w:r>
        <w:t xml:space="preserve"> </w:t>
      </w:r>
    </w:p>
  </w:footnote>
  <w:footnote w:id="4">
    <w:p w14:paraId="21BEB0B6" w14:textId="095BD183" w:rsidR="00356227" w:rsidRPr="000C761A" w:rsidRDefault="00356227">
      <w:pPr>
        <w:pStyle w:val="FootnoteText"/>
        <w:rPr>
          <w:lang w:val="en-US"/>
        </w:rPr>
      </w:pPr>
      <w:r>
        <w:rPr>
          <w:rStyle w:val="FootnoteReference"/>
        </w:rPr>
        <w:footnoteRef/>
      </w:r>
      <w:r>
        <w:t xml:space="preserve"> See the </w:t>
      </w:r>
      <w:r w:rsidRPr="004137B1">
        <w:t xml:space="preserve">AusPAR </w:t>
      </w:r>
      <w:r>
        <w:t xml:space="preserve">for </w:t>
      </w:r>
      <w:proofErr w:type="spellStart"/>
      <w:r w:rsidRPr="004137B1">
        <w:t>Xalkori</w:t>
      </w:r>
      <w:proofErr w:type="spellEnd"/>
      <w:r>
        <w:t xml:space="preserve"> </w:t>
      </w:r>
      <w:proofErr w:type="spellStart"/>
      <w:r>
        <w:t>crizotinib</w:t>
      </w:r>
      <w:proofErr w:type="spellEnd"/>
      <w:r w:rsidRPr="004137B1">
        <w:t xml:space="preserve"> Pfizer Australia Pty Ltd PM-2016-03535</w:t>
      </w:r>
      <w:r>
        <w:t>-1-4; published online on 18 October 2018:</w:t>
      </w:r>
      <w:r w:rsidRPr="004137B1">
        <w:t xml:space="preserve"> </w:t>
      </w:r>
      <w:hyperlink r:id="rId1" w:history="1">
        <w:r w:rsidRPr="005F427F">
          <w:rPr>
            <w:rStyle w:val="Hyperlink"/>
          </w:rPr>
          <w:t>https://www.tga.gov.au/auspar/auspar-crizotinib-0</w:t>
        </w:r>
      </w:hyperlink>
      <w:r>
        <w:t xml:space="preserve"> 1-4 Final 18 October 2018</w:t>
      </w:r>
    </w:p>
  </w:footnote>
  <w:footnote w:id="5">
    <w:p w14:paraId="30163F2E" w14:textId="6D278366" w:rsidR="00356227" w:rsidRDefault="00356227" w:rsidP="00A63CD8">
      <w:pPr>
        <w:pStyle w:val="FootnoteText"/>
      </w:pPr>
      <w:r>
        <w:rPr>
          <w:rStyle w:val="FootnoteReference"/>
        </w:rPr>
        <w:footnoteRef/>
      </w:r>
      <w:r w:rsidRPr="009063F8">
        <w:t>National Institute f</w:t>
      </w:r>
      <w:r>
        <w:t xml:space="preserve">or Health and Care Excellence. </w:t>
      </w:r>
      <w:proofErr w:type="spellStart"/>
      <w:r w:rsidRPr="009063F8">
        <w:t>Crizotinib</w:t>
      </w:r>
      <w:proofErr w:type="spellEnd"/>
      <w:r w:rsidRPr="009063F8">
        <w:t xml:space="preserve"> for treating ROS1-positive advanced non-small-cell lung cancer Technology appraisal guidance Published: 4 July 2018 </w:t>
      </w:r>
      <w:r>
        <w:t>(Available from nice.org.uk)</w:t>
      </w:r>
    </w:p>
  </w:footnote>
  <w:footnote w:id="6">
    <w:p w14:paraId="33209102" w14:textId="458C5D76" w:rsidR="00356227" w:rsidRDefault="00356227" w:rsidP="00A63CD8">
      <w:pPr>
        <w:pStyle w:val="FootnoteText"/>
      </w:pPr>
      <w:r>
        <w:rPr>
          <w:rStyle w:val="FootnoteReference"/>
        </w:rPr>
        <w:footnoteRef/>
      </w:r>
      <w:proofErr w:type="spellStart"/>
      <w:r w:rsidRPr="009063F8">
        <w:t>Petrelli</w:t>
      </w:r>
      <w:proofErr w:type="spellEnd"/>
      <w:r w:rsidRPr="009063F8">
        <w:t xml:space="preserve"> F, et al. Efficacy of ALK inhibitors on NSCLC brain metastases: A systematic review and pooled analysis of 21 studies</w:t>
      </w:r>
      <w:r w:rsidRPr="003C65F0">
        <w:rPr>
          <w:i/>
        </w:rPr>
        <w:t xml:space="preserve">. </w:t>
      </w:r>
      <w:proofErr w:type="spellStart"/>
      <w:r w:rsidRPr="003C65F0">
        <w:rPr>
          <w:i/>
        </w:rPr>
        <w:t>PLoS</w:t>
      </w:r>
      <w:proofErr w:type="spellEnd"/>
      <w:r w:rsidRPr="003C65F0">
        <w:rPr>
          <w:i/>
        </w:rPr>
        <w:t xml:space="preserve"> ONE</w:t>
      </w:r>
      <w:r>
        <w:t>, 2018; 13(7): e0201425.</w:t>
      </w:r>
    </w:p>
  </w:footnote>
  <w:footnote w:id="7">
    <w:p w14:paraId="439F4D1B" w14:textId="36A1692C" w:rsidR="00356227" w:rsidRDefault="00356227" w:rsidP="009738C9">
      <w:pPr>
        <w:pStyle w:val="FootnoteText"/>
      </w:pPr>
      <w:r>
        <w:rPr>
          <w:rStyle w:val="FootnoteReference"/>
        </w:rPr>
        <w:footnoteRef/>
      </w:r>
      <w:r>
        <w:t xml:space="preserve"> </w:t>
      </w:r>
      <w:proofErr w:type="spellStart"/>
      <w:r>
        <w:t>Doebele</w:t>
      </w:r>
      <w:proofErr w:type="spellEnd"/>
      <w:r>
        <w:t xml:space="preserve">, Robert C, et al. Entrectinib in patients with advanced or metastatic NTRK fusion-positive solid tumours: integrated analysis of three phase 1–2 trials </w:t>
      </w:r>
      <w:r w:rsidRPr="003C65F0">
        <w:rPr>
          <w:i/>
        </w:rPr>
        <w:t>The Lancet Oncology</w:t>
      </w:r>
      <w:r>
        <w:t>, 2019; 21 (2), 271 – 282.</w:t>
      </w:r>
    </w:p>
  </w:footnote>
  <w:footnote w:id="8">
    <w:p w14:paraId="3FCD34A2" w14:textId="2A7F9265" w:rsidR="00356227" w:rsidRDefault="00356227">
      <w:pPr>
        <w:pStyle w:val="FootnoteText"/>
      </w:pPr>
      <w:r>
        <w:rPr>
          <w:rStyle w:val="FootnoteReference"/>
        </w:rPr>
        <w:footnoteRef/>
      </w:r>
      <w:r>
        <w:t xml:space="preserve"> </w:t>
      </w:r>
      <w:r w:rsidRPr="003F1EC3">
        <w:t xml:space="preserve">Kaplan DR, </w:t>
      </w:r>
      <w:r>
        <w:t>et al</w:t>
      </w:r>
      <w:r w:rsidRPr="003F1EC3">
        <w:t xml:space="preserve">. The </w:t>
      </w:r>
      <w:proofErr w:type="spellStart"/>
      <w:r w:rsidRPr="003F1EC3">
        <w:t>trk</w:t>
      </w:r>
      <w:proofErr w:type="spellEnd"/>
      <w:r w:rsidRPr="003F1EC3">
        <w:t xml:space="preserve"> proto-oncogene product: a signal transducing receptor for nerve growth factor. </w:t>
      </w:r>
      <w:r w:rsidRPr="003C65F0">
        <w:rPr>
          <w:i/>
        </w:rPr>
        <w:t>Science</w:t>
      </w:r>
      <w:r>
        <w:t>, 1991; 252(5005):554-558.</w:t>
      </w:r>
    </w:p>
  </w:footnote>
  <w:footnote w:id="9">
    <w:p w14:paraId="62CE1A6F" w14:textId="60FB72D6" w:rsidR="00356227" w:rsidRDefault="00356227">
      <w:pPr>
        <w:pStyle w:val="FootnoteText"/>
      </w:pPr>
      <w:r>
        <w:rPr>
          <w:rStyle w:val="FootnoteReference"/>
        </w:rPr>
        <w:footnoteRef/>
      </w:r>
      <w:r>
        <w:t xml:space="preserve"> </w:t>
      </w:r>
      <w:r w:rsidRPr="003F1EC3">
        <w:t xml:space="preserve">Kaplan, D., </w:t>
      </w:r>
      <w:r>
        <w:t>et al</w:t>
      </w:r>
      <w:r w:rsidRPr="003F1EC3">
        <w:t xml:space="preserve">. Tyrosine phosphorylation and tyrosine kinase activity of the </w:t>
      </w:r>
      <w:proofErr w:type="spellStart"/>
      <w:r w:rsidRPr="003F1EC3">
        <w:t>trk</w:t>
      </w:r>
      <w:proofErr w:type="spellEnd"/>
      <w:r w:rsidRPr="003F1EC3">
        <w:t xml:space="preserve"> proto-oncogene</w:t>
      </w:r>
      <w:r>
        <w:t xml:space="preserve"> product induced by NGF. </w:t>
      </w:r>
      <w:r w:rsidRPr="003C65F0">
        <w:rPr>
          <w:i/>
        </w:rPr>
        <w:t>Nature</w:t>
      </w:r>
      <w:r>
        <w:t>, 1991; 350, 158–160.</w:t>
      </w:r>
    </w:p>
  </w:footnote>
  <w:footnote w:id="10">
    <w:p w14:paraId="1D0C569B" w14:textId="6C00944C" w:rsidR="00356227" w:rsidRDefault="00356227">
      <w:pPr>
        <w:pStyle w:val="FootnoteText"/>
      </w:pPr>
      <w:r>
        <w:rPr>
          <w:rStyle w:val="FootnoteReference"/>
        </w:rPr>
        <w:footnoteRef/>
      </w:r>
      <w:r>
        <w:t xml:space="preserve"> Klein R, et al</w:t>
      </w:r>
      <w:r w:rsidRPr="003F1EC3">
        <w:t xml:space="preserve">. The </w:t>
      </w:r>
      <w:proofErr w:type="spellStart"/>
      <w:r w:rsidRPr="003F1EC3">
        <w:t>trk</w:t>
      </w:r>
      <w:proofErr w:type="spellEnd"/>
      <w:r w:rsidRPr="003F1EC3">
        <w:t xml:space="preserve"> proto-oncogene encodes a receptor for nerve growth fa</w:t>
      </w:r>
      <w:r>
        <w:t xml:space="preserve">ctor. </w:t>
      </w:r>
      <w:r w:rsidRPr="003C65F0">
        <w:rPr>
          <w:i/>
        </w:rPr>
        <w:t>Cell.</w:t>
      </w:r>
      <w:r>
        <w:t xml:space="preserve"> 1991;65(1):189-197.</w:t>
      </w:r>
    </w:p>
  </w:footnote>
  <w:footnote w:id="11">
    <w:p w14:paraId="16C46C28" w14:textId="16D61BE6" w:rsidR="00356227" w:rsidRDefault="00356227" w:rsidP="00BA2FB0">
      <w:pPr>
        <w:pStyle w:val="FootnoteText"/>
      </w:pPr>
      <w:r>
        <w:rPr>
          <w:rStyle w:val="FootnoteReference"/>
        </w:rPr>
        <w:footnoteRef/>
      </w:r>
      <w:r>
        <w:t xml:space="preserve"> </w:t>
      </w:r>
      <w:proofErr w:type="spellStart"/>
      <w:r>
        <w:t>Soppet</w:t>
      </w:r>
      <w:proofErr w:type="spellEnd"/>
      <w:r>
        <w:t xml:space="preserve">, Dan, et al. The neurotrophic factors brain-derived neurotrophic factor and neurotrophin-3 are ligands for the B tyrosine kinase receptor. </w:t>
      </w:r>
      <w:r w:rsidRPr="003C65F0">
        <w:rPr>
          <w:i/>
        </w:rPr>
        <w:t>Cell</w:t>
      </w:r>
      <w:r>
        <w:t>. 1991, 65(5): 895-903.</w:t>
      </w:r>
    </w:p>
  </w:footnote>
  <w:footnote w:id="12">
    <w:p w14:paraId="274C46D3" w14:textId="4FDCEE34" w:rsidR="00356227" w:rsidRDefault="00356227">
      <w:pPr>
        <w:pStyle w:val="FootnoteText"/>
      </w:pPr>
      <w:r>
        <w:rPr>
          <w:rStyle w:val="FootnoteReference"/>
        </w:rPr>
        <w:footnoteRef/>
      </w:r>
      <w:r>
        <w:t xml:space="preserve"> </w:t>
      </w:r>
      <w:r w:rsidRPr="00147049">
        <w:t xml:space="preserve">Klein, R., </w:t>
      </w:r>
      <w:r>
        <w:t xml:space="preserve">et </w:t>
      </w:r>
      <w:proofErr w:type="spellStart"/>
      <w:r>
        <w:t>al.</w:t>
      </w:r>
      <w:r w:rsidRPr="00147049">
        <w:t>The</w:t>
      </w:r>
      <w:proofErr w:type="spellEnd"/>
      <w:r w:rsidRPr="00147049">
        <w:t xml:space="preserve"> </w:t>
      </w:r>
      <w:proofErr w:type="spellStart"/>
      <w:r w:rsidRPr="00147049">
        <w:t>trkB</w:t>
      </w:r>
      <w:proofErr w:type="spellEnd"/>
      <w:r w:rsidRPr="00147049">
        <w:t xml:space="preserve"> tyrosine protein kinase is a receptor for brain-derived neurotrophic factor and neurotrophin-3. </w:t>
      </w:r>
      <w:r w:rsidRPr="003C65F0">
        <w:rPr>
          <w:i/>
        </w:rPr>
        <w:t>Cell</w:t>
      </w:r>
      <w:r>
        <w:t>, 1991; 66(2), 395–403.</w:t>
      </w:r>
    </w:p>
  </w:footnote>
  <w:footnote w:id="13">
    <w:p w14:paraId="4FF891E9" w14:textId="29B1DAE4" w:rsidR="00356227" w:rsidRDefault="00356227">
      <w:pPr>
        <w:pStyle w:val="FootnoteText"/>
      </w:pPr>
      <w:r>
        <w:rPr>
          <w:rStyle w:val="FootnoteReference"/>
        </w:rPr>
        <w:footnoteRef/>
      </w:r>
      <w:r>
        <w:t xml:space="preserve"> </w:t>
      </w:r>
      <w:proofErr w:type="spellStart"/>
      <w:r w:rsidRPr="00147049">
        <w:t>Cocco</w:t>
      </w:r>
      <w:proofErr w:type="spellEnd"/>
      <w:r w:rsidRPr="00147049">
        <w:t xml:space="preserve"> E, </w:t>
      </w:r>
      <w:r>
        <w:t>et al</w:t>
      </w:r>
      <w:r w:rsidRPr="00147049">
        <w:t>. NTRK fusion-positive canc</w:t>
      </w:r>
      <w:r>
        <w:t xml:space="preserve">ers and TRK inhibitor therapy. </w:t>
      </w:r>
      <w:r w:rsidRPr="00147049">
        <w:t>Nat</w:t>
      </w:r>
      <w:r>
        <w:t>ure Reviews Clinical Oncology,</w:t>
      </w:r>
      <w:r w:rsidRPr="00147049">
        <w:t>2018; 15, 731–747</w:t>
      </w:r>
      <w:r>
        <w:t>.</w:t>
      </w:r>
    </w:p>
  </w:footnote>
  <w:footnote w:id="14">
    <w:p w14:paraId="51C1DADE" w14:textId="786063FB" w:rsidR="00356227" w:rsidRDefault="00356227" w:rsidP="00134048">
      <w:pPr>
        <w:pStyle w:val="ListBullet"/>
        <w:numPr>
          <w:ilvl w:val="0"/>
          <w:numId w:val="0"/>
        </w:numPr>
      </w:pPr>
      <w:r>
        <w:rPr>
          <w:rStyle w:val="FootnoteReference"/>
        </w:rPr>
        <w:footnoteRef/>
      </w:r>
      <w:r>
        <w:t xml:space="preserve"> </w:t>
      </w:r>
      <w:r w:rsidRPr="001E1CF4">
        <w:rPr>
          <w:rStyle w:val="FootnoteTextChar"/>
        </w:rPr>
        <w:t>FDA review: NDA/BLA Multi‐disciplinary Review and Evaluation NDA 212725 and NDA 212726 Rozlytrek (entrectinib)</w:t>
      </w:r>
      <w:r>
        <w:rPr>
          <w:rStyle w:val="FootnoteTextChar"/>
        </w:rPr>
        <w:t>. August 2019. Available from the FDA website.</w:t>
      </w:r>
    </w:p>
  </w:footnote>
  <w:footnote w:id="15">
    <w:p w14:paraId="0A6FA419" w14:textId="7A230269" w:rsidR="00356227" w:rsidRDefault="00356227">
      <w:pPr>
        <w:pStyle w:val="FootnoteText"/>
      </w:pPr>
      <w:r>
        <w:rPr>
          <w:rStyle w:val="FootnoteReference"/>
        </w:rPr>
        <w:footnoteRef/>
      </w:r>
      <w:r>
        <w:t xml:space="preserve"> </w:t>
      </w:r>
      <w:r w:rsidRPr="00FC2A79">
        <w:t xml:space="preserve">The </w:t>
      </w:r>
      <w:r w:rsidRPr="000C761A">
        <w:rPr>
          <w:b/>
        </w:rPr>
        <w:t>Biopharmaceutics Classification System</w:t>
      </w:r>
      <w:r>
        <w:t xml:space="preserve"> (</w:t>
      </w:r>
      <w:r w:rsidRPr="000C761A">
        <w:rPr>
          <w:b/>
        </w:rPr>
        <w:t>BCS</w:t>
      </w:r>
      <w:r>
        <w:t>)</w:t>
      </w:r>
      <w:r w:rsidRPr="00FC2A79">
        <w:t xml:space="preserve"> is a system to differentiate the drugs on the basis of their</w:t>
      </w:r>
      <w:r>
        <w:t xml:space="preserve"> solubility and permeability.</w:t>
      </w:r>
    </w:p>
  </w:footnote>
  <w:footnote w:id="16">
    <w:p w14:paraId="487B56CE" w14:textId="77777777" w:rsidR="00356227" w:rsidRDefault="00356227" w:rsidP="00922346">
      <w:pPr>
        <w:pStyle w:val="FootnoteText"/>
      </w:pPr>
      <w:r>
        <w:rPr>
          <w:rStyle w:val="FootnoteReference"/>
        </w:rPr>
        <w:footnoteRef/>
      </w:r>
      <w:r w:rsidRPr="007C5B06">
        <w:rPr>
          <w:lang w:eastAsia="ja-JP"/>
        </w:rPr>
        <w:t xml:space="preserve">The </w:t>
      </w:r>
      <w:r w:rsidRPr="000C761A">
        <w:rPr>
          <w:b/>
          <w:lang w:eastAsia="ja-JP"/>
        </w:rPr>
        <w:t>QT interval</w:t>
      </w:r>
      <w:r>
        <w:rPr>
          <w:lang w:eastAsia="ja-JP"/>
        </w:rPr>
        <w:t xml:space="preserve"> is the time from the start of the Q wave to the end of the T wave. It represents the time taken for ventricular depolarisation and repolarisation, effectively the period of ventricular systole from ventricular </w:t>
      </w:r>
      <w:proofErr w:type="spellStart"/>
      <w:r>
        <w:rPr>
          <w:lang w:eastAsia="ja-JP"/>
        </w:rPr>
        <w:t>isovolumetric</w:t>
      </w:r>
      <w:proofErr w:type="spellEnd"/>
      <w:r>
        <w:rPr>
          <w:lang w:eastAsia="ja-JP"/>
        </w:rPr>
        <w:t xml:space="preserve"> contraction to </w:t>
      </w:r>
      <w:proofErr w:type="spellStart"/>
      <w:r>
        <w:rPr>
          <w:lang w:eastAsia="ja-JP"/>
        </w:rPr>
        <w:t>isovolumetric</w:t>
      </w:r>
      <w:proofErr w:type="spellEnd"/>
      <w:r>
        <w:rPr>
          <w:lang w:eastAsia="ja-JP"/>
        </w:rPr>
        <w:t xml:space="preserve"> </w:t>
      </w:r>
      <w:proofErr w:type="spellStart"/>
      <w:r>
        <w:rPr>
          <w:lang w:eastAsia="ja-JP"/>
        </w:rPr>
        <w:t>relaxation.The</w:t>
      </w:r>
      <w:proofErr w:type="spellEnd"/>
      <w:r>
        <w:rPr>
          <w:lang w:eastAsia="ja-JP"/>
        </w:rPr>
        <w:t xml:space="preserve"> QT shortens at faster heart rates. An abnormally prolonged QT is associated with an increased risk of ventricular arrhythmias, especially Torsades de Pointes. The recently described congenital short QT syndrome has been found to be associated with an increased risk of paroxysmal atrial and ventricular fibrillation and sudden cardiac death.</w:t>
      </w:r>
    </w:p>
  </w:footnote>
  <w:footnote w:id="17">
    <w:p w14:paraId="6A60288B" w14:textId="3B40EB52" w:rsidR="00356227" w:rsidRDefault="00356227" w:rsidP="00922346">
      <w:pPr>
        <w:pStyle w:val="FootnoteText"/>
      </w:pPr>
      <w:r>
        <w:rPr>
          <w:rStyle w:val="FootnoteReference"/>
        </w:rPr>
        <w:footnoteRef/>
      </w:r>
      <w:r w:rsidRPr="000C761A">
        <w:rPr>
          <w:b/>
        </w:rPr>
        <w:t>Australian Pregnancy Category D</w:t>
      </w:r>
      <w:r>
        <w:t xml:space="preserve">: </w:t>
      </w:r>
      <w:r w:rsidRPr="00BE5184">
        <w:t xml:space="preserve">Drugs which have caused, are suspected to have caused or may be expected to cause, an increased incidence of human </w:t>
      </w:r>
      <w:proofErr w:type="spellStart"/>
      <w:r w:rsidRPr="00BE5184">
        <w:t>fetal</w:t>
      </w:r>
      <w:proofErr w:type="spellEnd"/>
      <w:r w:rsidRPr="00BE5184">
        <w:t xml:space="preserve"> malformations or irreversible damage. These drugs may also have adverse pharmacological effects. Accompanying texts should be consulted for further details</w:t>
      </w:r>
      <w:r>
        <w:t>.</w:t>
      </w:r>
    </w:p>
  </w:footnote>
  <w:footnote w:id="18">
    <w:p w14:paraId="03109A0B" w14:textId="0CAE3BBE" w:rsidR="00356227" w:rsidRDefault="00356227">
      <w:pPr>
        <w:pStyle w:val="FootnoteText"/>
      </w:pPr>
      <w:r>
        <w:rPr>
          <w:rStyle w:val="FootnoteReference"/>
        </w:rPr>
        <w:footnoteRef/>
      </w:r>
      <w:r>
        <w:t xml:space="preserve"> N</w:t>
      </w:r>
      <w:r w:rsidRPr="00F46E5A">
        <w:t>ONMEM is a software package for population pharmacokinetic model</w:t>
      </w:r>
      <w:r>
        <w:t>l</w:t>
      </w:r>
      <w:r w:rsidRPr="00F46E5A">
        <w:t>ing</w:t>
      </w:r>
      <w:r>
        <w:t>.</w:t>
      </w:r>
    </w:p>
  </w:footnote>
  <w:footnote w:id="19">
    <w:p w14:paraId="30CB4853" w14:textId="345693CB" w:rsidR="00356227" w:rsidRDefault="00356227" w:rsidP="00795EA8">
      <w:pPr>
        <w:pStyle w:val="FootnoteText"/>
        <w:spacing w:before="120" w:after="120"/>
        <w:rPr>
          <w:lang w:eastAsia="ja-JP"/>
        </w:rPr>
      </w:pPr>
      <w:r>
        <w:rPr>
          <w:rStyle w:val="FootnoteReference"/>
        </w:rPr>
        <w:footnoteRef/>
      </w:r>
      <w:r>
        <w:t xml:space="preserve"> </w:t>
      </w:r>
      <w:r w:rsidRPr="00124ACD">
        <w:rPr>
          <w:b/>
          <w:lang w:eastAsia="ja-JP"/>
        </w:rPr>
        <w:t>ECOG Performance Status</w:t>
      </w:r>
      <w:r>
        <w:rPr>
          <w:b/>
          <w:lang w:eastAsia="ja-JP"/>
        </w:rPr>
        <w:t>:</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01A26D93" w14:textId="77777777" w:rsidR="00356227" w:rsidRDefault="00356227" w:rsidP="00795EA8">
      <w:pPr>
        <w:pStyle w:val="FootnoteText"/>
        <w:spacing w:before="120" w:after="120"/>
        <w:rPr>
          <w:lang w:eastAsia="ja-JP"/>
        </w:rPr>
      </w:pPr>
      <w:r>
        <w:rPr>
          <w:lang w:eastAsia="ja-JP"/>
        </w:rPr>
        <w:t>0 - Fully active, able to carry on all pre-disease performance without restriction</w:t>
      </w:r>
    </w:p>
    <w:p w14:paraId="4F525693" w14:textId="4E67B482" w:rsidR="00356227" w:rsidRDefault="00356227" w:rsidP="00795EA8">
      <w:pPr>
        <w:pStyle w:val="FootnoteText"/>
        <w:spacing w:before="120" w:after="120"/>
        <w:rPr>
          <w:lang w:eastAsia="ja-JP"/>
        </w:rPr>
      </w:pPr>
      <w:r>
        <w:rPr>
          <w:lang w:eastAsia="ja-JP"/>
        </w:rPr>
        <w:t>1- Restricted in physically strenuous activity but ambulatory and able to carry out work of a light or sedentary nature, for example, light house work, office work</w:t>
      </w:r>
    </w:p>
    <w:p w14:paraId="24D02BC2" w14:textId="3F59DAF0" w:rsidR="00356227" w:rsidRDefault="00356227" w:rsidP="00795EA8">
      <w:pPr>
        <w:pStyle w:val="FootnoteText"/>
        <w:spacing w:before="120" w:after="120"/>
        <w:rPr>
          <w:lang w:eastAsia="ja-JP"/>
        </w:rPr>
      </w:pPr>
      <w:r>
        <w:rPr>
          <w:lang w:eastAsia="ja-JP"/>
        </w:rPr>
        <w:t>2 - Ambulatory and capable of all self-care but unable to carry out any work activities. Up and about more than 50% of waking hours</w:t>
      </w:r>
    </w:p>
    <w:p w14:paraId="612B750F" w14:textId="5FDCAF73" w:rsidR="00356227" w:rsidRDefault="00356227" w:rsidP="00795EA8">
      <w:pPr>
        <w:pStyle w:val="FootnoteText"/>
        <w:spacing w:before="120" w:after="120"/>
        <w:rPr>
          <w:lang w:eastAsia="ja-JP"/>
        </w:rPr>
      </w:pPr>
      <w:r>
        <w:rPr>
          <w:lang w:eastAsia="ja-JP"/>
        </w:rPr>
        <w:t>3 - Capable of only limited self-care, confined to bed or chair more than 50% of waking hours</w:t>
      </w:r>
    </w:p>
    <w:p w14:paraId="5B36BA82" w14:textId="4A859285" w:rsidR="00356227" w:rsidRDefault="00356227" w:rsidP="00795EA8">
      <w:pPr>
        <w:pStyle w:val="FootnoteText"/>
        <w:spacing w:before="120" w:after="120"/>
        <w:rPr>
          <w:lang w:eastAsia="ja-JP"/>
        </w:rPr>
      </w:pPr>
      <w:r>
        <w:rPr>
          <w:lang w:eastAsia="ja-JP"/>
        </w:rPr>
        <w:t>4 - Completely disabled. Cannot carry on any self-care. Totally confined to bed or chair</w:t>
      </w:r>
    </w:p>
    <w:p w14:paraId="445D2192" w14:textId="6271E619" w:rsidR="00356227" w:rsidRDefault="00356227" w:rsidP="00795EA8">
      <w:pPr>
        <w:pStyle w:val="FootnoteText"/>
        <w:spacing w:before="120" w:after="120"/>
        <w:rPr>
          <w:lang w:eastAsia="ja-JP"/>
        </w:rPr>
      </w:pPr>
      <w:r>
        <w:rPr>
          <w:lang w:eastAsia="ja-JP"/>
        </w:rPr>
        <w:t>5 – Dead</w:t>
      </w:r>
    </w:p>
  </w:footnote>
  <w:footnote w:id="20">
    <w:p w14:paraId="0D1A5008" w14:textId="77777777" w:rsidR="00356227" w:rsidRDefault="00356227" w:rsidP="002F4F02">
      <w:pPr>
        <w:pStyle w:val="FootnoteText"/>
      </w:pPr>
      <w:r>
        <w:rPr>
          <w:rStyle w:val="FootnoteReference"/>
        </w:rPr>
        <w:footnoteRef/>
      </w:r>
      <w:r>
        <w:t xml:space="preserve"> By blinded central review, using Radiographic Assessment in </w:t>
      </w:r>
      <w:proofErr w:type="spellStart"/>
      <w:r>
        <w:t>Neurooncology</w:t>
      </w:r>
      <w:proofErr w:type="spellEnd"/>
      <w:r>
        <w:t xml:space="preserve"> (RANO) or Radiographic Assessment in Neuro-oncology-Brain Metastases (RANO-BM), as applicable.</w:t>
      </w:r>
    </w:p>
  </w:footnote>
  <w:footnote w:id="21">
    <w:p w14:paraId="7C7F85FA" w14:textId="55DB7172" w:rsidR="00356227" w:rsidRPr="000C761A" w:rsidRDefault="00356227">
      <w:pPr>
        <w:pStyle w:val="FootnoteText"/>
        <w:rPr>
          <w:lang w:val="en-US"/>
        </w:rPr>
      </w:pPr>
      <w:r>
        <w:rPr>
          <w:rStyle w:val="FootnoteReference"/>
        </w:rPr>
        <w:footnoteRef/>
      </w:r>
      <w:r>
        <w:t xml:space="preserve"> </w:t>
      </w:r>
      <w:r w:rsidRPr="00D03796">
        <w:t xml:space="preserve">The </w:t>
      </w:r>
      <w:r>
        <w:t xml:space="preserve">29 question </w:t>
      </w:r>
      <w:r w:rsidRPr="00D03796">
        <w:t>European Organisation for Research and Treatment of Cancer</w:t>
      </w:r>
      <w:r>
        <w:t xml:space="preserve"> Quality of Life Questionnaire for Colorectal Cancer (</w:t>
      </w:r>
      <w:r w:rsidRPr="000C761A">
        <w:rPr>
          <w:b/>
        </w:rPr>
        <w:t>EORTC QLQ-CR29</w:t>
      </w:r>
      <w:r>
        <w:t>)</w:t>
      </w:r>
      <w:r w:rsidRPr="00D03796">
        <w:t xml:space="preserve"> is a patient-reported outcome measure to evaluate health-related quality of life among colorectal cancer patients in research and clinical practice.</w:t>
      </w:r>
    </w:p>
  </w:footnote>
  <w:footnote w:id="22">
    <w:p w14:paraId="6D1E4F3B" w14:textId="1BDA080B" w:rsidR="00356227" w:rsidRDefault="00356227">
      <w:pPr>
        <w:pStyle w:val="FootnoteText"/>
      </w:pPr>
      <w:r>
        <w:rPr>
          <w:rStyle w:val="FootnoteReference"/>
        </w:rPr>
        <w:footnoteRef/>
      </w:r>
      <w:r>
        <w:t xml:space="preserve"> </w:t>
      </w:r>
      <w:r w:rsidRPr="00B14979">
        <w:t>Next generation sequencing (NGS), massively parallel or deep sequencing are related terms that describe a DNA sequencing technology.</w:t>
      </w:r>
    </w:p>
  </w:footnote>
  <w:footnote w:id="23">
    <w:p w14:paraId="1C950492" w14:textId="325FFE8B" w:rsidR="00356227" w:rsidRDefault="00356227">
      <w:pPr>
        <w:pStyle w:val="FootnoteText"/>
      </w:pPr>
      <w:r>
        <w:rPr>
          <w:rStyle w:val="FootnoteReference"/>
        </w:rPr>
        <w:footnoteRef/>
      </w:r>
      <w:r>
        <w:t xml:space="preserve"> </w:t>
      </w:r>
      <w:r w:rsidRPr="00B14979">
        <w:t>Fluorescence in situ hybridization (FISH) is a molecular cytogenetic technique that uses fluorescent probes that bind to only those parts of a nucleic acid sequence with a high degree of sequence complementarity.</w:t>
      </w:r>
    </w:p>
  </w:footnote>
  <w:footnote w:id="24">
    <w:p w14:paraId="2A5605F5" w14:textId="3C57A44A" w:rsidR="00356227" w:rsidRDefault="00356227">
      <w:pPr>
        <w:pStyle w:val="FootnoteText"/>
      </w:pPr>
      <w:r>
        <w:rPr>
          <w:rStyle w:val="FootnoteReference"/>
        </w:rPr>
        <w:footnoteRef/>
      </w:r>
      <w:r>
        <w:t xml:space="preserve"> The </w:t>
      </w:r>
      <w:proofErr w:type="spellStart"/>
      <w:r>
        <w:t>Trailblaze</w:t>
      </w:r>
      <w:proofErr w:type="spellEnd"/>
      <w:r>
        <w:t xml:space="preserve"> Pharos</w:t>
      </w:r>
      <w:r w:rsidRPr="00FF7182">
        <w:t xml:space="preserve"> assay for NTRK1/2/3, ROS1, and ALK gene rearrangements is a next-generation sequencing (NGS) based assay for the qualitative detection of fusions in the NTRK1/2/3, ROS1, or ALK genes in the RNA from formalin-fixed paraffin-embedded (FFPE) human solid </w:t>
      </w:r>
      <w:proofErr w:type="spellStart"/>
      <w:r w:rsidRPr="00FF7182">
        <w:t>tumor</w:t>
      </w:r>
      <w:proofErr w:type="spellEnd"/>
      <w:r w:rsidRPr="00FF7182">
        <w:t xml:space="preserve"> tissue. The assay is intended to be used as an aid in selecting patients, including those who are treatment-naïve, with solid </w:t>
      </w:r>
      <w:proofErr w:type="spellStart"/>
      <w:r w:rsidRPr="00FF7182">
        <w:t>tumors</w:t>
      </w:r>
      <w:proofErr w:type="spellEnd"/>
      <w:r w:rsidRPr="00FF7182">
        <w:t xml:space="preserve"> that harbor a gene rearrangement in NTRK1/2/3, ROS1, or ALK, for whom </w:t>
      </w:r>
      <w:proofErr w:type="spellStart"/>
      <w:r w:rsidRPr="00FF7182">
        <w:t>enrollment</w:t>
      </w:r>
      <w:proofErr w:type="spellEnd"/>
      <w:r w:rsidRPr="00FF7182">
        <w:t xml:space="preserve"> in the STARTRK-2 study may be appropriate. A laboratory developed test (LDT) version of the </w:t>
      </w:r>
      <w:proofErr w:type="spellStart"/>
      <w:r w:rsidRPr="00FF7182">
        <w:t>Trailblaze</w:t>
      </w:r>
      <w:proofErr w:type="spellEnd"/>
      <w:r w:rsidRPr="00FF7182">
        <w:t xml:space="preserve"> Pharos assay was previously used to identify non-treatment-naïve patients with NTRK1/2/3, ROS1, or ALK gene rearrangements who might be eligible for the STARTRK-2 study.</w:t>
      </w:r>
    </w:p>
  </w:footnote>
  <w:footnote w:id="25">
    <w:p w14:paraId="4397F2A1" w14:textId="00FB7F3C" w:rsidR="00356227" w:rsidRDefault="00356227">
      <w:pPr>
        <w:pStyle w:val="FootnoteText"/>
      </w:pPr>
      <w:r>
        <w:rPr>
          <w:rStyle w:val="FootnoteReference"/>
        </w:rPr>
        <w:footnoteRef/>
      </w:r>
      <w:r>
        <w:t xml:space="preserve"> </w:t>
      </w:r>
      <w:proofErr w:type="spellStart"/>
      <w:r>
        <w:t>FoundationOne</w:t>
      </w:r>
      <w:proofErr w:type="spellEnd"/>
      <w:r>
        <w:t xml:space="preserve"> </w:t>
      </w:r>
      <w:r w:rsidRPr="00F71FB1">
        <w:t>is the first FDA-approved tissue-based broad companion diagnostic (</w:t>
      </w:r>
      <w:proofErr w:type="spellStart"/>
      <w:r w:rsidRPr="00F71FB1">
        <w:t>CDx</w:t>
      </w:r>
      <w:proofErr w:type="spellEnd"/>
      <w:r w:rsidRPr="00F71FB1">
        <w:t>) that is clinically and analytical</w:t>
      </w:r>
      <w:r>
        <w:t>ly validated for all solid tumours.</w:t>
      </w:r>
    </w:p>
  </w:footnote>
  <w:footnote w:id="26">
    <w:p w14:paraId="4E9318E2" w14:textId="2255F4F2" w:rsidR="00356227" w:rsidRDefault="00356227">
      <w:pPr>
        <w:pStyle w:val="FootnoteText"/>
      </w:pPr>
      <w:r>
        <w:rPr>
          <w:rStyle w:val="FootnoteReference"/>
        </w:rPr>
        <w:footnoteRef/>
      </w:r>
      <w:r>
        <w:t xml:space="preserve"> </w:t>
      </w:r>
      <w:proofErr w:type="spellStart"/>
      <w:r w:rsidRPr="00E53399">
        <w:t>FoundationOne</w:t>
      </w:r>
      <w:proofErr w:type="spellEnd"/>
      <w:r w:rsidRPr="00E53399">
        <w:t xml:space="preserve"> </w:t>
      </w:r>
      <w:proofErr w:type="spellStart"/>
      <w:r w:rsidRPr="00E53399">
        <w:t>Heme</w:t>
      </w:r>
      <w:proofErr w:type="spellEnd"/>
      <w:r w:rsidRPr="00E53399">
        <w:t xml:space="preserve"> is a comprehensive genomic profiling (CGP) test combining DNA and RNA sequencing for patients with hematologic malignancies, sarcomas or solid </w:t>
      </w:r>
      <w:proofErr w:type="spellStart"/>
      <w:r w:rsidRPr="00E53399">
        <w:t>tumors</w:t>
      </w:r>
      <w:proofErr w:type="spellEnd"/>
      <w:r w:rsidRPr="00E53399">
        <w:t xml:space="preserve"> where RNA sequencing is desired</w:t>
      </w:r>
      <w:r>
        <w:t>.</w:t>
      </w:r>
    </w:p>
  </w:footnote>
  <w:footnote w:id="27">
    <w:p w14:paraId="322A2ACF" w14:textId="0553886B" w:rsidR="00356227" w:rsidRDefault="00356227">
      <w:pPr>
        <w:pStyle w:val="FootnoteText"/>
      </w:pPr>
      <w:r>
        <w:rPr>
          <w:rStyle w:val="FootnoteReference"/>
        </w:rPr>
        <w:footnoteRef/>
      </w:r>
      <w:r>
        <w:t xml:space="preserve"> </w:t>
      </w:r>
      <w:proofErr w:type="spellStart"/>
      <w:r w:rsidRPr="00316FF9">
        <w:t>Nanostring</w:t>
      </w:r>
      <w:proofErr w:type="spellEnd"/>
      <w:r w:rsidRPr="00316FF9">
        <w:t xml:space="preserve"> is an amplification-free technology that measures nucleic acid content by counting molecules directly.</w:t>
      </w:r>
    </w:p>
  </w:footnote>
  <w:footnote w:id="28">
    <w:p w14:paraId="3CF11DC2" w14:textId="43AD02E3" w:rsidR="00356227" w:rsidRDefault="00356227">
      <w:pPr>
        <w:pStyle w:val="FootnoteText"/>
      </w:pPr>
      <w:r>
        <w:rPr>
          <w:rStyle w:val="FootnoteReference"/>
        </w:rPr>
        <w:footnoteRef/>
      </w:r>
      <w:r>
        <w:t xml:space="preserve"> </w:t>
      </w:r>
      <w:r>
        <w:rPr>
          <w:lang w:val="en-US"/>
        </w:rPr>
        <w:t xml:space="preserve">Robinson GW, </w:t>
      </w:r>
      <w:proofErr w:type="spellStart"/>
      <w:r>
        <w:rPr>
          <w:lang w:val="en-US"/>
        </w:rPr>
        <w:t>Gajjar</w:t>
      </w:r>
      <w:proofErr w:type="spellEnd"/>
      <w:r>
        <w:rPr>
          <w:lang w:val="en-US"/>
        </w:rPr>
        <w:t xml:space="preserve"> AJ, </w:t>
      </w:r>
      <w:proofErr w:type="spellStart"/>
      <w:r>
        <w:rPr>
          <w:lang w:val="en-US"/>
        </w:rPr>
        <w:t>Gauvain</w:t>
      </w:r>
      <w:proofErr w:type="spellEnd"/>
      <w:r>
        <w:rPr>
          <w:lang w:val="en-US"/>
        </w:rPr>
        <w:t xml:space="preserve"> KM, </w:t>
      </w:r>
      <w:proofErr w:type="spellStart"/>
      <w:r>
        <w:rPr>
          <w:lang w:val="en-US"/>
        </w:rPr>
        <w:t>Basu</w:t>
      </w:r>
      <w:proofErr w:type="spellEnd"/>
      <w:r>
        <w:rPr>
          <w:lang w:val="en-US"/>
        </w:rPr>
        <w:t xml:space="preserve"> EM, Macy ME, </w:t>
      </w:r>
      <w:proofErr w:type="spellStart"/>
      <w:r>
        <w:rPr>
          <w:lang w:val="en-US"/>
        </w:rPr>
        <w:t>Maese</w:t>
      </w:r>
      <w:proofErr w:type="spellEnd"/>
      <w:r>
        <w:rPr>
          <w:lang w:val="en-US"/>
        </w:rPr>
        <w:t xml:space="preserve"> LD, </w:t>
      </w:r>
      <w:proofErr w:type="spellStart"/>
      <w:r>
        <w:rPr>
          <w:lang w:val="en-US"/>
        </w:rPr>
        <w:t>Sabnis</w:t>
      </w:r>
      <w:proofErr w:type="spellEnd"/>
      <w:r>
        <w:rPr>
          <w:lang w:val="en-US"/>
        </w:rPr>
        <w:t xml:space="preserve"> AJ, Foster JH, </w:t>
      </w:r>
      <w:proofErr w:type="spellStart"/>
      <w:r>
        <w:rPr>
          <w:lang w:val="en-US"/>
        </w:rPr>
        <w:t>Shusterman</w:t>
      </w:r>
      <w:proofErr w:type="spellEnd"/>
      <w:r>
        <w:rPr>
          <w:lang w:val="en-US"/>
        </w:rPr>
        <w:t xml:space="preserve"> S, Yoon J, Weiss BD, </w:t>
      </w:r>
      <w:proofErr w:type="spellStart"/>
      <w:r>
        <w:rPr>
          <w:lang w:val="en-US"/>
        </w:rPr>
        <w:t>Abdelbaki</w:t>
      </w:r>
      <w:proofErr w:type="spellEnd"/>
      <w:r>
        <w:rPr>
          <w:lang w:val="en-US"/>
        </w:rPr>
        <w:t xml:space="preserve"> M, </w:t>
      </w:r>
      <w:proofErr w:type="spellStart"/>
      <w:r>
        <w:rPr>
          <w:lang w:val="en-US"/>
        </w:rPr>
        <w:t>Farid</w:t>
      </w:r>
      <w:proofErr w:type="spellEnd"/>
      <w:r>
        <w:rPr>
          <w:lang w:val="en-US"/>
        </w:rPr>
        <w:t xml:space="preserve">-Kapadia M, </w:t>
      </w:r>
      <w:proofErr w:type="spellStart"/>
      <w:r>
        <w:rPr>
          <w:lang w:val="en-US"/>
        </w:rPr>
        <w:t>Meneses-orente</w:t>
      </w:r>
      <w:proofErr w:type="spellEnd"/>
      <w:r>
        <w:rPr>
          <w:lang w:val="en-US"/>
        </w:rPr>
        <w:t xml:space="preserve"> G, Cardenas A, Hutchinson K, </w:t>
      </w:r>
      <w:proofErr w:type="spellStart"/>
      <w:r>
        <w:rPr>
          <w:lang w:val="en-US"/>
        </w:rPr>
        <w:t>Bergthold</w:t>
      </w:r>
      <w:proofErr w:type="spellEnd"/>
      <w:r>
        <w:rPr>
          <w:lang w:val="en-US"/>
        </w:rPr>
        <w:t xml:space="preserve"> G, </w:t>
      </w:r>
      <w:proofErr w:type="spellStart"/>
      <w:r>
        <w:rPr>
          <w:lang w:val="en-US"/>
        </w:rPr>
        <w:t>Maneval</w:t>
      </w:r>
      <w:proofErr w:type="spellEnd"/>
      <w:r>
        <w:rPr>
          <w:lang w:val="en-US"/>
        </w:rPr>
        <w:t xml:space="preserve"> EC, Fox E and Desai AV. Phase I</w:t>
      </w:r>
      <w:r w:rsidRPr="00183B53">
        <w:rPr>
          <w:lang w:val="en-US"/>
        </w:rPr>
        <w:t>/1B trial to assess the activity of entrectinib in children and adolescents with recurrent or refractory solid tumors including central nervous system (CNS) tumors. Journal of Clinical Oncology 2019 37:15_suppl, 10009-10009</w:t>
      </w:r>
      <w:r>
        <w:rPr>
          <w:lang w:val="en-US"/>
        </w:rPr>
        <w:t>.</w:t>
      </w:r>
    </w:p>
  </w:footnote>
  <w:footnote w:id="29">
    <w:p w14:paraId="4A01664A" w14:textId="47A9DB76" w:rsidR="00356227" w:rsidRDefault="00356227">
      <w:pPr>
        <w:pStyle w:val="FootnoteText"/>
      </w:pPr>
      <w:r>
        <w:rPr>
          <w:rStyle w:val="FootnoteReference"/>
        </w:rPr>
        <w:footnoteRef/>
      </w:r>
      <w:r>
        <w:t xml:space="preserve"> </w:t>
      </w:r>
      <w:r w:rsidRPr="00370D8F">
        <w:t xml:space="preserve">Australian product information for pembrolizumab. Last revised 20 Nov 2019. Accessed </w:t>
      </w:r>
      <w:r>
        <w:t>via TGA site.</w:t>
      </w:r>
    </w:p>
  </w:footnote>
  <w:footnote w:id="30">
    <w:p w14:paraId="59C4131B" w14:textId="278FF079" w:rsidR="00356227" w:rsidRDefault="00356227">
      <w:pPr>
        <w:pStyle w:val="FootnoteText"/>
      </w:pPr>
      <w:r>
        <w:rPr>
          <w:rStyle w:val="FootnoteReference"/>
        </w:rPr>
        <w:footnoteRef/>
      </w:r>
      <w:r>
        <w:t xml:space="preserve"> </w:t>
      </w:r>
      <w:r w:rsidRPr="009F72D7">
        <w:t xml:space="preserve">The </w:t>
      </w:r>
      <w:r w:rsidRPr="000C761A">
        <w:rPr>
          <w:b/>
        </w:rPr>
        <w:t xml:space="preserve">Common Terminology Criteria for Adverse Events </w:t>
      </w:r>
      <w:r>
        <w:t>(</w:t>
      </w:r>
      <w:r w:rsidRPr="000C761A">
        <w:rPr>
          <w:b/>
        </w:rPr>
        <w:t>CTCAE</w:t>
      </w:r>
      <w:r>
        <w:t xml:space="preserve">) </w:t>
      </w:r>
      <w:r w:rsidRPr="009F72D7">
        <w:t>are a se</w:t>
      </w:r>
      <w:r>
        <w:t>t of criteria for the standardis</w:t>
      </w:r>
      <w:r w:rsidRPr="009F72D7">
        <w:t>ed classification of adverse effects of drugs used in cancer therapy.</w:t>
      </w:r>
    </w:p>
  </w:footnote>
  <w:footnote w:id="31">
    <w:p w14:paraId="14684472" w14:textId="673F2E75" w:rsidR="00356227" w:rsidRDefault="00356227">
      <w:pPr>
        <w:pStyle w:val="FootnoteText"/>
      </w:pPr>
      <w:r>
        <w:rPr>
          <w:rStyle w:val="FootnoteReference"/>
        </w:rPr>
        <w:footnoteRef/>
      </w:r>
      <w:r>
        <w:t xml:space="preserve"> </w:t>
      </w:r>
      <w:r w:rsidRPr="006E55C4">
        <w:t xml:space="preserve">Tomlinson RE, Li Z, Li Z, </w:t>
      </w:r>
      <w:proofErr w:type="spellStart"/>
      <w:r w:rsidRPr="006E55C4">
        <w:t>Minichiello</w:t>
      </w:r>
      <w:proofErr w:type="spellEnd"/>
      <w:r w:rsidRPr="006E55C4">
        <w:t xml:space="preserve"> L, Riddle RC, </w:t>
      </w:r>
      <w:proofErr w:type="spellStart"/>
      <w:r w:rsidRPr="006E55C4">
        <w:t>Venkatesan</w:t>
      </w:r>
      <w:proofErr w:type="spellEnd"/>
      <w:r w:rsidRPr="006E55C4">
        <w:t xml:space="preserve"> A,</w:t>
      </w:r>
      <w:r>
        <w:t xml:space="preserve"> Clemens TL. NGF-</w:t>
      </w:r>
      <w:proofErr w:type="spellStart"/>
      <w:r>
        <w:t>TrkA</w:t>
      </w:r>
      <w:proofErr w:type="spellEnd"/>
      <w:r>
        <w:t xml:space="preserve"> </w:t>
      </w:r>
      <w:proofErr w:type="spellStart"/>
      <w:r>
        <w:t>signaling</w:t>
      </w:r>
      <w:proofErr w:type="spellEnd"/>
      <w:r w:rsidRPr="006E55C4">
        <w:t xml:space="preserve"> in sensory nerves is required for skeletal adaptation to mechanical loads in mice. </w:t>
      </w:r>
      <w:proofErr w:type="spellStart"/>
      <w:r w:rsidRPr="007D2F65">
        <w:rPr>
          <w:i/>
        </w:rPr>
        <w:t>Proc</w:t>
      </w:r>
      <w:proofErr w:type="spellEnd"/>
      <w:r w:rsidRPr="007D2F65">
        <w:rPr>
          <w:i/>
        </w:rPr>
        <w:t xml:space="preserve"> Natl </w:t>
      </w:r>
      <w:proofErr w:type="spellStart"/>
      <w:r w:rsidRPr="007D2F65">
        <w:rPr>
          <w:i/>
        </w:rPr>
        <w:t>Acad</w:t>
      </w:r>
      <w:proofErr w:type="spellEnd"/>
      <w:r w:rsidRPr="007D2F65">
        <w:rPr>
          <w:i/>
        </w:rPr>
        <w:t xml:space="preserve"> </w:t>
      </w:r>
      <w:proofErr w:type="spellStart"/>
      <w:r w:rsidRPr="007D2F65">
        <w:rPr>
          <w:i/>
        </w:rPr>
        <w:t>Sci</w:t>
      </w:r>
      <w:proofErr w:type="spellEnd"/>
      <w:r w:rsidRPr="007D2F65">
        <w:rPr>
          <w:i/>
        </w:rPr>
        <w:t xml:space="preserve"> U S A.</w:t>
      </w:r>
      <w:r w:rsidRPr="006E55C4">
        <w:t xml:space="preserve"> 2017 May 2;114(18): E3632-E3641.</w:t>
      </w:r>
    </w:p>
  </w:footnote>
  <w:footnote w:id="32">
    <w:p w14:paraId="67D089FB" w14:textId="795F5BFA" w:rsidR="00356227" w:rsidRDefault="00356227">
      <w:pPr>
        <w:pStyle w:val="FootnoteText"/>
      </w:pPr>
      <w:r>
        <w:rPr>
          <w:rStyle w:val="FootnoteReference"/>
        </w:rPr>
        <w:footnoteRef/>
      </w:r>
      <w:r>
        <w:t xml:space="preserve"> </w:t>
      </w:r>
      <w:r>
        <w:rPr>
          <w:lang w:val="en-US"/>
        </w:rPr>
        <w:t xml:space="preserve">Robinson GW, </w:t>
      </w:r>
      <w:proofErr w:type="spellStart"/>
      <w:r>
        <w:rPr>
          <w:lang w:val="en-US"/>
        </w:rPr>
        <w:t>Gajjar</w:t>
      </w:r>
      <w:proofErr w:type="spellEnd"/>
      <w:r>
        <w:rPr>
          <w:lang w:val="en-US"/>
        </w:rPr>
        <w:t xml:space="preserve"> AJ, </w:t>
      </w:r>
      <w:proofErr w:type="spellStart"/>
      <w:r>
        <w:rPr>
          <w:lang w:val="en-US"/>
        </w:rPr>
        <w:t>Gauvain</w:t>
      </w:r>
      <w:proofErr w:type="spellEnd"/>
      <w:r>
        <w:rPr>
          <w:lang w:val="en-US"/>
        </w:rPr>
        <w:t xml:space="preserve"> KM, </w:t>
      </w:r>
      <w:proofErr w:type="spellStart"/>
      <w:r>
        <w:rPr>
          <w:lang w:val="en-US"/>
        </w:rPr>
        <w:t>Basu</w:t>
      </w:r>
      <w:proofErr w:type="spellEnd"/>
      <w:r>
        <w:rPr>
          <w:lang w:val="en-US"/>
        </w:rPr>
        <w:t xml:space="preserve"> EM, Macy ME, </w:t>
      </w:r>
      <w:proofErr w:type="spellStart"/>
      <w:r>
        <w:rPr>
          <w:lang w:val="en-US"/>
        </w:rPr>
        <w:t>Maese</w:t>
      </w:r>
      <w:proofErr w:type="spellEnd"/>
      <w:r>
        <w:rPr>
          <w:lang w:val="en-US"/>
        </w:rPr>
        <w:t xml:space="preserve"> LD, </w:t>
      </w:r>
      <w:proofErr w:type="spellStart"/>
      <w:r>
        <w:rPr>
          <w:lang w:val="en-US"/>
        </w:rPr>
        <w:t>Sabnis</w:t>
      </w:r>
      <w:proofErr w:type="spellEnd"/>
      <w:r>
        <w:rPr>
          <w:lang w:val="en-US"/>
        </w:rPr>
        <w:t xml:space="preserve"> AJ, Foster JH, </w:t>
      </w:r>
      <w:proofErr w:type="spellStart"/>
      <w:r>
        <w:rPr>
          <w:lang w:val="en-US"/>
        </w:rPr>
        <w:t>Shusterman</w:t>
      </w:r>
      <w:proofErr w:type="spellEnd"/>
      <w:r>
        <w:rPr>
          <w:lang w:val="en-US"/>
        </w:rPr>
        <w:t xml:space="preserve"> S, Yoon J, Weiss BD, </w:t>
      </w:r>
      <w:proofErr w:type="spellStart"/>
      <w:r>
        <w:rPr>
          <w:lang w:val="en-US"/>
        </w:rPr>
        <w:t>Abdelbaki</w:t>
      </w:r>
      <w:proofErr w:type="spellEnd"/>
      <w:r>
        <w:rPr>
          <w:lang w:val="en-US"/>
        </w:rPr>
        <w:t xml:space="preserve"> M, </w:t>
      </w:r>
      <w:proofErr w:type="spellStart"/>
      <w:r>
        <w:rPr>
          <w:lang w:val="en-US"/>
        </w:rPr>
        <w:t>Farid</w:t>
      </w:r>
      <w:proofErr w:type="spellEnd"/>
      <w:r>
        <w:rPr>
          <w:lang w:val="en-US"/>
        </w:rPr>
        <w:t xml:space="preserve">-Kapadia M, </w:t>
      </w:r>
      <w:proofErr w:type="spellStart"/>
      <w:r>
        <w:rPr>
          <w:lang w:val="en-US"/>
        </w:rPr>
        <w:t>Meneses-orente</w:t>
      </w:r>
      <w:proofErr w:type="spellEnd"/>
      <w:r>
        <w:rPr>
          <w:lang w:val="en-US"/>
        </w:rPr>
        <w:t xml:space="preserve"> G, Cardenas A, Hutchinson K, </w:t>
      </w:r>
      <w:proofErr w:type="spellStart"/>
      <w:r>
        <w:rPr>
          <w:lang w:val="en-US"/>
        </w:rPr>
        <w:t>Bergthold</w:t>
      </w:r>
      <w:proofErr w:type="spellEnd"/>
      <w:r>
        <w:rPr>
          <w:lang w:val="en-US"/>
        </w:rPr>
        <w:t xml:space="preserve"> G, </w:t>
      </w:r>
      <w:proofErr w:type="spellStart"/>
      <w:r>
        <w:rPr>
          <w:lang w:val="en-US"/>
        </w:rPr>
        <w:t>Maneval</w:t>
      </w:r>
      <w:proofErr w:type="spellEnd"/>
      <w:r>
        <w:rPr>
          <w:lang w:val="en-US"/>
        </w:rPr>
        <w:t xml:space="preserve"> EC, Fox E and Desai AV. Phase I/I</w:t>
      </w:r>
      <w:r w:rsidRPr="00183B53">
        <w:rPr>
          <w:lang w:val="en-US"/>
        </w:rPr>
        <w:t xml:space="preserve">B trial to assess the activity of entrectinib in children and adolescents with recurrent or refractory solid tumors including central nervous system (CNS) tumors. </w:t>
      </w:r>
      <w:r w:rsidRPr="007D2F65">
        <w:rPr>
          <w:i/>
          <w:lang w:val="en-US"/>
        </w:rPr>
        <w:t>Journal of Clinical Oncology</w:t>
      </w:r>
      <w:r w:rsidRPr="00183B53">
        <w:rPr>
          <w:lang w:val="en-US"/>
        </w:rPr>
        <w:t xml:space="preserve"> 2019 37:15_suppl, 10009-10009</w:t>
      </w:r>
      <w:r>
        <w:rPr>
          <w:lang w:val="en-US"/>
        </w:rPr>
        <w:t>.</w:t>
      </w:r>
    </w:p>
  </w:footnote>
  <w:footnote w:id="33">
    <w:p w14:paraId="2F445808" w14:textId="28B311E7" w:rsidR="00356227" w:rsidRDefault="00356227">
      <w:pPr>
        <w:pStyle w:val="FootnoteText"/>
      </w:pPr>
      <w:r>
        <w:rPr>
          <w:rStyle w:val="FootnoteReference"/>
        </w:rPr>
        <w:footnoteRef/>
      </w:r>
      <w:r>
        <w:t xml:space="preserve"> </w:t>
      </w:r>
      <w:proofErr w:type="spellStart"/>
      <w:r w:rsidRPr="003975D4">
        <w:t>Hy's</w:t>
      </w:r>
      <w:proofErr w:type="spellEnd"/>
      <w:r w:rsidRPr="003975D4">
        <w:t xml:space="preserve"> law is </w:t>
      </w:r>
      <w:proofErr w:type="spellStart"/>
      <w:r w:rsidRPr="003975D4">
        <w:t>a</w:t>
      </w:r>
      <w:proofErr w:type="spellEnd"/>
      <w:r w:rsidRPr="003975D4">
        <w:t xml:space="preserve"> </w:t>
      </w:r>
      <w:r>
        <w:t>observation</w:t>
      </w:r>
      <w:r w:rsidRPr="003975D4">
        <w:t xml:space="preserve"> that a patient is at high risk of a fatal </w:t>
      </w:r>
      <w:r>
        <w:t>drug-induced liver injury</w:t>
      </w:r>
      <w:r w:rsidRPr="003975D4">
        <w:t xml:space="preserve"> if given a medication that causes he</w:t>
      </w:r>
      <w:r>
        <w:t>patocellular injury with jaundice</w:t>
      </w:r>
      <w:r w:rsidRPr="003975D4">
        <w:t>.</w:t>
      </w:r>
    </w:p>
  </w:footnote>
  <w:footnote w:id="34">
    <w:p w14:paraId="6FD01485" w14:textId="590BF4A3" w:rsidR="00356227" w:rsidRDefault="00356227">
      <w:pPr>
        <w:pStyle w:val="FootnoteText"/>
      </w:pPr>
      <w:r>
        <w:rPr>
          <w:rStyle w:val="FootnoteReference"/>
        </w:rPr>
        <w:footnoteRef/>
      </w:r>
      <w:r>
        <w:t xml:space="preserve"> FDA Prescribing Information for Rozlytrek. Accessed via FDA.gov.</w:t>
      </w:r>
    </w:p>
  </w:footnote>
  <w:footnote w:id="35">
    <w:p w14:paraId="2D6A026C" w14:textId="77777777" w:rsidR="00356227" w:rsidRDefault="00356227" w:rsidP="007B0C16">
      <w:pPr>
        <w:pStyle w:val="FootnoteText"/>
      </w:pPr>
      <w:r>
        <w:rPr>
          <w:rStyle w:val="FootnoteReference"/>
        </w:rPr>
        <w:footnoteRef/>
      </w:r>
      <w:r>
        <w:t xml:space="preserve"> </w:t>
      </w: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56EBBBE1" w14:textId="77777777" w:rsidR="00356227" w:rsidRDefault="00356227" w:rsidP="007B0C16">
      <w:pPr>
        <w:pStyle w:val="FootnoteText"/>
      </w:pPr>
      <w:r w:rsidRPr="007D53B6">
        <w:rPr>
          <w:i/>
        </w:rPr>
        <w:t>Routine pharmacovigilance</w:t>
      </w:r>
      <w:r>
        <w:t xml:space="preserve"> practices involve the following activities:</w:t>
      </w:r>
    </w:p>
    <w:p w14:paraId="2C938DFE" w14:textId="77777777" w:rsidR="00356227" w:rsidRDefault="00356227" w:rsidP="007B0C16">
      <w:pPr>
        <w:pStyle w:val="FootnoteText"/>
        <w:numPr>
          <w:ilvl w:val="0"/>
          <w:numId w:val="28"/>
        </w:numPr>
        <w:ind w:left="284" w:hanging="284"/>
      </w:pPr>
      <w:r>
        <w:t>All suspected adverse reactions that are reported to the personnel of the company are collected and collated in an accessible manner;</w:t>
      </w:r>
    </w:p>
    <w:p w14:paraId="33BB084A" w14:textId="77777777" w:rsidR="00356227" w:rsidRDefault="00356227" w:rsidP="007B0C16">
      <w:pPr>
        <w:pStyle w:val="FootnoteText"/>
        <w:numPr>
          <w:ilvl w:val="0"/>
          <w:numId w:val="28"/>
        </w:numPr>
        <w:ind w:left="284" w:hanging="284"/>
      </w:pPr>
      <w:r>
        <w:t>Reporting to regulatory authorities;</w:t>
      </w:r>
    </w:p>
    <w:p w14:paraId="2939CF82" w14:textId="77777777" w:rsidR="00356227" w:rsidRDefault="00356227" w:rsidP="007B0C16">
      <w:pPr>
        <w:pStyle w:val="FootnoteText"/>
        <w:numPr>
          <w:ilvl w:val="0"/>
          <w:numId w:val="28"/>
        </w:numPr>
        <w:ind w:left="284" w:hanging="284"/>
      </w:pPr>
      <w:r>
        <w:t>Continuous monitoring of the safety profiles of approved products including signal detection and updating of labelling;</w:t>
      </w:r>
    </w:p>
    <w:p w14:paraId="29DA72CA" w14:textId="77777777" w:rsidR="00356227" w:rsidRDefault="00356227" w:rsidP="007B0C16">
      <w:pPr>
        <w:pStyle w:val="FootnoteText"/>
        <w:numPr>
          <w:ilvl w:val="0"/>
          <w:numId w:val="28"/>
        </w:numPr>
        <w:ind w:left="284" w:hanging="284"/>
      </w:pPr>
      <w:r>
        <w:t>Submission of PSURs;</w:t>
      </w:r>
    </w:p>
    <w:p w14:paraId="3C726A94" w14:textId="77777777" w:rsidR="00356227" w:rsidRDefault="00356227" w:rsidP="007B0C16">
      <w:pPr>
        <w:pStyle w:val="FootnoteText"/>
        <w:numPr>
          <w:ilvl w:val="0"/>
          <w:numId w:val="28"/>
        </w:numPr>
        <w:ind w:left="284" w:hanging="284"/>
      </w:pPr>
      <w:r>
        <w:t>Meeting other local regulatory agency requirements.</w:t>
      </w:r>
    </w:p>
    <w:p w14:paraId="72198417" w14:textId="0C6F7647" w:rsidR="00356227" w:rsidRDefault="00356227" w:rsidP="007B0C16">
      <w:pPr>
        <w:pStyle w:val="FootnoteText"/>
      </w:pPr>
      <w:r>
        <w:rPr>
          <w:rStyle w:val="FootnoteReference"/>
        </w:rPr>
        <w:footnoteRef/>
      </w:r>
      <w:r>
        <w:t xml:space="preserve"> </w:t>
      </w:r>
      <w:r w:rsidRPr="007D53B6">
        <w:t>The sponsor must still comply with routine product vigilance and risk minimisation requirements.</w:t>
      </w:r>
    </w:p>
  </w:footnote>
  <w:footnote w:id="36">
    <w:p w14:paraId="312DC378" w14:textId="77777777" w:rsidR="00356227" w:rsidRDefault="00356227" w:rsidP="00B124B1">
      <w:pPr>
        <w:pStyle w:val="FootnoteText"/>
      </w:pPr>
      <w:r>
        <w:rPr>
          <w:rStyle w:val="FootnoteReference"/>
        </w:rPr>
        <w:footnoteRef/>
      </w:r>
      <w:r w:rsidRPr="00C23E64">
        <w:t xml:space="preserve"> Rossi G, </w:t>
      </w:r>
      <w:proofErr w:type="spellStart"/>
      <w:r w:rsidRPr="00C23E64">
        <w:t>Jocollé</w:t>
      </w:r>
      <w:proofErr w:type="spellEnd"/>
      <w:r w:rsidRPr="00C23E64">
        <w:t xml:space="preserve"> G, Conti A, et al. </w:t>
      </w:r>
      <w:r w:rsidRPr="00F30C77">
        <w:t xml:space="preserve">Detection of ROS1 rearrangement in non-small cell lung cancer: current and future perspectives. </w:t>
      </w:r>
      <w:r w:rsidRPr="007D2F65">
        <w:rPr>
          <w:i/>
        </w:rPr>
        <w:t>Lung Cancer (</w:t>
      </w:r>
      <w:proofErr w:type="spellStart"/>
      <w:r w:rsidRPr="007D2F65">
        <w:rPr>
          <w:i/>
        </w:rPr>
        <w:t>Auckl</w:t>
      </w:r>
      <w:proofErr w:type="spellEnd"/>
      <w:r w:rsidRPr="007D2F65">
        <w:rPr>
          <w:i/>
        </w:rPr>
        <w:t>).</w:t>
      </w:r>
      <w:r>
        <w:t xml:space="preserve"> 2017;8:45–55.</w:t>
      </w:r>
    </w:p>
  </w:footnote>
  <w:footnote w:id="37">
    <w:p w14:paraId="43B09C2C" w14:textId="77777777" w:rsidR="00356227" w:rsidRPr="006D28E5" w:rsidRDefault="00356227" w:rsidP="00B124B1">
      <w:pPr>
        <w:pStyle w:val="FootnoteText"/>
      </w:pPr>
      <w:r>
        <w:rPr>
          <w:rStyle w:val="FootnoteReference"/>
        </w:rPr>
        <w:footnoteRef/>
      </w:r>
      <w:r>
        <w:t xml:space="preserve"> </w:t>
      </w:r>
      <w:r w:rsidRPr="006D28E5">
        <w:t xml:space="preserve">Ed S. </w:t>
      </w:r>
      <w:proofErr w:type="spellStart"/>
      <w:r w:rsidRPr="006D28E5">
        <w:t>Kheder</w:t>
      </w:r>
      <w:proofErr w:type="spellEnd"/>
      <w:r w:rsidRPr="006D28E5">
        <w:t xml:space="preserve"> and David S. Hong</w:t>
      </w:r>
      <w:r>
        <w:t xml:space="preserve">. </w:t>
      </w:r>
      <w:r w:rsidRPr="006D28E5">
        <w:t xml:space="preserve">Emerging Targeted Therapy for </w:t>
      </w:r>
      <w:proofErr w:type="spellStart"/>
      <w:r w:rsidRPr="006D28E5">
        <w:t>Tumors</w:t>
      </w:r>
      <w:proofErr w:type="spellEnd"/>
      <w:r w:rsidRPr="006D28E5">
        <w:t xml:space="preserve"> with NTRK Fusion Proteins</w:t>
      </w:r>
      <w:r>
        <w:t xml:space="preserve">. </w:t>
      </w:r>
      <w:proofErr w:type="spellStart"/>
      <w:r w:rsidRPr="007D2F65">
        <w:rPr>
          <w:i/>
        </w:rPr>
        <w:t>Clin</w:t>
      </w:r>
      <w:proofErr w:type="spellEnd"/>
      <w:r w:rsidRPr="007D2F65">
        <w:rPr>
          <w:i/>
        </w:rPr>
        <w:t xml:space="preserve"> Cancer Res</w:t>
      </w:r>
      <w:r>
        <w:t xml:space="preserve">. </w:t>
      </w:r>
      <w:r w:rsidRPr="006D28E5">
        <w:t>2018 (24) (23) 5807-5814</w:t>
      </w:r>
      <w:r>
        <w:t>.</w:t>
      </w:r>
    </w:p>
  </w:footnote>
  <w:footnote w:id="38">
    <w:p w14:paraId="69642C0F" w14:textId="77777777" w:rsidR="00356227" w:rsidRPr="006D28E5" w:rsidRDefault="00356227" w:rsidP="00B124B1">
      <w:pPr>
        <w:pStyle w:val="EndnoteText"/>
        <w:rPr>
          <w:rStyle w:val="FootnoteTextChar"/>
        </w:rPr>
      </w:pPr>
      <w:r>
        <w:rPr>
          <w:rStyle w:val="FootnoteReference"/>
        </w:rPr>
        <w:footnoteRef/>
      </w:r>
      <w:r>
        <w:t xml:space="preserve"> </w:t>
      </w:r>
      <w:proofErr w:type="spellStart"/>
      <w:r w:rsidRPr="006D28E5">
        <w:rPr>
          <w:rStyle w:val="FootnoteTextChar"/>
        </w:rPr>
        <w:t>Marchiò</w:t>
      </w:r>
      <w:proofErr w:type="spellEnd"/>
      <w:r w:rsidRPr="006D28E5">
        <w:rPr>
          <w:rStyle w:val="FootnoteTextChar"/>
        </w:rPr>
        <w:t xml:space="preserve"> C, </w:t>
      </w:r>
      <w:proofErr w:type="spellStart"/>
      <w:r w:rsidRPr="006D28E5">
        <w:rPr>
          <w:rStyle w:val="FootnoteTextChar"/>
        </w:rPr>
        <w:t>Scaltriti</w:t>
      </w:r>
      <w:proofErr w:type="spellEnd"/>
      <w:r w:rsidRPr="006D28E5">
        <w:rPr>
          <w:rStyle w:val="FootnoteTextChar"/>
        </w:rPr>
        <w:t xml:space="preserve"> M, </w:t>
      </w:r>
      <w:proofErr w:type="spellStart"/>
      <w:r w:rsidRPr="006D28E5">
        <w:rPr>
          <w:rStyle w:val="FootnoteTextChar"/>
        </w:rPr>
        <w:t>Ladanyi</w:t>
      </w:r>
      <w:proofErr w:type="spellEnd"/>
      <w:r w:rsidRPr="006D28E5">
        <w:rPr>
          <w:rStyle w:val="FootnoteTextChar"/>
        </w:rPr>
        <w:t xml:space="preserve"> M, </w:t>
      </w:r>
      <w:proofErr w:type="spellStart"/>
      <w:r w:rsidRPr="006D28E5">
        <w:rPr>
          <w:rStyle w:val="FootnoteTextChar"/>
        </w:rPr>
        <w:t>Iafrate</w:t>
      </w:r>
      <w:proofErr w:type="spellEnd"/>
      <w:r w:rsidRPr="006D28E5">
        <w:rPr>
          <w:rStyle w:val="FootnoteTextChar"/>
        </w:rPr>
        <w:t xml:space="preserve"> AJ, </w:t>
      </w:r>
      <w:proofErr w:type="spellStart"/>
      <w:r w:rsidRPr="006D28E5">
        <w:rPr>
          <w:rStyle w:val="FootnoteTextChar"/>
        </w:rPr>
        <w:t>Bibeau</w:t>
      </w:r>
      <w:proofErr w:type="spellEnd"/>
      <w:r w:rsidRPr="006D28E5">
        <w:rPr>
          <w:rStyle w:val="FootnoteTextChar"/>
        </w:rPr>
        <w:t xml:space="preserve"> F, </w:t>
      </w:r>
      <w:proofErr w:type="spellStart"/>
      <w:r w:rsidRPr="006D28E5">
        <w:rPr>
          <w:rStyle w:val="FootnoteTextChar"/>
        </w:rPr>
        <w:t>Dietel</w:t>
      </w:r>
      <w:proofErr w:type="spellEnd"/>
      <w:r w:rsidRPr="006D28E5">
        <w:rPr>
          <w:rStyle w:val="FootnoteTextChar"/>
        </w:rPr>
        <w:t xml:space="preserve"> M, </w:t>
      </w:r>
      <w:proofErr w:type="spellStart"/>
      <w:r w:rsidRPr="006D28E5">
        <w:rPr>
          <w:rStyle w:val="FootnoteTextChar"/>
        </w:rPr>
        <w:t>Hechtman</w:t>
      </w:r>
      <w:proofErr w:type="spellEnd"/>
      <w:r w:rsidRPr="006D28E5">
        <w:rPr>
          <w:rStyle w:val="FootnoteTextChar"/>
        </w:rPr>
        <w:t xml:space="preserve"> JF, </w:t>
      </w:r>
      <w:proofErr w:type="spellStart"/>
      <w:r w:rsidRPr="006D28E5">
        <w:rPr>
          <w:rStyle w:val="FootnoteTextChar"/>
        </w:rPr>
        <w:t>Troiani</w:t>
      </w:r>
      <w:proofErr w:type="spellEnd"/>
      <w:r w:rsidRPr="006D28E5">
        <w:rPr>
          <w:rStyle w:val="FootnoteTextChar"/>
        </w:rPr>
        <w:t xml:space="preserve"> T, </w:t>
      </w:r>
      <w:proofErr w:type="spellStart"/>
      <w:r w:rsidRPr="006D28E5">
        <w:rPr>
          <w:rStyle w:val="FootnoteTextChar"/>
        </w:rPr>
        <w:t>López</w:t>
      </w:r>
      <w:proofErr w:type="spellEnd"/>
      <w:r w:rsidRPr="006D28E5">
        <w:rPr>
          <w:rStyle w:val="FootnoteTextChar"/>
        </w:rPr>
        <w:t xml:space="preserve">-Rios F, </w:t>
      </w:r>
      <w:proofErr w:type="spellStart"/>
      <w:r w:rsidRPr="006D28E5">
        <w:rPr>
          <w:rStyle w:val="FootnoteTextChar"/>
        </w:rPr>
        <w:t>Douillard</w:t>
      </w:r>
      <w:proofErr w:type="spellEnd"/>
      <w:r w:rsidRPr="006D28E5">
        <w:rPr>
          <w:rStyle w:val="FootnoteTextChar"/>
        </w:rPr>
        <w:t xml:space="preserve"> JY, </w:t>
      </w:r>
      <w:proofErr w:type="spellStart"/>
      <w:r w:rsidRPr="006D28E5">
        <w:rPr>
          <w:rStyle w:val="FootnoteTextChar"/>
        </w:rPr>
        <w:t>Andrè</w:t>
      </w:r>
      <w:proofErr w:type="spellEnd"/>
      <w:r w:rsidRPr="006D28E5">
        <w:rPr>
          <w:rStyle w:val="FootnoteTextChar"/>
        </w:rPr>
        <w:t xml:space="preserve"> F, Reis-</w:t>
      </w:r>
      <w:proofErr w:type="spellStart"/>
      <w:r w:rsidRPr="006D28E5">
        <w:rPr>
          <w:rStyle w:val="FootnoteTextChar"/>
        </w:rPr>
        <w:t>Filho</w:t>
      </w:r>
      <w:proofErr w:type="spellEnd"/>
      <w:r w:rsidRPr="006D28E5">
        <w:rPr>
          <w:rStyle w:val="FootnoteTextChar"/>
        </w:rPr>
        <w:t xml:space="preserve"> JS. ESMO recommendations on the standard methods to detect NTRK fusions in daily practice and clinical</w:t>
      </w:r>
      <w:r>
        <w:rPr>
          <w:rStyle w:val="FootnoteTextChar"/>
        </w:rPr>
        <w:t xml:space="preserve"> research. Ann </w:t>
      </w:r>
      <w:proofErr w:type="spellStart"/>
      <w:r>
        <w:rPr>
          <w:rStyle w:val="FootnoteTextChar"/>
        </w:rPr>
        <w:t>Oncol</w:t>
      </w:r>
      <w:proofErr w:type="spellEnd"/>
      <w:r>
        <w:rPr>
          <w:rStyle w:val="FootnoteTextChar"/>
        </w:rPr>
        <w:t>. 2019</w:t>
      </w:r>
      <w:r w:rsidRPr="006D28E5">
        <w:rPr>
          <w:rStyle w:val="FootnoteTextChar"/>
        </w:rPr>
        <w:t>;</w:t>
      </w:r>
      <w:r>
        <w:rPr>
          <w:rStyle w:val="FootnoteTextChar"/>
        </w:rPr>
        <w:t xml:space="preserve"> </w:t>
      </w:r>
      <w:r w:rsidRPr="006D28E5">
        <w:rPr>
          <w:rStyle w:val="FootnoteTextChar"/>
        </w:rPr>
        <w:t>30(9):1417</w:t>
      </w:r>
      <w:r>
        <w:rPr>
          <w:rStyle w:val="FootnoteTextChar"/>
        </w:rPr>
        <w:t>-1427.</w:t>
      </w:r>
    </w:p>
  </w:footnote>
  <w:footnote w:id="39">
    <w:p w14:paraId="42FB20C1" w14:textId="77777777" w:rsidR="00356227" w:rsidRDefault="00356227" w:rsidP="00B124B1">
      <w:pPr>
        <w:pStyle w:val="FootnoteText"/>
      </w:pPr>
      <w:r>
        <w:rPr>
          <w:rStyle w:val="FootnoteReference"/>
        </w:rPr>
        <w:footnoteRef/>
      </w:r>
      <w:r>
        <w:t xml:space="preserve"> </w:t>
      </w:r>
      <w:proofErr w:type="spellStart"/>
      <w:r w:rsidRPr="008D3773">
        <w:t>Penault-Llorca</w:t>
      </w:r>
      <w:proofErr w:type="spellEnd"/>
      <w:r w:rsidRPr="008D3773">
        <w:t xml:space="preserve"> F, </w:t>
      </w:r>
      <w:proofErr w:type="spellStart"/>
      <w:r w:rsidRPr="008D3773">
        <w:t>Rudzinski</w:t>
      </w:r>
      <w:proofErr w:type="spellEnd"/>
      <w:r w:rsidRPr="008D3773">
        <w:t xml:space="preserve"> ER, Sepulveda AR. Testing algorithm for identification of patients with TRK fusion cancer</w:t>
      </w:r>
      <w:r w:rsidRPr="007D2F65">
        <w:rPr>
          <w:i/>
        </w:rPr>
        <w:t xml:space="preserve">. J </w:t>
      </w:r>
      <w:proofErr w:type="spellStart"/>
      <w:r w:rsidRPr="007D2F65">
        <w:rPr>
          <w:i/>
        </w:rPr>
        <w:t>Clin</w:t>
      </w:r>
      <w:proofErr w:type="spellEnd"/>
      <w:r w:rsidRPr="007D2F65">
        <w:rPr>
          <w:i/>
        </w:rPr>
        <w:t xml:space="preserve"> </w:t>
      </w:r>
      <w:proofErr w:type="spellStart"/>
      <w:r w:rsidRPr="007D2F65">
        <w:rPr>
          <w:i/>
        </w:rPr>
        <w:t>Pathol</w:t>
      </w:r>
      <w:proofErr w:type="spellEnd"/>
      <w:r w:rsidRPr="008D3773">
        <w:t>. 2019 Jul;72</w:t>
      </w:r>
      <w:r>
        <w:t>(7):460-467.</w:t>
      </w:r>
    </w:p>
  </w:footnote>
  <w:footnote w:id="40">
    <w:p w14:paraId="7F847D3E" w14:textId="77777777" w:rsidR="00356227" w:rsidRDefault="00356227"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8C59F33" w14:textId="77777777" w:rsidR="00356227" w:rsidRPr="00456765" w:rsidRDefault="00356227"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1F7D" w14:textId="77777777" w:rsidR="00356227" w:rsidRDefault="00356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D463" w14:textId="77777777" w:rsidR="00356227" w:rsidRDefault="00356227"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22D1" w14:textId="77777777" w:rsidR="00356227" w:rsidRDefault="00356227">
    <w:pPr>
      <w:rPr>
        <w:noProof/>
        <w:lang w:eastAsia="en-AU"/>
      </w:rPr>
    </w:pPr>
    <w:r w:rsidRPr="00347824">
      <w:rPr>
        <w:noProof/>
        <w:lang w:eastAsia="en-AU"/>
      </w:rPr>
      <w:drawing>
        <wp:anchor distT="0" distB="0" distL="114300" distR="114300" simplePos="0" relativeHeight="251659264" behindDoc="1" locked="0" layoutInCell="1" allowOverlap="1" wp14:anchorId="4D4E3B8F" wp14:editId="4D4FCE04">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69EA889" w14:textId="77777777" w:rsidR="00356227" w:rsidRDefault="00356227"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14E8" w14:textId="77777777" w:rsidR="00356227" w:rsidRDefault="003562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0B21" w14:textId="77777777" w:rsidR="00356227" w:rsidRDefault="0035622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E2F6" w14:textId="77777777" w:rsidR="00356227" w:rsidRDefault="00356227">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6E10" w14:textId="77777777" w:rsidR="00356227" w:rsidRDefault="003562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BD09" w14:textId="77777777" w:rsidR="00356227" w:rsidRDefault="00356227"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C2D6" w14:textId="77777777" w:rsidR="00356227" w:rsidRDefault="00356227" w:rsidP="006E08B3">
    <w:r>
      <w:t>Therapeutic Goods Administration</w:t>
    </w:r>
  </w:p>
  <w:p w14:paraId="01F079AB" w14:textId="77777777" w:rsidR="00356227" w:rsidRDefault="00356227"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442427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6D2E2D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42C4A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726468"/>
    <w:multiLevelType w:val="hybridMultilevel"/>
    <w:tmpl w:val="6062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80C98"/>
    <w:multiLevelType w:val="hybridMultilevel"/>
    <w:tmpl w:val="A3D25290"/>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0E9108CD"/>
    <w:multiLevelType w:val="hybridMultilevel"/>
    <w:tmpl w:val="D8003432"/>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026378D"/>
    <w:multiLevelType w:val="hybridMultilevel"/>
    <w:tmpl w:val="F050CA88"/>
    <w:lvl w:ilvl="0" w:tplc="47C4B046">
      <w:start w:val="4"/>
      <w:numFmt w:val="bullet"/>
      <w:lvlText w:val=""/>
      <w:lvlJc w:val="left"/>
      <w:pPr>
        <w:ind w:left="530" w:hanging="360"/>
      </w:pPr>
      <w:rPr>
        <w:rFonts w:ascii="Wingdings" w:eastAsia="Cambria" w:hAnsi="Wingdings" w:cs="Times New Roman"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8" w15:restartNumberingAfterBreak="0">
    <w:nsid w:val="12F56A24"/>
    <w:multiLevelType w:val="hybridMultilevel"/>
    <w:tmpl w:val="6594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38B8435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CFB7A6E"/>
    <w:multiLevelType w:val="hybridMultilevel"/>
    <w:tmpl w:val="50868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110B1"/>
    <w:multiLevelType w:val="hybridMultilevel"/>
    <w:tmpl w:val="FE54A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F3007"/>
    <w:multiLevelType w:val="hybridMultilevel"/>
    <w:tmpl w:val="79448724"/>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2C2E1AA8"/>
    <w:multiLevelType w:val="hybridMultilevel"/>
    <w:tmpl w:val="E1A65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4679"/>
    <w:multiLevelType w:val="hybridMultilevel"/>
    <w:tmpl w:val="B9C43F9A"/>
    <w:lvl w:ilvl="0" w:tplc="4AF2B63A">
      <w:numFmt w:val="bullet"/>
      <w:lvlText w:val="•"/>
      <w:lvlJc w:val="left"/>
      <w:pPr>
        <w:ind w:left="1080" w:hanging="72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6790D"/>
    <w:multiLevelType w:val="hybridMultilevel"/>
    <w:tmpl w:val="4FE44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8C32F2"/>
    <w:multiLevelType w:val="hybridMultilevel"/>
    <w:tmpl w:val="4F307452"/>
    <w:lvl w:ilvl="0" w:tplc="4AF2B63A">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8D60E6"/>
    <w:multiLevelType w:val="hybridMultilevel"/>
    <w:tmpl w:val="4B1E3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4A6007"/>
    <w:multiLevelType w:val="hybridMultilevel"/>
    <w:tmpl w:val="7BFAA882"/>
    <w:lvl w:ilvl="0" w:tplc="0C09000F">
      <w:start w:val="1"/>
      <w:numFmt w:val="decimal"/>
      <w:lvlText w:val="%1."/>
      <w:lvlJc w:val="lef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22" w15:restartNumberingAfterBreak="0">
    <w:nsid w:val="705F2B97"/>
    <w:multiLevelType w:val="hybridMultilevel"/>
    <w:tmpl w:val="FA72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039E9"/>
    <w:multiLevelType w:val="hybridMultilevel"/>
    <w:tmpl w:val="9E28F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lvlOverride w:ilvl="1">
      <w:lvl w:ilvl="1">
        <w:start w:val="1"/>
        <w:numFmt w:val="bullet"/>
        <w:pStyle w:val="ListBullet2"/>
        <w:lvlText w:val="–"/>
        <w:lvlJc w:val="left"/>
        <w:pPr>
          <w:ind w:left="720" w:hanging="360"/>
        </w:pPr>
        <w:rPr>
          <w:rFonts w:ascii="Arial" w:hAnsi="Arial" w:hint="default"/>
        </w:rPr>
      </w:lvl>
    </w:lvlOverride>
  </w:num>
  <w:num w:numId="2">
    <w:abstractNumId w:val="6"/>
  </w:num>
  <w:num w:numId="3">
    <w:abstractNumId w:val="9"/>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
    <w:abstractNumId w:val="6"/>
  </w:num>
  <w:num w:numId="5">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13"/>
  </w:num>
  <w:num w:numId="7">
    <w:abstractNumId w:val="20"/>
  </w:num>
  <w:num w:numId="8">
    <w:abstractNumId w:val="3"/>
  </w:num>
  <w:num w:numId="9">
    <w:abstractNumId w:val="8"/>
  </w:num>
  <w:num w:numId="10">
    <w:abstractNumId w:val="17"/>
  </w:num>
  <w:num w:numId="11">
    <w:abstractNumId w:val="5"/>
  </w:num>
  <w:num w:numId="12">
    <w:abstractNumId w:val="4"/>
  </w:num>
  <w:num w:numId="13">
    <w:abstractNumId w:val="23"/>
  </w:num>
  <w:num w:numId="14">
    <w:abstractNumId w:val="14"/>
  </w:num>
  <w:num w:numId="15">
    <w:abstractNumId w:val="15"/>
  </w:num>
  <w:num w:numId="16">
    <w:abstractNumId w:val="22"/>
  </w:num>
  <w:num w:numId="17">
    <w:abstractNumId w:val="10"/>
  </w:num>
  <w:num w:numId="18">
    <w:abstractNumId w:val="2"/>
  </w:num>
  <w:num w:numId="19">
    <w:abstractNumId w:val="1"/>
  </w:num>
  <w:num w:numId="20">
    <w:abstractNumId w:val="0"/>
  </w:num>
  <w:num w:numId="21">
    <w:abstractNumId w:val="21"/>
  </w:num>
  <w:num w:numId="22">
    <w:abstractNumId w:val="16"/>
  </w:num>
  <w:num w:numId="23">
    <w:abstractNumId w:val="19"/>
  </w:num>
  <w:num w:numId="24">
    <w:abstractNumId w:val="11"/>
  </w:num>
  <w:num w:numId="25">
    <w:abstractNumId w:val="12"/>
  </w:num>
  <w:num w:numId="26">
    <w:abstractNumId w:val="9"/>
  </w:num>
  <w:num w:numId="27">
    <w:abstractNumId w:val="7"/>
  </w:num>
  <w:num w:numId="2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CF"/>
    <w:rsid w:val="0000028F"/>
    <w:rsid w:val="000002F9"/>
    <w:rsid w:val="00002031"/>
    <w:rsid w:val="00004734"/>
    <w:rsid w:val="00006B22"/>
    <w:rsid w:val="00006FAB"/>
    <w:rsid w:val="00007294"/>
    <w:rsid w:val="00007D7D"/>
    <w:rsid w:val="0001276A"/>
    <w:rsid w:val="000128B2"/>
    <w:rsid w:val="00012A37"/>
    <w:rsid w:val="00017B2C"/>
    <w:rsid w:val="00017F77"/>
    <w:rsid w:val="000246AE"/>
    <w:rsid w:val="00025C67"/>
    <w:rsid w:val="000262E4"/>
    <w:rsid w:val="00040389"/>
    <w:rsid w:val="00040C1B"/>
    <w:rsid w:val="0004122E"/>
    <w:rsid w:val="000422AA"/>
    <w:rsid w:val="000427F3"/>
    <w:rsid w:val="00043CEF"/>
    <w:rsid w:val="00044772"/>
    <w:rsid w:val="0004541C"/>
    <w:rsid w:val="00054378"/>
    <w:rsid w:val="000544FA"/>
    <w:rsid w:val="0005559E"/>
    <w:rsid w:val="000556BC"/>
    <w:rsid w:val="000604D6"/>
    <w:rsid w:val="00070635"/>
    <w:rsid w:val="000734D8"/>
    <w:rsid w:val="00074211"/>
    <w:rsid w:val="00077775"/>
    <w:rsid w:val="00080FB5"/>
    <w:rsid w:val="00081C85"/>
    <w:rsid w:val="00082C3B"/>
    <w:rsid w:val="00084988"/>
    <w:rsid w:val="00090471"/>
    <w:rsid w:val="00090EE6"/>
    <w:rsid w:val="00093104"/>
    <w:rsid w:val="0009648E"/>
    <w:rsid w:val="00096AA7"/>
    <w:rsid w:val="00097FA2"/>
    <w:rsid w:val="000A1713"/>
    <w:rsid w:val="000A302E"/>
    <w:rsid w:val="000A3AED"/>
    <w:rsid w:val="000B3532"/>
    <w:rsid w:val="000B3A75"/>
    <w:rsid w:val="000B3D78"/>
    <w:rsid w:val="000C00C2"/>
    <w:rsid w:val="000C690F"/>
    <w:rsid w:val="000C761A"/>
    <w:rsid w:val="000D1295"/>
    <w:rsid w:val="000D14B7"/>
    <w:rsid w:val="000D2221"/>
    <w:rsid w:val="000D391B"/>
    <w:rsid w:val="000D3D6D"/>
    <w:rsid w:val="000D3F89"/>
    <w:rsid w:val="000D4FC7"/>
    <w:rsid w:val="000D779A"/>
    <w:rsid w:val="000D792D"/>
    <w:rsid w:val="000E000D"/>
    <w:rsid w:val="000E6196"/>
    <w:rsid w:val="000E7FA7"/>
    <w:rsid w:val="000F0866"/>
    <w:rsid w:val="000F2866"/>
    <w:rsid w:val="000F4869"/>
    <w:rsid w:val="000F49A2"/>
    <w:rsid w:val="000F5B42"/>
    <w:rsid w:val="000F6E6F"/>
    <w:rsid w:val="0010035F"/>
    <w:rsid w:val="0010500F"/>
    <w:rsid w:val="0010601F"/>
    <w:rsid w:val="0010788A"/>
    <w:rsid w:val="00107A31"/>
    <w:rsid w:val="00107C76"/>
    <w:rsid w:val="00110EA5"/>
    <w:rsid w:val="00111F44"/>
    <w:rsid w:val="00112F56"/>
    <w:rsid w:val="001164C9"/>
    <w:rsid w:val="00121597"/>
    <w:rsid w:val="001230B5"/>
    <w:rsid w:val="00124ACD"/>
    <w:rsid w:val="00125318"/>
    <w:rsid w:val="00125D14"/>
    <w:rsid w:val="001260C0"/>
    <w:rsid w:val="001305A2"/>
    <w:rsid w:val="001316B1"/>
    <w:rsid w:val="00133238"/>
    <w:rsid w:val="00133A1B"/>
    <w:rsid w:val="00133A49"/>
    <w:rsid w:val="00134048"/>
    <w:rsid w:val="001350D6"/>
    <w:rsid w:val="001367D1"/>
    <w:rsid w:val="00136DC1"/>
    <w:rsid w:val="001377BC"/>
    <w:rsid w:val="00140D98"/>
    <w:rsid w:val="0014197B"/>
    <w:rsid w:val="00141A1C"/>
    <w:rsid w:val="001447CD"/>
    <w:rsid w:val="00147049"/>
    <w:rsid w:val="001516B1"/>
    <w:rsid w:val="00154EBB"/>
    <w:rsid w:val="00156316"/>
    <w:rsid w:val="00161181"/>
    <w:rsid w:val="00162D14"/>
    <w:rsid w:val="00163780"/>
    <w:rsid w:val="00165389"/>
    <w:rsid w:val="0017693F"/>
    <w:rsid w:val="0018110E"/>
    <w:rsid w:val="00181684"/>
    <w:rsid w:val="001823E7"/>
    <w:rsid w:val="00182936"/>
    <w:rsid w:val="001843C6"/>
    <w:rsid w:val="001850E0"/>
    <w:rsid w:val="00193360"/>
    <w:rsid w:val="00196E04"/>
    <w:rsid w:val="001A03AF"/>
    <w:rsid w:val="001A2158"/>
    <w:rsid w:val="001A457D"/>
    <w:rsid w:val="001A525F"/>
    <w:rsid w:val="001B09F9"/>
    <w:rsid w:val="001B5C90"/>
    <w:rsid w:val="001B6448"/>
    <w:rsid w:val="001C32CD"/>
    <w:rsid w:val="001C5768"/>
    <w:rsid w:val="001D09E3"/>
    <w:rsid w:val="001D1A93"/>
    <w:rsid w:val="001D1EC3"/>
    <w:rsid w:val="001D2984"/>
    <w:rsid w:val="001D6997"/>
    <w:rsid w:val="001E07CF"/>
    <w:rsid w:val="001E1CF4"/>
    <w:rsid w:val="001E59F1"/>
    <w:rsid w:val="001E6CEF"/>
    <w:rsid w:val="001F1814"/>
    <w:rsid w:val="001F2CEE"/>
    <w:rsid w:val="001F3421"/>
    <w:rsid w:val="001F3F8C"/>
    <w:rsid w:val="001F49EB"/>
    <w:rsid w:val="001F623B"/>
    <w:rsid w:val="001F6CBA"/>
    <w:rsid w:val="00201B8A"/>
    <w:rsid w:val="00201D4E"/>
    <w:rsid w:val="00202362"/>
    <w:rsid w:val="002076C9"/>
    <w:rsid w:val="00220B8A"/>
    <w:rsid w:val="002239A3"/>
    <w:rsid w:val="002248A1"/>
    <w:rsid w:val="002257F3"/>
    <w:rsid w:val="00225A8B"/>
    <w:rsid w:val="0023337E"/>
    <w:rsid w:val="00233456"/>
    <w:rsid w:val="002339A5"/>
    <w:rsid w:val="00250271"/>
    <w:rsid w:val="002549AE"/>
    <w:rsid w:val="00257848"/>
    <w:rsid w:val="002578E8"/>
    <w:rsid w:val="00257B96"/>
    <w:rsid w:val="002644AA"/>
    <w:rsid w:val="0027084A"/>
    <w:rsid w:val="002765B3"/>
    <w:rsid w:val="00280265"/>
    <w:rsid w:val="00286434"/>
    <w:rsid w:val="00286C59"/>
    <w:rsid w:val="00291957"/>
    <w:rsid w:val="002942D1"/>
    <w:rsid w:val="0029501A"/>
    <w:rsid w:val="0029686F"/>
    <w:rsid w:val="00296C11"/>
    <w:rsid w:val="002A1EE5"/>
    <w:rsid w:val="002A24E7"/>
    <w:rsid w:val="002A3721"/>
    <w:rsid w:val="002A463D"/>
    <w:rsid w:val="002A4716"/>
    <w:rsid w:val="002A4DE4"/>
    <w:rsid w:val="002A5C50"/>
    <w:rsid w:val="002A613E"/>
    <w:rsid w:val="002B1515"/>
    <w:rsid w:val="002B1638"/>
    <w:rsid w:val="002B3624"/>
    <w:rsid w:val="002B37D6"/>
    <w:rsid w:val="002B4C4B"/>
    <w:rsid w:val="002C208C"/>
    <w:rsid w:val="002C5CF2"/>
    <w:rsid w:val="002C6712"/>
    <w:rsid w:val="002D0952"/>
    <w:rsid w:val="002D5BAE"/>
    <w:rsid w:val="002E2BCA"/>
    <w:rsid w:val="002E40B3"/>
    <w:rsid w:val="002E4C9A"/>
    <w:rsid w:val="002F11F8"/>
    <w:rsid w:val="002F3F56"/>
    <w:rsid w:val="002F44B5"/>
    <w:rsid w:val="002F4F02"/>
    <w:rsid w:val="002F5122"/>
    <w:rsid w:val="002F69BF"/>
    <w:rsid w:val="003037EB"/>
    <w:rsid w:val="0030632D"/>
    <w:rsid w:val="00306D91"/>
    <w:rsid w:val="00311AC0"/>
    <w:rsid w:val="0031218C"/>
    <w:rsid w:val="00313A30"/>
    <w:rsid w:val="00316FF9"/>
    <w:rsid w:val="003176FC"/>
    <w:rsid w:val="00317ADD"/>
    <w:rsid w:val="003238AB"/>
    <w:rsid w:val="00324C55"/>
    <w:rsid w:val="0032583B"/>
    <w:rsid w:val="00326021"/>
    <w:rsid w:val="00327883"/>
    <w:rsid w:val="00335504"/>
    <w:rsid w:val="00337195"/>
    <w:rsid w:val="00340C18"/>
    <w:rsid w:val="003442FD"/>
    <w:rsid w:val="0034708C"/>
    <w:rsid w:val="00347426"/>
    <w:rsid w:val="00347824"/>
    <w:rsid w:val="00350567"/>
    <w:rsid w:val="00351F3A"/>
    <w:rsid w:val="003521E8"/>
    <w:rsid w:val="00356227"/>
    <w:rsid w:val="003576A2"/>
    <w:rsid w:val="00363D1C"/>
    <w:rsid w:val="00363D48"/>
    <w:rsid w:val="00364A5A"/>
    <w:rsid w:val="003650A4"/>
    <w:rsid w:val="00370CE3"/>
    <w:rsid w:val="00370D8F"/>
    <w:rsid w:val="003714A5"/>
    <w:rsid w:val="003728F3"/>
    <w:rsid w:val="003735BC"/>
    <w:rsid w:val="0037417D"/>
    <w:rsid w:val="0037496E"/>
    <w:rsid w:val="00380792"/>
    <w:rsid w:val="00380930"/>
    <w:rsid w:val="00383221"/>
    <w:rsid w:val="00386150"/>
    <w:rsid w:val="003874CE"/>
    <w:rsid w:val="00390900"/>
    <w:rsid w:val="003975D4"/>
    <w:rsid w:val="003A03A3"/>
    <w:rsid w:val="003A7F6C"/>
    <w:rsid w:val="003B038A"/>
    <w:rsid w:val="003B4018"/>
    <w:rsid w:val="003B4D60"/>
    <w:rsid w:val="003B52E4"/>
    <w:rsid w:val="003B7E39"/>
    <w:rsid w:val="003C3296"/>
    <w:rsid w:val="003C58DC"/>
    <w:rsid w:val="003C65F0"/>
    <w:rsid w:val="003C7284"/>
    <w:rsid w:val="003D011C"/>
    <w:rsid w:val="003D1E62"/>
    <w:rsid w:val="003D2605"/>
    <w:rsid w:val="003D6385"/>
    <w:rsid w:val="003E0B99"/>
    <w:rsid w:val="003E2486"/>
    <w:rsid w:val="003E3208"/>
    <w:rsid w:val="003E513F"/>
    <w:rsid w:val="003F0B04"/>
    <w:rsid w:val="003F1EC3"/>
    <w:rsid w:val="003F3460"/>
    <w:rsid w:val="003F6DE6"/>
    <w:rsid w:val="0040134E"/>
    <w:rsid w:val="00405BFD"/>
    <w:rsid w:val="004137B1"/>
    <w:rsid w:val="00415D55"/>
    <w:rsid w:val="004225DF"/>
    <w:rsid w:val="00423B1A"/>
    <w:rsid w:val="00425607"/>
    <w:rsid w:val="00425DB6"/>
    <w:rsid w:val="00430D89"/>
    <w:rsid w:val="00430FD1"/>
    <w:rsid w:val="00431C48"/>
    <w:rsid w:val="00432E51"/>
    <w:rsid w:val="0043347B"/>
    <w:rsid w:val="004334C7"/>
    <w:rsid w:val="0043434A"/>
    <w:rsid w:val="00434F97"/>
    <w:rsid w:val="00436767"/>
    <w:rsid w:val="00440A2D"/>
    <w:rsid w:val="00441C3F"/>
    <w:rsid w:val="00441CF0"/>
    <w:rsid w:val="0044346B"/>
    <w:rsid w:val="004438FB"/>
    <w:rsid w:val="00444D1A"/>
    <w:rsid w:val="00446B20"/>
    <w:rsid w:val="0045186A"/>
    <w:rsid w:val="004523DF"/>
    <w:rsid w:val="004564A7"/>
    <w:rsid w:val="00456765"/>
    <w:rsid w:val="004575B9"/>
    <w:rsid w:val="00460036"/>
    <w:rsid w:val="004617BF"/>
    <w:rsid w:val="00463658"/>
    <w:rsid w:val="004637A0"/>
    <w:rsid w:val="00464396"/>
    <w:rsid w:val="004668E2"/>
    <w:rsid w:val="004722CC"/>
    <w:rsid w:val="0047267E"/>
    <w:rsid w:val="00475220"/>
    <w:rsid w:val="004779EE"/>
    <w:rsid w:val="00486CC2"/>
    <w:rsid w:val="00490483"/>
    <w:rsid w:val="004936E4"/>
    <w:rsid w:val="00494E60"/>
    <w:rsid w:val="00497487"/>
    <w:rsid w:val="004A2771"/>
    <w:rsid w:val="004A6189"/>
    <w:rsid w:val="004A71D8"/>
    <w:rsid w:val="004A7390"/>
    <w:rsid w:val="004B4ED9"/>
    <w:rsid w:val="004B7B76"/>
    <w:rsid w:val="004C239D"/>
    <w:rsid w:val="004C2DCA"/>
    <w:rsid w:val="004C4FBE"/>
    <w:rsid w:val="004C61D2"/>
    <w:rsid w:val="004D72DE"/>
    <w:rsid w:val="004E146F"/>
    <w:rsid w:val="004E244E"/>
    <w:rsid w:val="004E255C"/>
    <w:rsid w:val="004E5B09"/>
    <w:rsid w:val="004E5DE3"/>
    <w:rsid w:val="004F0C4A"/>
    <w:rsid w:val="004F0F38"/>
    <w:rsid w:val="004F2535"/>
    <w:rsid w:val="004F47D6"/>
    <w:rsid w:val="004F58A2"/>
    <w:rsid w:val="00500337"/>
    <w:rsid w:val="00501921"/>
    <w:rsid w:val="005065CE"/>
    <w:rsid w:val="00507964"/>
    <w:rsid w:val="005171B1"/>
    <w:rsid w:val="005235B2"/>
    <w:rsid w:val="00525F23"/>
    <w:rsid w:val="00527347"/>
    <w:rsid w:val="00530354"/>
    <w:rsid w:val="0053625B"/>
    <w:rsid w:val="00541360"/>
    <w:rsid w:val="005434C6"/>
    <w:rsid w:val="00543B39"/>
    <w:rsid w:val="00543E5E"/>
    <w:rsid w:val="00546154"/>
    <w:rsid w:val="00550096"/>
    <w:rsid w:val="00555280"/>
    <w:rsid w:val="00555640"/>
    <w:rsid w:val="00555D6C"/>
    <w:rsid w:val="00557FF9"/>
    <w:rsid w:val="005611CF"/>
    <w:rsid w:val="00562327"/>
    <w:rsid w:val="00564861"/>
    <w:rsid w:val="005711D5"/>
    <w:rsid w:val="005743D8"/>
    <w:rsid w:val="005758B2"/>
    <w:rsid w:val="00576378"/>
    <w:rsid w:val="00577130"/>
    <w:rsid w:val="00577945"/>
    <w:rsid w:val="00577E38"/>
    <w:rsid w:val="0058196C"/>
    <w:rsid w:val="00585322"/>
    <w:rsid w:val="005857C6"/>
    <w:rsid w:val="00587BDB"/>
    <w:rsid w:val="00591C75"/>
    <w:rsid w:val="0059218E"/>
    <w:rsid w:val="00592F6E"/>
    <w:rsid w:val="00593AD1"/>
    <w:rsid w:val="00595893"/>
    <w:rsid w:val="005A1349"/>
    <w:rsid w:val="005A1C0D"/>
    <w:rsid w:val="005A4044"/>
    <w:rsid w:val="005A68B6"/>
    <w:rsid w:val="005B3814"/>
    <w:rsid w:val="005B440A"/>
    <w:rsid w:val="005B5E75"/>
    <w:rsid w:val="005B75C5"/>
    <w:rsid w:val="005C5570"/>
    <w:rsid w:val="005C5B66"/>
    <w:rsid w:val="005C5E68"/>
    <w:rsid w:val="005C5ED6"/>
    <w:rsid w:val="005C79A4"/>
    <w:rsid w:val="005D3766"/>
    <w:rsid w:val="005D5442"/>
    <w:rsid w:val="005D6EA2"/>
    <w:rsid w:val="005E1B9B"/>
    <w:rsid w:val="005E7267"/>
    <w:rsid w:val="005E78A7"/>
    <w:rsid w:val="005F2697"/>
    <w:rsid w:val="005F4640"/>
    <w:rsid w:val="00601380"/>
    <w:rsid w:val="00603F32"/>
    <w:rsid w:val="00605AD4"/>
    <w:rsid w:val="00605BD7"/>
    <w:rsid w:val="00610498"/>
    <w:rsid w:val="00610A88"/>
    <w:rsid w:val="006136D7"/>
    <w:rsid w:val="0062311C"/>
    <w:rsid w:val="00625814"/>
    <w:rsid w:val="00625A6E"/>
    <w:rsid w:val="00632398"/>
    <w:rsid w:val="00640FC3"/>
    <w:rsid w:val="00642020"/>
    <w:rsid w:val="006421E2"/>
    <w:rsid w:val="006430EE"/>
    <w:rsid w:val="006442F3"/>
    <w:rsid w:val="0065337B"/>
    <w:rsid w:val="0065419D"/>
    <w:rsid w:val="00654B14"/>
    <w:rsid w:val="006603BC"/>
    <w:rsid w:val="006604D8"/>
    <w:rsid w:val="006614A2"/>
    <w:rsid w:val="00661BB7"/>
    <w:rsid w:val="00664A5B"/>
    <w:rsid w:val="0066735C"/>
    <w:rsid w:val="0066750D"/>
    <w:rsid w:val="006763D2"/>
    <w:rsid w:val="0068043A"/>
    <w:rsid w:val="00680C08"/>
    <w:rsid w:val="00682D0F"/>
    <w:rsid w:val="00682D38"/>
    <w:rsid w:val="00685FC2"/>
    <w:rsid w:val="006916A0"/>
    <w:rsid w:val="006931B1"/>
    <w:rsid w:val="006979D3"/>
    <w:rsid w:val="006A15C0"/>
    <w:rsid w:val="006A19DF"/>
    <w:rsid w:val="006A4045"/>
    <w:rsid w:val="006A58A8"/>
    <w:rsid w:val="006B6C6E"/>
    <w:rsid w:val="006C3E2A"/>
    <w:rsid w:val="006C4AAE"/>
    <w:rsid w:val="006C4D97"/>
    <w:rsid w:val="006C642F"/>
    <w:rsid w:val="006D03E5"/>
    <w:rsid w:val="006D28E5"/>
    <w:rsid w:val="006D5A19"/>
    <w:rsid w:val="006D5B63"/>
    <w:rsid w:val="006D5D3E"/>
    <w:rsid w:val="006D7EB5"/>
    <w:rsid w:val="006E08B3"/>
    <w:rsid w:val="006E3893"/>
    <w:rsid w:val="006F17AC"/>
    <w:rsid w:val="006F25B8"/>
    <w:rsid w:val="006F572E"/>
    <w:rsid w:val="007011CE"/>
    <w:rsid w:val="007046D6"/>
    <w:rsid w:val="00705DB0"/>
    <w:rsid w:val="00707F6C"/>
    <w:rsid w:val="00710846"/>
    <w:rsid w:val="00716C5C"/>
    <w:rsid w:val="00722B57"/>
    <w:rsid w:val="00725B96"/>
    <w:rsid w:val="0073081B"/>
    <w:rsid w:val="00730F8A"/>
    <w:rsid w:val="00735A3A"/>
    <w:rsid w:val="00735A8C"/>
    <w:rsid w:val="0074253D"/>
    <w:rsid w:val="0074429B"/>
    <w:rsid w:val="00746CED"/>
    <w:rsid w:val="007615BC"/>
    <w:rsid w:val="00762F05"/>
    <w:rsid w:val="007633BE"/>
    <w:rsid w:val="007652FF"/>
    <w:rsid w:val="00770972"/>
    <w:rsid w:val="00770CAC"/>
    <w:rsid w:val="00770EF1"/>
    <w:rsid w:val="00773BEA"/>
    <w:rsid w:val="00773EF7"/>
    <w:rsid w:val="00774E1D"/>
    <w:rsid w:val="00775C5F"/>
    <w:rsid w:val="007765D8"/>
    <w:rsid w:val="0077675A"/>
    <w:rsid w:val="007772AC"/>
    <w:rsid w:val="00780355"/>
    <w:rsid w:val="007819FD"/>
    <w:rsid w:val="00783133"/>
    <w:rsid w:val="00783B4D"/>
    <w:rsid w:val="00785717"/>
    <w:rsid w:val="00785721"/>
    <w:rsid w:val="00793A59"/>
    <w:rsid w:val="00795EA8"/>
    <w:rsid w:val="0079760E"/>
    <w:rsid w:val="007A41F5"/>
    <w:rsid w:val="007A46F5"/>
    <w:rsid w:val="007A6505"/>
    <w:rsid w:val="007B0C16"/>
    <w:rsid w:val="007B1F4D"/>
    <w:rsid w:val="007B6132"/>
    <w:rsid w:val="007B6E9F"/>
    <w:rsid w:val="007C015B"/>
    <w:rsid w:val="007C1216"/>
    <w:rsid w:val="007C1AF7"/>
    <w:rsid w:val="007C4F56"/>
    <w:rsid w:val="007C5B06"/>
    <w:rsid w:val="007C6B9B"/>
    <w:rsid w:val="007D2F65"/>
    <w:rsid w:val="007D3B18"/>
    <w:rsid w:val="007D3DF0"/>
    <w:rsid w:val="007D53B6"/>
    <w:rsid w:val="007D66D3"/>
    <w:rsid w:val="007F1C26"/>
    <w:rsid w:val="007F776D"/>
    <w:rsid w:val="0080199E"/>
    <w:rsid w:val="00803A07"/>
    <w:rsid w:val="00805D27"/>
    <w:rsid w:val="00806DCB"/>
    <w:rsid w:val="00814ED5"/>
    <w:rsid w:val="00816802"/>
    <w:rsid w:val="008168ED"/>
    <w:rsid w:val="008177E9"/>
    <w:rsid w:val="00821776"/>
    <w:rsid w:val="008261A1"/>
    <w:rsid w:val="008268A5"/>
    <w:rsid w:val="00827BFF"/>
    <w:rsid w:val="00830C2C"/>
    <w:rsid w:val="008321F5"/>
    <w:rsid w:val="00832369"/>
    <w:rsid w:val="00834660"/>
    <w:rsid w:val="00836BC2"/>
    <w:rsid w:val="008378FF"/>
    <w:rsid w:val="00837C29"/>
    <w:rsid w:val="008414E5"/>
    <w:rsid w:val="00846E09"/>
    <w:rsid w:val="0085156D"/>
    <w:rsid w:val="00852B28"/>
    <w:rsid w:val="008536E4"/>
    <w:rsid w:val="00855EB6"/>
    <w:rsid w:val="0085641B"/>
    <w:rsid w:val="00857136"/>
    <w:rsid w:val="008576DF"/>
    <w:rsid w:val="00866977"/>
    <w:rsid w:val="00871C4E"/>
    <w:rsid w:val="00875A6B"/>
    <w:rsid w:val="008773D5"/>
    <w:rsid w:val="00880DA5"/>
    <w:rsid w:val="0088305F"/>
    <w:rsid w:val="00885466"/>
    <w:rsid w:val="00885B11"/>
    <w:rsid w:val="008862E8"/>
    <w:rsid w:val="008863D1"/>
    <w:rsid w:val="00886D15"/>
    <w:rsid w:val="00886D71"/>
    <w:rsid w:val="00887DD8"/>
    <w:rsid w:val="00891BA9"/>
    <w:rsid w:val="00893EAA"/>
    <w:rsid w:val="00895FA4"/>
    <w:rsid w:val="00896018"/>
    <w:rsid w:val="008960DD"/>
    <w:rsid w:val="0089635C"/>
    <w:rsid w:val="008A28DD"/>
    <w:rsid w:val="008A2B9D"/>
    <w:rsid w:val="008A30D9"/>
    <w:rsid w:val="008A3D9F"/>
    <w:rsid w:val="008A5E0B"/>
    <w:rsid w:val="008A6D59"/>
    <w:rsid w:val="008B2263"/>
    <w:rsid w:val="008B3CB8"/>
    <w:rsid w:val="008B4B03"/>
    <w:rsid w:val="008B596F"/>
    <w:rsid w:val="008C159F"/>
    <w:rsid w:val="008C1623"/>
    <w:rsid w:val="008C1850"/>
    <w:rsid w:val="008C45A0"/>
    <w:rsid w:val="008C51A9"/>
    <w:rsid w:val="008C6911"/>
    <w:rsid w:val="008D3773"/>
    <w:rsid w:val="008D5E53"/>
    <w:rsid w:val="008D5FBB"/>
    <w:rsid w:val="008E394F"/>
    <w:rsid w:val="008E6CDD"/>
    <w:rsid w:val="008E7846"/>
    <w:rsid w:val="008F02E5"/>
    <w:rsid w:val="008F1CCC"/>
    <w:rsid w:val="008F2283"/>
    <w:rsid w:val="008F2967"/>
    <w:rsid w:val="008F5D7D"/>
    <w:rsid w:val="008F6943"/>
    <w:rsid w:val="00901ADE"/>
    <w:rsid w:val="00902A21"/>
    <w:rsid w:val="00903F37"/>
    <w:rsid w:val="009063F8"/>
    <w:rsid w:val="009121FF"/>
    <w:rsid w:val="0091523F"/>
    <w:rsid w:val="00920330"/>
    <w:rsid w:val="00920D07"/>
    <w:rsid w:val="009219D7"/>
    <w:rsid w:val="00922346"/>
    <w:rsid w:val="00922D53"/>
    <w:rsid w:val="00923B70"/>
    <w:rsid w:val="00924482"/>
    <w:rsid w:val="00930237"/>
    <w:rsid w:val="0093439C"/>
    <w:rsid w:val="009346D8"/>
    <w:rsid w:val="00937C17"/>
    <w:rsid w:val="00937FF5"/>
    <w:rsid w:val="00940A89"/>
    <w:rsid w:val="00941F77"/>
    <w:rsid w:val="00946EA5"/>
    <w:rsid w:val="0094772D"/>
    <w:rsid w:val="0095344D"/>
    <w:rsid w:val="009546AB"/>
    <w:rsid w:val="009556EA"/>
    <w:rsid w:val="00957601"/>
    <w:rsid w:val="00960520"/>
    <w:rsid w:val="00963C08"/>
    <w:rsid w:val="00964EA4"/>
    <w:rsid w:val="0096567C"/>
    <w:rsid w:val="009738C9"/>
    <w:rsid w:val="0097420C"/>
    <w:rsid w:val="00974B4E"/>
    <w:rsid w:val="009752A5"/>
    <w:rsid w:val="00977E6F"/>
    <w:rsid w:val="00981121"/>
    <w:rsid w:val="009857DF"/>
    <w:rsid w:val="0098585A"/>
    <w:rsid w:val="00986F56"/>
    <w:rsid w:val="00990D45"/>
    <w:rsid w:val="00994AD0"/>
    <w:rsid w:val="009A34BE"/>
    <w:rsid w:val="009A4678"/>
    <w:rsid w:val="009A4966"/>
    <w:rsid w:val="009A4CED"/>
    <w:rsid w:val="009A574A"/>
    <w:rsid w:val="009A690D"/>
    <w:rsid w:val="009B155E"/>
    <w:rsid w:val="009B1D12"/>
    <w:rsid w:val="009B407B"/>
    <w:rsid w:val="009B416B"/>
    <w:rsid w:val="009B69A0"/>
    <w:rsid w:val="009B74BA"/>
    <w:rsid w:val="009C0A48"/>
    <w:rsid w:val="009C2033"/>
    <w:rsid w:val="009C4BD5"/>
    <w:rsid w:val="009D7B77"/>
    <w:rsid w:val="009E0749"/>
    <w:rsid w:val="009E0BB0"/>
    <w:rsid w:val="009E1FFC"/>
    <w:rsid w:val="009E3FBB"/>
    <w:rsid w:val="009E4A93"/>
    <w:rsid w:val="009F0B81"/>
    <w:rsid w:val="009F3A4D"/>
    <w:rsid w:val="009F4410"/>
    <w:rsid w:val="009F72D7"/>
    <w:rsid w:val="009F7353"/>
    <w:rsid w:val="00A000B7"/>
    <w:rsid w:val="00A04F85"/>
    <w:rsid w:val="00A0555A"/>
    <w:rsid w:val="00A05FA4"/>
    <w:rsid w:val="00A07102"/>
    <w:rsid w:val="00A102E4"/>
    <w:rsid w:val="00A1219C"/>
    <w:rsid w:val="00A12C42"/>
    <w:rsid w:val="00A14DF7"/>
    <w:rsid w:val="00A15073"/>
    <w:rsid w:val="00A22D57"/>
    <w:rsid w:val="00A23A6F"/>
    <w:rsid w:val="00A27431"/>
    <w:rsid w:val="00A3246D"/>
    <w:rsid w:val="00A329CD"/>
    <w:rsid w:val="00A36FA7"/>
    <w:rsid w:val="00A417A3"/>
    <w:rsid w:val="00A4213A"/>
    <w:rsid w:val="00A443D5"/>
    <w:rsid w:val="00A44A8A"/>
    <w:rsid w:val="00A44DDB"/>
    <w:rsid w:val="00A4714D"/>
    <w:rsid w:val="00A475B7"/>
    <w:rsid w:val="00A47AF7"/>
    <w:rsid w:val="00A47C3E"/>
    <w:rsid w:val="00A50226"/>
    <w:rsid w:val="00A50EF1"/>
    <w:rsid w:val="00A5505A"/>
    <w:rsid w:val="00A55071"/>
    <w:rsid w:val="00A56ACE"/>
    <w:rsid w:val="00A57706"/>
    <w:rsid w:val="00A60BAD"/>
    <w:rsid w:val="00A62576"/>
    <w:rsid w:val="00A63CD8"/>
    <w:rsid w:val="00A65981"/>
    <w:rsid w:val="00A6685E"/>
    <w:rsid w:val="00A702CF"/>
    <w:rsid w:val="00A73D84"/>
    <w:rsid w:val="00A75CC0"/>
    <w:rsid w:val="00A77796"/>
    <w:rsid w:val="00A77F87"/>
    <w:rsid w:val="00A807DB"/>
    <w:rsid w:val="00A80B5B"/>
    <w:rsid w:val="00A84E36"/>
    <w:rsid w:val="00A964D1"/>
    <w:rsid w:val="00A965A6"/>
    <w:rsid w:val="00A966FD"/>
    <w:rsid w:val="00A96CBE"/>
    <w:rsid w:val="00AA054F"/>
    <w:rsid w:val="00AA0ED0"/>
    <w:rsid w:val="00AA1C87"/>
    <w:rsid w:val="00AA4D12"/>
    <w:rsid w:val="00AB272A"/>
    <w:rsid w:val="00AC2B40"/>
    <w:rsid w:val="00AC2BB2"/>
    <w:rsid w:val="00AC2C3C"/>
    <w:rsid w:val="00AC46D3"/>
    <w:rsid w:val="00AC512D"/>
    <w:rsid w:val="00AD0083"/>
    <w:rsid w:val="00AD1B57"/>
    <w:rsid w:val="00AD3935"/>
    <w:rsid w:val="00AD3CCF"/>
    <w:rsid w:val="00AD4B82"/>
    <w:rsid w:val="00AE3BFC"/>
    <w:rsid w:val="00AE517A"/>
    <w:rsid w:val="00AE65EB"/>
    <w:rsid w:val="00AE67A7"/>
    <w:rsid w:val="00AF0D02"/>
    <w:rsid w:val="00AF115C"/>
    <w:rsid w:val="00AF1D94"/>
    <w:rsid w:val="00AF2D3F"/>
    <w:rsid w:val="00AF60C5"/>
    <w:rsid w:val="00AF648C"/>
    <w:rsid w:val="00B009C6"/>
    <w:rsid w:val="00B01257"/>
    <w:rsid w:val="00B01548"/>
    <w:rsid w:val="00B01EEA"/>
    <w:rsid w:val="00B124B1"/>
    <w:rsid w:val="00B130C5"/>
    <w:rsid w:val="00B13EBD"/>
    <w:rsid w:val="00B14979"/>
    <w:rsid w:val="00B15B4D"/>
    <w:rsid w:val="00B20392"/>
    <w:rsid w:val="00B20981"/>
    <w:rsid w:val="00B211E4"/>
    <w:rsid w:val="00B21D29"/>
    <w:rsid w:val="00B25034"/>
    <w:rsid w:val="00B31A6D"/>
    <w:rsid w:val="00B330D9"/>
    <w:rsid w:val="00B33588"/>
    <w:rsid w:val="00B33863"/>
    <w:rsid w:val="00B3760D"/>
    <w:rsid w:val="00B37D17"/>
    <w:rsid w:val="00B4175E"/>
    <w:rsid w:val="00B41C85"/>
    <w:rsid w:val="00B452CE"/>
    <w:rsid w:val="00B513F6"/>
    <w:rsid w:val="00B54C25"/>
    <w:rsid w:val="00B70CF2"/>
    <w:rsid w:val="00B72B89"/>
    <w:rsid w:val="00B76B91"/>
    <w:rsid w:val="00B77EB1"/>
    <w:rsid w:val="00B811C6"/>
    <w:rsid w:val="00B855B0"/>
    <w:rsid w:val="00B90048"/>
    <w:rsid w:val="00B92E08"/>
    <w:rsid w:val="00B953BD"/>
    <w:rsid w:val="00BA1F83"/>
    <w:rsid w:val="00BA2FB0"/>
    <w:rsid w:val="00BA3D07"/>
    <w:rsid w:val="00BA6A7B"/>
    <w:rsid w:val="00BA7D8A"/>
    <w:rsid w:val="00BB5D7F"/>
    <w:rsid w:val="00BB62DA"/>
    <w:rsid w:val="00BB7A13"/>
    <w:rsid w:val="00BC5ECC"/>
    <w:rsid w:val="00BC622A"/>
    <w:rsid w:val="00BC7655"/>
    <w:rsid w:val="00BC7CC5"/>
    <w:rsid w:val="00BD04CD"/>
    <w:rsid w:val="00BD1360"/>
    <w:rsid w:val="00BE08F4"/>
    <w:rsid w:val="00BE0A78"/>
    <w:rsid w:val="00BE2E37"/>
    <w:rsid w:val="00BE5184"/>
    <w:rsid w:val="00BE6266"/>
    <w:rsid w:val="00BE79F0"/>
    <w:rsid w:val="00BF046D"/>
    <w:rsid w:val="00BF1190"/>
    <w:rsid w:val="00BF3774"/>
    <w:rsid w:val="00BF5D04"/>
    <w:rsid w:val="00BF7C39"/>
    <w:rsid w:val="00C009AA"/>
    <w:rsid w:val="00C05219"/>
    <w:rsid w:val="00C07C23"/>
    <w:rsid w:val="00C1164D"/>
    <w:rsid w:val="00C16861"/>
    <w:rsid w:val="00C2054F"/>
    <w:rsid w:val="00C21DEF"/>
    <w:rsid w:val="00C22C52"/>
    <w:rsid w:val="00C23E64"/>
    <w:rsid w:val="00C26440"/>
    <w:rsid w:val="00C3419C"/>
    <w:rsid w:val="00C344D3"/>
    <w:rsid w:val="00C346AB"/>
    <w:rsid w:val="00C404A6"/>
    <w:rsid w:val="00C40A36"/>
    <w:rsid w:val="00C41A0F"/>
    <w:rsid w:val="00C44419"/>
    <w:rsid w:val="00C45E7B"/>
    <w:rsid w:val="00C46163"/>
    <w:rsid w:val="00C471B1"/>
    <w:rsid w:val="00C525A2"/>
    <w:rsid w:val="00C52E24"/>
    <w:rsid w:val="00C6316B"/>
    <w:rsid w:val="00C634A9"/>
    <w:rsid w:val="00C64586"/>
    <w:rsid w:val="00C657BC"/>
    <w:rsid w:val="00C6633A"/>
    <w:rsid w:val="00C70A36"/>
    <w:rsid w:val="00C70D53"/>
    <w:rsid w:val="00C71373"/>
    <w:rsid w:val="00C73D0B"/>
    <w:rsid w:val="00C7477E"/>
    <w:rsid w:val="00C74F5C"/>
    <w:rsid w:val="00C772FF"/>
    <w:rsid w:val="00C80137"/>
    <w:rsid w:val="00C801AF"/>
    <w:rsid w:val="00C80256"/>
    <w:rsid w:val="00C806CF"/>
    <w:rsid w:val="00C92B35"/>
    <w:rsid w:val="00C94CD4"/>
    <w:rsid w:val="00C96DCF"/>
    <w:rsid w:val="00C9747E"/>
    <w:rsid w:val="00CB249E"/>
    <w:rsid w:val="00CB24B8"/>
    <w:rsid w:val="00CB4BDD"/>
    <w:rsid w:val="00CB5B0E"/>
    <w:rsid w:val="00CB63AA"/>
    <w:rsid w:val="00CB6BC0"/>
    <w:rsid w:val="00CB7588"/>
    <w:rsid w:val="00CC1B7C"/>
    <w:rsid w:val="00CC727F"/>
    <w:rsid w:val="00CD0560"/>
    <w:rsid w:val="00CD3637"/>
    <w:rsid w:val="00CD674A"/>
    <w:rsid w:val="00CE20D8"/>
    <w:rsid w:val="00CE2749"/>
    <w:rsid w:val="00CE2858"/>
    <w:rsid w:val="00CE4DC6"/>
    <w:rsid w:val="00CF15C3"/>
    <w:rsid w:val="00CF1E77"/>
    <w:rsid w:val="00CF2732"/>
    <w:rsid w:val="00CF2B6F"/>
    <w:rsid w:val="00CF2F3E"/>
    <w:rsid w:val="00CF58B6"/>
    <w:rsid w:val="00CF5DAD"/>
    <w:rsid w:val="00D0062D"/>
    <w:rsid w:val="00D017ED"/>
    <w:rsid w:val="00D03796"/>
    <w:rsid w:val="00D040D3"/>
    <w:rsid w:val="00D04C65"/>
    <w:rsid w:val="00D153D8"/>
    <w:rsid w:val="00D201D2"/>
    <w:rsid w:val="00D224FE"/>
    <w:rsid w:val="00D22FB4"/>
    <w:rsid w:val="00D23139"/>
    <w:rsid w:val="00D23EAA"/>
    <w:rsid w:val="00D425BB"/>
    <w:rsid w:val="00D453FA"/>
    <w:rsid w:val="00D61D03"/>
    <w:rsid w:val="00D6493E"/>
    <w:rsid w:val="00D6732A"/>
    <w:rsid w:val="00D70FE1"/>
    <w:rsid w:val="00D7195D"/>
    <w:rsid w:val="00D7301E"/>
    <w:rsid w:val="00D740FF"/>
    <w:rsid w:val="00D83AE1"/>
    <w:rsid w:val="00D84CA8"/>
    <w:rsid w:val="00D855D4"/>
    <w:rsid w:val="00D902C9"/>
    <w:rsid w:val="00D90563"/>
    <w:rsid w:val="00D93466"/>
    <w:rsid w:val="00D97822"/>
    <w:rsid w:val="00DA1124"/>
    <w:rsid w:val="00DA2DBD"/>
    <w:rsid w:val="00DA5625"/>
    <w:rsid w:val="00DA5F84"/>
    <w:rsid w:val="00DA64CB"/>
    <w:rsid w:val="00DA6635"/>
    <w:rsid w:val="00DA7987"/>
    <w:rsid w:val="00DB06B8"/>
    <w:rsid w:val="00DB15DE"/>
    <w:rsid w:val="00DB1B06"/>
    <w:rsid w:val="00DB2C88"/>
    <w:rsid w:val="00DB6124"/>
    <w:rsid w:val="00DB750B"/>
    <w:rsid w:val="00DB75B7"/>
    <w:rsid w:val="00DC0A2F"/>
    <w:rsid w:val="00DC139A"/>
    <w:rsid w:val="00DC1948"/>
    <w:rsid w:val="00DC6E02"/>
    <w:rsid w:val="00DD0134"/>
    <w:rsid w:val="00DD28CD"/>
    <w:rsid w:val="00DD379C"/>
    <w:rsid w:val="00DD3B76"/>
    <w:rsid w:val="00DD544A"/>
    <w:rsid w:val="00DE02AE"/>
    <w:rsid w:val="00DE1C1C"/>
    <w:rsid w:val="00DE39D1"/>
    <w:rsid w:val="00DF1D7F"/>
    <w:rsid w:val="00DF49C5"/>
    <w:rsid w:val="00DF4BE4"/>
    <w:rsid w:val="00E01317"/>
    <w:rsid w:val="00E02382"/>
    <w:rsid w:val="00E02FB4"/>
    <w:rsid w:val="00E042AB"/>
    <w:rsid w:val="00E0654F"/>
    <w:rsid w:val="00E06B14"/>
    <w:rsid w:val="00E104B5"/>
    <w:rsid w:val="00E13FC7"/>
    <w:rsid w:val="00E20571"/>
    <w:rsid w:val="00E235F7"/>
    <w:rsid w:val="00E23659"/>
    <w:rsid w:val="00E239D4"/>
    <w:rsid w:val="00E26130"/>
    <w:rsid w:val="00E318FA"/>
    <w:rsid w:val="00E336E6"/>
    <w:rsid w:val="00E40B22"/>
    <w:rsid w:val="00E42AC9"/>
    <w:rsid w:val="00E44ED1"/>
    <w:rsid w:val="00E45619"/>
    <w:rsid w:val="00E4588F"/>
    <w:rsid w:val="00E46DA3"/>
    <w:rsid w:val="00E47DB0"/>
    <w:rsid w:val="00E5119C"/>
    <w:rsid w:val="00E51BB1"/>
    <w:rsid w:val="00E53399"/>
    <w:rsid w:val="00E54651"/>
    <w:rsid w:val="00E55CB0"/>
    <w:rsid w:val="00E624A5"/>
    <w:rsid w:val="00E648E1"/>
    <w:rsid w:val="00E64BA4"/>
    <w:rsid w:val="00E6742E"/>
    <w:rsid w:val="00E675C7"/>
    <w:rsid w:val="00E67F43"/>
    <w:rsid w:val="00E71D05"/>
    <w:rsid w:val="00E720A5"/>
    <w:rsid w:val="00E7212D"/>
    <w:rsid w:val="00E7344E"/>
    <w:rsid w:val="00E738CD"/>
    <w:rsid w:val="00E82597"/>
    <w:rsid w:val="00E82665"/>
    <w:rsid w:val="00E92999"/>
    <w:rsid w:val="00E95FB2"/>
    <w:rsid w:val="00E9655B"/>
    <w:rsid w:val="00E9733A"/>
    <w:rsid w:val="00EA0D9A"/>
    <w:rsid w:val="00EA3A0D"/>
    <w:rsid w:val="00EA58EB"/>
    <w:rsid w:val="00EB02E1"/>
    <w:rsid w:val="00EB0798"/>
    <w:rsid w:val="00EB3F88"/>
    <w:rsid w:val="00EB40AD"/>
    <w:rsid w:val="00EB586E"/>
    <w:rsid w:val="00EB5FC8"/>
    <w:rsid w:val="00EC463D"/>
    <w:rsid w:val="00EC7A85"/>
    <w:rsid w:val="00ED0AA7"/>
    <w:rsid w:val="00ED2922"/>
    <w:rsid w:val="00ED2F96"/>
    <w:rsid w:val="00ED3CAD"/>
    <w:rsid w:val="00ED5A41"/>
    <w:rsid w:val="00EE0BFE"/>
    <w:rsid w:val="00EE1DE8"/>
    <w:rsid w:val="00EE27C2"/>
    <w:rsid w:val="00EE584A"/>
    <w:rsid w:val="00EF35E0"/>
    <w:rsid w:val="00EF4BAD"/>
    <w:rsid w:val="00EF59DC"/>
    <w:rsid w:val="00F021A5"/>
    <w:rsid w:val="00F033EC"/>
    <w:rsid w:val="00F04478"/>
    <w:rsid w:val="00F04F68"/>
    <w:rsid w:val="00F12670"/>
    <w:rsid w:val="00F14542"/>
    <w:rsid w:val="00F14B27"/>
    <w:rsid w:val="00F2175D"/>
    <w:rsid w:val="00F21B7B"/>
    <w:rsid w:val="00F2463B"/>
    <w:rsid w:val="00F30C77"/>
    <w:rsid w:val="00F3148D"/>
    <w:rsid w:val="00F319BA"/>
    <w:rsid w:val="00F325C5"/>
    <w:rsid w:val="00F32FE0"/>
    <w:rsid w:val="00F35298"/>
    <w:rsid w:val="00F35417"/>
    <w:rsid w:val="00F357A6"/>
    <w:rsid w:val="00F40745"/>
    <w:rsid w:val="00F40A0C"/>
    <w:rsid w:val="00F43E3A"/>
    <w:rsid w:val="00F46E5A"/>
    <w:rsid w:val="00F47333"/>
    <w:rsid w:val="00F47E37"/>
    <w:rsid w:val="00F530D5"/>
    <w:rsid w:val="00F53C07"/>
    <w:rsid w:val="00F54ADE"/>
    <w:rsid w:val="00F54B65"/>
    <w:rsid w:val="00F565FC"/>
    <w:rsid w:val="00F61F19"/>
    <w:rsid w:val="00F64011"/>
    <w:rsid w:val="00F640B6"/>
    <w:rsid w:val="00F66DF2"/>
    <w:rsid w:val="00F672EC"/>
    <w:rsid w:val="00F71429"/>
    <w:rsid w:val="00F71FB1"/>
    <w:rsid w:val="00F80E40"/>
    <w:rsid w:val="00F81AE1"/>
    <w:rsid w:val="00F848D9"/>
    <w:rsid w:val="00F87746"/>
    <w:rsid w:val="00F9338F"/>
    <w:rsid w:val="00F94DFB"/>
    <w:rsid w:val="00F95312"/>
    <w:rsid w:val="00FA045C"/>
    <w:rsid w:val="00FA3816"/>
    <w:rsid w:val="00FA5069"/>
    <w:rsid w:val="00FA5B82"/>
    <w:rsid w:val="00FA639E"/>
    <w:rsid w:val="00FB076B"/>
    <w:rsid w:val="00FB2BA7"/>
    <w:rsid w:val="00FB684B"/>
    <w:rsid w:val="00FB6D64"/>
    <w:rsid w:val="00FC0D4E"/>
    <w:rsid w:val="00FC1FCA"/>
    <w:rsid w:val="00FC25E4"/>
    <w:rsid w:val="00FC26F6"/>
    <w:rsid w:val="00FC2A79"/>
    <w:rsid w:val="00FC4EF7"/>
    <w:rsid w:val="00FD0824"/>
    <w:rsid w:val="00FD119B"/>
    <w:rsid w:val="00FD1757"/>
    <w:rsid w:val="00FD1EDC"/>
    <w:rsid w:val="00FD2F20"/>
    <w:rsid w:val="00FD3E0F"/>
    <w:rsid w:val="00FE0A6C"/>
    <w:rsid w:val="00FE1DEE"/>
    <w:rsid w:val="00FF0A87"/>
    <w:rsid w:val="00FF2126"/>
    <w:rsid w:val="00FF37EC"/>
    <w:rsid w:val="00FF3D70"/>
    <w:rsid w:val="00FF5282"/>
    <w:rsid w:val="00FF5755"/>
    <w:rsid w:val="00FF69BE"/>
    <w:rsid w:val="00FF7182"/>
    <w:rsid w:val="00FF75BA"/>
    <w:rsid w:val="00FF7613"/>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7FC0B13"/>
  <w15:docId w15:val="{3D1F2FDB-C37E-4440-B8D6-94569F7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175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unhideWhenUsed/>
    <w:qFormat/>
    <w:rsid w:val="00224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6C5C"/>
    <w:pPr>
      <w:keepNext/>
      <w:keepLines/>
      <w:spacing w:before="40" w:after="0"/>
      <w:ind w:left="72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ind w:left="720"/>
    </w:pPr>
  </w:style>
  <w:style w:type="paragraph" w:styleId="ListBullet3">
    <w:name w:val="List Bullet 3"/>
    <w:basedOn w:val="Normal"/>
    <w:uiPriority w:val="99"/>
    <w:qFormat/>
    <w:rsid w:val="004C2DCA"/>
    <w:pPr>
      <w:numPr>
        <w:ilvl w:val="2"/>
        <w:numId w:val="3"/>
      </w:numPr>
      <w:ind w:left="1080"/>
    </w:pPr>
  </w:style>
  <w:style w:type="numbering" w:customStyle="1" w:styleId="ListBullets">
    <w:name w:val="ListBullets"/>
    <w:uiPriority w:val="99"/>
    <w:locked/>
    <w:rsid w:val="00F3148D"/>
    <w:pPr>
      <w:numPr>
        <w:numId w:val="26"/>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unhideWhenUsed/>
    <w:rsid w:val="00EC463D"/>
    <w:rPr>
      <w:sz w:val="16"/>
      <w:szCs w:val="16"/>
    </w:rPr>
  </w:style>
  <w:style w:type="paragraph" w:styleId="CommentText">
    <w:name w:val="annotation text"/>
    <w:basedOn w:val="Normal"/>
    <w:link w:val="CommentTextChar"/>
    <w:uiPriority w:val="99"/>
    <w:unhideWhenUsed/>
    <w:qFormat/>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2248A1"/>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Heading8Char">
    <w:name w:val="Heading 8 Char"/>
    <w:basedOn w:val="DefaultParagraphFont"/>
    <w:link w:val="Heading8"/>
    <w:uiPriority w:val="9"/>
    <w:rsid w:val="002248A1"/>
    <w:rPr>
      <w:rFonts w:asciiTheme="majorHAnsi" w:eastAsiaTheme="majorEastAsia" w:hAnsiTheme="majorHAnsi" w:cstheme="majorBidi"/>
      <w:color w:val="272727" w:themeColor="text1" w:themeTint="D8"/>
      <w:sz w:val="21"/>
      <w:szCs w:val="21"/>
    </w:rPr>
  </w:style>
  <w:style w:type="table" w:customStyle="1" w:styleId="TableTGAblue2">
    <w:name w:val="Table TGA blue2"/>
    <w:basedOn w:val="TableNormal"/>
    <w:uiPriority w:val="99"/>
    <w:qFormat/>
    <w:rsid w:val="003037E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A57706"/>
    <w:pPr>
      <w:adjustRightInd w:val="0"/>
      <w:snapToGrid w:val="0"/>
      <w:spacing w:before="180" w:after="180"/>
      <w:ind w:left="720"/>
      <w:contextualSpacing/>
    </w:pPr>
    <w:rPr>
      <w:rFonts w:eastAsia="MS Mincho"/>
      <w:szCs w:val="20"/>
      <w:lang w:eastAsia="ja-JP"/>
    </w:rPr>
  </w:style>
  <w:style w:type="table" w:styleId="TableGridLight">
    <w:name w:val="Grid Table Light"/>
    <w:basedOn w:val="TableNormal"/>
    <w:uiPriority w:val="40"/>
    <w:rsid w:val="00716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rsid w:val="00716C5C"/>
    <w:rPr>
      <w:rFonts w:asciiTheme="majorHAnsi" w:eastAsiaTheme="majorEastAsia" w:hAnsiTheme="majorHAnsi" w:cstheme="majorBidi"/>
      <w:i/>
      <w:iCs/>
      <w:color w:val="272727" w:themeColor="text1" w:themeTint="D8"/>
      <w:sz w:val="21"/>
      <w:szCs w:val="21"/>
    </w:rPr>
  </w:style>
  <w:style w:type="paragraph" w:customStyle="1" w:styleId="FigureCaption">
    <w:name w:val="Figure Caption"/>
    <w:basedOn w:val="Normal"/>
    <w:qFormat/>
    <w:rsid w:val="00716C5C"/>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716C5C"/>
    <w:pPr>
      <w:spacing w:after="240"/>
    </w:pPr>
    <w:rPr>
      <w:sz w:val="17"/>
    </w:rPr>
  </w:style>
  <w:style w:type="table" w:customStyle="1" w:styleId="TableTGA2">
    <w:name w:val="Table TGA 2"/>
    <w:basedOn w:val="TableNormal"/>
    <w:uiPriority w:val="99"/>
    <w:rsid w:val="00716C5C"/>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Arial-BoldMT" w:hAnsi="Arial-BoldMT"/>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Arial-BoldMT" w:hAnsi="Arial-BoldMT"/>
        <w:b/>
        <w:i w:val="0"/>
        <w:color w:val="FFFFFF"/>
        <w:sz w:val="22"/>
      </w:rPr>
    </w:tblStylePr>
  </w:style>
  <w:style w:type="paragraph" w:customStyle="1" w:styleId="Subject">
    <w:name w:val="Subject"/>
    <w:basedOn w:val="Normal"/>
    <w:qFormat/>
    <w:rsid w:val="00716C5C"/>
    <w:pPr>
      <w:adjustRightInd w:val="0"/>
      <w:snapToGrid w:val="0"/>
      <w:spacing w:before="180" w:after="180"/>
    </w:pPr>
    <w:rPr>
      <w:rFonts w:eastAsia="MS Mincho"/>
      <w:b/>
      <w:szCs w:val="20"/>
      <w:lang w:eastAsia="ja-JP"/>
    </w:rPr>
  </w:style>
  <w:style w:type="paragraph" w:customStyle="1" w:styleId="Addressee">
    <w:name w:val="Addressee"/>
    <w:basedOn w:val="Normal"/>
    <w:qFormat/>
    <w:rsid w:val="00716C5C"/>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716C5C"/>
    <w:rPr>
      <w:rFonts w:ascii="Arial" w:hAnsi="Arial"/>
      <w:color w:val="002C47"/>
      <w:sz w:val="14"/>
    </w:rPr>
  </w:style>
  <w:style w:type="paragraph" w:customStyle="1" w:styleId="BodyCopy">
    <w:name w:val="Body Copy"/>
    <w:basedOn w:val="Normal"/>
    <w:qFormat/>
    <w:rsid w:val="00716C5C"/>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716C5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716C5C"/>
    <w:rPr>
      <w:rFonts w:ascii="Cambria" w:eastAsia="Times New Roman" w:hAnsi="Cambria" w:cs="Times New Roman"/>
      <w:snapToGrid w:val="0"/>
      <w:kern w:val="16"/>
      <w:sz w:val="23"/>
      <w:szCs w:val="24"/>
    </w:rPr>
  </w:style>
  <w:style w:type="paragraph" w:customStyle="1" w:styleId="Bulletpoint">
    <w:name w:val="Bullet point"/>
    <w:basedOn w:val="Standard"/>
    <w:rsid w:val="00716C5C"/>
    <w:pPr>
      <w:numPr>
        <w:numId w:val="10"/>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716C5C"/>
    <w:pPr>
      <w:keepNext/>
      <w:spacing w:after="120"/>
    </w:pPr>
    <w:rPr>
      <w:b/>
      <w:i/>
      <w:kern w:val="2"/>
      <w:sz w:val="22"/>
    </w:rPr>
  </w:style>
  <w:style w:type="paragraph" w:customStyle="1" w:styleId="mine">
    <w:name w:val="mine"/>
    <w:basedOn w:val="Normal"/>
    <w:qFormat/>
    <w:rsid w:val="00716C5C"/>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paragraph" w:customStyle="1" w:styleId="TableParagraph">
    <w:name w:val="Table Paragraph"/>
    <w:basedOn w:val="Normal"/>
    <w:uiPriority w:val="1"/>
    <w:qFormat/>
    <w:rsid w:val="00716C5C"/>
    <w:pPr>
      <w:widowControl w:val="0"/>
      <w:autoSpaceDE w:val="0"/>
      <w:autoSpaceDN w:val="0"/>
      <w:spacing w:before="0" w:after="0" w:line="240" w:lineRule="auto"/>
    </w:pPr>
    <w:rPr>
      <w:rFonts w:ascii="Calibri" w:eastAsia="Calibri" w:hAnsi="Calibri" w:cs="Calibri"/>
      <w:lang w:val="en-US"/>
    </w:rPr>
  </w:style>
  <w:style w:type="paragraph" w:styleId="BodyText">
    <w:name w:val="Body Text"/>
    <w:basedOn w:val="Normal"/>
    <w:link w:val="BodyTextChar"/>
    <w:uiPriority w:val="1"/>
    <w:qFormat/>
    <w:rsid w:val="00716C5C"/>
    <w:pPr>
      <w:widowControl w:val="0"/>
      <w:autoSpaceDE w:val="0"/>
      <w:autoSpaceDN w:val="0"/>
      <w:spacing w:before="0" w:after="0" w:line="240" w:lineRule="auto"/>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716C5C"/>
    <w:rPr>
      <w:rFonts w:ascii="Calibri" w:eastAsia="Calibri" w:hAnsi="Calibri" w:cs="Calibri"/>
      <w:sz w:val="23"/>
      <w:szCs w:val="23"/>
      <w:lang w:val="en-US"/>
    </w:rPr>
  </w:style>
  <w:style w:type="paragraph" w:customStyle="1" w:styleId="Bulletlist">
    <w:name w:val="Bullet list"/>
    <w:basedOn w:val="Standard"/>
    <w:link w:val="BulletlistChar"/>
    <w:qFormat/>
    <w:rsid w:val="00716C5C"/>
    <w:pPr>
      <w:numPr>
        <w:numId w:val="11"/>
      </w:numPr>
      <w:spacing w:after="180"/>
    </w:pPr>
    <w:rPr>
      <w:kern w:val="2"/>
    </w:rPr>
  </w:style>
  <w:style w:type="character" w:customStyle="1" w:styleId="TabletextChar">
    <w:name w:val="Table text Char"/>
    <w:basedOn w:val="StandardChar"/>
    <w:link w:val="Tabletext"/>
    <w:rsid w:val="00716C5C"/>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716C5C"/>
    <w:rPr>
      <w:rFonts w:ascii="Cambria" w:eastAsia="Times New Roman" w:hAnsi="Cambria" w:cs="Times New Roman"/>
      <w:snapToGrid w:val="0"/>
      <w:kern w:val="2"/>
      <w:sz w:val="23"/>
      <w:szCs w:val="24"/>
    </w:rPr>
  </w:style>
  <w:style w:type="table" w:customStyle="1" w:styleId="TableTGAblue3">
    <w:name w:val="Table TGA blue3"/>
    <w:basedOn w:val="TableNormal"/>
    <w:uiPriority w:val="99"/>
    <w:qFormat/>
    <w:rsid w:val="00DA5625"/>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11">
    <w:name w:val="Table TGA blue11"/>
    <w:basedOn w:val="TableNormal"/>
    <w:uiPriority w:val="99"/>
    <w:qFormat/>
    <w:rsid w:val="002644AA"/>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1">
    <w:name w:val="Table Grid1"/>
    <w:basedOn w:val="TableNormal"/>
    <w:next w:val="TableGrid"/>
    <w:uiPriority w:val="59"/>
    <w:rsid w:val="00A73D84"/>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1D03"/>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421E2"/>
  </w:style>
  <w:style w:type="table" w:customStyle="1" w:styleId="LightShading-Accent21">
    <w:name w:val="Light Shading - Accent 21"/>
    <w:basedOn w:val="TableNormal"/>
    <w:next w:val="LightShading-Accent2"/>
    <w:uiPriority w:val="60"/>
    <w:rsid w:val="006421E2"/>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1">
    <w:name w:val="ListBullets1"/>
    <w:uiPriority w:val="99"/>
    <w:locked/>
    <w:rsid w:val="006421E2"/>
  </w:style>
  <w:style w:type="table" w:customStyle="1" w:styleId="MediumGrid2-Accent51">
    <w:name w:val="Medium Grid 2 - Accent 51"/>
    <w:basedOn w:val="TableNormal"/>
    <w:next w:val="MediumGrid2-Accent5"/>
    <w:uiPriority w:val="68"/>
    <w:rsid w:val="006421E2"/>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1">
    <w:name w:val="NumberBullet1"/>
    <w:uiPriority w:val="99"/>
    <w:locked/>
    <w:rsid w:val="006421E2"/>
  </w:style>
  <w:style w:type="table" w:customStyle="1" w:styleId="TableGrid3">
    <w:name w:val="Table Grid3"/>
    <w:basedOn w:val="TableNormal"/>
    <w:next w:val="TableGrid"/>
    <w:uiPriority w:val="59"/>
    <w:rsid w:val="006421E2"/>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4">
    <w:name w:val="Table TGA blue4"/>
    <w:basedOn w:val="TableNormal"/>
    <w:uiPriority w:val="99"/>
    <w:qFormat/>
    <w:rsid w:val="006421E2"/>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6421E2"/>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table" w:customStyle="1" w:styleId="TableTGAblue12">
    <w:name w:val="Table TGA blue12"/>
    <w:basedOn w:val="TableNormal"/>
    <w:uiPriority w:val="99"/>
    <w:qFormat/>
    <w:rsid w:val="006421E2"/>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21">
    <w:name w:val="Table TGA blue21"/>
    <w:basedOn w:val="TableNormal"/>
    <w:uiPriority w:val="99"/>
    <w:qFormat/>
    <w:rsid w:val="006421E2"/>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Light1">
    <w:name w:val="Table Grid Light1"/>
    <w:basedOn w:val="TableNormal"/>
    <w:next w:val="TableGridLight"/>
    <w:uiPriority w:val="40"/>
    <w:rsid w:val="006421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TGA21">
    <w:name w:val="Table TGA 21"/>
    <w:basedOn w:val="TableNormal"/>
    <w:uiPriority w:val="99"/>
    <w:rsid w:val="006421E2"/>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Arial-BoldMT" w:hAnsi="Arial-BoldMT"/>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Arial-BoldMT" w:hAnsi="Arial-BoldMT"/>
        <w:b/>
        <w:i w:val="0"/>
        <w:color w:val="FFFFFF"/>
        <w:sz w:val="22"/>
      </w:rPr>
    </w:tblStylePr>
  </w:style>
  <w:style w:type="table" w:customStyle="1" w:styleId="TableTGAblue5">
    <w:name w:val="Table TGA blue5"/>
    <w:basedOn w:val="TableNormal"/>
    <w:uiPriority w:val="99"/>
    <w:qFormat/>
    <w:rsid w:val="00A56ACE"/>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Arial-BoldMT" w:hAnsi="Arial-BoldMT"/>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780">
      <w:bodyDiv w:val="1"/>
      <w:marLeft w:val="0"/>
      <w:marRight w:val="0"/>
      <w:marTop w:val="0"/>
      <w:marBottom w:val="0"/>
      <w:divBdr>
        <w:top w:val="none" w:sz="0" w:space="0" w:color="auto"/>
        <w:left w:val="none" w:sz="0" w:space="0" w:color="auto"/>
        <w:bottom w:val="none" w:sz="0" w:space="0" w:color="auto"/>
        <w:right w:val="none" w:sz="0" w:space="0" w:color="auto"/>
      </w:divBdr>
    </w:div>
    <w:div w:id="173345024">
      <w:bodyDiv w:val="1"/>
      <w:marLeft w:val="0"/>
      <w:marRight w:val="0"/>
      <w:marTop w:val="0"/>
      <w:marBottom w:val="0"/>
      <w:divBdr>
        <w:top w:val="none" w:sz="0" w:space="0" w:color="auto"/>
        <w:left w:val="none" w:sz="0" w:space="0" w:color="auto"/>
        <w:bottom w:val="none" w:sz="0" w:space="0" w:color="auto"/>
        <w:right w:val="none" w:sz="0" w:space="0" w:color="auto"/>
      </w:divBdr>
      <w:divsChild>
        <w:div w:id="1199318762">
          <w:marLeft w:val="0"/>
          <w:marRight w:val="0"/>
          <w:marTop w:val="0"/>
          <w:marBottom w:val="150"/>
          <w:divBdr>
            <w:top w:val="none" w:sz="0" w:space="0" w:color="auto"/>
            <w:left w:val="none" w:sz="0" w:space="0" w:color="auto"/>
            <w:bottom w:val="none" w:sz="0" w:space="0" w:color="auto"/>
            <w:right w:val="none" w:sz="0" w:space="0" w:color="auto"/>
          </w:divBdr>
        </w:div>
        <w:div w:id="1501388430">
          <w:marLeft w:val="0"/>
          <w:marRight w:val="0"/>
          <w:marTop w:val="0"/>
          <w:marBottom w:val="0"/>
          <w:divBdr>
            <w:top w:val="none" w:sz="0" w:space="0" w:color="auto"/>
            <w:left w:val="none" w:sz="0" w:space="0" w:color="auto"/>
            <w:bottom w:val="none" w:sz="0" w:space="0" w:color="auto"/>
            <w:right w:val="none" w:sz="0" w:space="0" w:color="auto"/>
          </w:divBdr>
          <w:divsChild>
            <w:div w:id="2637292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9144678">
      <w:bodyDiv w:val="1"/>
      <w:marLeft w:val="0"/>
      <w:marRight w:val="0"/>
      <w:marTop w:val="0"/>
      <w:marBottom w:val="0"/>
      <w:divBdr>
        <w:top w:val="none" w:sz="0" w:space="0" w:color="auto"/>
        <w:left w:val="none" w:sz="0" w:space="0" w:color="auto"/>
        <w:bottom w:val="none" w:sz="0" w:space="0" w:color="auto"/>
        <w:right w:val="none" w:sz="0" w:space="0" w:color="auto"/>
      </w:divBdr>
    </w:div>
    <w:div w:id="388840507">
      <w:bodyDiv w:val="1"/>
      <w:marLeft w:val="0"/>
      <w:marRight w:val="0"/>
      <w:marTop w:val="0"/>
      <w:marBottom w:val="0"/>
      <w:divBdr>
        <w:top w:val="none" w:sz="0" w:space="0" w:color="auto"/>
        <w:left w:val="none" w:sz="0" w:space="0" w:color="auto"/>
        <w:bottom w:val="none" w:sz="0" w:space="0" w:color="auto"/>
        <w:right w:val="none" w:sz="0" w:space="0" w:color="auto"/>
      </w:divBdr>
    </w:div>
    <w:div w:id="582881928">
      <w:bodyDiv w:val="1"/>
      <w:marLeft w:val="0"/>
      <w:marRight w:val="0"/>
      <w:marTop w:val="0"/>
      <w:marBottom w:val="0"/>
      <w:divBdr>
        <w:top w:val="none" w:sz="0" w:space="0" w:color="auto"/>
        <w:left w:val="none" w:sz="0" w:space="0" w:color="auto"/>
        <w:bottom w:val="none" w:sz="0" w:space="0" w:color="auto"/>
        <w:right w:val="none" w:sz="0" w:space="0" w:color="auto"/>
      </w:divBdr>
      <w:divsChild>
        <w:div w:id="501362108">
          <w:marLeft w:val="0"/>
          <w:marRight w:val="0"/>
          <w:marTop w:val="0"/>
          <w:marBottom w:val="0"/>
          <w:divBdr>
            <w:top w:val="none" w:sz="0" w:space="0" w:color="auto"/>
            <w:left w:val="none" w:sz="0" w:space="0" w:color="auto"/>
            <w:bottom w:val="none" w:sz="0" w:space="0" w:color="auto"/>
            <w:right w:val="none" w:sz="0" w:space="0" w:color="auto"/>
          </w:divBdr>
          <w:divsChild>
            <w:div w:id="475614191">
              <w:marLeft w:val="0"/>
              <w:marRight w:val="0"/>
              <w:marTop w:val="300"/>
              <w:marBottom w:val="0"/>
              <w:divBdr>
                <w:top w:val="none" w:sz="0" w:space="0" w:color="auto"/>
                <w:left w:val="none" w:sz="0" w:space="0" w:color="auto"/>
                <w:bottom w:val="none" w:sz="0" w:space="0" w:color="auto"/>
                <w:right w:val="none" w:sz="0" w:space="0" w:color="auto"/>
              </w:divBdr>
            </w:div>
          </w:divsChild>
        </w:div>
        <w:div w:id="1463578750">
          <w:marLeft w:val="0"/>
          <w:marRight w:val="0"/>
          <w:marTop w:val="0"/>
          <w:marBottom w:val="150"/>
          <w:divBdr>
            <w:top w:val="none" w:sz="0" w:space="0" w:color="auto"/>
            <w:left w:val="none" w:sz="0" w:space="0" w:color="auto"/>
            <w:bottom w:val="none" w:sz="0" w:space="0" w:color="auto"/>
            <w:right w:val="none" w:sz="0" w:space="0" w:color="auto"/>
          </w:divBdr>
        </w:div>
      </w:divsChild>
    </w:div>
    <w:div w:id="859202967">
      <w:bodyDiv w:val="1"/>
      <w:marLeft w:val="0"/>
      <w:marRight w:val="0"/>
      <w:marTop w:val="0"/>
      <w:marBottom w:val="0"/>
      <w:divBdr>
        <w:top w:val="none" w:sz="0" w:space="0" w:color="auto"/>
        <w:left w:val="none" w:sz="0" w:space="0" w:color="auto"/>
        <w:bottom w:val="none" w:sz="0" w:space="0" w:color="auto"/>
        <w:right w:val="none" w:sz="0" w:space="0" w:color="auto"/>
      </w:divBdr>
    </w:div>
    <w:div w:id="871071151">
      <w:bodyDiv w:val="1"/>
      <w:marLeft w:val="0"/>
      <w:marRight w:val="0"/>
      <w:marTop w:val="0"/>
      <w:marBottom w:val="0"/>
      <w:divBdr>
        <w:top w:val="none" w:sz="0" w:space="0" w:color="auto"/>
        <w:left w:val="none" w:sz="0" w:space="0" w:color="auto"/>
        <w:bottom w:val="none" w:sz="0" w:space="0" w:color="auto"/>
        <w:right w:val="none" w:sz="0" w:space="0" w:color="auto"/>
      </w:divBdr>
    </w:div>
    <w:div w:id="987787228">
      <w:bodyDiv w:val="1"/>
      <w:marLeft w:val="0"/>
      <w:marRight w:val="0"/>
      <w:marTop w:val="0"/>
      <w:marBottom w:val="0"/>
      <w:divBdr>
        <w:top w:val="none" w:sz="0" w:space="0" w:color="auto"/>
        <w:left w:val="none" w:sz="0" w:space="0" w:color="auto"/>
        <w:bottom w:val="none" w:sz="0" w:space="0" w:color="auto"/>
        <w:right w:val="none" w:sz="0" w:space="0" w:color="auto"/>
      </w:divBdr>
    </w:div>
    <w:div w:id="1064833070">
      <w:bodyDiv w:val="1"/>
      <w:marLeft w:val="0"/>
      <w:marRight w:val="0"/>
      <w:marTop w:val="0"/>
      <w:marBottom w:val="0"/>
      <w:divBdr>
        <w:top w:val="none" w:sz="0" w:space="0" w:color="auto"/>
        <w:left w:val="none" w:sz="0" w:space="0" w:color="auto"/>
        <w:bottom w:val="none" w:sz="0" w:space="0" w:color="auto"/>
        <w:right w:val="none" w:sz="0" w:space="0" w:color="auto"/>
      </w:divBdr>
    </w:div>
    <w:div w:id="1067075905">
      <w:bodyDiv w:val="1"/>
      <w:marLeft w:val="0"/>
      <w:marRight w:val="0"/>
      <w:marTop w:val="0"/>
      <w:marBottom w:val="0"/>
      <w:divBdr>
        <w:top w:val="none" w:sz="0" w:space="0" w:color="auto"/>
        <w:left w:val="none" w:sz="0" w:space="0" w:color="auto"/>
        <w:bottom w:val="none" w:sz="0" w:space="0" w:color="auto"/>
        <w:right w:val="none" w:sz="0" w:space="0" w:color="auto"/>
      </w:divBdr>
    </w:div>
    <w:div w:id="1187020046">
      <w:bodyDiv w:val="1"/>
      <w:marLeft w:val="0"/>
      <w:marRight w:val="0"/>
      <w:marTop w:val="0"/>
      <w:marBottom w:val="0"/>
      <w:divBdr>
        <w:top w:val="none" w:sz="0" w:space="0" w:color="auto"/>
        <w:left w:val="none" w:sz="0" w:space="0" w:color="auto"/>
        <w:bottom w:val="none" w:sz="0" w:space="0" w:color="auto"/>
        <w:right w:val="none" w:sz="0" w:space="0" w:color="auto"/>
      </w:divBdr>
    </w:div>
    <w:div w:id="1223905994">
      <w:bodyDiv w:val="1"/>
      <w:marLeft w:val="0"/>
      <w:marRight w:val="0"/>
      <w:marTop w:val="0"/>
      <w:marBottom w:val="0"/>
      <w:divBdr>
        <w:top w:val="none" w:sz="0" w:space="0" w:color="auto"/>
        <w:left w:val="none" w:sz="0" w:space="0" w:color="auto"/>
        <w:bottom w:val="none" w:sz="0" w:space="0" w:color="auto"/>
        <w:right w:val="none" w:sz="0" w:space="0" w:color="auto"/>
      </w:divBdr>
    </w:div>
    <w:div w:id="1228106588">
      <w:bodyDiv w:val="1"/>
      <w:marLeft w:val="0"/>
      <w:marRight w:val="0"/>
      <w:marTop w:val="0"/>
      <w:marBottom w:val="0"/>
      <w:divBdr>
        <w:top w:val="none" w:sz="0" w:space="0" w:color="auto"/>
        <w:left w:val="none" w:sz="0" w:space="0" w:color="auto"/>
        <w:bottom w:val="none" w:sz="0" w:space="0" w:color="auto"/>
        <w:right w:val="none" w:sz="0" w:space="0" w:color="auto"/>
      </w:divBdr>
    </w:div>
    <w:div w:id="1288858770">
      <w:bodyDiv w:val="1"/>
      <w:marLeft w:val="0"/>
      <w:marRight w:val="0"/>
      <w:marTop w:val="0"/>
      <w:marBottom w:val="0"/>
      <w:divBdr>
        <w:top w:val="none" w:sz="0" w:space="0" w:color="auto"/>
        <w:left w:val="none" w:sz="0" w:space="0" w:color="auto"/>
        <w:bottom w:val="none" w:sz="0" w:space="0" w:color="auto"/>
        <w:right w:val="none" w:sz="0" w:space="0" w:color="auto"/>
      </w:divBdr>
      <w:divsChild>
        <w:div w:id="1307080170">
          <w:marLeft w:val="0"/>
          <w:marRight w:val="0"/>
          <w:marTop w:val="75"/>
          <w:marBottom w:val="0"/>
          <w:divBdr>
            <w:top w:val="none" w:sz="0" w:space="0" w:color="auto"/>
            <w:left w:val="none" w:sz="0" w:space="0" w:color="auto"/>
            <w:bottom w:val="none" w:sz="0" w:space="0" w:color="auto"/>
            <w:right w:val="none" w:sz="0" w:space="0" w:color="auto"/>
          </w:divBdr>
        </w:div>
        <w:div w:id="1493837806">
          <w:marLeft w:val="0"/>
          <w:marRight w:val="0"/>
          <w:marTop w:val="0"/>
          <w:marBottom w:val="0"/>
          <w:divBdr>
            <w:top w:val="none" w:sz="0" w:space="0" w:color="auto"/>
            <w:left w:val="none" w:sz="0" w:space="0" w:color="auto"/>
            <w:bottom w:val="none" w:sz="0" w:space="0" w:color="auto"/>
            <w:right w:val="none" w:sz="0" w:space="0" w:color="auto"/>
          </w:divBdr>
        </w:div>
        <w:div w:id="1623657038">
          <w:marLeft w:val="0"/>
          <w:marRight w:val="0"/>
          <w:marTop w:val="75"/>
          <w:marBottom w:val="0"/>
          <w:divBdr>
            <w:top w:val="none" w:sz="0" w:space="0" w:color="auto"/>
            <w:left w:val="none" w:sz="0" w:space="0" w:color="auto"/>
            <w:bottom w:val="none" w:sz="0" w:space="0" w:color="auto"/>
            <w:right w:val="none" w:sz="0" w:space="0" w:color="auto"/>
          </w:divBdr>
        </w:div>
      </w:divsChild>
    </w:div>
    <w:div w:id="1644846498">
      <w:bodyDiv w:val="1"/>
      <w:marLeft w:val="0"/>
      <w:marRight w:val="0"/>
      <w:marTop w:val="0"/>
      <w:marBottom w:val="0"/>
      <w:divBdr>
        <w:top w:val="none" w:sz="0" w:space="0" w:color="auto"/>
        <w:left w:val="none" w:sz="0" w:space="0" w:color="auto"/>
        <w:bottom w:val="none" w:sz="0" w:space="0" w:color="auto"/>
        <w:right w:val="none" w:sz="0" w:space="0" w:color="auto"/>
      </w:divBdr>
    </w:div>
    <w:div w:id="1712923247">
      <w:bodyDiv w:val="1"/>
      <w:marLeft w:val="0"/>
      <w:marRight w:val="0"/>
      <w:marTop w:val="0"/>
      <w:marBottom w:val="0"/>
      <w:divBdr>
        <w:top w:val="none" w:sz="0" w:space="0" w:color="auto"/>
        <w:left w:val="none" w:sz="0" w:space="0" w:color="auto"/>
        <w:bottom w:val="none" w:sz="0" w:space="0" w:color="auto"/>
        <w:right w:val="none" w:sz="0" w:space="0" w:color="auto"/>
      </w:divBdr>
    </w:div>
    <w:div w:id="1830559423">
      <w:bodyDiv w:val="1"/>
      <w:marLeft w:val="0"/>
      <w:marRight w:val="0"/>
      <w:marTop w:val="0"/>
      <w:marBottom w:val="0"/>
      <w:divBdr>
        <w:top w:val="none" w:sz="0" w:space="0" w:color="auto"/>
        <w:left w:val="none" w:sz="0" w:space="0" w:color="auto"/>
        <w:bottom w:val="none" w:sz="0" w:space="0" w:color="auto"/>
        <w:right w:val="none" w:sz="0" w:space="0" w:color="auto"/>
      </w:divBdr>
    </w:div>
    <w:div w:id="1919092068">
      <w:bodyDiv w:val="1"/>
      <w:marLeft w:val="0"/>
      <w:marRight w:val="0"/>
      <w:marTop w:val="0"/>
      <w:marBottom w:val="0"/>
      <w:divBdr>
        <w:top w:val="none" w:sz="0" w:space="0" w:color="auto"/>
        <w:left w:val="none" w:sz="0" w:space="0" w:color="auto"/>
        <w:bottom w:val="none" w:sz="0" w:space="0" w:color="auto"/>
        <w:right w:val="none" w:sz="0" w:space="0" w:color="auto"/>
      </w:divBdr>
    </w:div>
    <w:div w:id="1996177122">
      <w:bodyDiv w:val="1"/>
      <w:marLeft w:val="0"/>
      <w:marRight w:val="0"/>
      <w:marTop w:val="0"/>
      <w:marBottom w:val="0"/>
      <w:divBdr>
        <w:top w:val="none" w:sz="0" w:space="0" w:color="auto"/>
        <w:left w:val="none" w:sz="0" w:space="0" w:color="auto"/>
        <w:bottom w:val="none" w:sz="0" w:space="0" w:color="auto"/>
        <w:right w:val="none" w:sz="0" w:space="0" w:color="auto"/>
      </w:divBdr>
    </w:div>
    <w:div w:id="21078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uspar/auspar-crizotini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735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D517-E31B-44E2-981F-4415AF93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71</TotalTime>
  <Pages>91</Pages>
  <Words>29829</Words>
  <Characters>164959</Characters>
  <Application>Microsoft Office Word</Application>
  <DocSecurity>0</DocSecurity>
  <Lines>3927</Lines>
  <Paragraphs>2597</Paragraphs>
  <ScaleCrop>false</ScaleCrop>
  <HeadingPairs>
    <vt:vector size="2" baseType="variant">
      <vt:variant>
        <vt:lpstr>Title</vt:lpstr>
      </vt:variant>
      <vt:variant>
        <vt:i4>1</vt:i4>
      </vt:variant>
    </vt:vector>
  </HeadingPairs>
  <TitlesOfParts>
    <vt:vector size="1" baseType="lpstr">
      <vt:lpstr>Australian public assessment report for Entrectinib</vt:lpstr>
    </vt:vector>
  </TitlesOfParts>
  <Company>Department of Health Therapeutic Goods Administration</Company>
  <LinksUpToDate>false</LinksUpToDate>
  <CharactersWithSpaces>192191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Entrectinib</dc:title>
  <dc:subject>prescription medicines</dc:subject>
  <dc:creator>Therapeutic Goods Administration</dc:creator>
  <cp:keywords/>
  <dc:description/>
  <cp:lastPrinted>2020-09-08T04:18:00Z</cp:lastPrinted>
  <dcterms:created xsi:type="dcterms:W3CDTF">2020-12-16T03:33:00Z</dcterms:created>
  <dcterms:modified xsi:type="dcterms:W3CDTF">2020-12-16T04:45:00Z</dcterms:modified>
  <cp:category/>
</cp:coreProperties>
</file>