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BA356" w14:textId="14036223" w:rsidR="004032BD" w:rsidRDefault="004032BD" w:rsidP="00AA51DF">
      <w:pPr>
        <w:pStyle w:val="Title"/>
        <w:spacing w:after="480"/>
      </w:pPr>
      <w:r w:rsidRPr="0093188E">
        <w:t xml:space="preserve">Australian </w:t>
      </w:r>
      <w:r w:rsidR="00670C2C" w:rsidRPr="0093188E">
        <w:t xml:space="preserve">Product </w:t>
      </w:r>
      <w:r w:rsidR="00670C2C" w:rsidRPr="008B3EDA">
        <w:t>Information</w:t>
      </w:r>
      <w:r w:rsidRPr="00AE59F5">
        <w:t xml:space="preserve"> – </w:t>
      </w:r>
      <w:r w:rsidR="005A0124">
        <w:br/>
      </w:r>
      <w:r w:rsidR="00A41CCE" w:rsidRPr="00A41CCE">
        <w:t>ENOXAP</w:t>
      </w:r>
      <w:r w:rsidR="00F248F8">
        <w:t>O</w:t>
      </w:r>
      <w:r w:rsidR="00C63FBF" w:rsidRPr="00AE59F5">
        <w:t xml:space="preserve"> (</w:t>
      </w:r>
      <w:r w:rsidR="00DB53A1" w:rsidRPr="00300792">
        <w:t>Enoxaparin</w:t>
      </w:r>
      <w:r w:rsidR="006C5910">
        <w:t xml:space="preserve"> S</w:t>
      </w:r>
      <w:r w:rsidR="00FA63A6">
        <w:t>odium</w:t>
      </w:r>
      <w:r w:rsidRPr="00AE59F5">
        <w:t>)</w:t>
      </w:r>
      <w:r w:rsidR="001E76AB" w:rsidRPr="00AE59F5">
        <w:t xml:space="preserve"> </w:t>
      </w:r>
      <w:r w:rsidR="00DB53A1" w:rsidRPr="00AE59F5">
        <w:t>S</w:t>
      </w:r>
      <w:r w:rsidR="00FA63A6" w:rsidRPr="00AE59F5">
        <w:t>olution</w:t>
      </w:r>
      <w:r w:rsidR="00DB53A1" w:rsidRPr="00AE59F5">
        <w:t xml:space="preserve"> </w:t>
      </w:r>
      <w:r w:rsidR="00FA63A6" w:rsidRPr="00AE59F5">
        <w:t xml:space="preserve">for </w:t>
      </w:r>
      <w:r w:rsidR="00DB53A1" w:rsidRPr="00AE59F5">
        <w:t>I</w:t>
      </w:r>
      <w:r w:rsidR="00FA63A6" w:rsidRPr="00AE59F5">
        <w:t>njection</w:t>
      </w:r>
    </w:p>
    <w:p w14:paraId="03660BD6" w14:textId="682118E6" w:rsidR="001A3992" w:rsidRPr="00571478" w:rsidRDefault="001A3992" w:rsidP="000A1317">
      <w:pPr>
        <w:pStyle w:val="Heading1"/>
      </w:pPr>
      <w:r w:rsidRPr="00571478">
        <w:t xml:space="preserve">Name of the </w:t>
      </w:r>
      <w:r w:rsidR="00300792" w:rsidRPr="00571478">
        <w:rPr>
          <w:caps w:val="0"/>
        </w:rPr>
        <w:t>M</w:t>
      </w:r>
      <w:r w:rsidRPr="00571478">
        <w:t>edicine</w:t>
      </w:r>
    </w:p>
    <w:p w14:paraId="7CE0D24D" w14:textId="547D17EB" w:rsidR="001538ED" w:rsidRDefault="00AF4671" w:rsidP="00FB45F5">
      <w:pPr>
        <w:spacing w:after="360"/>
      </w:pPr>
      <w:r w:rsidRPr="00AF4671">
        <w:t>Enoxaparin</w:t>
      </w:r>
      <w:r w:rsidR="006C5910">
        <w:t xml:space="preserve"> sodium</w:t>
      </w:r>
      <w:r w:rsidR="00CA666C">
        <w:t>.</w:t>
      </w:r>
    </w:p>
    <w:p w14:paraId="5E0B6743" w14:textId="05F71C6E" w:rsidR="00F248F8" w:rsidRDefault="00F248F8" w:rsidP="00FB45F5">
      <w:pPr>
        <w:spacing w:after="360"/>
      </w:pPr>
      <w:r>
        <w:t>ENOX</w:t>
      </w:r>
      <w:r w:rsidRPr="00F248F8">
        <w:t xml:space="preserve">APO is a biosimilar medicine to CLEXANE. The evidence for comparability supports the use of </w:t>
      </w:r>
      <w:r>
        <w:t>ENOX</w:t>
      </w:r>
      <w:r w:rsidRPr="00F248F8">
        <w:t>APO for the listed indication[s]</w:t>
      </w:r>
      <w:r w:rsidR="004474E0">
        <w:t>.</w:t>
      </w:r>
    </w:p>
    <w:p w14:paraId="1234DF7E" w14:textId="30AFB168" w:rsidR="007427DF" w:rsidRDefault="00C63FBF" w:rsidP="000A1317">
      <w:pPr>
        <w:pStyle w:val="Heading1"/>
      </w:pPr>
      <w:r w:rsidRPr="00571478">
        <w:t>Qualitative a</w:t>
      </w:r>
      <w:r w:rsidR="00B8510A" w:rsidRPr="00571478">
        <w:t xml:space="preserve">nd </w:t>
      </w:r>
      <w:r w:rsidR="00300792" w:rsidRPr="00571478">
        <w:rPr>
          <w:caps w:val="0"/>
        </w:rPr>
        <w:t>Q</w:t>
      </w:r>
      <w:r w:rsidR="00B8510A" w:rsidRPr="00571478">
        <w:t xml:space="preserve">uantitative </w:t>
      </w:r>
      <w:r w:rsidR="00300792" w:rsidRPr="00571478">
        <w:rPr>
          <w:caps w:val="0"/>
        </w:rPr>
        <w:t>C</w:t>
      </w:r>
      <w:r w:rsidR="00B8510A" w:rsidRPr="00571478">
        <w:t>omposition</w:t>
      </w:r>
    </w:p>
    <w:p w14:paraId="2D62FF87" w14:textId="0D3F8014" w:rsidR="006C5910" w:rsidRPr="005537A9" w:rsidRDefault="006C5910" w:rsidP="00FB45F5">
      <w:pPr>
        <w:jc w:val="left"/>
        <w:rPr>
          <w:i/>
        </w:rPr>
      </w:pPr>
      <w:r w:rsidRPr="005537A9">
        <w:rPr>
          <w:i/>
        </w:rPr>
        <w:t xml:space="preserve">Ready-to-use, pre-filled syringes </w:t>
      </w:r>
      <w:r w:rsidR="00FB45F5" w:rsidRPr="005537A9">
        <w:rPr>
          <w:i/>
        </w:rPr>
        <w:t>(</w:t>
      </w:r>
      <w:r w:rsidRPr="005537A9">
        <w:rPr>
          <w:i/>
        </w:rPr>
        <w:t>with automatic safety lock system</w:t>
      </w:r>
      <w:r w:rsidR="00FB45F5" w:rsidRPr="005537A9">
        <w:rPr>
          <w:i/>
        </w:rPr>
        <w:t>)</w:t>
      </w:r>
      <w:r w:rsidRPr="005537A9">
        <w:rPr>
          <w:i/>
        </w:rPr>
        <w:t>:</w:t>
      </w:r>
    </w:p>
    <w:p w14:paraId="5FAD0EA3" w14:textId="28183847" w:rsidR="00DC2ED3" w:rsidRDefault="006C5910" w:rsidP="00FB45F5">
      <w:pPr>
        <w:ind w:left="284"/>
        <w:jc w:val="left"/>
      </w:pPr>
      <w:r>
        <w:t xml:space="preserve">20 mg injection: enoxaparin sodium </w:t>
      </w:r>
      <w:r w:rsidR="00DC2ED3">
        <w:t>20 mg/0.2 mL (anti-</w:t>
      </w:r>
      <w:proofErr w:type="spellStart"/>
      <w:r w:rsidR="00DC2ED3">
        <w:t>Xa</w:t>
      </w:r>
      <w:proofErr w:type="spellEnd"/>
      <w:r w:rsidR="00DC2ED3">
        <w:t xml:space="preserve">: 2,000 IU) </w:t>
      </w:r>
    </w:p>
    <w:p w14:paraId="0D17599C" w14:textId="125E279F" w:rsidR="00DC2ED3" w:rsidRDefault="006C5910" w:rsidP="00FB45F5">
      <w:pPr>
        <w:ind w:left="284"/>
        <w:jc w:val="left"/>
      </w:pPr>
      <w:r>
        <w:t xml:space="preserve">40 mg injection: enoxaparin sodium </w:t>
      </w:r>
      <w:r w:rsidR="00DC2ED3">
        <w:t>40 mg/0.4 mL (anti-</w:t>
      </w:r>
      <w:proofErr w:type="spellStart"/>
      <w:r w:rsidR="00DC2ED3">
        <w:t>Xa</w:t>
      </w:r>
      <w:proofErr w:type="spellEnd"/>
      <w:r w:rsidR="00DC2ED3">
        <w:t xml:space="preserve">: 4,000 IU) </w:t>
      </w:r>
    </w:p>
    <w:p w14:paraId="39D9BC89" w14:textId="0828FA5A" w:rsidR="006C5910" w:rsidRPr="005537A9" w:rsidRDefault="006C5910" w:rsidP="00FB45F5">
      <w:pPr>
        <w:jc w:val="left"/>
        <w:rPr>
          <w:i/>
        </w:rPr>
      </w:pPr>
      <w:r w:rsidRPr="005537A9">
        <w:rPr>
          <w:i/>
        </w:rPr>
        <w:t xml:space="preserve">Ready-to-use, pre-filled syringes with graduated markings </w:t>
      </w:r>
      <w:r w:rsidR="00FB45F5" w:rsidRPr="005537A9">
        <w:rPr>
          <w:i/>
        </w:rPr>
        <w:t>(with</w:t>
      </w:r>
      <w:r w:rsidRPr="005537A9">
        <w:rPr>
          <w:i/>
        </w:rPr>
        <w:t xml:space="preserve"> automatic safety lock system</w:t>
      </w:r>
      <w:r w:rsidR="00FB45F5" w:rsidRPr="005537A9">
        <w:rPr>
          <w:i/>
        </w:rPr>
        <w:t>)</w:t>
      </w:r>
      <w:r w:rsidRPr="005537A9">
        <w:rPr>
          <w:i/>
        </w:rPr>
        <w:t>:</w:t>
      </w:r>
    </w:p>
    <w:p w14:paraId="53D579B5" w14:textId="4122CCFD" w:rsidR="00DC2ED3" w:rsidRDefault="006C5910" w:rsidP="00FB45F5">
      <w:pPr>
        <w:ind w:left="284"/>
        <w:jc w:val="left"/>
      </w:pPr>
      <w:r>
        <w:t xml:space="preserve">60 mg injection: enoxaparin sodium </w:t>
      </w:r>
      <w:r w:rsidR="00DC2ED3">
        <w:t>60 mg/0.6 mL (anti-</w:t>
      </w:r>
      <w:proofErr w:type="spellStart"/>
      <w:r w:rsidR="00DC2ED3">
        <w:t>Xa</w:t>
      </w:r>
      <w:proofErr w:type="spellEnd"/>
      <w:r w:rsidR="00DC2ED3">
        <w:t>: 6,000 IU)</w:t>
      </w:r>
      <w:r>
        <w:t xml:space="preserve"> </w:t>
      </w:r>
    </w:p>
    <w:p w14:paraId="3FAAEBE5" w14:textId="6F1ED1A9" w:rsidR="00DC2ED3" w:rsidRDefault="006C5910" w:rsidP="00FB45F5">
      <w:pPr>
        <w:ind w:left="284"/>
        <w:jc w:val="left"/>
      </w:pPr>
      <w:r>
        <w:t xml:space="preserve">80 mg injection: enoxaparin sodium </w:t>
      </w:r>
      <w:r w:rsidR="00DC2ED3">
        <w:t>80 mg/0.8 mL (anti-</w:t>
      </w:r>
      <w:proofErr w:type="spellStart"/>
      <w:r w:rsidR="00DC2ED3">
        <w:t>Xa</w:t>
      </w:r>
      <w:proofErr w:type="spellEnd"/>
      <w:r w:rsidR="00DC2ED3">
        <w:t xml:space="preserve">: 8,000 IU) </w:t>
      </w:r>
    </w:p>
    <w:p w14:paraId="1B28938D" w14:textId="0C5E32BD" w:rsidR="00DC2ED3" w:rsidRDefault="006C5910" w:rsidP="00FB45F5">
      <w:pPr>
        <w:ind w:left="284"/>
        <w:jc w:val="left"/>
      </w:pPr>
      <w:r>
        <w:t xml:space="preserve">100 mg injection: enoxaparin sodium </w:t>
      </w:r>
      <w:r w:rsidR="00DC2ED3">
        <w:t>100 mg/1 mL (anti-</w:t>
      </w:r>
      <w:proofErr w:type="spellStart"/>
      <w:r w:rsidR="00DC2ED3">
        <w:t>Xa</w:t>
      </w:r>
      <w:proofErr w:type="spellEnd"/>
      <w:r w:rsidR="00DC2ED3">
        <w:t xml:space="preserve">: 10,000 IU) </w:t>
      </w:r>
    </w:p>
    <w:p w14:paraId="551B9F10" w14:textId="61FB06B1" w:rsidR="006C5910" w:rsidRPr="005537A9" w:rsidRDefault="006C5910" w:rsidP="00FB45F5">
      <w:pPr>
        <w:jc w:val="left"/>
        <w:rPr>
          <w:i/>
        </w:rPr>
      </w:pPr>
      <w:r w:rsidRPr="005537A9">
        <w:rPr>
          <w:i/>
        </w:rPr>
        <w:t xml:space="preserve">Ready-to-use, pre-filled syringes with double graduated markings </w:t>
      </w:r>
      <w:r w:rsidR="00FB45F5" w:rsidRPr="005537A9">
        <w:rPr>
          <w:i/>
        </w:rPr>
        <w:t>(with</w:t>
      </w:r>
      <w:r w:rsidRPr="005537A9">
        <w:rPr>
          <w:i/>
        </w:rPr>
        <w:t xml:space="preserve"> automatic safety lock system</w:t>
      </w:r>
      <w:r w:rsidR="00FB45F5" w:rsidRPr="005537A9">
        <w:rPr>
          <w:i/>
        </w:rPr>
        <w:t>)</w:t>
      </w:r>
      <w:r w:rsidRPr="005537A9">
        <w:rPr>
          <w:i/>
        </w:rPr>
        <w:t>:</w:t>
      </w:r>
    </w:p>
    <w:p w14:paraId="7EB13626" w14:textId="14CD3755" w:rsidR="00DC2ED3" w:rsidRDefault="006C5910" w:rsidP="00FB45F5">
      <w:pPr>
        <w:ind w:left="284"/>
        <w:jc w:val="left"/>
      </w:pPr>
      <w:r>
        <w:t xml:space="preserve">120 mg injection: enoxaparin sodium </w:t>
      </w:r>
      <w:r w:rsidR="00DC2ED3">
        <w:t>120 mg/0.8mL (anti-</w:t>
      </w:r>
      <w:proofErr w:type="spellStart"/>
      <w:r w:rsidR="00DC2ED3">
        <w:t>Xa</w:t>
      </w:r>
      <w:proofErr w:type="spellEnd"/>
      <w:r w:rsidR="00DC2ED3">
        <w:t xml:space="preserve">: 12,000 IU) </w:t>
      </w:r>
    </w:p>
    <w:p w14:paraId="1B839286" w14:textId="1FD073F9" w:rsidR="00B442A8" w:rsidRPr="00B442A8" w:rsidRDefault="006C5910" w:rsidP="00FB45F5">
      <w:pPr>
        <w:spacing w:after="360"/>
        <w:ind w:left="284"/>
        <w:jc w:val="left"/>
      </w:pPr>
      <w:r>
        <w:t xml:space="preserve">150 mg injection: enoxaparin sodium </w:t>
      </w:r>
      <w:r w:rsidR="00DC2ED3">
        <w:t>150 mg/1 mL (anti-</w:t>
      </w:r>
      <w:proofErr w:type="spellStart"/>
      <w:r w:rsidR="00DC2ED3">
        <w:t>Xa</w:t>
      </w:r>
      <w:proofErr w:type="spellEnd"/>
      <w:r w:rsidR="00DC2ED3">
        <w:t xml:space="preserve">: 15,000 IU) </w:t>
      </w:r>
    </w:p>
    <w:p w14:paraId="54D52E1E" w14:textId="7BC0FE54" w:rsidR="00B442A8" w:rsidRDefault="005B0462" w:rsidP="00FB45F5">
      <w:pPr>
        <w:pStyle w:val="BodyText"/>
        <w:kinsoku w:val="0"/>
        <w:overflowPunct w:val="0"/>
        <w:spacing w:after="360"/>
        <w:jc w:val="left"/>
        <w:rPr>
          <w:rFonts w:cs="Arial"/>
        </w:rPr>
      </w:pPr>
      <w:r w:rsidRPr="00571478">
        <w:rPr>
          <w:rFonts w:cs="Arial"/>
        </w:rPr>
        <w:t xml:space="preserve">For the full </w:t>
      </w:r>
      <w:r w:rsidR="00070BBB" w:rsidRPr="00571478">
        <w:rPr>
          <w:rFonts w:cs="Arial"/>
        </w:rPr>
        <w:t xml:space="preserve">list of </w:t>
      </w:r>
      <w:proofErr w:type="gramStart"/>
      <w:r w:rsidR="00070BBB" w:rsidRPr="00571478">
        <w:rPr>
          <w:rFonts w:cs="Arial"/>
        </w:rPr>
        <w:t>excipients</w:t>
      </w:r>
      <w:proofErr w:type="gramEnd"/>
      <w:r w:rsidR="00070BBB" w:rsidRPr="00571478">
        <w:rPr>
          <w:rFonts w:cs="Arial"/>
        </w:rPr>
        <w:t xml:space="preserve"> see </w:t>
      </w:r>
      <w:r w:rsidR="006C5910">
        <w:rPr>
          <w:rFonts w:cs="Arial"/>
        </w:rPr>
        <w:t>S</w:t>
      </w:r>
      <w:r w:rsidR="006C5910" w:rsidRPr="00571478">
        <w:rPr>
          <w:rFonts w:cs="Arial"/>
        </w:rPr>
        <w:t xml:space="preserve">ection </w:t>
      </w:r>
      <w:r w:rsidR="00B442A8">
        <w:rPr>
          <w:rFonts w:cs="Arial"/>
        </w:rPr>
        <w:fldChar w:fldCharType="begin"/>
      </w:r>
      <w:r w:rsidR="00B442A8">
        <w:rPr>
          <w:rFonts w:cs="Arial"/>
        </w:rPr>
        <w:instrText xml:space="preserve"> REF _Ref875053 \w \h </w:instrText>
      </w:r>
      <w:r w:rsidR="000A1317">
        <w:rPr>
          <w:rFonts w:cs="Arial"/>
        </w:rPr>
        <w:instrText xml:space="preserve"> \* MERGEFORMAT </w:instrText>
      </w:r>
      <w:r w:rsidR="00B442A8">
        <w:rPr>
          <w:rFonts w:cs="Arial"/>
        </w:rPr>
      </w:r>
      <w:r w:rsidR="00B442A8">
        <w:rPr>
          <w:rFonts w:cs="Arial"/>
        </w:rPr>
        <w:fldChar w:fldCharType="separate"/>
      </w:r>
      <w:r w:rsidR="006254D6">
        <w:rPr>
          <w:rFonts w:cs="Arial"/>
        </w:rPr>
        <w:t>6.1</w:t>
      </w:r>
      <w:r w:rsidR="00B442A8">
        <w:rPr>
          <w:rFonts w:cs="Arial"/>
        </w:rPr>
        <w:fldChar w:fldCharType="end"/>
      </w:r>
      <w:r w:rsidR="00440F47">
        <w:rPr>
          <w:rFonts w:cs="Arial"/>
        </w:rPr>
        <w:t xml:space="preserve"> –</w:t>
      </w:r>
      <w:r w:rsidR="00B442A8">
        <w:rPr>
          <w:rFonts w:cs="Arial"/>
        </w:rPr>
        <w:t xml:space="preserve"> </w:t>
      </w:r>
      <w:r w:rsidR="00B442A8">
        <w:rPr>
          <w:rFonts w:cs="Arial"/>
        </w:rPr>
        <w:fldChar w:fldCharType="begin"/>
      </w:r>
      <w:r w:rsidR="00B442A8">
        <w:rPr>
          <w:rFonts w:cs="Arial"/>
        </w:rPr>
        <w:instrText xml:space="preserve"> REF _Ref875053 \h </w:instrText>
      </w:r>
      <w:r w:rsidR="000A1317">
        <w:rPr>
          <w:rFonts w:cs="Arial"/>
        </w:rPr>
        <w:instrText xml:space="preserve"> \* MERGEFORMAT </w:instrText>
      </w:r>
      <w:r w:rsidR="00B442A8">
        <w:rPr>
          <w:rFonts w:cs="Arial"/>
        </w:rPr>
      </w:r>
      <w:r w:rsidR="00B442A8">
        <w:rPr>
          <w:rFonts w:cs="Arial"/>
        </w:rPr>
        <w:fldChar w:fldCharType="separate"/>
      </w:r>
      <w:r w:rsidR="006254D6" w:rsidRPr="00571478">
        <w:t>List of Excipients</w:t>
      </w:r>
      <w:r w:rsidR="00B442A8">
        <w:rPr>
          <w:rFonts w:cs="Arial"/>
        </w:rPr>
        <w:fldChar w:fldCharType="end"/>
      </w:r>
      <w:r w:rsidR="00B442A8">
        <w:rPr>
          <w:rFonts w:cs="Arial"/>
        </w:rPr>
        <w:t>.</w:t>
      </w:r>
    </w:p>
    <w:p w14:paraId="675113C5" w14:textId="269FC6BF" w:rsidR="00B8510A" w:rsidRPr="00571478" w:rsidRDefault="00670C2C" w:rsidP="000A1317">
      <w:pPr>
        <w:pStyle w:val="Heading1"/>
      </w:pPr>
      <w:r w:rsidRPr="00571478">
        <w:t>Pharmaceutical Form</w:t>
      </w:r>
    </w:p>
    <w:p w14:paraId="0541F276" w14:textId="23A33D12" w:rsidR="000A1317" w:rsidRDefault="00A40CE0" w:rsidP="000A1317">
      <w:r>
        <w:t>Solution for injection.</w:t>
      </w:r>
      <w:r w:rsidRPr="00A40CE0">
        <w:t xml:space="preserve"> </w:t>
      </w:r>
    </w:p>
    <w:p w14:paraId="6E9C0016" w14:textId="4DFF5A21" w:rsidR="00B8510A" w:rsidRDefault="00A40CE0" w:rsidP="00FB45F5">
      <w:pPr>
        <w:spacing w:after="360"/>
      </w:pPr>
      <w:r>
        <w:t>C</w:t>
      </w:r>
      <w:r w:rsidRPr="00A40CE0">
        <w:t>lear, colourless to pale yellow solution</w:t>
      </w:r>
      <w:r>
        <w:t>.</w:t>
      </w:r>
    </w:p>
    <w:p w14:paraId="1856A6FD" w14:textId="4AC3D770" w:rsidR="001A3992" w:rsidRPr="00571478" w:rsidRDefault="001A3992" w:rsidP="000A1317">
      <w:pPr>
        <w:pStyle w:val="Heading1"/>
        <w:numPr>
          <w:ilvl w:val="0"/>
          <w:numId w:val="19"/>
        </w:numPr>
      </w:pPr>
      <w:r w:rsidRPr="00571478">
        <w:lastRenderedPageBreak/>
        <w:t xml:space="preserve">Clinical </w:t>
      </w:r>
      <w:r w:rsidR="00300792" w:rsidRPr="00571478">
        <w:rPr>
          <w:caps w:val="0"/>
        </w:rPr>
        <w:t>P</w:t>
      </w:r>
      <w:r w:rsidRPr="00571478">
        <w:t>articulars</w:t>
      </w:r>
    </w:p>
    <w:p w14:paraId="4F50EA7C" w14:textId="58F853D8" w:rsidR="001A3992" w:rsidRPr="00571478" w:rsidRDefault="00BF6BF9" w:rsidP="000A1317">
      <w:pPr>
        <w:pStyle w:val="Heading2"/>
      </w:pPr>
      <w:r>
        <w:t xml:space="preserve">Therapeutic </w:t>
      </w:r>
      <w:r w:rsidR="00300792">
        <w:rPr>
          <w:caps w:val="0"/>
        </w:rPr>
        <w:t>I</w:t>
      </w:r>
      <w:r>
        <w:t>ndications</w:t>
      </w:r>
    </w:p>
    <w:p w14:paraId="6257C44E" w14:textId="2F113903" w:rsidR="00A40CE0" w:rsidRPr="00BF6BF9" w:rsidRDefault="00A40CE0" w:rsidP="002977A0">
      <w:pPr>
        <w:pStyle w:val="NormalBold"/>
        <w:numPr>
          <w:ilvl w:val="0"/>
          <w:numId w:val="23"/>
        </w:numPr>
        <w:jc w:val="left"/>
      </w:pPr>
      <w:r w:rsidRPr="00BF6BF9">
        <w:t>Prevention of thromboembolic disorders of venous origin in patients undergoing orthopaedic and general surgery.</w:t>
      </w:r>
    </w:p>
    <w:p w14:paraId="5AD25A32" w14:textId="77777777" w:rsidR="00A40CE0" w:rsidRPr="00BF6BF9" w:rsidRDefault="00A40CE0" w:rsidP="002977A0">
      <w:pPr>
        <w:pStyle w:val="NormalBold"/>
        <w:numPr>
          <w:ilvl w:val="0"/>
          <w:numId w:val="23"/>
        </w:numPr>
        <w:jc w:val="left"/>
      </w:pPr>
      <w:r w:rsidRPr="00BF6BF9">
        <w:t>Prophylaxis of venous thromboembolism in medical patients bedridden due to acute illness.</w:t>
      </w:r>
    </w:p>
    <w:p w14:paraId="52DB0881" w14:textId="77777777" w:rsidR="00A40CE0" w:rsidRPr="00BF6BF9" w:rsidRDefault="00A40CE0" w:rsidP="002977A0">
      <w:pPr>
        <w:pStyle w:val="NormalBold"/>
        <w:numPr>
          <w:ilvl w:val="0"/>
          <w:numId w:val="23"/>
        </w:numPr>
        <w:jc w:val="left"/>
      </w:pPr>
      <w:r w:rsidRPr="00BF6BF9">
        <w:t>Prevention of thrombosis in extra-corporeal circulation during haemodialysis.</w:t>
      </w:r>
    </w:p>
    <w:p w14:paraId="37E21C9F" w14:textId="77777777" w:rsidR="00A40CE0" w:rsidRPr="00BF6BF9" w:rsidRDefault="00A40CE0" w:rsidP="002977A0">
      <w:pPr>
        <w:pStyle w:val="NormalBold"/>
        <w:numPr>
          <w:ilvl w:val="0"/>
          <w:numId w:val="23"/>
        </w:numPr>
        <w:jc w:val="left"/>
      </w:pPr>
      <w:r w:rsidRPr="00BF6BF9">
        <w:t>Treatment of established deep vein thrombosis.</w:t>
      </w:r>
    </w:p>
    <w:p w14:paraId="7870DED8" w14:textId="77777777" w:rsidR="00A40CE0" w:rsidRPr="00BF6BF9" w:rsidRDefault="00A40CE0" w:rsidP="002977A0">
      <w:pPr>
        <w:pStyle w:val="NormalBold"/>
        <w:numPr>
          <w:ilvl w:val="0"/>
          <w:numId w:val="23"/>
        </w:numPr>
        <w:jc w:val="left"/>
      </w:pPr>
      <w:r w:rsidRPr="00BF6BF9">
        <w:t>Treatment of unstable angina and non-Q-wave myocardial infarction, administered concurrently with aspirin.</w:t>
      </w:r>
    </w:p>
    <w:p w14:paraId="2778A5CB" w14:textId="4B932348" w:rsidR="00C6404A" w:rsidRPr="00BF6BF9" w:rsidRDefault="00A40CE0" w:rsidP="00FB45F5">
      <w:pPr>
        <w:pStyle w:val="NormalBold"/>
        <w:numPr>
          <w:ilvl w:val="0"/>
          <w:numId w:val="23"/>
        </w:numPr>
        <w:spacing w:after="360"/>
        <w:ind w:left="714" w:hanging="357"/>
        <w:jc w:val="left"/>
      </w:pPr>
      <w:r w:rsidRPr="00BF6BF9">
        <w:t xml:space="preserve">Treatment of acute ST-segment Elevation Myocardial Infarction (STEMI) as an adjunctive to thrombolytic treatment, including patients to </w:t>
      </w:r>
      <w:proofErr w:type="gramStart"/>
      <w:r w:rsidRPr="00BF6BF9">
        <w:t>be managed</w:t>
      </w:r>
      <w:proofErr w:type="gramEnd"/>
      <w:r w:rsidRPr="00BF6BF9">
        <w:t xml:space="preserve"> medically or with subsequent Percutaneous Coronary Intervention (PCI).</w:t>
      </w:r>
    </w:p>
    <w:p w14:paraId="6E408830" w14:textId="5A71AEBC" w:rsidR="001A3992" w:rsidRPr="00571478" w:rsidRDefault="001A3992" w:rsidP="000A1317">
      <w:pPr>
        <w:pStyle w:val="Heading2"/>
      </w:pPr>
      <w:bookmarkStart w:id="0" w:name="_Ref878548"/>
      <w:r w:rsidRPr="00571478">
        <w:t xml:space="preserve">Dose and </w:t>
      </w:r>
      <w:r w:rsidR="00300792" w:rsidRPr="00571478">
        <w:rPr>
          <w:caps w:val="0"/>
        </w:rPr>
        <w:t>M</w:t>
      </w:r>
      <w:r w:rsidRPr="00571478">
        <w:t xml:space="preserve">ethod of </w:t>
      </w:r>
      <w:r w:rsidR="00300792" w:rsidRPr="00571478">
        <w:rPr>
          <w:caps w:val="0"/>
        </w:rPr>
        <w:t>A</w:t>
      </w:r>
      <w:r w:rsidRPr="00571478">
        <w:t>dministration</w:t>
      </w:r>
      <w:bookmarkEnd w:id="0"/>
      <w:r w:rsidRPr="00571478">
        <w:t xml:space="preserve"> </w:t>
      </w:r>
    </w:p>
    <w:p w14:paraId="02F9C752" w14:textId="7844DD12" w:rsidR="006E4FF7" w:rsidRPr="00A40CE0" w:rsidRDefault="006E4FF7" w:rsidP="000A1317">
      <w:pPr>
        <w:pStyle w:val="NormalBold"/>
      </w:pPr>
      <w:r w:rsidRPr="00A40CE0">
        <w:t>Product is for single use in one patient only.</w:t>
      </w:r>
      <w:r w:rsidR="00283E41">
        <w:t xml:space="preserve"> Stopper and cap not made with natural rubber latex.</w:t>
      </w:r>
    </w:p>
    <w:p w14:paraId="43604784" w14:textId="7365DEC0" w:rsidR="006E4FF7" w:rsidRPr="00A40CE0" w:rsidRDefault="006E4FF7" w:rsidP="000A1317">
      <w:pPr>
        <w:pStyle w:val="NormalBold"/>
      </w:pPr>
      <w:r w:rsidRPr="00A40CE0">
        <w:t xml:space="preserve">For subcutaneous use: </w:t>
      </w:r>
      <w:r w:rsidR="00A06FB3" w:rsidRPr="00A40CE0">
        <w:t xml:space="preserve">Do </w:t>
      </w:r>
      <w:r w:rsidRPr="00A40CE0">
        <w:t xml:space="preserve">not mix </w:t>
      </w:r>
      <w:r w:rsidR="00440F47" w:rsidRPr="00A40CE0">
        <w:t xml:space="preserve">Enoxaparin </w:t>
      </w:r>
      <w:r w:rsidRPr="00A40CE0">
        <w:t>with other injections or solutions.</w:t>
      </w:r>
    </w:p>
    <w:p w14:paraId="5FA46BAB" w14:textId="358637AB" w:rsidR="006E4FF7" w:rsidRPr="00571478" w:rsidRDefault="006E4FF7" w:rsidP="000A1317">
      <w:pPr>
        <w:pStyle w:val="NormalBold"/>
      </w:pPr>
      <w:r w:rsidRPr="00A40CE0">
        <w:t xml:space="preserve">For intravenous use: </w:t>
      </w:r>
      <w:r w:rsidR="00A06FB3" w:rsidRPr="00A40CE0">
        <w:t xml:space="preserve">See </w:t>
      </w:r>
      <w:r w:rsidR="00A06FB3">
        <w:t xml:space="preserve">Section </w:t>
      </w:r>
      <w:r w:rsidR="0054549A">
        <w:fldChar w:fldCharType="begin"/>
      </w:r>
      <w:r w:rsidR="0054549A">
        <w:instrText xml:space="preserve"> REF _Ref878548 \r \h </w:instrText>
      </w:r>
      <w:r w:rsidR="0054549A">
        <w:fldChar w:fldCharType="separate"/>
      </w:r>
      <w:r w:rsidR="006254D6">
        <w:t>4.2</w:t>
      </w:r>
      <w:r w:rsidR="0054549A">
        <w:fldChar w:fldCharType="end"/>
      </w:r>
      <w:r w:rsidR="00440F47">
        <w:t xml:space="preserve"> –</w:t>
      </w:r>
      <w:r w:rsidR="00A06FB3">
        <w:t xml:space="preserve"> </w:t>
      </w:r>
      <w:r w:rsidR="0013783C">
        <w:fldChar w:fldCharType="begin"/>
      </w:r>
      <w:r w:rsidR="0013783C">
        <w:instrText xml:space="preserve"> REF _Ref878548 \h </w:instrText>
      </w:r>
      <w:r w:rsidR="000A1317">
        <w:instrText xml:space="preserve"> \* MERGEFORMAT </w:instrText>
      </w:r>
      <w:r w:rsidR="0013783C">
        <w:fldChar w:fldCharType="separate"/>
      </w:r>
      <w:r w:rsidR="006254D6" w:rsidRPr="00571478">
        <w:t>Dose and Method of Administration</w:t>
      </w:r>
      <w:r w:rsidR="0013783C">
        <w:fldChar w:fldCharType="end"/>
      </w:r>
      <w:r w:rsidRPr="00A40CE0">
        <w:t xml:space="preserve">: </w:t>
      </w:r>
      <w:r w:rsidR="0013783C">
        <w:fldChar w:fldCharType="begin"/>
      </w:r>
      <w:r w:rsidR="0013783C">
        <w:instrText xml:space="preserve"> REF _Ref951607 \h </w:instrText>
      </w:r>
      <w:r w:rsidR="000A1317">
        <w:instrText xml:space="preserve"> \* MERGEFORMAT </w:instrText>
      </w:r>
      <w:r w:rsidR="0013783C">
        <w:fldChar w:fldCharType="separate"/>
      </w:r>
      <w:r w:rsidR="006254D6" w:rsidRPr="00D852EC">
        <w:t>Treatment of Acute ST-segment Elevation Myocardial Infarction</w:t>
      </w:r>
      <w:r w:rsidR="0013783C">
        <w:fldChar w:fldCharType="end"/>
      </w:r>
      <w:r w:rsidRPr="00A40CE0">
        <w:t>.</w:t>
      </w:r>
    </w:p>
    <w:p w14:paraId="754E2F05" w14:textId="77777777" w:rsidR="006E4FF7" w:rsidRPr="00D852EC" w:rsidRDefault="006E4FF7" w:rsidP="000A1317">
      <w:pPr>
        <w:pStyle w:val="Heading3"/>
      </w:pPr>
      <w:r w:rsidRPr="00D852EC">
        <w:t>Prophylaxis of Venous Thrombosis</w:t>
      </w:r>
    </w:p>
    <w:p w14:paraId="536EC95A" w14:textId="77777777" w:rsidR="006E4FF7" w:rsidRPr="00D852EC" w:rsidRDefault="006E4FF7" w:rsidP="000A1317">
      <w:pPr>
        <w:rPr>
          <w:rFonts w:cs="Arial"/>
          <w:szCs w:val="20"/>
        </w:rPr>
      </w:pPr>
      <w:r w:rsidRPr="00D852EC">
        <w:rPr>
          <w:rFonts w:cs="Arial"/>
          <w:szCs w:val="20"/>
        </w:rPr>
        <w:t xml:space="preserve">Prophylaxis against thromboembolism </w:t>
      </w:r>
      <w:proofErr w:type="gramStart"/>
      <w:r w:rsidRPr="00D852EC">
        <w:rPr>
          <w:rFonts w:cs="Arial"/>
          <w:szCs w:val="20"/>
        </w:rPr>
        <w:t>should be tailored</w:t>
      </w:r>
      <w:proofErr w:type="gramEnd"/>
      <w:r w:rsidRPr="00D852EC">
        <w:rPr>
          <w:rFonts w:cs="Arial"/>
          <w:szCs w:val="20"/>
        </w:rPr>
        <w:t xml:space="preserve"> according to the patient's risk. Risk factors include age over 40 years, history of deep vein thrombosis or pulmonary embolism, surgery and other trauma, prolonged immobilisation, cardiac disease, obesity, malignancy, varicose veins, </w:t>
      </w:r>
      <w:proofErr w:type="spellStart"/>
      <w:r w:rsidRPr="00D852EC">
        <w:rPr>
          <w:rFonts w:cs="Arial"/>
          <w:szCs w:val="20"/>
        </w:rPr>
        <w:t>hypercoagulable</w:t>
      </w:r>
      <w:proofErr w:type="spellEnd"/>
      <w:r w:rsidRPr="00D852EC">
        <w:rPr>
          <w:rFonts w:cs="Arial"/>
          <w:szCs w:val="20"/>
        </w:rPr>
        <w:t xml:space="preserve"> states, pregnancy and the puerperium, oral contraceptives, severe infection, inflammatory bowel disease.</w:t>
      </w:r>
    </w:p>
    <w:p w14:paraId="21E850A6" w14:textId="2354C5E5" w:rsidR="006E4FF7" w:rsidRPr="00440F47" w:rsidRDefault="006E4FF7" w:rsidP="00A06FB3">
      <w:pPr>
        <w:pStyle w:val="Heading4"/>
        <w:numPr>
          <w:ilvl w:val="0"/>
          <w:numId w:val="25"/>
        </w:numPr>
        <w:rPr>
          <w:i/>
          <w:u w:val="none"/>
        </w:rPr>
      </w:pPr>
      <w:r w:rsidRPr="00440F47">
        <w:rPr>
          <w:i/>
          <w:u w:val="none"/>
        </w:rPr>
        <w:t>High Risk Patients</w:t>
      </w:r>
    </w:p>
    <w:p w14:paraId="686AAC52" w14:textId="11F433C6" w:rsidR="006E4FF7" w:rsidRPr="00D852EC" w:rsidRDefault="006E4FF7" w:rsidP="000A1317">
      <w:pPr>
        <w:rPr>
          <w:rFonts w:cs="Arial"/>
          <w:szCs w:val="20"/>
        </w:rPr>
      </w:pPr>
      <w:r w:rsidRPr="00D852EC">
        <w:rPr>
          <w:rFonts w:cs="Arial"/>
          <w:szCs w:val="20"/>
        </w:rPr>
        <w:t>In patients with high risk of thromboembolism, a</w:t>
      </w:r>
      <w:r w:rsidR="0013783C">
        <w:rPr>
          <w:rFonts w:cs="Arial"/>
          <w:szCs w:val="20"/>
        </w:rPr>
        <w:t>n</w:t>
      </w:r>
      <w:r w:rsidRPr="00D852EC">
        <w:rPr>
          <w:rFonts w:cs="Arial"/>
          <w:szCs w:val="20"/>
        </w:rPr>
        <w:t xml:space="preserve"> </w:t>
      </w:r>
      <w:r w:rsidR="00440F47" w:rsidRPr="00D852EC">
        <w:rPr>
          <w:rFonts w:cs="Arial"/>
          <w:szCs w:val="20"/>
        </w:rPr>
        <w:t xml:space="preserve">Enoxaparin </w:t>
      </w:r>
      <w:r w:rsidRPr="00D852EC">
        <w:rPr>
          <w:rFonts w:cs="Arial"/>
          <w:szCs w:val="20"/>
        </w:rPr>
        <w:t>dosage of 40 mg (0.4 mL; anti-</w:t>
      </w:r>
      <w:proofErr w:type="spellStart"/>
      <w:r w:rsidRPr="00D852EC">
        <w:rPr>
          <w:rFonts w:cs="Arial"/>
          <w:szCs w:val="20"/>
        </w:rPr>
        <w:t>Xa</w:t>
      </w:r>
      <w:proofErr w:type="spellEnd"/>
      <w:r w:rsidRPr="00D852EC">
        <w:rPr>
          <w:rFonts w:cs="Arial"/>
          <w:szCs w:val="20"/>
        </w:rPr>
        <w:t>: 4</w:t>
      </w:r>
      <w:r w:rsidR="00440F47">
        <w:rPr>
          <w:rFonts w:cs="Arial"/>
          <w:szCs w:val="20"/>
        </w:rPr>
        <w:t>,</w:t>
      </w:r>
      <w:r w:rsidRPr="00D852EC">
        <w:rPr>
          <w:rFonts w:cs="Arial"/>
          <w:szCs w:val="20"/>
        </w:rPr>
        <w:t xml:space="preserve">000 IU) should be administered subcutaneously once daily. In </w:t>
      </w:r>
      <w:proofErr w:type="gramStart"/>
      <w:r w:rsidRPr="00D852EC">
        <w:rPr>
          <w:rFonts w:cs="Arial"/>
          <w:szCs w:val="20"/>
        </w:rPr>
        <w:t>high risk</w:t>
      </w:r>
      <w:proofErr w:type="gramEnd"/>
      <w:r w:rsidRPr="00D852EC">
        <w:rPr>
          <w:rFonts w:cs="Arial"/>
          <w:szCs w:val="20"/>
        </w:rPr>
        <w:t xml:space="preserve"> patients undergoing surgery, the initial dose should be given approximately 12 hours preoperatively. The timing of the first dose may need to </w:t>
      </w:r>
      <w:proofErr w:type="gramStart"/>
      <w:r w:rsidRPr="00D852EC">
        <w:rPr>
          <w:rFonts w:cs="Arial"/>
          <w:szCs w:val="20"/>
        </w:rPr>
        <w:t>be modified</w:t>
      </w:r>
      <w:proofErr w:type="gramEnd"/>
      <w:r w:rsidRPr="00D852EC">
        <w:rPr>
          <w:rFonts w:cs="Arial"/>
          <w:szCs w:val="20"/>
        </w:rPr>
        <w:t xml:space="preserve"> if spinal/epidural anaesthesia is to be performed (see </w:t>
      </w:r>
      <w:r w:rsidR="00440F47" w:rsidRPr="00440F47">
        <w:rPr>
          <w:rFonts w:cs="Arial"/>
          <w:szCs w:val="20"/>
        </w:rPr>
        <w:t xml:space="preserve">Section </w:t>
      </w:r>
      <w:r w:rsidR="0054549A">
        <w:rPr>
          <w:rFonts w:cs="Arial"/>
          <w:szCs w:val="20"/>
        </w:rPr>
        <w:fldChar w:fldCharType="begin"/>
      </w:r>
      <w:r w:rsidR="0054549A">
        <w:rPr>
          <w:rFonts w:cs="Arial"/>
          <w:szCs w:val="20"/>
        </w:rPr>
        <w:instrText xml:space="preserve"> REF _Ref878862 \r \h </w:instrText>
      </w:r>
      <w:r w:rsidR="0054549A">
        <w:rPr>
          <w:rFonts w:cs="Arial"/>
          <w:szCs w:val="20"/>
        </w:rPr>
      </w:r>
      <w:r w:rsidR="0054549A">
        <w:rPr>
          <w:rFonts w:cs="Arial"/>
          <w:szCs w:val="20"/>
        </w:rPr>
        <w:fldChar w:fldCharType="separate"/>
      </w:r>
      <w:r w:rsidR="006254D6">
        <w:rPr>
          <w:rFonts w:cs="Arial"/>
          <w:szCs w:val="20"/>
        </w:rPr>
        <w:t>4.4</w:t>
      </w:r>
      <w:r w:rsidR="0054549A">
        <w:rPr>
          <w:rFonts w:cs="Arial"/>
          <w:szCs w:val="20"/>
        </w:rPr>
        <w:fldChar w:fldCharType="end"/>
      </w:r>
      <w:r w:rsidR="00440F47" w:rsidRPr="00440F47">
        <w:rPr>
          <w:rFonts w:cs="Arial"/>
          <w:szCs w:val="20"/>
        </w:rPr>
        <w:t xml:space="preserve"> – </w:t>
      </w:r>
      <w:r w:rsidR="0054549A">
        <w:rPr>
          <w:rFonts w:cs="Arial"/>
          <w:szCs w:val="20"/>
        </w:rPr>
        <w:fldChar w:fldCharType="begin"/>
      </w:r>
      <w:r w:rsidR="0054549A">
        <w:rPr>
          <w:rFonts w:cs="Arial"/>
          <w:szCs w:val="20"/>
        </w:rPr>
        <w:instrText xml:space="preserve"> REF _Ref878862 \h </w:instrText>
      </w:r>
      <w:r w:rsidR="0054549A">
        <w:rPr>
          <w:rFonts w:cs="Arial"/>
          <w:szCs w:val="20"/>
        </w:rPr>
      </w:r>
      <w:r w:rsidR="0054549A">
        <w:rPr>
          <w:rFonts w:cs="Arial"/>
          <w:szCs w:val="20"/>
        </w:rPr>
        <w:fldChar w:fldCharType="separate"/>
      </w:r>
      <w:r w:rsidR="006254D6" w:rsidRPr="00571478">
        <w:t>Special Warnings and Precautions for Use</w:t>
      </w:r>
      <w:r w:rsidR="0054549A">
        <w:rPr>
          <w:rFonts w:cs="Arial"/>
          <w:szCs w:val="20"/>
        </w:rPr>
        <w:fldChar w:fldCharType="end"/>
      </w:r>
      <w:r w:rsidR="00440F47" w:rsidRPr="00440F47">
        <w:rPr>
          <w:rFonts w:cs="Arial"/>
          <w:szCs w:val="20"/>
        </w:rPr>
        <w:t>: Spinal/Epidural Anaesthesia</w:t>
      </w:r>
      <w:r w:rsidRPr="00D852EC">
        <w:rPr>
          <w:rFonts w:cs="Arial"/>
          <w:szCs w:val="20"/>
        </w:rPr>
        <w:t>).</w:t>
      </w:r>
    </w:p>
    <w:p w14:paraId="420CF471" w14:textId="3F5EB8EA" w:rsidR="006E4FF7" w:rsidRPr="00440F47" w:rsidRDefault="006E4FF7" w:rsidP="00A06FB3">
      <w:pPr>
        <w:pStyle w:val="Heading4"/>
        <w:numPr>
          <w:ilvl w:val="0"/>
          <w:numId w:val="25"/>
        </w:numPr>
        <w:rPr>
          <w:i/>
          <w:u w:val="none"/>
        </w:rPr>
      </w:pPr>
      <w:r w:rsidRPr="00440F47">
        <w:rPr>
          <w:i/>
          <w:u w:val="none"/>
        </w:rPr>
        <w:t>Moderate Risk Patients</w:t>
      </w:r>
    </w:p>
    <w:p w14:paraId="060A65A0" w14:textId="2D0C510D" w:rsidR="006E4FF7" w:rsidRPr="00D852EC" w:rsidRDefault="006E4FF7" w:rsidP="000A1317">
      <w:pPr>
        <w:rPr>
          <w:rFonts w:cs="Arial"/>
          <w:szCs w:val="20"/>
        </w:rPr>
      </w:pPr>
      <w:r w:rsidRPr="00D852EC">
        <w:rPr>
          <w:rFonts w:cs="Arial"/>
          <w:szCs w:val="20"/>
        </w:rPr>
        <w:t>In patients with a moderate risk of thromboembolism, the recommended Enoxaparin dosage is 20 mg (0.2 mL; anti-</w:t>
      </w:r>
      <w:proofErr w:type="spellStart"/>
      <w:r w:rsidRPr="00D852EC">
        <w:rPr>
          <w:rFonts w:cs="Arial"/>
          <w:szCs w:val="20"/>
        </w:rPr>
        <w:t>Xa</w:t>
      </w:r>
      <w:proofErr w:type="spellEnd"/>
      <w:r w:rsidRPr="00D852EC">
        <w:rPr>
          <w:rFonts w:cs="Arial"/>
          <w:szCs w:val="20"/>
        </w:rPr>
        <w:t>: 2</w:t>
      </w:r>
      <w:r w:rsidR="00440F47">
        <w:rPr>
          <w:rFonts w:cs="Arial"/>
          <w:szCs w:val="20"/>
        </w:rPr>
        <w:t>,</w:t>
      </w:r>
      <w:r w:rsidRPr="00D852EC">
        <w:rPr>
          <w:rFonts w:cs="Arial"/>
          <w:szCs w:val="20"/>
        </w:rPr>
        <w:t xml:space="preserve">000 IU) subcutaneously once daily. In moderate risk patients undergoing surgery, the initial dose </w:t>
      </w:r>
      <w:proofErr w:type="gramStart"/>
      <w:r w:rsidRPr="00D852EC">
        <w:rPr>
          <w:rFonts w:cs="Arial"/>
          <w:szCs w:val="20"/>
        </w:rPr>
        <w:t>should be given</w:t>
      </w:r>
      <w:proofErr w:type="gramEnd"/>
      <w:r w:rsidRPr="00D852EC">
        <w:rPr>
          <w:rFonts w:cs="Arial"/>
          <w:szCs w:val="20"/>
        </w:rPr>
        <w:t xml:space="preserve"> approximately 2 hours preoperatively. The </w:t>
      </w:r>
      <w:r w:rsidRPr="00D852EC">
        <w:rPr>
          <w:rFonts w:cs="Arial"/>
          <w:szCs w:val="20"/>
        </w:rPr>
        <w:lastRenderedPageBreak/>
        <w:t xml:space="preserve">timing of the first dose may need to </w:t>
      </w:r>
      <w:proofErr w:type="gramStart"/>
      <w:r w:rsidRPr="00D852EC">
        <w:rPr>
          <w:rFonts w:cs="Arial"/>
          <w:szCs w:val="20"/>
        </w:rPr>
        <w:t>be modified</w:t>
      </w:r>
      <w:proofErr w:type="gramEnd"/>
      <w:r w:rsidRPr="00D852EC">
        <w:rPr>
          <w:rFonts w:cs="Arial"/>
          <w:szCs w:val="20"/>
        </w:rPr>
        <w:t xml:space="preserve"> if spinal/epidural anaesthesia is to be performed (see </w:t>
      </w:r>
      <w:r w:rsidR="00440F47" w:rsidRPr="00440F47">
        <w:rPr>
          <w:rFonts w:cs="Arial"/>
          <w:szCs w:val="20"/>
        </w:rPr>
        <w:t xml:space="preserve">Section </w:t>
      </w:r>
      <w:r w:rsidR="0054549A">
        <w:rPr>
          <w:rFonts w:cs="Arial"/>
          <w:szCs w:val="20"/>
        </w:rPr>
        <w:fldChar w:fldCharType="begin"/>
      </w:r>
      <w:r w:rsidR="0054549A">
        <w:rPr>
          <w:rFonts w:cs="Arial"/>
          <w:szCs w:val="20"/>
        </w:rPr>
        <w:instrText xml:space="preserve"> REF _Ref878862 \r \h </w:instrText>
      </w:r>
      <w:r w:rsidR="0054549A">
        <w:rPr>
          <w:rFonts w:cs="Arial"/>
          <w:szCs w:val="20"/>
        </w:rPr>
      </w:r>
      <w:r w:rsidR="0054549A">
        <w:rPr>
          <w:rFonts w:cs="Arial"/>
          <w:szCs w:val="20"/>
        </w:rPr>
        <w:fldChar w:fldCharType="separate"/>
      </w:r>
      <w:r w:rsidR="006254D6">
        <w:rPr>
          <w:rFonts w:cs="Arial"/>
          <w:szCs w:val="20"/>
        </w:rPr>
        <w:t>4.4</w:t>
      </w:r>
      <w:r w:rsidR="0054549A">
        <w:rPr>
          <w:rFonts w:cs="Arial"/>
          <w:szCs w:val="20"/>
        </w:rPr>
        <w:fldChar w:fldCharType="end"/>
      </w:r>
      <w:r w:rsidR="00440F47" w:rsidRPr="00440F47">
        <w:rPr>
          <w:rFonts w:cs="Arial"/>
          <w:szCs w:val="20"/>
        </w:rPr>
        <w:t xml:space="preserve"> – </w:t>
      </w:r>
      <w:r w:rsidR="0054549A">
        <w:rPr>
          <w:rFonts w:cs="Arial"/>
          <w:szCs w:val="20"/>
        </w:rPr>
        <w:fldChar w:fldCharType="begin"/>
      </w:r>
      <w:r w:rsidR="0054549A">
        <w:rPr>
          <w:rFonts w:cs="Arial"/>
          <w:szCs w:val="20"/>
        </w:rPr>
        <w:instrText xml:space="preserve"> REF _Ref878862 \h </w:instrText>
      </w:r>
      <w:r w:rsidR="0054549A">
        <w:rPr>
          <w:rFonts w:cs="Arial"/>
          <w:szCs w:val="20"/>
        </w:rPr>
      </w:r>
      <w:r w:rsidR="0054549A">
        <w:rPr>
          <w:rFonts w:cs="Arial"/>
          <w:szCs w:val="20"/>
        </w:rPr>
        <w:fldChar w:fldCharType="separate"/>
      </w:r>
      <w:r w:rsidR="006254D6" w:rsidRPr="00571478">
        <w:t>Special Warnings and Precautions for Use</w:t>
      </w:r>
      <w:r w:rsidR="0054549A">
        <w:rPr>
          <w:rFonts w:cs="Arial"/>
          <w:szCs w:val="20"/>
        </w:rPr>
        <w:fldChar w:fldCharType="end"/>
      </w:r>
      <w:r w:rsidR="00440F47" w:rsidRPr="00440F47">
        <w:rPr>
          <w:rFonts w:cs="Arial"/>
          <w:szCs w:val="20"/>
        </w:rPr>
        <w:t>: Spinal/Epidural Anaesthesia</w:t>
      </w:r>
      <w:r w:rsidRPr="00D852EC">
        <w:rPr>
          <w:rFonts w:cs="Arial"/>
          <w:szCs w:val="20"/>
        </w:rPr>
        <w:t>).</w:t>
      </w:r>
    </w:p>
    <w:p w14:paraId="2FD6407F" w14:textId="77777777" w:rsidR="006E4FF7" w:rsidRPr="00D852EC" w:rsidRDefault="006E4FF7" w:rsidP="000A1317">
      <w:pPr>
        <w:pStyle w:val="Heading4"/>
      </w:pPr>
      <w:r w:rsidRPr="00D852EC">
        <w:t xml:space="preserve">Duration of </w:t>
      </w:r>
      <w:r w:rsidRPr="00AE59F5">
        <w:t>Therapy</w:t>
      </w:r>
    </w:p>
    <w:p w14:paraId="49751862" w14:textId="77777777" w:rsidR="006E4FF7" w:rsidRPr="00D852EC" w:rsidRDefault="006E4FF7" w:rsidP="000A1317">
      <w:pPr>
        <w:rPr>
          <w:rFonts w:cs="Arial"/>
          <w:szCs w:val="20"/>
        </w:rPr>
      </w:pPr>
      <w:r w:rsidRPr="00D852EC">
        <w:rPr>
          <w:rFonts w:cs="Arial"/>
          <w:szCs w:val="20"/>
        </w:rPr>
        <w:t>High to Moderate Risk: Prophylaxis should be continued for 7 to 10 days or until the risk of thromboembolism has diminished.</w:t>
      </w:r>
    </w:p>
    <w:p w14:paraId="1532DA29" w14:textId="77777777" w:rsidR="006E4FF7" w:rsidRPr="00D852EC" w:rsidRDefault="006E4FF7" w:rsidP="000A1317">
      <w:pPr>
        <w:pStyle w:val="Heading4"/>
      </w:pPr>
      <w:r w:rsidRPr="00D852EC">
        <w:t xml:space="preserve">Prolonged </w:t>
      </w:r>
      <w:proofErr w:type="spellStart"/>
      <w:r w:rsidRPr="00D852EC">
        <w:t>Thromboprophylaxis</w:t>
      </w:r>
      <w:proofErr w:type="spellEnd"/>
      <w:r w:rsidRPr="00D852EC">
        <w:t xml:space="preserve"> </w:t>
      </w:r>
    </w:p>
    <w:p w14:paraId="5AE81B87" w14:textId="77777777" w:rsidR="006E4FF7" w:rsidRPr="00D852EC" w:rsidRDefault="006E4FF7" w:rsidP="000A1317">
      <w:pPr>
        <w:rPr>
          <w:rFonts w:cs="Arial"/>
          <w:szCs w:val="20"/>
        </w:rPr>
      </w:pPr>
      <w:r w:rsidRPr="00D852EC">
        <w:rPr>
          <w:rFonts w:cs="Arial"/>
          <w:szCs w:val="20"/>
        </w:rPr>
        <w:t xml:space="preserve">Therapy with 40 mg once daily for 30 post-operative days has been proven </w:t>
      </w:r>
      <w:proofErr w:type="gramStart"/>
      <w:r w:rsidRPr="00D852EC">
        <w:rPr>
          <w:rFonts w:cs="Arial"/>
          <w:szCs w:val="20"/>
        </w:rPr>
        <w:t>to be beneficial</w:t>
      </w:r>
      <w:proofErr w:type="gramEnd"/>
      <w:r w:rsidRPr="00D852EC">
        <w:rPr>
          <w:rFonts w:cs="Arial"/>
          <w:szCs w:val="20"/>
        </w:rPr>
        <w:t xml:space="preserve"> in total hip replacement surgery.</w:t>
      </w:r>
    </w:p>
    <w:p w14:paraId="428A8D6D" w14:textId="423913A9" w:rsidR="006E4FF7" w:rsidRPr="00CA7F4D" w:rsidRDefault="006E4FF7" w:rsidP="000A1317">
      <w:pPr>
        <w:rPr>
          <w:rFonts w:cs="Arial"/>
          <w:szCs w:val="20"/>
        </w:rPr>
      </w:pPr>
      <w:r w:rsidRPr="00D852EC">
        <w:rPr>
          <w:rFonts w:cs="Arial"/>
          <w:szCs w:val="20"/>
        </w:rPr>
        <w:t xml:space="preserve">Under normal conditions of use, </w:t>
      </w:r>
      <w:r w:rsidR="00440F47" w:rsidRPr="00D852EC">
        <w:rPr>
          <w:rFonts w:cs="Arial"/>
          <w:szCs w:val="20"/>
        </w:rPr>
        <w:t xml:space="preserve">Enoxaparin </w:t>
      </w:r>
      <w:r w:rsidRPr="00D852EC">
        <w:rPr>
          <w:rFonts w:cs="Arial"/>
          <w:szCs w:val="20"/>
        </w:rPr>
        <w:t>does not modify global clotting tests and therefore there is no need to perform these tes</w:t>
      </w:r>
      <w:r w:rsidR="00CA7F4D">
        <w:rPr>
          <w:rFonts w:cs="Arial"/>
          <w:szCs w:val="20"/>
        </w:rPr>
        <w:t>ts in order to monitor therapy.</w:t>
      </w:r>
    </w:p>
    <w:p w14:paraId="586065E3" w14:textId="77777777" w:rsidR="006E4FF7" w:rsidRPr="00D852EC" w:rsidRDefault="006E4FF7" w:rsidP="000A1317">
      <w:pPr>
        <w:pStyle w:val="Heading3"/>
      </w:pPr>
      <w:r w:rsidRPr="00D852EC">
        <w:t>Prophylaxis of Venous Thromboembolism in Medical Patients</w:t>
      </w:r>
    </w:p>
    <w:p w14:paraId="0531A6C3" w14:textId="77777777" w:rsidR="006E4FF7" w:rsidRPr="00D852EC" w:rsidRDefault="006E4FF7" w:rsidP="000A1317">
      <w:pPr>
        <w:rPr>
          <w:rFonts w:cs="Arial"/>
          <w:szCs w:val="20"/>
        </w:rPr>
      </w:pPr>
      <w:r w:rsidRPr="00D852EC">
        <w:rPr>
          <w:rFonts w:cs="Arial"/>
          <w:szCs w:val="20"/>
        </w:rPr>
        <w:t xml:space="preserve">The recommended dose should be 40 mg once daily by subcutaneous injection for a minimum of 6 days, continuing for a maximum of 14 days or less </w:t>
      </w:r>
      <w:proofErr w:type="gramStart"/>
      <w:r w:rsidRPr="00D852EC">
        <w:rPr>
          <w:rFonts w:cs="Arial"/>
          <w:szCs w:val="20"/>
        </w:rPr>
        <w:t>if</w:t>
      </w:r>
      <w:proofErr w:type="gramEnd"/>
      <w:r w:rsidRPr="00D852EC">
        <w:rPr>
          <w:rFonts w:cs="Arial"/>
          <w:szCs w:val="20"/>
        </w:rPr>
        <w:t xml:space="preserve"> the patient returns to full ambulation earlier than 14 days.</w:t>
      </w:r>
    </w:p>
    <w:p w14:paraId="45D41EE5" w14:textId="77777777" w:rsidR="006E4FF7" w:rsidRPr="00D852EC" w:rsidRDefault="006E4FF7" w:rsidP="000A1317">
      <w:pPr>
        <w:pStyle w:val="Heading3"/>
      </w:pPr>
      <w:r w:rsidRPr="00D852EC">
        <w:t>Treatment of Deep Venous Thrombosis</w:t>
      </w:r>
    </w:p>
    <w:p w14:paraId="75B20796" w14:textId="77777777" w:rsidR="006E4FF7" w:rsidRPr="00D852EC" w:rsidRDefault="006E4FF7" w:rsidP="000A1317">
      <w:pPr>
        <w:rPr>
          <w:rFonts w:cs="Arial"/>
          <w:szCs w:val="20"/>
        </w:rPr>
      </w:pPr>
      <w:r w:rsidRPr="00D852EC">
        <w:rPr>
          <w:rFonts w:cs="Arial"/>
          <w:szCs w:val="20"/>
        </w:rPr>
        <w:t xml:space="preserve">The initial clinical </w:t>
      </w:r>
      <w:proofErr w:type="gramStart"/>
      <w:r w:rsidRPr="00D852EC">
        <w:rPr>
          <w:rFonts w:cs="Arial"/>
          <w:szCs w:val="20"/>
        </w:rPr>
        <w:t>trials which established the efficacy of Enoxaparin in the treatment of deep venous thrombosis</w:t>
      </w:r>
      <w:proofErr w:type="gramEnd"/>
      <w:r w:rsidRPr="00D852EC">
        <w:rPr>
          <w:rFonts w:cs="Arial"/>
          <w:szCs w:val="20"/>
        </w:rPr>
        <w:t xml:space="preserve"> were conducted on patients who were initially treated with heparin and then changed to Enoxaparin when a definitive diagnosis was established. However, the use of heparin prior to Enoxaparin </w:t>
      </w:r>
      <w:proofErr w:type="gramStart"/>
      <w:r w:rsidRPr="00D852EC">
        <w:rPr>
          <w:rFonts w:cs="Arial"/>
          <w:szCs w:val="20"/>
        </w:rPr>
        <w:t>is not currently recommended</w:t>
      </w:r>
      <w:proofErr w:type="gramEnd"/>
      <w:r w:rsidRPr="00D852EC">
        <w:rPr>
          <w:rFonts w:cs="Arial"/>
          <w:szCs w:val="20"/>
        </w:rPr>
        <w:t xml:space="preserve">. The average duration of therapy in the clinical trials was 10 days. No data are available on the safety of </w:t>
      </w:r>
      <w:proofErr w:type="gramStart"/>
      <w:r w:rsidRPr="00D852EC">
        <w:rPr>
          <w:rFonts w:cs="Arial"/>
          <w:szCs w:val="20"/>
        </w:rPr>
        <w:t>long term</w:t>
      </w:r>
      <w:proofErr w:type="gramEnd"/>
      <w:r w:rsidRPr="00D852EC">
        <w:rPr>
          <w:rFonts w:cs="Arial"/>
          <w:szCs w:val="20"/>
        </w:rPr>
        <w:t xml:space="preserve"> treatment. Data on use in patients over 65 years of age in these trials were limited.</w:t>
      </w:r>
    </w:p>
    <w:p w14:paraId="4B86B5EE" w14:textId="77777777" w:rsidR="006E4FF7" w:rsidRPr="00D852EC" w:rsidRDefault="006E4FF7" w:rsidP="000A1317">
      <w:pPr>
        <w:rPr>
          <w:rFonts w:cs="Arial"/>
          <w:szCs w:val="20"/>
        </w:rPr>
      </w:pPr>
      <w:r w:rsidRPr="00D852EC">
        <w:rPr>
          <w:rFonts w:cs="Arial"/>
          <w:szCs w:val="20"/>
        </w:rPr>
        <w:t>The recommended dosage for treatment of established deep vein thrombosis with Enoxaparin is 1.5 mg/kg body weight once daily (150 IU anti-</w:t>
      </w:r>
      <w:proofErr w:type="spellStart"/>
      <w:r w:rsidRPr="00D852EC">
        <w:rPr>
          <w:rFonts w:cs="Arial"/>
          <w:szCs w:val="20"/>
        </w:rPr>
        <w:t>Xa</w:t>
      </w:r>
      <w:proofErr w:type="spellEnd"/>
      <w:r w:rsidRPr="00D852EC">
        <w:rPr>
          <w:rFonts w:cs="Arial"/>
          <w:szCs w:val="20"/>
        </w:rPr>
        <w:t xml:space="preserve"> activity/kg bodyweight) or 1 mg/kg body weight (100 IU anti-</w:t>
      </w:r>
      <w:proofErr w:type="spellStart"/>
      <w:r w:rsidRPr="00D852EC">
        <w:rPr>
          <w:rFonts w:cs="Arial"/>
          <w:szCs w:val="20"/>
        </w:rPr>
        <w:t>Xa</w:t>
      </w:r>
      <w:proofErr w:type="spellEnd"/>
      <w:r w:rsidRPr="00D852EC">
        <w:rPr>
          <w:rFonts w:cs="Arial"/>
          <w:szCs w:val="20"/>
        </w:rPr>
        <w:t xml:space="preserve"> activity/kg bodyweight) twice daily subcutaneously. In high risk patients, e.g. the obese or patients with baseline iliac vein thrombosis or cancer, a dose of 1 mg/kg body weight administered twice daily may be more beneficial.</w:t>
      </w:r>
    </w:p>
    <w:p w14:paraId="7D646DBB" w14:textId="77777777" w:rsidR="006E4FF7" w:rsidRPr="00D852EC" w:rsidRDefault="006E4FF7" w:rsidP="000A1317">
      <w:pPr>
        <w:rPr>
          <w:rFonts w:cs="Arial"/>
          <w:szCs w:val="20"/>
        </w:rPr>
      </w:pPr>
      <w:r w:rsidRPr="00D852EC">
        <w:rPr>
          <w:rFonts w:cs="Arial"/>
          <w:szCs w:val="20"/>
        </w:rPr>
        <w:t xml:space="preserve">Warfarin sodium therapy </w:t>
      </w:r>
      <w:proofErr w:type="gramStart"/>
      <w:r w:rsidRPr="00D852EC">
        <w:rPr>
          <w:rFonts w:cs="Arial"/>
          <w:szCs w:val="20"/>
        </w:rPr>
        <w:t>should be initiated</w:t>
      </w:r>
      <w:proofErr w:type="gramEnd"/>
      <w:r w:rsidRPr="00D852EC">
        <w:rPr>
          <w:rFonts w:cs="Arial"/>
          <w:szCs w:val="20"/>
        </w:rPr>
        <w:t xml:space="preserve"> when appropriate (usually within 72 hours of commencing Enoxaparin initiation). Enoxaparin should be continued for a minimum of 5 days and until a therapeutic oral anticoagulant effect has been achieved (International Normalization Ratio 2.0 to 3.0).</w:t>
      </w:r>
    </w:p>
    <w:p w14:paraId="7CFE9E90" w14:textId="77777777" w:rsidR="006E4FF7" w:rsidRPr="00D852EC" w:rsidRDefault="006E4FF7" w:rsidP="000A1317">
      <w:pPr>
        <w:pStyle w:val="Heading3"/>
      </w:pPr>
      <w:r w:rsidRPr="00D852EC">
        <w:t>Treatment of Unstable Angina and Non-Q-Wave-Myocardial Infarction</w:t>
      </w:r>
    </w:p>
    <w:p w14:paraId="4F15EEC0" w14:textId="77777777" w:rsidR="006E4FF7" w:rsidRPr="00D852EC" w:rsidRDefault="006E4FF7" w:rsidP="000A1317">
      <w:pPr>
        <w:rPr>
          <w:rFonts w:cs="Arial"/>
          <w:szCs w:val="20"/>
        </w:rPr>
      </w:pPr>
      <w:r w:rsidRPr="00D852EC">
        <w:rPr>
          <w:rFonts w:cs="Arial"/>
          <w:szCs w:val="20"/>
        </w:rPr>
        <w:t>The recommended dose of Enoxaparin is 1 mg/kg (100 IU anti-</w:t>
      </w:r>
      <w:proofErr w:type="spellStart"/>
      <w:r w:rsidRPr="00D852EC">
        <w:rPr>
          <w:rFonts w:cs="Arial"/>
          <w:szCs w:val="20"/>
        </w:rPr>
        <w:t>Xa</w:t>
      </w:r>
      <w:proofErr w:type="spellEnd"/>
      <w:r w:rsidRPr="00D852EC">
        <w:rPr>
          <w:rFonts w:cs="Arial"/>
          <w:szCs w:val="20"/>
        </w:rPr>
        <w:t xml:space="preserve"> activity/kg) every 12 hours by subcutaneous injection, administered concurrently with oral aspirin.</w:t>
      </w:r>
    </w:p>
    <w:p w14:paraId="17752015" w14:textId="77777777" w:rsidR="006E4FF7" w:rsidRPr="00D852EC" w:rsidRDefault="006E4FF7" w:rsidP="000A1317">
      <w:pPr>
        <w:rPr>
          <w:rFonts w:cs="Arial"/>
          <w:szCs w:val="20"/>
        </w:rPr>
      </w:pPr>
      <w:r w:rsidRPr="00D852EC">
        <w:rPr>
          <w:rFonts w:cs="Arial"/>
          <w:szCs w:val="20"/>
        </w:rPr>
        <w:t xml:space="preserve">Treatment with Enoxaparin in these patients </w:t>
      </w:r>
      <w:proofErr w:type="gramStart"/>
      <w:r w:rsidRPr="00D852EC">
        <w:rPr>
          <w:rFonts w:cs="Arial"/>
          <w:szCs w:val="20"/>
        </w:rPr>
        <w:t>should be prescribed</w:t>
      </w:r>
      <w:proofErr w:type="gramEnd"/>
      <w:r w:rsidRPr="00D852EC">
        <w:rPr>
          <w:rFonts w:cs="Arial"/>
          <w:szCs w:val="20"/>
        </w:rPr>
        <w:t xml:space="preserve"> for a minimum of 2 days and a maximum of 8 days.</w:t>
      </w:r>
    </w:p>
    <w:p w14:paraId="0EDDE421" w14:textId="77777777" w:rsidR="006E4FF7" w:rsidRPr="00D852EC" w:rsidRDefault="006E4FF7" w:rsidP="000A1317">
      <w:pPr>
        <w:pStyle w:val="Heading3"/>
      </w:pPr>
      <w:bookmarkStart w:id="1" w:name="_Ref951607"/>
      <w:r w:rsidRPr="00D852EC">
        <w:t>Treatment of Acute ST-segment Elevation Myocardial Infarction</w:t>
      </w:r>
      <w:bookmarkEnd w:id="1"/>
    </w:p>
    <w:p w14:paraId="71857BEF" w14:textId="6808B39A" w:rsidR="006E4FF7" w:rsidRPr="00D852EC" w:rsidRDefault="006E4FF7" w:rsidP="000A1317">
      <w:pPr>
        <w:rPr>
          <w:rFonts w:cs="Arial"/>
          <w:szCs w:val="20"/>
        </w:rPr>
      </w:pPr>
      <w:proofErr w:type="gramStart"/>
      <w:r w:rsidRPr="00D852EC">
        <w:rPr>
          <w:rFonts w:cs="Arial"/>
          <w:szCs w:val="20"/>
        </w:rPr>
        <w:t xml:space="preserve">In patients with acute ST-segment elevation myocardial infarction, administered in conjunction with a fibrinolytic (fibrin-specific or non-fibrin specific), the recommended dose of Enoxaparin </w:t>
      </w:r>
      <w:r w:rsidRPr="00D852EC">
        <w:rPr>
          <w:rFonts w:cs="Arial"/>
          <w:szCs w:val="20"/>
        </w:rPr>
        <w:lastRenderedPageBreak/>
        <w:t>is a single IV bolus of 30 mg plus a 1 mg/kg SC dose, followed by 1 mg/kg administered SC every 12 hours (maximum 100 mg for each of the first two SC doses only, followed by 1 mg/kg dosing for the remaining doses).</w:t>
      </w:r>
      <w:proofErr w:type="gramEnd"/>
      <w:r w:rsidRPr="00D852EC">
        <w:rPr>
          <w:rFonts w:cs="Arial"/>
          <w:szCs w:val="20"/>
        </w:rPr>
        <w:t xml:space="preserve"> For dosage in patients ≥75 years of age, see </w:t>
      </w:r>
      <w:r w:rsidR="00440F47">
        <w:rPr>
          <w:rFonts w:cs="Arial"/>
          <w:szCs w:val="20"/>
        </w:rPr>
        <w:t xml:space="preserve">Section </w:t>
      </w:r>
      <w:r w:rsidR="0054549A">
        <w:rPr>
          <w:rFonts w:cs="Arial"/>
          <w:szCs w:val="20"/>
        </w:rPr>
        <w:fldChar w:fldCharType="begin"/>
      </w:r>
      <w:r w:rsidR="0054549A">
        <w:rPr>
          <w:rFonts w:cs="Arial"/>
          <w:szCs w:val="20"/>
        </w:rPr>
        <w:instrText xml:space="preserve"> REF _Ref878548 \r \h </w:instrText>
      </w:r>
      <w:r w:rsidR="0054549A">
        <w:rPr>
          <w:rFonts w:cs="Arial"/>
          <w:szCs w:val="20"/>
        </w:rPr>
      </w:r>
      <w:r w:rsidR="0054549A">
        <w:rPr>
          <w:rFonts w:cs="Arial"/>
          <w:szCs w:val="20"/>
        </w:rPr>
        <w:fldChar w:fldCharType="separate"/>
      </w:r>
      <w:r w:rsidR="006254D6">
        <w:rPr>
          <w:rFonts w:cs="Arial"/>
          <w:szCs w:val="20"/>
        </w:rPr>
        <w:t>4.2</w:t>
      </w:r>
      <w:r w:rsidR="0054549A">
        <w:rPr>
          <w:rFonts w:cs="Arial"/>
          <w:szCs w:val="20"/>
        </w:rPr>
        <w:fldChar w:fldCharType="end"/>
      </w:r>
      <w:r w:rsidR="00440F47">
        <w:rPr>
          <w:rFonts w:cs="Arial"/>
          <w:szCs w:val="20"/>
        </w:rPr>
        <w:t xml:space="preserve"> – </w:t>
      </w:r>
      <w:r w:rsidR="0054549A">
        <w:rPr>
          <w:rFonts w:cs="Arial"/>
          <w:szCs w:val="20"/>
        </w:rPr>
        <w:fldChar w:fldCharType="begin"/>
      </w:r>
      <w:r w:rsidR="0054549A">
        <w:rPr>
          <w:rFonts w:cs="Arial"/>
          <w:szCs w:val="20"/>
        </w:rPr>
        <w:instrText xml:space="preserve"> REF _Ref878548 \h </w:instrText>
      </w:r>
      <w:r w:rsidR="0054549A">
        <w:rPr>
          <w:rFonts w:cs="Arial"/>
          <w:szCs w:val="20"/>
        </w:rPr>
      </w:r>
      <w:r w:rsidR="0054549A">
        <w:rPr>
          <w:rFonts w:cs="Arial"/>
          <w:szCs w:val="20"/>
        </w:rPr>
        <w:fldChar w:fldCharType="separate"/>
      </w:r>
      <w:r w:rsidR="006254D6" w:rsidRPr="00571478">
        <w:t>Dose and Method of Administration</w:t>
      </w:r>
      <w:r w:rsidR="0054549A">
        <w:rPr>
          <w:rFonts w:cs="Arial"/>
          <w:szCs w:val="20"/>
        </w:rPr>
        <w:fldChar w:fldCharType="end"/>
      </w:r>
      <w:r w:rsidRPr="00D852EC">
        <w:rPr>
          <w:rFonts w:cs="Arial"/>
          <w:szCs w:val="20"/>
        </w:rPr>
        <w:t xml:space="preserve">: </w:t>
      </w:r>
      <w:r w:rsidR="0054549A">
        <w:rPr>
          <w:rFonts w:cs="Arial"/>
          <w:szCs w:val="20"/>
        </w:rPr>
        <w:fldChar w:fldCharType="begin"/>
      </w:r>
      <w:r w:rsidR="0054549A">
        <w:rPr>
          <w:rFonts w:cs="Arial"/>
          <w:szCs w:val="20"/>
        </w:rPr>
        <w:instrText xml:space="preserve"> REF _Ref5877688 \h </w:instrText>
      </w:r>
      <w:r w:rsidR="0054549A">
        <w:rPr>
          <w:rFonts w:cs="Arial"/>
          <w:szCs w:val="20"/>
        </w:rPr>
      </w:r>
      <w:r w:rsidR="0054549A">
        <w:rPr>
          <w:rFonts w:cs="Arial"/>
          <w:szCs w:val="20"/>
        </w:rPr>
        <w:fldChar w:fldCharType="separate"/>
      </w:r>
      <w:r w:rsidR="006254D6">
        <w:t xml:space="preserve">Use in </w:t>
      </w:r>
      <w:r w:rsidR="006254D6" w:rsidRPr="00D852EC">
        <w:t>Renal Impairment</w:t>
      </w:r>
      <w:r w:rsidR="0054549A">
        <w:rPr>
          <w:rFonts w:cs="Arial"/>
          <w:szCs w:val="20"/>
        </w:rPr>
        <w:fldChar w:fldCharType="end"/>
      </w:r>
      <w:r w:rsidRPr="00D852EC">
        <w:rPr>
          <w:rFonts w:cs="Arial"/>
          <w:szCs w:val="20"/>
        </w:rPr>
        <w:t xml:space="preserve"> and </w:t>
      </w:r>
      <w:r w:rsidR="0054549A">
        <w:rPr>
          <w:rFonts w:cs="Arial"/>
          <w:szCs w:val="20"/>
        </w:rPr>
        <w:fldChar w:fldCharType="begin"/>
      </w:r>
      <w:r w:rsidR="0054549A">
        <w:rPr>
          <w:rFonts w:cs="Arial"/>
          <w:szCs w:val="20"/>
        </w:rPr>
        <w:instrText xml:space="preserve"> REF _Ref5877697 \h </w:instrText>
      </w:r>
      <w:r w:rsidR="0054549A">
        <w:rPr>
          <w:rFonts w:cs="Arial"/>
          <w:szCs w:val="20"/>
        </w:rPr>
      </w:r>
      <w:r w:rsidR="0054549A">
        <w:rPr>
          <w:rFonts w:cs="Arial"/>
          <w:szCs w:val="20"/>
        </w:rPr>
        <w:fldChar w:fldCharType="separate"/>
      </w:r>
      <w:r w:rsidR="006254D6">
        <w:t xml:space="preserve">Use in the </w:t>
      </w:r>
      <w:r w:rsidR="006254D6" w:rsidRPr="00D852EC">
        <w:t>Elderly</w:t>
      </w:r>
      <w:r w:rsidR="0054549A">
        <w:rPr>
          <w:rFonts w:cs="Arial"/>
          <w:szCs w:val="20"/>
        </w:rPr>
        <w:fldChar w:fldCharType="end"/>
      </w:r>
      <w:r w:rsidRPr="00D852EC">
        <w:rPr>
          <w:rFonts w:cs="Arial"/>
          <w:szCs w:val="20"/>
        </w:rPr>
        <w:t>.</w:t>
      </w:r>
    </w:p>
    <w:p w14:paraId="2C2A6CC7" w14:textId="632119F6" w:rsidR="006E4FF7" w:rsidRPr="00D852EC" w:rsidRDefault="00440F47" w:rsidP="000A1317">
      <w:pPr>
        <w:rPr>
          <w:rFonts w:cs="Arial"/>
          <w:szCs w:val="20"/>
        </w:rPr>
      </w:pPr>
      <w:r>
        <w:rPr>
          <w:rFonts w:cs="Arial"/>
          <w:szCs w:val="20"/>
        </w:rPr>
        <w:t>When administered in conjunction with thrombolytic (fibrin-</w:t>
      </w:r>
      <w:r w:rsidRPr="00440F47">
        <w:rPr>
          <w:rFonts w:cs="Arial"/>
          <w:szCs w:val="20"/>
        </w:rPr>
        <w:t>specific or non-fibrin specific),</w:t>
      </w:r>
      <w:r>
        <w:rPr>
          <w:rFonts w:cs="Arial"/>
          <w:szCs w:val="20"/>
        </w:rPr>
        <w:t xml:space="preserve"> </w:t>
      </w:r>
      <w:r w:rsidR="006E4FF7" w:rsidRPr="00D852EC">
        <w:rPr>
          <w:rFonts w:cs="Arial"/>
          <w:szCs w:val="20"/>
        </w:rPr>
        <w:t xml:space="preserve">Enoxaparin should be given between 15 minutes before and 30 minutes after the start of fibrinolytic therapy. All patients should receive aspirin as soon as they </w:t>
      </w:r>
      <w:proofErr w:type="gramStart"/>
      <w:r w:rsidR="006E4FF7" w:rsidRPr="00D852EC">
        <w:rPr>
          <w:rFonts w:cs="Arial"/>
          <w:szCs w:val="20"/>
        </w:rPr>
        <w:t>are identified</w:t>
      </w:r>
      <w:proofErr w:type="gramEnd"/>
      <w:r w:rsidR="006E4FF7" w:rsidRPr="00D852EC">
        <w:rPr>
          <w:rFonts w:cs="Arial"/>
          <w:szCs w:val="20"/>
        </w:rPr>
        <w:t xml:space="preserve"> as having STEMI (unless contraindicated). </w:t>
      </w:r>
      <w:proofErr w:type="gramStart"/>
      <w:r w:rsidR="006E4FF7" w:rsidRPr="00D852EC">
        <w:rPr>
          <w:rFonts w:cs="Arial"/>
          <w:szCs w:val="20"/>
        </w:rPr>
        <w:t>The recommended duration of Enoxaparin treatment is 8 days or until hospital discharge, whichever comes first.</w:t>
      </w:r>
      <w:proofErr w:type="gramEnd"/>
    </w:p>
    <w:p w14:paraId="5D8D86EB" w14:textId="68BDD4AE" w:rsidR="006E4FF7" w:rsidRPr="00D852EC" w:rsidRDefault="006E4FF7" w:rsidP="000A1317">
      <w:pPr>
        <w:rPr>
          <w:rFonts w:cs="Arial"/>
          <w:szCs w:val="20"/>
        </w:rPr>
      </w:pPr>
      <w:r w:rsidRPr="00D852EC">
        <w:rPr>
          <w:rFonts w:cs="Arial"/>
          <w:szCs w:val="20"/>
        </w:rPr>
        <w:t xml:space="preserve">For patients further managed with Percutaneous Coronary Intervention (PCI): If the last Enoxaparin SC administration </w:t>
      </w:r>
      <w:proofErr w:type="gramStart"/>
      <w:r w:rsidRPr="00D852EC">
        <w:rPr>
          <w:rFonts w:cs="Arial"/>
          <w:szCs w:val="20"/>
        </w:rPr>
        <w:t>was given</w:t>
      </w:r>
      <w:proofErr w:type="gramEnd"/>
      <w:r w:rsidRPr="00D852EC">
        <w:rPr>
          <w:rFonts w:cs="Arial"/>
          <w:szCs w:val="20"/>
        </w:rPr>
        <w:t xml:space="preserve"> less than 8 hours before balloon inflation, no additional dosing is needed. If the last Enoxaparin SC administration was given more than 8 hours before balloon inflation, an IV bolus of 0.3 mg/kg of Enoxaparin should be administered (see </w:t>
      </w:r>
      <w:r w:rsidR="00440F47">
        <w:rPr>
          <w:rFonts w:cs="Arial"/>
          <w:szCs w:val="20"/>
        </w:rPr>
        <w:t xml:space="preserve">Section </w:t>
      </w:r>
      <w:r w:rsidR="0054549A">
        <w:rPr>
          <w:rFonts w:cs="Arial"/>
          <w:szCs w:val="20"/>
        </w:rPr>
        <w:fldChar w:fldCharType="begin"/>
      </w:r>
      <w:r w:rsidR="0054549A">
        <w:rPr>
          <w:rFonts w:cs="Arial"/>
          <w:szCs w:val="20"/>
        </w:rPr>
        <w:instrText xml:space="preserve"> REF _Ref878862 \r \h </w:instrText>
      </w:r>
      <w:r w:rsidR="0054549A">
        <w:rPr>
          <w:rFonts w:cs="Arial"/>
          <w:szCs w:val="20"/>
        </w:rPr>
      </w:r>
      <w:r w:rsidR="0054549A">
        <w:rPr>
          <w:rFonts w:cs="Arial"/>
          <w:szCs w:val="20"/>
        </w:rPr>
        <w:fldChar w:fldCharType="separate"/>
      </w:r>
      <w:r w:rsidR="006254D6">
        <w:rPr>
          <w:rFonts w:cs="Arial"/>
          <w:szCs w:val="20"/>
        </w:rPr>
        <w:t>4.4</w:t>
      </w:r>
      <w:r w:rsidR="0054549A">
        <w:rPr>
          <w:rFonts w:cs="Arial"/>
          <w:szCs w:val="20"/>
        </w:rPr>
        <w:fldChar w:fldCharType="end"/>
      </w:r>
      <w:r w:rsidR="00440F47">
        <w:rPr>
          <w:rFonts w:cs="Arial"/>
          <w:szCs w:val="20"/>
        </w:rPr>
        <w:t xml:space="preserve"> – </w:t>
      </w:r>
      <w:r w:rsidR="0054549A">
        <w:rPr>
          <w:rFonts w:cs="Arial"/>
          <w:szCs w:val="20"/>
        </w:rPr>
        <w:fldChar w:fldCharType="begin"/>
      </w:r>
      <w:r w:rsidR="0054549A">
        <w:rPr>
          <w:rFonts w:cs="Arial"/>
          <w:szCs w:val="20"/>
        </w:rPr>
        <w:instrText xml:space="preserve"> REF _Ref878862 \h </w:instrText>
      </w:r>
      <w:r w:rsidR="0054549A">
        <w:rPr>
          <w:rFonts w:cs="Arial"/>
          <w:szCs w:val="20"/>
        </w:rPr>
      </w:r>
      <w:r w:rsidR="0054549A">
        <w:rPr>
          <w:rFonts w:cs="Arial"/>
          <w:szCs w:val="20"/>
        </w:rPr>
        <w:fldChar w:fldCharType="separate"/>
      </w:r>
      <w:r w:rsidR="006254D6" w:rsidRPr="00571478">
        <w:t>Special Warnings and Precautions for Use</w:t>
      </w:r>
      <w:r w:rsidR="0054549A">
        <w:rPr>
          <w:rFonts w:cs="Arial"/>
          <w:szCs w:val="20"/>
        </w:rPr>
        <w:fldChar w:fldCharType="end"/>
      </w:r>
      <w:r w:rsidR="00440F47">
        <w:rPr>
          <w:rFonts w:cs="Arial"/>
          <w:szCs w:val="20"/>
        </w:rPr>
        <w:t xml:space="preserve">: </w:t>
      </w:r>
      <w:r w:rsidR="0054549A">
        <w:rPr>
          <w:rFonts w:cs="Arial"/>
          <w:szCs w:val="20"/>
        </w:rPr>
        <w:fldChar w:fldCharType="begin"/>
      </w:r>
      <w:r w:rsidR="0054549A">
        <w:rPr>
          <w:rFonts w:cs="Arial"/>
          <w:szCs w:val="20"/>
        </w:rPr>
        <w:instrText xml:space="preserve"> REF _Ref5877755 \h </w:instrText>
      </w:r>
      <w:r w:rsidR="0054549A">
        <w:rPr>
          <w:rFonts w:cs="Arial"/>
          <w:szCs w:val="20"/>
        </w:rPr>
      </w:r>
      <w:r w:rsidR="0054549A">
        <w:rPr>
          <w:rFonts w:cs="Arial"/>
          <w:szCs w:val="20"/>
        </w:rPr>
        <w:fldChar w:fldCharType="separate"/>
      </w:r>
      <w:r w:rsidR="006254D6" w:rsidRPr="00101B36">
        <w:t>Percutaneous Coronary Revascularisation Procedures</w:t>
      </w:r>
      <w:r w:rsidR="0054549A">
        <w:rPr>
          <w:rFonts w:cs="Arial"/>
          <w:szCs w:val="20"/>
        </w:rPr>
        <w:fldChar w:fldCharType="end"/>
      </w:r>
      <w:r w:rsidRPr="00D852EC">
        <w:rPr>
          <w:rFonts w:cs="Arial"/>
          <w:szCs w:val="20"/>
        </w:rPr>
        <w:t>).</w:t>
      </w:r>
    </w:p>
    <w:p w14:paraId="07B01135" w14:textId="77777777" w:rsidR="006E4FF7" w:rsidRPr="00D852EC" w:rsidRDefault="006E4FF7" w:rsidP="000A1317">
      <w:pPr>
        <w:pStyle w:val="Heading3"/>
      </w:pPr>
      <w:r w:rsidRPr="00D852EC">
        <w:t>Haemodialysis</w:t>
      </w:r>
    </w:p>
    <w:p w14:paraId="0890D46E" w14:textId="77777777" w:rsidR="006E4FF7" w:rsidRPr="00D852EC" w:rsidRDefault="006E4FF7" w:rsidP="000A1317">
      <w:pPr>
        <w:rPr>
          <w:rFonts w:cs="Arial"/>
          <w:szCs w:val="20"/>
        </w:rPr>
      </w:pPr>
      <w:r w:rsidRPr="00D852EC">
        <w:rPr>
          <w:rFonts w:cs="Arial"/>
          <w:szCs w:val="20"/>
        </w:rPr>
        <w:t xml:space="preserve">In patients undergoing repeated sessions of haemodialysis, the prevention of thrombosis in the extracorporeal blood circuit </w:t>
      </w:r>
      <w:proofErr w:type="gramStart"/>
      <w:r w:rsidRPr="00D852EC">
        <w:rPr>
          <w:rFonts w:cs="Arial"/>
          <w:szCs w:val="20"/>
        </w:rPr>
        <w:t>is obtained</w:t>
      </w:r>
      <w:proofErr w:type="gramEnd"/>
      <w:r w:rsidRPr="00D852EC">
        <w:rPr>
          <w:rFonts w:cs="Arial"/>
          <w:szCs w:val="20"/>
        </w:rPr>
        <w:t xml:space="preserve"> by injection of a dose of 1 mg/kg (100 IU anti-</w:t>
      </w:r>
      <w:proofErr w:type="spellStart"/>
      <w:r w:rsidRPr="00D852EC">
        <w:rPr>
          <w:rFonts w:cs="Arial"/>
          <w:szCs w:val="20"/>
        </w:rPr>
        <w:t>Xa</w:t>
      </w:r>
      <w:proofErr w:type="spellEnd"/>
      <w:r w:rsidRPr="00D852EC">
        <w:rPr>
          <w:rFonts w:cs="Arial"/>
          <w:szCs w:val="20"/>
        </w:rPr>
        <w:t xml:space="preserve"> activity/kg) into the arterial line of the dialysis circuit at the start of the session. This dose is usually sufficient for a 4-hour haemodialysis session. If fibrin rings </w:t>
      </w:r>
      <w:proofErr w:type="gramStart"/>
      <w:r w:rsidRPr="00D852EC">
        <w:rPr>
          <w:rFonts w:cs="Arial"/>
          <w:szCs w:val="20"/>
        </w:rPr>
        <w:t>are formed</w:t>
      </w:r>
      <w:proofErr w:type="gramEnd"/>
      <w:r w:rsidRPr="00D852EC">
        <w:rPr>
          <w:rFonts w:cs="Arial"/>
          <w:szCs w:val="20"/>
        </w:rPr>
        <w:t>, a fresh injection of 0.5 to 1 mg/kg (50 to 100 IU anti-</w:t>
      </w:r>
      <w:proofErr w:type="spellStart"/>
      <w:r w:rsidRPr="00D852EC">
        <w:rPr>
          <w:rFonts w:cs="Arial"/>
          <w:szCs w:val="20"/>
        </w:rPr>
        <w:t>Xa</w:t>
      </w:r>
      <w:proofErr w:type="spellEnd"/>
      <w:r w:rsidRPr="00D852EC">
        <w:rPr>
          <w:rFonts w:cs="Arial"/>
          <w:szCs w:val="20"/>
        </w:rPr>
        <w:t xml:space="preserve"> activity/kg) should be made depending on the time before the end of the dialysis.</w:t>
      </w:r>
    </w:p>
    <w:p w14:paraId="1DCC2BC4" w14:textId="77777777" w:rsidR="006E4FF7" w:rsidRPr="00D852EC" w:rsidRDefault="006E4FF7" w:rsidP="000A1317">
      <w:pPr>
        <w:rPr>
          <w:rFonts w:cs="Arial"/>
          <w:szCs w:val="20"/>
        </w:rPr>
      </w:pPr>
      <w:r w:rsidRPr="00D852EC">
        <w:rPr>
          <w:rFonts w:cs="Arial"/>
          <w:szCs w:val="20"/>
        </w:rPr>
        <w:t xml:space="preserve">In </w:t>
      </w:r>
      <w:proofErr w:type="spellStart"/>
      <w:r w:rsidRPr="00D852EC">
        <w:rPr>
          <w:rFonts w:cs="Arial"/>
          <w:szCs w:val="20"/>
        </w:rPr>
        <w:t>haemodialysed</w:t>
      </w:r>
      <w:proofErr w:type="spellEnd"/>
      <w:r w:rsidRPr="00D852EC">
        <w:rPr>
          <w:rFonts w:cs="Arial"/>
          <w:szCs w:val="20"/>
        </w:rPr>
        <w:t xml:space="preserve"> patients with a high risk of haemorrhage, (in particular, in pre or post-operative dialysed patients) or with a progressive haemorrhagic disorder, the dialysis sessions may be carried out by using a dose of 0.5 mg/kg (50 IU anti-</w:t>
      </w:r>
      <w:proofErr w:type="spellStart"/>
      <w:r w:rsidRPr="00D852EC">
        <w:rPr>
          <w:rFonts w:cs="Arial"/>
          <w:szCs w:val="20"/>
        </w:rPr>
        <w:t>Xa</w:t>
      </w:r>
      <w:proofErr w:type="spellEnd"/>
      <w:r w:rsidRPr="00D852EC">
        <w:rPr>
          <w:rFonts w:cs="Arial"/>
          <w:szCs w:val="20"/>
        </w:rPr>
        <w:t xml:space="preserve"> activity/kg) (double vascular access) or 0.75 mg/kg (75 IU anti-</w:t>
      </w:r>
      <w:proofErr w:type="spellStart"/>
      <w:r w:rsidRPr="00D852EC">
        <w:rPr>
          <w:rFonts w:cs="Arial"/>
          <w:szCs w:val="20"/>
        </w:rPr>
        <w:t>Xa</w:t>
      </w:r>
      <w:proofErr w:type="spellEnd"/>
      <w:r w:rsidRPr="00D852EC">
        <w:rPr>
          <w:rFonts w:cs="Arial"/>
          <w:szCs w:val="20"/>
        </w:rPr>
        <w:t xml:space="preserve"> activity/kg) (single vascular access).</w:t>
      </w:r>
    </w:p>
    <w:p w14:paraId="0AF95ACE" w14:textId="77777777" w:rsidR="005537A9" w:rsidRPr="00D852EC" w:rsidRDefault="005537A9" w:rsidP="005537A9">
      <w:pPr>
        <w:pStyle w:val="Heading3"/>
      </w:pPr>
      <w:bookmarkStart w:id="2" w:name="_Ref878806"/>
      <w:r>
        <w:t xml:space="preserve">Use in </w:t>
      </w:r>
      <w:r w:rsidRPr="00D852EC">
        <w:t>Hepatic Impairment</w:t>
      </w:r>
    </w:p>
    <w:p w14:paraId="1B1D49EF" w14:textId="77777777" w:rsidR="005537A9" w:rsidRPr="00D852EC" w:rsidRDefault="005537A9" w:rsidP="005537A9">
      <w:pPr>
        <w:rPr>
          <w:rFonts w:cs="Arial"/>
          <w:szCs w:val="20"/>
        </w:rPr>
      </w:pPr>
      <w:r w:rsidRPr="00D852EC">
        <w:rPr>
          <w:rFonts w:cs="Arial"/>
          <w:szCs w:val="20"/>
        </w:rPr>
        <w:t xml:space="preserve">In the absence of clinical studies, caution </w:t>
      </w:r>
      <w:proofErr w:type="gramStart"/>
      <w:r w:rsidRPr="00D852EC">
        <w:rPr>
          <w:rFonts w:cs="Arial"/>
          <w:szCs w:val="20"/>
        </w:rPr>
        <w:t>should be used</w:t>
      </w:r>
      <w:proofErr w:type="gramEnd"/>
      <w:r w:rsidRPr="00D852EC">
        <w:rPr>
          <w:rFonts w:cs="Arial"/>
          <w:szCs w:val="20"/>
        </w:rPr>
        <w:t xml:space="preserve"> in </w:t>
      </w:r>
      <w:proofErr w:type="spellStart"/>
      <w:r w:rsidRPr="00D852EC">
        <w:rPr>
          <w:rFonts w:cs="Arial"/>
          <w:szCs w:val="20"/>
        </w:rPr>
        <w:t>hepatically</w:t>
      </w:r>
      <w:proofErr w:type="spellEnd"/>
      <w:r w:rsidRPr="00D852EC">
        <w:rPr>
          <w:rFonts w:cs="Arial"/>
          <w:szCs w:val="20"/>
        </w:rPr>
        <w:t xml:space="preserve"> impaired patients. </w:t>
      </w:r>
    </w:p>
    <w:p w14:paraId="6E700EA6" w14:textId="3794AE8F" w:rsidR="006E4FF7" w:rsidRPr="00D852EC" w:rsidRDefault="00E027A7" w:rsidP="000A1317">
      <w:pPr>
        <w:pStyle w:val="Heading3"/>
      </w:pPr>
      <w:bookmarkStart w:id="3" w:name="_Ref5877688"/>
      <w:r>
        <w:t xml:space="preserve">Use in </w:t>
      </w:r>
      <w:r w:rsidR="006E4FF7" w:rsidRPr="00D852EC">
        <w:t>Renal Impairment</w:t>
      </w:r>
      <w:bookmarkEnd w:id="2"/>
      <w:bookmarkEnd w:id="3"/>
    </w:p>
    <w:p w14:paraId="5BEEDBC2" w14:textId="77777777" w:rsidR="006E4FF7" w:rsidRPr="00D852EC" w:rsidRDefault="006E4FF7" w:rsidP="000A1317">
      <w:pPr>
        <w:rPr>
          <w:rFonts w:cs="Arial"/>
          <w:szCs w:val="20"/>
        </w:rPr>
      </w:pPr>
      <w:r w:rsidRPr="00D852EC">
        <w:rPr>
          <w:rFonts w:cs="Arial"/>
          <w:szCs w:val="20"/>
        </w:rPr>
        <w:t>A dosage adjustment is required for patients with severe renal impairment (creatinine clearance &lt;30 mL/min) according to the following tables.</w:t>
      </w:r>
    </w:p>
    <w:p w14:paraId="1D4427B9" w14:textId="77777777" w:rsidR="006E4FF7" w:rsidRDefault="006E4FF7" w:rsidP="0042177F">
      <w:pPr>
        <w:rPr>
          <w:rFonts w:cs="Arial"/>
          <w:szCs w:val="20"/>
        </w:rPr>
      </w:pPr>
      <w:r w:rsidRPr="00D852EC">
        <w:rPr>
          <w:rFonts w:cs="Arial"/>
          <w:szCs w:val="20"/>
        </w:rPr>
        <w:t xml:space="preserve">The following dosage adjustments </w:t>
      </w:r>
      <w:proofErr w:type="gramStart"/>
      <w:r w:rsidRPr="00D852EC">
        <w:rPr>
          <w:rFonts w:cs="Arial"/>
          <w:szCs w:val="20"/>
        </w:rPr>
        <w:t>are recommended</w:t>
      </w:r>
      <w:proofErr w:type="gramEnd"/>
      <w:r w:rsidRPr="00D852EC">
        <w:rPr>
          <w:rFonts w:cs="Arial"/>
          <w:szCs w:val="20"/>
        </w:rPr>
        <w:t xml:space="preserve"> for the prophylactic dosage ranges.</w:t>
      </w:r>
    </w:p>
    <w:p w14:paraId="069F47B4" w14:textId="28E5E260" w:rsidR="00163B88" w:rsidRPr="00A751F3" w:rsidRDefault="00163B88" w:rsidP="007A7AE2">
      <w:pPr>
        <w:jc w:val="center"/>
        <w:rPr>
          <w:rFonts w:cs="Arial"/>
          <w:b/>
          <w:szCs w:val="20"/>
        </w:rPr>
      </w:pPr>
      <w:r w:rsidRPr="00A751F3">
        <w:rPr>
          <w:rFonts w:cs="Arial"/>
          <w:b/>
          <w:szCs w:val="20"/>
          <w:u w:val="single"/>
        </w:rPr>
        <w:t>Table 1</w:t>
      </w:r>
      <w:r w:rsidRPr="00A751F3">
        <w:rPr>
          <w:rFonts w:cs="Arial"/>
          <w:b/>
          <w:szCs w:val="20"/>
        </w:rPr>
        <w:t>:</w:t>
      </w:r>
      <w:r w:rsidR="005A0124" w:rsidRPr="00A751F3">
        <w:rPr>
          <w:rFonts w:cs="Arial"/>
          <w:b/>
          <w:szCs w:val="20"/>
        </w:rPr>
        <w:t xml:space="preserve"> Dosage Adjustment for Prophylactic Dosage Ranges</w:t>
      </w:r>
    </w:p>
    <w:tbl>
      <w:tblPr>
        <w:tblW w:w="0" w:type="auto"/>
        <w:tblInd w:w="267" w:type="dxa"/>
        <w:tblLayout w:type="fixed"/>
        <w:tblCellMar>
          <w:left w:w="0" w:type="dxa"/>
          <w:right w:w="0" w:type="dxa"/>
        </w:tblCellMar>
        <w:tblLook w:val="0000" w:firstRow="0" w:lastRow="0" w:firstColumn="0" w:lastColumn="0" w:noHBand="0" w:noVBand="0"/>
      </w:tblPr>
      <w:tblGrid>
        <w:gridCol w:w="4680"/>
        <w:gridCol w:w="4546"/>
      </w:tblGrid>
      <w:tr w:rsidR="006E4FF7" w:rsidRPr="005D430D" w14:paraId="782CD846" w14:textId="77777777" w:rsidTr="009F5270">
        <w:trPr>
          <w:trHeight w:hRule="exact" w:val="389"/>
        </w:trPr>
        <w:tc>
          <w:tcPr>
            <w:tcW w:w="4680" w:type="dxa"/>
            <w:tcBorders>
              <w:top w:val="single" w:sz="5" w:space="0" w:color="auto"/>
              <w:left w:val="single" w:sz="5" w:space="0" w:color="auto"/>
              <w:bottom w:val="single" w:sz="5" w:space="0" w:color="auto"/>
              <w:right w:val="single" w:sz="5" w:space="0" w:color="auto"/>
            </w:tcBorders>
            <w:vAlign w:val="center"/>
          </w:tcPr>
          <w:p w14:paraId="5AB497AE" w14:textId="77777777" w:rsidR="006E4FF7" w:rsidRPr="00163B88" w:rsidRDefault="006E4FF7" w:rsidP="000A1317">
            <w:pPr>
              <w:spacing w:before="0" w:after="0"/>
              <w:ind w:left="57" w:right="57"/>
              <w:rPr>
                <w:rFonts w:cs="Arial"/>
                <w:b/>
                <w:szCs w:val="20"/>
              </w:rPr>
            </w:pPr>
            <w:r w:rsidRPr="00163B88">
              <w:rPr>
                <w:rFonts w:cs="Arial"/>
                <w:b/>
                <w:szCs w:val="20"/>
              </w:rPr>
              <w:t>Normal Dosing</w:t>
            </w:r>
          </w:p>
        </w:tc>
        <w:tc>
          <w:tcPr>
            <w:tcW w:w="4546" w:type="dxa"/>
            <w:tcBorders>
              <w:top w:val="single" w:sz="5" w:space="0" w:color="auto"/>
              <w:left w:val="single" w:sz="5" w:space="0" w:color="auto"/>
              <w:bottom w:val="single" w:sz="5" w:space="0" w:color="auto"/>
              <w:right w:val="single" w:sz="5" w:space="0" w:color="auto"/>
            </w:tcBorders>
            <w:vAlign w:val="center"/>
          </w:tcPr>
          <w:p w14:paraId="5D2BE63F" w14:textId="1D1FCCBD" w:rsidR="006E4FF7" w:rsidRPr="00163B88" w:rsidRDefault="006E4FF7" w:rsidP="000A1317">
            <w:pPr>
              <w:spacing w:before="0" w:after="0"/>
              <w:ind w:left="57" w:right="57"/>
              <w:rPr>
                <w:rFonts w:cs="Arial"/>
                <w:b/>
                <w:szCs w:val="20"/>
              </w:rPr>
            </w:pPr>
            <w:r w:rsidRPr="00163B88">
              <w:rPr>
                <w:rFonts w:cs="Arial"/>
                <w:b/>
                <w:szCs w:val="20"/>
              </w:rPr>
              <w:t xml:space="preserve">Severe </w:t>
            </w:r>
            <w:r w:rsidR="00163B88" w:rsidRPr="00163B88">
              <w:rPr>
                <w:rFonts w:cs="Arial"/>
                <w:b/>
                <w:szCs w:val="20"/>
              </w:rPr>
              <w:t>Renal Impairment</w:t>
            </w:r>
          </w:p>
        </w:tc>
      </w:tr>
      <w:tr w:rsidR="006E4FF7" w:rsidRPr="005D430D" w14:paraId="7DE2E616" w14:textId="77777777" w:rsidTr="009F5270">
        <w:trPr>
          <w:trHeight w:hRule="exact" w:val="384"/>
        </w:trPr>
        <w:tc>
          <w:tcPr>
            <w:tcW w:w="4680" w:type="dxa"/>
            <w:tcBorders>
              <w:top w:val="single" w:sz="5" w:space="0" w:color="auto"/>
              <w:left w:val="single" w:sz="5" w:space="0" w:color="auto"/>
              <w:bottom w:val="single" w:sz="5" w:space="0" w:color="auto"/>
              <w:right w:val="single" w:sz="5" w:space="0" w:color="auto"/>
            </w:tcBorders>
            <w:vAlign w:val="center"/>
          </w:tcPr>
          <w:p w14:paraId="6B71EA04" w14:textId="77777777" w:rsidR="006E4FF7" w:rsidRPr="005D430D" w:rsidRDefault="006E4FF7" w:rsidP="000A1317">
            <w:pPr>
              <w:spacing w:before="0" w:after="0"/>
              <w:ind w:left="57" w:right="57"/>
              <w:rPr>
                <w:rFonts w:cs="Arial"/>
                <w:szCs w:val="20"/>
              </w:rPr>
            </w:pPr>
            <w:r w:rsidRPr="005D430D">
              <w:rPr>
                <w:rFonts w:cs="Arial"/>
                <w:szCs w:val="20"/>
              </w:rPr>
              <w:t>40 mg SC once daily</w:t>
            </w:r>
          </w:p>
        </w:tc>
        <w:tc>
          <w:tcPr>
            <w:tcW w:w="4546" w:type="dxa"/>
            <w:tcBorders>
              <w:top w:val="single" w:sz="5" w:space="0" w:color="auto"/>
              <w:left w:val="single" w:sz="5" w:space="0" w:color="auto"/>
              <w:bottom w:val="single" w:sz="5" w:space="0" w:color="auto"/>
              <w:right w:val="single" w:sz="5" w:space="0" w:color="auto"/>
            </w:tcBorders>
            <w:vAlign w:val="center"/>
          </w:tcPr>
          <w:p w14:paraId="0C2B8D93" w14:textId="77777777" w:rsidR="006E4FF7" w:rsidRPr="005D430D" w:rsidRDefault="006E4FF7" w:rsidP="000A1317">
            <w:pPr>
              <w:spacing w:before="0" w:after="0"/>
              <w:ind w:left="57" w:right="57"/>
              <w:rPr>
                <w:rFonts w:cs="Arial"/>
                <w:szCs w:val="20"/>
              </w:rPr>
            </w:pPr>
            <w:r w:rsidRPr="005D430D">
              <w:rPr>
                <w:rFonts w:cs="Arial"/>
                <w:szCs w:val="20"/>
              </w:rPr>
              <w:t>20 mg SC once daily</w:t>
            </w:r>
          </w:p>
        </w:tc>
      </w:tr>
      <w:tr w:rsidR="006E4FF7" w:rsidRPr="005D430D" w14:paraId="49C2E16D" w14:textId="77777777" w:rsidTr="009F5270">
        <w:trPr>
          <w:trHeight w:hRule="exact" w:val="383"/>
        </w:trPr>
        <w:tc>
          <w:tcPr>
            <w:tcW w:w="4680" w:type="dxa"/>
            <w:tcBorders>
              <w:top w:val="single" w:sz="5" w:space="0" w:color="auto"/>
              <w:left w:val="single" w:sz="5" w:space="0" w:color="auto"/>
              <w:bottom w:val="single" w:sz="5" w:space="0" w:color="auto"/>
              <w:right w:val="single" w:sz="5" w:space="0" w:color="auto"/>
            </w:tcBorders>
            <w:vAlign w:val="center"/>
          </w:tcPr>
          <w:p w14:paraId="04A1E836" w14:textId="77777777" w:rsidR="006E4FF7" w:rsidRPr="005D430D" w:rsidRDefault="006E4FF7" w:rsidP="000A1317">
            <w:pPr>
              <w:spacing w:before="0" w:after="0"/>
              <w:ind w:left="57" w:right="57"/>
              <w:rPr>
                <w:rFonts w:cs="Arial"/>
                <w:szCs w:val="20"/>
              </w:rPr>
            </w:pPr>
            <w:r w:rsidRPr="005D430D">
              <w:rPr>
                <w:rFonts w:cs="Arial"/>
                <w:szCs w:val="20"/>
              </w:rPr>
              <w:t>20 mg SC once daily</w:t>
            </w:r>
          </w:p>
        </w:tc>
        <w:tc>
          <w:tcPr>
            <w:tcW w:w="4546" w:type="dxa"/>
            <w:tcBorders>
              <w:top w:val="single" w:sz="5" w:space="0" w:color="auto"/>
              <w:left w:val="single" w:sz="5" w:space="0" w:color="auto"/>
              <w:bottom w:val="single" w:sz="5" w:space="0" w:color="auto"/>
              <w:right w:val="single" w:sz="5" w:space="0" w:color="auto"/>
            </w:tcBorders>
            <w:vAlign w:val="center"/>
          </w:tcPr>
          <w:p w14:paraId="525609CD" w14:textId="77777777" w:rsidR="006E4FF7" w:rsidRPr="005D430D" w:rsidRDefault="006E4FF7" w:rsidP="000A1317">
            <w:pPr>
              <w:spacing w:before="0" w:after="0"/>
              <w:ind w:left="57" w:right="57"/>
              <w:rPr>
                <w:rFonts w:cs="Arial"/>
                <w:szCs w:val="20"/>
              </w:rPr>
            </w:pPr>
            <w:r w:rsidRPr="005D430D">
              <w:rPr>
                <w:rFonts w:cs="Arial"/>
                <w:szCs w:val="20"/>
              </w:rPr>
              <w:t>20 mg SC once daily</w:t>
            </w:r>
          </w:p>
        </w:tc>
      </w:tr>
    </w:tbl>
    <w:p w14:paraId="544EF846" w14:textId="77777777" w:rsidR="006E4FF7" w:rsidRPr="00D852EC" w:rsidRDefault="006E4FF7" w:rsidP="00163B88">
      <w:pPr>
        <w:spacing w:before="0" w:after="0"/>
        <w:rPr>
          <w:rFonts w:cs="Arial"/>
          <w:szCs w:val="20"/>
        </w:rPr>
      </w:pPr>
    </w:p>
    <w:p w14:paraId="749781EC" w14:textId="77777777" w:rsidR="006E4FF7" w:rsidRDefault="006E4FF7" w:rsidP="0042177F">
      <w:pPr>
        <w:rPr>
          <w:rFonts w:cs="Arial"/>
          <w:szCs w:val="20"/>
        </w:rPr>
      </w:pPr>
      <w:r w:rsidRPr="00D852EC">
        <w:rPr>
          <w:rFonts w:cs="Arial"/>
          <w:szCs w:val="20"/>
        </w:rPr>
        <w:t xml:space="preserve">The following dosage adjustments </w:t>
      </w:r>
      <w:proofErr w:type="gramStart"/>
      <w:r w:rsidRPr="00D852EC">
        <w:rPr>
          <w:rFonts w:cs="Arial"/>
          <w:szCs w:val="20"/>
        </w:rPr>
        <w:t>are recommended</w:t>
      </w:r>
      <w:proofErr w:type="gramEnd"/>
      <w:r w:rsidRPr="00D852EC">
        <w:rPr>
          <w:rFonts w:cs="Arial"/>
          <w:szCs w:val="20"/>
        </w:rPr>
        <w:t xml:space="preserve"> for the treatment dosage ranges.</w:t>
      </w:r>
    </w:p>
    <w:p w14:paraId="454F4B52" w14:textId="1AED9E7D" w:rsidR="00163B88" w:rsidRPr="00A751F3" w:rsidRDefault="00163B88" w:rsidP="006A4C77">
      <w:pPr>
        <w:keepNext/>
        <w:keepLines/>
        <w:jc w:val="center"/>
        <w:rPr>
          <w:rFonts w:cs="Arial"/>
          <w:b/>
          <w:szCs w:val="20"/>
        </w:rPr>
      </w:pPr>
      <w:r w:rsidRPr="00A751F3">
        <w:rPr>
          <w:rFonts w:cs="Arial"/>
          <w:b/>
          <w:szCs w:val="20"/>
          <w:u w:val="single"/>
        </w:rPr>
        <w:lastRenderedPageBreak/>
        <w:t>Table 2</w:t>
      </w:r>
      <w:r w:rsidRPr="00A751F3">
        <w:rPr>
          <w:rFonts w:cs="Arial"/>
          <w:b/>
          <w:szCs w:val="20"/>
        </w:rPr>
        <w:t>:</w:t>
      </w:r>
      <w:r w:rsidR="005A0124" w:rsidRPr="00A751F3">
        <w:rPr>
          <w:rFonts w:cs="Arial"/>
          <w:b/>
          <w:szCs w:val="20"/>
        </w:rPr>
        <w:t xml:space="preserve"> Dosage Adjustments for Treatment Dosage Ranges</w:t>
      </w:r>
    </w:p>
    <w:tbl>
      <w:tblPr>
        <w:tblW w:w="0" w:type="auto"/>
        <w:tblInd w:w="267" w:type="dxa"/>
        <w:tblLayout w:type="fixed"/>
        <w:tblCellMar>
          <w:left w:w="0" w:type="dxa"/>
          <w:right w:w="0" w:type="dxa"/>
        </w:tblCellMar>
        <w:tblLook w:val="0000" w:firstRow="0" w:lastRow="0" w:firstColumn="0" w:lastColumn="0" w:noHBand="0" w:noVBand="0"/>
      </w:tblPr>
      <w:tblGrid>
        <w:gridCol w:w="4680"/>
        <w:gridCol w:w="4546"/>
      </w:tblGrid>
      <w:tr w:rsidR="006E4FF7" w:rsidRPr="00D852EC" w14:paraId="132C3263" w14:textId="77777777" w:rsidTr="009F5270">
        <w:trPr>
          <w:trHeight w:hRule="exact" w:val="389"/>
        </w:trPr>
        <w:tc>
          <w:tcPr>
            <w:tcW w:w="4680" w:type="dxa"/>
            <w:tcBorders>
              <w:top w:val="single" w:sz="5" w:space="0" w:color="auto"/>
              <w:left w:val="single" w:sz="5" w:space="0" w:color="auto"/>
              <w:bottom w:val="single" w:sz="5" w:space="0" w:color="auto"/>
              <w:right w:val="single" w:sz="5" w:space="0" w:color="auto"/>
            </w:tcBorders>
            <w:vAlign w:val="center"/>
          </w:tcPr>
          <w:p w14:paraId="73603B89" w14:textId="77777777" w:rsidR="006E4FF7" w:rsidRPr="00163B88" w:rsidRDefault="006E4FF7" w:rsidP="000A1317">
            <w:pPr>
              <w:spacing w:before="0" w:after="0"/>
              <w:ind w:left="57" w:right="57"/>
              <w:rPr>
                <w:rFonts w:cs="Arial"/>
                <w:b/>
                <w:szCs w:val="20"/>
              </w:rPr>
            </w:pPr>
            <w:r w:rsidRPr="00163B88">
              <w:rPr>
                <w:rFonts w:cs="Arial"/>
                <w:b/>
                <w:szCs w:val="20"/>
              </w:rPr>
              <w:t>Normal Dosing</w:t>
            </w:r>
          </w:p>
        </w:tc>
        <w:tc>
          <w:tcPr>
            <w:tcW w:w="4546" w:type="dxa"/>
            <w:tcBorders>
              <w:top w:val="single" w:sz="5" w:space="0" w:color="auto"/>
              <w:left w:val="single" w:sz="5" w:space="0" w:color="auto"/>
              <w:bottom w:val="single" w:sz="5" w:space="0" w:color="auto"/>
              <w:right w:val="single" w:sz="5" w:space="0" w:color="auto"/>
            </w:tcBorders>
            <w:vAlign w:val="center"/>
          </w:tcPr>
          <w:p w14:paraId="4DD8D9E6" w14:textId="3B6DD69E" w:rsidR="006E4FF7" w:rsidRPr="00163B88" w:rsidRDefault="006E4FF7" w:rsidP="000A1317">
            <w:pPr>
              <w:spacing w:before="0" w:after="0"/>
              <w:ind w:left="57" w:right="57"/>
              <w:rPr>
                <w:rFonts w:cs="Arial"/>
                <w:b/>
                <w:szCs w:val="20"/>
              </w:rPr>
            </w:pPr>
            <w:r w:rsidRPr="00163B88">
              <w:rPr>
                <w:rFonts w:cs="Arial"/>
                <w:b/>
                <w:szCs w:val="20"/>
              </w:rPr>
              <w:t xml:space="preserve">Severe </w:t>
            </w:r>
            <w:r w:rsidR="00163B88" w:rsidRPr="00163B88">
              <w:rPr>
                <w:rFonts w:cs="Arial"/>
                <w:b/>
                <w:szCs w:val="20"/>
              </w:rPr>
              <w:t>Renal Impairment</w:t>
            </w:r>
          </w:p>
        </w:tc>
      </w:tr>
      <w:tr w:rsidR="006E4FF7" w:rsidRPr="00D852EC" w14:paraId="24FA0404" w14:textId="77777777" w:rsidTr="009F5270">
        <w:trPr>
          <w:trHeight w:hRule="exact" w:val="379"/>
        </w:trPr>
        <w:tc>
          <w:tcPr>
            <w:tcW w:w="4680" w:type="dxa"/>
            <w:tcBorders>
              <w:top w:val="single" w:sz="5" w:space="0" w:color="auto"/>
              <w:left w:val="single" w:sz="5" w:space="0" w:color="auto"/>
              <w:bottom w:val="single" w:sz="5" w:space="0" w:color="auto"/>
              <w:right w:val="single" w:sz="5" w:space="0" w:color="auto"/>
            </w:tcBorders>
            <w:vAlign w:val="center"/>
          </w:tcPr>
          <w:p w14:paraId="2195ADAC" w14:textId="77777777" w:rsidR="006E4FF7" w:rsidRPr="00D852EC" w:rsidRDefault="006E4FF7" w:rsidP="000A1317">
            <w:pPr>
              <w:spacing w:before="0" w:after="0"/>
              <w:ind w:left="57" w:right="57"/>
              <w:rPr>
                <w:rFonts w:cs="Arial"/>
                <w:szCs w:val="20"/>
              </w:rPr>
            </w:pPr>
            <w:r w:rsidRPr="00D852EC">
              <w:rPr>
                <w:rFonts w:cs="Arial"/>
                <w:szCs w:val="20"/>
              </w:rPr>
              <w:t>1 mg/kg SC twice daily</w:t>
            </w:r>
          </w:p>
        </w:tc>
        <w:tc>
          <w:tcPr>
            <w:tcW w:w="4546" w:type="dxa"/>
            <w:tcBorders>
              <w:top w:val="single" w:sz="5" w:space="0" w:color="auto"/>
              <w:left w:val="single" w:sz="5" w:space="0" w:color="auto"/>
              <w:bottom w:val="single" w:sz="5" w:space="0" w:color="auto"/>
              <w:right w:val="single" w:sz="5" w:space="0" w:color="auto"/>
            </w:tcBorders>
            <w:vAlign w:val="center"/>
          </w:tcPr>
          <w:p w14:paraId="063471AF" w14:textId="77777777" w:rsidR="006E4FF7" w:rsidRPr="00D852EC" w:rsidRDefault="006E4FF7" w:rsidP="000A1317">
            <w:pPr>
              <w:spacing w:before="0" w:after="0"/>
              <w:ind w:left="57" w:right="57"/>
              <w:rPr>
                <w:rFonts w:cs="Arial"/>
                <w:szCs w:val="20"/>
              </w:rPr>
            </w:pPr>
            <w:r w:rsidRPr="00D852EC">
              <w:rPr>
                <w:rFonts w:cs="Arial"/>
                <w:szCs w:val="20"/>
              </w:rPr>
              <w:t>1 mg/kg SC once daily</w:t>
            </w:r>
          </w:p>
        </w:tc>
      </w:tr>
      <w:tr w:rsidR="006E4FF7" w:rsidRPr="00D852EC" w14:paraId="45C5F0D2" w14:textId="77777777" w:rsidTr="009F5270">
        <w:trPr>
          <w:trHeight w:hRule="exact" w:val="384"/>
        </w:trPr>
        <w:tc>
          <w:tcPr>
            <w:tcW w:w="4680" w:type="dxa"/>
            <w:tcBorders>
              <w:top w:val="single" w:sz="5" w:space="0" w:color="auto"/>
              <w:left w:val="single" w:sz="5" w:space="0" w:color="auto"/>
              <w:bottom w:val="single" w:sz="5" w:space="0" w:color="auto"/>
              <w:right w:val="single" w:sz="5" w:space="0" w:color="auto"/>
            </w:tcBorders>
            <w:vAlign w:val="center"/>
          </w:tcPr>
          <w:p w14:paraId="2678E532" w14:textId="77777777" w:rsidR="006E4FF7" w:rsidRPr="00D852EC" w:rsidRDefault="006E4FF7" w:rsidP="000A1317">
            <w:pPr>
              <w:spacing w:before="0" w:after="0"/>
              <w:ind w:left="57" w:right="57"/>
              <w:rPr>
                <w:rFonts w:cs="Arial"/>
                <w:szCs w:val="20"/>
              </w:rPr>
            </w:pPr>
            <w:r w:rsidRPr="00D852EC">
              <w:rPr>
                <w:rFonts w:cs="Arial"/>
                <w:szCs w:val="20"/>
              </w:rPr>
              <w:t>1.5 mg/kg SC once daily</w:t>
            </w:r>
          </w:p>
        </w:tc>
        <w:tc>
          <w:tcPr>
            <w:tcW w:w="4546" w:type="dxa"/>
            <w:tcBorders>
              <w:top w:val="single" w:sz="5" w:space="0" w:color="auto"/>
              <w:left w:val="single" w:sz="5" w:space="0" w:color="auto"/>
              <w:bottom w:val="single" w:sz="5" w:space="0" w:color="auto"/>
              <w:right w:val="single" w:sz="5" w:space="0" w:color="auto"/>
            </w:tcBorders>
            <w:vAlign w:val="center"/>
          </w:tcPr>
          <w:p w14:paraId="06FD7D8B" w14:textId="77777777" w:rsidR="006E4FF7" w:rsidRPr="00D852EC" w:rsidRDefault="006E4FF7" w:rsidP="000A1317">
            <w:pPr>
              <w:spacing w:before="0" w:after="0"/>
              <w:ind w:left="57" w:right="57"/>
              <w:rPr>
                <w:rFonts w:cs="Arial"/>
                <w:szCs w:val="20"/>
              </w:rPr>
            </w:pPr>
            <w:r w:rsidRPr="00D852EC">
              <w:rPr>
                <w:rFonts w:cs="Arial"/>
                <w:szCs w:val="20"/>
              </w:rPr>
              <w:t>1 mg/kg SC once daily</w:t>
            </w:r>
          </w:p>
        </w:tc>
      </w:tr>
      <w:tr w:rsidR="006E4FF7" w:rsidRPr="00D852EC" w14:paraId="0B60C19A" w14:textId="77777777" w:rsidTr="009F5270">
        <w:trPr>
          <w:trHeight w:hRule="exact" w:val="384"/>
        </w:trPr>
        <w:tc>
          <w:tcPr>
            <w:tcW w:w="9226" w:type="dxa"/>
            <w:gridSpan w:val="2"/>
            <w:tcBorders>
              <w:top w:val="single" w:sz="5" w:space="0" w:color="auto"/>
              <w:left w:val="single" w:sz="5" w:space="0" w:color="auto"/>
              <w:bottom w:val="single" w:sz="5" w:space="0" w:color="auto"/>
              <w:right w:val="single" w:sz="5" w:space="0" w:color="auto"/>
            </w:tcBorders>
            <w:vAlign w:val="center"/>
          </w:tcPr>
          <w:p w14:paraId="55B49263" w14:textId="65F5A883" w:rsidR="006E4FF7" w:rsidRPr="00163B88" w:rsidRDefault="006E4FF7" w:rsidP="00163B88">
            <w:pPr>
              <w:spacing w:before="0" w:after="0"/>
              <w:ind w:left="57" w:right="57"/>
              <w:jc w:val="center"/>
              <w:rPr>
                <w:rFonts w:cs="Arial"/>
                <w:b/>
                <w:szCs w:val="20"/>
              </w:rPr>
            </w:pPr>
            <w:r w:rsidRPr="00163B88">
              <w:rPr>
                <w:rFonts w:cs="Arial"/>
                <w:b/>
                <w:szCs w:val="20"/>
              </w:rPr>
              <w:t xml:space="preserve">Acute STEMI </w:t>
            </w:r>
            <w:r w:rsidR="00163B88" w:rsidRPr="00163B88">
              <w:rPr>
                <w:rFonts w:cs="Arial"/>
                <w:b/>
                <w:szCs w:val="20"/>
              </w:rPr>
              <w:t xml:space="preserve">patients </w:t>
            </w:r>
            <w:r w:rsidRPr="00163B88">
              <w:rPr>
                <w:rFonts w:cs="Arial"/>
                <w:b/>
                <w:szCs w:val="20"/>
              </w:rPr>
              <w:t xml:space="preserve">&lt; 75 </w:t>
            </w:r>
            <w:r w:rsidR="00163B88" w:rsidRPr="00163B88">
              <w:rPr>
                <w:rFonts w:cs="Arial"/>
                <w:b/>
                <w:szCs w:val="20"/>
              </w:rPr>
              <w:t xml:space="preserve">years </w:t>
            </w:r>
            <w:r w:rsidRPr="00163B88">
              <w:rPr>
                <w:rFonts w:cs="Arial"/>
                <w:b/>
                <w:szCs w:val="20"/>
              </w:rPr>
              <w:t xml:space="preserve">of </w:t>
            </w:r>
            <w:r w:rsidR="00163B88" w:rsidRPr="00163B88">
              <w:rPr>
                <w:rFonts w:cs="Arial"/>
                <w:b/>
                <w:szCs w:val="20"/>
              </w:rPr>
              <w:t>age</w:t>
            </w:r>
          </w:p>
        </w:tc>
      </w:tr>
      <w:tr w:rsidR="006E4FF7" w:rsidRPr="00D852EC" w14:paraId="6FEA6EFC" w14:textId="77777777" w:rsidTr="00163B88">
        <w:trPr>
          <w:trHeight w:hRule="exact" w:val="1096"/>
        </w:trPr>
        <w:tc>
          <w:tcPr>
            <w:tcW w:w="4680" w:type="dxa"/>
            <w:tcBorders>
              <w:top w:val="single" w:sz="5" w:space="0" w:color="auto"/>
              <w:left w:val="single" w:sz="5" w:space="0" w:color="auto"/>
              <w:bottom w:val="single" w:sz="5" w:space="0" w:color="auto"/>
              <w:right w:val="single" w:sz="5" w:space="0" w:color="auto"/>
            </w:tcBorders>
            <w:vAlign w:val="center"/>
          </w:tcPr>
          <w:p w14:paraId="19EFD80F" w14:textId="77777777" w:rsidR="006E4FF7" w:rsidRPr="00D852EC" w:rsidRDefault="006E4FF7" w:rsidP="00163B88">
            <w:pPr>
              <w:spacing w:before="0" w:after="120"/>
              <w:ind w:left="57" w:right="57"/>
              <w:rPr>
                <w:rFonts w:cs="Arial"/>
                <w:szCs w:val="20"/>
              </w:rPr>
            </w:pPr>
            <w:r w:rsidRPr="00D852EC">
              <w:rPr>
                <w:rFonts w:cs="Arial"/>
                <w:szCs w:val="20"/>
              </w:rPr>
              <w:t>30 mg-single IV bolus plus a 1 mg/kg SC dose followed by 1 mg/kg SC twice daily</w:t>
            </w:r>
          </w:p>
          <w:p w14:paraId="21408A3F" w14:textId="60ED5496" w:rsidR="006E4FF7" w:rsidRPr="00D852EC" w:rsidRDefault="006E4FF7" w:rsidP="000A1317">
            <w:pPr>
              <w:spacing w:before="0" w:after="0"/>
              <w:ind w:left="57" w:right="57"/>
              <w:rPr>
                <w:rFonts w:cs="Arial"/>
                <w:szCs w:val="20"/>
              </w:rPr>
            </w:pPr>
            <w:r w:rsidRPr="00D852EC">
              <w:rPr>
                <w:rFonts w:cs="Arial"/>
                <w:szCs w:val="20"/>
              </w:rPr>
              <w:t>(Max 100</w:t>
            </w:r>
            <w:r w:rsidR="00163B88">
              <w:rPr>
                <w:rFonts w:cs="Arial"/>
                <w:szCs w:val="20"/>
              </w:rPr>
              <w:t xml:space="preserve"> </w:t>
            </w:r>
            <w:r w:rsidRPr="00D852EC">
              <w:rPr>
                <w:rFonts w:cs="Arial"/>
                <w:szCs w:val="20"/>
              </w:rPr>
              <w:t>mg for each of the first two SC doses)</w:t>
            </w:r>
          </w:p>
        </w:tc>
        <w:tc>
          <w:tcPr>
            <w:tcW w:w="4546" w:type="dxa"/>
            <w:tcBorders>
              <w:top w:val="single" w:sz="5" w:space="0" w:color="auto"/>
              <w:left w:val="single" w:sz="5" w:space="0" w:color="auto"/>
              <w:bottom w:val="single" w:sz="5" w:space="0" w:color="auto"/>
              <w:right w:val="single" w:sz="5" w:space="0" w:color="auto"/>
            </w:tcBorders>
            <w:vAlign w:val="center"/>
          </w:tcPr>
          <w:p w14:paraId="440461B6" w14:textId="77777777" w:rsidR="006E4FF7" w:rsidRPr="00D852EC" w:rsidRDefault="006E4FF7" w:rsidP="00163B88">
            <w:pPr>
              <w:spacing w:before="0" w:after="120"/>
              <w:ind w:left="57" w:right="57"/>
              <w:rPr>
                <w:rFonts w:cs="Arial"/>
                <w:szCs w:val="20"/>
              </w:rPr>
            </w:pPr>
            <w:r w:rsidRPr="00D852EC">
              <w:rPr>
                <w:rFonts w:cs="Arial"/>
                <w:szCs w:val="20"/>
              </w:rPr>
              <w:t>30 mg-single IV bolus plus a 1 mg/kg SC dose followed by 1 mg/kg SC once daily</w:t>
            </w:r>
          </w:p>
          <w:p w14:paraId="77256040" w14:textId="0A566185" w:rsidR="006E4FF7" w:rsidRPr="00D852EC" w:rsidRDefault="006E4FF7" w:rsidP="000A1317">
            <w:pPr>
              <w:spacing w:before="0" w:after="0"/>
              <w:ind w:left="57" w:right="57"/>
              <w:rPr>
                <w:rFonts w:cs="Arial"/>
                <w:szCs w:val="20"/>
              </w:rPr>
            </w:pPr>
            <w:r w:rsidRPr="00D852EC">
              <w:rPr>
                <w:rFonts w:cs="Arial"/>
                <w:szCs w:val="20"/>
              </w:rPr>
              <w:t>(Max 100</w:t>
            </w:r>
            <w:r w:rsidR="00163B88">
              <w:rPr>
                <w:rFonts w:cs="Arial"/>
                <w:szCs w:val="20"/>
              </w:rPr>
              <w:t xml:space="preserve"> </w:t>
            </w:r>
            <w:r w:rsidRPr="00D852EC">
              <w:rPr>
                <w:rFonts w:cs="Arial"/>
                <w:szCs w:val="20"/>
              </w:rPr>
              <w:t>mg for first SC dose only)</w:t>
            </w:r>
          </w:p>
        </w:tc>
      </w:tr>
      <w:tr w:rsidR="006E4FF7" w:rsidRPr="00D852EC" w14:paraId="0599FD21" w14:textId="77777777" w:rsidTr="009F5270">
        <w:trPr>
          <w:trHeight w:hRule="exact" w:val="384"/>
        </w:trPr>
        <w:tc>
          <w:tcPr>
            <w:tcW w:w="9226" w:type="dxa"/>
            <w:gridSpan w:val="2"/>
            <w:tcBorders>
              <w:top w:val="single" w:sz="5" w:space="0" w:color="auto"/>
              <w:left w:val="single" w:sz="5" w:space="0" w:color="auto"/>
              <w:bottom w:val="single" w:sz="5" w:space="0" w:color="auto"/>
              <w:right w:val="single" w:sz="5" w:space="0" w:color="auto"/>
            </w:tcBorders>
            <w:vAlign w:val="center"/>
          </w:tcPr>
          <w:p w14:paraId="0FB09D94" w14:textId="69FF275C" w:rsidR="006E4FF7" w:rsidRPr="00163B88" w:rsidRDefault="006E4FF7" w:rsidP="00163B88">
            <w:pPr>
              <w:spacing w:before="0" w:after="0"/>
              <w:ind w:left="57" w:right="57"/>
              <w:jc w:val="center"/>
              <w:rPr>
                <w:rFonts w:cs="Arial"/>
                <w:b/>
                <w:szCs w:val="20"/>
              </w:rPr>
            </w:pPr>
            <w:r w:rsidRPr="00163B88">
              <w:rPr>
                <w:rFonts w:cs="Arial"/>
                <w:b/>
                <w:szCs w:val="20"/>
              </w:rPr>
              <w:t xml:space="preserve">Acute STEMI </w:t>
            </w:r>
            <w:r w:rsidR="00163B88" w:rsidRPr="00163B88">
              <w:rPr>
                <w:rFonts w:cs="Arial"/>
                <w:b/>
                <w:szCs w:val="20"/>
              </w:rPr>
              <w:t xml:space="preserve">patients </w:t>
            </w:r>
            <w:r w:rsidRPr="00163B88">
              <w:rPr>
                <w:rFonts w:cs="Arial"/>
                <w:b/>
                <w:szCs w:val="20"/>
              </w:rPr>
              <w:t>≥ 75 years of age</w:t>
            </w:r>
          </w:p>
        </w:tc>
      </w:tr>
      <w:tr w:rsidR="006E4FF7" w:rsidRPr="00D852EC" w14:paraId="3BF39EB8" w14:textId="77777777" w:rsidTr="00163B88">
        <w:trPr>
          <w:trHeight w:hRule="exact" w:val="875"/>
        </w:trPr>
        <w:tc>
          <w:tcPr>
            <w:tcW w:w="4680" w:type="dxa"/>
            <w:tcBorders>
              <w:top w:val="single" w:sz="5" w:space="0" w:color="auto"/>
              <w:left w:val="single" w:sz="5" w:space="0" w:color="auto"/>
              <w:bottom w:val="single" w:sz="5" w:space="0" w:color="auto"/>
              <w:right w:val="single" w:sz="5" w:space="0" w:color="auto"/>
            </w:tcBorders>
            <w:vAlign w:val="center"/>
          </w:tcPr>
          <w:p w14:paraId="7F907D9A" w14:textId="77777777" w:rsidR="006E4FF7" w:rsidRPr="00D852EC" w:rsidRDefault="006E4FF7" w:rsidP="00163B88">
            <w:pPr>
              <w:spacing w:before="0" w:after="120"/>
              <w:ind w:left="57" w:right="57"/>
              <w:rPr>
                <w:rFonts w:cs="Arial"/>
                <w:szCs w:val="20"/>
              </w:rPr>
            </w:pPr>
            <w:r w:rsidRPr="00D852EC">
              <w:rPr>
                <w:rFonts w:cs="Arial"/>
                <w:szCs w:val="20"/>
              </w:rPr>
              <w:t>0.75 mg/kg SC twice daily without initial bolus</w:t>
            </w:r>
          </w:p>
          <w:p w14:paraId="652F7A00" w14:textId="4D373E87" w:rsidR="006E4FF7" w:rsidRPr="00D852EC" w:rsidRDefault="006E4FF7" w:rsidP="000A1317">
            <w:pPr>
              <w:spacing w:before="0" w:after="0"/>
              <w:ind w:left="57" w:right="57"/>
              <w:rPr>
                <w:rFonts w:cs="Arial"/>
                <w:szCs w:val="20"/>
              </w:rPr>
            </w:pPr>
            <w:r w:rsidRPr="00D852EC">
              <w:rPr>
                <w:rFonts w:cs="Arial"/>
                <w:szCs w:val="20"/>
              </w:rPr>
              <w:t>(Max 75</w:t>
            </w:r>
            <w:r w:rsidR="00163B88">
              <w:rPr>
                <w:rFonts w:cs="Arial"/>
                <w:szCs w:val="20"/>
              </w:rPr>
              <w:t xml:space="preserve"> </w:t>
            </w:r>
            <w:r w:rsidRPr="00D852EC">
              <w:rPr>
                <w:rFonts w:cs="Arial"/>
                <w:szCs w:val="20"/>
              </w:rPr>
              <w:t>mg for each of the first two SC doses)</w:t>
            </w:r>
          </w:p>
        </w:tc>
        <w:tc>
          <w:tcPr>
            <w:tcW w:w="4546" w:type="dxa"/>
            <w:tcBorders>
              <w:top w:val="single" w:sz="5" w:space="0" w:color="auto"/>
              <w:left w:val="single" w:sz="5" w:space="0" w:color="auto"/>
              <w:bottom w:val="single" w:sz="5" w:space="0" w:color="auto"/>
              <w:right w:val="single" w:sz="5" w:space="0" w:color="auto"/>
            </w:tcBorders>
            <w:vAlign w:val="center"/>
          </w:tcPr>
          <w:p w14:paraId="696831FB" w14:textId="77777777" w:rsidR="006E4FF7" w:rsidRPr="00D852EC" w:rsidRDefault="006E4FF7" w:rsidP="00163B88">
            <w:pPr>
              <w:spacing w:before="0" w:after="120"/>
              <w:ind w:left="57" w:right="57"/>
              <w:rPr>
                <w:rFonts w:cs="Arial"/>
                <w:szCs w:val="20"/>
              </w:rPr>
            </w:pPr>
            <w:r w:rsidRPr="00D852EC">
              <w:rPr>
                <w:rFonts w:cs="Arial"/>
                <w:szCs w:val="20"/>
              </w:rPr>
              <w:t>1 mg/kg SC once daily without initial bolus</w:t>
            </w:r>
          </w:p>
          <w:p w14:paraId="5D525E2C" w14:textId="5B669B08" w:rsidR="006E4FF7" w:rsidRPr="00D852EC" w:rsidRDefault="006E4FF7" w:rsidP="000A1317">
            <w:pPr>
              <w:spacing w:before="0" w:after="0"/>
              <w:ind w:left="57" w:right="57"/>
              <w:rPr>
                <w:rFonts w:cs="Arial"/>
                <w:szCs w:val="20"/>
              </w:rPr>
            </w:pPr>
            <w:r w:rsidRPr="00D852EC">
              <w:rPr>
                <w:rFonts w:cs="Arial"/>
                <w:szCs w:val="20"/>
              </w:rPr>
              <w:t>(Max 75</w:t>
            </w:r>
            <w:r w:rsidR="00163B88">
              <w:rPr>
                <w:rFonts w:cs="Arial"/>
                <w:szCs w:val="20"/>
              </w:rPr>
              <w:t xml:space="preserve"> </w:t>
            </w:r>
            <w:r w:rsidRPr="00D852EC">
              <w:rPr>
                <w:rFonts w:cs="Arial"/>
                <w:szCs w:val="20"/>
              </w:rPr>
              <w:t>mg for first SC dose only)</w:t>
            </w:r>
          </w:p>
        </w:tc>
      </w:tr>
    </w:tbl>
    <w:p w14:paraId="0C1CBF6E" w14:textId="77777777" w:rsidR="006E4FF7" w:rsidRPr="00D852EC" w:rsidRDefault="006E4FF7" w:rsidP="00163B88">
      <w:pPr>
        <w:spacing w:before="0" w:after="0"/>
        <w:rPr>
          <w:rFonts w:cs="Arial"/>
          <w:szCs w:val="20"/>
        </w:rPr>
      </w:pPr>
    </w:p>
    <w:p w14:paraId="45E8967C" w14:textId="77777777" w:rsidR="006E4FF7" w:rsidRPr="00D852EC" w:rsidRDefault="006E4FF7" w:rsidP="000A1317">
      <w:pPr>
        <w:rPr>
          <w:rFonts w:cs="Arial"/>
          <w:szCs w:val="20"/>
        </w:rPr>
      </w:pPr>
      <w:r w:rsidRPr="00D852EC">
        <w:rPr>
          <w:rFonts w:cs="Arial"/>
          <w:szCs w:val="20"/>
        </w:rPr>
        <w:t xml:space="preserve">Although no dosage adjustment </w:t>
      </w:r>
      <w:proofErr w:type="gramStart"/>
      <w:r w:rsidRPr="00D852EC">
        <w:rPr>
          <w:rFonts w:cs="Arial"/>
          <w:szCs w:val="20"/>
        </w:rPr>
        <w:t>is recommended</w:t>
      </w:r>
      <w:proofErr w:type="gramEnd"/>
      <w:r w:rsidRPr="00D852EC">
        <w:rPr>
          <w:rFonts w:cs="Arial"/>
          <w:szCs w:val="20"/>
        </w:rPr>
        <w:t xml:space="preserve"> in patients with moderate (creatinine clearance 30-50 mL/min) and mild (creatinine clearance 50-80 mL/min) renal impairment, careful clinical observation is advised for signs and symptoms of bleeding.</w:t>
      </w:r>
    </w:p>
    <w:p w14:paraId="21F68CE9" w14:textId="5DF9802F" w:rsidR="006E4FF7" w:rsidRPr="00D852EC" w:rsidRDefault="00E027A7" w:rsidP="000A1317">
      <w:pPr>
        <w:pStyle w:val="Heading3"/>
      </w:pPr>
      <w:bookmarkStart w:id="4" w:name="_Ref5877697"/>
      <w:r>
        <w:t xml:space="preserve">Use in the </w:t>
      </w:r>
      <w:r w:rsidR="006E4FF7" w:rsidRPr="00D852EC">
        <w:t>Elderly</w:t>
      </w:r>
      <w:bookmarkEnd w:id="4"/>
    </w:p>
    <w:p w14:paraId="0A8882BE" w14:textId="406AAA9A" w:rsidR="006E4FF7" w:rsidRPr="00D852EC" w:rsidRDefault="006E4FF7" w:rsidP="000A1317">
      <w:pPr>
        <w:rPr>
          <w:rFonts w:cs="Arial"/>
          <w:szCs w:val="20"/>
        </w:rPr>
      </w:pPr>
      <w:r w:rsidRPr="00D852EC">
        <w:rPr>
          <w:rFonts w:cs="Arial"/>
          <w:szCs w:val="20"/>
        </w:rPr>
        <w:t xml:space="preserve">For treatment of acute ST-segment Elevation Myocardial Infarction in elderly patients </w:t>
      </w:r>
      <w:r w:rsidR="00A7643B">
        <w:rPr>
          <w:rFonts w:cs="Arial"/>
          <w:szCs w:val="20"/>
        </w:rPr>
        <w:t xml:space="preserve">≥ </w:t>
      </w:r>
      <w:r w:rsidRPr="00D852EC">
        <w:rPr>
          <w:rFonts w:cs="Arial"/>
          <w:szCs w:val="20"/>
        </w:rPr>
        <w:t xml:space="preserve">75 years of age, do not use an initial IV bolus. Initiate dosing with 0.75 mg/kg SC every 12 hours (maximum 75 mg for each of the first two SC doses only, followed by 0.75 mg/kg dosing for the remaining doses; see </w:t>
      </w:r>
      <w:r w:rsidR="00AD5DD9" w:rsidRPr="00AD5DD9">
        <w:rPr>
          <w:rFonts w:cs="Arial"/>
          <w:szCs w:val="20"/>
        </w:rPr>
        <w:t xml:space="preserve">Section </w:t>
      </w:r>
      <w:r w:rsidR="0054549A">
        <w:rPr>
          <w:rFonts w:cs="Arial"/>
          <w:szCs w:val="20"/>
        </w:rPr>
        <w:fldChar w:fldCharType="begin"/>
      </w:r>
      <w:r w:rsidR="0054549A">
        <w:rPr>
          <w:rFonts w:cs="Arial"/>
          <w:szCs w:val="20"/>
        </w:rPr>
        <w:instrText xml:space="preserve"> REF _Ref5877805 \r \h </w:instrText>
      </w:r>
      <w:r w:rsidR="0054549A">
        <w:rPr>
          <w:rFonts w:cs="Arial"/>
          <w:szCs w:val="20"/>
        </w:rPr>
      </w:r>
      <w:r w:rsidR="0054549A">
        <w:rPr>
          <w:rFonts w:cs="Arial"/>
          <w:szCs w:val="20"/>
        </w:rPr>
        <w:fldChar w:fldCharType="separate"/>
      </w:r>
      <w:r w:rsidR="006254D6">
        <w:rPr>
          <w:rFonts w:cs="Arial"/>
          <w:szCs w:val="20"/>
        </w:rPr>
        <w:t>5.1</w:t>
      </w:r>
      <w:r w:rsidR="0054549A">
        <w:rPr>
          <w:rFonts w:cs="Arial"/>
          <w:szCs w:val="20"/>
        </w:rPr>
        <w:fldChar w:fldCharType="end"/>
      </w:r>
      <w:r w:rsidR="00AD5DD9" w:rsidRPr="00AD5DD9">
        <w:rPr>
          <w:rFonts w:cs="Arial"/>
          <w:szCs w:val="20"/>
        </w:rPr>
        <w:t xml:space="preserve"> – </w:t>
      </w:r>
      <w:r w:rsidR="0054549A">
        <w:rPr>
          <w:rFonts w:cs="Arial"/>
          <w:szCs w:val="20"/>
        </w:rPr>
        <w:fldChar w:fldCharType="begin"/>
      </w:r>
      <w:r w:rsidR="0054549A">
        <w:rPr>
          <w:rFonts w:cs="Arial"/>
          <w:szCs w:val="20"/>
        </w:rPr>
        <w:instrText xml:space="preserve"> REF _Ref5877805 \h </w:instrText>
      </w:r>
      <w:r w:rsidR="0054549A">
        <w:rPr>
          <w:rFonts w:cs="Arial"/>
          <w:szCs w:val="20"/>
        </w:rPr>
      </w:r>
      <w:r w:rsidR="0054549A">
        <w:rPr>
          <w:rFonts w:cs="Arial"/>
          <w:szCs w:val="20"/>
        </w:rPr>
        <w:fldChar w:fldCharType="separate"/>
      </w:r>
      <w:proofErr w:type="spellStart"/>
      <w:r w:rsidR="006254D6" w:rsidRPr="00571478">
        <w:t>Pharmacodynamic</w:t>
      </w:r>
      <w:proofErr w:type="spellEnd"/>
      <w:r w:rsidR="006254D6" w:rsidRPr="00571478">
        <w:t xml:space="preserve"> Properties</w:t>
      </w:r>
      <w:r w:rsidR="0054549A">
        <w:rPr>
          <w:rFonts w:cs="Arial"/>
          <w:szCs w:val="20"/>
        </w:rPr>
        <w:fldChar w:fldCharType="end"/>
      </w:r>
      <w:r w:rsidR="00AD5DD9" w:rsidRPr="00AD5DD9">
        <w:rPr>
          <w:rFonts w:cs="Arial"/>
          <w:szCs w:val="20"/>
        </w:rPr>
        <w:t>:</w:t>
      </w:r>
      <w:r w:rsidR="00AD5DD9">
        <w:rPr>
          <w:rFonts w:cs="Arial"/>
          <w:szCs w:val="20"/>
        </w:rPr>
        <w:t xml:space="preserve"> </w:t>
      </w:r>
      <w:r w:rsidR="0054549A">
        <w:rPr>
          <w:rFonts w:cs="Arial"/>
          <w:szCs w:val="20"/>
        </w:rPr>
        <w:fldChar w:fldCharType="begin"/>
      </w:r>
      <w:r w:rsidR="0054549A">
        <w:rPr>
          <w:rFonts w:cs="Arial"/>
          <w:szCs w:val="20"/>
        </w:rPr>
        <w:instrText xml:space="preserve"> REF _Ref878766 \h </w:instrText>
      </w:r>
      <w:r w:rsidR="0054549A">
        <w:rPr>
          <w:rFonts w:cs="Arial"/>
          <w:szCs w:val="20"/>
        </w:rPr>
      </w:r>
      <w:r w:rsidR="0054549A">
        <w:rPr>
          <w:rFonts w:cs="Arial"/>
          <w:szCs w:val="20"/>
        </w:rPr>
        <w:fldChar w:fldCharType="separate"/>
      </w:r>
      <w:r w:rsidR="006254D6" w:rsidRPr="00571478">
        <w:rPr>
          <w:rFonts w:cs="Arial"/>
        </w:rPr>
        <w:t>Clinical Trials</w:t>
      </w:r>
      <w:r w:rsidR="0054549A">
        <w:rPr>
          <w:rFonts w:cs="Arial"/>
          <w:szCs w:val="20"/>
        </w:rPr>
        <w:fldChar w:fldCharType="end"/>
      </w:r>
      <w:r w:rsidRPr="00D852EC">
        <w:rPr>
          <w:rFonts w:cs="Arial"/>
          <w:szCs w:val="20"/>
        </w:rPr>
        <w:t xml:space="preserve">). No dose reduction is necessary in the elderly for other indications, unless renal function is impaired, however careful clinical observation </w:t>
      </w:r>
      <w:proofErr w:type="gramStart"/>
      <w:r w:rsidRPr="00D852EC">
        <w:rPr>
          <w:rFonts w:cs="Arial"/>
          <w:szCs w:val="20"/>
        </w:rPr>
        <w:t>is advised</w:t>
      </w:r>
      <w:proofErr w:type="gramEnd"/>
      <w:r w:rsidRPr="00D852EC">
        <w:rPr>
          <w:rFonts w:cs="Arial"/>
          <w:szCs w:val="20"/>
        </w:rPr>
        <w:t xml:space="preserve"> (see </w:t>
      </w:r>
      <w:r w:rsidR="00AD5DD9">
        <w:rPr>
          <w:rFonts w:cs="Arial"/>
          <w:szCs w:val="20"/>
        </w:rPr>
        <w:t xml:space="preserve">Section </w:t>
      </w:r>
      <w:r w:rsidR="0054549A">
        <w:rPr>
          <w:rFonts w:cs="Arial"/>
          <w:szCs w:val="20"/>
        </w:rPr>
        <w:fldChar w:fldCharType="begin"/>
      </w:r>
      <w:r w:rsidR="0054549A">
        <w:rPr>
          <w:rFonts w:cs="Arial"/>
          <w:szCs w:val="20"/>
        </w:rPr>
        <w:instrText xml:space="preserve"> REF _Ref878862 \r \h </w:instrText>
      </w:r>
      <w:r w:rsidR="0054549A">
        <w:rPr>
          <w:rFonts w:cs="Arial"/>
          <w:szCs w:val="20"/>
        </w:rPr>
      </w:r>
      <w:r w:rsidR="0054549A">
        <w:rPr>
          <w:rFonts w:cs="Arial"/>
          <w:szCs w:val="20"/>
        </w:rPr>
        <w:fldChar w:fldCharType="separate"/>
      </w:r>
      <w:r w:rsidR="006254D6">
        <w:rPr>
          <w:rFonts w:cs="Arial"/>
          <w:szCs w:val="20"/>
        </w:rPr>
        <w:t>4.4</w:t>
      </w:r>
      <w:r w:rsidR="0054549A">
        <w:rPr>
          <w:rFonts w:cs="Arial"/>
          <w:szCs w:val="20"/>
        </w:rPr>
        <w:fldChar w:fldCharType="end"/>
      </w:r>
      <w:r w:rsidR="00AD5DD9">
        <w:rPr>
          <w:rFonts w:cs="Arial"/>
          <w:szCs w:val="20"/>
        </w:rPr>
        <w:t xml:space="preserve"> – </w:t>
      </w:r>
      <w:r w:rsidR="0054549A">
        <w:rPr>
          <w:rFonts w:cs="Arial"/>
          <w:szCs w:val="20"/>
        </w:rPr>
        <w:fldChar w:fldCharType="begin"/>
      </w:r>
      <w:r w:rsidR="0054549A">
        <w:rPr>
          <w:rFonts w:cs="Arial"/>
          <w:szCs w:val="20"/>
        </w:rPr>
        <w:instrText xml:space="preserve"> REF _Ref878862 \h </w:instrText>
      </w:r>
      <w:r w:rsidR="0054549A">
        <w:rPr>
          <w:rFonts w:cs="Arial"/>
          <w:szCs w:val="20"/>
        </w:rPr>
      </w:r>
      <w:r w:rsidR="0054549A">
        <w:rPr>
          <w:rFonts w:cs="Arial"/>
          <w:szCs w:val="20"/>
        </w:rPr>
        <w:fldChar w:fldCharType="separate"/>
      </w:r>
      <w:r w:rsidR="006254D6" w:rsidRPr="00571478">
        <w:t>Special Warnings and Precautions for Use</w:t>
      </w:r>
      <w:r w:rsidR="0054549A">
        <w:rPr>
          <w:rFonts w:cs="Arial"/>
          <w:szCs w:val="20"/>
        </w:rPr>
        <w:fldChar w:fldCharType="end"/>
      </w:r>
      <w:r w:rsidR="00AD5DD9" w:rsidRPr="00AD5DD9">
        <w:rPr>
          <w:rFonts w:cs="Arial"/>
          <w:szCs w:val="20"/>
        </w:rPr>
        <w:t xml:space="preserve">: </w:t>
      </w:r>
      <w:r w:rsidR="0054549A">
        <w:rPr>
          <w:rFonts w:cs="Arial"/>
          <w:szCs w:val="20"/>
        </w:rPr>
        <w:fldChar w:fldCharType="begin"/>
      </w:r>
      <w:r w:rsidR="0054549A">
        <w:rPr>
          <w:rFonts w:cs="Arial"/>
          <w:szCs w:val="20"/>
        </w:rPr>
        <w:instrText xml:space="preserve"> REF _Ref5877888 \h </w:instrText>
      </w:r>
      <w:r w:rsidR="0054549A">
        <w:rPr>
          <w:rFonts w:cs="Arial"/>
          <w:szCs w:val="20"/>
        </w:rPr>
      </w:r>
      <w:r w:rsidR="0054549A">
        <w:rPr>
          <w:rFonts w:cs="Arial"/>
          <w:szCs w:val="20"/>
        </w:rPr>
        <w:fldChar w:fldCharType="separate"/>
      </w:r>
      <w:r w:rsidR="006254D6">
        <w:t xml:space="preserve">Use in </w:t>
      </w:r>
      <w:r w:rsidR="006254D6" w:rsidRPr="00101B36">
        <w:t>Renal Impairment</w:t>
      </w:r>
      <w:r w:rsidR="0054549A">
        <w:rPr>
          <w:rFonts w:cs="Arial"/>
          <w:szCs w:val="20"/>
        </w:rPr>
        <w:fldChar w:fldCharType="end"/>
      </w:r>
      <w:r w:rsidR="00AD5DD9" w:rsidRPr="00AD5DD9">
        <w:rPr>
          <w:rFonts w:cs="Arial"/>
          <w:szCs w:val="20"/>
        </w:rPr>
        <w:t xml:space="preserve"> and </w:t>
      </w:r>
      <w:r w:rsidR="0054549A">
        <w:rPr>
          <w:rFonts w:cs="Arial"/>
          <w:szCs w:val="20"/>
        </w:rPr>
        <w:fldChar w:fldCharType="begin"/>
      </w:r>
      <w:r w:rsidR="0054549A">
        <w:rPr>
          <w:rFonts w:cs="Arial"/>
          <w:szCs w:val="20"/>
        </w:rPr>
        <w:instrText xml:space="preserve"> REF _Ref5877897 \h </w:instrText>
      </w:r>
      <w:r w:rsidR="0054549A">
        <w:rPr>
          <w:rFonts w:cs="Arial"/>
          <w:szCs w:val="20"/>
        </w:rPr>
      </w:r>
      <w:r w:rsidR="0054549A">
        <w:rPr>
          <w:rFonts w:cs="Arial"/>
          <w:szCs w:val="20"/>
        </w:rPr>
        <w:fldChar w:fldCharType="separate"/>
      </w:r>
      <w:r w:rsidR="006254D6">
        <w:t>Use in t</w:t>
      </w:r>
      <w:r w:rsidR="006254D6" w:rsidRPr="00101B36">
        <w:t>he Elderly</w:t>
      </w:r>
      <w:r w:rsidR="0054549A">
        <w:rPr>
          <w:rFonts w:cs="Arial"/>
          <w:szCs w:val="20"/>
        </w:rPr>
        <w:fldChar w:fldCharType="end"/>
      </w:r>
      <w:r w:rsidRPr="00D852EC">
        <w:rPr>
          <w:rFonts w:cs="Arial"/>
          <w:szCs w:val="20"/>
        </w:rPr>
        <w:t>).</w:t>
      </w:r>
    </w:p>
    <w:p w14:paraId="1EE7E3A4" w14:textId="746B7F40" w:rsidR="006E4FF7" w:rsidRPr="00D852EC" w:rsidRDefault="005537A9" w:rsidP="000A1317">
      <w:pPr>
        <w:pStyle w:val="Heading3"/>
      </w:pPr>
      <w:r>
        <w:t>Paediatric Use</w:t>
      </w:r>
    </w:p>
    <w:p w14:paraId="4114DD86" w14:textId="77777777" w:rsidR="006E4FF7" w:rsidRPr="00D852EC" w:rsidRDefault="006E4FF7" w:rsidP="000A1317">
      <w:pPr>
        <w:rPr>
          <w:rFonts w:cs="Arial"/>
          <w:szCs w:val="20"/>
        </w:rPr>
      </w:pPr>
      <w:r w:rsidRPr="00D852EC">
        <w:rPr>
          <w:rFonts w:cs="Arial"/>
          <w:szCs w:val="20"/>
        </w:rPr>
        <w:t xml:space="preserve">The safety and efficacy of Enoxaparin in children </w:t>
      </w:r>
      <w:proofErr w:type="gramStart"/>
      <w:r w:rsidRPr="00D852EC">
        <w:rPr>
          <w:rFonts w:cs="Arial"/>
          <w:szCs w:val="20"/>
        </w:rPr>
        <w:t>has not been established</w:t>
      </w:r>
      <w:proofErr w:type="gramEnd"/>
      <w:r w:rsidRPr="00D852EC">
        <w:rPr>
          <w:rFonts w:cs="Arial"/>
          <w:szCs w:val="20"/>
        </w:rPr>
        <w:t>.</w:t>
      </w:r>
    </w:p>
    <w:p w14:paraId="5C6BF4AB" w14:textId="77777777" w:rsidR="006E4FF7" w:rsidRPr="00D852EC" w:rsidRDefault="006E4FF7" w:rsidP="000A1317">
      <w:pPr>
        <w:pStyle w:val="Heading3"/>
      </w:pPr>
      <w:r w:rsidRPr="00D852EC">
        <w:t>Subcutaneous Injection Technique</w:t>
      </w:r>
    </w:p>
    <w:p w14:paraId="3496387C" w14:textId="77777777" w:rsidR="006E4FF7" w:rsidRPr="00D852EC" w:rsidRDefault="006E4FF7" w:rsidP="000A1317">
      <w:pPr>
        <w:rPr>
          <w:rFonts w:cs="Arial"/>
          <w:szCs w:val="20"/>
        </w:rPr>
      </w:pPr>
      <w:r w:rsidRPr="00D852EC">
        <w:rPr>
          <w:rFonts w:cs="Arial"/>
          <w:szCs w:val="20"/>
        </w:rPr>
        <w:t xml:space="preserve">Injection </w:t>
      </w:r>
      <w:proofErr w:type="gramStart"/>
      <w:r w:rsidRPr="00D852EC">
        <w:rPr>
          <w:rFonts w:cs="Arial"/>
          <w:szCs w:val="20"/>
        </w:rPr>
        <w:t>should be made</w:t>
      </w:r>
      <w:proofErr w:type="gramEnd"/>
      <w:r w:rsidRPr="00D852EC">
        <w:rPr>
          <w:rFonts w:cs="Arial"/>
          <w:szCs w:val="20"/>
        </w:rPr>
        <w:t xml:space="preserve"> preferably when the patient is reclining. Enoxaparin </w:t>
      </w:r>
      <w:proofErr w:type="gramStart"/>
      <w:r w:rsidRPr="00D852EC">
        <w:rPr>
          <w:rFonts w:cs="Arial"/>
          <w:szCs w:val="20"/>
        </w:rPr>
        <w:t>is administered</w:t>
      </w:r>
      <w:proofErr w:type="gramEnd"/>
      <w:r w:rsidRPr="00D852EC">
        <w:rPr>
          <w:rFonts w:cs="Arial"/>
          <w:szCs w:val="20"/>
        </w:rPr>
        <w:t xml:space="preserve"> by deep subcutaneous injection. Injection of Enoxaparin </w:t>
      </w:r>
      <w:proofErr w:type="gramStart"/>
      <w:r w:rsidRPr="00D852EC">
        <w:rPr>
          <w:rFonts w:cs="Arial"/>
          <w:szCs w:val="20"/>
        </w:rPr>
        <w:t>should be alternated</w:t>
      </w:r>
      <w:proofErr w:type="gramEnd"/>
      <w:r w:rsidRPr="00D852EC">
        <w:rPr>
          <w:rFonts w:cs="Arial"/>
          <w:szCs w:val="20"/>
        </w:rPr>
        <w:t xml:space="preserve"> between the left and right anterolateral abdominal wall using a different site for each injection. Do not expel the air bubble from the syringe before the injection to avoid the loss of drug. Enoxaparin contains no antimicrobial agent and should be used only once and then discarded.</w:t>
      </w:r>
    </w:p>
    <w:p w14:paraId="19B91E52" w14:textId="77777777" w:rsidR="006E4FF7" w:rsidRPr="00D852EC" w:rsidRDefault="006E4FF7" w:rsidP="000A1317">
      <w:pPr>
        <w:rPr>
          <w:rFonts w:cs="Arial"/>
          <w:szCs w:val="20"/>
        </w:rPr>
      </w:pPr>
      <w:r w:rsidRPr="00D852EC">
        <w:rPr>
          <w:rFonts w:cs="Arial"/>
          <w:szCs w:val="20"/>
        </w:rPr>
        <w:t xml:space="preserve">The needles on pre-filled syringes of Enoxaparin </w:t>
      </w:r>
      <w:proofErr w:type="gramStart"/>
      <w:r w:rsidRPr="00D852EC">
        <w:rPr>
          <w:rFonts w:cs="Arial"/>
          <w:szCs w:val="20"/>
        </w:rPr>
        <w:t>are covered</w:t>
      </w:r>
      <w:proofErr w:type="gramEnd"/>
      <w:r w:rsidRPr="00D852EC">
        <w:rPr>
          <w:rFonts w:cs="Arial"/>
          <w:szCs w:val="20"/>
        </w:rPr>
        <w:t xml:space="preserve"> in a silicon coating, to enable ease of penetration. Do not wipe the needle or allow Enoxaparin solution to crystallise on the needle prior to use, as this will damage the silicon coating. A "dart" injection technique </w:t>
      </w:r>
      <w:proofErr w:type="gramStart"/>
      <w:r w:rsidRPr="00D852EC">
        <w:rPr>
          <w:rFonts w:cs="Arial"/>
          <w:szCs w:val="20"/>
        </w:rPr>
        <w:t>should be used</w:t>
      </w:r>
      <w:proofErr w:type="gramEnd"/>
      <w:r w:rsidRPr="00D852EC">
        <w:rPr>
          <w:rFonts w:cs="Arial"/>
          <w:szCs w:val="20"/>
        </w:rPr>
        <w:t xml:space="preserve"> to administer Enoxaparin. Do not rub the injection site after administration.</w:t>
      </w:r>
    </w:p>
    <w:p w14:paraId="691AA629" w14:textId="04BD3E84" w:rsidR="006E4FF7" w:rsidRPr="00D852EC" w:rsidRDefault="006E4FF7" w:rsidP="000A1317">
      <w:pPr>
        <w:pStyle w:val="Heading3"/>
      </w:pPr>
      <w:r w:rsidRPr="00D852EC">
        <w:t xml:space="preserve">Intravenous (Bolus) Injection Technique (for the </w:t>
      </w:r>
      <w:r w:rsidR="00AD5DD9" w:rsidRPr="00D852EC">
        <w:t xml:space="preserve">Treatment </w:t>
      </w:r>
      <w:r w:rsidRPr="00D852EC">
        <w:t xml:space="preserve">of </w:t>
      </w:r>
      <w:r w:rsidR="00AD5DD9" w:rsidRPr="00D852EC">
        <w:t xml:space="preserve">Acute </w:t>
      </w:r>
      <w:r w:rsidRPr="00D852EC">
        <w:t>STEMI)</w:t>
      </w:r>
    </w:p>
    <w:p w14:paraId="3E6556ED" w14:textId="76392111" w:rsidR="006E4FF7" w:rsidRDefault="006E4FF7" w:rsidP="000A1317">
      <w:pPr>
        <w:rPr>
          <w:rFonts w:cs="Arial"/>
          <w:szCs w:val="20"/>
        </w:rPr>
      </w:pPr>
      <w:r w:rsidRPr="00D852EC">
        <w:rPr>
          <w:rFonts w:cs="Arial"/>
          <w:szCs w:val="20"/>
        </w:rPr>
        <w:t xml:space="preserve">For intravenous injection, the ampoule </w:t>
      </w:r>
      <w:proofErr w:type="gramStart"/>
      <w:r w:rsidRPr="00D852EC">
        <w:rPr>
          <w:rFonts w:cs="Arial"/>
          <w:szCs w:val="20"/>
        </w:rPr>
        <w:t>should be used</w:t>
      </w:r>
      <w:proofErr w:type="gramEnd"/>
      <w:r w:rsidRPr="00D852EC">
        <w:rPr>
          <w:rFonts w:cs="Arial"/>
          <w:szCs w:val="20"/>
        </w:rPr>
        <w:t xml:space="preserve">. Enoxaparin </w:t>
      </w:r>
      <w:proofErr w:type="gramStart"/>
      <w:r w:rsidRPr="00D852EC">
        <w:rPr>
          <w:rFonts w:cs="Arial"/>
          <w:szCs w:val="20"/>
        </w:rPr>
        <w:t>should be administered</w:t>
      </w:r>
      <w:proofErr w:type="gramEnd"/>
      <w:r w:rsidRPr="00D852EC">
        <w:rPr>
          <w:rFonts w:cs="Arial"/>
          <w:szCs w:val="20"/>
        </w:rPr>
        <w:t xml:space="preserve"> through an intravenous line and should not be co-administered with other m</w:t>
      </w:r>
      <w:r w:rsidR="00366749">
        <w:rPr>
          <w:rFonts w:cs="Arial"/>
          <w:szCs w:val="20"/>
        </w:rPr>
        <w:t xml:space="preserve">edications. </w:t>
      </w:r>
      <w:r w:rsidRPr="00D852EC">
        <w:rPr>
          <w:rFonts w:cs="Arial"/>
          <w:szCs w:val="20"/>
        </w:rPr>
        <w:t xml:space="preserve">To </w:t>
      </w:r>
      <w:r w:rsidRPr="00D852EC">
        <w:rPr>
          <w:rFonts w:cs="Arial"/>
          <w:szCs w:val="20"/>
        </w:rPr>
        <w:lastRenderedPageBreak/>
        <w:t xml:space="preserve">avoid the possible mixture of Enoxaparin with other drugs, the intravenous access chosen should be flushed with a sufficient amount of saline or dextrose solution prior to and following the intravenous bolus administration of Enoxaparin to clear the port of drug. Enoxaparin </w:t>
      </w:r>
      <w:proofErr w:type="gramStart"/>
      <w:r w:rsidRPr="00D852EC">
        <w:rPr>
          <w:rFonts w:cs="Arial"/>
          <w:szCs w:val="20"/>
        </w:rPr>
        <w:t>may be safely administered</w:t>
      </w:r>
      <w:proofErr w:type="gramEnd"/>
      <w:r w:rsidRPr="00D852EC">
        <w:rPr>
          <w:rFonts w:cs="Arial"/>
          <w:szCs w:val="20"/>
        </w:rPr>
        <w:t xml:space="preserve"> with normal saline solution (0.9%) or 5% dextrose in water.</w:t>
      </w:r>
    </w:p>
    <w:p w14:paraId="50C48861" w14:textId="77777777" w:rsidR="006E4FF7" w:rsidRPr="00D852EC" w:rsidRDefault="006E4FF7" w:rsidP="000A1317">
      <w:pPr>
        <w:rPr>
          <w:rFonts w:cs="Arial"/>
          <w:szCs w:val="20"/>
        </w:rPr>
      </w:pPr>
      <w:r>
        <w:rPr>
          <w:rFonts w:cs="Arial"/>
          <w:szCs w:val="20"/>
        </w:rPr>
        <w:t>(</w:t>
      </w:r>
      <w:proofErr w:type="gramStart"/>
      <w:r>
        <w:rPr>
          <w:rFonts w:cs="Arial"/>
          <w:szCs w:val="20"/>
        </w:rPr>
        <w:t xml:space="preserve">Ampoules are not marketed by </w:t>
      </w:r>
      <w:proofErr w:type="spellStart"/>
      <w:r>
        <w:rPr>
          <w:rFonts w:cs="Arial"/>
          <w:szCs w:val="20"/>
        </w:rPr>
        <w:t>Apotex</w:t>
      </w:r>
      <w:proofErr w:type="spellEnd"/>
      <w:proofErr w:type="gramEnd"/>
      <w:r>
        <w:rPr>
          <w:rFonts w:cs="Arial"/>
          <w:szCs w:val="20"/>
        </w:rPr>
        <w:t xml:space="preserve"> and another brand should be used). </w:t>
      </w:r>
    </w:p>
    <w:p w14:paraId="019936DA" w14:textId="0DF0D7D6" w:rsidR="006E4FF7" w:rsidRPr="00D852EC" w:rsidRDefault="006E4FF7" w:rsidP="000A1317">
      <w:pPr>
        <w:pStyle w:val="Heading3"/>
        <w:rPr>
          <w:rFonts w:cs="Arial"/>
        </w:rPr>
      </w:pPr>
      <w:r w:rsidRPr="00D852EC">
        <w:t>Pre</w:t>
      </w:r>
      <w:r w:rsidR="00AD5DD9">
        <w:t>-</w:t>
      </w:r>
      <w:r w:rsidR="00AD5DD9" w:rsidRPr="00D852EC">
        <w:t xml:space="preserve">Filled </w:t>
      </w:r>
      <w:r w:rsidRPr="00D852EC">
        <w:t>Syringes</w:t>
      </w:r>
    </w:p>
    <w:p w14:paraId="6DDA025D" w14:textId="77777777" w:rsidR="006E4FF7" w:rsidRPr="00D852EC" w:rsidRDefault="006E4FF7" w:rsidP="000A1317">
      <w:pPr>
        <w:rPr>
          <w:rFonts w:cs="Arial"/>
          <w:szCs w:val="20"/>
        </w:rPr>
      </w:pPr>
      <w:r w:rsidRPr="00D852EC">
        <w:rPr>
          <w:rFonts w:cs="Arial"/>
          <w:szCs w:val="20"/>
        </w:rPr>
        <w:t xml:space="preserve">The pre-filled syringes are ready for immediate use. The whole length of the needle </w:t>
      </w:r>
      <w:proofErr w:type="gramStart"/>
      <w:r w:rsidRPr="00D852EC">
        <w:rPr>
          <w:rFonts w:cs="Arial"/>
          <w:szCs w:val="20"/>
        </w:rPr>
        <w:t>should be introduced</w:t>
      </w:r>
      <w:proofErr w:type="gramEnd"/>
      <w:r w:rsidRPr="00D852EC">
        <w:rPr>
          <w:rFonts w:cs="Arial"/>
          <w:szCs w:val="20"/>
        </w:rPr>
        <w:t xml:space="preserve"> vertically (at a 90° angle to the skin) into the thickness of a skin fold gently held between the operator's thumb and finger. This skin fold </w:t>
      </w:r>
      <w:proofErr w:type="gramStart"/>
      <w:r w:rsidRPr="00D852EC">
        <w:rPr>
          <w:rFonts w:cs="Arial"/>
          <w:szCs w:val="20"/>
        </w:rPr>
        <w:t>should be held</w:t>
      </w:r>
      <w:proofErr w:type="gramEnd"/>
      <w:r w:rsidRPr="00D852EC">
        <w:rPr>
          <w:rFonts w:cs="Arial"/>
          <w:szCs w:val="20"/>
        </w:rPr>
        <w:t xml:space="preserve"> throughout the duration of the injection.</w:t>
      </w:r>
    </w:p>
    <w:p w14:paraId="22C26727" w14:textId="20A58140" w:rsidR="006E4FF7" w:rsidRPr="00D852EC" w:rsidRDefault="006E4FF7" w:rsidP="000A1317">
      <w:pPr>
        <w:pStyle w:val="Heading3"/>
      </w:pPr>
      <w:r w:rsidRPr="00D852EC">
        <w:t>Graduated Pre</w:t>
      </w:r>
      <w:r w:rsidR="00AD5DD9">
        <w:t>-</w:t>
      </w:r>
      <w:r w:rsidR="00AD5DD9" w:rsidRPr="00D852EC">
        <w:t xml:space="preserve">Filled </w:t>
      </w:r>
      <w:r w:rsidRPr="00D852EC">
        <w:t>Syringes</w:t>
      </w:r>
    </w:p>
    <w:p w14:paraId="5E33C42C" w14:textId="3D986142" w:rsidR="006E4FF7" w:rsidRDefault="006E4FF7" w:rsidP="00FB45F5">
      <w:pPr>
        <w:spacing w:after="360"/>
        <w:rPr>
          <w:rFonts w:cs="Arial"/>
          <w:szCs w:val="20"/>
        </w:rPr>
      </w:pPr>
      <w:r w:rsidRPr="00D852EC">
        <w:rPr>
          <w:rFonts w:cs="Arial"/>
          <w:szCs w:val="20"/>
        </w:rPr>
        <w:t>When using the 60 mg, 80 mg, 100 mg, 120 mg and 150 mg graduated pre</w:t>
      </w:r>
      <w:r w:rsidR="009F48DA">
        <w:rPr>
          <w:rFonts w:cs="Arial"/>
          <w:szCs w:val="20"/>
        </w:rPr>
        <w:t>-</w:t>
      </w:r>
      <w:r w:rsidRPr="00D852EC">
        <w:rPr>
          <w:rFonts w:cs="Arial"/>
          <w:szCs w:val="20"/>
        </w:rPr>
        <w:t xml:space="preserve">filled syringes, the volume to </w:t>
      </w:r>
      <w:proofErr w:type="gramStart"/>
      <w:r w:rsidRPr="00D852EC">
        <w:rPr>
          <w:rFonts w:cs="Arial"/>
          <w:szCs w:val="20"/>
        </w:rPr>
        <w:t>be injected</w:t>
      </w:r>
      <w:proofErr w:type="gramEnd"/>
      <w:r w:rsidRPr="00D852EC">
        <w:rPr>
          <w:rFonts w:cs="Arial"/>
          <w:szCs w:val="20"/>
        </w:rPr>
        <w:t xml:space="preserve"> should be measured precisely according to the dosage recommended, without expelling the air bubble while adjusting dosage. If the dose required is exactly 60, 80, 100, 120 or 150 mg</w:t>
      </w:r>
      <w:r w:rsidR="009F48DA">
        <w:rPr>
          <w:rFonts w:cs="Arial"/>
          <w:szCs w:val="20"/>
        </w:rPr>
        <w:t>,</w:t>
      </w:r>
      <w:r w:rsidRPr="00D852EC">
        <w:rPr>
          <w:rFonts w:cs="Arial"/>
          <w:szCs w:val="20"/>
        </w:rPr>
        <w:t xml:space="preserve"> inject the full contents of the syringe. The whole length of the needle </w:t>
      </w:r>
      <w:proofErr w:type="gramStart"/>
      <w:r w:rsidRPr="00D852EC">
        <w:rPr>
          <w:rFonts w:cs="Arial"/>
          <w:szCs w:val="20"/>
        </w:rPr>
        <w:t>should be introduced</w:t>
      </w:r>
      <w:proofErr w:type="gramEnd"/>
      <w:r w:rsidRPr="00D852EC">
        <w:rPr>
          <w:rFonts w:cs="Arial"/>
          <w:szCs w:val="20"/>
        </w:rPr>
        <w:t xml:space="preserve"> vertically (at a 90° angle to the skin) into the thickness of a skin fold gently held between the operator's thumb and finger. This skin fold </w:t>
      </w:r>
      <w:proofErr w:type="gramStart"/>
      <w:r w:rsidRPr="00D852EC">
        <w:rPr>
          <w:rFonts w:cs="Arial"/>
          <w:szCs w:val="20"/>
        </w:rPr>
        <w:t>should be held</w:t>
      </w:r>
      <w:proofErr w:type="gramEnd"/>
      <w:r w:rsidRPr="00D852EC">
        <w:rPr>
          <w:rFonts w:cs="Arial"/>
          <w:szCs w:val="20"/>
        </w:rPr>
        <w:t xml:space="preserve"> throughout the duration of the injection.</w:t>
      </w:r>
    </w:p>
    <w:p w14:paraId="3CB57DEB" w14:textId="77777777" w:rsidR="001A3992" w:rsidRPr="00571478" w:rsidRDefault="001A3992" w:rsidP="000A1317">
      <w:pPr>
        <w:pStyle w:val="Heading2"/>
      </w:pPr>
      <w:bookmarkStart w:id="5" w:name="_Ref5878209"/>
      <w:r w:rsidRPr="00571478">
        <w:t>Contraindications</w:t>
      </w:r>
      <w:bookmarkEnd w:id="5"/>
    </w:p>
    <w:p w14:paraId="6908A600" w14:textId="415AEE9F" w:rsidR="00CA7F4D" w:rsidRPr="00BF6BF9" w:rsidRDefault="00CA7F4D" w:rsidP="000A1317">
      <w:pPr>
        <w:pStyle w:val="NormalBold"/>
        <w:numPr>
          <w:ilvl w:val="0"/>
          <w:numId w:val="24"/>
        </w:numPr>
      </w:pPr>
      <w:r w:rsidRPr="00BF6BF9">
        <w:t>Allergy to Enoxaparin, heparin or its derivatives including other low molecular weight heparins.</w:t>
      </w:r>
    </w:p>
    <w:p w14:paraId="0BD530C2" w14:textId="26837D3B" w:rsidR="00CA7F4D" w:rsidRPr="00BF6BF9" w:rsidRDefault="00CA7F4D" w:rsidP="000A1317">
      <w:pPr>
        <w:pStyle w:val="NormalBold"/>
        <w:numPr>
          <w:ilvl w:val="0"/>
          <w:numId w:val="24"/>
        </w:numPr>
      </w:pPr>
      <w:r w:rsidRPr="00BF6BF9">
        <w:t>Acute bacterial endocarditis.</w:t>
      </w:r>
    </w:p>
    <w:p w14:paraId="0CBC4564" w14:textId="3D40870D" w:rsidR="00CA7F4D" w:rsidRPr="00BF6BF9" w:rsidRDefault="00CA7F4D" w:rsidP="000A1317">
      <w:pPr>
        <w:pStyle w:val="NormalBold"/>
        <w:numPr>
          <w:ilvl w:val="0"/>
          <w:numId w:val="24"/>
        </w:numPr>
      </w:pPr>
      <w:r w:rsidRPr="00BF6BF9">
        <w:t>Conditions with a high risk of uncontrolled haemorrhage including major bleeding disorders, focal lesions, haemorrhagic stroke, active ulcerative conditions showing a tendency to haemorrhage (e.g. peptic ulcer, ulcerative colitis).</w:t>
      </w:r>
    </w:p>
    <w:p w14:paraId="27A53AF9" w14:textId="58E14CBF" w:rsidR="00CA7F4D" w:rsidRPr="00BF6BF9" w:rsidRDefault="00CA7F4D" w:rsidP="000A1317">
      <w:pPr>
        <w:pStyle w:val="NormalBold"/>
        <w:numPr>
          <w:ilvl w:val="0"/>
          <w:numId w:val="24"/>
        </w:numPr>
      </w:pPr>
      <w:r w:rsidRPr="00BF6BF9">
        <w:t xml:space="preserve">Thrombocytopenia associated with a positive </w:t>
      </w:r>
      <w:r w:rsidRPr="00AD5DD9">
        <w:rPr>
          <w:i/>
        </w:rPr>
        <w:t>in vitro</w:t>
      </w:r>
      <w:r w:rsidRPr="00BF6BF9">
        <w:t xml:space="preserve"> test for anti</w:t>
      </w:r>
      <w:r w:rsidR="00AD5DD9">
        <w:t>-</w:t>
      </w:r>
      <w:r w:rsidRPr="00BF6BF9">
        <w:t xml:space="preserve">platelet antibody in the presence of </w:t>
      </w:r>
      <w:r w:rsidR="005A0124" w:rsidRPr="00BF6BF9">
        <w:t xml:space="preserve">Enoxaparin </w:t>
      </w:r>
      <w:r w:rsidRPr="00BF6BF9">
        <w:t>sodium.</w:t>
      </w:r>
    </w:p>
    <w:p w14:paraId="2906EBC8" w14:textId="08A4036F" w:rsidR="00AD5DD9" w:rsidRPr="00BF6BF9" w:rsidRDefault="00AD5DD9" w:rsidP="00FB45F5">
      <w:pPr>
        <w:pStyle w:val="NormalBold"/>
        <w:numPr>
          <w:ilvl w:val="0"/>
          <w:numId w:val="24"/>
        </w:numPr>
        <w:spacing w:after="360"/>
        <w:ind w:left="714" w:hanging="357"/>
      </w:pPr>
      <w:r>
        <w:t xml:space="preserve">History of immune mediated heparin-induced thrombocytopenia (HIT) within the past 100 days or in the presence of circulating antibodies (see Section </w:t>
      </w:r>
      <w:r w:rsidR="00F3331C">
        <w:fldChar w:fldCharType="begin"/>
      </w:r>
      <w:r w:rsidR="00F3331C">
        <w:instrText xml:space="preserve"> REF _Ref878862 \r \h </w:instrText>
      </w:r>
      <w:r w:rsidR="00F3331C">
        <w:fldChar w:fldCharType="separate"/>
      </w:r>
      <w:r w:rsidR="006254D6">
        <w:t>4.4</w:t>
      </w:r>
      <w:r w:rsidR="00F3331C">
        <w:fldChar w:fldCharType="end"/>
      </w:r>
      <w:r>
        <w:t xml:space="preserve"> – </w:t>
      </w:r>
      <w:r w:rsidR="00F3331C">
        <w:fldChar w:fldCharType="begin"/>
      </w:r>
      <w:r w:rsidR="00F3331C">
        <w:instrText xml:space="preserve"> REF _Ref878862 \h </w:instrText>
      </w:r>
      <w:r w:rsidR="00F3331C">
        <w:fldChar w:fldCharType="separate"/>
      </w:r>
      <w:r w:rsidR="006254D6" w:rsidRPr="00571478">
        <w:t>Special Warnings and Precautions for Use</w:t>
      </w:r>
      <w:r w:rsidR="00F3331C">
        <w:fldChar w:fldCharType="end"/>
      </w:r>
      <w:r>
        <w:t xml:space="preserve">). </w:t>
      </w:r>
    </w:p>
    <w:p w14:paraId="19AC6A2E" w14:textId="34E60E5F" w:rsidR="001A3992" w:rsidRDefault="00E74A56" w:rsidP="000A1317">
      <w:pPr>
        <w:pStyle w:val="Heading2"/>
      </w:pPr>
      <w:bookmarkStart w:id="6" w:name="_Ref878862"/>
      <w:r w:rsidRPr="00571478">
        <w:t xml:space="preserve">Special </w:t>
      </w:r>
      <w:r w:rsidR="009F48DA" w:rsidRPr="00571478">
        <w:rPr>
          <w:caps w:val="0"/>
        </w:rPr>
        <w:t>W</w:t>
      </w:r>
      <w:r w:rsidRPr="00571478">
        <w:t xml:space="preserve">arnings and </w:t>
      </w:r>
      <w:r w:rsidR="009F48DA" w:rsidRPr="00571478">
        <w:rPr>
          <w:caps w:val="0"/>
        </w:rPr>
        <w:t>P</w:t>
      </w:r>
      <w:r w:rsidR="001A3992" w:rsidRPr="00571478">
        <w:t xml:space="preserve">recautions </w:t>
      </w:r>
      <w:r w:rsidRPr="00571478">
        <w:t xml:space="preserve">for </w:t>
      </w:r>
      <w:r w:rsidR="009F48DA" w:rsidRPr="00571478">
        <w:rPr>
          <w:caps w:val="0"/>
        </w:rPr>
        <w:t>U</w:t>
      </w:r>
      <w:r w:rsidRPr="00571478">
        <w:t>se</w:t>
      </w:r>
      <w:bookmarkEnd w:id="6"/>
    </w:p>
    <w:p w14:paraId="78C22BD3" w14:textId="028B0ED8" w:rsidR="00A7643B" w:rsidRDefault="00A7643B" w:rsidP="00A7643B">
      <w:pPr>
        <w:pStyle w:val="Heading3"/>
      </w:pPr>
      <w:r>
        <w:t>Traceability</w:t>
      </w:r>
    </w:p>
    <w:p w14:paraId="2BC521A7" w14:textId="21E47C2B" w:rsidR="00A7643B" w:rsidRPr="00A7643B" w:rsidRDefault="00A7643B" w:rsidP="00A7643B">
      <w:r w:rsidRPr="00A7643B">
        <w:t>In order to improve the traceability of biological medicines, the trade name and the batch number of the administered product should be clearly recorded in the patient’s medical record and/or dispensing record.</w:t>
      </w:r>
    </w:p>
    <w:p w14:paraId="71D9B5FF" w14:textId="77777777" w:rsidR="00101B36" w:rsidRPr="00101B36" w:rsidRDefault="00101B36" w:rsidP="000A1317">
      <w:pPr>
        <w:rPr>
          <w:b/>
        </w:rPr>
      </w:pPr>
      <w:r w:rsidRPr="00101B36">
        <w:rPr>
          <w:b/>
        </w:rPr>
        <w:t>LOW MOLECULAR WEIGHT HEPARIN PRODUCTS ARE NOT CLINICALLY INTERCHANGEABLE.</w:t>
      </w:r>
    </w:p>
    <w:p w14:paraId="3D64E6FF" w14:textId="77777777" w:rsidR="00101B36" w:rsidRPr="00101B36" w:rsidRDefault="00101B36" w:rsidP="000A1317">
      <w:r w:rsidRPr="00101B36">
        <w:lastRenderedPageBreak/>
        <w:t>They differ in their manufacturing process, molecular weights, specific anti-</w:t>
      </w:r>
      <w:proofErr w:type="spellStart"/>
      <w:r w:rsidRPr="00101B36">
        <w:t>Xa</w:t>
      </w:r>
      <w:proofErr w:type="spellEnd"/>
      <w:r w:rsidRPr="00101B36">
        <w:t xml:space="preserve"> activities, units and dosage. The biological activity of different low molecular weight heparins </w:t>
      </w:r>
      <w:proofErr w:type="gramStart"/>
      <w:r w:rsidRPr="00101B36">
        <w:t>cannot be expressed</w:t>
      </w:r>
      <w:proofErr w:type="gramEnd"/>
      <w:r w:rsidRPr="00101B36">
        <w:t xml:space="preserve"> in a test allowing for a simple dose comparison. Different low molecular weight heparins may not be bioequivalent in terms of their labelled anti-</w:t>
      </w:r>
      <w:proofErr w:type="spellStart"/>
      <w:r w:rsidRPr="00101B36">
        <w:t>Xa</w:t>
      </w:r>
      <w:proofErr w:type="spellEnd"/>
      <w:r w:rsidRPr="00101B36">
        <w:t xml:space="preserve"> activities and alternative products </w:t>
      </w:r>
      <w:proofErr w:type="gramStart"/>
      <w:r w:rsidRPr="00101B36">
        <w:t>should not be introduced nor interchanged during a course of treatment</w:t>
      </w:r>
      <w:proofErr w:type="gramEnd"/>
      <w:r w:rsidRPr="00101B36">
        <w:t>.</w:t>
      </w:r>
    </w:p>
    <w:p w14:paraId="5A5DBF29" w14:textId="77777777" w:rsidR="00101B36" w:rsidRPr="00101B36" w:rsidRDefault="00101B36" w:rsidP="000A1317">
      <w:r w:rsidRPr="00101B36">
        <w:t xml:space="preserve">Not to </w:t>
      </w:r>
      <w:proofErr w:type="gramStart"/>
      <w:r w:rsidRPr="00101B36">
        <w:t>be administered</w:t>
      </w:r>
      <w:proofErr w:type="gramEnd"/>
      <w:r w:rsidRPr="00101B36">
        <w:t xml:space="preserve"> by the intramuscular route. </w:t>
      </w:r>
    </w:p>
    <w:p w14:paraId="6CAC231D" w14:textId="77777777" w:rsidR="00101B36" w:rsidRPr="00101B36" w:rsidRDefault="00101B36" w:rsidP="000A1317">
      <w:pPr>
        <w:pStyle w:val="Heading3"/>
      </w:pPr>
      <w:r w:rsidRPr="00101B36">
        <w:t>Risk of Haemorrhage</w:t>
      </w:r>
    </w:p>
    <w:p w14:paraId="22CC0660" w14:textId="239C7A2C" w:rsidR="00101B36" w:rsidRPr="00101B36" w:rsidRDefault="00101B36" w:rsidP="000A1317">
      <w:r w:rsidRPr="00101B36">
        <w:t xml:space="preserve">Enoxaparin </w:t>
      </w:r>
      <w:proofErr w:type="gramStart"/>
      <w:r w:rsidRPr="00101B36">
        <w:t>should be used</w:t>
      </w:r>
      <w:proofErr w:type="gramEnd"/>
      <w:r w:rsidRPr="00101B36">
        <w:t xml:space="preserve"> with extreme caution in conditions with increased risk of haemorrhage, such as bacterial endocarditis, congenital or acquired bleeding disorders, active ulcerative and </w:t>
      </w:r>
      <w:proofErr w:type="spellStart"/>
      <w:r w:rsidRPr="00101B36">
        <w:t>angiodysplastic</w:t>
      </w:r>
      <w:proofErr w:type="spellEnd"/>
      <w:r w:rsidRPr="00101B36">
        <w:t xml:space="preserve"> gastrointestinal disease, h</w:t>
      </w:r>
      <w:r w:rsidR="00AD5DD9">
        <w:t>a</w:t>
      </w:r>
      <w:r w:rsidRPr="00101B36">
        <w:t xml:space="preserve">emorrhagic stroke, or shortly after brain, spinal, or ophthalmological surgery, or in patients treated concomitantly with platelet inhibitors. Major haemorrhages including retroperitoneal and intracranial bleeding </w:t>
      </w:r>
      <w:proofErr w:type="gramStart"/>
      <w:r w:rsidRPr="00101B36">
        <w:t>have been reported</w:t>
      </w:r>
      <w:proofErr w:type="gramEnd"/>
      <w:r w:rsidRPr="00101B36">
        <w:t xml:space="preserve">. Some of these cases have been fatal. As with other anticoagulants, bleeding can occur at any site during therapy with Enoxaparin (see </w:t>
      </w:r>
      <w:r w:rsidR="005C368F" w:rsidRPr="005C368F">
        <w:t xml:space="preserve">Section </w:t>
      </w:r>
      <w:r w:rsidR="00F3331C">
        <w:fldChar w:fldCharType="begin"/>
      </w:r>
      <w:r w:rsidR="00F3331C">
        <w:instrText xml:space="preserve"> REF _Ref5878180 \r \h </w:instrText>
      </w:r>
      <w:r w:rsidR="00F3331C">
        <w:fldChar w:fldCharType="separate"/>
      </w:r>
      <w:r w:rsidR="006254D6">
        <w:t>4.8</w:t>
      </w:r>
      <w:r w:rsidR="00F3331C">
        <w:fldChar w:fldCharType="end"/>
      </w:r>
      <w:r w:rsidR="005C368F" w:rsidRPr="005C368F">
        <w:t xml:space="preserve"> – </w:t>
      </w:r>
      <w:r w:rsidR="00F3331C">
        <w:fldChar w:fldCharType="begin"/>
      </w:r>
      <w:r w:rsidR="00F3331C">
        <w:instrText xml:space="preserve"> REF _Ref5878180 \h </w:instrText>
      </w:r>
      <w:r w:rsidR="00F3331C">
        <w:fldChar w:fldCharType="separate"/>
      </w:r>
      <w:r w:rsidR="006254D6" w:rsidRPr="00571478">
        <w:t>Adverse Effects (Undesirable Effects)</w:t>
      </w:r>
      <w:r w:rsidR="00F3331C">
        <w:fldChar w:fldCharType="end"/>
      </w:r>
      <w:r w:rsidRPr="00101B36">
        <w:t>). An unexplained fall in h</w:t>
      </w:r>
      <w:r w:rsidR="00AD5DD9">
        <w:t>a</w:t>
      </w:r>
      <w:r w:rsidRPr="00101B36">
        <w:t>ematocrit or blood pressure should lead to a search for a bleeding site and appropriate treatment instituted.</w:t>
      </w:r>
    </w:p>
    <w:p w14:paraId="66527CAD" w14:textId="77777777" w:rsidR="00101B36" w:rsidRPr="00101B36" w:rsidRDefault="00101B36" w:rsidP="000A1317">
      <w:pPr>
        <w:pStyle w:val="Heading3"/>
      </w:pPr>
      <w:r w:rsidRPr="00101B36">
        <w:t>Concomitant Medical Conditions</w:t>
      </w:r>
    </w:p>
    <w:p w14:paraId="0585DCBB" w14:textId="77777777" w:rsidR="00101B36" w:rsidRPr="00101B36" w:rsidRDefault="00101B36" w:rsidP="000A1317">
      <w:r w:rsidRPr="00101B36">
        <w:t xml:space="preserve">Enoxaparin </w:t>
      </w:r>
      <w:proofErr w:type="gramStart"/>
      <w:r w:rsidRPr="00101B36">
        <w:t>should be used</w:t>
      </w:r>
      <w:proofErr w:type="gramEnd"/>
      <w:r w:rsidRPr="00101B36">
        <w:t xml:space="preserve"> with care in patients with the following conditions: hepatic insufficiency, a bleeding diathesis, uncontrolled arterial hypertension, a history of gastrointestinal ulceration, impaired haemostasis, recent ischaemic stroke, diabetic retinopathy, recent neuro- or ophthalmologic surgery and haemorrhage.</w:t>
      </w:r>
    </w:p>
    <w:p w14:paraId="529E5669" w14:textId="77777777" w:rsidR="00101B36" w:rsidRPr="00101B36" w:rsidRDefault="00101B36" w:rsidP="000A1317">
      <w:pPr>
        <w:pStyle w:val="Heading3"/>
      </w:pPr>
      <w:r w:rsidRPr="00101B36">
        <w:t>Heparin-Induced Thrombocytopenia</w:t>
      </w:r>
    </w:p>
    <w:p w14:paraId="64CAD0F3" w14:textId="2DF9E2E6" w:rsidR="005C368F" w:rsidRDefault="005C368F" w:rsidP="000A1317">
      <w:r w:rsidRPr="005C368F">
        <w:t xml:space="preserve">Use of </w:t>
      </w:r>
      <w:r w:rsidR="005A0124" w:rsidRPr="005C368F">
        <w:t xml:space="preserve">Enoxaparin </w:t>
      </w:r>
      <w:r w:rsidRPr="005C368F">
        <w:t xml:space="preserve">sodium in patients with a history of immune mediated HIT within the past 100 days or in the presence of circulating antibodies </w:t>
      </w:r>
      <w:proofErr w:type="gramStart"/>
      <w:r w:rsidRPr="005C368F">
        <w:t>is contr</w:t>
      </w:r>
      <w:r>
        <w:t>aindicated</w:t>
      </w:r>
      <w:proofErr w:type="gramEnd"/>
      <w:r>
        <w:t xml:space="preserve"> (see Section </w:t>
      </w:r>
      <w:r w:rsidR="00F3331C">
        <w:fldChar w:fldCharType="begin"/>
      </w:r>
      <w:r w:rsidR="00F3331C">
        <w:instrText xml:space="preserve"> REF _Ref5878209 \r \h </w:instrText>
      </w:r>
      <w:r w:rsidR="00F3331C">
        <w:fldChar w:fldCharType="separate"/>
      </w:r>
      <w:r w:rsidR="006254D6">
        <w:t>4.3</w:t>
      </w:r>
      <w:r w:rsidR="00F3331C">
        <w:fldChar w:fldCharType="end"/>
      </w:r>
      <w:r>
        <w:t xml:space="preserve"> – </w:t>
      </w:r>
      <w:r w:rsidR="00F3331C">
        <w:fldChar w:fldCharType="begin"/>
      </w:r>
      <w:r w:rsidR="00F3331C">
        <w:instrText xml:space="preserve"> REF _Ref5878209 \h </w:instrText>
      </w:r>
      <w:r w:rsidR="00F3331C">
        <w:fldChar w:fldCharType="separate"/>
      </w:r>
      <w:r w:rsidR="006254D6" w:rsidRPr="00571478">
        <w:t>Contraindications</w:t>
      </w:r>
      <w:r w:rsidR="00F3331C">
        <w:fldChar w:fldCharType="end"/>
      </w:r>
      <w:r w:rsidRPr="005C368F">
        <w:t>). Circulating antibodies may persist for several years</w:t>
      </w:r>
      <w:r>
        <w:t>.</w:t>
      </w:r>
    </w:p>
    <w:p w14:paraId="1F65D449" w14:textId="5ACF7492" w:rsidR="00101B36" w:rsidRPr="00101B36" w:rsidRDefault="00101B36" w:rsidP="000A1317">
      <w:r w:rsidRPr="00101B36">
        <w:t xml:space="preserve">Enoxaparin is to </w:t>
      </w:r>
      <w:proofErr w:type="gramStart"/>
      <w:r w:rsidRPr="00101B36">
        <w:t>be used</w:t>
      </w:r>
      <w:proofErr w:type="gramEnd"/>
      <w:r w:rsidRPr="00101B36">
        <w:t xml:space="preserve"> with extreme care in patients with a history </w:t>
      </w:r>
      <w:r w:rsidR="005C368F">
        <w:t xml:space="preserve">(more than 100 days) </w:t>
      </w:r>
      <w:r w:rsidRPr="00101B36">
        <w:t xml:space="preserve">of heparin-induced (including low molecular weight heparins) thrombocytopenia without </w:t>
      </w:r>
      <w:r w:rsidR="005C368F">
        <w:t>circulating antibodies</w:t>
      </w:r>
      <w:r w:rsidRPr="00101B36">
        <w:t xml:space="preserve">. </w:t>
      </w:r>
      <w:r w:rsidR="005C368F" w:rsidRPr="005C368F">
        <w:t xml:space="preserve">Circulating antibodies may persist for several years. If history of heparin-induced thrombocytopenia </w:t>
      </w:r>
      <w:proofErr w:type="gramStart"/>
      <w:r w:rsidR="005C368F" w:rsidRPr="005C368F">
        <w:t>is suspected</w:t>
      </w:r>
      <w:proofErr w:type="gramEnd"/>
      <w:r w:rsidR="005C368F" w:rsidRPr="005C368F">
        <w:t xml:space="preserve">, </w:t>
      </w:r>
      <w:r w:rsidR="005C368F" w:rsidRPr="005C368F">
        <w:rPr>
          <w:i/>
        </w:rPr>
        <w:t>in vitro</w:t>
      </w:r>
      <w:r w:rsidR="005C368F" w:rsidRPr="005C368F">
        <w:t xml:space="preserve"> platelet aggregation tests have limited predictive value. The decision to use </w:t>
      </w:r>
      <w:r w:rsidR="005C368F">
        <w:t>Enoxaparin</w:t>
      </w:r>
      <w:r w:rsidR="005C368F" w:rsidRPr="005C368F">
        <w:t xml:space="preserve"> in such a case </w:t>
      </w:r>
      <w:proofErr w:type="gramStart"/>
      <w:r w:rsidR="005C368F" w:rsidRPr="005C368F">
        <w:t>must be made</w:t>
      </w:r>
      <w:proofErr w:type="gramEnd"/>
      <w:r w:rsidR="005C368F" w:rsidRPr="005C368F">
        <w:t xml:space="preserve"> only after a careful benefit risk assessment and after non-heparin alternative treatments are considered, and only in consultation with an expert in the field</w:t>
      </w:r>
      <w:r w:rsidR="00F3331C">
        <w:t>.</w:t>
      </w:r>
    </w:p>
    <w:p w14:paraId="7866B14B" w14:textId="77777777" w:rsidR="00101B36" w:rsidRPr="00101B36" w:rsidRDefault="00101B36" w:rsidP="000A1317">
      <w:pPr>
        <w:pStyle w:val="Heading3"/>
      </w:pPr>
      <w:r w:rsidRPr="00101B36">
        <w:t>Spinal/Epidural Anaesthesia</w:t>
      </w:r>
    </w:p>
    <w:p w14:paraId="16AC8056" w14:textId="261FAFDE" w:rsidR="00101B36" w:rsidRPr="00101B36" w:rsidRDefault="005C368F" w:rsidP="000A1317">
      <w:r>
        <w:t>There</w:t>
      </w:r>
      <w:r w:rsidR="00101B36" w:rsidRPr="00101B36">
        <w:t xml:space="preserve"> have been rare cases of </w:t>
      </w:r>
      <w:proofErr w:type="spellStart"/>
      <w:r w:rsidR="00101B36" w:rsidRPr="00101B36">
        <w:t>neuraxial</w:t>
      </w:r>
      <w:proofErr w:type="spellEnd"/>
      <w:r w:rsidR="00101B36" w:rsidRPr="00101B36">
        <w:t xml:space="preserve"> haematomas reported with the concurrent use of Enoxaparin and spinal/epidural anaesthesia resulting in long-term or permanent paralysis. These events are rare with Enoxaparin dosage regimens 40 mg once daily or lower. The risk is greater with higher Enoxaparin dosage regimens, use of post-operative indwelling catheters or the concomitant use of additional drugs affecting haemostasis such as non-steroidal anti-inflammatory drugs (NSAIDs) (See </w:t>
      </w:r>
      <w:r>
        <w:t xml:space="preserve">Section 4.5 – </w:t>
      </w:r>
      <w:r w:rsidRPr="005C368F">
        <w:t xml:space="preserve">Interactions with Other Medicines and Other Forms of </w:t>
      </w:r>
      <w:r w:rsidR="00E027A7" w:rsidRPr="005C368F">
        <w:t>Interactions</w:t>
      </w:r>
      <w:r w:rsidR="00101B36" w:rsidRPr="00101B36">
        <w:t xml:space="preserve">). The risk also appears to </w:t>
      </w:r>
      <w:proofErr w:type="gramStart"/>
      <w:r w:rsidR="00101B36" w:rsidRPr="00101B36">
        <w:t>be increased</w:t>
      </w:r>
      <w:proofErr w:type="gramEnd"/>
      <w:r w:rsidR="00101B36" w:rsidRPr="00101B36">
        <w:t xml:space="preserve"> by traumatic or repeated </w:t>
      </w:r>
      <w:proofErr w:type="spellStart"/>
      <w:r w:rsidR="00101B36" w:rsidRPr="00101B36">
        <w:t>neuraxial</w:t>
      </w:r>
      <w:proofErr w:type="spellEnd"/>
      <w:r w:rsidR="00101B36" w:rsidRPr="00101B36">
        <w:t xml:space="preserve"> puncture or in patients with a history of spinal surgery or spinal deformity.</w:t>
      </w:r>
    </w:p>
    <w:p w14:paraId="692F50ED" w14:textId="03846B1A" w:rsidR="00101B36" w:rsidRPr="00101B36" w:rsidRDefault="00101B36" w:rsidP="000A1317">
      <w:r w:rsidRPr="00101B36">
        <w:t xml:space="preserve">To reduce the potential risk of bleeding associated with the concurrent use of Enoxaparin and epidural or spinal anaesthesia/analgesia, the pharmacokinetic profile of the drug </w:t>
      </w:r>
      <w:proofErr w:type="gramStart"/>
      <w:r w:rsidRPr="00101B36">
        <w:t xml:space="preserve">should be </w:t>
      </w:r>
      <w:r w:rsidRPr="00101B36">
        <w:lastRenderedPageBreak/>
        <w:t>considered</w:t>
      </w:r>
      <w:proofErr w:type="gramEnd"/>
      <w:r w:rsidRPr="00101B36">
        <w:t xml:space="preserve"> (see </w:t>
      </w:r>
      <w:r w:rsidR="005C368F" w:rsidRPr="005C368F">
        <w:t xml:space="preserve">Section </w:t>
      </w:r>
      <w:r w:rsidR="00F3331C">
        <w:fldChar w:fldCharType="begin"/>
      </w:r>
      <w:r w:rsidR="00F3331C">
        <w:instrText xml:space="preserve"> REF _Ref5878248 \r \h </w:instrText>
      </w:r>
      <w:r w:rsidR="00F3331C">
        <w:fldChar w:fldCharType="separate"/>
      </w:r>
      <w:r w:rsidR="006254D6">
        <w:t>5.2</w:t>
      </w:r>
      <w:r w:rsidR="00F3331C">
        <w:fldChar w:fldCharType="end"/>
      </w:r>
      <w:r w:rsidR="005C368F" w:rsidRPr="005C368F">
        <w:t xml:space="preserve"> – </w:t>
      </w:r>
      <w:r w:rsidR="00F3331C">
        <w:fldChar w:fldCharType="begin"/>
      </w:r>
      <w:r w:rsidR="00F3331C">
        <w:instrText xml:space="preserve"> REF _Ref5878248 \h </w:instrText>
      </w:r>
      <w:r w:rsidR="00F3331C">
        <w:fldChar w:fldCharType="separate"/>
      </w:r>
      <w:r w:rsidR="006254D6" w:rsidRPr="00571478">
        <w:t>Pharmacokinetic Properties</w:t>
      </w:r>
      <w:r w:rsidR="00F3331C">
        <w:fldChar w:fldCharType="end"/>
      </w:r>
      <w:r w:rsidRPr="00101B36">
        <w:t xml:space="preserve">). Placement and removal of the needle/catheter </w:t>
      </w:r>
      <w:proofErr w:type="gramStart"/>
      <w:r w:rsidRPr="00101B36">
        <w:t>is best performed</w:t>
      </w:r>
      <w:proofErr w:type="gramEnd"/>
      <w:r w:rsidRPr="00101B36">
        <w:t xml:space="preserve"> when the anticoagulant effect of enoxaparin is low</w:t>
      </w:r>
      <w:r w:rsidR="005C368F">
        <w:t xml:space="preserve">; </w:t>
      </w:r>
      <w:r w:rsidR="005C368F" w:rsidRPr="005C368F">
        <w:t>however, the exact timing to reach a sufficiently low anticoagulant effect in each patient is not known.</w:t>
      </w:r>
    </w:p>
    <w:p w14:paraId="5FF9C883" w14:textId="372E5CAB" w:rsidR="00101B36" w:rsidRPr="00101B36" w:rsidRDefault="00101B36" w:rsidP="000A1317">
      <w:proofErr w:type="gramStart"/>
      <w:r w:rsidRPr="00101B36">
        <w:t xml:space="preserve">Placement or removal of an epidural or spinal needle or catheter should be delayed for at least 12 hours after administration of </w:t>
      </w:r>
      <w:r w:rsidR="005C368F">
        <w:t>lower doses</w:t>
      </w:r>
      <w:r w:rsidRPr="00101B36">
        <w:t xml:space="preserve"> (20 mg </w:t>
      </w:r>
      <w:r w:rsidR="005C368F">
        <w:t xml:space="preserve">once daily </w:t>
      </w:r>
      <w:r w:rsidRPr="00101B36">
        <w:t>or 40 mg once daily)</w:t>
      </w:r>
      <w:r w:rsidR="005C368F">
        <w:t xml:space="preserve"> of Enoxaparin, </w:t>
      </w:r>
      <w:r w:rsidR="005C368F" w:rsidRPr="005C368F">
        <w:t>and at least 24 hours after the administration of higher doses (0.75</w:t>
      </w:r>
      <w:r w:rsidR="005C368F">
        <w:t xml:space="preserve"> </w:t>
      </w:r>
      <w:r w:rsidR="005C368F" w:rsidRPr="005C368F">
        <w:t>mg/kg twice daily, 1 mg/kg twice daily, or 1.5</w:t>
      </w:r>
      <w:r w:rsidR="005C368F">
        <w:t xml:space="preserve"> </w:t>
      </w:r>
      <w:r w:rsidR="005C368F" w:rsidRPr="005C368F">
        <w:t xml:space="preserve">mg/kg once daily) of </w:t>
      </w:r>
      <w:r w:rsidR="005A0124" w:rsidRPr="005C368F">
        <w:t>Enoxaparin</w:t>
      </w:r>
      <w:r w:rsidR="005C368F" w:rsidRPr="005C368F">
        <w:t>.</w:t>
      </w:r>
      <w:proofErr w:type="gramEnd"/>
      <w:r w:rsidR="005C368F" w:rsidRPr="005C368F">
        <w:t xml:space="preserve"> Anti-</w:t>
      </w:r>
      <w:proofErr w:type="spellStart"/>
      <w:r w:rsidR="005C368F" w:rsidRPr="005C368F">
        <w:t>Xa</w:t>
      </w:r>
      <w:proofErr w:type="spellEnd"/>
      <w:r w:rsidR="005C368F" w:rsidRPr="005C368F">
        <w:t xml:space="preserve"> levels are still detectable at these time points, and these delays are not a guarantee that </w:t>
      </w:r>
      <w:proofErr w:type="spellStart"/>
      <w:r w:rsidR="005C368F" w:rsidRPr="005C368F">
        <w:t>neuraxial</w:t>
      </w:r>
      <w:proofErr w:type="spellEnd"/>
      <w:r w:rsidR="005C368F" w:rsidRPr="005C368F">
        <w:t xml:space="preserve"> haematoma will be avoided. Patients receiving the 0.75</w:t>
      </w:r>
      <w:r w:rsidR="005C368F">
        <w:t xml:space="preserve"> </w:t>
      </w:r>
      <w:r w:rsidR="005C368F" w:rsidRPr="005C368F">
        <w:t>mg/kg twice daily dose or the 1</w:t>
      </w:r>
      <w:r w:rsidR="005C368F">
        <w:t xml:space="preserve"> </w:t>
      </w:r>
      <w:r w:rsidR="005C368F" w:rsidRPr="005C368F">
        <w:t xml:space="preserve">mg/kg </w:t>
      </w:r>
      <w:proofErr w:type="gramStart"/>
      <w:r w:rsidR="005C368F" w:rsidRPr="005C368F">
        <w:t>twice daily</w:t>
      </w:r>
      <w:proofErr w:type="gramEnd"/>
      <w:r w:rsidR="005C368F" w:rsidRPr="005C368F">
        <w:t xml:space="preserve"> dose should not receive the second Enoxaparin dose in the twice daily regimen to allow a longer delay before catheter placement or removal. Likewise, although a specific recommendation for timing of a subsequent </w:t>
      </w:r>
      <w:r w:rsidR="005A0124" w:rsidRPr="005C368F">
        <w:t xml:space="preserve">Enoxaparin </w:t>
      </w:r>
      <w:r w:rsidR="005C368F" w:rsidRPr="005C368F">
        <w:t xml:space="preserve">dose after catheter removal </w:t>
      </w:r>
      <w:proofErr w:type="gramStart"/>
      <w:r w:rsidR="005C368F" w:rsidRPr="005C368F">
        <w:t>cannot be made</w:t>
      </w:r>
      <w:proofErr w:type="gramEnd"/>
      <w:r w:rsidR="005C368F" w:rsidRPr="005C368F">
        <w:t xml:space="preserve">, consider delaying this next dose for at least four hours, based on a benefit-risk assessment considering both the risk for thrombosis and the risk for bleeding in the context of the procedure and patient risk factors. </w:t>
      </w:r>
      <w:proofErr w:type="gramStart"/>
      <w:r w:rsidR="005C368F" w:rsidRPr="005C368F">
        <w:t xml:space="preserve">For patients with creatinine clearance </w:t>
      </w:r>
      <w:r w:rsidR="005C368F">
        <w:br/>
      </w:r>
      <w:r w:rsidR="005C368F" w:rsidRPr="005C368F">
        <w:t>&lt;30</w:t>
      </w:r>
      <w:r w:rsidR="005C368F">
        <w:t xml:space="preserve"> mL</w:t>
      </w:r>
      <w:r w:rsidR="005C368F" w:rsidRPr="005C368F">
        <w:t xml:space="preserve">/minute, additional considerations are necessary because elimination of </w:t>
      </w:r>
      <w:r w:rsidR="005A0124" w:rsidRPr="005C368F">
        <w:t xml:space="preserve">Enoxaparin </w:t>
      </w:r>
      <w:r w:rsidR="005C368F" w:rsidRPr="005C368F">
        <w:t xml:space="preserve">is more prolonged; consider doubling the timing of removal of a catheter, at least 24 hours for the lower prescribed dose of </w:t>
      </w:r>
      <w:r w:rsidR="005A0124" w:rsidRPr="005C368F">
        <w:t xml:space="preserve">Enoxaparin </w:t>
      </w:r>
      <w:r w:rsidR="005C368F" w:rsidRPr="005C368F">
        <w:t>(20</w:t>
      </w:r>
      <w:r w:rsidR="005C368F">
        <w:t xml:space="preserve"> </w:t>
      </w:r>
      <w:r w:rsidR="005C368F" w:rsidRPr="005C368F">
        <w:t>mg once daily or 40 mg once daily) and at least 48 hours for the higher dose (0.75</w:t>
      </w:r>
      <w:r w:rsidR="005C368F">
        <w:t xml:space="preserve"> </w:t>
      </w:r>
      <w:r w:rsidR="005C368F" w:rsidRPr="005C368F">
        <w:t>mg/kg/twice daily, 1</w:t>
      </w:r>
      <w:r w:rsidR="005C368F">
        <w:t xml:space="preserve"> </w:t>
      </w:r>
      <w:r w:rsidR="005C368F" w:rsidRPr="005C368F">
        <w:t>mg/kg/twice daily or 1.5</w:t>
      </w:r>
      <w:r w:rsidR="005C368F">
        <w:t xml:space="preserve"> </w:t>
      </w:r>
      <w:r w:rsidR="005C368F" w:rsidRPr="005C368F">
        <w:t xml:space="preserve">mg/kg/once daily).The patient’s regular </w:t>
      </w:r>
      <w:r w:rsidR="005C368F">
        <w:t>Enoxaparin</w:t>
      </w:r>
      <w:r w:rsidR="005C368F" w:rsidRPr="005C368F">
        <w:t xml:space="preserve"> dose may need to be delayed to ensure this.</w:t>
      </w:r>
      <w:proofErr w:type="gramEnd"/>
      <w:r w:rsidR="005C368F" w:rsidRPr="005C368F">
        <w:t xml:space="preserve"> If blood is present during needle/catheter placement, the subsequent dose of </w:t>
      </w:r>
      <w:r w:rsidR="005C368F">
        <w:t>Enoxaparin</w:t>
      </w:r>
      <w:r w:rsidR="005C368F" w:rsidRPr="005C368F">
        <w:t xml:space="preserve"> </w:t>
      </w:r>
      <w:proofErr w:type="gramStart"/>
      <w:r w:rsidR="005C368F" w:rsidRPr="005C368F">
        <w:t>should be delayed</w:t>
      </w:r>
      <w:proofErr w:type="gramEnd"/>
      <w:r w:rsidR="005C368F" w:rsidRPr="005C368F">
        <w:t xml:space="preserve"> for 24 hours after placement.</w:t>
      </w:r>
    </w:p>
    <w:p w14:paraId="43904908" w14:textId="77777777" w:rsidR="00101B36" w:rsidRPr="00101B36" w:rsidRDefault="00101B36" w:rsidP="000A1317">
      <w:r w:rsidRPr="00101B36">
        <w:t xml:space="preserve">Should the physician decide to administer anticoagulation in the context of epidural/spinal anaesthesia, extreme vigilance and frequent monitoring must be exercised to detect any signs and symptoms of spinal haematoma such as midline back pain, sensory and motor deficits (numbness or weakness in lower limbs), bowel and/or bladder dysfunction. Patients </w:t>
      </w:r>
      <w:proofErr w:type="gramStart"/>
      <w:r w:rsidRPr="00101B36">
        <w:t>should be instructed</w:t>
      </w:r>
      <w:proofErr w:type="gramEnd"/>
      <w:r w:rsidRPr="00101B36">
        <w:t xml:space="preserve"> to inform their physician immediately if they experience any of the above signs or symptoms. If signs or symptoms of spinal haematoma </w:t>
      </w:r>
      <w:proofErr w:type="gramStart"/>
      <w:r w:rsidRPr="00101B36">
        <w:t>are suspected</w:t>
      </w:r>
      <w:proofErr w:type="gramEnd"/>
      <w:r w:rsidRPr="00101B36">
        <w:t>, urgent diagnosis and treatment including spinal cord decompression should be initiated.</w:t>
      </w:r>
    </w:p>
    <w:p w14:paraId="0C2935DC" w14:textId="77777777" w:rsidR="00101B36" w:rsidRPr="00101B36" w:rsidRDefault="00101B36" w:rsidP="000A1317">
      <w:pPr>
        <w:pStyle w:val="Heading3"/>
      </w:pPr>
      <w:r w:rsidRPr="00101B36">
        <w:t>Thrombocytopenia</w:t>
      </w:r>
    </w:p>
    <w:p w14:paraId="2403E2F5" w14:textId="77777777" w:rsidR="00101B36" w:rsidRPr="00101B36" w:rsidRDefault="00101B36" w:rsidP="000A1317">
      <w:r w:rsidRPr="00101B36">
        <w:t>Thrombocytopenia can occur with the administration of Enoxaparin. Moderate thrombocytopenia (platelet counts between 100,000/mm</w:t>
      </w:r>
      <w:r w:rsidRPr="00CA666C">
        <w:rPr>
          <w:vertAlign w:val="superscript"/>
        </w:rPr>
        <w:t>3</w:t>
      </w:r>
      <w:r w:rsidRPr="00101B36">
        <w:t xml:space="preserve"> and 50,000/mm</w:t>
      </w:r>
      <w:r w:rsidRPr="00CA666C">
        <w:rPr>
          <w:vertAlign w:val="superscript"/>
        </w:rPr>
        <w:t>3</w:t>
      </w:r>
      <w:r w:rsidRPr="00101B36">
        <w:t>) occurred at a rate of 1.3% in patients given Enoxaparin, 1.2% in patients given heparin, and 0.7% in patients given placebo in clinical trials. Platelet counts less than 50,000/mm</w:t>
      </w:r>
      <w:r w:rsidRPr="00CA666C">
        <w:rPr>
          <w:vertAlign w:val="superscript"/>
        </w:rPr>
        <w:t>3</w:t>
      </w:r>
      <w:r w:rsidRPr="00101B36">
        <w:t xml:space="preserve"> occurred at a rate of 0.1% in patients given Enoxaparin, in 0.2% of patients given heparin, and 0.4% of patients given placebo in the same trials. Thrombocytopenia of any degree </w:t>
      </w:r>
      <w:proofErr w:type="gramStart"/>
      <w:r w:rsidRPr="00101B36">
        <w:t>should be monitored</w:t>
      </w:r>
      <w:proofErr w:type="gramEnd"/>
      <w:r w:rsidRPr="00101B36">
        <w:t xml:space="preserve"> closely. If the platelet count falls below 100,000/mm</w:t>
      </w:r>
      <w:r w:rsidRPr="00CA666C">
        <w:rPr>
          <w:vertAlign w:val="superscript"/>
        </w:rPr>
        <w:t>3</w:t>
      </w:r>
      <w:r w:rsidRPr="00101B36">
        <w:t xml:space="preserve">, Enoxaparin </w:t>
      </w:r>
      <w:proofErr w:type="gramStart"/>
      <w:r w:rsidRPr="00101B36">
        <w:t>should be discontinued</w:t>
      </w:r>
      <w:proofErr w:type="gramEnd"/>
      <w:r w:rsidRPr="00101B36">
        <w:t xml:space="preserve">. Cases of heparin-induced thrombocytopenia with thrombosis </w:t>
      </w:r>
      <w:proofErr w:type="gramStart"/>
      <w:r w:rsidRPr="00101B36">
        <w:t>have also been observed</w:t>
      </w:r>
      <w:proofErr w:type="gramEnd"/>
      <w:r w:rsidRPr="00101B36">
        <w:t xml:space="preserve"> in clinical practice. Some of these cases </w:t>
      </w:r>
      <w:proofErr w:type="gramStart"/>
      <w:r w:rsidRPr="00101B36">
        <w:t>were complicated</w:t>
      </w:r>
      <w:proofErr w:type="gramEnd"/>
      <w:r w:rsidRPr="00101B36">
        <w:t xml:space="preserve"> by organ infarction, limb ischemia, or death.</w:t>
      </w:r>
    </w:p>
    <w:p w14:paraId="19E258BD" w14:textId="77777777" w:rsidR="00101B36" w:rsidRPr="00101B36" w:rsidRDefault="00101B36" w:rsidP="000A1317">
      <w:pPr>
        <w:pStyle w:val="Heading3"/>
      </w:pPr>
      <w:bookmarkStart w:id="7" w:name="_Ref878876"/>
      <w:r w:rsidRPr="00101B36">
        <w:t>Prosthetic Heart Valves</w:t>
      </w:r>
      <w:bookmarkEnd w:id="7"/>
    </w:p>
    <w:p w14:paraId="1B73100C" w14:textId="2EF0C8E6" w:rsidR="00101B36" w:rsidRPr="00101B36" w:rsidRDefault="00101B36" w:rsidP="000A1317">
      <w:r w:rsidRPr="00101B36">
        <w:t xml:space="preserve">There have been no adequate studies to assess the safe and effective use of Enoxaparin in preventing thromboembolism in patients with prosthetic heart valves. Cases of prosthetic heart valve thrombosis </w:t>
      </w:r>
      <w:proofErr w:type="gramStart"/>
      <w:r w:rsidRPr="00101B36">
        <w:t>have been reported</w:t>
      </w:r>
      <w:proofErr w:type="gramEnd"/>
      <w:r w:rsidRPr="00101B36">
        <w:t xml:space="preserve"> in patients with prosthetic heart valves who have received </w:t>
      </w:r>
      <w:r w:rsidR="005A0124" w:rsidRPr="00101B36">
        <w:t xml:space="preserve">Enoxaparin </w:t>
      </w:r>
      <w:r w:rsidRPr="00101B36">
        <w:t xml:space="preserve">for </w:t>
      </w:r>
      <w:proofErr w:type="spellStart"/>
      <w:r w:rsidRPr="00101B36">
        <w:t>thromboprophylaxis</w:t>
      </w:r>
      <w:proofErr w:type="spellEnd"/>
      <w:r w:rsidRPr="00101B36">
        <w:t xml:space="preserve">. Confounding factors, including underlying disease and insufficient clinical data, limit the evaluation of these cases. Some of these cases were pregnant women in whom thrombosis led to maternal and foetal death. Pregnant women with mechanical prosthetic heart valves may be at higher risk for thromboembolism (see </w:t>
      </w:r>
      <w:r w:rsidR="00CA666C" w:rsidRPr="00CA666C">
        <w:lastRenderedPageBreak/>
        <w:t xml:space="preserve">Section </w:t>
      </w:r>
      <w:r w:rsidR="00F3331C">
        <w:fldChar w:fldCharType="begin"/>
      </w:r>
      <w:r w:rsidR="00F3331C">
        <w:instrText xml:space="preserve"> REF _Ref952569 \r \h </w:instrText>
      </w:r>
      <w:r w:rsidR="00F3331C">
        <w:fldChar w:fldCharType="separate"/>
      </w:r>
      <w:r w:rsidR="006254D6">
        <w:t>4.6</w:t>
      </w:r>
      <w:r w:rsidR="00F3331C">
        <w:fldChar w:fldCharType="end"/>
      </w:r>
      <w:r w:rsidR="00CA666C" w:rsidRPr="00CA666C">
        <w:t xml:space="preserve"> – </w:t>
      </w:r>
      <w:r w:rsidR="00F3331C">
        <w:fldChar w:fldCharType="begin"/>
      </w:r>
      <w:r w:rsidR="00F3331C">
        <w:instrText xml:space="preserve"> REF _Ref952569 \h </w:instrText>
      </w:r>
      <w:r w:rsidR="00F3331C">
        <w:fldChar w:fldCharType="separate"/>
      </w:r>
      <w:r w:rsidR="006254D6" w:rsidRPr="00571478">
        <w:t>Fertility, Pregnancy and Lactation</w:t>
      </w:r>
      <w:r w:rsidR="00F3331C">
        <w:fldChar w:fldCharType="end"/>
      </w:r>
      <w:r w:rsidRPr="00101B36">
        <w:t xml:space="preserve">). The use of Enoxaparin </w:t>
      </w:r>
      <w:proofErr w:type="gramStart"/>
      <w:r w:rsidRPr="00101B36">
        <w:t>cannot be recommended</w:t>
      </w:r>
      <w:proofErr w:type="gramEnd"/>
      <w:r w:rsidRPr="00101B36">
        <w:t xml:space="preserve"> for this purpose.</w:t>
      </w:r>
    </w:p>
    <w:p w14:paraId="0797C93A" w14:textId="77777777" w:rsidR="00101B36" w:rsidRPr="00101B36" w:rsidRDefault="00101B36" w:rsidP="000A1317">
      <w:pPr>
        <w:pStyle w:val="Heading3"/>
      </w:pPr>
      <w:bookmarkStart w:id="8" w:name="_Ref5877755"/>
      <w:r w:rsidRPr="00101B36">
        <w:t>Percutaneous Coronary Revascularisation Procedures</w:t>
      </w:r>
      <w:bookmarkEnd w:id="8"/>
    </w:p>
    <w:p w14:paraId="650F6ABE" w14:textId="582ECA5E" w:rsidR="00101B36" w:rsidRPr="00101B36" w:rsidRDefault="00101B36" w:rsidP="000A1317">
      <w:r w:rsidRPr="00101B36">
        <w:t xml:space="preserve">To minimise the risk of bleeding following the vascular instrumentation during the treatment of unstable angina, non-Q-wave myocardial infarction and ST-segment elevation acute myocardial infarction, adhere precisely to the intervals recommended between Enoxaparin doses. It is important to achieve haemostasis at the puncture site after PCI. In case a closure device is used, the sheath </w:t>
      </w:r>
      <w:proofErr w:type="gramStart"/>
      <w:r w:rsidRPr="00101B36">
        <w:t>can be removed</w:t>
      </w:r>
      <w:proofErr w:type="gramEnd"/>
      <w:r w:rsidRPr="00101B36">
        <w:t xml:space="preserve"> immediately. If a manual compression method is used, the sheath </w:t>
      </w:r>
      <w:proofErr w:type="gramStart"/>
      <w:r w:rsidRPr="00101B36">
        <w:t>should be removed</w:t>
      </w:r>
      <w:proofErr w:type="gramEnd"/>
      <w:r w:rsidRPr="00101B36">
        <w:t xml:space="preserve"> 6 hours after the last IV/SC Enoxaparin injection. If the treatment with </w:t>
      </w:r>
      <w:r w:rsidR="005A0124" w:rsidRPr="00101B36">
        <w:t xml:space="preserve">Enoxaparin </w:t>
      </w:r>
      <w:r w:rsidRPr="00101B36">
        <w:t xml:space="preserve">sodium is to be </w:t>
      </w:r>
      <w:proofErr w:type="gramStart"/>
      <w:r w:rsidRPr="00101B36">
        <w:t>continued</w:t>
      </w:r>
      <w:proofErr w:type="gramEnd"/>
      <w:r w:rsidRPr="00101B36">
        <w:t xml:space="preserve"> the next scheduled dose should be given no sooner than 6 to 8 hours after sheath removal. The site of the procedure </w:t>
      </w:r>
      <w:proofErr w:type="gramStart"/>
      <w:r w:rsidRPr="00101B36">
        <w:t>should be observed</w:t>
      </w:r>
      <w:proofErr w:type="gramEnd"/>
      <w:r w:rsidRPr="00101B36">
        <w:t xml:space="preserve"> for signs of bleeding or haematoma formation.</w:t>
      </w:r>
    </w:p>
    <w:p w14:paraId="4A4DD749" w14:textId="77777777" w:rsidR="00EB2F03" w:rsidRPr="00101B36" w:rsidRDefault="00EB2F03" w:rsidP="00EB2F03">
      <w:pPr>
        <w:pStyle w:val="Heading3"/>
      </w:pPr>
      <w:r w:rsidRPr="00101B36">
        <w:t>Low Weight</w:t>
      </w:r>
    </w:p>
    <w:p w14:paraId="2748F47F" w14:textId="77777777" w:rsidR="00EB2F03" w:rsidRDefault="00EB2F03" w:rsidP="00EB2F03">
      <w:r w:rsidRPr="00101B36">
        <w:t xml:space="preserve">An increase in exposure of Enoxaparin with prophylactic dosages (non-weight adjusted) has been observed in low-weight women (&lt;45 kg) and low-weight men (&lt;57 kg), which may lead to a higher risk of bleeding. Therefore, careful clinical observation </w:t>
      </w:r>
      <w:proofErr w:type="gramStart"/>
      <w:r w:rsidRPr="00101B36">
        <w:t>is advised</w:t>
      </w:r>
      <w:proofErr w:type="gramEnd"/>
      <w:r w:rsidRPr="00101B36">
        <w:t xml:space="preserve"> in these</w:t>
      </w:r>
      <w:r>
        <w:t xml:space="preserve"> patients.</w:t>
      </w:r>
    </w:p>
    <w:p w14:paraId="34D871F9" w14:textId="77777777" w:rsidR="00EB2F03" w:rsidRDefault="00EB2F03" w:rsidP="00EB2F03">
      <w:pPr>
        <w:pStyle w:val="Heading3"/>
      </w:pPr>
      <w:r>
        <w:t>Obese Patients</w:t>
      </w:r>
    </w:p>
    <w:p w14:paraId="6E991C05" w14:textId="77777777" w:rsidR="00EB2F03" w:rsidRDefault="00EB2F03" w:rsidP="00EB2F03">
      <w:r>
        <w:t>Obese patients are at higher risk for thromboembolism. The safety and efficacy of prophylactic doses in obese patients (BMI &gt;30 kg/m</w:t>
      </w:r>
      <w:r w:rsidRPr="005B511E">
        <w:rPr>
          <w:vertAlign w:val="superscript"/>
        </w:rPr>
        <w:t>2</w:t>
      </w:r>
      <w:r>
        <w:t xml:space="preserve">) has not been fully determined and there is no consensus for dose adjustment. These patients </w:t>
      </w:r>
      <w:proofErr w:type="gramStart"/>
      <w:r>
        <w:t>should be observed</w:t>
      </w:r>
      <w:proofErr w:type="gramEnd"/>
      <w:r>
        <w:t xml:space="preserve"> carefully for signs and symptoms of thromboembolism.</w:t>
      </w:r>
    </w:p>
    <w:p w14:paraId="02D4DF5C" w14:textId="77777777" w:rsidR="00EB2F03" w:rsidRDefault="00EB2F03" w:rsidP="00EB2F03">
      <w:pPr>
        <w:pStyle w:val="Heading3"/>
      </w:pPr>
      <w:r>
        <w:t>Hyperkalaemia</w:t>
      </w:r>
    </w:p>
    <w:p w14:paraId="3B89837F" w14:textId="2AD57CAD" w:rsidR="00EB2F03" w:rsidRPr="00101B36" w:rsidRDefault="00EB2F03" w:rsidP="00EB2F03">
      <w:r>
        <w:t xml:space="preserve">Heparins can suppress adrenal secretion of aldosterone leading to hyperkalaemia (see Section </w:t>
      </w:r>
      <w:r w:rsidR="00F3331C">
        <w:fldChar w:fldCharType="begin"/>
      </w:r>
      <w:r w:rsidR="00F3331C">
        <w:instrText xml:space="preserve"> REF _Ref5878180 \r \h </w:instrText>
      </w:r>
      <w:r w:rsidR="00F3331C">
        <w:fldChar w:fldCharType="separate"/>
      </w:r>
      <w:r w:rsidR="006254D6">
        <w:t>4.8</w:t>
      </w:r>
      <w:r w:rsidR="00F3331C">
        <w:fldChar w:fldCharType="end"/>
      </w:r>
      <w:r>
        <w:t xml:space="preserve"> – </w:t>
      </w:r>
      <w:r w:rsidR="00F3331C">
        <w:fldChar w:fldCharType="begin"/>
      </w:r>
      <w:r w:rsidR="00F3331C">
        <w:instrText xml:space="preserve"> REF _Ref5878180 \h </w:instrText>
      </w:r>
      <w:r w:rsidR="00F3331C">
        <w:fldChar w:fldCharType="separate"/>
      </w:r>
      <w:r w:rsidR="006254D6" w:rsidRPr="00571478">
        <w:t>Adverse Effects (Undesirable Effects)</w:t>
      </w:r>
      <w:r w:rsidR="00F3331C">
        <w:fldChar w:fldCharType="end"/>
      </w:r>
      <w:r>
        <w:t xml:space="preserve">), particularly in patients such as those with diabetes mellitus, chronic renal failure, pre-existing metabolic acidosis, taking medicinal products known to increase potassium (see Section </w:t>
      </w:r>
      <w:r w:rsidR="00F3331C">
        <w:fldChar w:fldCharType="begin"/>
      </w:r>
      <w:r w:rsidR="00F3331C">
        <w:instrText xml:space="preserve"> REF _Ref5878343 \r \h </w:instrText>
      </w:r>
      <w:r w:rsidR="00F3331C">
        <w:fldChar w:fldCharType="separate"/>
      </w:r>
      <w:r w:rsidR="006254D6">
        <w:t>4.5</w:t>
      </w:r>
      <w:r w:rsidR="00F3331C">
        <w:fldChar w:fldCharType="end"/>
      </w:r>
      <w:r>
        <w:t xml:space="preserve"> – </w:t>
      </w:r>
      <w:r w:rsidR="00F3331C">
        <w:fldChar w:fldCharType="begin"/>
      </w:r>
      <w:r w:rsidR="00F3331C">
        <w:instrText xml:space="preserve"> REF _Ref5878343 \h </w:instrText>
      </w:r>
      <w:r w:rsidR="00F3331C">
        <w:fldChar w:fldCharType="separate"/>
      </w:r>
      <w:r w:rsidR="006254D6" w:rsidRPr="00571478">
        <w:t>Interactions with Other Medicines and Other Forms of Interactions</w:t>
      </w:r>
      <w:r w:rsidR="00F3331C">
        <w:fldChar w:fldCharType="end"/>
      </w:r>
      <w:r>
        <w:t>). Plasma potassium should be monitored regularly especially in patients at risk.</w:t>
      </w:r>
    </w:p>
    <w:p w14:paraId="1CE80933" w14:textId="77777777" w:rsidR="00EB2F03" w:rsidRPr="00101B36" w:rsidRDefault="00EB2F03" w:rsidP="00EB2F03">
      <w:pPr>
        <w:pStyle w:val="Heading3"/>
      </w:pPr>
      <w:r>
        <w:t xml:space="preserve">Use in </w:t>
      </w:r>
      <w:r w:rsidRPr="00101B36">
        <w:t>Hepatic Impairment</w:t>
      </w:r>
    </w:p>
    <w:p w14:paraId="0CB5B3A3" w14:textId="5D91DB7E" w:rsidR="00EB2F03" w:rsidRPr="00101B36" w:rsidRDefault="00EB2F03" w:rsidP="00EB2F03">
      <w:r>
        <w:t xml:space="preserve">See Section </w:t>
      </w:r>
      <w:r w:rsidR="00F3331C">
        <w:fldChar w:fldCharType="begin"/>
      </w:r>
      <w:r w:rsidR="00F3331C">
        <w:instrText xml:space="preserve"> REF _Ref878548 \r \h </w:instrText>
      </w:r>
      <w:r w:rsidR="00F3331C">
        <w:fldChar w:fldCharType="separate"/>
      </w:r>
      <w:r w:rsidR="006254D6">
        <w:t>4.2</w:t>
      </w:r>
      <w:r w:rsidR="00F3331C">
        <w:fldChar w:fldCharType="end"/>
      </w:r>
      <w:r>
        <w:t xml:space="preserve"> – </w:t>
      </w:r>
      <w:r>
        <w:fldChar w:fldCharType="begin"/>
      </w:r>
      <w:r>
        <w:instrText xml:space="preserve"> REF _Ref878548 \h  \* MERGEFORMAT </w:instrText>
      </w:r>
      <w:r>
        <w:fldChar w:fldCharType="separate"/>
      </w:r>
      <w:r w:rsidR="006254D6" w:rsidRPr="00571478">
        <w:t>Dose and Method of Administration</w:t>
      </w:r>
      <w:r>
        <w:fldChar w:fldCharType="end"/>
      </w:r>
      <w:r>
        <w:t>.</w:t>
      </w:r>
    </w:p>
    <w:p w14:paraId="6FB5660B" w14:textId="3E2E99A2" w:rsidR="00101B36" w:rsidRPr="00101B36" w:rsidRDefault="005B511E" w:rsidP="000A1317">
      <w:pPr>
        <w:pStyle w:val="Heading3"/>
      </w:pPr>
      <w:bookmarkStart w:id="9" w:name="_Ref5877888"/>
      <w:r>
        <w:t xml:space="preserve">Use in </w:t>
      </w:r>
      <w:r w:rsidR="00101B36" w:rsidRPr="00101B36">
        <w:t>Renal Impairment</w:t>
      </w:r>
      <w:bookmarkEnd w:id="9"/>
    </w:p>
    <w:p w14:paraId="1D18AE95" w14:textId="42F6451C" w:rsidR="00101B36" w:rsidRPr="00101B36" w:rsidRDefault="00101B36" w:rsidP="000A1317">
      <w:r w:rsidRPr="00101B36">
        <w:t xml:space="preserve">In patients with renal impairment, there is an increase in exposure of </w:t>
      </w:r>
      <w:proofErr w:type="gramStart"/>
      <w:r w:rsidRPr="00101B36">
        <w:t>Enoxaparin which</w:t>
      </w:r>
      <w:proofErr w:type="gramEnd"/>
      <w:r w:rsidRPr="00101B36">
        <w:t xml:space="preserve"> increases the risk of bleeding. Since exposure of Enoxaparin is significantly increased in patients with severe renal impairment (creatinine clearance &lt;30 mL/min), a dosage adjustment is recommended for therapeutic and prophylactic dosage ranges. Although no dosage adjustment </w:t>
      </w:r>
      <w:proofErr w:type="gramStart"/>
      <w:r w:rsidRPr="00101B36">
        <w:t>is recommended</w:t>
      </w:r>
      <w:proofErr w:type="gramEnd"/>
      <w:r w:rsidRPr="00101B36">
        <w:t xml:space="preserve"> in patients with moderate (creatinine clearance 30-50 mL/min) and mild (creatinine clearance 50-80 mL/min) renal impairment, careful clinical observation is advised (see </w:t>
      </w:r>
      <w:r w:rsidR="005B511E" w:rsidRPr="005B511E">
        <w:t xml:space="preserve">Section </w:t>
      </w:r>
      <w:r w:rsidR="00F3331C">
        <w:fldChar w:fldCharType="begin"/>
      </w:r>
      <w:r w:rsidR="00F3331C">
        <w:instrText xml:space="preserve"> REF _Ref878548 \r \h </w:instrText>
      </w:r>
      <w:r w:rsidR="00F3331C">
        <w:fldChar w:fldCharType="separate"/>
      </w:r>
      <w:r w:rsidR="006254D6">
        <w:t>4.2</w:t>
      </w:r>
      <w:r w:rsidR="00F3331C">
        <w:fldChar w:fldCharType="end"/>
      </w:r>
      <w:r w:rsidR="005B511E" w:rsidRPr="005B511E">
        <w:t xml:space="preserve"> – </w:t>
      </w:r>
      <w:r w:rsidR="00F3331C">
        <w:fldChar w:fldCharType="begin"/>
      </w:r>
      <w:r w:rsidR="00F3331C">
        <w:instrText xml:space="preserve"> REF _Ref878548 \h </w:instrText>
      </w:r>
      <w:r w:rsidR="00F3331C">
        <w:fldChar w:fldCharType="separate"/>
      </w:r>
      <w:r w:rsidR="006254D6" w:rsidRPr="00571478">
        <w:t>Dose and Method of Administration</w:t>
      </w:r>
      <w:r w:rsidR="00F3331C">
        <w:fldChar w:fldCharType="end"/>
      </w:r>
      <w:r w:rsidR="005B511E" w:rsidRPr="005B511E">
        <w:t xml:space="preserve">: </w:t>
      </w:r>
      <w:r w:rsidR="00F3331C">
        <w:fldChar w:fldCharType="begin"/>
      </w:r>
      <w:r w:rsidR="00F3331C">
        <w:instrText xml:space="preserve"> REF _Ref5877688 \h </w:instrText>
      </w:r>
      <w:r w:rsidR="00F3331C">
        <w:fldChar w:fldCharType="separate"/>
      </w:r>
      <w:r w:rsidR="006254D6">
        <w:t xml:space="preserve">Use in </w:t>
      </w:r>
      <w:r w:rsidR="006254D6" w:rsidRPr="00D852EC">
        <w:t>Renal Impairment</w:t>
      </w:r>
      <w:r w:rsidR="00F3331C">
        <w:fldChar w:fldCharType="end"/>
      </w:r>
      <w:r w:rsidRPr="00101B36">
        <w:t>).</w:t>
      </w:r>
    </w:p>
    <w:p w14:paraId="0DAFAA1F" w14:textId="78E4C547" w:rsidR="00101B36" w:rsidRPr="00101B36" w:rsidRDefault="00101B36" w:rsidP="000A1317">
      <w:r w:rsidRPr="00101B36">
        <w:t xml:space="preserve">Pharmacokinetics of </w:t>
      </w:r>
      <w:r w:rsidR="005B511E" w:rsidRPr="00101B36">
        <w:t xml:space="preserve">Enoxaparin </w:t>
      </w:r>
      <w:proofErr w:type="gramStart"/>
      <w:r w:rsidRPr="00101B36">
        <w:t>are altered</w:t>
      </w:r>
      <w:proofErr w:type="gramEnd"/>
      <w:r w:rsidRPr="00101B36">
        <w:t xml:space="preserve"> in renal impairment. The extent to which a defect in platelet function in severe renal failure might further contribute to bleeding risk is unknown.</w:t>
      </w:r>
    </w:p>
    <w:p w14:paraId="5584196C" w14:textId="462CE55D" w:rsidR="00EB2F03" w:rsidRPr="00101B36" w:rsidRDefault="00EB2F03" w:rsidP="00EB2F03">
      <w:pPr>
        <w:pStyle w:val="Heading3"/>
      </w:pPr>
      <w:bookmarkStart w:id="10" w:name="_Ref5877897"/>
      <w:r>
        <w:lastRenderedPageBreak/>
        <w:t>Use in t</w:t>
      </w:r>
      <w:r w:rsidRPr="00101B36">
        <w:t>he Elderly</w:t>
      </w:r>
      <w:bookmarkEnd w:id="10"/>
    </w:p>
    <w:p w14:paraId="47D03813" w14:textId="7A13B91B" w:rsidR="00EB2F03" w:rsidRPr="00101B36" w:rsidRDefault="00EB2F03" w:rsidP="00EB2F03">
      <w:r w:rsidRPr="00101B36">
        <w:t xml:space="preserve">No increased bleeding tendency </w:t>
      </w:r>
      <w:proofErr w:type="gramStart"/>
      <w:r w:rsidRPr="00101B36">
        <w:t>is observed</w:t>
      </w:r>
      <w:proofErr w:type="gramEnd"/>
      <w:r w:rsidRPr="00101B36">
        <w:t xml:space="preserve"> in the elderly with the prophylactic dosage ranges. Elderly patients (especially 80 years or older) may be at an increased risk for bleeding complications with the therapeutic dosage ranges. Careful clinical observation </w:t>
      </w:r>
      <w:proofErr w:type="gramStart"/>
      <w:r w:rsidRPr="00101B36">
        <w:t>is advised</w:t>
      </w:r>
      <w:proofErr w:type="gramEnd"/>
      <w:r w:rsidRPr="00101B36">
        <w:t xml:space="preserve">. A dosage adjustment may be necessary in elderly patients due to age-related impairment of renal function (see </w:t>
      </w:r>
      <w:r w:rsidR="00F3331C">
        <w:fldChar w:fldCharType="begin"/>
      </w:r>
      <w:r w:rsidR="00F3331C">
        <w:instrText xml:space="preserve"> REF _Ref878548 \r \h </w:instrText>
      </w:r>
      <w:r w:rsidR="00F3331C">
        <w:fldChar w:fldCharType="separate"/>
      </w:r>
      <w:r w:rsidR="006254D6">
        <w:t>4.2</w:t>
      </w:r>
      <w:r w:rsidR="00F3331C">
        <w:fldChar w:fldCharType="end"/>
      </w:r>
      <w:r w:rsidR="00F3331C" w:rsidRPr="005B511E">
        <w:t xml:space="preserve"> – </w:t>
      </w:r>
      <w:r w:rsidR="00F3331C">
        <w:fldChar w:fldCharType="begin"/>
      </w:r>
      <w:r w:rsidR="00F3331C">
        <w:instrText xml:space="preserve"> REF _Ref878548 \h </w:instrText>
      </w:r>
      <w:r w:rsidR="00F3331C">
        <w:fldChar w:fldCharType="separate"/>
      </w:r>
      <w:r w:rsidR="006254D6" w:rsidRPr="00571478">
        <w:t>Dose and Method of Administration</w:t>
      </w:r>
      <w:r w:rsidR="00F3331C">
        <w:fldChar w:fldCharType="end"/>
      </w:r>
      <w:r w:rsidR="00F3331C" w:rsidRPr="005B511E">
        <w:t xml:space="preserve">: </w:t>
      </w:r>
      <w:r w:rsidR="00F3331C">
        <w:fldChar w:fldCharType="begin"/>
      </w:r>
      <w:r w:rsidR="00F3331C">
        <w:instrText xml:space="preserve"> REF _Ref5877688 \h </w:instrText>
      </w:r>
      <w:r w:rsidR="00F3331C">
        <w:fldChar w:fldCharType="separate"/>
      </w:r>
      <w:r w:rsidR="006254D6">
        <w:t xml:space="preserve">Use in </w:t>
      </w:r>
      <w:r w:rsidR="006254D6" w:rsidRPr="00D852EC">
        <w:t>Renal Impairment</w:t>
      </w:r>
      <w:r w:rsidR="00F3331C">
        <w:fldChar w:fldCharType="end"/>
      </w:r>
      <w:r w:rsidRPr="00101B36">
        <w:t>).</w:t>
      </w:r>
    </w:p>
    <w:p w14:paraId="1A0403B3" w14:textId="5A775325" w:rsidR="00EB2F03" w:rsidRPr="00101B36" w:rsidRDefault="00EB2F03" w:rsidP="00EB2F03">
      <w:r w:rsidRPr="00101B36">
        <w:t>In the clinical study for treatment of acute STEMI, in patients ≥75 years of age (n = 2</w:t>
      </w:r>
      <w:r>
        <w:t>,</w:t>
      </w:r>
      <w:r w:rsidRPr="00101B36">
        <w:t>532) the rate of death or myocardial re-infarction was higher than in global population but lower in the Enoxaparin group (24.8%) than in the UFH group (26.3%, relative risk 0.94, p = 0.38). Patients ≥75 years of age did not receive a 30-mg IV bolus prior to the normal dosage regimen and had their SC dose adjusted to 0.75 mg/kg every 12 hours (see</w:t>
      </w:r>
      <w:r w:rsidR="00F3331C">
        <w:t xml:space="preserve"> </w:t>
      </w:r>
      <w:r w:rsidR="00F3331C">
        <w:fldChar w:fldCharType="begin"/>
      </w:r>
      <w:r w:rsidR="00F3331C">
        <w:instrText xml:space="preserve"> REF _Ref878548 \r \h </w:instrText>
      </w:r>
      <w:r w:rsidR="00F3331C">
        <w:fldChar w:fldCharType="separate"/>
      </w:r>
      <w:r w:rsidR="006254D6">
        <w:t>4.2</w:t>
      </w:r>
      <w:r w:rsidR="00F3331C">
        <w:fldChar w:fldCharType="end"/>
      </w:r>
      <w:r w:rsidR="00F3331C" w:rsidRPr="005B511E">
        <w:t xml:space="preserve"> – </w:t>
      </w:r>
      <w:r w:rsidR="00F3331C">
        <w:fldChar w:fldCharType="begin"/>
      </w:r>
      <w:r w:rsidR="00F3331C">
        <w:instrText xml:space="preserve"> REF _Ref878548 \h </w:instrText>
      </w:r>
      <w:r w:rsidR="00F3331C">
        <w:fldChar w:fldCharType="separate"/>
      </w:r>
      <w:r w:rsidR="006254D6" w:rsidRPr="00571478">
        <w:t>Dose and Method of Administration</w:t>
      </w:r>
      <w:r w:rsidR="00F3331C">
        <w:fldChar w:fldCharType="end"/>
      </w:r>
      <w:r w:rsidRPr="00101B36">
        <w:t xml:space="preserve">). </w:t>
      </w:r>
    </w:p>
    <w:p w14:paraId="270EB8DB" w14:textId="77777777" w:rsidR="00EB2F03" w:rsidRPr="00101B36" w:rsidRDefault="00EB2F03" w:rsidP="00EB2F03">
      <w:r w:rsidRPr="00101B36">
        <w:t>In patients ≥75 years of age, the rate of TIMI major bleeding was higher than in the global population and was higher in the Enoxaparin group (3.3%) for patients ≥75 years of age compared with the UFH group (2.9%, RR 1.15, p=0.57).</w:t>
      </w:r>
    </w:p>
    <w:p w14:paraId="7AD66054" w14:textId="13A8BC71" w:rsidR="00EB2F03" w:rsidRPr="00101B36" w:rsidRDefault="00EB2F03" w:rsidP="00EB2F03">
      <w:r w:rsidRPr="00101B36">
        <w:t xml:space="preserve">Compared to younger patients (&lt;65 years), the rate of TIMI major bleeding was higher in patients &gt;65 years of </w:t>
      </w:r>
      <w:proofErr w:type="gramStart"/>
      <w:r w:rsidRPr="00101B36">
        <w:t>age (respectively 1.2% and 2.5%) and was higher in the Enoxaparin group as compared to the UFH group</w:t>
      </w:r>
      <w:proofErr w:type="gramEnd"/>
      <w:r w:rsidRPr="00101B36">
        <w:t xml:space="preserve"> (see </w:t>
      </w:r>
      <w:r w:rsidRPr="005B511E">
        <w:t xml:space="preserve">Section </w:t>
      </w:r>
      <w:r w:rsidR="00F3331C">
        <w:fldChar w:fldCharType="begin"/>
      </w:r>
      <w:r w:rsidR="00F3331C">
        <w:instrText xml:space="preserve"> REF _Ref5877805 \r \h </w:instrText>
      </w:r>
      <w:r w:rsidR="00F3331C">
        <w:fldChar w:fldCharType="separate"/>
      </w:r>
      <w:r w:rsidR="006254D6">
        <w:t>5.1</w:t>
      </w:r>
      <w:r w:rsidR="00F3331C">
        <w:fldChar w:fldCharType="end"/>
      </w:r>
      <w:r w:rsidRPr="005B511E">
        <w:t xml:space="preserve"> – </w:t>
      </w:r>
      <w:r w:rsidR="00F3331C">
        <w:fldChar w:fldCharType="begin"/>
      </w:r>
      <w:r w:rsidR="00F3331C">
        <w:instrText xml:space="preserve"> REF _Ref5877805 \h </w:instrText>
      </w:r>
      <w:r w:rsidR="00F3331C">
        <w:fldChar w:fldCharType="separate"/>
      </w:r>
      <w:proofErr w:type="spellStart"/>
      <w:r w:rsidR="006254D6" w:rsidRPr="00571478">
        <w:t>Pharmacodynamic</w:t>
      </w:r>
      <w:proofErr w:type="spellEnd"/>
      <w:r w:rsidR="006254D6" w:rsidRPr="00571478">
        <w:t xml:space="preserve"> Properties</w:t>
      </w:r>
      <w:r w:rsidR="00F3331C">
        <w:fldChar w:fldCharType="end"/>
      </w:r>
      <w:r w:rsidRPr="005B511E">
        <w:t xml:space="preserve">: </w:t>
      </w:r>
      <w:r w:rsidR="00F3331C">
        <w:fldChar w:fldCharType="begin"/>
      </w:r>
      <w:r w:rsidR="00F3331C">
        <w:instrText xml:space="preserve"> REF _Ref878766 \h </w:instrText>
      </w:r>
      <w:r w:rsidR="00F3331C">
        <w:fldChar w:fldCharType="separate"/>
      </w:r>
      <w:r w:rsidR="006254D6" w:rsidRPr="00571478">
        <w:rPr>
          <w:rFonts w:cs="Arial"/>
        </w:rPr>
        <w:t>Clinical Trials</w:t>
      </w:r>
      <w:r w:rsidR="00F3331C">
        <w:fldChar w:fldCharType="end"/>
      </w:r>
      <w:r w:rsidRPr="005B511E">
        <w:t>)</w:t>
      </w:r>
      <w:r>
        <w:t xml:space="preserve">. </w:t>
      </w:r>
    </w:p>
    <w:p w14:paraId="0D3A6E41" w14:textId="77777777" w:rsidR="00EB2F03" w:rsidRPr="00101B36" w:rsidRDefault="00EB2F03" w:rsidP="00EB2F03">
      <w:pPr>
        <w:pStyle w:val="Heading3"/>
      </w:pPr>
      <w:r w:rsidRPr="00101B36">
        <w:t>Paediatric Use</w:t>
      </w:r>
    </w:p>
    <w:p w14:paraId="15A47148" w14:textId="77777777" w:rsidR="00EB2F03" w:rsidRPr="00101B36" w:rsidRDefault="00EB2F03" w:rsidP="00EB2F03">
      <w:r w:rsidRPr="00101B36">
        <w:t xml:space="preserve">The safety and efficacy of enoxaparin sodium in children </w:t>
      </w:r>
      <w:proofErr w:type="gramStart"/>
      <w:r w:rsidRPr="00101B36">
        <w:t>has not been established</w:t>
      </w:r>
      <w:proofErr w:type="gramEnd"/>
      <w:r w:rsidRPr="00101B36">
        <w:t xml:space="preserve">. </w:t>
      </w:r>
    </w:p>
    <w:p w14:paraId="0A859682" w14:textId="0B8B3CC6" w:rsidR="00101B36" w:rsidRPr="00101B36" w:rsidRDefault="00101B36" w:rsidP="000A1317">
      <w:pPr>
        <w:pStyle w:val="Heading3"/>
      </w:pPr>
      <w:r w:rsidRPr="00101B36">
        <w:t>Effect</w:t>
      </w:r>
      <w:r w:rsidR="00071AEF">
        <w:t>s</w:t>
      </w:r>
      <w:r w:rsidRPr="00101B36">
        <w:t xml:space="preserve"> on Laboratory Tests</w:t>
      </w:r>
    </w:p>
    <w:p w14:paraId="41EBB0C0" w14:textId="77777777" w:rsidR="00101B36" w:rsidRPr="00101B36" w:rsidRDefault="00101B36" w:rsidP="000A1317">
      <w:r w:rsidRPr="00101B36">
        <w:t>At doses used for prophylaxis of venous thromboembolism, Enoxaparin does not influence bleeding time and global blood coagulation tests significantly, nor does it affect platelet aggregation or binding of fibrinogen to platelets.</w:t>
      </w:r>
    </w:p>
    <w:p w14:paraId="3786604C" w14:textId="77777777" w:rsidR="00101B36" w:rsidRPr="00101B36" w:rsidRDefault="00101B36" w:rsidP="000A1317">
      <w:r w:rsidRPr="00101B36">
        <w:t xml:space="preserve">At higher doses, increases in </w:t>
      </w:r>
      <w:proofErr w:type="spellStart"/>
      <w:r w:rsidRPr="00101B36">
        <w:t>aPTT</w:t>
      </w:r>
      <w:proofErr w:type="spellEnd"/>
      <w:r w:rsidRPr="00101B36">
        <w:t xml:space="preserve"> and ACT (activated clotting time) may occur. Increases in </w:t>
      </w:r>
      <w:proofErr w:type="spellStart"/>
      <w:r w:rsidRPr="00101B36">
        <w:t>aPTT</w:t>
      </w:r>
      <w:proofErr w:type="spellEnd"/>
      <w:r w:rsidRPr="00101B36">
        <w:t xml:space="preserve"> and ACT </w:t>
      </w:r>
      <w:proofErr w:type="gramStart"/>
      <w:r w:rsidRPr="00101B36">
        <w:t>are not linearly correlated</w:t>
      </w:r>
      <w:proofErr w:type="gramEnd"/>
      <w:r w:rsidRPr="00101B36">
        <w:t xml:space="preserve"> with increasing Enoxaparin antithrombotic activity and therefore are unsuitable and unreliable for monitoring Enoxaparin activity.</w:t>
      </w:r>
    </w:p>
    <w:p w14:paraId="31E6290F" w14:textId="72EFBF36" w:rsidR="006727DE" w:rsidRDefault="00101B36" w:rsidP="000A1317">
      <w:r w:rsidRPr="00101B36">
        <w:t xml:space="preserve">Periodic complete blood counts, including platelet count, and stool occult blood tests </w:t>
      </w:r>
      <w:proofErr w:type="gramStart"/>
      <w:r w:rsidRPr="00101B36">
        <w:t>are recommended</w:t>
      </w:r>
      <w:proofErr w:type="gramEnd"/>
      <w:r w:rsidRPr="00101B36">
        <w:t xml:space="preserve"> during the course of treatment with Enoxaparin. When administered at recommended prophylaxis doses, routine coagulation tests such as Prothrombin Time (PT) and Activated Partial Thromboplastin Time (</w:t>
      </w:r>
      <w:proofErr w:type="spellStart"/>
      <w:r w:rsidRPr="00101B36">
        <w:t>aPTT</w:t>
      </w:r>
      <w:proofErr w:type="spellEnd"/>
      <w:r w:rsidRPr="00101B36">
        <w:t>) are relatively insensitive measures of Enoxaparin activity and, therefore, unsuitable for monitoring. Anti-</w:t>
      </w:r>
      <w:r w:rsidR="005537A9" w:rsidRPr="00101B36">
        <w:t xml:space="preserve">Factor </w:t>
      </w:r>
      <w:proofErr w:type="spellStart"/>
      <w:r w:rsidRPr="00101B36">
        <w:t>Xa</w:t>
      </w:r>
      <w:proofErr w:type="spellEnd"/>
      <w:r w:rsidRPr="00101B36">
        <w:t xml:space="preserve"> may be used to monitor the anticoagulant effect of Enoxaparin in patients with significant renal impairment. If during Enoxaparin therapy abnormal coagulation parameters or bleeding should occur, </w:t>
      </w:r>
      <w:r w:rsidR="00EB2F03" w:rsidRPr="00101B36">
        <w:t>Anti</w:t>
      </w:r>
      <w:r w:rsidRPr="00101B36">
        <w:t xml:space="preserve">-Factor </w:t>
      </w:r>
      <w:proofErr w:type="spellStart"/>
      <w:r w:rsidRPr="00101B36">
        <w:t>Xa</w:t>
      </w:r>
      <w:proofErr w:type="spellEnd"/>
      <w:r w:rsidRPr="00101B36">
        <w:t xml:space="preserve"> levels </w:t>
      </w:r>
      <w:proofErr w:type="gramStart"/>
      <w:r w:rsidRPr="00101B36">
        <w:t>may be used</w:t>
      </w:r>
      <w:proofErr w:type="gramEnd"/>
      <w:r w:rsidRPr="00101B36">
        <w:t xml:space="preserve"> to monitor the antic</w:t>
      </w:r>
      <w:r w:rsidR="006727DE">
        <w:t>oagulant effects of Enoxaparin.</w:t>
      </w:r>
    </w:p>
    <w:p w14:paraId="380DAE2A" w14:textId="796EFCD3" w:rsidR="00101B36" w:rsidRPr="00101B36" w:rsidRDefault="00101B36" w:rsidP="005B511E">
      <w:pPr>
        <w:pStyle w:val="Heading3"/>
      </w:pPr>
      <w:r w:rsidRPr="00101B36">
        <w:t>Monitoring of Platelet Count</w:t>
      </w:r>
    </w:p>
    <w:p w14:paraId="762AA0A9" w14:textId="2C418B82" w:rsidR="00101B36" w:rsidRDefault="00101B36" w:rsidP="00FB45F5">
      <w:pPr>
        <w:spacing w:after="360"/>
      </w:pPr>
      <w:r w:rsidRPr="00101B36">
        <w:t xml:space="preserve">The risk of antibody-mediated heparin-induced thrombocytopenia also exists with low molecular weight heparins. Should thrombocytopenia occur, it usually appears between the 5th and the 21st day following the beginning of Enoxaparin treatment. Therefore, it is recommended that the platelet counts be measured before initiation of therapy with Enoxaparin and then regularly thereafter during the treatment. In practice, if a confirmed significant </w:t>
      </w:r>
      <w:r w:rsidRPr="00101B36">
        <w:lastRenderedPageBreak/>
        <w:t xml:space="preserve">decrease of the platelet count </w:t>
      </w:r>
      <w:proofErr w:type="gramStart"/>
      <w:r w:rsidRPr="00101B36">
        <w:t>is observed</w:t>
      </w:r>
      <w:proofErr w:type="gramEnd"/>
      <w:r w:rsidRPr="00101B36">
        <w:t xml:space="preserve"> (30 to 50% of the initial value), Enoxaparin treatment must be immediately </w:t>
      </w:r>
      <w:r w:rsidR="00812ABE" w:rsidRPr="00101B36">
        <w:t>discontinued,</w:t>
      </w:r>
      <w:r w:rsidRPr="00101B36">
        <w:t xml:space="preserve"> and the patient switched to another therapy.</w:t>
      </w:r>
    </w:p>
    <w:p w14:paraId="30B2504B" w14:textId="1396A931" w:rsidR="001A3992" w:rsidRPr="00571478" w:rsidRDefault="001A3992" w:rsidP="000A1317">
      <w:pPr>
        <w:pStyle w:val="Heading2"/>
      </w:pPr>
      <w:bookmarkStart w:id="11" w:name="_Ref5878343"/>
      <w:r w:rsidRPr="00571478">
        <w:t xml:space="preserve">Interactions with </w:t>
      </w:r>
      <w:r w:rsidR="00300792" w:rsidRPr="00571478">
        <w:rPr>
          <w:caps w:val="0"/>
        </w:rPr>
        <w:t>O</w:t>
      </w:r>
      <w:r w:rsidRPr="00571478">
        <w:t xml:space="preserve">ther </w:t>
      </w:r>
      <w:r w:rsidR="00300792" w:rsidRPr="00571478">
        <w:rPr>
          <w:caps w:val="0"/>
        </w:rPr>
        <w:t>M</w:t>
      </w:r>
      <w:r w:rsidRPr="00571478">
        <w:t xml:space="preserve">edicines and </w:t>
      </w:r>
      <w:r w:rsidR="00300792" w:rsidRPr="00571478">
        <w:rPr>
          <w:caps w:val="0"/>
        </w:rPr>
        <w:t>O</w:t>
      </w:r>
      <w:r w:rsidRPr="00571478">
        <w:t xml:space="preserve">ther </w:t>
      </w:r>
      <w:r w:rsidR="00300792" w:rsidRPr="00571478">
        <w:rPr>
          <w:caps w:val="0"/>
        </w:rPr>
        <w:t>F</w:t>
      </w:r>
      <w:r w:rsidRPr="00571478">
        <w:t xml:space="preserve">orms of </w:t>
      </w:r>
      <w:r w:rsidR="00300792" w:rsidRPr="00571478">
        <w:rPr>
          <w:caps w:val="0"/>
        </w:rPr>
        <w:t>I</w:t>
      </w:r>
      <w:r w:rsidRPr="00571478">
        <w:t>nteractions</w:t>
      </w:r>
      <w:bookmarkEnd w:id="11"/>
    </w:p>
    <w:p w14:paraId="3FBDBC9B" w14:textId="3E7F72F5" w:rsidR="00520E9F" w:rsidRPr="00520E9F" w:rsidRDefault="00520E9F" w:rsidP="000A1317">
      <w:r w:rsidRPr="00520E9F">
        <w:t xml:space="preserve">Clinical trials revealed no adverse effects that </w:t>
      </w:r>
      <w:proofErr w:type="gramStart"/>
      <w:r w:rsidRPr="00520E9F">
        <w:t>could be caused</w:t>
      </w:r>
      <w:proofErr w:type="gramEnd"/>
      <w:r w:rsidRPr="00520E9F">
        <w:t xml:space="preserve"> by drug interactions, including no pharmacokinetic interactions between </w:t>
      </w:r>
      <w:r w:rsidR="004461E6" w:rsidRPr="00520E9F">
        <w:t xml:space="preserve">Enoxaparin </w:t>
      </w:r>
      <w:r w:rsidRPr="00520E9F">
        <w:t xml:space="preserve">and </w:t>
      </w:r>
      <w:proofErr w:type="spellStart"/>
      <w:r w:rsidRPr="00520E9F">
        <w:t>thrombolytics</w:t>
      </w:r>
      <w:proofErr w:type="spellEnd"/>
      <w:r w:rsidRPr="00520E9F">
        <w:t xml:space="preserve"> when administered concurrently.</w:t>
      </w:r>
    </w:p>
    <w:p w14:paraId="3E404335" w14:textId="14265F52" w:rsidR="005D430D" w:rsidRDefault="00520E9F" w:rsidP="000A1317">
      <w:r w:rsidRPr="00520E9F">
        <w:t xml:space="preserve">It is recommended that </w:t>
      </w:r>
      <w:proofErr w:type="gramStart"/>
      <w:r w:rsidRPr="00520E9F">
        <w:t>agents which affect haemostasis</w:t>
      </w:r>
      <w:proofErr w:type="gramEnd"/>
      <w:r w:rsidRPr="00520E9F">
        <w:t xml:space="preserve"> should be discontinued prior to Enoxaparin therapy unless strictly indicated. These agents in</w:t>
      </w:r>
      <w:r>
        <w:t xml:space="preserve">clude medications such </w:t>
      </w:r>
      <w:proofErr w:type="gramStart"/>
      <w:r>
        <w:t>as:</w:t>
      </w:r>
      <w:proofErr w:type="gramEnd"/>
      <w:r>
        <w:t xml:space="preserve"> anti</w:t>
      </w:r>
      <w:r w:rsidRPr="00520E9F">
        <w:t xml:space="preserve">coagulants, </w:t>
      </w:r>
      <w:proofErr w:type="spellStart"/>
      <w:r w:rsidRPr="00520E9F">
        <w:t>thrombolytics</w:t>
      </w:r>
      <w:proofErr w:type="spellEnd"/>
      <w:r w:rsidRPr="00520E9F">
        <w:t xml:space="preserve">, non-steroidal anti-inflammatory agents (including ketorolac), preparations containing aspirin, systemic salicylates, </w:t>
      </w:r>
      <w:proofErr w:type="spellStart"/>
      <w:r w:rsidRPr="00520E9F">
        <w:t>ticlopidine</w:t>
      </w:r>
      <w:proofErr w:type="spellEnd"/>
      <w:r w:rsidRPr="00520E9F">
        <w:t xml:space="preserve">, dextran 40, </w:t>
      </w:r>
      <w:proofErr w:type="spellStart"/>
      <w:r w:rsidRPr="00520E9F">
        <w:t>clopidogrel</w:t>
      </w:r>
      <w:proofErr w:type="spellEnd"/>
      <w:r w:rsidRPr="00520E9F">
        <w:t>, other anti</w:t>
      </w:r>
      <w:r w:rsidR="004461E6">
        <w:t>-</w:t>
      </w:r>
      <w:r w:rsidRPr="00520E9F">
        <w:t xml:space="preserve">platelet agents including glycoprotein </w:t>
      </w:r>
      <w:proofErr w:type="spellStart"/>
      <w:r w:rsidRPr="00520E9F">
        <w:t>Ilb</w:t>
      </w:r>
      <w:proofErr w:type="spellEnd"/>
      <w:r w:rsidRPr="00520E9F">
        <w:t>/</w:t>
      </w:r>
      <w:proofErr w:type="spellStart"/>
      <w:r w:rsidRPr="00520E9F">
        <w:t>Illa</w:t>
      </w:r>
      <w:proofErr w:type="spellEnd"/>
      <w:r w:rsidRPr="00520E9F">
        <w:t xml:space="preserve"> antagonists or systemic glucocorticoids. If the combination is indicated, Enoxaparin should be used with careful clinical and laboratory monitoring of the haemostatic factors, when appropriate.</w:t>
      </w:r>
    </w:p>
    <w:p w14:paraId="70EDA621" w14:textId="5014F5A7" w:rsidR="004461E6" w:rsidRDefault="004461E6" w:rsidP="004461E6">
      <w:pPr>
        <w:pStyle w:val="Heading3"/>
      </w:pPr>
      <w:r>
        <w:t>Medicinal Products Increasing Potassium Levels</w:t>
      </w:r>
    </w:p>
    <w:p w14:paraId="0EC90225" w14:textId="744723F0" w:rsidR="004461E6" w:rsidRPr="00A40CE0" w:rsidRDefault="004461E6" w:rsidP="00FB45F5">
      <w:pPr>
        <w:spacing w:after="360"/>
      </w:pPr>
      <w:r>
        <w:t xml:space="preserve">Medicinal products that increase serum potassium levels </w:t>
      </w:r>
      <w:proofErr w:type="gramStart"/>
      <w:r>
        <w:t>may be administered</w:t>
      </w:r>
      <w:proofErr w:type="gramEnd"/>
      <w:r>
        <w:t xml:space="preserve"> concurrently with </w:t>
      </w:r>
      <w:r w:rsidR="005A0124">
        <w:t xml:space="preserve">Enoxaparin </w:t>
      </w:r>
      <w:r>
        <w:t xml:space="preserve">sodium under careful clinical and laboratory monitoring (see Section </w:t>
      </w:r>
      <w:r w:rsidR="00F3331C">
        <w:fldChar w:fldCharType="begin"/>
      </w:r>
      <w:r w:rsidR="00F3331C">
        <w:instrText xml:space="preserve"> REF _Ref878862 \r \h </w:instrText>
      </w:r>
      <w:r w:rsidR="00F3331C">
        <w:fldChar w:fldCharType="separate"/>
      </w:r>
      <w:r w:rsidR="006254D6">
        <w:t>4.4</w:t>
      </w:r>
      <w:r w:rsidR="00F3331C">
        <w:fldChar w:fldCharType="end"/>
      </w:r>
      <w:r>
        <w:t xml:space="preserve"> -</w:t>
      </w:r>
      <w:r w:rsidR="00F3331C">
        <w:fldChar w:fldCharType="begin"/>
      </w:r>
      <w:r w:rsidR="00F3331C">
        <w:instrText xml:space="preserve"> REF _Ref878862 \h </w:instrText>
      </w:r>
      <w:r w:rsidR="00F3331C">
        <w:fldChar w:fldCharType="separate"/>
      </w:r>
      <w:r w:rsidR="006254D6" w:rsidRPr="00571478">
        <w:t>Special Warnings and Precautions for Use</w:t>
      </w:r>
      <w:r w:rsidR="00F3331C">
        <w:fldChar w:fldCharType="end"/>
      </w:r>
      <w:r w:rsidR="00E027A7">
        <w:t xml:space="preserve"> </w:t>
      </w:r>
      <w:r>
        <w:t xml:space="preserve">and Section </w:t>
      </w:r>
      <w:r w:rsidR="00F3331C">
        <w:fldChar w:fldCharType="begin"/>
      </w:r>
      <w:r w:rsidR="00F3331C">
        <w:instrText xml:space="preserve"> REF _Ref5878180 \r \h </w:instrText>
      </w:r>
      <w:r w:rsidR="00F3331C">
        <w:fldChar w:fldCharType="separate"/>
      </w:r>
      <w:r w:rsidR="006254D6">
        <w:t>4.8</w:t>
      </w:r>
      <w:r w:rsidR="00F3331C">
        <w:fldChar w:fldCharType="end"/>
      </w:r>
      <w:r>
        <w:t xml:space="preserve"> – </w:t>
      </w:r>
      <w:r w:rsidR="00F3331C">
        <w:fldChar w:fldCharType="begin"/>
      </w:r>
      <w:r w:rsidR="00F3331C">
        <w:instrText xml:space="preserve"> REF _Ref5878180 \h </w:instrText>
      </w:r>
      <w:r w:rsidR="00F3331C">
        <w:fldChar w:fldCharType="separate"/>
      </w:r>
      <w:r w:rsidR="006254D6" w:rsidRPr="00571478">
        <w:t>Adverse Effects (Undesirable Effects)</w:t>
      </w:r>
      <w:r w:rsidR="00F3331C">
        <w:fldChar w:fldCharType="end"/>
      </w:r>
      <w:r>
        <w:t>).</w:t>
      </w:r>
    </w:p>
    <w:p w14:paraId="43BF17CD" w14:textId="53E86576" w:rsidR="001A3992" w:rsidRPr="00571478" w:rsidRDefault="001A3992" w:rsidP="000A1317">
      <w:pPr>
        <w:pStyle w:val="Heading2"/>
      </w:pPr>
      <w:bookmarkStart w:id="12" w:name="_Ref952569"/>
      <w:r w:rsidRPr="00571478">
        <w:t xml:space="preserve">Fertility, </w:t>
      </w:r>
      <w:r w:rsidR="00300792" w:rsidRPr="00571478">
        <w:rPr>
          <w:caps w:val="0"/>
        </w:rPr>
        <w:t>P</w:t>
      </w:r>
      <w:r w:rsidRPr="00571478">
        <w:t xml:space="preserve">regnancy and </w:t>
      </w:r>
      <w:r w:rsidR="00300792" w:rsidRPr="00571478">
        <w:rPr>
          <w:caps w:val="0"/>
        </w:rPr>
        <w:t>L</w:t>
      </w:r>
      <w:r w:rsidRPr="00571478">
        <w:t>actation</w:t>
      </w:r>
      <w:bookmarkEnd w:id="12"/>
    </w:p>
    <w:p w14:paraId="45CF8CDD" w14:textId="77777777" w:rsidR="00520E9F" w:rsidRPr="00101B36" w:rsidRDefault="00520E9F" w:rsidP="000A1317">
      <w:pPr>
        <w:pStyle w:val="Heading3"/>
      </w:pPr>
      <w:r w:rsidRPr="00101B36">
        <w:t>Effects on Fertility</w:t>
      </w:r>
    </w:p>
    <w:p w14:paraId="465BDF10" w14:textId="77777777" w:rsidR="00520E9F" w:rsidRPr="00101B36" w:rsidRDefault="00520E9F" w:rsidP="000A1317">
      <w:r w:rsidRPr="00101B36">
        <w:t xml:space="preserve">Enoxaparin </w:t>
      </w:r>
      <w:proofErr w:type="gramStart"/>
      <w:r w:rsidRPr="00101B36">
        <w:t>was found</w:t>
      </w:r>
      <w:proofErr w:type="gramEnd"/>
      <w:r w:rsidRPr="00101B36">
        <w:t xml:space="preserve"> to have no effect on fertility or reproductive performance of male and female rats at subcutaneous and intravenous doses up to 20 mg/kg/day.</w:t>
      </w:r>
    </w:p>
    <w:p w14:paraId="27921E0A" w14:textId="2EE1D66D" w:rsidR="00520E9F" w:rsidRPr="00101B36" w:rsidRDefault="00520E9F" w:rsidP="004461E6">
      <w:pPr>
        <w:pStyle w:val="Heading3"/>
      </w:pPr>
      <w:bookmarkStart w:id="13" w:name="_Ref952579"/>
      <w:r w:rsidRPr="00101B36">
        <w:t>Use in Pregnancy</w:t>
      </w:r>
      <w:bookmarkEnd w:id="13"/>
      <w:r w:rsidR="004461E6">
        <w:t xml:space="preserve"> (</w:t>
      </w:r>
      <w:r w:rsidRPr="00101B36">
        <w:t>Category C</w:t>
      </w:r>
      <w:r w:rsidR="004461E6">
        <w:t>)</w:t>
      </w:r>
    </w:p>
    <w:p w14:paraId="2B971DD5" w14:textId="63A80F38" w:rsidR="00520E9F" w:rsidRPr="00101B36" w:rsidRDefault="00520E9F" w:rsidP="000A1317">
      <w:r w:rsidRPr="00101B36">
        <w:t xml:space="preserve">In embryo-foetal development studies of enoxaparin there was no evidence of teratogenicity at 30 mg/kg/day SC or 160 mg/kg/day IV in either rats or rabbits. A reduction in rat pup weights occurred at 20 mg/kg/day </w:t>
      </w:r>
      <w:r w:rsidR="00551D6D" w:rsidRPr="00101B36">
        <w:t xml:space="preserve">Enoxaparin </w:t>
      </w:r>
      <w:r w:rsidRPr="00101B36">
        <w:t xml:space="preserve">SC only when administered during the late phase of gestation. An increase in post-implantation loss </w:t>
      </w:r>
      <w:proofErr w:type="gramStart"/>
      <w:r w:rsidRPr="00101B36">
        <w:t>was noted</w:t>
      </w:r>
      <w:proofErr w:type="gramEnd"/>
      <w:r w:rsidRPr="00101B36">
        <w:t xml:space="preserve"> at 160 mg/kg/day </w:t>
      </w:r>
      <w:r w:rsidR="00551D6D" w:rsidRPr="00101B36">
        <w:t xml:space="preserve">Enoxaparin </w:t>
      </w:r>
      <w:r w:rsidRPr="00101B36">
        <w:t xml:space="preserve">IV in rabbits, but not at 40 mg/kg/day IV, nor in rats at up to 160 mg/kg/day IV. Post-natal development in rats </w:t>
      </w:r>
      <w:proofErr w:type="gramStart"/>
      <w:r w:rsidRPr="00101B36">
        <w:t>was not affected</w:t>
      </w:r>
      <w:proofErr w:type="gramEnd"/>
      <w:r w:rsidRPr="00101B36">
        <w:t xml:space="preserve"> by doses tested up to a maximum of 20 mg/kg/day </w:t>
      </w:r>
      <w:r w:rsidR="00551D6D" w:rsidRPr="00101B36">
        <w:t xml:space="preserve">Enoxaparin </w:t>
      </w:r>
      <w:r w:rsidRPr="00101B36">
        <w:t>IV.</w:t>
      </w:r>
    </w:p>
    <w:p w14:paraId="5F6030B2" w14:textId="5D75EE3C" w:rsidR="00520E9F" w:rsidRPr="00101B36" w:rsidRDefault="00520E9F" w:rsidP="000A1317">
      <w:r w:rsidRPr="00101B36">
        <w:t xml:space="preserve">In humans, there is no evidence that </w:t>
      </w:r>
      <w:r w:rsidR="005A0124" w:rsidRPr="00101B36">
        <w:t xml:space="preserve">Enoxaparin </w:t>
      </w:r>
      <w:r w:rsidRPr="00101B36">
        <w:t xml:space="preserve">sodium crosses the placental barrier during the second trimester of pregnancy. There is no information available concerning the use of Enoxaparin during the first and third trimesters. As there are no adequate and well-controlled studies in pregnant women and because animal studies are not always predictive of human response, this drug </w:t>
      </w:r>
      <w:proofErr w:type="gramStart"/>
      <w:r w:rsidRPr="00101B36">
        <w:t>should be used</w:t>
      </w:r>
      <w:proofErr w:type="gramEnd"/>
      <w:r w:rsidRPr="00101B36">
        <w:t xml:space="preserve"> during pregnancy only if the physician has established a clear need.</w:t>
      </w:r>
    </w:p>
    <w:p w14:paraId="0838FEF9" w14:textId="38E6C2DD" w:rsidR="00520E9F" w:rsidRPr="00101B36" w:rsidRDefault="00520E9F" w:rsidP="000A1317">
      <w:r w:rsidRPr="00101B36">
        <w:t xml:space="preserve">There have been reports of congenital anomalies in infants born to women who received </w:t>
      </w:r>
      <w:r w:rsidR="005A0124" w:rsidRPr="00101B36">
        <w:t xml:space="preserve">Enoxaparin </w:t>
      </w:r>
      <w:r w:rsidRPr="00101B36">
        <w:t xml:space="preserve">during pregnancy including cerebral anomalies, limb anomalies, hypospadias, peripheral vascular malformation, fibrotic dysplasia and cardiac defect. A cause and effect </w:t>
      </w:r>
      <w:r w:rsidRPr="00101B36">
        <w:lastRenderedPageBreak/>
        <w:t xml:space="preserve">relationship </w:t>
      </w:r>
      <w:proofErr w:type="gramStart"/>
      <w:r w:rsidRPr="00101B36">
        <w:t>has not been established</w:t>
      </w:r>
      <w:proofErr w:type="gramEnd"/>
      <w:r w:rsidRPr="00101B36">
        <w:t xml:space="preserve"> nor has the incidence been shown to be higher than in the general population.</w:t>
      </w:r>
    </w:p>
    <w:p w14:paraId="0D9A55ED" w14:textId="23A7CD02" w:rsidR="00520E9F" w:rsidRPr="00101B36" w:rsidRDefault="00520E9F" w:rsidP="000A1317">
      <w:r w:rsidRPr="00101B36">
        <w:t>There have been post-marketing reports of foetal death when pregnant women received Enoxaparin. Causality for these cases has not been determined. Pr</w:t>
      </w:r>
      <w:r>
        <w:t>egnant women receiving anti-</w:t>
      </w:r>
      <w:r w:rsidRPr="00101B36">
        <w:t xml:space="preserve">coagulants, including </w:t>
      </w:r>
      <w:r w:rsidR="005A0124" w:rsidRPr="00101B36">
        <w:t>Enoxaparin</w:t>
      </w:r>
      <w:r w:rsidRPr="00101B36">
        <w:t xml:space="preserve">, are at increased risk of bleeding. Haemorrhage can occur at any site and may lead to death of mother and/or foetus. Pregnant women receiving </w:t>
      </w:r>
      <w:r w:rsidR="005A0124" w:rsidRPr="00101B36">
        <w:t xml:space="preserve">Enoxaparin </w:t>
      </w:r>
      <w:proofErr w:type="gramStart"/>
      <w:r w:rsidRPr="00101B36">
        <w:t>should be carefully monitored</w:t>
      </w:r>
      <w:proofErr w:type="gramEnd"/>
      <w:r w:rsidRPr="00101B36">
        <w:t xml:space="preserve">. Pregnant women and women of </w:t>
      </w:r>
      <w:proofErr w:type="gramStart"/>
      <w:r w:rsidRPr="00101B36">
        <w:t>child-bearing</w:t>
      </w:r>
      <w:proofErr w:type="gramEnd"/>
      <w:r w:rsidRPr="00101B36">
        <w:t xml:space="preserve"> potential should be apprised of the potential hazard to the foetus and the mother if </w:t>
      </w:r>
      <w:r w:rsidR="003C10D0" w:rsidRPr="00101B36">
        <w:t xml:space="preserve">Enoxaparin </w:t>
      </w:r>
      <w:r w:rsidRPr="00101B36">
        <w:t>is administered during pregnancy.</w:t>
      </w:r>
    </w:p>
    <w:p w14:paraId="74DF12CD" w14:textId="5D6B6AF8" w:rsidR="00520E9F" w:rsidRPr="00101B36" w:rsidRDefault="00520E9F" w:rsidP="000A1317">
      <w:r w:rsidRPr="00101B36">
        <w:t xml:space="preserve">The use of </w:t>
      </w:r>
      <w:r w:rsidR="00551D6D" w:rsidRPr="00101B36">
        <w:t xml:space="preserve">Enoxaparin </w:t>
      </w:r>
      <w:r w:rsidRPr="00101B36">
        <w:t xml:space="preserve">for </w:t>
      </w:r>
      <w:proofErr w:type="spellStart"/>
      <w:r w:rsidRPr="00101B36">
        <w:t>thromboprophylaxis</w:t>
      </w:r>
      <w:proofErr w:type="spellEnd"/>
      <w:r w:rsidRPr="00101B36">
        <w:t xml:space="preserve"> in pregnant women with mechanical prosthetic heart valves </w:t>
      </w:r>
      <w:proofErr w:type="gramStart"/>
      <w:r w:rsidRPr="00101B36">
        <w:t>has not been adequately studied</w:t>
      </w:r>
      <w:proofErr w:type="gramEnd"/>
      <w:r w:rsidRPr="00101B36">
        <w:t xml:space="preserve">. In a clinical study of pregnant women with mechanical prosthetic heart valves given Enoxaparin (1 mg/kg twice daily) to reduce the risk of thromboembolism, </w:t>
      </w:r>
      <w:proofErr w:type="gramStart"/>
      <w:r w:rsidRPr="00101B36">
        <w:t>2</w:t>
      </w:r>
      <w:proofErr w:type="gramEnd"/>
      <w:r w:rsidRPr="00101B36">
        <w:t xml:space="preserve"> of 8 women developed clots resulting in blockage of the valve and leading to maternal and foetal death. There have been isolated post-marketing reports of valve thrombosis in pregnant women with mechanical prosthetic heart valves while receiving </w:t>
      </w:r>
      <w:r w:rsidR="003C10D0" w:rsidRPr="00101B36">
        <w:t xml:space="preserve">Enoxaparin </w:t>
      </w:r>
      <w:r w:rsidRPr="00101B36">
        <w:t xml:space="preserve">for </w:t>
      </w:r>
      <w:proofErr w:type="spellStart"/>
      <w:r w:rsidRPr="00101B36">
        <w:t>thromboprophylaxis</w:t>
      </w:r>
      <w:proofErr w:type="spellEnd"/>
      <w:r w:rsidRPr="00101B36">
        <w:t>. Pregnant women with mechanical prosthetic heart valves may be at higher risk for thromboembolism. In the absence of additional dosing, efficacy and safety information in this circumstance, Enoxaparin is not recommended for use in pregnant women with mechanical prosthetic heart valves (</w:t>
      </w:r>
      <w:r>
        <w:t xml:space="preserve">see </w:t>
      </w:r>
      <w:r w:rsidR="00551D6D">
        <w:t xml:space="preserve">Section </w:t>
      </w:r>
      <w:r w:rsidR="00F3331C">
        <w:fldChar w:fldCharType="begin"/>
      </w:r>
      <w:r w:rsidR="00F3331C">
        <w:instrText xml:space="preserve"> REF _Ref878862 \r \h </w:instrText>
      </w:r>
      <w:r w:rsidR="00F3331C">
        <w:fldChar w:fldCharType="separate"/>
      </w:r>
      <w:r w:rsidR="006254D6">
        <w:t>4.4</w:t>
      </w:r>
      <w:r w:rsidR="00F3331C">
        <w:fldChar w:fldCharType="end"/>
      </w:r>
      <w:r w:rsidR="00551D6D">
        <w:t xml:space="preserve"> – </w:t>
      </w:r>
      <w:r>
        <w:fldChar w:fldCharType="begin"/>
      </w:r>
      <w:r>
        <w:instrText xml:space="preserve"> REF _Ref878862 \h </w:instrText>
      </w:r>
      <w:r w:rsidR="000A1317">
        <w:instrText xml:space="preserve"> \* MERGEFORMAT </w:instrText>
      </w:r>
      <w:r>
        <w:fldChar w:fldCharType="separate"/>
      </w:r>
      <w:r w:rsidR="006254D6" w:rsidRPr="00571478">
        <w:t>Special Warnings and Precautions for Use</w:t>
      </w:r>
      <w:r>
        <w:fldChar w:fldCharType="end"/>
      </w:r>
      <w:r w:rsidRPr="00101B36">
        <w:t xml:space="preserve">: </w:t>
      </w:r>
      <w:r>
        <w:fldChar w:fldCharType="begin"/>
      </w:r>
      <w:r>
        <w:instrText xml:space="preserve"> REF _Ref878876 \h </w:instrText>
      </w:r>
      <w:r w:rsidR="000A1317">
        <w:instrText xml:space="preserve"> \* MERGEFORMAT </w:instrText>
      </w:r>
      <w:r>
        <w:fldChar w:fldCharType="separate"/>
      </w:r>
      <w:r w:rsidR="006254D6" w:rsidRPr="00101B36">
        <w:t>Prosthetic Heart Valves</w:t>
      </w:r>
      <w:r>
        <w:fldChar w:fldCharType="end"/>
      </w:r>
      <w:r w:rsidRPr="00101B36">
        <w:t>).</w:t>
      </w:r>
    </w:p>
    <w:p w14:paraId="2CE13B09" w14:textId="77777777" w:rsidR="00520E9F" w:rsidRPr="00101B36" w:rsidRDefault="00520E9F" w:rsidP="000A1317">
      <w:pPr>
        <w:pStyle w:val="Heading3"/>
      </w:pPr>
      <w:r w:rsidRPr="00101B36">
        <w:t>Use in Lactation</w:t>
      </w:r>
    </w:p>
    <w:p w14:paraId="57A285C9" w14:textId="0AB105E0" w:rsidR="00520E9F" w:rsidRPr="00101B36" w:rsidRDefault="00520E9F" w:rsidP="000A1317">
      <w:r w:rsidRPr="00101B36">
        <w:t xml:space="preserve">It is unknown whether </w:t>
      </w:r>
      <w:r w:rsidR="00551D6D" w:rsidRPr="00101B36">
        <w:t xml:space="preserve">Enoxaparin </w:t>
      </w:r>
      <w:proofErr w:type="gramStart"/>
      <w:r w:rsidRPr="00101B36">
        <w:t>is excreted</w:t>
      </w:r>
      <w:proofErr w:type="gramEnd"/>
      <w:r w:rsidRPr="00101B36">
        <w:t xml:space="preserve"> into the breast milk of humans. In lactating rats, the concentration of </w:t>
      </w:r>
      <w:r w:rsidRPr="001F2BBB">
        <w:rPr>
          <w:vertAlign w:val="superscript"/>
        </w:rPr>
        <w:t>35</w:t>
      </w:r>
      <w:r w:rsidRPr="00101B36">
        <w:t>S-</w:t>
      </w:r>
      <w:r w:rsidR="001F2BBB" w:rsidRPr="00101B36">
        <w:t xml:space="preserve">enoxaparin </w:t>
      </w:r>
      <w:r w:rsidRPr="00101B36">
        <w:t xml:space="preserve">sodium or its labelled metabolites in milk was similar to that in maternal plasma. Apart from lower birth weights and slightly delayed physical development, there were no significant adverse effects of 20 mg/kg/day </w:t>
      </w:r>
      <w:r w:rsidR="001F2BBB" w:rsidRPr="00101B36">
        <w:t xml:space="preserve">Enoxaparin </w:t>
      </w:r>
      <w:r w:rsidRPr="00101B36">
        <w:t>SC in a peri- and post</w:t>
      </w:r>
      <w:r w:rsidR="001F2BBB">
        <w:t>-</w:t>
      </w:r>
      <w:r w:rsidRPr="00101B36">
        <w:t xml:space="preserve">natal study in rats. Effects of Enoxaparin on lactating women </w:t>
      </w:r>
      <w:proofErr w:type="gramStart"/>
      <w:r w:rsidRPr="00101B36">
        <w:t>have not been studied</w:t>
      </w:r>
      <w:proofErr w:type="gramEnd"/>
      <w:r w:rsidRPr="00101B36">
        <w:t>.</w:t>
      </w:r>
    </w:p>
    <w:p w14:paraId="2965D981" w14:textId="7431A71B" w:rsidR="00520E9F" w:rsidRPr="006727DE" w:rsidRDefault="00520E9F" w:rsidP="00FB45F5">
      <w:pPr>
        <w:spacing w:after="360"/>
      </w:pPr>
      <w:r w:rsidRPr="00101B36">
        <w:t xml:space="preserve">As a precaution, women </w:t>
      </w:r>
      <w:proofErr w:type="gramStart"/>
      <w:r w:rsidRPr="00101B36">
        <w:t>should be advised</w:t>
      </w:r>
      <w:proofErr w:type="gramEnd"/>
      <w:r w:rsidRPr="00101B36">
        <w:t xml:space="preserve"> not to breast feed while using Enoxaparin.</w:t>
      </w:r>
    </w:p>
    <w:p w14:paraId="0DB17263" w14:textId="6D4AE220" w:rsidR="001A3992" w:rsidRPr="00571478" w:rsidRDefault="001A3992" w:rsidP="000A1317">
      <w:pPr>
        <w:pStyle w:val="Heading2"/>
      </w:pPr>
      <w:r w:rsidRPr="00571478">
        <w:t xml:space="preserve">Effects on </w:t>
      </w:r>
      <w:r w:rsidR="00300792" w:rsidRPr="00571478">
        <w:rPr>
          <w:caps w:val="0"/>
        </w:rPr>
        <w:t>A</w:t>
      </w:r>
      <w:r w:rsidRPr="00571478">
        <w:t>b</w:t>
      </w:r>
      <w:r w:rsidR="007427DF" w:rsidRPr="00571478">
        <w:t xml:space="preserve">ility to </w:t>
      </w:r>
      <w:r w:rsidR="00300792" w:rsidRPr="00571478">
        <w:rPr>
          <w:caps w:val="0"/>
        </w:rPr>
        <w:t>D</w:t>
      </w:r>
      <w:r w:rsidR="007427DF" w:rsidRPr="00571478">
        <w:t xml:space="preserve">rive and </w:t>
      </w:r>
      <w:r w:rsidR="00300792" w:rsidRPr="00571478">
        <w:rPr>
          <w:caps w:val="0"/>
        </w:rPr>
        <w:t>U</w:t>
      </w:r>
      <w:r w:rsidR="007427DF" w:rsidRPr="00571478">
        <w:t xml:space="preserve">se </w:t>
      </w:r>
      <w:r w:rsidR="00300792" w:rsidRPr="00571478">
        <w:rPr>
          <w:caps w:val="0"/>
        </w:rPr>
        <w:t>M</w:t>
      </w:r>
      <w:r w:rsidR="007427DF" w:rsidRPr="00571478">
        <w:t>achines</w:t>
      </w:r>
    </w:p>
    <w:p w14:paraId="54F3F82D" w14:textId="72C6D16C" w:rsidR="005D430D" w:rsidRPr="00AA5E6F" w:rsidRDefault="007E4311" w:rsidP="00FB45F5">
      <w:pPr>
        <w:spacing w:after="360"/>
      </w:pPr>
      <w:r w:rsidRPr="00AA5E6F">
        <w:t xml:space="preserve">The effects of this medicine on a person's ability to drive and use machines </w:t>
      </w:r>
      <w:proofErr w:type="gramStart"/>
      <w:r w:rsidRPr="00AA5E6F">
        <w:t>were not assessed</w:t>
      </w:r>
      <w:proofErr w:type="gramEnd"/>
      <w:r w:rsidRPr="00AA5E6F">
        <w:t xml:space="preserve"> as part of its registration.</w:t>
      </w:r>
    </w:p>
    <w:p w14:paraId="6B7DFB75" w14:textId="2984EBB4" w:rsidR="001A3992" w:rsidRPr="00571478" w:rsidRDefault="001A3992" w:rsidP="000A1317">
      <w:pPr>
        <w:pStyle w:val="Heading2"/>
      </w:pPr>
      <w:bookmarkStart w:id="14" w:name="_Ref5878180"/>
      <w:r w:rsidRPr="00571478">
        <w:t xml:space="preserve">Adverse </w:t>
      </w:r>
      <w:r w:rsidR="00300792" w:rsidRPr="00571478">
        <w:rPr>
          <w:caps w:val="0"/>
        </w:rPr>
        <w:t>E</w:t>
      </w:r>
      <w:r w:rsidRPr="00571478">
        <w:t>ffects (</w:t>
      </w:r>
      <w:r w:rsidR="00300792" w:rsidRPr="00571478">
        <w:rPr>
          <w:caps w:val="0"/>
        </w:rPr>
        <w:t>U</w:t>
      </w:r>
      <w:r w:rsidRPr="00571478">
        <w:t xml:space="preserve">ndesirable </w:t>
      </w:r>
      <w:r w:rsidR="00300792" w:rsidRPr="00571478">
        <w:rPr>
          <w:caps w:val="0"/>
        </w:rPr>
        <w:t>E</w:t>
      </w:r>
      <w:r w:rsidRPr="00571478">
        <w:t>ffects)</w:t>
      </w:r>
      <w:bookmarkEnd w:id="14"/>
    </w:p>
    <w:p w14:paraId="1904158A" w14:textId="77777777" w:rsidR="001B7330" w:rsidRPr="00D852EC" w:rsidRDefault="001B7330" w:rsidP="000A1317">
      <w:pPr>
        <w:pStyle w:val="Heading3"/>
      </w:pPr>
      <w:r w:rsidRPr="00D852EC">
        <w:t>Clinical Trial Data</w:t>
      </w:r>
    </w:p>
    <w:p w14:paraId="4CBB1677" w14:textId="5A349786" w:rsidR="001B7330" w:rsidRPr="00D852EC" w:rsidRDefault="001B7330" w:rsidP="000A1317">
      <w:pPr>
        <w:rPr>
          <w:rFonts w:cs="Arial"/>
          <w:szCs w:val="20"/>
        </w:rPr>
      </w:pPr>
      <w:r w:rsidRPr="00D852EC">
        <w:rPr>
          <w:rFonts w:cs="Arial"/>
          <w:szCs w:val="20"/>
        </w:rPr>
        <w:t xml:space="preserve">Enoxaparin sodium </w:t>
      </w:r>
      <w:proofErr w:type="gramStart"/>
      <w:r w:rsidRPr="00D852EC">
        <w:rPr>
          <w:rFonts w:cs="Arial"/>
          <w:szCs w:val="20"/>
        </w:rPr>
        <w:t>has been evaluated</w:t>
      </w:r>
      <w:proofErr w:type="gramEnd"/>
      <w:r w:rsidRPr="00D852EC">
        <w:rPr>
          <w:rFonts w:cs="Arial"/>
          <w:szCs w:val="20"/>
        </w:rPr>
        <w:t xml:space="preserve"> in more than 15,000 patients. </w:t>
      </w:r>
      <w:proofErr w:type="gramStart"/>
      <w:r w:rsidRPr="00D852EC">
        <w:rPr>
          <w:rFonts w:cs="Arial"/>
          <w:szCs w:val="20"/>
        </w:rPr>
        <w:t>The following information relates to adverse events observed in controlled clinical trials with patients given Enoxaparin prophylaxis of deep vein thrombosis following orthopaedic or abdominal surgery in patients at risk for thromboembolic complications (n = 1</w:t>
      </w:r>
      <w:r w:rsidR="001F2BBB">
        <w:rPr>
          <w:rFonts w:cs="Arial"/>
          <w:szCs w:val="20"/>
        </w:rPr>
        <w:t>,</w:t>
      </w:r>
      <w:r w:rsidRPr="00D852EC">
        <w:rPr>
          <w:rFonts w:cs="Arial"/>
          <w:szCs w:val="20"/>
        </w:rPr>
        <w:t>176), prophylaxis of deep vein thrombosis in acutely ill medical patients with severely restricted mobility (n = 1</w:t>
      </w:r>
      <w:r w:rsidR="001F2BBB">
        <w:rPr>
          <w:rFonts w:cs="Arial"/>
          <w:szCs w:val="20"/>
        </w:rPr>
        <w:t>,</w:t>
      </w:r>
      <w:r w:rsidRPr="00D852EC">
        <w:rPr>
          <w:rFonts w:cs="Arial"/>
          <w:szCs w:val="20"/>
        </w:rPr>
        <w:t>169) , treatment of deep vein thrombosis with or without pulmonary embolism (n = 669) or with patients given Enoxaparin for the treatment of unstable angina or non-Q-wave myocardial infarction, administered concurrently with aspirin (n = 1</w:t>
      </w:r>
      <w:r w:rsidR="001F2BBB">
        <w:rPr>
          <w:rFonts w:cs="Arial"/>
          <w:szCs w:val="20"/>
        </w:rPr>
        <w:t>,</w:t>
      </w:r>
      <w:r w:rsidRPr="00D852EC">
        <w:rPr>
          <w:rFonts w:cs="Arial"/>
          <w:szCs w:val="20"/>
        </w:rPr>
        <w:t>578) or with patients given Enoxaparin for the treatment of acute ST-segment elevation myocardial infarction (n = 10</w:t>
      </w:r>
      <w:r w:rsidR="001F2BBB">
        <w:rPr>
          <w:rFonts w:cs="Arial"/>
          <w:szCs w:val="20"/>
        </w:rPr>
        <w:t>,</w:t>
      </w:r>
      <w:r w:rsidRPr="00D852EC">
        <w:rPr>
          <w:rFonts w:cs="Arial"/>
          <w:szCs w:val="20"/>
        </w:rPr>
        <w:t>176).</w:t>
      </w:r>
      <w:proofErr w:type="gramEnd"/>
    </w:p>
    <w:p w14:paraId="4ADE6262" w14:textId="77777777" w:rsidR="001B7330" w:rsidRPr="00D852EC" w:rsidRDefault="001B7330" w:rsidP="000A1317">
      <w:pPr>
        <w:rPr>
          <w:rFonts w:cs="Arial"/>
          <w:szCs w:val="20"/>
        </w:rPr>
      </w:pPr>
      <w:r w:rsidRPr="00D852EC">
        <w:rPr>
          <w:rFonts w:cs="Arial"/>
          <w:szCs w:val="20"/>
        </w:rPr>
        <w:lastRenderedPageBreak/>
        <w:t xml:space="preserve">Reported adverse events </w:t>
      </w:r>
      <w:proofErr w:type="gramStart"/>
      <w:r w:rsidRPr="00D852EC">
        <w:rPr>
          <w:rFonts w:cs="Arial"/>
          <w:szCs w:val="20"/>
        </w:rPr>
        <w:t>are presented</w:t>
      </w:r>
      <w:proofErr w:type="gramEnd"/>
      <w:r w:rsidRPr="00D852EC">
        <w:rPr>
          <w:rFonts w:cs="Arial"/>
          <w:szCs w:val="20"/>
        </w:rPr>
        <w:t xml:space="preserve"> at frequencies of:</w:t>
      </w:r>
    </w:p>
    <w:tbl>
      <w:tblPr>
        <w:tblW w:w="6096" w:type="dxa"/>
        <w:tblInd w:w="567" w:type="dxa"/>
        <w:tblLayout w:type="fixed"/>
        <w:tblCellMar>
          <w:left w:w="0" w:type="dxa"/>
          <w:right w:w="0" w:type="dxa"/>
        </w:tblCellMar>
        <w:tblLook w:val="0000" w:firstRow="0" w:lastRow="0" w:firstColumn="0" w:lastColumn="0" w:noHBand="0" w:noVBand="0"/>
      </w:tblPr>
      <w:tblGrid>
        <w:gridCol w:w="1542"/>
        <w:gridCol w:w="336"/>
        <w:gridCol w:w="4218"/>
      </w:tblGrid>
      <w:tr w:rsidR="001B7330" w:rsidRPr="00D852EC" w14:paraId="2FBBF26A" w14:textId="77777777" w:rsidTr="001F2BBB">
        <w:trPr>
          <w:trHeight w:hRule="exact" w:val="350"/>
        </w:trPr>
        <w:tc>
          <w:tcPr>
            <w:tcW w:w="1542" w:type="dxa"/>
            <w:tcBorders>
              <w:top w:val="nil"/>
              <w:left w:val="nil"/>
              <w:bottom w:val="nil"/>
              <w:right w:val="nil"/>
            </w:tcBorders>
            <w:vAlign w:val="center"/>
          </w:tcPr>
          <w:p w14:paraId="50712E61" w14:textId="77777777" w:rsidR="001B7330" w:rsidRPr="001F2BBB" w:rsidRDefault="001B7330" w:rsidP="000A1317">
            <w:pPr>
              <w:rPr>
                <w:rFonts w:cs="Arial"/>
                <w:i/>
                <w:iCs/>
                <w:szCs w:val="20"/>
              </w:rPr>
            </w:pPr>
            <w:r w:rsidRPr="001F2BBB">
              <w:rPr>
                <w:rFonts w:cs="Arial"/>
                <w:i/>
                <w:iCs/>
                <w:szCs w:val="20"/>
              </w:rPr>
              <w:t>Very common</w:t>
            </w:r>
          </w:p>
        </w:tc>
        <w:tc>
          <w:tcPr>
            <w:tcW w:w="336" w:type="dxa"/>
            <w:tcBorders>
              <w:top w:val="nil"/>
              <w:left w:val="nil"/>
              <w:bottom w:val="nil"/>
              <w:right w:val="nil"/>
            </w:tcBorders>
            <w:vAlign w:val="center"/>
          </w:tcPr>
          <w:p w14:paraId="210D24D8" w14:textId="77777777" w:rsidR="001B7330" w:rsidRPr="00D852EC" w:rsidRDefault="001B7330" w:rsidP="000A1317">
            <w:pPr>
              <w:rPr>
                <w:rFonts w:cs="Arial"/>
                <w:iCs/>
                <w:szCs w:val="20"/>
              </w:rPr>
            </w:pPr>
          </w:p>
        </w:tc>
        <w:tc>
          <w:tcPr>
            <w:tcW w:w="4218" w:type="dxa"/>
            <w:tcBorders>
              <w:top w:val="nil"/>
              <w:left w:val="nil"/>
              <w:bottom w:val="nil"/>
              <w:right w:val="nil"/>
            </w:tcBorders>
            <w:vAlign w:val="center"/>
          </w:tcPr>
          <w:p w14:paraId="104B31A3" w14:textId="77777777" w:rsidR="001B7330" w:rsidRPr="00D852EC" w:rsidRDefault="001B7330" w:rsidP="000A1317">
            <w:pPr>
              <w:rPr>
                <w:rFonts w:cs="Arial"/>
                <w:szCs w:val="20"/>
              </w:rPr>
            </w:pPr>
            <w:r w:rsidRPr="00D852EC">
              <w:rPr>
                <w:rFonts w:cs="Arial"/>
                <w:szCs w:val="20"/>
              </w:rPr>
              <w:t>&gt;1/10 (10%)</w:t>
            </w:r>
          </w:p>
        </w:tc>
      </w:tr>
      <w:tr w:rsidR="001B7330" w:rsidRPr="00D852EC" w14:paraId="7D989385" w14:textId="77777777" w:rsidTr="001F2BBB">
        <w:trPr>
          <w:trHeight w:hRule="exact" w:val="350"/>
        </w:trPr>
        <w:tc>
          <w:tcPr>
            <w:tcW w:w="1542" w:type="dxa"/>
            <w:tcBorders>
              <w:top w:val="nil"/>
              <w:left w:val="nil"/>
              <w:bottom w:val="nil"/>
              <w:right w:val="nil"/>
            </w:tcBorders>
            <w:vAlign w:val="center"/>
          </w:tcPr>
          <w:p w14:paraId="584F88D3" w14:textId="2919C606" w:rsidR="001B7330" w:rsidRPr="001F2BBB" w:rsidRDefault="001F2BBB" w:rsidP="000A1317">
            <w:pPr>
              <w:rPr>
                <w:rFonts w:cs="Arial"/>
                <w:i/>
                <w:iCs/>
                <w:szCs w:val="20"/>
              </w:rPr>
            </w:pPr>
            <w:r w:rsidRPr="001F2BBB">
              <w:rPr>
                <w:rFonts w:cs="Arial"/>
                <w:i/>
                <w:iCs/>
                <w:szCs w:val="20"/>
              </w:rPr>
              <w:t>Common</w:t>
            </w:r>
          </w:p>
        </w:tc>
        <w:tc>
          <w:tcPr>
            <w:tcW w:w="336" w:type="dxa"/>
            <w:tcBorders>
              <w:top w:val="nil"/>
              <w:left w:val="nil"/>
              <w:bottom w:val="nil"/>
              <w:right w:val="nil"/>
            </w:tcBorders>
            <w:vAlign w:val="center"/>
          </w:tcPr>
          <w:p w14:paraId="7E40E8F4" w14:textId="77777777" w:rsidR="001B7330" w:rsidRPr="00D852EC" w:rsidRDefault="001B7330" w:rsidP="000A1317">
            <w:pPr>
              <w:rPr>
                <w:rFonts w:cs="Arial"/>
                <w:iCs/>
                <w:szCs w:val="20"/>
              </w:rPr>
            </w:pPr>
          </w:p>
        </w:tc>
        <w:tc>
          <w:tcPr>
            <w:tcW w:w="4218" w:type="dxa"/>
            <w:tcBorders>
              <w:top w:val="nil"/>
              <w:left w:val="nil"/>
              <w:bottom w:val="nil"/>
              <w:right w:val="nil"/>
            </w:tcBorders>
            <w:vAlign w:val="center"/>
          </w:tcPr>
          <w:p w14:paraId="1B35E4D6" w14:textId="77777777" w:rsidR="001B7330" w:rsidRPr="00D852EC" w:rsidRDefault="001B7330" w:rsidP="000A1317">
            <w:pPr>
              <w:rPr>
                <w:rFonts w:cs="Arial"/>
                <w:szCs w:val="20"/>
              </w:rPr>
            </w:pPr>
            <w:r w:rsidRPr="00D852EC">
              <w:rPr>
                <w:rFonts w:cs="Arial"/>
                <w:szCs w:val="20"/>
              </w:rPr>
              <w:t>≥1/100 (1%) and &lt; 1/10 (10%)</w:t>
            </w:r>
          </w:p>
        </w:tc>
      </w:tr>
      <w:tr w:rsidR="001B7330" w:rsidRPr="00D852EC" w14:paraId="775BD127" w14:textId="77777777" w:rsidTr="001F2BBB">
        <w:trPr>
          <w:trHeight w:hRule="exact" w:val="375"/>
        </w:trPr>
        <w:tc>
          <w:tcPr>
            <w:tcW w:w="1542" w:type="dxa"/>
            <w:tcBorders>
              <w:top w:val="nil"/>
              <w:left w:val="nil"/>
              <w:bottom w:val="nil"/>
              <w:right w:val="nil"/>
            </w:tcBorders>
            <w:vAlign w:val="center"/>
          </w:tcPr>
          <w:p w14:paraId="616054D8" w14:textId="7F169192" w:rsidR="001B7330" w:rsidRPr="001F2BBB" w:rsidRDefault="001F2BBB" w:rsidP="000A1317">
            <w:pPr>
              <w:rPr>
                <w:rFonts w:cs="Arial"/>
                <w:i/>
                <w:iCs/>
                <w:szCs w:val="20"/>
              </w:rPr>
            </w:pPr>
            <w:r w:rsidRPr="001F2BBB">
              <w:rPr>
                <w:rFonts w:cs="Arial"/>
                <w:i/>
                <w:iCs/>
                <w:szCs w:val="20"/>
              </w:rPr>
              <w:t>Uncommon</w:t>
            </w:r>
          </w:p>
        </w:tc>
        <w:tc>
          <w:tcPr>
            <w:tcW w:w="336" w:type="dxa"/>
            <w:tcBorders>
              <w:top w:val="nil"/>
              <w:left w:val="nil"/>
              <w:bottom w:val="nil"/>
              <w:right w:val="nil"/>
            </w:tcBorders>
            <w:vAlign w:val="center"/>
          </w:tcPr>
          <w:p w14:paraId="47A3C24D" w14:textId="77777777" w:rsidR="001B7330" w:rsidRPr="00D852EC" w:rsidRDefault="001B7330" w:rsidP="000A1317">
            <w:pPr>
              <w:rPr>
                <w:rFonts w:cs="Arial"/>
                <w:iCs/>
                <w:szCs w:val="20"/>
              </w:rPr>
            </w:pPr>
          </w:p>
        </w:tc>
        <w:tc>
          <w:tcPr>
            <w:tcW w:w="4218" w:type="dxa"/>
            <w:tcBorders>
              <w:top w:val="nil"/>
              <w:left w:val="nil"/>
              <w:bottom w:val="nil"/>
              <w:right w:val="nil"/>
            </w:tcBorders>
            <w:vAlign w:val="center"/>
          </w:tcPr>
          <w:p w14:paraId="7061EA06" w14:textId="77777777" w:rsidR="001B7330" w:rsidRPr="00D852EC" w:rsidRDefault="001B7330" w:rsidP="000A1317">
            <w:pPr>
              <w:rPr>
                <w:rFonts w:cs="Arial"/>
                <w:szCs w:val="20"/>
              </w:rPr>
            </w:pPr>
            <w:r w:rsidRPr="00D852EC">
              <w:rPr>
                <w:rFonts w:cs="Arial"/>
                <w:szCs w:val="20"/>
              </w:rPr>
              <w:t>≥1/1000 (0.1%) and &lt; 1/100 (1%)</w:t>
            </w:r>
          </w:p>
        </w:tc>
      </w:tr>
      <w:tr w:rsidR="001B7330" w:rsidRPr="00D852EC" w14:paraId="64EA6269" w14:textId="77777777" w:rsidTr="001F2BBB">
        <w:trPr>
          <w:trHeight w:hRule="exact" w:val="363"/>
        </w:trPr>
        <w:tc>
          <w:tcPr>
            <w:tcW w:w="1542" w:type="dxa"/>
            <w:tcBorders>
              <w:top w:val="nil"/>
              <w:left w:val="nil"/>
              <w:bottom w:val="nil"/>
              <w:right w:val="nil"/>
            </w:tcBorders>
            <w:vAlign w:val="center"/>
          </w:tcPr>
          <w:p w14:paraId="1873B171" w14:textId="470919F5" w:rsidR="001B7330" w:rsidRPr="001F2BBB" w:rsidRDefault="001F2BBB" w:rsidP="000A1317">
            <w:pPr>
              <w:rPr>
                <w:rFonts w:cs="Arial"/>
                <w:i/>
                <w:iCs/>
                <w:szCs w:val="20"/>
              </w:rPr>
            </w:pPr>
            <w:r w:rsidRPr="001F2BBB">
              <w:rPr>
                <w:rFonts w:cs="Arial"/>
                <w:i/>
                <w:iCs/>
                <w:szCs w:val="20"/>
              </w:rPr>
              <w:t>Rare</w:t>
            </w:r>
          </w:p>
        </w:tc>
        <w:tc>
          <w:tcPr>
            <w:tcW w:w="336" w:type="dxa"/>
            <w:tcBorders>
              <w:top w:val="nil"/>
              <w:left w:val="nil"/>
              <w:bottom w:val="nil"/>
              <w:right w:val="nil"/>
            </w:tcBorders>
            <w:vAlign w:val="center"/>
          </w:tcPr>
          <w:p w14:paraId="296B01A9" w14:textId="77777777" w:rsidR="001B7330" w:rsidRPr="00D852EC" w:rsidRDefault="001B7330" w:rsidP="000A1317">
            <w:pPr>
              <w:rPr>
                <w:rFonts w:cs="Arial"/>
                <w:iCs/>
                <w:szCs w:val="20"/>
              </w:rPr>
            </w:pPr>
          </w:p>
        </w:tc>
        <w:tc>
          <w:tcPr>
            <w:tcW w:w="4218" w:type="dxa"/>
            <w:tcBorders>
              <w:top w:val="nil"/>
              <w:left w:val="nil"/>
              <w:bottom w:val="nil"/>
              <w:right w:val="nil"/>
            </w:tcBorders>
            <w:vAlign w:val="center"/>
          </w:tcPr>
          <w:p w14:paraId="092B806C" w14:textId="77777777" w:rsidR="001B7330" w:rsidRPr="00D852EC" w:rsidRDefault="001B7330" w:rsidP="000A1317">
            <w:pPr>
              <w:rPr>
                <w:rFonts w:cs="Arial"/>
                <w:szCs w:val="20"/>
              </w:rPr>
            </w:pPr>
            <w:r w:rsidRPr="00D852EC">
              <w:rPr>
                <w:rFonts w:cs="Arial"/>
                <w:szCs w:val="20"/>
              </w:rPr>
              <w:t>≥1/10000 (0.01%) and &lt; 1/1000 (0.1%)</w:t>
            </w:r>
          </w:p>
        </w:tc>
      </w:tr>
      <w:tr w:rsidR="001B7330" w:rsidRPr="00D852EC" w14:paraId="78A2C1CE" w14:textId="77777777" w:rsidTr="001F2BBB">
        <w:trPr>
          <w:trHeight w:hRule="exact" w:val="363"/>
        </w:trPr>
        <w:tc>
          <w:tcPr>
            <w:tcW w:w="1542" w:type="dxa"/>
            <w:tcBorders>
              <w:top w:val="nil"/>
              <w:left w:val="nil"/>
              <w:bottom w:val="nil"/>
              <w:right w:val="nil"/>
            </w:tcBorders>
            <w:vAlign w:val="center"/>
          </w:tcPr>
          <w:p w14:paraId="0ECE324F" w14:textId="7C02C2D2" w:rsidR="001B7330" w:rsidRPr="001F2BBB" w:rsidRDefault="001F2BBB" w:rsidP="000A1317">
            <w:pPr>
              <w:rPr>
                <w:rFonts w:cs="Arial"/>
                <w:i/>
                <w:iCs/>
                <w:szCs w:val="20"/>
              </w:rPr>
            </w:pPr>
            <w:r w:rsidRPr="001F2BBB">
              <w:rPr>
                <w:rFonts w:cs="Arial"/>
                <w:i/>
                <w:iCs/>
                <w:szCs w:val="20"/>
              </w:rPr>
              <w:t xml:space="preserve">Very </w:t>
            </w:r>
            <w:r w:rsidR="001B7330" w:rsidRPr="001F2BBB">
              <w:rPr>
                <w:rFonts w:cs="Arial"/>
                <w:i/>
                <w:iCs/>
                <w:szCs w:val="20"/>
              </w:rPr>
              <w:t>rare</w:t>
            </w:r>
          </w:p>
        </w:tc>
        <w:tc>
          <w:tcPr>
            <w:tcW w:w="336" w:type="dxa"/>
            <w:tcBorders>
              <w:top w:val="nil"/>
              <w:left w:val="nil"/>
              <w:bottom w:val="nil"/>
              <w:right w:val="nil"/>
            </w:tcBorders>
            <w:vAlign w:val="center"/>
          </w:tcPr>
          <w:p w14:paraId="176CC436" w14:textId="77777777" w:rsidR="001B7330" w:rsidRPr="00D852EC" w:rsidRDefault="001B7330" w:rsidP="000A1317">
            <w:pPr>
              <w:rPr>
                <w:rFonts w:cs="Arial"/>
                <w:iCs/>
                <w:szCs w:val="20"/>
              </w:rPr>
            </w:pPr>
          </w:p>
        </w:tc>
        <w:tc>
          <w:tcPr>
            <w:tcW w:w="4218" w:type="dxa"/>
            <w:tcBorders>
              <w:top w:val="nil"/>
              <w:left w:val="nil"/>
              <w:bottom w:val="nil"/>
              <w:right w:val="nil"/>
            </w:tcBorders>
            <w:vAlign w:val="center"/>
          </w:tcPr>
          <w:p w14:paraId="42B01858" w14:textId="77777777" w:rsidR="001B7330" w:rsidRPr="00D852EC" w:rsidRDefault="001B7330" w:rsidP="000A1317">
            <w:pPr>
              <w:rPr>
                <w:rFonts w:cs="Arial"/>
                <w:szCs w:val="20"/>
              </w:rPr>
            </w:pPr>
            <w:r w:rsidRPr="00D852EC">
              <w:rPr>
                <w:rFonts w:cs="Arial"/>
                <w:szCs w:val="20"/>
              </w:rPr>
              <w:t>&lt;1/10000 (&lt;0.01%)</w:t>
            </w:r>
          </w:p>
        </w:tc>
      </w:tr>
    </w:tbl>
    <w:p w14:paraId="16F1F3E0" w14:textId="77777777" w:rsidR="001B7330" w:rsidRPr="00D852EC" w:rsidRDefault="001B7330" w:rsidP="001F2BBB">
      <w:pPr>
        <w:spacing w:before="0" w:after="0"/>
        <w:rPr>
          <w:rFonts w:cs="Arial"/>
          <w:szCs w:val="20"/>
          <w:u w:val="single"/>
        </w:rPr>
      </w:pPr>
    </w:p>
    <w:p w14:paraId="5B258B8D" w14:textId="77777777" w:rsidR="001B7330" w:rsidRPr="00D852EC" w:rsidRDefault="001B7330" w:rsidP="001F2BBB">
      <w:pPr>
        <w:pStyle w:val="Heading4"/>
      </w:pPr>
      <w:r w:rsidRPr="00D852EC">
        <w:t xml:space="preserve">Haematological </w:t>
      </w:r>
    </w:p>
    <w:p w14:paraId="4A677C62" w14:textId="77777777" w:rsidR="001B7330" w:rsidRPr="00D852EC" w:rsidRDefault="001B7330" w:rsidP="001F2BBB">
      <w:pPr>
        <w:rPr>
          <w:rFonts w:cs="Arial"/>
          <w:szCs w:val="20"/>
        </w:rPr>
      </w:pPr>
      <w:r w:rsidRPr="00D852EC">
        <w:rPr>
          <w:rFonts w:cs="Arial"/>
          <w:i/>
          <w:iCs/>
          <w:szCs w:val="20"/>
        </w:rPr>
        <w:t>Common</w:t>
      </w:r>
      <w:r w:rsidRPr="00D852EC">
        <w:rPr>
          <w:rFonts w:cs="Arial"/>
          <w:iCs/>
          <w:szCs w:val="20"/>
        </w:rPr>
        <w:t xml:space="preserve">: </w:t>
      </w:r>
      <w:r w:rsidRPr="00D852EC">
        <w:rPr>
          <w:rFonts w:cs="Arial"/>
          <w:szCs w:val="20"/>
        </w:rPr>
        <w:t>Anaemia</w:t>
      </w:r>
    </w:p>
    <w:p w14:paraId="679BDE53" w14:textId="6CB7B315" w:rsidR="00A04C94" w:rsidRDefault="001B7330" w:rsidP="000A1317">
      <w:pPr>
        <w:rPr>
          <w:rFonts w:cs="Arial"/>
          <w:szCs w:val="20"/>
        </w:rPr>
      </w:pPr>
      <w:r w:rsidRPr="00D852EC">
        <w:rPr>
          <w:rFonts w:cs="Arial"/>
          <w:szCs w:val="20"/>
        </w:rPr>
        <w:t xml:space="preserve">In clinical </w:t>
      </w:r>
      <w:proofErr w:type="gramStart"/>
      <w:r w:rsidRPr="00D852EC">
        <w:rPr>
          <w:rFonts w:cs="Arial"/>
          <w:szCs w:val="20"/>
        </w:rPr>
        <w:t>trials</w:t>
      </w:r>
      <w:proofErr w:type="gramEnd"/>
      <w:r w:rsidRPr="00D852EC">
        <w:rPr>
          <w:rFonts w:cs="Arial"/>
          <w:szCs w:val="20"/>
        </w:rPr>
        <w:t xml:space="preserve"> haemorrhages were the most commonly reported adverse effect. These included major haemorrhages, reported at most 4.2% in surgical patients receiving prophylaxis. Bleeding may occur in the presence of associated risk factors such </w:t>
      </w:r>
      <w:proofErr w:type="gramStart"/>
      <w:r w:rsidRPr="00D852EC">
        <w:rPr>
          <w:rFonts w:cs="Arial"/>
          <w:szCs w:val="20"/>
        </w:rPr>
        <w:t>as:</w:t>
      </w:r>
      <w:proofErr w:type="gramEnd"/>
      <w:r w:rsidRPr="00D852EC">
        <w:rPr>
          <w:rFonts w:cs="Arial"/>
          <w:szCs w:val="20"/>
        </w:rPr>
        <w:t xml:space="preserve"> organic lesions liable to bleed, invasive procedures or the use of medications affecting haemostasis (see </w:t>
      </w:r>
      <w:r w:rsidR="001F2BBB">
        <w:rPr>
          <w:rFonts w:cs="Arial"/>
          <w:szCs w:val="20"/>
        </w:rPr>
        <w:t xml:space="preserve">Section </w:t>
      </w:r>
      <w:r w:rsidR="00F3331C">
        <w:fldChar w:fldCharType="begin"/>
      </w:r>
      <w:r w:rsidR="00F3331C">
        <w:instrText xml:space="preserve"> REF _Ref878862 \r \h </w:instrText>
      </w:r>
      <w:r w:rsidR="00F3331C">
        <w:fldChar w:fldCharType="separate"/>
      </w:r>
      <w:r w:rsidR="006254D6">
        <w:t>4.4</w:t>
      </w:r>
      <w:r w:rsidR="00F3331C">
        <w:fldChar w:fldCharType="end"/>
      </w:r>
      <w:r w:rsidR="001F2BBB">
        <w:rPr>
          <w:rFonts w:cs="Arial"/>
          <w:szCs w:val="20"/>
        </w:rPr>
        <w:t xml:space="preserve"> – </w:t>
      </w:r>
      <w:r w:rsidR="00F3331C">
        <w:fldChar w:fldCharType="begin"/>
      </w:r>
      <w:r w:rsidR="00F3331C">
        <w:instrText xml:space="preserve"> REF _Ref878862 \h  \* MERGEFORMAT </w:instrText>
      </w:r>
      <w:r w:rsidR="00F3331C">
        <w:fldChar w:fldCharType="separate"/>
      </w:r>
      <w:r w:rsidR="006254D6" w:rsidRPr="00571478">
        <w:t>Special Warnings and Precautions for Use</w:t>
      </w:r>
      <w:r w:rsidR="00F3331C">
        <w:fldChar w:fldCharType="end"/>
      </w:r>
      <w:r w:rsidR="001F2BBB" w:rsidRPr="001F2BBB">
        <w:rPr>
          <w:rFonts w:cs="Arial"/>
          <w:szCs w:val="20"/>
        </w:rPr>
        <w:t xml:space="preserve"> and Section </w:t>
      </w:r>
      <w:r w:rsidR="00F3331C">
        <w:rPr>
          <w:rFonts w:cs="Arial"/>
          <w:szCs w:val="20"/>
        </w:rPr>
        <w:fldChar w:fldCharType="begin"/>
      </w:r>
      <w:r w:rsidR="00F3331C">
        <w:rPr>
          <w:rFonts w:cs="Arial"/>
          <w:szCs w:val="20"/>
        </w:rPr>
        <w:instrText xml:space="preserve"> REF _Ref5878343 \r \h </w:instrText>
      </w:r>
      <w:r w:rsidR="00F3331C">
        <w:rPr>
          <w:rFonts w:cs="Arial"/>
          <w:szCs w:val="20"/>
        </w:rPr>
      </w:r>
      <w:r w:rsidR="00F3331C">
        <w:rPr>
          <w:rFonts w:cs="Arial"/>
          <w:szCs w:val="20"/>
        </w:rPr>
        <w:fldChar w:fldCharType="separate"/>
      </w:r>
      <w:r w:rsidR="006254D6">
        <w:rPr>
          <w:rFonts w:cs="Arial"/>
          <w:szCs w:val="20"/>
        </w:rPr>
        <w:t>4.5</w:t>
      </w:r>
      <w:r w:rsidR="00F3331C">
        <w:rPr>
          <w:rFonts w:cs="Arial"/>
          <w:szCs w:val="20"/>
        </w:rPr>
        <w:fldChar w:fldCharType="end"/>
      </w:r>
      <w:r w:rsidR="001F2BBB" w:rsidRPr="001F2BBB">
        <w:rPr>
          <w:rFonts w:cs="Arial"/>
          <w:szCs w:val="20"/>
        </w:rPr>
        <w:t xml:space="preserve"> – </w:t>
      </w:r>
      <w:r w:rsidR="00F3331C">
        <w:rPr>
          <w:rFonts w:cs="Arial"/>
          <w:szCs w:val="20"/>
        </w:rPr>
        <w:fldChar w:fldCharType="begin"/>
      </w:r>
      <w:r w:rsidR="00F3331C">
        <w:rPr>
          <w:rFonts w:cs="Arial"/>
          <w:szCs w:val="20"/>
        </w:rPr>
        <w:instrText xml:space="preserve"> REF _Ref5878343 \h </w:instrText>
      </w:r>
      <w:r w:rsidR="00F3331C">
        <w:rPr>
          <w:rFonts w:cs="Arial"/>
          <w:szCs w:val="20"/>
        </w:rPr>
      </w:r>
      <w:r w:rsidR="00F3331C">
        <w:rPr>
          <w:rFonts w:cs="Arial"/>
          <w:szCs w:val="20"/>
        </w:rPr>
        <w:fldChar w:fldCharType="separate"/>
      </w:r>
      <w:r w:rsidR="006254D6" w:rsidRPr="00571478">
        <w:t>Interactions with Other Medicines and Other Forms of Interactions</w:t>
      </w:r>
      <w:r w:rsidR="00F3331C">
        <w:rPr>
          <w:rFonts w:cs="Arial"/>
          <w:szCs w:val="20"/>
        </w:rPr>
        <w:fldChar w:fldCharType="end"/>
      </w:r>
      <w:r w:rsidRPr="00D852EC">
        <w:rPr>
          <w:rFonts w:cs="Arial"/>
          <w:szCs w:val="20"/>
        </w:rPr>
        <w:t xml:space="preserve">). Major haemorrhage, including retroperitoneal and intracranial bleeding, </w:t>
      </w:r>
      <w:proofErr w:type="gramStart"/>
      <w:r w:rsidRPr="00D852EC">
        <w:rPr>
          <w:rFonts w:cs="Arial"/>
          <w:szCs w:val="20"/>
        </w:rPr>
        <w:t>has been reported</w:t>
      </w:r>
      <w:proofErr w:type="gramEnd"/>
      <w:r w:rsidRPr="00D852EC">
        <w:rPr>
          <w:rFonts w:cs="Arial"/>
          <w:szCs w:val="20"/>
        </w:rPr>
        <w:t xml:space="preserve">. Some </w:t>
      </w:r>
      <w:r w:rsidR="006727DE">
        <w:rPr>
          <w:rFonts w:cs="Arial"/>
          <w:szCs w:val="20"/>
        </w:rPr>
        <w:t>of these cases have been fatal.</w:t>
      </w:r>
    </w:p>
    <w:p w14:paraId="18657A34" w14:textId="1C513A91" w:rsidR="001B7330" w:rsidRPr="00A751F3" w:rsidRDefault="001F2BBB" w:rsidP="0042177F">
      <w:pPr>
        <w:spacing w:line="247" w:lineRule="auto"/>
        <w:jc w:val="center"/>
        <w:rPr>
          <w:rFonts w:cs="Arial"/>
          <w:b/>
          <w:szCs w:val="20"/>
        </w:rPr>
      </w:pPr>
      <w:r w:rsidRPr="00A751F3">
        <w:rPr>
          <w:rFonts w:cs="Arial"/>
          <w:b/>
          <w:szCs w:val="20"/>
          <w:u w:val="single"/>
        </w:rPr>
        <w:t>Table 3</w:t>
      </w:r>
      <w:r w:rsidRPr="00A751F3">
        <w:rPr>
          <w:rFonts w:cs="Arial"/>
          <w:b/>
          <w:szCs w:val="20"/>
        </w:rPr>
        <w:t xml:space="preserve">: </w:t>
      </w:r>
      <w:r w:rsidR="001B7330" w:rsidRPr="00A751F3">
        <w:rPr>
          <w:rFonts w:cs="Arial"/>
          <w:b/>
          <w:szCs w:val="20"/>
        </w:rPr>
        <w:t>Haemorrhages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1"/>
        <w:gridCol w:w="1511"/>
        <w:gridCol w:w="1511"/>
        <w:gridCol w:w="1511"/>
        <w:gridCol w:w="1511"/>
        <w:gridCol w:w="1512"/>
      </w:tblGrid>
      <w:tr w:rsidR="00A04C94" w:rsidRPr="001B44ED" w14:paraId="1DF7B80A" w14:textId="77777777" w:rsidTr="001F2BBB">
        <w:trPr>
          <w:trHeight w:val="1070"/>
        </w:trPr>
        <w:tc>
          <w:tcPr>
            <w:tcW w:w="1511" w:type="dxa"/>
          </w:tcPr>
          <w:p w14:paraId="43EC5A38" w14:textId="77777777" w:rsidR="00A04C94" w:rsidRPr="001B44ED" w:rsidRDefault="00A04C94" w:rsidP="001F2BBB">
            <w:pPr>
              <w:spacing w:before="0" w:after="0"/>
              <w:ind w:left="57" w:right="57"/>
              <w:jc w:val="left"/>
              <w:rPr>
                <w:rFonts w:cs="Arial"/>
                <w:w w:val="105"/>
                <w:sz w:val="18"/>
                <w:szCs w:val="20"/>
              </w:rPr>
            </w:pPr>
            <w:proofErr w:type="spellStart"/>
            <w:r w:rsidRPr="001B44ED">
              <w:rPr>
                <w:rFonts w:cs="Arial"/>
                <w:w w:val="105"/>
                <w:sz w:val="18"/>
                <w:szCs w:val="20"/>
              </w:rPr>
              <w:t>MedDRA</w:t>
            </w:r>
            <w:proofErr w:type="spellEnd"/>
            <w:r w:rsidRPr="001B44ED">
              <w:rPr>
                <w:rFonts w:cs="Arial"/>
                <w:w w:val="105"/>
                <w:sz w:val="18"/>
                <w:szCs w:val="20"/>
              </w:rPr>
              <w:t xml:space="preserve"> </w:t>
            </w:r>
            <w:r w:rsidRPr="001B44ED">
              <w:rPr>
                <w:rFonts w:cs="Arial"/>
                <w:spacing w:val="-12"/>
                <w:w w:val="105"/>
                <w:sz w:val="18"/>
                <w:szCs w:val="20"/>
              </w:rPr>
              <w:t xml:space="preserve">system </w:t>
            </w:r>
            <w:r w:rsidRPr="001B44ED">
              <w:rPr>
                <w:rFonts w:cs="Arial"/>
                <w:spacing w:val="-6"/>
                <w:w w:val="105"/>
                <w:sz w:val="18"/>
                <w:szCs w:val="20"/>
              </w:rPr>
              <w:t xml:space="preserve">organ </w:t>
            </w:r>
            <w:r w:rsidRPr="001B44ED">
              <w:rPr>
                <w:rFonts w:cs="Arial"/>
                <w:w w:val="105"/>
                <w:sz w:val="18"/>
                <w:szCs w:val="20"/>
              </w:rPr>
              <w:t>class</w:t>
            </w:r>
          </w:p>
        </w:tc>
        <w:tc>
          <w:tcPr>
            <w:tcW w:w="1511" w:type="dxa"/>
          </w:tcPr>
          <w:p w14:paraId="5D4DDEF3" w14:textId="77777777" w:rsidR="00A04C94" w:rsidRPr="001B44ED" w:rsidRDefault="00A04C94" w:rsidP="001F2BBB">
            <w:pPr>
              <w:tabs>
                <w:tab w:val="right" w:pos="1488"/>
              </w:tabs>
              <w:spacing w:before="0" w:after="0"/>
              <w:ind w:left="57" w:right="57"/>
              <w:jc w:val="left"/>
              <w:rPr>
                <w:rFonts w:cs="Arial"/>
                <w:w w:val="105"/>
                <w:sz w:val="18"/>
                <w:szCs w:val="20"/>
              </w:rPr>
            </w:pPr>
            <w:r w:rsidRPr="001B44ED">
              <w:rPr>
                <w:rFonts w:cs="Arial"/>
                <w:spacing w:val="-8"/>
                <w:w w:val="105"/>
                <w:sz w:val="18"/>
                <w:szCs w:val="20"/>
              </w:rPr>
              <w:t xml:space="preserve">Prophylaxis </w:t>
            </w:r>
            <w:r w:rsidRPr="001B44ED">
              <w:rPr>
                <w:rFonts w:cs="Arial"/>
                <w:w w:val="105"/>
                <w:sz w:val="18"/>
                <w:szCs w:val="20"/>
              </w:rPr>
              <w:t>in surgical patients</w:t>
            </w:r>
          </w:p>
        </w:tc>
        <w:tc>
          <w:tcPr>
            <w:tcW w:w="1511" w:type="dxa"/>
          </w:tcPr>
          <w:p w14:paraId="0F6EEA7F" w14:textId="77777777" w:rsidR="00A04C94" w:rsidRPr="001B44ED" w:rsidRDefault="00A04C94" w:rsidP="001F2BBB">
            <w:pPr>
              <w:tabs>
                <w:tab w:val="right" w:pos="1488"/>
              </w:tabs>
              <w:spacing w:before="0" w:after="0"/>
              <w:ind w:left="57" w:right="57"/>
              <w:jc w:val="left"/>
              <w:rPr>
                <w:rFonts w:cs="Arial"/>
                <w:w w:val="105"/>
                <w:sz w:val="18"/>
                <w:szCs w:val="20"/>
              </w:rPr>
            </w:pPr>
            <w:r w:rsidRPr="001B44ED">
              <w:rPr>
                <w:rFonts w:cs="Arial"/>
                <w:spacing w:val="-8"/>
                <w:w w:val="105"/>
                <w:sz w:val="18"/>
                <w:szCs w:val="20"/>
              </w:rPr>
              <w:t xml:space="preserve">Prophylaxis </w:t>
            </w:r>
            <w:r w:rsidRPr="001B44ED">
              <w:rPr>
                <w:rFonts w:cs="Arial"/>
                <w:w w:val="105"/>
                <w:sz w:val="18"/>
                <w:szCs w:val="20"/>
              </w:rPr>
              <w:t>in medical patients</w:t>
            </w:r>
          </w:p>
        </w:tc>
        <w:tc>
          <w:tcPr>
            <w:tcW w:w="1511" w:type="dxa"/>
          </w:tcPr>
          <w:p w14:paraId="2D26B1ED" w14:textId="77777777" w:rsidR="00A04C94" w:rsidRPr="001B44ED" w:rsidRDefault="00A04C94" w:rsidP="001F2BBB">
            <w:pPr>
              <w:tabs>
                <w:tab w:val="right" w:pos="1483"/>
              </w:tabs>
              <w:spacing w:before="0" w:after="0"/>
              <w:ind w:left="57" w:right="57"/>
              <w:jc w:val="left"/>
              <w:rPr>
                <w:rFonts w:cs="Arial"/>
                <w:w w:val="105"/>
                <w:sz w:val="18"/>
                <w:szCs w:val="20"/>
              </w:rPr>
            </w:pPr>
            <w:r w:rsidRPr="001B44ED">
              <w:rPr>
                <w:rFonts w:cs="Arial"/>
                <w:w w:val="105"/>
                <w:sz w:val="18"/>
                <w:szCs w:val="20"/>
              </w:rPr>
              <w:t xml:space="preserve">Treatment in </w:t>
            </w:r>
            <w:r w:rsidRPr="001B44ED">
              <w:rPr>
                <w:rFonts w:cs="Arial"/>
                <w:spacing w:val="-12"/>
                <w:w w:val="105"/>
                <w:sz w:val="18"/>
                <w:szCs w:val="20"/>
              </w:rPr>
              <w:t xml:space="preserve">patients </w:t>
            </w:r>
            <w:r w:rsidRPr="001B44ED">
              <w:rPr>
                <w:rFonts w:cs="Arial"/>
                <w:w w:val="105"/>
                <w:sz w:val="18"/>
                <w:szCs w:val="20"/>
              </w:rPr>
              <w:t xml:space="preserve">with </w:t>
            </w:r>
            <w:r w:rsidRPr="001B44ED">
              <w:rPr>
                <w:rFonts w:cs="Arial"/>
                <w:spacing w:val="-40"/>
                <w:w w:val="105"/>
                <w:sz w:val="18"/>
                <w:szCs w:val="20"/>
              </w:rPr>
              <w:t xml:space="preserve">DVT </w:t>
            </w:r>
            <w:r w:rsidRPr="001B44ED">
              <w:rPr>
                <w:rFonts w:cs="Arial"/>
                <w:spacing w:val="-20"/>
                <w:w w:val="105"/>
                <w:sz w:val="18"/>
                <w:szCs w:val="20"/>
              </w:rPr>
              <w:t xml:space="preserve">with </w:t>
            </w:r>
            <w:r w:rsidRPr="001B44ED">
              <w:rPr>
                <w:rFonts w:cs="Arial"/>
                <w:w w:val="105"/>
                <w:sz w:val="18"/>
                <w:szCs w:val="20"/>
              </w:rPr>
              <w:t>or without PE</w:t>
            </w:r>
          </w:p>
        </w:tc>
        <w:tc>
          <w:tcPr>
            <w:tcW w:w="1511" w:type="dxa"/>
          </w:tcPr>
          <w:p w14:paraId="408495E2" w14:textId="77777777" w:rsidR="00A04C94" w:rsidRPr="001B44ED" w:rsidRDefault="00A04C94" w:rsidP="001F2BBB">
            <w:pPr>
              <w:tabs>
                <w:tab w:val="right" w:pos="1483"/>
              </w:tabs>
              <w:spacing w:before="0" w:after="0"/>
              <w:ind w:left="57" w:right="57"/>
              <w:jc w:val="left"/>
              <w:rPr>
                <w:rFonts w:cs="Arial"/>
                <w:spacing w:val="-6"/>
                <w:w w:val="105"/>
                <w:sz w:val="18"/>
                <w:szCs w:val="20"/>
              </w:rPr>
            </w:pPr>
            <w:r w:rsidRPr="001B44ED">
              <w:rPr>
                <w:rFonts w:cs="Arial"/>
                <w:w w:val="105"/>
                <w:sz w:val="18"/>
                <w:szCs w:val="20"/>
              </w:rPr>
              <w:t xml:space="preserve">Treatment in </w:t>
            </w:r>
            <w:r w:rsidRPr="001B44ED">
              <w:rPr>
                <w:rFonts w:cs="Arial"/>
                <w:spacing w:val="-12"/>
                <w:w w:val="105"/>
                <w:sz w:val="18"/>
                <w:szCs w:val="20"/>
              </w:rPr>
              <w:t xml:space="preserve">patients </w:t>
            </w:r>
            <w:r w:rsidRPr="001B44ED">
              <w:rPr>
                <w:rFonts w:cs="Arial"/>
                <w:w w:val="105"/>
                <w:sz w:val="18"/>
                <w:szCs w:val="20"/>
              </w:rPr>
              <w:t xml:space="preserve">with unstable </w:t>
            </w:r>
            <w:r w:rsidRPr="001B44ED">
              <w:rPr>
                <w:rFonts w:cs="Arial"/>
                <w:spacing w:val="-8"/>
                <w:w w:val="105"/>
                <w:sz w:val="18"/>
                <w:szCs w:val="20"/>
              </w:rPr>
              <w:t xml:space="preserve">angina </w:t>
            </w:r>
            <w:r w:rsidRPr="001B44ED">
              <w:rPr>
                <w:rFonts w:cs="Arial"/>
                <w:w w:val="105"/>
                <w:sz w:val="18"/>
                <w:szCs w:val="20"/>
              </w:rPr>
              <w:t xml:space="preserve">and </w:t>
            </w:r>
            <w:r w:rsidRPr="001B44ED">
              <w:rPr>
                <w:rFonts w:cs="Arial"/>
                <w:spacing w:val="-6"/>
                <w:w w:val="105"/>
                <w:sz w:val="18"/>
                <w:szCs w:val="20"/>
              </w:rPr>
              <w:t>non-Q-wave MI</w:t>
            </w:r>
          </w:p>
        </w:tc>
        <w:tc>
          <w:tcPr>
            <w:tcW w:w="1512" w:type="dxa"/>
          </w:tcPr>
          <w:p w14:paraId="3976CF33" w14:textId="77777777" w:rsidR="00A04C94" w:rsidRPr="001B44ED" w:rsidRDefault="00A04C94" w:rsidP="001F2BBB">
            <w:pPr>
              <w:tabs>
                <w:tab w:val="right" w:pos="1483"/>
              </w:tabs>
              <w:spacing w:before="0" w:after="0"/>
              <w:ind w:left="57" w:right="57"/>
              <w:jc w:val="left"/>
              <w:rPr>
                <w:rFonts w:cs="Arial"/>
                <w:w w:val="105"/>
                <w:sz w:val="18"/>
                <w:szCs w:val="20"/>
              </w:rPr>
            </w:pPr>
            <w:r w:rsidRPr="001B44ED">
              <w:rPr>
                <w:rFonts w:cs="Arial"/>
                <w:w w:val="105"/>
                <w:sz w:val="18"/>
                <w:szCs w:val="20"/>
              </w:rPr>
              <w:t xml:space="preserve">Treatment in </w:t>
            </w:r>
            <w:r w:rsidRPr="001B44ED">
              <w:rPr>
                <w:rFonts w:cs="Arial"/>
                <w:spacing w:val="-12"/>
                <w:w w:val="105"/>
                <w:sz w:val="18"/>
                <w:szCs w:val="20"/>
              </w:rPr>
              <w:t xml:space="preserve">patients </w:t>
            </w:r>
            <w:r w:rsidRPr="001B44ED">
              <w:rPr>
                <w:rFonts w:cs="Arial"/>
                <w:w w:val="105"/>
                <w:sz w:val="18"/>
                <w:szCs w:val="20"/>
              </w:rPr>
              <w:t>with acute STEMI</w:t>
            </w:r>
          </w:p>
        </w:tc>
      </w:tr>
      <w:tr w:rsidR="00A04C94" w:rsidRPr="001B44ED" w14:paraId="78A38E6B" w14:textId="77777777" w:rsidTr="001F2BBB">
        <w:trPr>
          <w:trHeight w:val="1641"/>
        </w:trPr>
        <w:tc>
          <w:tcPr>
            <w:tcW w:w="1511" w:type="dxa"/>
          </w:tcPr>
          <w:p w14:paraId="435C094F" w14:textId="77777777" w:rsidR="00A04C94" w:rsidRPr="001B44ED" w:rsidRDefault="00A04C94" w:rsidP="001F2BBB">
            <w:pPr>
              <w:spacing w:before="0" w:after="0"/>
              <w:ind w:left="57" w:right="57"/>
              <w:rPr>
                <w:rFonts w:cs="Arial"/>
                <w:w w:val="105"/>
                <w:sz w:val="18"/>
                <w:szCs w:val="20"/>
              </w:rPr>
            </w:pPr>
            <w:r w:rsidRPr="001B44ED">
              <w:rPr>
                <w:rFonts w:cs="Arial"/>
                <w:w w:val="105"/>
                <w:sz w:val="18"/>
                <w:szCs w:val="20"/>
              </w:rPr>
              <w:t>Vascular Disorders</w:t>
            </w:r>
          </w:p>
        </w:tc>
        <w:tc>
          <w:tcPr>
            <w:tcW w:w="1511" w:type="dxa"/>
          </w:tcPr>
          <w:p w14:paraId="3CDE05F3"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Very common:</w:t>
            </w:r>
          </w:p>
          <w:p w14:paraId="2C97047C"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Haemorrhage*</w:t>
            </w:r>
          </w:p>
          <w:p w14:paraId="3893CE48" w14:textId="77777777" w:rsidR="00A04C94" w:rsidRPr="001B44ED" w:rsidRDefault="00A04C94" w:rsidP="001F2BBB">
            <w:pPr>
              <w:spacing w:before="0" w:after="0"/>
              <w:ind w:left="57" w:right="57"/>
              <w:jc w:val="left"/>
              <w:rPr>
                <w:rFonts w:cs="Arial"/>
                <w:w w:val="105"/>
                <w:sz w:val="18"/>
                <w:szCs w:val="20"/>
              </w:rPr>
            </w:pPr>
          </w:p>
          <w:p w14:paraId="195D73B4"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Rare:</w:t>
            </w:r>
          </w:p>
          <w:p w14:paraId="312C882C"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Retroperitoneal haemorrhage</w:t>
            </w:r>
          </w:p>
          <w:p w14:paraId="1470DA47" w14:textId="77777777" w:rsidR="00A04C94" w:rsidRPr="001B44ED" w:rsidRDefault="00A04C94" w:rsidP="001F2BBB">
            <w:pPr>
              <w:spacing w:before="0" w:after="0"/>
              <w:ind w:left="57" w:right="57"/>
              <w:rPr>
                <w:rFonts w:cs="Arial"/>
                <w:w w:val="105"/>
                <w:sz w:val="18"/>
                <w:szCs w:val="20"/>
              </w:rPr>
            </w:pPr>
          </w:p>
        </w:tc>
        <w:tc>
          <w:tcPr>
            <w:tcW w:w="1511" w:type="dxa"/>
          </w:tcPr>
          <w:p w14:paraId="4872848C"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Common:</w:t>
            </w:r>
          </w:p>
          <w:p w14:paraId="6C53D5E2" w14:textId="77777777" w:rsidR="00A04C94" w:rsidRPr="001B44ED" w:rsidRDefault="00A04C94" w:rsidP="001F2BBB">
            <w:pPr>
              <w:spacing w:before="0" w:after="0"/>
              <w:ind w:left="57" w:right="57"/>
              <w:jc w:val="left"/>
              <w:rPr>
                <w:rFonts w:cs="Arial"/>
                <w:w w:val="105"/>
                <w:sz w:val="18"/>
                <w:szCs w:val="20"/>
              </w:rPr>
            </w:pPr>
            <w:r w:rsidRPr="001B44ED">
              <w:rPr>
                <w:rFonts w:cs="Arial"/>
                <w:spacing w:val="-6"/>
                <w:w w:val="105"/>
                <w:sz w:val="18"/>
                <w:szCs w:val="20"/>
              </w:rPr>
              <w:t>Haemorrhage*</w:t>
            </w:r>
          </w:p>
        </w:tc>
        <w:tc>
          <w:tcPr>
            <w:tcW w:w="1511" w:type="dxa"/>
          </w:tcPr>
          <w:p w14:paraId="674135F0"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Very common:</w:t>
            </w:r>
          </w:p>
          <w:p w14:paraId="4BBF1553"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Haemorrhage*</w:t>
            </w:r>
          </w:p>
          <w:p w14:paraId="7CA1E285" w14:textId="77777777" w:rsidR="00A04C94" w:rsidRPr="001B44ED" w:rsidRDefault="00A04C94" w:rsidP="001F2BBB">
            <w:pPr>
              <w:spacing w:before="0" w:after="0"/>
              <w:ind w:left="57" w:right="57"/>
              <w:jc w:val="left"/>
              <w:rPr>
                <w:rFonts w:cs="Arial"/>
                <w:w w:val="105"/>
                <w:sz w:val="18"/>
                <w:szCs w:val="20"/>
              </w:rPr>
            </w:pPr>
          </w:p>
          <w:p w14:paraId="697C128F"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Uncommon:</w:t>
            </w:r>
          </w:p>
          <w:p w14:paraId="57E0D6BB"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Intracranial haemorrhage, Retroperitoneal haemorrhage</w:t>
            </w:r>
          </w:p>
        </w:tc>
        <w:tc>
          <w:tcPr>
            <w:tcW w:w="1511" w:type="dxa"/>
          </w:tcPr>
          <w:p w14:paraId="679ABB84"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Common:</w:t>
            </w:r>
          </w:p>
          <w:p w14:paraId="3618B343"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Haemorrhage*</w:t>
            </w:r>
          </w:p>
          <w:p w14:paraId="6CA1D1ED" w14:textId="77777777" w:rsidR="00A04C94" w:rsidRPr="001B44ED" w:rsidRDefault="00A04C94" w:rsidP="001F2BBB">
            <w:pPr>
              <w:spacing w:before="0" w:after="0"/>
              <w:ind w:left="57" w:right="57"/>
              <w:jc w:val="left"/>
              <w:rPr>
                <w:rFonts w:cs="Arial"/>
                <w:w w:val="105"/>
                <w:sz w:val="18"/>
                <w:szCs w:val="20"/>
              </w:rPr>
            </w:pPr>
          </w:p>
          <w:p w14:paraId="16FF60F8"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Rare:</w:t>
            </w:r>
          </w:p>
          <w:p w14:paraId="5E37C4E9"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Retroperitoneal haemorrhage</w:t>
            </w:r>
          </w:p>
        </w:tc>
        <w:tc>
          <w:tcPr>
            <w:tcW w:w="1512" w:type="dxa"/>
          </w:tcPr>
          <w:p w14:paraId="1C8A0F0A"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Common:</w:t>
            </w:r>
          </w:p>
          <w:p w14:paraId="776FB7CA"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Haemorrhage*</w:t>
            </w:r>
          </w:p>
          <w:p w14:paraId="13EAB353" w14:textId="77777777" w:rsidR="00A04C94" w:rsidRPr="001B44ED" w:rsidRDefault="00A04C94" w:rsidP="001F2BBB">
            <w:pPr>
              <w:spacing w:before="0" w:after="0"/>
              <w:ind w:left="57" w:right="57"/>
              <w:jc w:val="left"/>
              <w:rPr>
                <w:rFonts w:cs="Arial"/>
                <w:w w:val="105"/>
                <w:sz w:val="18"/>
                <w:szCs w:val="20"/>
              </w:rPr>
            </w:pPr>
          </w:p>
          <w:p w14:paraId="2DEE4335"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Uncommon:</w:t>
            </w:r>
          </w:p>
          <w:p w14:paraId="289509BE"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Intracranial haemorrhage, Retroperitoneal haemorrhage</w:t>
            </w:r>
          </w:p>
        </w:tc>
      </w:tr>
    </w:tbl>
    <w:p w14:paraId="43811035" w14:textId="69BA1A2A" w:rsidR="001B7330" w:rsidRPr="006727DE" w:rsidRDefault="00A751F3" w:rsidP="001F2BBB">
      <w:pPr>
        <w:spacing w:line="254" w:lineRule="exact"/>
        <w:ind w:left="72" w:right="-2"/>
        <w:jc w:val="left"/>
        <w:rPr>
          <w:rFonts w:cs="Arial"/>
          <w:sz w:val="20"/>
          <w:szCs w:val="20"/>
        </w:rPr>
      </w:pPr>
      <w:r>
        <w:rPr>
          <w:rFonts w:cs="Arial"/>
          <w:spacing w:val="-2"/>
          <w:sz w:val="20"/>
          <w:szCs w:val="20"/>
        </w:rPr>
        <w:t>*</w:t>
      </w:r>
      <w:r w:rsidR="001B7330" w:rsidRPr="005D430D">
        <w:rPr>
          <w:rFonts w:cs="Arial"/>
          <w:spacing w:val="-2"/>
          <w:sz w:val="20"/>
          <w:szCs w:val="20"/>
        </w:rPr>
        <w:t>such as haematoma, ecchymosis other than at injection site, wound haematoma,</w:t>
      </w:r>
      <w:r w:rsidR="005D430D">
        <w:rPr>
          <w:rFonts w:cs="Arial"/>
          <w:spacing w:val="-2"/>
          <w:sz w:val="20"/>
          <w:szCs w:val="20"/>
        </w:rPr>
        <w:t xml:space="preserve"> </w:t>
      </w:r>
      <w:r w:rsidR="001B7330" w:rsidRPr="005D430D">
        <w:rPr>
          <w:rFonts w:cs="Arial"/>
          <w:spacing w:val="-2"/>
          <w:sz w:val="20"/>
          <w:szCs w:val="20"/>
        </w:rPr>
        <w:t xml:space="preserve">haematuria, </w:t>
      </w:r>
      <w:r w:rsidR="001B7330" w:rsidRPr="005D430D">
        <w:rPr>
          <w:rFonts w:cs="Arial"/>
          <w:sz w:val="20"/>
          <w:szCs w:val="20"/>
        </w:rPr>
        <w:t>epistaxis and</w:t>
      </w:r>
      <w:r w:rsidR="006727DE">
        <w:rPr>
          <w:rFonts w:cs="Arial"/>
          <w:sz w:val="20"/>
          <w:szCs w:val="20"/>
        </w:rPr>
        <w:t xml:space="preserve"> gastro-intestinal haemorrhage.</w:t>
      </w:r>
    </w:p>
    <w:p w14:paraId="4957A2BC" w14:textId="77777777" w:rsidR="001B7330" w:rsidRPr="00D852EC" w:rsidRDefault="001B7330" w:rsidP="001F2BBB">
      <w:pPr>
        <w:pStyle w:val="Heading4"/>
      </w:pPr>
      <w:r w:rsidRPr="00D852EC">
        <w:t xml:space="preserve">Blood Disorders </w:t>
      </w:r>
    </w:p>
    <w:p w14:paraId="420AEC33" w14:textId="77777777" w:rsidR="001B7330" w:rsidRPr="00D852EC" w:rsidRDefault="001B7330" w:rsidP="000A1317">
      <w:pPr>
        <w:rPr>
          <w:rFonts w:cs="Arial"/>
          <w:szCs w:val="20"/>
        </w:rPr>
      </w:pPr>
      <w:r w:rsidRPr="00D852EC">
        <w:rPr>
          <w:rFonts w:cs="Arial"/>
          <w:szCs w:val="20"/>
        </w:rPr>
        <w:t xml:space="preserve">Mild, transient thrombocytopenia </w:t>
      </w:r>
      <w:proofErr w:type="gramStart"/>
      <w:r w:rsidRPr="00D852EC">
        <w:rPr>
          <w:rFonts w:cs="Arial"/>
          <w:szCs w:val="20"/>
        </w:rPr>
        <w:t>has been reported</w:t>
      </w:r>
      <w:proofErr w:type="gramEnd"/>
      <w:r w:rsidRPr="00D852EC">
        <w:rPr>
          <w:rFonts w:cs="Arial"/>
          <w:szCs w:val="20"/>
        </w:rPr>
        <w:t xml:space="preserve"> during the first days of therapy. </w:t>
      </w:r>
    </w:p>
    <w:p w14:paraId="7B3DF7BF" w14:textId="41BDF89E" w:rsidR="001B7330" w:rsidRPr="00A751F3" w:rsidRDefault="001F2BBB" w:rsidP="006A4C77">
      <w:pPr>
        <w:keepNext/>
        <w:keepLines/>
        <w:pageBreakBefore/>
        <w:spacing w:line="317" w:lineRule="exact"/>
        <w:jc w:val="center"/>
        <w:rPr>
          <w:b/>
          <w:szCs w:val="20"/>
        </w:rPr>
      </w:pPr>
      <w:r w:rsidRPr="00A751F3">
        <w:rPr>
          <w:rFonts w:cs="Arial"/>
          <w:b/>
          <w:szCs w:val="20"/>
          <w:u w:val="single"/>
        </w:rPr>
        <w:lastRenderedPageBreak/>
        <w:t>Table 4</w:t>
      </w:r>
      <w:r w:rsidRPr="00A751F3">
        <w:rPr>
          <w:rFonts w:cs="Arial"/>
          <w:b/>
          <w:szCs w:val="20"/>
        </w:rPr>
        <w:t xml:space="preserve">: </w:t>
      </w:r>
      <w:r w:rsidR="001B7330" w:rsidRPr="00A751F3">
        <w:rPr>
          <w:rFonts w:cs="Arial"/>
          <w:b/>
          <w:szCs w:val="20"/>
        </w:rPr>
        <w:t>Throm</w:t>
      </w:r>
      <w:r w:rsidR="00A04C94" w:rsidRPr="00A751F3">
        <w:rPr>
          <w:rFonts w:cs="Arial"/>
          <w:b/>
          <w:szCs w:val="20"/>
        </w:rPr>
        <w:t xml:space="preserve">bocytopenia and </w:t>
      </w:r>
      <w:r w:rsidRPr="00A751F3">
        <w:rPr>
          <w:rFonts w:cs="Arial"/>
          <w:b/>
          <w:szCs w:val="20"/>
        </w:rPr>
        <w:t>Thrombocytosis</w:t>
      </w:r>
    </w:p>
    <w:tbl>
      <w:tblPr>
        <w:tblW w:w="9069" w:type="dxa"/>
        <w:tblInd w:w="-6" w:type="dxa"/>
        <w:tblLayout w:type="fixed"/>
        <w:tblCellMar>
          <w:left w:w="0" w:type="dxa"/>
          <w:right w:w="0" w:type="dxa"/>
        </w:tblCellMar>
        <w:tblLook w:val="0000" w:firstRow="0" w:lastRow="0" w:firstColumn="0" w:lastColumn="0" w:noHBand="0" w:noVBand="0"/>
      </w:tblPr>
      <w:tblGrid>
        <w:gridCol w:w="1134"/>
        <w:gridCol w:w="1587"/>
        <w:gridCol w:w="1587"/>
        <w:gridCol w:w="1587"/>
        <w:gridCol w:w="1587"/>
        <w:gridCol w:w="1587"/>
      </w:tblGrid>
      <w:tr w:rsidR="00A04C94" w:rsidRPr="001B44ED" w14:paraId="17ED3363" w14:textId="77777777" w:rsidTr="001F2BBB">
        <w:trPr>
          <w:trHeight w:hRule="exact" w:val="1077"/>
        </w:trPr>
        <w:tc>
          <w:tcPr>
            <w:tcW w:w="1134" w:type="dxa"/>
            <w:tcBorders>
              <w:top w:val="single" w:sz="5" w:space="0" w:color="auto"/>
              <w:left w:val="single" w:sz="5" w:space="0" w:color="auto"/>
              <w:bottom w:val="single" w:sz="5" w:space="0" w:color="auto"/>
              <w:right w:val="single" w:sz="5" w:space="0" w:color="auto"/>
            </w:tcBorders>
          </w:tcPr>
          <w:p w14:paraId="638A0A4B" w14:textId="77777777" w:rsidR="00A04C94" w:rsidRPr="001B44ED" w:rsidRDefault="00A04C94" w:rsidP="001F2BBB">
            <w:pPr>
              <w:spacing w:before="0" w:after="0"/>
              <w:ind w:left="57" w:right="57"/>
              <w:jc w:val="left"/>
              <w:rPr>
                <w:sz w:val="18"/>
                <w:szCs w:val="20"/>
              </w:rPr>
            </w:pPr>
            <w:proofErr w:type="spellStart"/>
            <w:r w:rsidRPr="001B44ED">
              <w:rPr>
                <w:rFonts w:cs="Arial"/>
                <w:spacing w:val="-10"/>
                <w:w w:val="105"/>
                <w:sz w:val="18"/>
                <w:szCs w:val="20"/>
              </w:rPr>
              <w:t>MedDRA</w:t>
            </w:r>
            <w:proofErr w:type="spellEnd"/>
            <w:r w:rsidRPr="001B44ED">
              <w:rPr>
                <w:rFonts w:cs="Arial"/>
                <w:spacing w:val="-10"/>
                <w:w w:val="105"/>
                <w:sz w:val="18"/>
                <w:szCs w:val="20"/>
              </w:rPr>
              <w:t xml:space="preserve"> </w:t>
            </w:r>
            <w:r w:rsidRPr="001B44ED">
              <w:rPr>
                <w:rFonts w:cs="Arial"/>
                <w:w w:val="105"/>
                <w:sz w:val="18"/>
                <w:szCs w:val="20"/>
              </w:rPr>
              <w:t>system organ class</w:t>
            </w:r>
          </w:p>
        </w:tc>
        <w:tc>
          <w:tcPr>
            <w:tcW w:w="1587" w:type="dxa"/>
            <w:tcBorders>
              <w:top w:val="single" w:sz="5" w:space="0" w:color="auto"/>
              <w:left w:val="single" w:sz="5" w:space="0" w:color="auto"/>
              <w:bottom w:val="single" w:sz="5" w:space="0" w:color="auto"/>
              <w:right w:val="single" w:sz="5" w:space="0" w:color="auto"/>
            </w:tcBorders>
          </w:tcPr>
          <w:p w14:paraId="41B9BF9B" w14:textId="77777777" w:rsidR="00A04C94" w:rsidRPr="001B44ED" w:rsidRDefault="00A04C94" w:rsidP="001F2BBB">
            <w:pPr>
              <w:tabs>
                <w:tab w:val="right" w:pos="1756"/>
              </w:tabs>
              <w:spacing w:before="0" w:after="0"/>
              <w:ind w:left="57" w:right="57"/>
              <w:jc w:val="left"/>
              <w:rPr>
                <w:spacing w:val="-4"/>
                <w:sz w:val="18"/>
                <w:szCs w:val="20"/>
              </w:rPr>
            </w:pPr>
            <w:r w:rsidRPr="001B44ED">
              <w:rPr>
                <w:rFonts w:cs="Arial"/>
                <w:spacing w:val="-8"/>
                <w:w w:val="105"/>
                <w:sz w:val="18"/>
                <w:szCs w:val="20"/>
              </w:rPr>
              <w:t xml:space="preserve">Prophylaxis </w:t>
            </w:r>
            <w:r w:rsidRPr="001B44ED">
              <w:rPr>
                <w:rFonts w:cs="Arial"/>
                <w:w w:val="105"/>
                <w:sz w:val="18"/>
                <w:szCs w:val="20"/>
              </w:rPr>
              <w:t xml:space="preserve">in </w:t>
            </w:r>
            <w:r w:rsidRPr="001B44ED">
              <w:rPr>
                <w:rFonts w:cs="Arial"/>
                <w:spacing w:val="-4"/>
                <w:w w:val="105"/>
                <w:sz w:val="18"/>
                <w:szCs w:val="20"/>
              </w:rPr>
              <w:t>surgical patients</w:t>
            </w:r>
          </w:p>
        </w:tc>
        <w:tc>
          <w:tcPr>
            <w:tcW w:w="1587" w:type="dxa"/>
            <w:tcBorders>
              <w:top w:val="single" w:sz="5" w:space="0" w:color="auto"/>
              <w:left w:val="single" w:sz="5" w:space="0" w:color="auto"/>
              <w:bottom w:val="single" w:sz="5" w:space="0" w:color="auto"/>
              <w:right w:val="single" w:sz="5" w:space="0" w:color="auto"/>
            </w:tcBorders>
          </w:tcPr>
          <w:p w14:paraId="0DF8676B" w14:textId="77777777" w:rsidR="00A04C94" w:rsidRPr="001B44ED" w:rsidRDefault="00A04C94" w:rsidP="001F2BBB">
            <w:pPr>
              <w:tabs>
                <w:tab w:val="right" w:pos="1756"/>
              </w:tabs>
              <w:spacing w:before="0" w:after="0"/>
              <w:ind w:left="57" w:right="57"/>
              <w:jc w:val="left"/>
              <w:rPr>
                <w:spacing w:val="-4"/>
                <w:sz w:val="18"/>
                <w:szCs w:val="20"/>
              </w:rPr>
            </w:pPr>
            <w:r w:rsidRPr="001B44ED">
              <w:rPr>
                <w:rFonts w:cs="Arial"/>
                <w:spacing w:val="-8"/>
                <w:w w:val="105"/>
                <w:sz w:val="18"/>
                <w:szCs w:val="20"/>
              </w:rPr>
              <w:t xml:space="preserve">Prophylaxis </w:t>
            </w:r>
            <w:r w:rsidRPr="001B44ED">
              <w:rPr>
                <w:rFonts w:cs="Arial"/>
                <w:w w:val="105"/>
                <w:sz w:val="18"/>
                <w:szCs w:val="20"/>
              </w:rPr>
              <w:t xml:space="preserve">in </w:t>
            </w:r>
            <w:r w:rsidRPr="001B44ED">
              <w:rPr>
                <w:rFonts w:cs="Arial"/>
                <w:spacing w:val="-4"/>
                <w:w w:val="105"/>
                <w:sz w:val="18"/>
                <w:szCs w:val="20"/>
              </w:rPr>
              <w:t>medical patients</w:t>
            </w:r>
          </w:p>
        </w:tc>
        <w:tc>
          <w:tcPr>
            <w:tcW w:w="1587" w:type="dxa"/>
            <w:tcBorders>
              <w:top w:val="single" w:sz="5" w:space="0" w:color="auto"/>
              <w:left w:val="single" w:sz="5" w:space="0" w:color="auto"/>
              <w:bottom w:val="single" w:sz="5" w:space="0" w:color="auto"/>
              <w:right w:val="single" w:sz="5" w:space="0" w:color="auto"/>
            </w:tcBorders>
          </w:tcPr>
          <w:p w14:paraId="0DA419A3" w14:textId="77777777" w:rsidR="00A04C94" w:rsidRPr="001B44ED" w:rsidRDefault="00A04C94" w:rsidP="001F2BBB">
            <w:pPr>
              <w:tabs>
                <w:tab w:val="right" w:pos="1756"/>
              </w:tabs>
              <w:spacing w:before="0" w:after="0"/>
              <w:ind w:left="57" w:right="57"/>
              <w:jc w:val="left"/>
              <w:rPr>
                <w:spacing w:val="-5"/>
                <w:sz w:val="18"/>
                <w:szCs w:val="20"/>
              </w:rPr>
            </w:pPr>
            <w:r w:rsidRPr="001B44ED">
              <w:rPr>
                <w:rFonts w:cs="Arial"/>
                <w:w w:val="105"/>
                <w:sz w:val="18"/>
                <w:szCs w:val="20"/>
              </w:rPr>
              <w:t xml:space="preserve">Treatment in </w:t>
            </w:r>
            <w:r w:rsidRPr="001B44ED">
              <w:rPr>
                <w:rFonts w:cs="Arial"/>
                <w:spacing w:val="-4"/>
                <w:w w:val="105"/>
                <w:sz w:val="18"/>
                <w:szCs w:val="20"/>
              </w:rPr>
              <w:t xml:space="preserve">patients with DVT </w:t>
            </w:r>
            <w:r w:rsidRPr="001B44ED">
              <w:rPr>
                <w:rFonts w:cs="Arial"/>
                <w:spacing w:val="-5"/>
                <w:w w:val="105"/>
                <w:sz w:val="18"/>
                <w:szCs w:val="20"/>
              </w:rPr>
              <w:t>with or without PE</w:t>
            </w:r>
          </w:p>
        </w:tc>
        <w:tc>
          <w:tcPr>
            <w:tcW w:w="1587" w:type="dxa"/>
            <w:tcBorders>
              <w:top w:val="single" w:sz="5" w:space="0" w:color="auto"/>
              <w:left w:val="single" w:sz="5" w:space="0" w:color="auto"/>
              <w:bottom w:val="single" w:sz="5" w:space="0" w:color="auto"/>
              <w:right w:val="single" w:sz="5" w:space="0" w:color="auto"/>
            </w:tcBorders>
          </w:tcPr>
          <w:p w14:paraId="6B784AAB" w14:textId="77777777" w:rsidR="00A04C94" w:rsidRPr="001B44ED" w:rsidRDefault="00A04C94" w:rsidP="001F2BBB">
            <w:pPr>
              <w:tabs>
                <w:tab w:val="right" w:pos="1752"/>
              </w:tabs>
              <w:spacing w:before="0" w:after="0"/>
              <w:ind w:left="57" w:right="57"/>
              <w:jc w:val="left"/>
              <w:rPr>
                <w:sz w:val="18"/>
                <w:szCs w:val="20"/>
              </w:rPr>
            </w:pPr>
            <w:r w:rsidRPr="001B44ED">
              <w:rPr>
                <w:rFonts w:cs="Arial"/>
                <w:w w:val="105"/>
                <w:sz w:val="18"/>
                <w:szCs w:val="20"/>
              </w:rPr>
              <w:t xml:space="preserve">Treatment in </w:t>
            </w:r>
            <w:r w:rsidRPr="001B44ED">
              <w:rPr>
                <w:rFonts w:cs="Arial"/>
                <w:spacing w:val="-14"/>
                <w:w w:val="105"/>
                <w:sz w:val="18"/>
                <w:szCs w:val="20"/>
              </w:rPr>
              <w:t xml:space="preserve">patients </w:t>
            </w:r>
            <w:r w:rsidRPr="001B44ED">
              <w:rPr>
                <w:rFonts w:cs="Arial"/>
                <w:w w:val="105"/>
                <w:sz w:val="18"/>
                <w:szCs w:val="20"/>
              </w:rPr>
              <w:t xml:space="preserve">with </w:t>
            </w:r>
            <w:r w:rsidRPr="001B44ED">
              <w:rPr>
                <w:rFonts w:cs="Arial"/>
                <w:spacing w:val="-8"/>
                <w:w w:val="105"/>
                <w:sz w:val="18"/>
                <w:szCs w:val="20"/>
              </w:rPr>
              <w:t xml:space="preserve">unstable </w:t>
            </w:r>
            <w:r w:rsidRPr="001B44ED">
              <w:rPr>
                <w:rFonts w:cs="Arial"/>
                <w:w w:val="105"/>
                <w:sz w:val="18"/>
                <w:szCs w:val="20"/>
              </w:rPr>
              <w:t xml:space="preserve">angina and </w:t>
            </w:r>
            <w:r w:rsidRPr="001B44ED">
              <w:rPr>
                <w:rFonts w:cs="Arial"/>
                <w:spacing w:val="-10"/>
                <w:w w:val="105"/>
                <w:sz w:val="18"/>
                <w:szCs w:val="20"/>
              </w:rPr>
              <w:t xml:space="preserve">non-Q-wave </w:t>
            </w:r>
            <w:r w:rsidRPr="001B44ED">
              <w:rPr>
                <w:rFonts w:cs="Arial"/>
                <w:w w:val="105"/>
                <w:sz w:val="18"/>
                <w:szCs w:val="20"/>
              </w:rPr>
              <w:t>MI</w:t>
            </w:r>
          </w:p>
        </w:tc>
        <w:tc>
          <w:tcPr>
            <w:tcW w:w="1587" w:type="dxa"/>
            <w:tcBorders>
              <w:top w:val="single" w:sz="5" w:space="0" w:color="auto"/>
              <w:left w:val="single" w:sz="5" w:space="0" w:color="auto"/>
              <w:bottom w:val="single" w:sz="5" w:space="0" w:color="auto"/>
              <w:right w:val="single" w:sz="5" w:space="0" w:color="auto"/>
            </w:tcBorders>
          </w:tcPr>
          <w:p w14:paraId="00D574C4" w14:textId="77777777" w:rsidR="00A04C94" w:rsidRPr="001B44ED" w:rsidRDefault="00A04C94" w:rsidP="001F2BBB">
            <w:pPr>
              <w:tabs>
                <w:tab w:val="right" w:pos="1752"/>
              </w:tabs>
              <w:spacing w:before="0" w:after="0"/>
              <w:ind w:left="57" w:right="57"/>
              <w:jc w:val="left"/>
              <w:rPr>
                <w:sz w:val="18"/>
                <w:szCs w:val="20"/>
              </w:rPr>
            </w:pPr>
            <w:r w:rsidRPr="001B44ED">
              <w:rPr>
                <w:rFonts w:cs="Arial"/>
                <w:w w:val="105"/>
                <w:sz w:val="18"/>
                <w:szCs w:val="20"/>
              </w:rPr>
              <w:t xml:space="preserve">Treatment in </w:t>
            </w:r>
            <w:r w:rsidRPr="001B44ED">
              <w:rPr>
                <w:rFonts w:cs="Arial"/>
                <w:spacing w:val="-8"/>
                <w:w w:val="105"/>
                <w:sz w:val="18"/>
                <w:szCs w:val="20"/>
              </w:rPr>
              <w:t xml:space="preserve">patients with acute  </w:t>
            </w:r>
            <w:r w:rsidRPr="001B44ED">
              <w:rPr>
                <w:rFonts w:cs="Arial"/>
                <w:w w:val="105"/>
                <w:sz w:val="18"/>
                <w:szCs w:val="20"/>
              </w:rPr>
              <w:t>STEMI</w:t>
            </w:r>
          </w:p>
        </w:tc>
      </w:tr>
      <w:tr w:rsidR="00A04C94" w:rsidRPr="001B44ED" w14:paraId="64C0FC33" w14:textId="77777777" w:rsidTr="001F2BBB">
        <w:trPr>
          <w:trHeight w:hRule="exact" w:val="1477"/>
        </w:trPr>
        <w:tc>
          <w:tcPr>
            <w:tcW w:w="1134" w:type="dxa"/>
            <w:tcBorders>
              <w:top w:val="single" w:sz="5" w:space="0" w:color="auto"/>
              <w:left w:val="single" w:sz="5" w:space="0" w:color="auto"/>
              <w:bottom w:val="single" w:sz="5" w:space="0" w:color="auto"/>
              <w:right w:val="single" w:sz="5" w:space="0" w:color="auto"/>
            </w:tcBorders>
          </w:tcPr>
          <w:p w14:paraId="01D90894" w14:textId="77777777" w:rsidR="00A04C94" w:rsidRPr="001B44ED" w:rsidRDefault="00A04C94" w:rsidP="001F2BBB">
            <w:pPr>
              <w:spacing w:before="0" w:after="0"/>
              <w:ind w:left="57" w:right="57"/>
              <w:jc w:val="left"/>
              <w:rPr>
                <w:rFonts w:cs="Arial"/>
                <w:spacing w:val="-6"/>
                <w:w w:val="105"/>
                <w:sz w:val="18"/>
                <w:szCs w:val="20"/>
              </w:rPr>
            </w:pPr>
            <w:r w:rsidRPr="001B44ED">
              <w:rPr>
                <w:rFonts w:cs="Arial"/>
                <w:w w:val="105"/>
                <w:sz w:val="18"/>
                <w:szCs w:val="20"/>
              </w:rPr>
              <w:t xml:space="preserve">Blood and </w:t>
            </w:r>
            <w:r w:rsidRPr="001B44ED">
              <w:rPr>
                <w:rFonts w:cs="Arial"/>
                <w:spacing w:val="-8"/>
                <w:w w:val="105"/>
                <w:sz w:val="18"/>
                <w:szCs w:val="20"/>
              </w:rPr>
              <w:t xml:space="preserve">lymphatic </w:t>
            </w:r>
            <w:r w:rsidRPr="001B44ED">
              <w:rPr>
                <w:rFonts w:cs="Arial"/>
                <w:w w:val="105"/>
                <w:sz w:val="18"/>
                <w:szCs w:val="20"/>
              </w:rPr>
              <w:t xml:space="preserve">system </w:t>
            </w:r>
            <w:r w:rsidRPr="001B44ED">
              <w:rPr>
                <w:rFonts w:cs="Arial"/>
                <w:spacing w:val="-6"/>
                <w:w w:val="105"/>
                <w:sz w:val="18"/>
                <w:szCs w:val="20"/>
              </w:rPr>
              <w:t>disorders</w:t>
            </w:r>
          </w:p>
        </w:tc>
        <w:tc>
          <w:tcPr>
            <w:tcW w:w="1587" w:type="dxa"/>
            <w:tcBorders>
              <w:top w:val="single" w:sz="5" w:space="0" w:color="auto"/>
              <w:left w:val="single" w:sz="5" w:space="0" w:color="auto"/>
              <w:bottom w:val="single" w:sz="5" w:space="0" w:color="auto"/>
              <w:right w:val="single" w:sz="5" w:space="0" w:color="auto"/>
            </w:tcBorders>
          </w:tcPr>
          <w:p w14:paraId="7E2AC9CD" w14:textId="77777777" w:rsidR="00A04C94" w:rsidRPr="001B44ED" w:rsidRDefault="00A04C94" w:rsidP="001F2BBB">
            <w:pPr>
              <w:tabs>
                <w:tab w:val="right" w:pos="1747"/>
              </w:tabs>
              <w:spacing w:before="0" w:after="0"/>
              <w:ind w:left="48" w:right="47" w:firstLine="9"/>
              <w:jc w:val="left"/>
              <w:rPr>
                <w:rFonts w:cs="Arial"/>
                <w:spacing w:val="-4"/>
                <w:w w:val="105"/>
                <w:sz w:val="18"/>
                <w:szCs w:val="20"/>
              </w:rPr>
            </w:pPr>
            <w:r w:rsidRPr="001B44ED">
              <w:rPr>
                <w:rFonts w:cs="Arial"/>
                <w:spacing w:val="-4"/>
                <w:w w:val="105"/>
                <w:sz w:val="18"/>
                <w:szCs w:val="20"/>
              </w:rPr>
              <w:t xml:space="preserve">Very </w:t>
            </w:r>
            <w:r w:rsidRPr="001B44ED">
              <w:rPr>
                <w:rFonts w:cs="Arial"/>
                <w:w w:val="105"/>
                <w:sz w:val="18"/>
                <w:szCs w:val="20"/>
              </w:rPr>
              <w:t xml:space="preserve">common: </w:t>
            </w:r>
            <w:r w:rsidRPr="001B44ED">
              <w:rPr>
                <w:rFonts w:cs="Arial"/>
                <w:spacing w:val="-4"/>
                <w:w w:val="105"/>
                <w:sz w:val="18"/>
                <w:szCs w:val="20"/>
              </w:rPr>
              <w:t xml:space="preserve">Thrombocytosis* </w:t>
            </w:r>
          </w:p>
          <w:p w14:paraId="4A8CB03A" w14:textId="77777777" w:rsidR="00A04C94" w:rsidRPr="001B44ED" w:rsidRDefault="00A04C94" w:rsidP="001F2BBB">
            <w:pPr>
              <w:tabs>
                <w:tab w:val="right" w:pos="1747"/>
              </w:tabs>
              <w:spacing w:before="0" w:after="0"/>
              <w:ind w:left="48" w:right="47" w:firstLine="9"/>
              <w:jc w:val="left"/>
              <w:rPr>
                <w:rFonts w:cs="Arial"/>
                <w:spacing w:val="-4"/>
                <w:w w:val="105"/>
                <w:sz w:val="18"/>
                <w:szCs w:val="20"/>
              </w:rPr>
            </w:pPr>
          </w:p>
          <w:p w14:paraId="125185DA" w14:textId="77777777" w:rsidR="00A04C94" w:rsidRPr="001B44ED" w:rsidRDefault="00A04C94" w:rsidP="001F2BBB">
            <w:pPr>
              <w:tabs>
                <w:tab w:val="right" w:pos="1747"/>
              </w:tabs>
              <w:spacing w:before="0" w:after="0"/>
              <w:ind w:left="48" w:right="47" w:firstLine="9"/>
              <w:jc w:val="left"/>
              <w:rPr>
                <w:rFonts w:cs="Arial"/>
                <w:spacing w:val="-9"/>
                <w:w w:val="105"/>
                <w:sz w:val="18"/>
                <w:szCs w:val="20"/>
              </w:rPr>
            </w:pPr>
            <w:r w:rsidRPr="001B44ED">
              <w:rPr>
                <w:rFonts w:cs="Arial"/>
                <w:w w:val="105"/>
                <w:sz w:val="18"/>
                <w:szCs w:val="20"/>
              </w:rPr>
              <w:t xml:space="preserve">Common: </w:t>
            </w:r>
            <w:r w:rsidRPr="001B44ED">
              <w:rPr>
                <w:rFonts w:cs="Arial"/>
                <w:spacing w:val="-9"/>
                <w:w w:val="105"/>
                <w:sz w:val="18"/>
                <w:szCs w:val="20"/>
              </w:rPr>
              <w:t>Thrombocytopenia</w:t>
            </w:r>
          </w:p>
        </w:tc>
        <w:tc>
          <w:tcPr>
            <w:tcW w:w="1587" w:type="dxa"/>
            <w:tcBorders>
              <w:top w:val="single" w:sz="5" w:space="0" w:color="auto"/>
              <w:left w:val="single" w:sz="5" w:space="0" w:color="auto"/>
              <w:bottom w:val="single" w:sz="5" w:space="0" w:color="auto"/>
              <w:right w:val="single" w:sz="5" w:space="0" w:color="auto"/>
            </w:tcBorders>
          </w:tcPr>
          <w:p w14:paraId="5C88BB6F" w14:textId="77777777" w:rsidR="00A04C94" w:rsidRPr="001B44ED" w:rsidRDefault="00A04C94" w:rsidP="001F2BBB">
            <w:pPr>
              <w:spacing w:before="0" w:after="0"/>
              <w:ind w:left="48" w:right="47" w:firstLine="9"/>
              <w:jc w:val="left"/>
              <w:rPr>
                <w:rFonts w:cs="Arial"/>
                <w:spacing w:val="-9"/>
                <w:w w:val="105"/>
                <w:sz w:val="18"/>
                <w:szCs w:val="20"/>
              </w:rPr>
            </w:pPr>
            <w:r w:rsidRPr="001B44ED">
              <w:rPr>
                <w:rFonts w:cs="Arial"/>
                <w:w w:val="105"/>
                <w:sz w:val="18"/>
                <w:szCs w:val="20"/>
              </w:rPr>
              <w:t xml:space="preserve">Uncommon: </w:t>
            </w:r>
            <w:r w:rsidRPr="001B44ED">
              <w:rPr>
                <w:rFonts w:cs="Arial"/>
                <w:spacing w:val="-9"/>
                <w:w w:val="105"/>
                <w:sz w:val="18"/>
                <w:szCs w:val="20"/>
              </w:rPr>
              <w:t>Thrombocytopenia</w:t>
            </w:r>
          </w:p>
        </w:tc>
        <w:tc>
          <w:tcPr>
            <w:tcW w:w="1587" w:type="dxa"/>
            <w:tcBorders>
              <w:top w:val="single" w:sz="5" w:space="0" w:color="auto"/>
              <w:left w:val="single" w:sz="5" w:space="0" w:color="auto"/>
              <w:bottom w:val="single" w:sz="5" w:space="0" w:color="auto"/>
              <w:right w:val="single" w:sz="5" w:space="0" w:color="auto"/>
            </w:tcBorders>
          </w:tcPr>
          <w:p w14:paraId="048B76DB" w14:textId="77777777" w:rsidR="00A04C94" w:rsidRPr="001B44ED" w:rsidRDefault="00A04C94" w:rsidP="001F2BBB">
            <w:pPr>
              <w:tabs>
                <w:tab w:val="right" w:pos="1751"/>
              </w:tabs>
              <w:spacing w:before="0" w:after="0"/>
              <w:ind w:left="48" w:right="47" w:firstLine="9"/>
              <w:jc w:val="left"/>
              <w:rPr>
                <w:rFonts w:cs="Arial"/>
                <w:spacing w:val="-4"/>
                <w:w w:val="105"/>
                <w:sz w:val="18"/>
                <w:szCs w:val="20"/>
              </w:rPr>
            </w:pPr>
            <w:r w:rsidRPr="001B44ED">
              <w:rPr>
                <w:rFonts w:cs="Arial"/>
                <w:spacing w:val="-4"/>
                <w:w w:val="105"/>
                <w:sz w:val="18"/>
                <w:szCs w:val="20"/>
              </w:rPr>
              <w:t xml:space="preserve">Very </w:t>
            </w:r>
            <w:r w:rsidRPr="001B44ED">
              <w:rPr>
                <w:rFonts w:cs="Arial"/>
                <w:w w:val="105"/>
                <w:sz w:val="18"/>
                <w:szCs w:val="20"/>
              </w:rPr>
              <w:t xml:space="preserve">common: </w:t>
            </w:r>
            <w:r w:rsidRPr="001B44ED">
              <w:rPr>
                <w:rFonts w:cs="Arial"/>
                <w:spacing w:val="-4"/>
                <w:w w:val="105"/>
                <w:sz w:val="18"/>
                <w:szCs w:val="20"/>
              </w:rPr>
              <w:t xml:space="preserve">Thrombocytosis* </w:t>
            </w:r>
          </w:p>
          <w:p w14:paraId="755B67C0" w14:textId="77777777" w:rsidR="00A04C94" w:rsidRPr="001B44ED" w:rsidRDefault="00A04C94" w:rsidP="001F2BBB">
            <w:pPr>
              <w:tabs>
                <w:tab w:val="right" w:pos="1751"/>
              </w:tabs>
              <w:spacing w:before="0" w:after="0"/>
              <w:ind w:left="48" w:right="47" w:firstLine="9"/>
              <w:jc w:val="left"/>
              <w:rPr>
                <w:rFonts w:cs="Arial"/>
                <w:spacing w:val="-4"/>
                <w:w w:val="105"/>
                <w:sz w:val="18"/>
                <w:szCs w:val="20"/>
              </w:rPr>
            </w:pPr>
          </w:p>
          <w:p w14:paraId="4EA839CB" w14:textId="77777777" w:rsidR="00A04C94" w:rsidRPr="001B44ED" w:rsidRDefault="00A04C94" w:rsidP="001F2BBB">
            <w:pPr>
              <w:tabs>
                <w:tab w:val="right" w:pos="1751"/>
              </w:tabs>
              <w:spacing w:before="0" w:after="0"/>
              <w:ind w:left="48" w:right="47" w:firstLine="9"/>
              <w:jc w:val="left"/>
              <w:rPr>
                <w:rFonts w:cs="Arial"/>
                <w:spacing w:val="-9"/>
                <w:w w:val="105"/>
                <w:sz w:val="18"/>
                <w:szCs w:val="20"/>
              </w:rPr>
            </w:pPr>
            <w:r w:rsidRPr="001B44ED">
              <w:rPr>
                <w:rFonts w:cs="Arial"/>
                <w:w w:val="105"/>
                <w:sz w:val="18"/>
                <w:szCs w:val="20"/>
              </w:rPr>
              <w:t xml:space="preserve">Common: </w:t>
            </w:r>
            <w:r w:rsidRPr="001B44ED">
              <w:rPr>
                <w:rFonts w:cs="Arial"/>
                <w:spacing w:val="-9"/>
                <w:w w:val="105"/>
                <w:sz w:val="18"/>
                <w:szCs w:val="20"/>
              </w:rPr>
              <w:t>Thrombocytopenia</w:t>
            </w:r>
          </w:p>
        </w:tc>
        <w:tc>
          <w:tcPr>
            <w:tcW w:w="1587" w:type="dxa"/>
            <w:tcBorders>
              <w:top w:val="single" w:sz="5" w:space="0" w:color="auto"/>
              <w:left w:val="single" w:sz="5" w:space="0" w:color="auto"/>
              <w:bottom w:val="single" w:sz="5" w:space="0" w:color="auto"/>
              <w:right w:val="single" w:sz="5" w:space="0" w:color="auto"/>
            </w:tcBorders>
          </w:tcPr>
          <w:p w14:paraId="26BE0321" w14:textId="77777777" w:rsidR="00A04C94" w:rsidRPr="001B44ED" w:rsidRDefault="00A04C94" w:rsidP="001F2BBB">
            <w:pPr>
              <w:spacing w:before="0" w:after="0"/>
              <w:ind w:left="48" w:right="47" w:firstLine="9"/>
              <w:jc w:val="left"/>
              <w:rPr>
                <w:rFonts w:cs="Arial"/>
                <w:spacing w:val="-9"/>
                <w:w w:val="105"/>
                <w:sz w:val="18"/>
                <w:szCs w:val="20"/>
              </w:rPr>
            </w:pPr>
            <w:r w:rsidRPr="001B44ED">
              <w:rPr>
                <w:rFonts w:cs="Arial"/>
                <w:w w:val="105"/>
                <w:sz w:val="18"/>
                <w:szCs w:val="20"/>
              </w:rPr>
              <w:t xml:space="preserve">Uncommon: </w:t>
            </w:r>
            <w:r w:rsidRPr="001B44ED">
              <w:rPr>
                <w:rFonts w:cs="Arial"/>
                <w:spacing w:val="-9"/>
                <w:w w:val="105"/>
                <w:sz w:val="18"/>
                <w:szCs w:val="20"/>
              </w:rPr>
              <w:t>Thrombocytopenia</w:t>
            </w:r>
          </w:p>
        </w:tc>
        <w:tc>
          <w:tcPr>
            <w:tcW w:w="1587" w:type="dxa"/>
            <w:tcBorders>
              <w:top w:val="single" w:sz="5" w:space="0" w:color="auto"/>
              <w:left w:val="single" w:sz="5" w:space="0" w:color="auto"/>
              <w:bottom w:val="single" w:sz="5" w:space="0" w:color="auto"/>
              <w:right w:val="single" w:sz="5" w:space="0" w:color="auto"/>
            </w:tcBorders>
          </w:tcPr>
          <w:p w14:paraId="628ACF6B" w14:textId="77777777" w:rsidR="00A04C94" w:rsidRPr="001B44ED" w:rsidRDefault="00A04C94" w:rsidP="001F2BBB">
            <w:pPr>
              <w:spacing w:before="0" w:after="0"/>
              <w:ind w:left="57" w:right="57"/>
              <w:jc w:val="left"/>
              <w:rPr>
                <w:rFonts w:cs="Arial"/>
                <w:spacing w:val="-9"/>
                <w:w w:val="105"/>
                <w:sz w:val="18"/>
                <w:szCs w:val="20"/>
              </w:rPr>
            </w:pPr>
            <w:r w:rsidRPr="001B44ED">
              <w:rPr>
                <w:rFonts w:cs="Arial"/>
                <w:w w:val="105"/>
                <w:sz w:val="18"/>
                <w:szCs w:val="20"/>
              </w:rPr>
              <w:t xml:space="preserve">Common: </w:t>
            </w:r>
            <w:r w:rsidRPr="001B44ED">
              <w:rPr>
                <w:rFonts w:cs="Arial"/>
                <w:spacing w:val="-4"/>
                <w:w w:val="105"/>
                <w:sz w:val="18"/>
                <w:szCs w:val="20"/>
              </w:rPr>
              <w:t xml:space="preserve">Thrombocytosis* </w:t>
            </w:r>
            <w:r w:rsidRPr="001B44ED">
              <w:rPr>
                <w:rFonts w:cs="Arial"/>
                <w:spacing w:val="-9"/>
                <w:w w:val="105"/>
                <w:sz w:val="18"/>
                <w:szCs w:val="20"/>
              </w:rPr>
              <w:t>Thrombocytopenia</w:t>
            </w:r>
          </w:p>
          <w:p w14:paraId="02443230" w14:textId="77777777" w:rsidR="00A04C94" w:rsidRPr="001B44ED" w:rsidRDefault="00A04C94" w:rsidP="001F2BBB">
            <w:pPr>
              <w:spacing w:before="0" w:after="0"/>
              <w:ind w:left="57" w:right="57"/>
              <w:jc w:val="left"/>
              <w:rPr>
                <w:rFonts w:cs="Arial"/>
                <w:w w:val="105"/>
                <w:sz w:val="18"/>
                <w:szCs w:val="20"/>
              </w:rPr>
            </w:pPr>
          </w:p>
          <w:p w14:paraId="0D4607A6" w14:textId="77777777" w:rsidR="00A04C94" w:rsidRPr="001B44ED" w:rsidRDefault="00A04C94" w:rsidP="001F2BBB">
            <w:pPr>
              <w:spacing w:before="0" w:after="0"/>
              <w:ind w:left="57" w:right="57"/>
              <w:jc w:val="left"/>
              <w:rPr>
                <w:rFonts w:cs="Arial"/>
                <w:w w:val="105"/>
                <w:sz w:val="18"/>
                <w:szCs w:val="20"/>
              </w:rPr>
            </w:pPr>
            <w:r w:rsidRPr="001B44ED">
              <w:rPr>
                <w:rFonts w:cs="Arial"/>
                <w:w w:val="105"/>
                <w:sz w:val="18"/>
                <w:szCs w:val="20"/>
              </w:rPr>
              <w:t>Very rare:</w:t>
            </w:r>
          </w:p>
          <w:p w14:paraId="52A0253A" w14:textId="77777777" w:rsidR="00A04C94" w:rsidRPr="001B44ED" w:rsidRDefault="00A04C94" w:rsidP="001F2BBB">
            <w:pPr>
              <w:spacing w:before="0" w:after="0"/>
              <w:ind w:left="57" w:right="57"/>
              <w:jc w:val="left"/>
              <w:rPr>
                <w:rFonts w:cs="Arial"/>
                <w:spacing w:val="-9"/>
                <w:w w:val="105"/>
                <w:sz w:val="18"/>
                <w:szCs w:val="20"/>
              </w:rPr>
            </w:pPr>
            <w:r w:rsidRPr="001B44ED">
              <w:rPr>
                <w:rFonts w:cs="Arial"/>
                <w:spacing w:val="-4"/>
                <w:w w:val="105"/>
                <w:sz w:val="18"/>
                <w:szCs w:val="20"/>
              </w:rPr>
              <w:t xml:space="preserve">Immuno-allergic </w:t>
            </w:r>
            <w:r w:rsidRPr="001B44ED">
              <w:rPr>
                <w:rFonts w:cs="Arial"/>
                <w:spacing w:val="-9"/>
                <w:w w:val="105"/>
                <w:sz w:val="18"/>
                <w:szCs w:val="20"/>
              </w:rPr>
              <w:t>thrombocytopenia</w:t>
            </w:r>
          </w:p>
        </w:tc>
      </w:tr>
    </w:tbl>
    <w:p w14:paraId="2EE50824" w14:textId="5F03261F" w:rsidR="005D430D" w:rsidRPr="006727DE" w:rsidRDefault="001B7330" w:rsidP="000A1317">
      <w:pPr>
        <w:spacing w:line="208" w:lineRule="auto"/>
        <w:ind w:left="72"/>
        <w:rPr>
          <w:rFonts w:cs="Arial"/>
          <w:spacing w:val="-6"/>
          <w:sz w:val="20"/>
          <w:szCs w:val="20"/>
        </w:rPr>
      </w:pPr>
      <w:r w:rsidRPr="005D430D">
        <w:rPr>
          <w:rFonts w:cs="Arial"/>
          <w:spacing w:val="-6"/>
          <w:sz w:val="20"/>
          <w:szCs w:val="20"/>
        </w:rPr>
        <w:t>*</w:t>
      </w:r>
      <w:r w:rsidR="00557C83">
        <w:rPr>
          <w:rFonts w:cs="Arial"/>
          <w:spacing w:val="-6"/>
          <w:sz w:val="20"/>
          <w:szCs w:val="20"/>
        </w:rPr>
        <w:t>Platelet increased &gt;400 10</w:t>
      </w:r>
      <w:r w:rsidR="00557C83" w:rsidRPr="00557C83">
        <w:rPr>
          <w:rFonts w:cs="Arial"/>
          <w:spacing w:val="-6"/>
          <w:sz w:val="20"/>
          <w:szCs w:val="20"/>
          <w:vertAlign w:val="superscript"/>
        </w:rPr>
        <w:t>9</w:t>
      </w:r>
      <w:r w:rsidR="00557C83">
        <w:rPr>
          <w:rFonts w:cs="Arial"/>
          <w:spacing w:val="-6"/>
          <w:sz w:val="20"/>
          <w:szCs w:val="20"/>
        </w:rPr>
        <w:t>/L</w:t>
      </w:r>
    </w:p>
    <w:p w14:paraId="411A698C" w14:textId="4B249C81" w:rsidR="001B7330" w:rsidRPr="00D852EC" w:rsidRDefault="001B7330" w:rsidP="001F2BBB">
      <w:pPr>
        <w:pStyle w:val="Heading4"/>
      </w:pPr>
      <w:proofErr w:type="spellStart"/>
      <w:r w:rsidRPr="00D852EC">
        <w:t>Hepatobilary</w:t>
      </w:r>
      <w:proofErr w:type="spellEnd"/>
      <w:r w:rsidRPr="00D852EC">
        <w:t xml:space="preserve"> </w:t>
      </w:r>
      <w:r w:rsidR="001F2BBB" w:rsidRPr="00D852EC">
        <w:t xml:space="preserve">Disorders </w:t>
      </w:r>
    </w:p>
    <w:p w14:paraId="2D4FE937" w14:textId="5694E1BF" w:rsidR="001B7330" w:rsidRPr="00D852EC" w:rsidRDefault="001B7330" w:rsidP="000A1317">
      <w:pPr>
        <w:rPr>
          <w:rFonts w:cs="Arial"/>
          <w:szCs w:val="20"/>
        </w:rPr>
      </w:pPr>
      <w:r w:rsidRPr="00D852EC">
        <w:rPr>
          <w:rFonts w:cs="Arial"/>
          <w:i/>
          <w:szCs w:val="20"/>
        </w:rPr>
        <w:t xml:space="preserve">Very </w:t>
      </w:r>
      <w:r w:rsidRPr="00D852EC">
        <w:rPr>
          <w:rFonts w:cs="Arial"/>
          <w:i/>
          <w:iCs/>
          <w:szCs w:val="20"/>
        </w:rPr>
        <w:t>common</w:t>
      </w:r>
      <w:r w:rsidRPr="00D852EC">
        <w:rPr>
          <w:rFonts w:cs="Arial"/>
          <w:iCs/>
          <w:szCs w:val="20"/>
        </w:rPr>
        <w:t xml:space="preserve">: </w:t>
      </w:r>
      <w:r w:rsidRPr="00D852EC">
        <w:rPr>
          <w:rFonts w:cs="Arial"/>
          <w:szCs w:val="20"/>
        </w:rPr>
        <w:t>Asymptomatic and reversible increases in the levels of liver enzymes (e</w:t>
      </w:r>
      <w:r w:rsidR="001F2BBB">
        <w:rPr>
          <w:rFonts w:cs="Arial"/>
          <w:szCs w:val="20"/>
        </w:rPr>
        <w:t>.</w:t>
      </w:r>
      <w:r w:rsidRPr="00D852EC">
        <w:rPr>
          <w:rFonts w:cs="Arial"/>
          <w:szCs w:val="20"/>
        </w:rPr>
        <w:t>g. transaminases) have been reported [NOTE: Liver enzymes were not assessed in the Unstable Angina Population].</w:t>
      </w:r>
    </w:p>
    <w:p w14:paraId="7C02C178" w14:textId="28A530E8" w:rsidR="001B7330" w:rsidRPr="00D852EC" w:rsidRDefault="001B7330" w:rsidP="001F2BBB">
      <w:pPr>
        <w:pStyle w:val="Heading4"/>
      </w:pPr>
      <w:r w:rsidRPr="00D852EC">
        <w:t>Gastrointestinal</w:t>
      </w:r>
      <w:r w:rsidR="001F2BBB">
        <w:t xml:space="preserve"> Disorders</w:t>
      </w:r>
      <w:r w:rsidRPr="00D852EC">
        <w:t xml:space="preserve"> </w:t>
      </w:r>
    </w:p>
    <w:p w14:paraId="10C50791" w14:textId="77777777" w:rsidR="001B7330" w:rsidRPr="00D852EC" w:rsidRDefault="001B7330" w:rsidP="000A1317">
      <w:pPr>
        <w:rPr>
          <w:rFonts w:cs="Arial"/>
          <w:szCs w:val="20"/>
        </w:rPr>
      </w:pPr>
      <w:r w:rsidRPr="00D852EC">
        <w:rPr>
          <w:rFonts w:cs="Arial"/>
          <w:i/>
          <w:iCs/>
          <w:szCs w:val="20"/>
        </w:rPr>
        <w:t>Common</w:t>
      </w:r>
      <w:r w:rsidRPr="00D852EC">
        <w:rPr>
          <w:rFonts w:cs="Arial"/>
          <w:iCs/>
          <w:szCs w:val="20"/>
        </w:rPr>
        <w:t xml:space="preserve">: </w:t>
      </w:r>
      <w:r w:rsidRPr="00D852EC">
        <w:rPr>
          <w:rFonts w:cs="Arial"/>
          <w:szCs w:val="20"/>
        </w:rPr>
        <w:t>Nausea, Diarrhoea</w:t>
      </w:r>
    </w:p>
    <w:p w14:paraId="6CD75E10" w14:textId="77777777" w:rsidR="001B7330" w:rsidRPr="00D852EC" w:rsidRDefault="001B7330" w:rsidP="001F2BBB">
      <w:pPr>
        <w:pStyle w:val="Heading4"/>
      </w:pPr>
      <w:r w:rsidRPr="00D852EC">
        <w:t>Other</w:t>
      </w:r>
    </w:p>
    <w:p w14:paraId="1D4072D7" w14:textId="77777777" w:rsidR="001B7330" w:rsidRPr="00D852EC" w:rsidRDefault="001B7330" w:rsidP="000A1317">
      <w:pPr>
        <w:rPr>
          <w:rFonts w:cs="Arial"/>
          <w:szCs w:val="20"/>
        </w:rPr>
      </w:pPr>
      <w:r w:rsidRPr="00D852EC">
        <w:rPr>
          <w:rFonts w:cs="Arial"/>
          <w:i/>
          <w:iCs/>
          <w:szCs w:val="20"/>
        </w:rPr>
        <w:t>Common</w:t>
      </w:r>
      <w:r w:rsidRPr="00D852EC">
        <w:rPr>
          <w:rFonts w:cs="Arial"/>
          <w:iCs/>
          <w:szCs w:val="20"/>
        </w:rPr>
        <w:t xml:space="preserve">: </w:t>
      </w:r>
      <w:r w:rsidRPr="00D852EC">
        <w:rPr>
          <w:rFonts w:cs="Arial"/>
          <w:szCs w:val="20"/>
        </w:rPr>
        <w:t>Peripheral oedema, Fever</w:t>
      </w:r>
    </w:p>
    <w:p w14:paraId="4375549F" w14:textId="77777777" w:rsidR="001B7330" w:rsidRPr="00D852EC" w:rsidRDefault="001B7330" w:rsidP="001F2BBB">
      <w:pPr>
        <w:pStyle w:val="Heading4"/>
        <w:rPr>
          <w:iCs/>
        </w:rPr>
      </w:pPr>
      <w:r w:rsidRPr="00D852EC">
        <w:t xml:space="preserve">Psychiatric Disorders </w:t>
      </w:r>
    </w:p>
    <w:p w14:paraId="2D0DDE2F" w14:textId="057B05A9" w:rsidR="001B7330" w:rsidRPr="005D430D" w:rsidRDefault="001B7330" w:rsidP="000A1317">
      <w:pPr>
        <w:rPr>
          <w:rFonts w:cs="Arial"/>
          <w:szCs w:val="20"/>
        </w:rPr>
      </w:pPr>
      <w:r w:rsidRPr="00D852EC">
        <w:rPr>
          <w:rFonts w:cs="Arial"/>
          <w:i/>
          <w:iCs/>
          <w:szCs w:val="20"/>
        </w:rPr>
        <w:t>Common</w:t>
      </w:r>
      <w:r w:rsidRPr="00D852EC">
        <w:rPr>
          <w:rFonts w:cs="Arial"/>
          <w:iCs/>
          <w:szCs w:val="20"/>
        </w:rPr>
        <w:t xml:space="preserve">: </w:t>
      </w:r>
      <w:r w:rsidR="005D430D">
        <w:rPr>
          <w:rFonts w:cs="Arial"/>
          <w:szCs w:val="20"/>
        </w:rPr>
        <w:t>Confusion</w:t>
      </w:r>
    </w:p>
    <w:p w14:paraId="08118B84" w14:textId="77777777" w:rsidR="001B7330" w:rsidRPr="00D852EC" w:rsidRDefault="001B7330" w:rsidP="001F2BBB">
      <w:pPr>
        <w:pStyle w:val="Heading4"/>
      </w:pPr>
      <w:r w:rsidRPr="00D852EC">
        <w:t xml:space="preserve">Immune System Disorders </w:t>
      </w:r>
    </w:p>
    <w:p w14:paraId="242203A6" w14:textId="77777777" w:rsidR="001B7330" w:rsidRPr="00D852EC" w:rsidRDefault="001B7330" w:rsidP="001F2BBB">
      <w:pPr>
        <w:spacing w:before="108" w:after="120" w:line="259" w:lineRule="exact"/>
        <w:rPr>
          <w:rFonts w:cs="Arial"/>
          <w:spacing w:val="-2"/>
          <w:szCs w:val="20"/>
        </w:rPr>
      </w:pPr>
      <w:r w:rsidRPr="00D852EC">
        <w:rPr>
          <w:rFonts w:cs="Arial"/>
          <w:i/>
          <w:iCs/>
          <w:spacing w:val="-2"/>
          <w:w w:val="105"/>
          <w:szCs w:val="20"/>
        </w:rPr>
        <w:t>Common</w:t>
      </w:r>
      <w:r w:rsidRPr="00D852EC">
        <w:rPr>
          <w:rFonts w:cs="Arial"/>
          <w:spacing w:val="-2"/>
          <w:szCs w:val="20"/>
        </w:rPr>
        <w:t>: Allergic reaction</w:t>
      </w:r>
    </w:p>
    <w:p w14:paraId="47F2AFBA" w14:textId="33A8668F" w:rsidR="001B7330" w:rsidRPr="00D852EC" w:rsidRDefault="001B7330" w:rsidP="000A1317">
      <w:pPr>
        <w:spacing w:before="72" w:line="264" w:lineRule="exact"/>
        <w:rPr>
          <w:rFonts w:cs="Arial"/>
          <w:spacing w:val="-1"/>
          <w:szCs w:val="20"/>
        </w:rPr>
      </w:pPr>
      <w:r w:rsidRPr="00D852EC">
        <w:rPr>
          <w:rFonts w:cs="Arial"/>
          <w:i/>
          <w:iCs/>
          <w:spacing w:val="-1"/>
          <w:w w:val="105"/>
          <w:szCs w:val="20"/>
        </w:rPr>
        <w:t>Rare</w:t>
      </w:r>
      <w:r w:rsidRPr="00D852EC">
        <w:rPr>
          <w:rFonts w:cs="Arial"/>
          <w:spacing w:val="-1"/>
          <w:szCs w:val="20"/>
        </w:rPr>
        <w:t>: Anaphylactic/</w:t>
      </w:r>
      <w:proofErr w:type="spellStart"/>
      <w:r w:rsidRPr="00D852EC">
        <w:rPr>
          <w:rFonts w:cs="Arial"/>
          <w:spacing w:val="-1"/>
          <w:szCs w:val="20"/>
        </w:rPr>
        <w:t>anaphylactoid</w:t>
      </w:r>
      <w:proofErr w:type="spellEnd"/>
      <w:r w:rsidRPr="00D852EC">
        <w:rPr>
          <w:rFonts w:cs="Arial"/>
          <w:spacing w:val="-1"/>
          <w:szCs w:val="20"/>
        </w:rPr>
        <w:t xml:space="preserve"> reaction</w:t>
      </w:r>
      <w:r w:rsidR="001F2BBB">
        <w:rPr>
          <w:rFonts w:cs="Arial"/>
          <w:spacing w:val="-1"/>
          <w:szCs w:val="20"/>
        </w:rPr>
        <w:t xml:space="preserve"> </w:t>
      </w:r>
      <w:r w:rsidR="001F2BBB" w:rsidRPr="001F2BBB">
        <w:rPr>
          <w:rFonts w:cs="Arial"/>
          <w:spacing w:val="-1"/>
          <w:szCs w:val="20"/>
        </w:rPr>
        <w:t xml:space="preserve">(see also </w:t>
      </w:r>
      <w:r w:rsidR="001F2BBB">
        <w:rPr>
          <w:rFonts w:cs="Arial"/>
          <w:spacing w:val="-1"/>
          <w:szCs w:val="20"/>
        </w:rPr>
        <w:t xml:space="preserve">Section </w:t>
      </w:r>
      <w:r w:rsidR="00F3331C">
        <w:rPr>
          <w:rFonts w:cs="Arial"/>
          <w:spacing w:val="-1"/>
          <w:szCs w:val="20"/>
        </w:rPr>
        <w:fldChar w:fldCharType="begin"/>
      </w:r>
      <w:r w:rsidR="00F3331C">
        <w:rPr>
          <w:rFonts w:cs="Arial"/>
          <w:spacing w:val="-1"/>
          <w:szCs w:val="20"/>
        </w:rPr>
        <w:instrText xml:space="preserve"> REF _Ref5878180 \r \h </w:instrText>
      </w:r>
      <w:r w:rsidR="00F3331C">
        <w:rPr>
          <w:rFonts w:cs="Arial"/>
          <w:spacing w:val="-1"/>
          <w:szCs w:val="20"/>
        </w:rPr>
      </w:r>
      <w:r w:rsidR="00F3331C">
        <w:rPr>
          <w:rFonts w:cs="Arial"/>
          <w:spacing w:val="-1"/>
          <w:szCs w:val="20"/>
        </w:rPr>
        <w:fldChar w:fldCharType="separate"/>
      </w:r>
      <w:r w:rsidR="006254D6">
        <w:rPr>
          <w:rFonts w:cs="Arial"/>
          <w:spacing w:val="-1"/>
          <w:szCs w:val="20"/>
        </w:rPr>
        <w:t>4.8</w:t>
      </w:r>
      <w:r w:rsidR="00F3331C">
        <w:rPr>
          <w:rFonts w:cs="Arial"/>
          <w:spacing w:val="-1"/>
          <w:szCs w:val="20"/>
        </w:rPr>
        <w:fldChar w:fldCharType="end"/>
      </w:r>
      <w:r w:rsidR="001F2BBB">
        <w:rPr>
          <w:rFonts w:cs="Arial"/>
          <w:spacing w:val="-1"/>
          <w:szCs w:val="20"/>
        </w:rPr>
        <w:t xml:space="preserve"> – </w:t>
      </w:r>
      <w:r w:rsidR="00F3331C">
        <w:rPr>
          <w:rFonts w:cs="Arial"/>
          <w:spacing w:val="-1"/>
          <w:szCs w:val="20"/>
        </w:rPr>
        <w:fldChar w:fldCharType="begin"/>
      </w:r>
      <w:r w:rsidR="00F3331C">
        <w:rPr>
          <w:rFonts w:cs="Arial"/>
          <w:spacing w:val="-1"/>
          <w:szCs w:val="20"/>
        </w:rPr>
        <w:instrText xml:space="preserve"> REF _Ref5878180 \h </w:instrText>
      </w:r>
      <w:r w:rsidR="00F3331C">
        <w:rPr>
          <w:rFonts w:cs="Arial"/>
          <w:spacing w:val="-1"/>
          <w:szCs w:val="20"/>
        </w:rPr>
      </w:r>
      <w:r w:rsidR="00F3331C">
        <w:rPr>
          <w:rFonts w:cs="Arial"/>
          <w:spacing w:val="-1"/>
          <w:szCs w:val="20"/>
        </w:rPr>
        <w:fldChar w:fldCharType="separate"/>
      </w:r>
      <w:r w:rsidR="006254D6" w:rsidRPr="00571478">
        <w:t>Adverse Effects (Undesirable Effects)</w:t>
      </w:r>
      <w:r w:rsidR="00F3331C">
        <w:rPr>
          <w:rFonts w:cs="Arial"/>
          <w:spacing w:val="-1"/>
          <w:szCs w:val="20"/>
        </w:rPr>
        <w:fldChar w:fldCharType="end"/>
      </w:r>
      <w:r w:rsidR="006852AC">
        <w:rPr>
          <w:rFonts w:cs="Arial"/>
          <w:spacing w:val="-1"/>
          <w:szCs w:val="20"/>
        </w:rPr>
        <w:t xml:space="preserve">: </w:t>
      </w:r>
      <w:r w:rsidR="00F3331C">
        <w:rPr>
          <w:rFonts w:cs="Arial"/>
          <w:spacing w:val="-1"/>
          <w:szCs w:val="20"/>
        </w:rPr>
        <w:fldChar w:fldCharType="begin"/>
      </w:r>
      <w:r w:rsidR="00F3331C">
        <w:rPr>
          <w:rFonts w:cs="Arial"/>
          <w:spacing w:val="-1"/>
          <w:szCs w:val="20"/>
        </w:rPr>
        <w:instrText xml:space="preserve"> REF _Ref5878731 \h </w:instrText>
      </w:r>
      <w:r w:rsidR="00F3331C">
        <w:rPr>
          <w:rFonts w:cs="Arial"/>
          <w:spacing w:val="-1"/>
          <w:szCs w:val="20"/>
        </w:rPr>
      </w:r>
      <w:r w:rsidR="00F3331C">
        <w:rPr>
          <w:rFonts w:cs="Arial"/>
          <w:spacing w:val="-1"/>
          <w:szCs w:val="20"/>
        </w:rPr>
        <w:fldChar w:fldCharType="separate"/>
      </w:r>
      <w:r w:rsidR="006254D6" w:rsidRPr="00D852EC">
        <w:t xml:space="preserve">Post-Marketing </w:t>
      </w:r>
      <w:r w:rsidR="006254D6">
        <w:t>Experience</w:t>
      </w:r>
      <w:r w:rsidR="00F3331C">
        <w:rPr>
          <w:rFonts w:cs="Arial"/>
          <w:spacing w:val="-1"/>
          <w:szCs w:val="20"/>
        </w:rPr>
        <w:fldChar w:fldCharType="end"/>
      </w:r>
      <w:r w:rsidR="001F2BBB" w:rsidRPr="001F2BBB">
        <w:rPr>
          <w:rFonts w:cs="Arial"/>
          <w:spacing w:val="-1"/>
          <w:szCs w:val="20"/>
        </w:rPr>
        <w:t>)</w:t>
      </w:r>
    </w:p>
    <w:p w14:paraId="444C43CB" w14:textId="77777777" w:rsidR="001B7330" w:rsidRPr="00D852EC" w:rsidRDefault="001B7330" w:rsidP="0037494C">
      <w:pPr>
        <w:pStyle w:val="Heading4"/>
      </w:pPr>
      <w:r w:rsidRPr="00D852EC">
        <w:t xml:space="preserve">Skin and Subcutaneous Tissue Disorders </w:t>
      </w:r>
    </w:p>
    <w:p w14:paraId="3CD198B0" w14:textId="77777777" w:rsidR="001B7330" w:rsidRPr="00D852EC" w:rsidRDefault="001B7330" w:rsidP="0037494C">
      <w:pPr>
        <w:spacing w:before="144" w:after="120" w:line="260" w:lineRule="exact"/>
        <w:rPr>
          <w:rFonts w:cs="Arial"/>
          <w:spacing w:val="-3"/>
          <w:szCs w:val="20"/>
        </w:rPr>
      </w:pPr>
      <w:r w:rsidRPr="00D852EC">
        <w:rPr>
          <w:rFonts w:cs="Arial"/>
          <w:i/>
          <w:iCs/>
          <w:spacing w:val="-3"/>
          <w:w w:val="105"/>
          <w:szCs w:val="20"/>
        </w:rPr>
        <w:t>Common</w:t>
      </w:r>
      <w:r w:rsidRPr="00D852EC">
        <w:rPr>
          <w:rFonts w:cs="Arial"/>
          <w:spacing w:val="-3"/>
          <w:szCs w:val="20"/>
        </w:rPr>
        <w:t xml:space="preserve">: </w:t>
      </w:r>
      <w:proofErr w:type="spellStart"/>
      <w:r w:rsidRPr="00D852EC">
        <w:rPr>
          <w:rFonts w:cs="Arial"/>
          <w:spacing w:val="-3"/>
          <w:szCs w:val="20"/>
        </w:rPr>
        <w:t>Urticaria</w:t>
      </w:r>
      <w:proofErr w:type="spellEnd"/>
      <w:r w:rsidRPr="00D852EC">
        <w:rPr>
          <w:rFonts w:cs="Arial"/>
          <w:spacing w:val="-3"/>
          <w:szCs w:val="20"/>
        </w:rPr>
        <w:t>, pruritus, erythema</w:t>
      </w:r>
    </w:p>
    <w:p w14:paraId="4FDB7EE3" w14:textId="73634898" w:rsidR="001B7330" w:rsidRPr="00D852EC" w:rsidRDefault="001B7330" w:rsidP="000A1317">
      <w:pPr>
        <w:spacing w:before="72" w:line="216" w:lineRule="exact"/>
        <w:rPr>
          <w:rFonts w:cs="Arial"/>
          <w:spacing w:val="-2"/>
          <w:szCs w:val="20"/>
        </w:rPr>
      </w:pPr>
      <w:r w:rsidRPr="00D852EC">
        <w:rPr>
          <w:rFonts w:cs="Arial"/>
          <w:i/>
          <w:iCs/>
          <w:spacing w:val="-2"/>
          <w:w w:val="105"/>
          <w:szCs w:val="20"/>
        </w:rPr>
        <w:t>Uncommon</w:t>
      </w:r>
      <w:r w:rsidRPr="00D852EC">
        <w:rPr>
          <w:rFonts w:cs="Arial"/>
          <w:spacing w:val="-2"/>
          <w:szCs w:val="20"/>
        </w:rPr>
        <w:t xml:space="preserve">: </w:t>
      </w:r>
      <w:r w:rsidR="0037494C" w:rsidRPr="00D852EC">
        <w:rPr>
          <w:rFonts w:cs="Arial"/>
          <w:spacing w:val="-2"/>
          <w:szCs w:val="20"/>
        </w:rPr>
        <w:t xml:space="preserve">Bullous </w:t>
      </w:r>
      <w:r w:rsidRPr="00D852EC">
        <w:rPr>
          <w:rFonts w:cs="Arial"/>
          <w:spacing w:val="-2"/>
          <w:szCs w:val="20"/>
        </w:rPr>
        <w:t>dermatitis</w:t>
      </w:r>
    </w:p>
    <w:p w14:paraId="329FBA55" w14:textId="77777777" w:rsidR="001B7330" w:rsidRPr="00D852EC" w:rsidRDefault="001B7330" w:rsidP="0037494C">
      <w:pPr>
        <w:pStyle w:val="Heading4"/>
      </w:pPr>
      <w:r w:rsidRPr="00D852EC">
        <w:t xml:space="preserve">General Disorders and Administration Site Conditions </w:t>
      </w:r>
    </w:p>
    <w:p w14:paraId="34BC2FFD" w14:textId="77777777" w:rsidR="001B7330" w:rsidRPr="00D852EC" w:rsidRDefault="001B7330" w:rsidP="0037494C">
      <w:pPr>
        <w:spacing w:before="108" w:after="120" w:line="257" w:lineRule="exact"/>
        <w:ind w:right="142"/>
        <w:rPr>
          <w:rFonts w:cs="Arial"/>
          <w:szCs w:val="20"/>
        </w:rPr>
      </w:pPr>
      <w:r w:rsidRPr="00D852EC">
        <w:rPr>
          <w:rFonts w:cs="Arial"/>
          <w:i/>
          <w:iCs/>
          <w:w w:val="105"/>
          <w:szCs w:val="20"/>
        </w:rPr>
        <w:t>Common</w:t>
      </w:r>
      <w:r w:rsidRPr="00D852EC">
        <w:rPr>
          <w:rFonts w:cs="Arial"/>
          <w:szCs w:val="20"/>
        </w:rPr>
        <w:t>: Injection site haematoma, injection site pain, other injection site reaction (such as injection site oedema, haemorrhage, hypersensitivity, inflammation, mass, pain or reaction)</w:t>
      </w:r>
    </w:p>
    <w:p w14:paraId="3289BFF9" w14:textId="30143E65" w:rsidR="001B7330" w:rsidRPr="00D852EC" w:rsidRDefault="001B7330" w:rsidP="0037494C">
      <w:pPr>
        <w:spacing w:before="108" w:line="314" w:lineRule="exact"/>
        <w:ind w:right="1840"/>
        <w:rPr>
          <w:rFonts w:cs="Arial"/>
          <w:spacing w:val="-6"/>
          <w:szCs w:val="20"/>
        </w:rPr>
      </w:pPr>
      <w:r w:rsidRPr="00D852EC">
        <w:rPr>
          <w:rFonts w:cs="Arial"/>
          <w:i/>
          <w:iCs/>
          <w:spacing w:val="-6"/>
          <w:w w:val="105"/>
          <w:szCs w:val="20"/>
        </w:rPr>
        <w:t>Uncommon</w:t>
      </w:r>
      <w:r w:rsidRPr="00D852EC">
        <w:rPr>
          <w:rFonts w:cs="Arial"/>
          <w:spacing w:val="-6"/>
          <w:szCs w:val="20"/>
        </w:rPr>
        <w:t>: Local irritation, skin necrosis at injection site</w:t>
      </w:r>
    </w:p>
    <w:p w14:paraId="69967CBC" w14:textId="77777777" w:rsidR="001B7330" w:rsidRPr="00D852EC" w:rsidRDefault="001B7330" w:rsidP="0037494C">
      <w:pPr>
        <w:pStyle w:val="Heading4"/>
      </w:pPr>
      <w:r w:rsidRPr="00D852EC">
        <w:t xml:space="preserve">Investigations </w:t>
      </w:r>
    </w:p>
    <w:p w14:paraId="31442146" w14:textId="64D5C790" w:rsidR="001B7330" w:rsidRPr="006727DE" w:rsidRDefault="001B7330" w:rsidP="000A1317">
      <w:pPr>
        <w:spacing w:before="108" w:line="259" w:lineRule="exact"/>
        <w:rPr>
          <w:rFonts w:cs="Arial"/>
          <w:szCs w:val="20"/>
        </w:rPr>
      </w:pPr>
      <w:r w:rsidRPr="00D852EC">
        <w:rPr>
          <w:rFonts w:cs="Arial"/>
          <w:i/>
          <w:iCs/>
          <w:w w:val="105"/>
          <w:szCs w:val="20"/>
        </w:rPr>
        <w:t>Rare</w:t>
      </w:r>
      <w:r w:rsidR="006727DE">
        <w:rPr>
          <w:rFonts w:cs="Arial"/>
          <w:szCs w:val="20"/>
        </w:rPr>
        <w:t xml:space="preserve">: </w:t>
      </w:r>
      <w:r w:rsidR="0037494C">
        <w:rPr>
          <w:rFonts w:cs="Arial"/>
          <w:szCs w:val="20"/>
        </w:rPr>
        <w:t>Hyperkaliemia</w:t>
      </w:r>
    </w:p>
    <w:p w14:paraId="1DBD5133" w14:textId="15B2D79A" w:rsidR="001B7330" w:rsidRPr="00D852EC" w:rsidRDefault="001B7330" w:rsidP="000A1317">
      <w:pPr>
        <w:pStyle w:val="Heading3"/>
      </w:pPr>
      <w:bookmarkStart w:id="15" w:name="_Ref5878731"/>
      <w:r w:rsidRPr="00D852EC">
        <w:lastRenderedPageBreak/>
        <w:t xml:space="preserve">Post-Marketing </w:t>
      </w:r>
      <w:r w:rsidR="001F2BBB">
        <w:t>Experience</w:t>
      </w:r>
      <w:bookmarkEnd w:id="15"/>
    </w:p>
    <w:p w14:paraId="02E0D20B" w14:textId="77777777" w:rsidR="001B7330" w:rsidRPr="00D852EC" w:rsidRDefault="001B7330" w:rsidP="000A1317">
      <w:pPr>
        <w:rPr>
          <w:rFonts w:cs="Arial"/>
          <w:szCs w:val="20"/>
        </w:rPr>
      </w:pPr>
      <w:r w:rsidRPr="00D852EC">
        <w:rPr>
          <w:rFonts w:cs="Arial"/>
          <w:szCs w:val="20"/>
        </w:rPr>
        <w:t xml:space="preserve">The following information relates to events observed following the marketing of Enoxaparin. Voluntary reports of adverse events that </w:t>
      </w:r>
      <w:proofErr w:type="gramStart"/>
      <w:r w:rsidRPr="00D852EC">
        <w:rPr>
          <w:rFonts w:cs="Arial"/>
          <w:szCs w:val="20"/>
        </w:rPr>
        <w:t>have been received</w:t>
      </w:r>
      <w:proofErr w:type="gramEnd"/>
      <w:r w:rsidRPr="00D852EC">
        <w:rPr>
          <w:rFonts w:cs="Arial"/>
          <w:szCs w:val="20"/>
        </w:rPr>
        <w:t xml:space="preserve"> since market introduction (without causal relationship) that are not listed previously are cited below.</w:t>
      </w:r>
    </w:p>
    <w:p w14:paraId="7E5BF0A2" w14:textId="0905EA5E" w:rsidR="001B7330" w:rsidRPr="00D852EC" w:rsidRDefault="0037494C" w:rsidP="000A1317">
      <w:pPr>
        <w:pStyle w:val="Heading4"/>
      </w:pPr>
      <w:r>
        <w:t>Blood and Lymphatic System Disorders</w:t>
      </w:r>
    </w:p>
    <w:p w14:paraId="4A7D56A0" w14:textId="560C9EE9" w:rsidR="001B7330" w:rsidRPr="00D852EC" w:rsidRDefault="001B7330" w:rsidP="00EB2F03">
      <w:pPr>
        <w:rPr>
          <w:rFonts w:cs="Arial"/>
          <w:szCs w:val="20"/>
        </w:rPr>
      </w:pPr>
      <w:r w:rsidRPr="00D852EC">
        <w:rPr>
          <w:rFonts w:cs="Arial"/>
          <w:szCs w:val="20"/>
        </w:rPr>
        <w:t xml:space="preserve">Rare cases of immuno-allergic thrombocytopenia with or without thrombosis </w:t>
      </w:r>
      <w:proofErr w:type="gramStart"/>
      <w:r w:rsidRPr="00D852EC">
        <w:rPr>
          <w:rFonts w:cs="Arial"/>
          <w:szCs w:val="20"/>
        </w:rPr>
        <w:t>have been reported</w:t>
      </w:r>
      <w:proofErr w:type="gramEnd"/>
      <w:r w:rsidRPr="00D852EC">
        <w:rPr>
          <w:rFonts w:cs="Arial"/>
          <w:szCs w:val="20"/>
        </w:rPr>
        <w:t xml:space="preserve">. In some cases, thrombosis </w:t>
      </w:r>
      <w:proofErr w:type="gramStart"/>
      <w:r w:rsidRPr="00D852EC">
        <w:rPr>
          <w:rFonts w:cs="Arial"/>
          <w:szCs w:val="20"/>
        </w:rPr>
        <w:t>was complicated</w:t>
      </w:r>
      <w:proofErr w:type="gramEnd"/>
      <w:r w:rsidRPr="00D852EC">
        <w:rPr>
          <w:rFonts w:cs="Arial"/>
          <w:szCs w:val="20"/>
        </w:rPr>
        <w:t xml:space="preserve"> by organ infarction or limb </w:t>
      </w:r>
      <w:proofErr w:type="spellStart"/>
      <w:r w:rsidRPr="00D852EC">
        <w:rPr>
          <w:rFonts w:cs="Arial"/>
          <w:szCs w:val="20"/>
        </w:rPr>
        <w:t>ischaemia</w:t>
      </w:r>
      <w:proofErr w:type="spellEnd"/>
      <w:r w:rsidRPr="00D852EC">
        <w:rPr>
          <w:rFonts w:cs="Arial"/>
          <w:szCs w:val="20"/>
        </w:rPr>
        <w:t xml:space="preserve"> (see </w:t>
      </w:r>
      <w:r w:rsidR="0037494C">
        <w:rPr>
          <w:rFonts w:cs="Arial"/>
          <w:szCs w:val="20"/>
        </w:rPr>
        <w:t xml:space="preserve">Section </w:t>
      </w:r>
      <w:r w:rsidR="00F3331C">
        <w:rPr>
          <w:rFonts w:cs="Arial"/>
          <w:szCs w:val="20"/>
        </w:rPr>
        <w:fldChar w:fldCharType="begin"/>
      </w:r>
      <w:r w:rsidR="00F3331C">
        <w:rPr>
          <w:rFonts w:cs="Arial"/>
          <w:szCs w:val="20"/>
        </w:rPr>
        <w:instrText xml:space="preserve"> REF _Ref878862 \r \h </w:instrText>
      </w:r>
      <w:r w:rsidR="00F3331C">
        <w:rPr>
          <w:rFonts w:cs="Arial"/>
          <w:szCs w:val="20"/>
        </w:rPr>
      </w:r>
      <w:r w:rsidR="00F3331C">
        <w:rPr>
          <w:rFonts w:cs="Arial"/>
          <w:szCs w:val="20"/>
        </w:rPr>
        <w:fldChar w:fldCharType="separate"/>
      </w:r>
      <w:r w:rsidR="006254D6">
        <w:rPr>
          <w:rFonts w:cs="Arial"/>
          <w:szCs w:val="20"/>
        </w:rPr>
        <w:t>4.4</w:t>
      </w:r>
      <w:r w:rsidR="00F3331C">
        <w:rPr>
          <w:rFonts w:cs="Arial"/>
          <w:szCs w:val="20"/>
        </w:rPr>
        <w:fldChar w:fldCharType="end"/>
      </w:r>
      <w:r w:rsidR="0037494C">
        <w:rPr>
          <w:rFonts w:cs="Arial"/>
          <w:szCs w:val="20"/>
        </w:rPr>
        <w:t xml:space="preserve"> – </w:t>
      </w:r>
      <w:r w:rsidR="00F3331C">
        <w:rPr>
          <w:rFonts w:cs="Arial"/>
          <w:szCs w:val="20"/>
        </w:rPr>
        <w:fldChar w:fldCharType="begin"/>
      </w:r>
      <w:r w:rsidR="00F3331C">
        <w:rPr>
          <w:rFonts w:cs="Arial"/>
          <w:szCs w:val="20"/>
        </w:rPr>
        <w:instrText xml:space="preserve"> REF _Ref878862 \h </w:instrText>
      </w:r>
      <w:r w:rsidR="00F3331C">
        <w:rPr>
          <w:rFonts w:cs="Arial"/>
          <w:szCs w:val="20"/>
        </w:rPr>
      </w:r>
      <w:r w:rsidR="00F3331C">
        <w:rPr>
          <w:rFonts w:cs="Arial"/>
          <w:szCs w:val="20"/>
        </w:rPr>
        <w:fldChar w:fldCharType="separate"/>
      </w:r>
      <w:r w:rsidR="006254D6" w:rsidRPr="00571478">
        <w:t>Special Warnings and Precautions for Use</w:t>
      </w:r>
      <w:r w:rsidR="00F3331C">
        <w:rPr>
          <w:rFonts w:cs="Arial"/>
          <w:szCs w:val="20"/>
        </w:rPr>
        <w:fldChar w:fldCharType="end"/>
      </w:r>
      <w:r w:rsidRPr="00D852EC">
        <w:rPr>
          <w:rFonts w:cs="Arial"/>
          <w:szCs w:val="20"/>
        </w:rPr>
        <w:t>).</w:t>
      </w:r>
    </w:p>
    <w:p w14:paraId="71C90FF3" w14:textId="77777777" w:rsidR="00BA10A0" w:rsidRDefault="001B7330" w:rsidP="000A1317">
      <w:pPr>
        <w:rPr>
          <w:rFonts w:cs="Arial"/>
          <w:szCs w:val="20"/>
        </w:rPr>
      </w:pPr>
      <w:r w:rsidRPr="00D852EC">
        <w:rPr>
          <w:rFonts w:cs="Arial"/>
          <w:szCs w:val="20"/>
        </w:rPr>
        <w:t xml:space="preserve">Asymptomatic and reversible increases in platelet counts </w:t>
      </w:r>
      <w:proofErr w:type="gramStart"/>
      <w:r w:rsidRPr="00D852EC">
        <w:rPr>
          <w:rFonts w:cs="Arial"/>
          <w:szCs w:val="20"/>
        </w:rPr>
        <w:t>have been reported</w:t>
      </w:r>
      <w:proofErr w:type="gramEnd"/>
      <w:r w:rsidRPr="00D852EC">
        <w:rPr>
          <w:rFonts w:cs="Arial"/>
          <w:szCs w:val="20"/>
        </w:rPr>
        <w:t>.</w:t>
      </w:r>
    </w:p>
    <w:p w14:paraId="1CD6AD66" w14:textId="1D721F16" w:rsidR="001B7330" w:rsidRDefault="00BA10A0" w:rsidP="000A1317">
      <w:pPr>
        <w:rPr>
          <w:rFonts w:cs="Arial"/>
          <w:szCs w:val="20"/>
        </w:rPr>
      </w:pPr>
      <w:r w:rsidRPr="00BA10A0">
        <w:rPr>
          <w:rFonts w:cs="Arial"/>
          <w:szCs w:val="20"/>
        </w:rPr>
        <w:t xml:space="preserve">Haemorrhagic anaemia and eosinophilia </w:t>
      </w:r>
      <w:proofErr w:type="gramStart"/>
      <w:r w:rsidRPr="00BA10A0">
        <w:rPr>
          <w:rFonts w:cs="Arial"/>
          <w:szCs w:val="20"/>
        </w:rPr>
        <w:t>have also been reported</w:t>
      </w:r>
      <w:proofErr w:type="gramEnd"/>
      <w:r w:rsidRPr="00BA10A0">
        <w:rPr>
          <w:rFonts w:cs="Arial"/>
          <w:szCs w:val="20"/>
        </w:rPr>
        <w:t>.</w:t>
      </w:r>
      <w:r w:rsidR="001B7330" w:rsidRPr="00D852EC">
        <w:rPr>
          <w:rFonts w:cs="Arial"/>
          <w:szCs w:val="20"/>
        </w:rPr>
        <w:t xml:space="preserve"> </w:t>
      </w:r>
    </w:p>
    <w:p w14:paraId="65DE937B" w14:textId="0C9676A7" w:rsidR="0037494C" w:rsidRPr="0037494C" w:rsidRDefault="0037494C" w:rsidP="0037494C">
      <w:pPr>
        <w:pStyle w:val="Heading4"/>
      </w:pPr>
      <w:r w:rsidRPr="0037494C">
        <w:t>Immune System</w:t>
      </w:r>
      <w:r>
        <w:t xml:space="preserve"> </w:t>
      </w:r>
      <w:r w:rsidRPr="0037494C">
        <w:t>Disorders</w:t>
      </w:r>
    </w:p>
    <w:p w14:paraId="7EC30D37" w14:textId="639CDE8D" w:rsidR="0037494C" w:rsidRPr="00D852EC" w:rsidRDefault="0037494C" w:rsidP="0037494C">
      <w:pPr>
        <w:rPr>
          <w:rFonts w:cs="Arial"/>
          <w:szCs w:val="20"/>
        </w:rPr>
      </w:pPr>
      <w:r w:rsidRPr="0037494C">
        <w:rPr>
          <w:rFonts w:cs="Arial"/>
          <w:szCs w:val="20"/>
        </w:rPr>
        <w:t>Anaphylactic/</w:t>
      </w:r>
      <w:proofErr w:type="spellStart"/>
      <w:r w:rsidRPr="0037494C">
        <w:rPr>
          <w:rFonts w:cs="Arial"/>
          <w:szCs w:val="20"/>
        </w:rPr>
        <w:t>anaphylactoid</w:t>
      </w:r>
      <w:proofErr w:type="spellEnd"/>
      <w:r w:rsidRPr="0037494C">
        <w:rPr>
          <w:rFonts w:cs="Arial"/>
          <w:szCs w:val="20"/>
        </w:rPr>
        <w:t xml:space="preserve"> reactions including shock </w:t>
      </w:r>
      <w:proofErr w:type="gramStart"/>
      <w:r w:rsidRPr="0037494C">
        <w:rPr>
          <w:rFonts w:cs="Arial"/>
          <w:szCs w:val="20"/>
        </w:rPr>
        <w:t>have been reported</w:t>
      </w:r>
      <w:proofErr w:type="gramEnd"/>
      <w:r w:rsidRPr="0037494C">
        <w:rPr>
          <w:rFonts w:cs="Arial"/>
          <w:szCs w:val="20"/>
        </w:rPr>
        <w:t>.</w:t>
      </w:r>
    </w:p>
    <w:p w14:paraId="06C7A680" w14:textId="77777777" w:rsidR="0037494C" w:rsidRPr="00D852EC" w:rsidRDefault="0037494C" w:rsidP="0037494C">
      <w:pPr>
        <w:pStyle w:val="Heading4"/>
      </w:pPr>
      <w:r w:rsidRPr="00D852EC">
        <w:t xml:space="preserve">Metabolism Disorders </w:t>
      </w:r>
    </w:p>
    <w:p w14:paraId="344B2D81" w14:textId="77777777" w:rsidR="0037494C" w:rsidRDefault="0037494C" w:rsidP="0037494C">
      <w:pPr>
        <w:rPr>
          <w:rFonts w:cs="Arial"/>
          <w:szCs w:val="20"/>
        </w:rPr>
      </w:pPr>
      <w:r w:rsidRPr="00D852EC">
        <w:rPr>
          <w:rFonts w:cs="Arial"/>
          <w:szCs w:val="20"/>
        </w:rPr>
        <w:t xml:space="preserve">Cases of hyperkalaemia </w:t>
      </w:r>
      <w:proofErr w:type="gramStart"/>
      <w:r w:rsidRPr="00D852EC">
        <w:rPr>
          <w:rFonts w:cs="Arial"/>
          <w:szCs w:val="20"/>
        </w:rPr>
        <w:t>have been reported</w:t>
      </w:r>
      <w:proofErr w:type="gramEnd"/>
      <w:r w:rsidRPr="00D852EC">
        <w:rPr>
          <w:rFonts w:cs="Arial"/>
          <w:szCs w:val="20"/>
        </w:rPr>
        <w:t xml:space="preserve"> with heparins and low molecular weight heparins. Use of low molecular weight heparins over extended periods </w:t>
      </w:r>
      <w:proofErr w:type="gramStart"/>
      <w:r w:rsidRPr="00D852EC">
        <w:rPr>
          <w:rFonts w:cs="Arial"/>
          <w:szCs w:val="20"/>
        </w:rPr>
        <w:t>has been reported</w:t>
      </w:r>
      <w:proofErr w:type="gramEnd"/>
      <w:r w:rsidRPr="00D852EC">
        <w:rPr>
          <w:rFonts w:cs="Arial"/>
          <w:szCs w:val="20"/>
        </w:rPr>
        <w:t xml:space="preserve"> to be associated with development of osteopenia. Very rare cases of </w:t>
      </w:r>
      <w:proofErr w:type="spellStart"/>
      <w:r w:rsidRPr="00D852EC">
        <w:rPr>
          <w:rFonts w:cs="Arial"/>
          <w:szCs w:val="20"/>
        </w:rPr>
        <w:t>hyperlipidemia</w:t>
      </w:r>
      <w:proofErr w:type="spellEnd"/>
      <w:r w:rsidRPr="00D852EC">
        <w:rPr>
          <w:rFonts w:cs="Arial"/>
          <w:szCs w:val="20"/>
        </w:rPr>
        <w:t xml:space="preserve"> </w:t>
      </w:r>
      <w:proofErr w:type="gramStart"/>
      <w:r w:rsidRPr="00D852EC">
        <w:rPr>
          <w:rFonts w:cs="Arial"/>
          <w:szCs w:val="20"/>
        </w:rPr>
        <w:t>have also been reported</w:t>
      </w:r>
      <w:proofErr w:type="gramEnd"/>
      <w:r w:rsidRPr="00D852EC">
        <w:rPr>
          <w:rFonts w:cs="Arial"/>
          <w:szCs w:val="20"/>
        </w:rPr>
        <w:t xml:space="preserve">. </w:t>
      </w:r>
    </w:p>
    <w:p w14:paraId="7798E144" w14:textId="77777777" w:rsidR="0037494C" w:rsidRPr="0037494C" w:rsidRDefault="0037494C" w:rsidP="0037494C">
      <w:pPr>
        <w:pStyle w:val="Heading4"/>
      </w:pPr>
      <w:r w:rsidRPr="0037494C">
        <w:t>Nervous System Disorders</w:t>
      </w:r>
    </w:p>
    <w:p w14:paraId="431D7FC3" w14:textId="3F06E42A" w:rsidR="0037494C" w:rsidRDefault="0037494C" w:rsidP="0037494C">
      <w:pPr>
        <w:rPr>
          <w:rFonts w:cs="Arial"/>
          <w:szCs w:val="20"/>
        </w:rPr>
      </w:pPr>
      <w:r w:rsidRPr="0037494C">
        <w:rPr>
          <w:rFonts w:cs="Arial"/>
          <w:szCs w:val="20"/>
        </w:rPr>
        <w:t xml:space="preserve">Headaches </w:t>
      </w:r>
      <w:proofErr w:type="gramStart"/>
      <w:r w:rsidRPr="0037494C">
        <w:rPr>
          <w:rFonts w:cs="Arial"/>
          <w:szCs w:val="20"/>
        </w:rPr>
        <w:t>have been reported</w:t>
      </w:r>
      <w:proofErr w:type="gramEnd"/>
      <w:r w:rsidRPr="0037494C">
        <w:rPr>
          <w:rFonts w:cs="Arial"/>
          <w:szCs w:val="20"/>
        </w:rPr>
        <w:t>.</w:t>
      </w:r>
    </w:p>
    <w:p w14:paraId="1D602CEC" w14:textId="77777777" w:rsidR="0037494C" w:rsidRPr="0037494C" w:rsidRDefault="0037494C" w:rsidP="0037494C">
      <w:pPr>
        <w:pStyle w:val="Heading4"/>
      </w:pPr>
      <w:r w:rsidRPr="0037494C">
        <w:t>Vascular Disorders</w:t>
      </w:r>
    </w:p>
    <w:p w14:paraId="0DA81C59" w14:textId="63C9DEA8" w:rsidR="0037494C" w:rsidRPr="0037494C" w:rsidRDefault="0037494C" w:rsidP="0037494C">
      <w:pPr>
        <w:rPr>
          <w:rFonts w:cs="Arial"/>
          <w:szCs w:val="20"/>
        </w:rPr>
      </w:pPr>
      <w:r w:rsidRPr="0037494C">
        <w:rPr>
          <w:rFonts w:cs="Arial"/>
          <w:i/>
          <w:szCs w:val="20"/>
        </w:rPr>
        <w:t>Rare:</w:t>
      </w:r>
      <w:r w:rsidRPr="0037494C">
        <w:rPr>
          <w:rFonts w:cs="Arial"/>
          <w:szCs w:val="20"/>
        </w:rPr>
        <w:t xml:space="preserve"> There have been rare reports of spinal or </w:t>
      </w:r>
      <w:proofErr w:type="spellStart"/>
      <w:r w:rsidRPr="0037494C">
        <w:rPr>
          <w:rFonts w:cs="Arial"/>
          <w:szCs w:val="20"/>
        </w:rPr>
        <w:t>neuraxial</w:t>
      </w:r>
      <w:proofErr w:type="spellEnd"/>
      <w:r w:rsidRPr="0037494C">
        <w:rPr>
          <w:rFonts w:cs="Arial"/>
          <w:szCs w:val="20"/>
        </w:rPr>
        <w:t xml:space="preserve"> haematomas with the concurrent use of </w:t>
      </w:r>
      <w:r>
        <w:rPr>
          <w:rFonts w:cs="Arial"/>
          <w:szCs w:val="20"/>
        </w:rPr>
        <w:t>Enoxaparin</w:t>
      </w:r>
      <w:r w:rsidRPr="0037494C">
        <w:rPr>
          <w:rFonts w:cs="Arial"/>
          <w:szCs w:val="20"/>
        </w:rPr>
        <w:t xml:space="preserve"> and spinal/epidural anaesthesia, spinal puncture or post-operative indwelling catheters. These events have resulted in varying degrees of neurologic injuries including long-term or permane</w:t>
      </w:r>
      <w:r>
        <w:rPr>
          <w:rFonts w:cs="Arial"/>
          <w:szCs w:val="20"/>
        </w:rPr>
        <w:t xml:space="preserve">nt paralysis (see </w:t>
      </w:r>
      <w:r w:rsidR="00F3331C">
        <w:rPr>
          <w:rFonts w:cs="Arial"/>
          <w:szCs w:val="20"/>
        </w:rPr>
        <w:t xml:space="preserve">Section </w:t>
      </w:r>
      <w:r w:rsidR="00F3331C">
        <w:rPr>
          <w:rFonts w:cs="Arial"/>
          <w:szCs w:val="20"/>
        </w:rPr>
        <w:fldChar w:fldCharType="begin"/>
      </w:r>
      <w:r w:rsidR="00F3331C">
        <w:rPr>
          <w:rFonts w:cs="Arial"/>
          <w:szCs w:val="20"/>
        </w:rPr>
        <w:instrText xml:space="preserve"> REF _Ref878862 \r \h </w:instrText>
      </w:r>
      <w:r w:rsidR="00F3331C">
        <w:rPr>
          <w:rFonts w:cs="Arial"/>
          <w:szCs w:val="20"/>
        </w:rPr>
      </w:r>
      <w:r w:rsidR="00F3331C">
        <w:rPr>
          <w:rFonts w:cs="Arial"/>
          <w:szCs w:val="20"/>
        </w:rPr>
        <w:fldChar w:fldCharType="separate"/>
      </w:r>
      <w:r w:rsidR="006254D6">
        <w:rPr>
          <w:rFonts w:cs="Arial"/>
          <w:szCs w:val="20"/>
        </w:rPr>
        <w:t>4.4</w:t>
      </w:r>
      <w:r w:rsidR="00F3331C">
        <w:rPr>
          <w:rFonts w:cs="Arial"/>
          <w:szCs w:val="20"/>
        </w:rPr>
        <w:fldChar w:fldCharType="end"/>
      </w:r>
      <w:r w:rsidR="00F3331C">
        <w:rPr>
          <w:rFonts w:cs="Arial"/>
          <w:szCs w:val="20"/>
        </w:rPr>
        <w:t xml:space="preserve"> – </w:t>
      </w:r>
      <w:r w:rsidR="00F3331C">
        <w:rPr>
          <w:rFonts w:cs="Arial"/>
          <w:szCs w:val="20"/>
        </w:rPr>
        <w:fldChar w:fldCharType="begin"/>
      </w:r>
      <w:r w:rsidR="00F3331C">
        <w:rPr>
          <w:rFonts w:cs="Arial"/>
          <w:szCs w:val="20"/>
        </w:rPr>
        <w:instrText xml:space="preserve"> REF _Ref878862 \h </w:instrText>
      </w:r>
      <w:r w:rsidR="00F3331C">
        <w:rPr>
          <w:rFonts w:cs="Arial"/>
          <w:szCs w:val="20"/>
        </w:rPr>
      </w:r>
      <w:r w:rsidR="00F3331C">
        <w:rPr>
          <w:rFonts w:cs="Arial"/>
          <w:szCs w:val="20"/>
        </w:rPr>
        <w:fldChar w:fldCharType="separate"/>
      </w:r>
      <w:r w:rsidR="006254D6" w:rsidRPr="00571478">
        <w:t>Special Warnings and Precautions for Use</w:t>
      </w:r>
      <w:r w:rsidR="00F3331C">
        <w:rPr>
          <w:rFonts w:cs="Arial"/>
          <w:szCs w:val="20"/>
        </w:rPr>
        <w:fldChar w:fldCharType="end"/>
      </w:r>
      <w:r w:rsidRPr="0037494C">
        <w:rPr>
          <w:rFonts w:cs="Arial"/>
          <w:szCs w:val="20"/>
        </w:rPr>
        <w:t>).</w:t>
      </w:r>
    </w:p>
    <w:p w14:paraId="0554482B" w14:textId="77777777" w:rsidR="0037494C" w:rsidRPr="0037494C" w:rsidRDefault="0037494C" w:rsidP="0037494C">
      <w:pPr>
        <w:pStyle w:val="Heading4"/>
      </w:pPr>
      <w:r w:rsidRPr="0037494C">
        <w:t>Hepatobiliary Disorders</w:t>
      </w:r>
    </w:p>
    <w:p w14:paraId="2477DCC5" w14:textId="0D615831" w:rsidR="0037494C" w:rsidRPr="00D852EC" w:rsidRDefault="0037494C" w:rsidP="0037494C">
      <w:pPr>
        <w:rPr>
          <w:rFonts w:cs="Arial"/>
          <w:szCs w:val="20"/>
        </w:rPr>
      </w:pPr>
      <w:r w:rsidRPr="0037494C">
        <w:rPr>
          <w:rFonts w:cs="Arial"/>
          <w:szCs w:val="20"/>
        </w:rPr>
        <w:t xml:space="preserve">Hepatocellular liver injury and </w:t>
      </w:r>
      <w:proofErr w:type="spellStart"/>
      <w:r w:rsidRPr="0037494C">
        <w:rPr>
          <w:rFonts w:cs="Arial"/>
          <w:szCs w:val="20"/>
        </w:rPr>
        <w:t>cholestatic</w:t>
      </w:r>
      <w:proofErr w:type="spellEnd"/>
      <w:r w:rsidRPr="0037494C">
        <w:rPr>
          <w:rFonts w:cs="Arial"/>
          <w:szCs w:val="20"/>
        </w:rPr>
        <w:t xml:space="preserve"> liver injury </w:t>
      </w:r>
      <w:proofErr w:type="gramStart"/>
      <w:r w:rsidRPr="0037494C">
        <w:rPr>
          <w:rFonts w:cs="Arial"/>
          <w:szCs w:val="20"/>
        </w:rPr>
        <w:t>have been reported</w:t>
      </w:r>
      <w:proofErr w:type="gramEnd"/>
      <w:r w:rsidRPr="0037494C">
        <w:rPr>
          <w:rFonts w:cs="Arial"/>
          <w:szCs w:val="20"/>
        </w:rPr>
        <w:t>.</w:t>
      </w:r>
    </w:p>
    <w:p w14:paraId="6C02FF83" w14:textId="15E1339F" w:rsidR="001B7330" w:rsidRPr="00D852EC" w:rsidRDefault="0037494C" w:rsidP="000A1317">
      <w:pPr>
        <w:pStyle w:val="Heading4"/>
      </w:pPr>
      <w:r>
        <w:t>Skin and Subcutaneous Tissue Disorders</w:t>
      </w:r>
    </w:p>
    <w:p w14:paraId="4A1143D1" w14:textId="77777777" w:rsidR="001B7330" w:rsidRPr="00D852EC" w:rsidRDefault="001B7330" w:rsidP="000A1317">
      <w:pPr>
        <w:rPr>
          <w:rFonts w:cs="Arial"/>
          <w:szCs w:val="20"/>
        </w:rPr>
      </w:pPr>
      <w:r w:rsidRPr="0037494C">
        <w:rPr>
          <w:rFonts w:cs="Arial"/>
          <w:i/>
          <w:iCs/>
          <w:szCs w:val="20"/>
        </w:rPr>
        <w:t>Rare:</w:t>
      </w:r>
      <w:r w:rsidRPr="00D852EC">
        <w:rPr>
          <w:rFonts w:cs="Arial"/>
          <w:iCs/>
          <w:szCs w:val="20"/>
        </w:rPr>
        <w:t xml:space="preserve"> </w:t>
      </w:r>
      <w:r w:rsidRPr="00D852EC">
        <w:rPr>
          <w:rFonts w:cs="Arial"/>
          <w:szCs w:val="20"/>
        </w:rPr>
        <w:t xml:space="preserve">Cutaneous (bullous) or systemic allergic reactions (such as pruritus, rash and </w:t>
      </w:r>
      <w:proofErr w:type="spellStart"/>
      <w:r w:rsidRPr="00D852EC">
        <w:rPr>
          <w:rFonts w:cs="Arial"/>
          <w:szCs w:val="20"/>
        </w:rPr>
        <w:t>urticaria</w:t>
      </w:r>
      <w:proofErr w:type="spellEnd"/>
      <w:r w:rsidRPr="00D852EC">
        <w:rPr>
          <w:rFonts w:cs="Arial"/>
          <w:szCs w:val="20"/>
        </w:rPr>
        <w:t>), including anaphylactic/</w:t>
      </w:r>
      <w:proofErr w:type="spellStart"/>
      <w:r w:rsidRPr="00D852EC">
        <w:rPr>
          <w:rFonts w:cs="Arial"/>
          <w:szCs w:val="20"/>
        </w:rPr>
        <w:t>anaphylactoid</w:t>
      </w:r>
      <w:proofErr w:type="spellEnd"/>
      <w:r w:rsidRPr="00D852EC">
        <w:rPr>
          <w:rFonts w:cs="Arial"/>
          <w:szCs w:val="20"/>
        </w:rPr>
        <w:t xml:space="preserve"> reactions, may occur. In some </w:t>
      </w:r>
      <w:proofErr w:type="gramStart"/>
      <w:r w:rsidRPr="00D852EC">
        <w:rPr>
          <w:rFonts w:cs="Arial"/>
          <w:szCs w:val="20"/>
        </w:rPr>
        <w:t>cases</w:t>
      </w:r>
      <w:proofErr w:type="gramEnd"/>
      <w:r w:rsidRPr="00D852EC">
        <w:rPr>
          <w:rFonts w:cs="Arial"/>
          <w:szCs w:val="20"/>
        </w:rPr>
        <w:t xml:space="preserve"> discontinuation of the treatment may be necessary.</w:t>
      </w:r>
    </w:p>
    <w:p w14:paraId="78E52F46" w14:textId="0FB9CD32" w:rsidR="005D430D" w:rsidRDefault="001B7330" w:rsidP="000A1317">
      <w:pPr>
        <w:rPr>
          <w:rFonts w:cs="Arial"/>
          <w:szCs w:val="20"/>
        </w:rPr>
      </w:pPr>
      <w:r w:rsidRPr="00D852EC">
        <w:rPr>
          <w:rFonts w:cs="Arial"/>
          <w:szCs w:val="20"/>
        </w:rPr>
        <w:t xml:space="preserve">Cases of hypersensitivity cutaneous vasculitis </w:t>
      </w:r>
      <w:proofErr w:type="gramStart"/>
      <w:r w:rsidRPr="00D852EC">
        <w:rPr>
          <w:rFonts w:cs="Arial"/>
          <w:szCs w:val="20"/>
        </w:rPr>
        <w:t xml:space="preserve">have </w:t>
      </w:r>
      <w:r w:rsidR="006727DE">
        <w:rPr>
          <w:rFonts w:cs="Arial"/>
          <w:szCs w:val="20"/>
        </w:rPr>
        <w:t>been reported</w:t>
      </w:r>
      <w:proofErr w:type="gramEnd"/>
      <w:r w:rsidR="006727DE">
        <w:rPr>
          <w:rFonts w:cs="Arial"/>
          <w:szCs w:val="20"/>
        </w:rPr>
        <w:t xml:space="preserve">. </w:t>
      </w:r>
    </w:p>
    <w:p w14:paraId="05435000" w14:textId="4008F021" w:rsidR="0037494C" w:rsidRDefault="0037494C" w:rsidP="000A1317">
      <w:pPr>
        <w:rPr>
          <w:rFonts w:cs="Arial"/>
          <w:szCs w:val="20"/>
        </w:rPr>
      </w:pPr>
      <w:r>
        <w:rPr>
          <w:rFonts w:cs="Arial"/>
          <w:szCs w:val="20"/>
        </w:rPr>
        <w:t xml:space="preserve">Alopecia </w:t>
      </w:r>
      <w:proofErr w:type="gramStart"/>
      <w:r>
        <w:rPr>
          <w:rFonts w:cs="Arial"/>
          <w:szCs w:val="20"/>
        </w:rPr>
        <w:t>has also been reported</w:t>
      </w:r>
      <w:proofErr w:type="gramEnd"/>
      <w:r>
        <w:rPr>
          <w:rFonts w:cs="Arial"/>
          <w:szCs w:val="20"/>
        </w:rPr>
        <w:t>.</w:t>
      </w:r>
    </w:p>
    <w:p w14:paraId="31F104E5" w14:textId="30B96611" w:rsidR="00BA10A0" w:rsidRDefault="00BA10A0" w:rsidP="00BA10A0">
      <w:pPr>
        <w:pStyle w:val="Heading4"/>
      </w:pPr>
      <w:r>
        <w:t>Musculoskeletal and Connective Tissue Disorders</w:t>
      </w:r>
    </w:p>
    <w:p w14:paraId="538D6388" w14:textId="2817B8CD" w:rsidR="00BA10A0" w:rsidRPr="00BA10A0" w:rsidRDefault="00BA10A0" w:rsidP="00BA10A0">
      <w:r w:rsidRPr="00BA10A0">
        <w:t xml:space="preserve">Osteoporosis following long-term therapy (greater than 3 months) </w:t>
      </w:r>
      <w:proofErr w:type="gramStart"/>
      <w:r w:rsidRPr="00BA10A0">
        <w:t>has been reported</w:t>
      </w:r>
      <w:proofErr w:type="gramEnd"/>
      <w:r w:rsidRPr="00BA10A0">
        <w:t>.</w:t>
      </w:r>
    </w:p>
    <w:p w14:paraId="0BF301E4" w14:textId="7B860817" w:rsidR="0037494C" w:rsidRPr="00D852EC" w:rsidRDefault="0037494C" w:rsidP="0037494C">
      <w:pPr>
        <w:pStyle w:val="Heading4"/>
      </w:pPr>
      <w:r>
        <w:lastRenderedPageBreak/>
        <w:t>General Disorders and Administration Site Conditions</w:t>
      </w:r>
    </w:p>
    <w:p w14:paraId="049C3FCE" w14:textId="77777777" w:rsidR="0037494C" w:rsidRPr="00D852EC" w:rsidRDefault="0037494C" w:rsidP="0037494C">
      <w:pPr>
        <w:rPr>
          <w:rFonts w:cs="Arial"/>
          <w:bCs/>
          <w:szCs w:val="20"/>
        </w:rPr>
      </w:pPr>
      <w:r w:rsidRPr="0037494C">
        <w:rPr>
          <w:rFonts w:cs="Arial"/>
          <w:i/>
          <w:iCs/>
          <w:szCs w:val="20"/>
        </w:rPr>
        <w:t>Very rare:</w:t>
      </w:r>
      <w:r w:rsidRPr="00D852EC">
        <w:rPr>
          <w:rFonts w:cs="Arial"/>
          <w:iCs/>
          <w:szCs w:val="20"/>
        </w:rPr>
        <w:t xml:space="preserve"> </w:t>
      </w:r>
      <w:r w:rsidRPr="00D852EC">
        <w:rPr>
          <w:rFonts w:cs="Arial"/>
          <w:szCs w:val="20"/>
        </w:rPr>
        <w:t>Pain, haematoma and mild local irritation may follow the subcutaneous injection of Enoxaparin</w:t>
      </w:r>
      <w:r w:rsidRPr="00D852EC">
        <w:rPr>
          <w:rFonts w:cs="Arial"/>
          <w:bCs/>
          <w:szCs w:val="20"/>
        </w:rPr>
        <w:t>.</w:t>
      </w:r>
    </w:p>
    <w:p w14:paraId="7948693F" w14:textId="77777777" w:rsidR="0037494C" w:rsidRPr="00D852EC" w:rsidRDefault="0037494C" w:rsidP="0037494C">
      <w:pPr>
        <w:rPr>
          <w:rFonts w:cs="Arial"/>
          <w:szCs w:val="20"/>
        </w:rPr>
      </w:pPr>
      <w:r w:rsidRPr="00D852EC">
        <w:rPr>
          <w:rFonts w:cs="Arial"/>
          <w:szCs w:val="20"/>
        </w:rPr>
        <w:t xml:space="preserve">Hard inflammatory nodules, which are not cystic enclosures of Enoxaparin, </w:t>
      </w:r>
      <w:proofErr w:type="gramStart"/>
      <w:r w:rsidRPr="00D852EC">
        <w:rPr>
          <w:rFonts w:cs="Arial"/>
          <w:szCs w:val="20"/>
        </w:rPr>
        <w:t>have been observed</w:t>
      </w:r>
      <w:proofErr w:type="gramEnd"/>
      <w:r w:rsidRPr="00D852EC">
        <w:rPr>
          <w:rFonts w:cs="Arial"/>
          <w:szCs w:val="20"/>
        </w:rPr>
        <w:t xml:space="preserve"> at the injection site. They resolve after a few days and should not cause treatment discontinuation.</w:t>
      </w:r>
    </w:p>
    <w:p w14:paraId="69FA848E" w14:textId="77777777" w:rsidR="0037494C" w:rsidRPr="00D852EC" w:rsidRDefault="0037494C" w:rsidP="0037494C">
      <w:pPr>
        <w:rPr>
          <w:rFonts w:cs="Arial"/>
          <w:szCs w:val="20"/>
        </w:rPr>
      </w:pPr>
      <w:r w:rsidRPr="00D852EC">
        <w:rPr>
          <w:rFonts w:cs="Arial"/>
          <w:szCs w:val="20"/>
        </w:rPr>
        <w:t xml:space="preserve">Rare cases of skin necrosis, usually occurring at the injection site, </w:t>
      </w:r>
      <w:proofErr w:type="gramStart"/>
      <w:r w:rsidRPr="00D852EC">
        <w:rPr>
          <w:rFonts w:cs="Arial"/>
          <w:szCs w:val="20"/>
        </w:rPr>
        <w:t>have been reported</w:t>
      </w:r>
      <w:proofErr w:type="gramEnd"/>
      <w:r w:rsidRPr="00D852EC">
        <w:rPr>
          <w:rFonts w:cs="Arial"/>
          <w:szCs w:val="20"/>
        </w:rPr>
        <w:t xml:space="preserve"> with both unfractionated and low molecular weight heparins. </w:t>
      </w:r>
      <w:proofErr w:type="gramStart"/>
      <w:r w:rsidRPr="00D852EC">
        <w:rPr>
          <w:rFonts w:cs="Arial"/>
          <w:szCs w:val="20"/>
        </w:rPr>
        <w:t>These phenomena are usually preceded by purpura or erythematous plaques, infiltrated and painful</w:t>
      </w:r>
      <w:proofErr w:type="gramEnd"/>
      <w:r w:rsidRPr="00D852EC">
        <w:rPr>
          <w:rFonts w:cs="Arial"/>
          <w:szCs w:val="20"/>
        </w:rPr>
        <w:t xml:space="preserve">. Treatment </w:t>
      </w:r>
      <w:proofErr w:type="gramStart"/>
      <w:r w:rsidRPr="00D852EC">
        <w:rPr>
          <w:rFonts w:cs="Arial"/>
          <w:szCs w:val="20"/>
        </w:rPr>
        <w:t>must be discontinued</w:t>
      </w:r>
      <w:proofErr w:type="gramEnd"/>
      <w:r w:rsidRPr="00D852EC">
        <w:rPr>
          <w:rFonts w:cs="Arial"/>
          <w:szCs w:val="20"/>
        </w:rPr>
        <w:t xml:space="preserve"> immediately.</w:t>
      </w:r>
    </w:p>
    <w:p w14:paraId="2B49147F" w14:textId="5196A106" w:rsidR="003B712D" w:rsidRPr="00571478" w:rsidRDefault="003B712D" w:rsidP="000A1317">
      <w:pPr>
        <w:pStyle w:val="Heading3"/>
      </w:pPr>
      <w:bookmarkStart w:id="16" w:name="_Hlk509308448"/>
      <w:r w:rsidRPr="00571478">
        <w:t xml:space="preserve">Reporting </w:t>
      </w:r>
      <w:r w:rsidR="004B21DF" w:rsidRPr="00571478">
        <w:t>Suspected Adverse Effects</w:t>
      </w:r>
    </w:p>
    <w:bookmarkEnd w:id="16"/>
    <w:p w14:paraId="40B9EBE4" w14:textId="69F35C20" w:rsidR="00F9301D" w:rsidRPr="00571478" w:rsidRDefault="00AA0EFB" w:rsidP="00FB45F5">
      <w:pPr>
        <w:spacing w:after="360"/>
        <w:rPr>
          <w:rFonts w:cs="Arial"/>
        </w:rPr>
      </w:pPr>
      <w:r w:rsidRPr="00571478">
        <w:rPr>
          <w:rFonts w:cs="Arial"/>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823BCD" w:rsidRPr="00824AB6">
        <w:rPr>
          <w:rFonts w:cs="Arial"/>
        </w:rPr>
        <w:t>http://www.tga.gov.au/reporting-problems</w:t>
      </w:r>
      <w:r w:rsidR="00823BCD" w:rsidRPr="00571478">
        <w:rPr>
          <w:rFonts w:cs="Arial"/>
        </w:rPr>
        <w:t xml:space="preserve"> </w:t>
      </w:r>
      <w:bookmarkStart w:id="17" w:name="_Hlk509309373"/>
      <w:r w:rsidR="00B8510A" w:rsidRPr="00571478">
        <w:rPr>
          <w:rFonts w:cs="Arial"/>
        </w:rPr>
        <w:t>and</w:t>
      </w:r>
      <w:r w:rsidR="00823BCD" w:rsidRPr="00571478">
        <w:rPr>
          <w:rFonts w:cs="Arial"/>
        </w:rPr>
        <w:t xml:space="preserve"> </w:t>
      </w:r>
      <w:proofErr w:type="gramStart"/>
      <w:r w:rsidR="00663D0C">
        <w:rPr>
          <w:rFonts w:cs="Arial"/>
        </w:rPr>
        <w:t>to also</w:t>
      </w:r>
      <w:proofErr w:type="gramEnd"/>
      <w:r w:rsidR="00663D0C">
        <w:rPr>
          <w:rFonts w:cs="Arial"/>
        </w:rPr>
        <w:t xml:space="preserve"> </w:t>
      </w:r>
      <w:r w:rsidR="00823BCD" w:rsidRPr="00571478">
        <w:rPr>
          <w:rFonts w:cs="Arial"/>
        </w:rPr>
        <w:t>cont</w:t>
      </w:r>
      <w:r w:rsidR="00971809" w:rsidRPr="00571478">
        <w:rPr>
          <w:rFonts w:cs="Arial"/>
        </w:rPr>
        <w:t xml:space="preserve">act </w:t>
      </w:r>
      <w:proofErr w:type="spellStart"/>
      <w:r w:rsidR="00971809" w:rsidRPr="00571478">
        <w:rPr>
          <w:rFonts w:cs="Arial"/>
        </w:rPr>
        <w:t>Apotex</w:t>
      </w:r>
      <w:proofErr w:type="spellEnd"/>
      <w:r w:rsidR="00971809" w:rsidRPr="00571478">
        <w:rPr>
          <w:rFonts w:cs="Arial"/>
        </w:rPr>
        <w:t xml:space="preserve"> Medical Information E</w:t>
      </w:r>
      <w:r w:rsidR="00823BCD" w:rsidRPr="00571478">
        <w:rPr>
          <w:rFonts w:cs="Arial"/>
        </w:rPr>
        <w:t>nquiries/Adverse Drug Reaction Reporting on 1800 195 055.</w:t>
      </w:r>
      <w:bookmarkEnd w:id="17"/>
    </w:p>
    <w:p w14:paraId="5B2499E2" w14:textId="77777777" w:rsidR="001A3992" w:rsidRPr="00571478" w:rsidRDefault="001A3992" w:rsidP="000A1317">
      <w:pPr>
        <w:pStyle w:val="Heading2"/>
      </w:pPr>
      <w:r w:rsidRPr="00571478">
        <w:t>Overdose</w:t>
      </w:r>
    </w:p>
    <w:p w14:paraId="0E755FA0" w14:textId="77777777" w:rsidR="00BD7413" w:rsidRPr="00D852EC" w:rsidRDefault="00BD7413" w:rsidP="000A1317">
      <w:pPr>
        <w:rPr>
          <w:rFonts w:cs="Arial"/>
          <w:szCs w:val="20"/>
        </w:rPr>
      </w:pPr>
      <w:r w:rsidRPr="00D852EC">
        <w:rPr>
          <w:rFonts w:cs="Arial"/>
          <w:szCs w:val="20"/>
        </w:rPr>
        <w:t xml:space="preserve">Oral ingestion of Enoxaparin (no reported cases) should lead to no serious consequences, taking into account the very low gastric and intestinal absorption of the product. This </w:t>
      </w:r>
      <w:proofErr w:type="gramStart"/>
      <w:r w:rsidRPr="00D852EC">
        <w:rPr>
          <w:rFonts w:cs="Arial"/>
          <w:szCs w:val="20"/>
        </w:rPr>
        <w:t>may be checked</w:t>
      </w:r>
      <w:proofErr w:type="gramEnd"/>
      <w:r w:rsidRPr="00D852EC">
        <w:rPr>
          <w:rFonts w:cs="Arial"/>
          <w:szCs w:val="20"/>
        </w:rPr>
        <w:t xml:space="preserve"> by carrying out a plasma assay of the anti-</w:t>
      </w:r>
      <w:proofErr w:type="spellStart"/>
      <w:r w:rsidRPr="00D852EC">
        <w:rPr>
          <w:rFonts w:cs="Arial"/>
          <w:szCs w:val="20"/>
        </w:rPr>
        <w:t>Xa</w:t>
      </w:r>
      <w:proofErr w:type="spellEnd"/>
      <w:r w:rsidRPr="00D852EC">
        <w:rPr>
          <w:rFonts w:cs="Arial"/>
          <w:szCs w:val="20"/>
        </w:rPr>
        <w:t xml:space="preserve"> and anti-</w:t>
      </w:r>
      <w:proofErr w:type="spellStart"/>
      <w:r w:rsidRPr="00D852EC">
        <w:rPr>
          <w:rFonts w:cs="Arial"/>
          <w:szCs w:val="20"/>
        </w:rPr>
        <w:t>Ila</w:t>
      </w:r>
      <w:proofErr w:type="spellEnd"/>
      <w:r w:rsidRPr="00D852EC">
        <w:rPr>
          <w:rFonts w:cs="Arial"/>
          <w:szCs w:val="20"/>
        </w:rPr>
        <w:t xml:space="preserve"> activities.</w:t>
      </w:r>
    </w:p>
    <w:p w14:paraId="4C246D78" w14:textId="2789F084" w:rsidR="00BD7413" w:rsidRDefault="00BD7413" w:rsidP="000A1317">
      <w:pPr>
        <w:rPr>
          <w:rFonts w:cs="Arial"/>
          <w:szCs w:val="20"/>
        </w:rPr>
      </w:pPr>
      <w:r w:rsidRPr="00D852EC">
        <w:rPr>
          <w:rFonts w:cs="Arial"/>
          <w:szCs w:val="20"/>
        </w:rPr>
        <w:t xml:space="preserve">Accidental </w:t>
      </w:r>
      <w:proofErr w:type="spellStart"/>
      <w:r w:rsidRPr="00D852EC">
        <w:rPr>
          <w:rFonts w:cs="Arial"/>
          <w:szCs w:val="20"/>
        </w:rPr>
        <w:t>overdosage</w:t>
      </w:r>
      <w:proofErr w:type="spellEnd"/>
      <w:r w:rsidRPr="00D852EC">
        <w:rPr>
          <w:rFonts w:cs="Arial"/>
          <w:szCs w:val="20"/>
        </w:rPr>
        <w:t xml:space="preserve"> after intravenous, extracorporeal or subcutaneous administration of massive doses of Enoxaparin may lead to haemorrhagic complications through anti-coagulant activity. </w:t>
      </w:r>
      <w:r w:rsidR="004B21DF" w:rsidRPr="004B21DF">
        <w:rPr>
          <w:rFonts w:cs="Arial"/>
          <w:szCs w:val="20"/>
        </w:rPr>
        <w:t xml:space="preserve">This may be largely neutralised by the slow intravenous infusion of protamine. Particular care should be taken to avoid </w:t>
      </w:r>
      <w:proofErr w:type="spellStart"/>
      <w:r w:rsidR="004B21DF" w:rsidRPr="004B21DF">
        <w:rPr>
          <w:rFonts w:cs="Arial"/>
          <w:szCs w:val="20"/>
        </w:rPr>
        <w:t>overdosage</w:t>
      </w:r>
      <w:proofErr w:type="spellEnd"/>
      <w:r w:rsidR="004B21DF" w:rsidRPr="004B21DF">
        <w:rPr>
          <w:rFonts w:cs="Arial"/>
          <w:szCs w:val="20"/>
        </w:rPr>
        <w:t xml:space="preserve"> with protamine, as even with high doses of protamine, the anti-</w:t>
      </w:r>
      <w:proofErr w:type="spellStart"/>
      <w:r w:rsidR="004B21DF" w:rsidRPr="004B21DF">
        <w:rPr>
          <w:rFonts w:cs="Arial"/>
          <w:szCs w:val="20"/>
        </w:rPr>
        <w:t>Xa</w:t>
      </w:r>
      <w:proofErr w:type="spellEnd"/>
      <w:r w:rsidR="004B21DF" w:rsidRPr="004B21DF">
        <w:rPr>
          <w:rFonts w:cs="Arial"/>
          <w:szCs w:val="20"/>
        </w:rPr>
        <w:t xml:space="preserve"> activity of </w:t>
      </w:r>
      <w:r w:rsidR="004B21DF">
        <w:rPr>
          <w:rFonts w:cs="Arial"/>
          <w:szCs w:val="20"/>
        </w:rPr>
        <w:t>Enoxaparin</w:t>
      </w:r>
      <w:r w:rsidR="004B21DF" w:rsidRPr="004B21DF">
        <w:rPr>
          <w:rFonts w:cs="Arial"/>
          <w:szCs w:val="20"/>
        </w:rPr>
        <w:t xml:space="preserve"> is never completely neutralised (maximum reversal of 60%), even though the anti-coagu</w:t>
      </w:r>
      <w:r w:rsidR="004B21DF">
        <w:rPr>
          <w:rFonts w:cs="Arial"/>
          <w:szCs w:val="20"/>
        </w:rPr>
        <w:t>lant activity is neutralised (s</w:t>
      </w:r>
      <w:r w:rsidR="004B21DF" w:rsidRPr="004B21DF">
        <w:rPr>
          <w:rFonts w:cs="Arial"/>
          <w:szCs w:val="20"/>
        </w:rPr>
        <w:t>ee the prescribing information for protamine salts).</w:t>
      </w:r>
    </w:p>
    <w:p w14:paraId="3A843104" w14:textId="12EB61F8" w:rsidR="00BD7413" w:rsidRPr="006041D3" w:rsidRDefault="00BD7413" w:rsidP="000A1317">
      <w:pPr>
        <w:rPr>
          <w:rFonts w:cs="Arial"/>
          <w:szCs w:val="20"/>
        </w:rPr>
      </w:pPr>
      <w:r w:rsidRPr="00D852EC">
        <w:rPr>
          <w:rFonts w:cs="Arial"/>
          <w:szCs w:val="20"/>
        </w:rPr>
        <w:t xml:space="preserve">The dose of protamine depends on the dose of Enoxaparin injected. If Enoxaparin was administered in the previous 8 hours, 1 mg or 100 anti-heparin units </w:t>
      </w:r>
      <w:proofErr w:type="gramStart"/>
      <w:r w:rsidRPr="00D852EC">
        <w:rPr>
          <w:rFonts w:cs="Arial"/>
          <w:szCs w:val="20"/>
        </w:rPr>
        <w:t>of</w:t>
      </w:r>
      <w:proofErr w:type="gramEnd"/>
      <w:r w:rsidRPr="00D852EC">
        <w:rPr>
          <w:rFonts w:cs="Arial"/>
          <w:szCs w:val="20"/>
        </w:rPr>
        <w:t xml:space="preserve"> protamine neutralises the anti-</w:t>
      </w:r>
      <w:proofErr w:type="spellStart"/>
      <w:r w:rsidRPr="00D852EC">
        <w:rPr>
          <w:rFonts w:cs="Arial"/>
          <w:szCs w:val="20"/>
        </w:rPr>
        <w:t>Ila</w:t>
      </w:r>
      <w:proofErr w:type="spellEnd"/>
      <w:r w:rsidRPr="00D852EC">
        <w:rPr>
          <w:rFonts w:cs="Arial"/>
          <w:szCs w:val="20"/>
        </w:rPr>
        <w:t xml:space="preserve"> activity generated by 1 mg (100 IU anti-</w:t>
      </w:r>
      <w:proofErr w:type="spellStart"/>
      <w:r w:rsidRPr="00D852EC">
        <w:rPr>
          <w:rFonts w:cs="Arial"/>
          <w:szCs w:val="20"/>
        </w:rPr>
        <w:t>Xa</w:t>
      </w:r>
      <w:proofErr w:type="spellEnd"/>
      <w:r w:rsidRPr="00D852EC">
        <w:rPr>
          <w:rFonts w:cs="Arial"/>
          <w:szCs w:val="20"/>
        </w:rPr>
        <w:t xml:space="preserve"> activity) of Enoxaparin. An infusion of 0.5 mg protamine per 1 mg of Enoxaparin may be administered if Enoxaparin was administered greater than 8 hours previously, or if it has been determined that a second dose of protamine is required. Protamine administration may not be required 12 hours after the Enoxaparin injection. However, depending on the clinical circumstances, e</w:t>
      </w:r>
      <w:r w:rsidR="007A7AE2">
        <w:rPr>
          <w:rFonts w:cs="Arial"/>
          <w:szCs w:val="20"/>
        </w:rPr>
        <w:t>.</w:t>
      </w:r>
      <w:r w:rsidRPr="00D852EC">
        <w:rPr>
          <w:rFonts w:cs="Arial"/>
          <w:szCs w:val="20"/>
        </w:rPr>
        <w:t>g</w:t>
      </w:r>
      <w:r w:rsidR="007A7AE2">
        <w:rPr>
          <w:rFonts w:cs="Arial"/>
          <w:szCs w:val="20"/>
        </w:rPr>
        <w:t>.</w:t>
      </w:r>
      <w:r w:rsidRPr="00D852EC">
        <w:rPr>
          <w:rFonts w:cs="Arial"/>
          <w:szCs w:val="20"/>
        </w:rPr>
        <w:t xml:space="preserve"> the size of the dose of Enoxaparin, whether or not a therapeutic level of anticoagulation needs to </w:t>
      </w:r>
      <w:proofErr w:type="gramStart"/>
      <w:r w:rsidRPr="00D852EC">
        <w:rPr>
          <w:rFonts w:cs="Arial"/>
          <w:szCs w:val="20"/>
        </w:rPr>
        <w:t>be retained</w:t>
      </w:r>
      <w:proofErr w:type="gramEnd"/>
      <w:r w:rsidRPr="00D852EC">
        <w:rPr>
          <w:rFonts w:cs="Arial"/>
          <w:szCs w:val="20"/>
        </w:rPr>
        <w:t xml:space="preserve"> and whether or not the patient is</w:t>
      </w:r>
      <w:r w:rsidRPr="006041D3">
        <w:rPr>
          <w:rFonts w:cs="Arial"/>
          <w:szCs w:val="20"/>
        </w:rPr>
        <w:t xml:space="preserve"> actively bleeding, the administration of a reduced dose of protamine may not be advisable.</w:t>
      </w:r>
    </w:p>
    <w:p w14:paraId="6096DD76" w14:textId="701B3BA6" w:rsidR="00BD7413" w:rsidRPr="007A7AE2" w:rsidRDefault="007A7AE2" w:rsidP="00FB45F5">
      <w:pPr>
        <w:spacing w:after="360"/>
        <w:rPr>
          <w:rFonts w:cs="Arial"/>
        </w:rPr>
      </w:pPr>
      <w:r w:rsidRPr="007A7AE2">
        <w:rPr>
          <w:rFonts w:cs="Arial"/>
        </w:rPr>
        <w:t>For general advice on overdose management, contact the Poisons Information Centre, telephone number 13 11 26 (Australia)</w:t>
      </w:r>
      <w:r w:rsidR="0079703B" w:rsidRPr="007A7AE2">
        <w:rPr>
          <w:rFonts w:cs="Arial"/>
        </w:rPr>
        <w:t>.</w:t>
      </w:r>
    </w:p>
    <w:p w14:paraId="26305FF9" w14:textId="390A18D2" w:rsidR="001A3992" w:rsidRPr="00571478" w:rsidRDefault="001A3992" w:rsidP="000A1317">
      <w:pPr>
        <w:pStyle w:val="Heading1"/>
      </w:pPr>
      <w:r w:rsidRPr="00571478">
        <w:lastRenderedPageBreak/>
        <w:t xml:space="preserve">Pharmacological </w:t>
      </w:r>
      <w:r w:rsidR="00300792" w:rsidRPr="00571478">
        <w:rPr>
          <w:caps w:val="0"/>
        </w:rPr>
        <w:t>P</w:t>
      </w:r>
      <w:r w:rsidRPr="00571478">
        <w:t>roperties</w:t>
      </w:r>
    </w:p>
    <w:p w14:paraId="28DEAA60" w14:textId="330404C1" w:rsidR="001A3992" w:rsidRPr="00571478" w:rsidRDefault="001A3992" w:rsidP="000A1317">
      <w:pPr>
        <w:pStyle w:val="Heading2"/>
      </w:pPr>
      <w:bookmarkStart w:id="18" w:name="_Ref5877805"/>
      <w:r w:rsidRPr="00571478">
        <w:t xml:space="preserve">Pharmacodynamic </w:t>
      </w:r>
      <w:r w:rsidR="00300792" w:rsidRPr="00571478">
        <w:rPr>
          <w:caps w:val="0"/>
        </w:rPr>
        <w:t>P</w:t>
      </w:r>
      <w:r w:rsidRPr="00571478">
        <w:t>roperties</w:t>
      </w:r>
      <w:bookmarkEnd w:id="18"/>
      <w:r w:rsidRPr="00571478">
        <w:t xml:space="preserve"> </w:t>
      </w:r>
    </w:p>
    <w:p w14:paraId="7F4CFE47" w14:textId="77777777" w:rsidR="006852AC" w:rsidRDefault="007A7AE2" w:rsidP="007A7AE2">
      <w:proofErr w:type="spellStart"/>
      <w:r w:rsidRPr="007A7AE2">
        <w:t>Pharmacotherapeutic</w:t>
      </w:r>
      <w:proofErr w:type="spellEnd"/>
      <w:r w:rsidRPr="007A7AE2">
        <w:t xml:space="preserve"> Group: Antithrombotic agent, heparin group</w:t>
      </w:r>
    </w:p>
    <w:p w14:paraId="6CB078FB" w14:textId="2EC44019" w:rsidR="007A7AE2" w:rsidRPr="007A7AE2" w:rsidRDefault="007A7AE2" w:rsidP="007A7AE2">
      <w:r w:rsidRPr="007A7AE2">
        <w:t xml:space="preserve">ATC </w:t>
      </w:r>
      <w:r w:rsidR="006852AC" w:rsidRPr="007A7AE2">
        <w:t>Code</w:t>
      </w:r>
      <w:r w:rsidRPr="007A7AE2">
        <w:t xml:space="preserve">: B01A B05 </w:t>
      </w:r>
    </w:p>
    <w:p w14:paraId="491E2DAB" w14:textId="07CF521C" w:rsidR="007A7AE2" w:rsidRPr="007A7AE2" w:rsidRDefault="007A7AE2" w:rsidP="007A7AE2">
      <w:r w:rsidRPr="007A7AE2">
        <w:t>Enoxaparin sodium is a low molecular weight heparin (MW approx. 4</w:t>
      </w:r>
      <w:r w:rsidR="00557C83">
        <w:t>,</w:t>
      </w:r>
      <w:r w:rsidRPr="007A7AE2">
        <w:t>500 D</w:t>
      </w:r>
      <w:r w:rsidR="00F248F8">
        <w:t>a, ranging between 4,100 Da – 4,600 Da</w:t>
      </w:r>
      <w:r w:rsidRPr="007A7AE2">
        <w:t xml:space="preserve">). The drug substance is the sodium salt. The molecular weight distribution is: </w:t>
      </w:r>
    </w:p>
    <w:p w14:paraId="25CAD5F6" w14:textId="60D88C30" w:rsidR="007A7AE2" w:rsidRPr="007A7AE2" w:rsidRDefault="007A7AE2" w:rsidP="007A7AE2">
      <w:r w:rsidRPr="007A7AE2">
        <w:t>&lt;2</w:t>
      </w:r>
      <w:r>
        <w:t>,</w:t>
      </w:r>
      <w:r w:rsidRPr="007A7AE2">
        <w:t xml:space="preserve">000 </w:t>
      </w:r>
      <w:r w:rsidR="00F248F8">
        <w:t>Da</w:t>
      </w:r>
      <w:r w:rsidR="00F248F8" w:rsidRPr="007A7AE2">
        <w:t xml:space="preserve"> </w:t>
      </w:r>
      <w:r w:rsidRPr="007A7AE2">
        <w:t xml:space="preserve">12 to 20% </w:t>
      </w:r>
    </w:p>
    <w:p w14:paraId="717EF3DD" w14:textId="6E870578" w:rsidR="007A7AE2" w:rsidRPr="007A7AE2" w:rsidRDefault="007A7AE2" w:rsidP="007A7AE2">
      <w:r w:rsidRPr="007A7AE2">
        <w:t>2</w:t>
      </w:r>
      <w:r>
        <w:t>,</w:t>
      </w:r>
      <w:r w:rsidRPr="007A7AE2">
        <w:t>000 to 8</w:t>
      </w:r>
      <w:r>
        <w:t>,</w:t>
      </w:r>
      <w:r w:rsidRPr="007A7AE2">
        <w:t xml:space="preserve">000 </w:t>
      </w:r>
      <w:r w:rsidR="00F248F8">
        <w:t>Da</w:t>
      </w:r>
      <w:r w:rsidR="00F248F8" w:rsidRPr="007A7AE2">
        <w:t xml:space="preserve"> </w:t>
      </w:r>
      <w:r w:rsidRPr="007A7AE2">
        <w:t xml:space="preserve">68 to 82% </w:t>
      </w:r>
    </w:p>
    <w:p w14:paraId="2E5E59A6" w14:textId="740A4DF2" w:rsidR="007A7AE2" w:rsidRPr="007A7AE2" w:rsidRDefault="007A7AE2" w:rsidP="007A7AE2">
      <w:r w:rsidRPr="007A7AE2">
        <w:t>&gt;8</w:t>
      </w:r>
      <w:r>
        <w:t>,</w:t>
      </w:r>
      <w:r w:rsidRPr="007A7AE2">
        <w:t xml:space="preserve">000 </w:t>
      </w:r>
      <w:r w:rsidR="00F248F8">
        <w:t>Da</w:t>
      </w:r>
      <w:r w:rsidR="00F248F8" w:rsidRPr="007A7AE2">
        <w:t xml:space="preserve"> </w:t>
      </w:r>
      <w:r w:rsidRPr="007A7AE2">
        <w:t>≤</w:t>
      </w:r>
      <w:r w:rsidR="004474E0">
        <w:t xml:space="preserve"> </w:t>
      </w:r>
      <w:r w:rsidR="00F248F8" w:rsidRPr="007A7AE2">
        <w:t>1</w:t>
      </w:r>
      <w:r w:rsidR="00F248F8">
        <w:t>4</w:t>
      </w:r>
      <w:r w:rsidRPr="007A7AE2">
        <w:t xml:space="preserve">% </w:t>
      </w:r>
    </w:p>
    <w:p w14:paraId="1C36F44D" w14:textId="08295993" w:rsidR="007A7AE2" w:rsidRPr="007A7AE2" w:rsidRDefault="007A7AE2" w:rsidP="007A7AE2">
      <w:pPr>
        <w:rPr>
          <w:b/>
          <w:bCs/>
        </w:rPr>
      </w:pPr>
      <w:r w:rsidRPr="007A7AE2">
        <w:t xml:space="preserve">Enoxaparin sodium </w:t>
      </w:r>
      <w:proofErr w:type="gramStart"/>
      <w:r w:rsidRPr="007A7AE2">
        <w:t>is obtained</w:t>
      </w:r>
      <w:proofErr w:type="gramEnd"/>
      <w:r w:rsidRPr="007A7AE2">
        <w:t xml:space="preserve"> by alkaline depolymerisation of heparin benzyl ester derived from porcine intestinal mucosa. Its structure is characterised by a 4-enopyranose </w:t>
      </w:r>
      <w:proofErr w:type="spellStart"/>
      <w:r w:rsidRPr="007A7AE2">
        <w:t>uronate</w:t>
      </w:r>
      <w:proofErr w:type="spellEnd"/>
      <w:r w:rsidRPr="007A7AE2">
        <w:t xml:space="preserve"> group at the non-reducing end. About 20% (ranging between </w:t>
      </w:r>
      <w:r w:rsidR="00F248F8">
        <w:t>17</w:t>
      </w:r>
      <w:r w:rsidRPr="007A7AE2">
        <w:t xml:space="preserve">% and 25%) of the </w:t>
      </w:r>
      <w:r w:rsidR="003C10D0" w:rsidRPr="007A7AE2">
        <w:t xml:space="preserve">Enoxaparin </w:t>
      </w:r>
      <w:r w:rsidRPr="007A7AE2">
        <w:t>structure contains a 1</w:t>
      </w:r>
      <w:proofErr w:type="gramStart"/>
      <w:r w:rsidRPr="007A7AE2">
        <w:t>,6</w:t>
      </w:r>
      <w:proofErr w:type="gramEnd"/>
      <w:r>
        <w:t>-</w:t>
      </w:r>
      <w:r w:rsidRPr="007A7AE2">
        <w:t>anhydro derivative on the reducing end of the polysaccharide chain.</w:t>
      </w:r>
    </w:p>
    <w:p w14:paraId="013AF354" w14:textId="6AF8324E" w:rsidR="001A3992" w:rsidRPr="00571478" w:rsidRDefault="001A3992" w:rsidP="000A1317">
      <w:pPr>
        <w:pStyle w:val="Heading3"/>
        <w:spacing w:before="0"/>
        <w:rPr>
          <w:rFonts w:ascii="Arial" w:hAnsi="Arial" w:cs="Arial"/>
        </w:rPr>
      </w:pPr>
      <w:r w:rsidRPr="00571478">
        <w:rPr>
          <w:rFonts w:ascii="Arial" w:hAnsi="Arial" w:cs="Arial"/>
        </w:rPr>
        <w:t xml:space="preserve">Mechanism of </w:t>
      </w:r>
      <w:r w:rsidR="007A7AE2" w:rsidRPr="00571478">
        <w:rPr>
          <w:rFonts w:ascii="Arial" w:hAnsi="Arial" w:cs="Arial"/>
        </w:rPr>
        <w:t>Action</w:t>
      </w:r>
    </w:p>
    <w:p w14:paraId="3686E56C" w14:textId="77777777" w:rsidR="0051218E" w:rsidRPr="0051218E" w:rsidRDefault="0051218E" w:rsidP="000A1317">
      <w:r w:rsidRPr="0051218E">
        <w:t>In comparison with natural heparin, Enoxaparin is characterised by a clear increase in the ratio between anti-</w:t>
      </w:r>
      <w:proofErr w:type="spellStart"/>
      <w:r w:rsidRPr="0051218E">
        <w:t>Xa</w:t>
      </w:r>
      <w:proofErr w:type="spellEnd"/>
      <w:r w:rsidRPr="0051218E">
        <w:t xml:space="preserve"> and anti-</w:t>
      </w:r>
      <w:proofErr w:type="spellStart"/>
      <w:r w:rsidRPr="0051218E">
        <w:t>Ila</w:t>
      </w:r>
      <w:proofErr w:type="spellEnd"/>
      <w:r w:rsidRPr="0051218E">
        <w:t xml:space="preserve"> </w:t>
      </w:r>
      <w:proofErr w:type="gramStart"/>
      <w:r w:rsidRPr="0051218E">
        <w:t>activities which</w:t>
      </w:r>
      <w:proofErr w:type="gramEnd"/>
      <w:r w:rsidRPr="0051218E">
        <w:t xml:space="preserve"> is always greater than 4.</w:t>
      </w:r>
    </w:p>
    <w:p w14:paraId="051AE605" w14:textId="77777777" w:rsidR="0051218E" w:rsidRPr="0051218E" w:rsidRDefault="0051218E" w:rsidP="000A1317">
      <w:r w:rsidRPr="0051218E">
        <w:t xml:space="preserve">It has several actions on the coagulation pathway through binding to anti-thrombin III. The anti- thrombotic activity </w:t>
      </w:r>
      <w:proofErr w:type="gramStart"/>
      <w:r w:rsidRPr="0051218E">
        <w:t>is related</w:t>
      </w:r>
      <w:proofErr w:type="gramEnd"/>
      <w:r w:rsidRPr="0051218E">
        <w:t xml:space="preserve"> to inhibition of thrombin generation and inhibition of two main coagulation factors: Factor </w:t>
      </w:r>
      <w:proofErr w:type="spellStart"/>
      <w:r w:rsidRPr="0051218E">
        <w:t>Xa</w:t>
      </w:r>
      <w:proofErr w:type="spellEnd"/>
      <w:r w:rsidRPr="0051218E">
        <w:t xml:space="preserve"> and Thrombin. Enoxaparin also induces a sustained release of the Tissue Factor Pathway Inhibitor </w:t>
      </w:r>
      <w:r w:rsidRPr="007A7AE2">
        <w:rPr>
          <w:i/>
        </w:rPr>
        <w:t>in vivo</w:t>
      </w:r>
      <w:r w:rsidRPr="0051218E">
        <w:t>.</w:t>
      </w:r>
    </w:p>
    <w:p w14:paraId="180EA123" w14:textId="6502370A" w:rsidR="00FF764B" w:rsidRPr="00341707" w:rsidRDefault="0051218E" w:rsidP="000A1317">
      <w:pPr>
        <w:rPr>
          <w:color w:val="00B050"/>
        </w:rPr>
      </w:pPr>
      <w:r w:rsidRPr="0051218E">
        <w:t xml:space="preserve">In the experimental animal, Enoxaparin </w:t>
      </w:r>
      <w:proofErr w:type="gramStart"/>
      <w:r w:rsidRPr="0051218E">
        <w:t>was found</w:t>
      </w:r>
      <w:proofErr w:type="gramEnd"/>
      <w:r w:rsidRPr="0051218E">
        <w:t xml:space="preserve"> to have potent anti-thrombotic properties with a minimum effect on bleeding.</w:t>
      </w:r>
      <w:r w:rsidR="006048C6" w:rsidRPr="00341707">
        <w:rPr>
          <w:color w:val="00B050"/>
        </w:rPr>
        <w:t xml:space="preserve"> </w:t>
      </w:r>
    </w:p>
    <w:p w14:paraId="4D9597CF" w14:textId="413E5265" w:rsidR="001A3992" w:rsidRPr="00571478" w:rsidRDefault="001A3992" w:rsidP="000A1317">
      <w:pPr>
        <w:pStyle w:val="Heading3"/>
        <w:spacing w:before="0"/>
        <w:rPr>
          <w:rFonts w:ascii="Arial" w:hAnsi="Arial" w:cs="Arial"/>
        </w:rPr>
      </w:pPr>
      <w:bookmarkStart w:id="19" w:name="_Ref878766"/>
      <w:r w:rsidRPr="00571478">
        <w:rPr>
          <w:rFonts w:ascii="Arial" w:hAnsi="Arial" w:cs="Arial"/>
        </w:rPr>
        <w:t xml:space="preserve">Clinical </w:t>
      </w:r>
      <w:r w:rsidR="007A7AE2" w:rsidRPr="00571478">
        <w:rPr>
          <w:rFonts w:ascii="Arial" w:hAnsi="Arial" w:cs="Arial"/>
        </w:rPr>
        <w:t>Trials</w:t>
      </w:r>
      <w:bookmarkEnd w:id="19"/>
    </w:p>
    <w:p w14:paraId="4E7246CC" w14:textId="77777777" w:rsidR="0051218E" w:rsidRPr="00D852EC" w:rsidRDefault="0051218E" w:rsidP="000A1317">
      <w:pPr>
        <w:pStyle w:val="Heading4"/>
      </w:pPr>
      <w:r w:rsidRPr="00D852EC">
        <w:t>Hip Replacement Surgery</w:t>
      </w:r>
    </w:p>
    <w:p w14:paraId="1112D71B" w14:textId="0F16D7D0" w:rsidR="0051218E" w:rsidRPr="00D852EC" w:rsidRDefault="0051218E" w:rsidP="000A1317">
      <w:pPr>
        <w:rPr>
          <w:rFonts w:cs="Arial"/>
          <w:szCs w:val="20"/>
        </w:rPr>
      </w:pPr>
      <w:r w:rsidRPr="00D852EC">
        <w:rPr>
          <w:rFonts w:cs="Arial"/>
          <w:szCs w:val="20"/>
        </w:rPr>
        <w:t xml:space="preserve">Two randomised single-centre clinical trials </w:t>
      </w:r>
      <w:proofErr w:type="gramStart"/>
      <w:r w:rsidRPr="00D852EC">
        <w:rPr>
          <w:rFonts w:cs="Arial"/>
          <w:szCs w:val="20"/>
        </w:rPr>
        <w:t>were conducted</w:t>
      </w:r>
      <w:proofErr w:type="gramEnd"/>
      <w:r w:rsidRPr="00D852EC">
        <w:rPr>
          <w:rFonts w:cs="Arial"/>
          <w:szCs w:val="20"/>
        </w:rPr>
        <w:t xml:space="preserve"> in patients undergoing hip replacement surgery to determine if extended prophylaxis with Enoxaparin 40 mg SC daily, given for up to 3 weeks post hospital discharge was effective in reducing the incidence of deep vein thrombosis (DVT) as compared to placebo. All patients </w:t>
      </w:r>
      <w:proofErr w:type="gramStart"/>
      <w:r w:rsidRPr="00D852EC">
        <w:rPr>
          <w:rFonts w:cs="Arial"/>
          <w:szCs w:val="20"/>
        </w:rPr>
        <w:t>were initially treated</w:t>
      </w:r>
      <w:proofErr w:type="gramEnd"/>
      <w:r w:rsidRPr="00D852EC">
        <w:rPr>
          <w:rFonts w:cs="Arial"/>
          <w:szCs w:val="20"/>
        </w:rPr>
        <w:t xml:space="preserve"> with Enoxaparin 40 mg SC daily, beginning up to 12 hours prior to surgery in an open-label fashion. Patients who did not exhibit venous thromboembolic disease (either by negative venography in one study or by absence of clinical signs or symptoms in the other study) at the completion of in-hospital treatment were randomised to receive extended prophylaxis with either Enoxaparin (n=221) or placebo (n=220) post-discharge in a blinded fashion. The incidence of deep vein thrombosis (total and proximal) during extended prophylaxis was significantly lower for Enoxaparin (total: 12%; proximal: 6%) compared to placebo (total: 28%; proximal: 16%) in both studies. Bleeding events were limited to minor </w:t>
      </w:r>
      <w:proofErr w:type="gramStart"/>
      <w:r w:rsidRPr="00D852EC">
        <w:rPr>
          <w:rFonts w:cs="Arial"/>
          <w:szCs w:val="20"/>
        </w:rPr>
        <w:t>haemorrhages which</w:t>
      </w:r>
      <w:proofErr w:type="gramEnd"/>
      <w:r w:rsidRPr="00D852EC">
        <w:rPr>
          <w:rFonts w:cs="Arial"/>
          <w:szCs w:val="20"/>
        </w:rPr>
        <w:t xml:space="preserve"> were 11% for the Enoxaparin treatment group versus 3% for the placebo treatment group. The majority of the </w:t>
      </w:r>
      <w:r w:rsidRPr="00D852EC">
        <w:rPr>
          <w:rFonts w:cs="Arial"/>
          <w:szCs w:val="20"/>
        </w:rPr>
        <w:lastRenderedPageBreak/>
        <w:t>bleeding events for both groups were injection site haemorrhages (9% Enoxaparin vs</w:t>
      </w:r>
      <w:r w:rsidR="007A7AE2">
        <w:rPr>
          <w:rFonts w:cs="Arial"/>
          <w:szCs w:val="20"/>
        </w:rPr>
        <w:t>.</w:t>
      </w:r>
      <w:r w:rsidRPr="00D852EC">
        <w:rPr>
          <w:rFonts w:cs="Arial"/>
          <w:szCs w:val="20"/>
        </w:rPr>
        <w:t xml:space="preserve"> 2% placebo).</w:t>
      </w:r>
    </w:p>
    <w:p w14:paraId="25635BD3" w14:textId="77777777" w:rsidR="0051218E" w:rsidRPr="00D852EC" w:rsidRDefault="0051218E" w:rsidP="000A1317">
      <w:pPr>
        <w:pStyle w:val="Heading4"/>
      </w:pPr>
      <w:r w:rsidRPr="00D852EC">
        <w:t>Thromboembolism Prophylaxis in Medical Patients</w:t>
      </w:r>
    </w:p>
    <w:p w14:paraId="6FC66DA3" w14:textId="7F090068" w:rsidR="0051218E" w:rsidRPr="00D852EC" w:rsidRDefault="0051218E" w:rsidP="000A1317">
      <w:pPr>
        <w:rPr>
          <w:rFonts w:cs="Arial"/>
          <w:szCs w:val="20"/>
        </w:rPr>
      </w:pPr>
      <w:r w:rsidRPr="00D852EC">
        <w:rPr>
          <w:rFonts w:cs="Arial"/>
          <w:szCs w:val="20"/>
        </w:rPr>
        <w:t>One randomised</w:t>
      </w:r>
      <w:r w:rsidR="007A7AE2" w:rsidRPr="00D852EC">
        <w:rPr>
          <w:rFonts w:cs="Arial"/>
          <w:szCs w:val="20"/>
        </w:rPr>
        <w:t xml:space="preserve">, </w:t>
      </w:r>
      <w:r w:rsidRPr="00D852EC">
        <w:rPr>
          <w:rFonts w:cs="Arial"/>
          <w:szCs w:val="20"/>
        </w:rPr>
        <w:t xml:space="preserve">double-blind, placebo-controlled, parallel group study was conducted to compare </w:t>
      </w:r>
      <w:r w:rsidR="007A7AE2" w:rsidRPr="00D852EC">
        <w:rPr>
          <w:rFonts w:cs="Arial"/>
          <w:szCs w:val="20"/>
        </w:rPr>
        <w:t xml:space="preserve">Enoxaparin </w:t>
      </w:r>
      <w:r w:rsidRPr="00D852EC">
        <w:rPr>
          <w:rFonts w:cs="Arial"/>
          <w:szCs w:val="20"/>
        </w:rPr>
        <w:t xml:space="preserve">20 mg once daily (E20), </w:t>
      </w:r>
      <w:r w:rsidR="007A7AE2" w:rsidRPr="00D852EC">
        <w:rPr>
          <w:rFonts w:cs="Arial"/>
          <w:szCs w:val="20"/>
        </w:rPr>
        <w:t xml:space="preserve">Enoxaparin </w:t>
      </w:r>
      <w:r w:rsidRPr="00D852EC">
        <w:rPr>
          <w:rFonts w:cs="Arial"/>
          <w:szCs w:val="20"/>
        </w:rPr>
        <w:t xml:space="preserve">40 mg once daily (E40) and placebo in the prophylaxis of VTE in patients hospitalised with acute heart failure, acute respiratory disease, acute infectious disease, acute rheumatic disorders, or acute inflammatory bowel disease. The treatment lasted 6-14 days. The primary efficacy endpoint was assessed in </w:t>
      </w:r>
      <w:r w:rsidR="006852AC">
        <w:rPr>
          <w:rFonts w:cs="Arial"/>
          <w:szCs w:val="20"/>
        </w:rPr>
        <w:br/>
      </w:r>
      <w:r w:rsidRPr="00D852EC">
        <w:rPr>
          <w:rFonts w:cs="Arial"/>
          <w:szCs w:val="20"/>
        </w:rPr>
        <w:t>866 patients 288 placebo, 287 E20 and 291 E40 (respectively, 77.6%, 78.8% and 79.3% of those randomised to each group). The incidence of VTE was significantly lower in the E40 group (16/291, 5.5%) than in the placebo group (43/288, 14.9%), with a relative risk of 0.37 (95% CI 0.22-0.63, p=0.0002). The incidence of VTE in the E20 group (43/287, 15%) was not significantly different from that in the placebo group, with a relative risk of 1.03 (95% CI 0.70</w:t>
      </w:r>
      <w:r w:rsidRPr="00D852EC">
        <w:rPr>
          <w:rFonts w:cs="Arial"/>
          <w:szCs w:val="20"/>
        </w:rPr>
        <w:softHyphen/>
        <w:t>-1.51, p=0.90).</w:t>
      </w:r>
    </w:p>
    <w:p w14:paraId="1ADA409A" w14:textId="77777777" w:rsidR="0051218E" w:rsidRPr="00D852EC" w:rsidRDefault="0051218E" w:rsidP="000A1317">
      <w:pPr>
        <w:pStyle w:val="Heading4"/>
      </w:pPr>
      <w:r w:rsidRPr="00D852EC">
        <w:t>Unstable Angina and Non-Q-Wave Myocardial Infarction</w:t>
      </w:r>
    </w:p>
    <w:p w14:paraId="41ED1AFA" w14:textId="59477658" w:rsidR="0051218E" w:rsidRPr="00D852EC" w:rsidRDefault="0051218E" w:rsidP="000A1317">
      <w:pPr>
        <w:rPr>
          <w:rFonts w:cs="Arial"/>
          <w:szCs w:val="20"/>
        </w:rPr>
      </w:pPr>
      <w:r w:rsidRPr="00D852EC">
        <w:rPr>
          <w:rFonts w:cs="Arial"/>
          <w:szCs w:val="20"/>
        </w:rPr>
        <w:t>In an international multicentre study [ESSENCE], 3</w:t>
      </w:r>
      <w:r w:rsidR="007A7AE2">
        <w:rPr>
          <w:rFonts w:cs="Arial"/>
          <w:szCs w:val="20"/>
        </w:rPr>
        <w:t>,</w:t>
      </w:r>
      <w:r w:rsidRPr="00D852EC">
        <w:rPr>
          <w:rFonts w:cs="Arial"/>
          <w:szCs w:val="20"/>
        </w:rPr>
        <w:t>171 patients enrolled at the acute phase of unstable angina or non-Q-wave myocardial infarction were randomised to receive in association with aspirin (100 to 325 mg once daily), either subcutaneous Enoxaparin 1 mg/kg every 12 hours (n=1</w:t>
      </w:r>
      <w:r w:rsidR="007A7AE2">
        <w:rPr>
          <w:rFonts w:cs="Arial"/>
          <w:szCs w:val="20"/>
        </w:rPr>
        <w:t>,</w:t>
      </w:r>
      <w:r w:rsidRPr="00D852EC">
        <w:rPr>
          <w:rFonts w:cs="Arial"/>
          <w:szCs w:val="20"/>
        </w:rPr>
        <w:t>607) or intravenous UFH adjusted based on activated partial thromboplastin time (</w:t>
      </w:r>
      <w:proofErr w:type="spellStart"/>
      <w:r w:rsidRPr="00D852EC">
        <w:rPr>
          <w:rFonts w:cs="Arial"/>
          <w:szCs w:val="20"/>
        </w:rPr>
        <w:t>aPPT</w:t>
      </w:r>
      <w:proofErr w:type="spellEnd"/>
      <w:r w:rsidRPr="00D852EC">
        <w:rPr>
          <w:rFonts w:cs="Arial"/>
          <w:szCs w:val="20"/>
        </w:rPr>
        <w:t>; n=1</w:t>
      </w:r>
      <w:r w:rsidR="006852AC">
        <w:rPr>
          <w:rFonts w:cs="Arial"/>
          <w:szCs w:val="20"/>
        </w:rPr>
        <w:t>,</w:t>
      </w:r>
      <w:r w:rsidRPr="00D852EC">
        <w:rPr>
          <w:rFonts w:cs="Arial"/>
          <w:szCs w:val="20"/>
        </w:rPr>
        <w:t>564). Patients had to be treated in hospital for a minimum of 2 days and a maximum of 8 days, until clinical stabilisation, revascularisation procedures or hospital discharge; the median duration of treatment was 2.6 days in both groups and patients were followed up to 30 days. Enoxaparin significantly decreased the incidence of recurrent angina, myocardial infarction and death, with an absolute event rate of the composite triple endpoint at day 14 of 16.6% in the Enoxaparin group, compared to 19.8% in the heparin group (p=0.02). This represented a relative risk reduction of 16.2%, which remained statistically significant at 30 days of follow up. Furthermore, the need for revascularisation with percutaneous, transluminal coronary angioplasty (PTCA) or coronary artery bypass grafting (CABG) was significantly less frequent in the Enoxaparin group (27.0% vs</w:t>
      </w:r>
      <w:r w:rsidR="006852AC">
        <w:rPr>
          <w:rFonts w:cs="Arial"/>
          <w:szCs w:val="20"/>
        </w:rPr>
        <w:t>.</w:t>
      </w:r>
      <w:r w:rsidRPr="00D852EC">
        <w:rPr>
          <w:rFonts w:cs="Arial"/>
          <w:szCs w:val="20"/>
        </w:rPr>
        <w:t xml:space="preserve"> 32.2%, p=0.001). The 30 day incidence of major bleeding was not significantly different between the two treatment groups (6.5% in the Enoxaparin group vs</w:t>
      </w:r>
      <w:r w:rsidR="007A7AE2">
        <w:rPr>
          <w:rFonts w:cs="Arial"/>
          <w:szCs w:val="20"/>
        </w:rPr>
        <w:t>.</w:t>
      </w:r>
      <w:r w:rsidRPr="00D852EC">
        <w:rPr>
          <w:rFonts w:cs="Arial"/>
          <w:szCs w:val="20"/>
        </w:rPr>
        <w:t xml:space="preserve"> 7.0% in the heparin group, p=0.566), with an increase in minor bleeding observed in the Enoxaparin group (18.4% vs</w:t>
      </w:r>
      <w:r w:rsidR="007A7AE2">
        <w:rPr>
          <w:rFonts w:cs="Arial"/>
          <w:szCs w:val="20"/>
        </w:rPr>
        <w:t>.</w:t>
      </w:r>
      <w:r w:rsidRPr="00D852EC">
        <w:rPr>
          <w:rFonts w:cs="Arial"/>
          <w:szCs w:val="20"/>
        </w:rPr>
        <w:t xml:space="preserve"> 14.2%, </w:t>
      </w:r>
      <w:r w:rsidR="007A7AE2">
        <w:rPr>
          <w:rFonts w:cs="Arial"/>
          <w:szCs w:val="20"/>
        </w:rPr>
        <w:br/>
      </w:r>
      <w:r w:rsidRPr="00D852EC">
        <w:rPr>
          <w:rFonts w:cs="Arial"/>
          <w:szCs w:val="20"/>
        </w:rPr>
        <w:t xml:space="preserve">p=0.001), primarily constituting </w:t>
      </w:r>
      <w:proofErr w:type="spellStart"/>
      <w:r w:rsidRPr="00D852EC">
        <w:rPr>
          <w:rFonts w:cs="Arial"/>
          <w:szCs w:val="20"/>
        </w:rPr>
        <w:t>ecchymoses</w:t>
      </w:r>
      <w:proofErr w:type="spellEnd"/>
      <w:r w:rsidRPr="00D852EC">
        <w:rPr>
          <w:rFonts w:cs="Arial"/>
          <w:szCs w:val="20"/>
        </w:rPr>
        <w:t xml:space="preserve"> at injection sites.</w:t>
      </w:r>
    </w:p>
    <w:p w14:paraId="2AC81223" w14:textId="77777777" w:rsidR="0051218E" w:rsidRPr="00D852EC" w:rsidRDefault="0051218E" w:rsidP="000A1317">
      <w:pPr>
        <w:pStyle w:val="Heading4"/>
      </w:pPr>
      <w:r w:rsidRPr="00D852EC">
        <w:t>Acute ST-segment Elevation Myocardial Infarction (STEMI)</w:t>
      </w:r>
    </w:p>
    <w:p w14:paraId="586C85A1" w14:textId="3162B478" w:rsidR="0051218E" w:rsidRPr="00D852EC" w:rsidRDefault="0051218E" w:rsidP="000A1317">
      <w:pPr>
        <w:rPr>
          <w:rFonts w:cs="Arial"/>
          <w:szCs w:val="20"/>
        </w:rPr>
      </w:pPr>
      <w:r w:rsidRPr="00D852EC">
        <w:rPr>
          <w:rFonts w:cs="Arial"/>
          <w:szCs w:val="20"/>
        </w:rPr>
        <w:t xml:space="preserve">In a multicentre, </w:t>
      </w:r>
      <w:proofErr w:type="gramStart"/>
      <w:r w:rsidRPr="00D852EC">
        <w:rPr>
          <w:rFonts w:cs="Arial"/>
          <w:szCs w:val="20"/>
        </w:rPr>
        <w:t>double-blind</w:t>
      </w:r>
      <w:proofErr w:type="gramEnd"/>
      <w:r w:rsidRPr="00D852EC">
        <w:rPr>
          <w:rFonts w:cs="Arial"/>
          <w:szCs w:val="20"/>
        </w:rPr>
        <w:t>, double-dummy, parallel group study, 20</w:t>
      </w:r>
      <w:r w:rsidR="007A7AE2">
        <w:rPr>
          <w:rFonts w:cs="Arial"/>
          <w:szCs w:val="20"/>
        </w:rPr>
        <w:t>,</w:t>
      </w:r>
      <w:r w:rsidRPr="00D852EC">
        <w:rPr>
          <w:rFonts w:cs="Arial"/>
          <w:szCs w:val="20"/>
        </w:rPr>
        <w:t xml:space="preserve">479 patients with STEMI within 6 hours of onset and eligible to receive fibrinolytic therapy were randomised to receive either </w:t>
      </w:r>
      <w:r w:rsidR="007A7AE2" w:rsidRPr="00D852EC">
        <w:rPr>
          <w:rFonts w:cs="Arial"/>
          <w:szCs w:val="20"/>
        </w:rPr>
        <w:t xml:space="preserve">Enoxaparin </w:t>
      </w:r>
      <w:r w:rsidRPr="00D852EC">
        <w:rPr>
          <w:rFonts w:cs="Arial"/>
          <w:szCs w:val="20"/>
        </w:rPr>
        <w:t xml:space="preserve">or UFH. All patients </w:t>
      </w:r>
      <w:proofErr w:type="gramStart"/>
      <w:r w:rsidRPr="00D852EC">
        <w:rPr>
          <w:rFonts w:cs="Arial"/>
          <w:szCs w:val="20"/>
        </w:rPr>
        <w:t>were also treated</w:t>
      </w:r>
      <w:proofErr w:type="gramEnd"/>
      <w:r w:rsidRPr="00D852EC">
        <w:rPr>
          <w:rFonts w:cs="Arial"/>
          <w:szCs w:val="20"/>
        </w:rPr>
        <w:t xml:space="preserve"> with aspirin for a minimum of 30 days. Study medication </w:t>
      </w:r>
      <w:proofErr w:type="gramStart"/>
      <w:r w:rsidRPr="00D852EC">
        <w:rPr>
          <w:rFonts w:cs="Arial"/>
          <w:szCs w:val="20"/>
        </w:rPr>
        <w:t>was administered</w:t>
      </w:r>
      <w:proofErr w:type="gramEnd"/>
      <w:r w:rsidRPr="00D852EC">
        <w:rPr>
          <w:rFonts w:cs="Arial"/>
          <w:szCs w:val="20"/>
        </w:rPr>
        <w:t xml:space="preserve"> between 15 minutes before and 30 minutes after the initiation of fibrinolytic therapy. Unfractionated heparin </w:t>
      </w:r>
      <w:proofErr w:type="gramStart"/>
      <w:r w:rsidRPr="00D852EC">
        <w:rPr>
          <w:rFonts w:cs="Arial"/>
          <w:szCs w:val="20"/>
        </w:rPr>
        <w:t>was administered</w:t>
      </w:r>
      <w:proofErr w:type="gramEnd"/>
      <w:r w:rsidRPr="00D852EC">
        <w:rPr>
          <w:rFonts w:cs="Arial"/>
          <w:szCs w:val="20"/>
        </w:rPr>
        <w:t xml:space="preserve"> beginning with an IV bolus of 60 IU/kg (maximum 4</w:t>
      </w:r>
      <w:r w:rsidR="00557C83">
        <w:rPr>
          <w:rFonts w:cs="Arial"/>
          <w:szCs w:val="20"/>
        </w:rPr>
        <w:t>,</w:t>
      </w:r>
      <w:r w:rsidRPr="00D852EC">
        <w:rPr>
          <w:rFonts w:cs="Arial"/>
          <w:szCs w:val="20"/>
        </w:rPr>
        <w:t>000 IU) and followed by an infusion of 12 IU/kg per hour (initial maximum 1</w:t>
      </w:r>
      <w:r w:rsidR="006852AC">
        <w:rPr>
          <w:rFonts w:cs="Arial"/>
          <w:szCs w:val="20"/>
        </w:rPr>
        <w:t>,</w:t>
      </w:r>
      <w:r w:rsidRPr="00D852EC">
        <w:rPr>
          <w:rFonts w:cs="Arial"/>
          <w:szCs w:val="20"/>
        </w:rPr>
        <w:t xml:space="preserve">000 IU per hour) that was adjusted to maintain an </w:t>
      </w:r>
      <w:proofErr w:type="spellStart"/>
      <w:r w:rsidRPr="00D852EC">
        <w:rPr>
          <w:rFonts w:cs="Arial"/>
          <w:szCs w:val="20"/>
        </w:rPr>
        <w:t>aPTT</w:t>
      </w:r>
      <w:proofErr w:type="spellEnd"/>
      <w:r w:rsidRPr="00D852EC">
        <w:rPr>
          <w:rFonts w:cs="Arial"/>
          <w:szCs w:val="20"/>
        </w:rPr>
        <w:t xml:space="preserve"> of 1.5 to 2.0 times the control value. The IV infusion was to </w:t>
      </w:r>
      <w:proofErr w:type="gramStart"/>
      <w:r w:rsidRPr="00D852EC">
        <w:rPr>
          <w:rFonts w:cs="Arial"/>
          <w:szCs w:val="20"/>
        </w:rPr>
        <w:t>be given</w:t>
      </w:r>
      <w:proofErr w:type="gramEnd"/>
      <w:r w:rsidRPr="00D852EC">
        <w:rPr>
          <w:rFonts w:cs="Arial"/>
          <w:szCs w:val="20"/>
        </w:rPr>
        <w:t xml:space="preserve"> for at least 48 hours. The </w:t>
      </w:r>
      <w:r w:rsidR="007A7AE2" w:rsidRPr="00D852EC">
        <w:rPr>
          <w:rFonts w:cs="Arial"/>
          <w:szCs w:val="20"/>
        </w:rPr>
        <w:t xml:space="preserve">Enoxaparin </w:t>
      </w:r>
      <w:r w:rsidRPr="00D852EC">
        <w:rPr>
          <w:rFonts w:cs="Arial"/>
          <w:szCs w:val="20"/>
        </w:rPr>
        <w:t xml:space="preserve">dosing strategy </w:t>
      </w:r>
      <w:proofErr w:type="gramStart"/>
      <w:r w:rsidRPr="00D852EC">
        <w:rPr>
          <w:rFonts w:cs="Arial"/>
          <w:szCs w:val="20"/>
        </w:rPr>
        <w:t>was adjusted</w:t>
      </w:r>
      <w:proofErr w:type="gramEnd"/>
      <w:r w:rsidRPr="00D852EC">
        <w:rPr>
          <w:rFonts w:cs="Arial"/>
          <w:szCs w:val="20"/>
        </w:rPr>
        <w:t xml:space="preserve"> according to the patient's age and renal function. For patients younger than 75 years of age, </w:t>
      </w:r>
      <w:r w:rsidR="003C10D0" w:rsidRPr="00D852EC">
        <w:rPr>
          <w:rFonts w:cs="Arial"/>
          <w:szCs w:val="20"/>
        </w:rPr>
        <w:t xml:space="preserve">Enoxaparin </w:t>
      </w:r>
      <w:proofErr w:type="gramStart"/>
      <w:r w:rsidRPr="00D852EC">
        <w:rPr>
          <w:rFonts w:cs="Arial"/>
          <w:szCs w:val="20"/>
        </w:rPr>
        <w:t>was given</w:t>
      </w:r>
      <w:proofErr w:type="gramEnd"/>
      <w:r w:rsidRPr="00D852EC">
        <w:rPr>
          <w:rFonts w:cs="Arial"/>
          <w:szCs w:val="20"/>
        </w:rPr>
        <w:t xml:space="preserve"> as a single 30 mg intravenous bolus plus a </w:t>
      </w:r>
      <w:r w:rsidR="00557C83">
        <w:rPr>
          <w:rFonts w:cs="Arial"/>
          <w:szCs w:val="20"/>
        </w:rPr>
        <w:br/>
      </w:r>
      <w:r w:rsidRPr="00D852EC">
        <w:rPr>
          <w:rFonts w:cs="Arial"/>
          <w:szCs w:val="20"/>
        </w:rPr>
        <w:t xml:space="preserve">1 mg/kg SC dose followed by an SC injection of 1 mg/kg every 12 hours. For patients 75 years of age or older, the IV bolus was not given and the SC dose was reduced to 0.75 mg/kg every 12 hours. For patients with severe renal insufficiency (estimated creatinine clearance of less than 30 mL per minute), the dose was to be modified to 1 mg/kg every 24 hours. The SC </w:t>
      </w:r>
      <w:r w:rsidRPr="00D852EC">
        <w:rPr>
          <w:rFonts w:cs="Arial"/>
          <w:szCs w:val="20"/>
        </w:rPr>
        <w:lastRenderedPageBreak/>
        <w:t xml:space="preserve">injections of </w:t>
      </w:r>
      <w:r w:rsidR="003C10D0" w:rsidRPr="00D852EC">
        <w:rPr>
          <w:rFonts w:cs="Arial"/>
          <w:szCs w:val="20"/>
        </w:rPr>
        <w:t xml:space="preserve">Enoxaparin </w:t>
      </w:r>
      <w:proofErr w:type="gramStart"/>
      <w:r w:rsidRPr="00D852EC">
        <w:rPr>
          <w:rFonts w:cs="Arial"/>
          <w:szCs w:val="20"/>
        </w:rPr>
        <w:t>were given</w:t>
      </w:r>
      <w:proofErr w:type="gramEnd"/>
      <w:r w:rsidRPr="00D852EC">
        <w:rPr>
          <w:rFonts w:cs="Arial"/>
          <w:szCs w:val="20"/>
        </w:rPr>
        <w:t xml:space="preserve"> until hospital discharge or for a maximum of eight days (whichever came first). The mean treatment duration for </w:t>
      </w:r>
      <w:r w:rsidR="003C10D0" w:rsidRPr="00D852EC">
        <w:rPr>
          <w:rFonts w:cs="Arial"/>
          <w:szCs w:val="20"/>
        </w:rPr>
        <w:t xml:space="preserve">Enoxaparin </w:t>
      </w:r>
      <w:r w:rsidRPr="00D852EC">
        <w:rPr>
          <w:rFonts w:cs="Arial"/>
          <w:szCs w:val="20"/>
        </w:rPr>
        <w:t>was 6.6 days. The mean treatment duration of UFH was 54 hours.</w:t>
      </w:r>
    </w:p>
    <w:p w14:paraId="3EE95A92" w14:textId="77290180" w:rsidR="0051218E" w:rsidRPr="00D852EC" w:rsidRDefault="0051218E" w:rsidP="000A1317">
      <w:pPr>
        <w:rPr>
          <w:rFonts w:cs="Arial"/>
          <w:szCs w:val="20"/>
        </w:rPr>
      </w:pPr>
      <w:r w:rsidRPr="00D852EC">
        <w:rPr>
          <w:rFonts w:cs="Arial"/>
          <w:szCs w:val="20"/>
        </w:rPr>
        <w:t xml:space="preserve">When percutaneous coronary intervention (PCI) </w:t>
      </w:r>
      <w:proofErr w:type="gramStart"/>
      <w:r w:rsidRPr="00D852EC">
        <w:rPr>
          <w:rFonts w:cs="Arial"/>
          <w:szCs w:val="20"/>
        </w:rPr>
        <w:t>was performed</w:t>
      </w:r>
      <w:proofErr w:type="gramEnd"/>
      <w:r w:rsidRPr="00D852EC">
        <w:rPr>
          <w:rFonts w:cs="Arial"/>
          <w:szCs w:val="20"/>
        </w:rPr>
        <w:t xml:space="preserve"> during the study medication period, patients were to receive antithrombotic support with blinded study drug. </w:t>
      </w:r>
      <w:proofErr w:type="gramStart"/>
      <w:r w:rsidRPr="00D852EC">
        <w:rPr>
          <w:rFonts w:cs="Arial"/>
          <w:szCs w:val="20"/>
        </w:rPr>
        <w:t xml:space="preserve">Therefore, for patients on </w:t>
      </w:r>
      <w:r w:rsidR="007A7AE2" w:rsidRPr="00D852EC">
        <w:rPr>
          <w:rFonts w:cs="Arial"/>
          <w:szCs w:val="20"/>
        </w:rPr>
        <w:t>Enoxaparin</w:t>
      </w:r>
      <w:r w:rsidRPr="00D852EC">
        <w:rPr>
          <w:rFonts w:cs="Arial"/>
          <w:szCs w:val="20"/>
        </w:rPr>
        <w:t xml:space="preserve">, the PCI was to be performed on </w:t>
      </w:r>
      <w:r w:rsidR="007A7AE2" w:rsidRPr="00D852EC">
        <w:rPr>
          <w:rFonts w:cs="Arial"/>
          <w:szCs w:val="20"/>
        </w:rPr>
        <w:t xml:space="preserve">Enoxaparin </w:t>
      </w:r>
      <w:r w:rsidRPr="00D852EC">
        <w:rPr>
          <w:rFonts w:cs="Arial"/>
          <w:szCs w:val="20"/>
        </w:rPr>
        <w:t xml:space="preserve">(no switch) using the regimen established in previous studies, i.e. no additional dosing if the last SC administration was given less than 8 hours before balloon inflation; IV bolus of 0.3 mg/kg </w:t>
      </w:r>
      <w:r w:rsidR="007A7AE2" w:rsidRPr="00D852EC">
        <w:rPr>
          <w:rFonts w:cs="Arial"/>
          <w:szCs w:val="20"/>
        </w:rPr>
        <w:t xml:space="preserve">Enoxaparin </w:t>
      </w:r>
      <w:r w:rsidRPr="00D852EC">
        <w:rPr>
          <w:rFonts w:cs="Arial"/>
          <w:szCs w:val="20"/>
        </w:rPr>
        <w:t>if the last SC administration was given more than 8 hours before balloon inflation.</w:t>
      </w:r>
      <w:proofErr w:type="gramEnd"/>
    </w:p>
    <w:p w14:paraId="70A76A31" w14:textId="29D3A327" w:rsidR="0051218E" w:rsidRPr="00D852EC" w:rsidRDefault="0051218E" w:rsidP="000A1317">
      <w:pPr>
        <w:rPr>
          <w:rFonts w:cs="Arial"/>
          <w:szCs w:val="20"/>
        </w:rPr>
      </w:pPr>
      <w:proofErr w:type="gramStart"/>
      <w:r w:rsidRPr="00D852EC">
        <w:rPr>
          <w:rFonts w:cs="Arial"/>
          <w:szCs w:val="20"/>
        </w:rPr>
        <w:t>A total of 20</w:t>
      </w:r>
      <w:r w:rsidR="007A7AE2">
        <w:rPr>
          <w:rFonts w:cs="Arial"/>
          <w:szCs w:val="20"/>
        </w:rPr>
        <w:t>,</w:t>
      </w:r>
      <w:r w:rsidRPr="00D852EC">
        <w:rPr>
          <w:rFonts w:cs="Arial"/>
          <w:szCs w:val="20"/>
        </w:rPr>
        <w:t>506</w:t>
      </w:r>
      <w:proofErr w:type="gramEnd"/>
      <w:r w:rsidRPr="00D852EC">
        <w:rPr>
          <w:rFonts w:cs="Arial"/>
          <w:szCs w:val="20"/>
        </w:rPr>
        <w:t xml:space="preserve"> patients were enrolled in the study, and 20</w:t>
      </w:r>
      <w:r w:rsidR="007A7AE2">
        <w:rPr>
          <w:rFonts w:cs="Arial"/>
          <w:szCs w:val="20"/>
        </w:rPr>
        <w:t>,</w:t>
      </w:r>
      <w:r w:rsidRPr="00D852EC">
        <w:rPr>
          <w:rFonts w:cs="Arial"/>
          <w:szCs w:val="20"/>
        </w:rPr>
        <w:t xml:space="preserve">479 patients were included in the intention to treat (ITT) population. Patients ranged in age from 20-99 years (mean age 59.8 years), with 23.5 % of patients female and 76.5% male. Race </w:t>
      </w:r>
      <w:proofErr w:type="gramStart"/>
      <w:r w:rsidRPr="00D852EC">
        <w:rPr>
          <w:rFonts w:cs="Arial"/>
          <w:szCs w:val="20"/>
        </w:rPr>
        <w:t>was distributed</w:t>
      </w:r>
      <w:proofErr w:type="gramEnd"/>
      <w:r w:rsidRPr="00D852EC">
        <w:rPr>
          <w:rFonts w:cs="Arial"/>
          <w:szCs w:val="20"/>
        </w:rPr>
        <w:t xml:space="preserve"> as follows: 87.2% Caucasian, 0.2% Black, 9.8% Asian and 2.8% other. Medical history included previous MI (13%), hypertension (44%), diabetes (15%) and angiographic evidence of CAD (5%). Concomitant medication included aspirin (95%), beta-blockers (86%), ACE inhibitors (78%), statins (70%) and </w:t>
      </w:r>
      <w:proofErr w:type="spellStart"/>
      <w:r w:rsidRPr="00D852EC">
        <w:rPr>
          <w:rFonts w:cs="Arial"/>
          <w:szCs w:val="20"/>
        </w:rPr>
        <w:t>clopidogrel</w:t>
      </w:r>
      <w:proofErr w:type="spellEnd"/>
      <w:r w:rsidRPr="00D852EC">
        <w:rPr>
          <w:rFonts w:cs="Arial"/>
          <w:szCs w:val="20"/>
        </w:rPr>
        <w:t xml:space="preserve"> (27%). The MI at entry was anterior in 43%, non-anterior in 56% and both in 1%. All patients </w:t>
      </w:r>
      <w:proofErr w:type="gramStart"/>
      <w:r w:rsidRPr="00D852EC">
        <w:rPr>
          <w:rFonts w:cs="Arial"/>
          <w:szCs w:val="20"/>
        </w:rPr>
        <w:t>were treated</w:t>
      </w:r>
      <w:proofErr w:type="gramEnd"/>
      <w:r w:rsidRPr="00D852EC">
        <w:rPr>
          <w:rFonts w:cs="Arial"/>
          <w:szCs w:val="20"/>
        </w:rPr>
        <w:t xml:space="preserve"> with aspirin at a dose of 75 to 325 mg for a minimum of 30 days. A fibrinolytic agent was administered to all but </w:t>
      </w:r>
      <w:proofErr w:type="gramStart"/>
      <w:r w:rsidRPr="00D852EC">
        <w:rPr>
          <w:rFonts w:cs="Arial"/>
          <w:szCs w:val="20"/>
        </w:rPr>
        <w:t>4</w:t>
      </w:r>
      <w:proofErr w:type="gramEnd"/>
      <w:r w:rsidRPr="00D852EC">
        <w:rPr>
          <w:rFonts w:cs="Arial"/>
          <w:szCs w:val="20"/>
        </w:rPr>
        <w:t xml:space="preserve"> patients, with 79.8% receiving a fibrin-specific agent (19% </w:t>
      </w:r>
      <w:proofErr w:type="spellStart"/>
      <w:r w:rsidRPr="00D852EC">
        <w:rPr>
          <w:rFonts w:cs="Arial"/>
          <w:szCs w:val="20"/>
        </w:rPr>
        <w:t>tenecteplase</w:t>
      </w:r>
      <w:proofErr w:type="spellEnd"/>
      <w:r w:rsidRPr="00D852EC">
        <w:rPr>
          <w:rFonts w:cs="Arial"/>
          <w:szCs w:val="20"/>
        </w:rPr>
        <w:t xml:space="preserve">, 5% </w:t>
      </w:r>
      <w:proofErr w:type="spellStart"/>
      <w:r w:rsidRPr="00D852EC">
        <w:rPr>
          <w:rFonts w:cs="Arial"/>
          <w:szCs w:val="20"/>
        </w:rPr>
        <w:t>reteplase</w:t>
      </w:r>
      <w:proofErr w:type="spellEnd"/>
      <w:r w:rsidRPr="00D852EC">
        <w:rPr>
          <w:rFonts w:cs="Arial"/>
          <w:szCs w:val="20"/>
        </w:rPr>
        <w:t xml:space="preserve"> and 55% </w:t>
      </w:r>
      <w:proofErr w:type="spellStart"/>
      <w:r w:rsidRPr="00D852EC">
        <w:rPr>
          <w:rFonts w:cs="Arial"/>
          <w:szCs w:val="20"/>
        </w:rPr>
        <w:t>alteplase</w:t>
      </w:r>
      <w:proofErr w:type="spellEnd"/>
      <w:r w:rsidRPr="00D852EC">
        <w:rPr>
          <w:rFonts w:cs="Arial"/>
          <w:szCs w:val="20"/>
        </w:rPr>
        <w:t>) and 20.2% receiving streptokinase. Following inclusion in this trial, 4</w:t>
      </w:r>
      <w:r w:rsidR="007A7AE2">
        <w:rPr>
          <w:rFonts w:cs="Arial"/>
          <w:szCs w:val="20"/>
        </w:rPr>
        <w:t>,</w:t>
      </w:r>
      <w:r w:rsidRPr="00D852EC">
        <w:rPr>
          <w:rFonts w:cs="Arial"/>
          <w:szCs w:val="20"/>
        </w:rPr>
        <w:t>716 patients underwent further PCI.</w:t>
      </w:r>
    </w:p>
    <w:p w14:paraId="2CD051C5" w14:textId="790A11CE" w:rsidR="0051218E" w:rsidRPr="00D852EC" w:rsidRDefault="0051218E" w:rsidP="007A7AE2">
      <w:pPr>
        <w:spacing w:after="0"/>
        <w:rPr>
          <w:rFonts w:cs="Arial"/>
          <w:szCs w:val="20"/>
        </w:rPr>
      </w:pPr>
      <w:r w:rsidRPr="00D852EC">
        <w:rPr>
          <w:rFonts w:cs="Arial"/>
          <w:szCs w:val="20"/>
        </w:rPr>
        <w:t>The primary efficacy endpoint was the composite of death from any cause or myocardial re</w:t>
      </w:r>
      <w:r w:rsidR="007A7AE2">
        <w:rPr>
          <w:rFonts w:cs="Arial"/>
          <w:szCs w:val="20"/>
        </w:rPr>
        <w:t>-</w:t>
      </w:r>
      <w:r w:rsidRPr="00D852EC">
        <w:rPr>
          <w:rFonts w:cs="Arial"/>
          <w:szCs w:val="20"/>
        </w:rPr>
        <w:t>infarction in the first 30 days after randomisation. The efficacy data provided in Table</w:t>
      </w:r>
      <w:r w:rsidR="00557C83">
        <w:rPr>
          <w:rFonts w:cs="Arial"/>
          <w:szCs w:val="20"/>
        </w:rPr>
        <w:t xml:space="preserve"> 5</w:t>
      </w:r>
      <w:r w:rsidRPr="00D852EC">
        <w:rPr>
          <w:rFonts w:cs="Arial"/>
          <w:szCs w:val="20"/>
        </w:rPr>
        <w:t xml:space="preserve"> below show that the rate of the primary efficacy endpoint (death or myocardial re-infarction) was 9.9% in the </w:t>
      </w:r>
      <w:r w:rsidR="003C10D0" w:rsidRPr="00D852EC">
        <w:rPr>
          <w:rFonts w:cs="Arial"/>
          <w:szCs w:val="20"/>
        </w:rPr>
        <w:t xml:space="preserve">Enoxaparin </w:t>
      </w:r>
      <w:r w:rsidRPr="00D852EC">
        <w:rPr>
          <w:rFonts w:cs="Arial"/>
          <w:szCs w:val="20"/>
        </w:rPr>
        <w:t>group, as compared with 12.0% in the UFH group, that is a 17% reduction in the relative risk, representing an absolute risk reduction of 2.1% (</w:t>
      </w:r>
      <w:r w:rsidR="007A7AE2">
        <w:rPr>
          <w:rFonts w:cs="Arial"/>
          <w:szCs w:val="20"/>
        </w:rPr>
        <w:t>p</w:t>
      </w:r>
      <w:r w:rsidRPr="00D852EC">
        <w:rPr>
          <w:rFonts w:cs="Arial"/>
          <w:szCs w:val="20"/>
        </w:rPr>
        <w:t>&lt;0.001).</w:t>
      </w:r>
    </w:p>
    <w:p w14:paraId="4EDDB494" w14:textId="77777777" w:rsidR="0051218E" w:rsidRPr="00D852EC" w:rsidRDefault="0051218E" w:rsidP="007A7AE2">
      <w:pPr>
        <w:spacing w:before="0" w:after="0"/>
        <w:rPr>
          <w:rFonts w:cs="Arial"/>
          <w:szCs w:val="20"/>
        </w:rPr>
      </w:pPr>
    </w:p>
    <w:p w14:paraId="2A656C95" w14:textId="5759DFE9" w:rsidR="0051218E" w:rsidRPr="00A751F3" w:rsidRDefault="007A7AE2" w:rsidP="0042177F">
      <w:pPr>
        <w:spacing w:before="0"/>
        <w:jc w:val="center"/>
        <w:rPr>
          <w:rFonts w:cs="Arial"/>
          <w:b/>
          <w:szCs w:val="20"/>
        </w:rPr>
      </w:pPr>
      <w:r w:rsidRPr="00A751F3">
        <w:rPr>
          <w:rFonts w:cs="Arial"/>
          <w:b/>
          <w:szCs w:val="20"/>
          <w:u w:val="single"/>
        </w:rPr>
        <w:t>Table 5</w:t>
      </w:r>
      <w:r w:rsidRPr="00A751F3">
        <w:rPr>
          <w:rFonts w:cs="Arial"/>
          <w:b/>
          <w:szCs w:val="20"/>
        </w:rPr>
        <w:t xml:space="preserve">: </w:t>
      </w:r>
      <w:r w:rsidR="0051218E" w:rsidRPr="00A751F3">
        <w:rPr>
          <w:rFonts w:cs="Arial"/>
          <w:b/>
          <w:szCs w:val="20"/>
        </w:rPr>
        <w:t>Efficacy of Enoxaparin in the Treatment of Acute STEMI</w:t>
      </w:r>
    </w:p>
    <w:tbl>
      <w:tblPr>
        <w:tblW w:w="9128" w:type="dxa"/>
        <w:tblLayout w:type="fixed"/>
        <w:tblCellMar>
          <w:left w:w="0" w:type="dxa"/>
          <w:right w:w="0" w:type="dxa"/>
        </w:tblCellMar>
        <w:tblLook w:val="0000" w:firstRow="0" w:lastRow="0" w:firstColumn="0" w:lastColumn="0" w:noHBand="0" w:noVBand="0"/>
      </w:tblPr>
      <w:tblGrid>
        <w:gridCol w:w="2977"/>
        <w:gridCol w:w="1276"/>
        <w:gridCol w:w="1134"/>
        <w:gridCol w:w="1134"/>
        <w:gridCol w:w="1701"/>
        <w:gridCol w:w="906"/>
      </w:tblGrid>
      <w:tr w:rsidR="0051218E" w:rsidRPr="00A751F3" w14:paraId="10C29E20" w14:textId="77777777" w:rsidTr="007B3C94">
        <w:trPr>
          <w:trHeight w:hRule="exact" w:val="703"/>
        </w:trPr>
        <w:tc>
          <w:tcPr>
            <w:tcW w:w="2977" w:type="dxa"/>
            <w:tcBorders>
              <w:top w:val="single" w:sz="5" w:space="0" w:color="auto"/>
              <w:left w:val="nil"/>
              <w:bottom w:val="single" w:sz="5" w:space="0" w:color="auto"/>
              <w:right w:val="nil"/>
            </w:tcBorders>
          </w:tcPr>
          <w:p w14:paraId="1003494D" w14:textId="77777777" w:rsidR="0051218E" w:rsidRPr="00D852EC" w:rsidRDefault="0051218E" w:rsidP="000A1317">
            <w:pPr>
              <w:spacing w:before="0" w:after="0"/>
              <w:rPr>
                <w:rFonts w:cs="Arial"/>
                <w:sz w:val="18"/>
                <w:szCs w:val="18"/>
              </w:rPr>
            </w:pPr>
          </w:p>
        </w:tc>
        <w:tc>
          <w:tcPr>
            <w:tcW w:w="1276" w:type="dxa"/>
            <w:tcBorders>
              <w:top w:val="single" w:sz="5" w:space="0" w:color="auto"/>
              <w:left w:val="nil"/>
              <w:bottom w:val="single" w:sz="5" w:space="0" w:color="auto"/>
              <w:right w:val="nil"/>
            </w:tcBorders>
            <w:vAlign w:val="center"/>
          </w:tcPr>
          <w:p w14:paraId="691FD926" w14:textId="7A9E213D" w:rsidR="0051218E" w:rsidRPr="00A751F3" w:rsidRDefault="0051218E" w:rsidP="007B3C94">
            <w:pPr>
              <w:spacing w:before="0" w:after="0"/>
              <w:jc w:val="center"/>
              <w:rPr>
                <w:rFonts w:cs="Arial"/>
                <w:b/>
                <w:sz w:val="18"/>
                <w:szCs w:val="18"/>
              </w:rPr>
            </w:pPr>
            <w:r w:rsidRPr="00A751F3">
              <w:rPr>
                <w:rFonts w:cs="Arial"/>
                <w:b/>
                <w:sz w:val="18"/>
                <w:szCs w:val="18"/>
              </w:rPr>
              <w:t>Enoxaparin</w:t>
            </w:r>
            <w:r w:rsidRPr="00A751F3">
              <w:rPr>
                <w:rFonts w:cs="Arial"/>
                <w:b/>
                <w:sz w:val="18"/>
                <w:szCs w:val="18"/>
              </w:rPr>
              <w:br/>
              <w:t>(</w:t>
            </w:r>
            <w:r w:rsidR="007B3C94" w:rsidRPr="00A751F3">
              <w:rPr>
                <w:rFonts w:cs="Arial"/>
                <w:b/>
                <w:sz w:val="18"/>
                <w:szCs w:val="18"/>
              </w:rPr>
              <w:t xml:space="preserve">n </w:t>
            </w:r>
            <w:r w:rsidRPr="00A751F3">
              <w:rPr>
                <w:rFonts w:cs="Arial"/>
                <w:b/>
                <w:sz w:val="18"/>
                <w:szCs w:val="18"/>
              </w:rPr>
              <w:t>= 10</w:t>
            </w:r>
            <w:r w:rsidR="007A7AE2" w:rsidRPr="00A751F3">
              <w:rPr>
                <w:rFonts w:cs="Arial"/>
                <w:b/>
                <w:sz w:val="18"/>
                <w:szCs w:val="18"/>
              </w:rPr>
              <w:t>,</w:t>
            </w:r>
            <w:r w:rsidRPr="00A751F3">
              <w:rPr>
                <w:rFonts w:cs="Arial"/>
                <w:b/>
                <w:sz w:val="18"/>
                <w:szCs w:val="18"/>
              </w:rPr>
              <w:t>256)</w:t>
            </w:r>
          </w:p>
        </w:tc>
        <w:tc>
          <w:tcPr>
            <w:tcW w:w="1134" w:type="dxa"/>
            <w:tcBorders>
              <w:top w:val="single" w:sz="5" w:space="0" w:color="auto"/>
              <w:left w:val="nil"/>
              <w:bottom w:val="single" w:sz="5" w:space="0" w:color="auto"/>
              <w:right w:val="nil"/>
            </w:tcBorders>
            <w:vAlign w:val="center"/>
          </w:tcPr>
          <w:p w14:paraId="05DA8044" w14:textId="1C5B6E2B" w:rsidR="0051218E" w:rsidRPr="00A751F3" w:rsidRDefault="0051218E" w:rsidP="007B3C94">
            <w:pPr>
              <w:spacing w:before="0" w:after="0"/>
              <w:jc w:val="center"/>
              <w:rPr>
                <w:rFonts w:cs="Arial"/>
                <w:b/>
                <w:sz w:val="18"/>
                <w:szCs w:val="18"/>
              </w:rPr>
            </w:pPr>
            <w:r w:rsidRPr="00A751F3">
              <w:rPr>
                <w:rFonts w:cs="Arial"/>
                <w:b/>
                <w:sz w:val="18"/>
                <w:szCs w:val="18"/>
              </w:rPr>
              <w:t>UFH</w:t>
            </w:r>
            <w:r w:rsidRPr="00A751F3">
              <w:rPr>
                <w:rFonts w:cs="Arial"/>
                <w:b/>
                <w:sz w:val="18"/>
                <w:szCs w:val="18"/>
              </w:rPr>
              <w:br/>
              <w:t>(</w:t>
            </w:r>
            <w:r w:rsidR="007B3C94" w:rsidRPr="00A751F3">
              <w:rPr>
                <w:rFonts w:cs="Arial"/>
                <w:b/>
                <w:sz w:val="18"/>
                <w:szCs w:val="18"/>
              </w:rPr>
              <w:t xml:space="preserve">n </w:t>
            </w:r>
            <w:r w:rsidRPr="00A751F3">
              <w:rPr>
                <w:rFonts w:cs="Arial"/>
                <w:b/>
                <w:sz w:val="18"/>
                <w:szCs w:val="18"/>
              </w:rPr>
              <w:t>= 10</w:t>
            </w:r>
            <w:r w:rsidR="007A7AE2" w:rsidRPr="00A751F3">
              <w:rPr>
                <w:rFonts w:cs="Arial"/>
                <w:b/>
                <w:sz w:val="18"/>
                <w:szCs w:val="18"/>
              </w:rPr>
              <w:t>,</w:t>
            </w:r>
            <w:r w:rsidRPr="00A751F3">
              <w:rPr>
                <w:rFonts w:cs="Arial"/>
                <w:b/>
                <w:sz w:val="18"/>
                <w:szCs w:val="18"/>
              </w:rPr>
              <w:t>223)</w:t>
            </w:r>
          </w:p>
        </w:tc>
        <w:tc>
          <w:tcPr>
            <w:tcW w:w="1134" w:type="dxa"/>
            <w:tcBorders>
              <w:top w:val="single" w:sz="5" w:space="0" w:color="auto"/>
              <w:left w:val="nil"/>
              <w:bottom w:val="single" w:sz="5" w:space="0" w:color="auto"/>
              <w:right w:val="nil"/>
            </w:tcBorders>
            <w:vAlign w:val="center"/>
          </w:tcPr>
          <w:p w14:paraId="2A77750A" w14:textId="77777777" w:rsidR="0051218E" w:rsidRPr="00A751F3" w:rsidRDefault="0051218E" w:rsidP="007B3C94">
            <w:pPr>
              <w:spacing w:before="0" w:after="0"/>
              <w:jc w:val="center"/>
              <w:rPr>
                <w:rFonts w:cs="Arial"/>
                <w:b/>
                <w:sz w:val="18"/>
                <w:szCs w:val="18"/>
              </w:rPr>
            </w:pPr>
            <w:r w:rsidRPr="00A751F3">
              <w:rPr>
                <w:rFonts w:cs="Arial"/>
                <w:b/>
                <w:sz w:val="18"/>
                <w:szCs w:val="18"/>
              </w:rPr>
              <w:t>Reduction in</w:t>
            </w:r>
            <w:r w:rsidRPr="00A751F3">
              <w:rPr>
                <w:rFonts w:cs="Arial"/>
                <w:b/>
                <w:sz w:val="18"/>
                <w:szCs w:val="18"/>
              </w:rPr>
              <w:br/>
              <w:t>Absolute</w:t>
            </w:r>
            <w:r w:rsidRPr="00A751F3">
              <w:rPr>
                <w:rFonts w:cs="Arial"/>
                <w:b/>
                <w:sz w:val="18"/>
                <w:szCs w:val="18"/>
              </w:rPr>
              <w:br/>
              <w:t>Risk</w:t>
            </w:r>
          </w:p>
        </w:tc>
        <w:tc>
          <w:tcPr>
            <w:tcW w:w="1701" w:type="dxa"/>
            <w:tcBorders>
              <w:top w:val="single" w:sz="5" w:space="0" w:color="auto"/>
              <w:left w:val="nil"/>
              <w:bottom w:val="single" w:sz="5" w:space="0" w:color="auto"/>
              <w:right w:val="nil"/>
            </w:tcBorders>
            <w:vAlign w:val="center"/>
          </w:tcPr>
          <w:p w14:paraId="43D1CD49" w14:textId="77777777" w:rsidR="0051218E" w:rsidRPr="00A751F3" w:rsidRDefault="0051218E" w:rsidP="007B3C94">
            <w:pPr>
              <w:spacing w:before="0" w:after="0"/>
              <w:jc w:val="center"/>
              <w:rPr>
                <w:rFonts w:cs="Arial"/>
                <w:b/>
                <w:sz w:val="18"/>
                <w:szCs w:val="18"/>
              </w:rPr>
            </w:pPr>
            <w:r w:rsidRPr="00A751F3">
              <w:rPr>
                <w:rFonts w:cs="Arial"/>
                <w:b/>
                <w:sz w:val="18"/>
                <w:szCs w:val="18"/>
              </w:rPr>
              <w:t>Relative Risk</w:t>
            </w:r>
            <w:r w:rsidRPr="00A751F3">
              <w:rPr>
                <w:rFonts w:cs="Arial"/>
                <w:b/>
                <w:sz w:val="18"/>
                <w:szCs w:val="18"/>
              </w:rPr>
              <w:br/>
              <w:t>(95% CI)</w:t>
            </w:r>
          </w:p>
        </w:tc>
        <w:tc>
          <w:tcPr>
            <w:tcW w:w="906" w:type="dxa"/>
            <w:tcBorders>
              <w:top w:val="single" w:sz="5" w:space="0" w:color="auto"/>
              <w:left w:val="nil"/>
              <w:bottom w:val="single" w:sz="5" w:space="0" w:color="auto"/>
              <w:right w:val="nil"/>
            </w:tcBorders>
            <w:vAlign w:val="center"/>
          </w:tcPr>
          <w:p w14:paraId="62BD3C63" w14:textId="6A820909" w:rsidR="0051218E" w:rsidRPr="00A751F3" w:rsidRDefault="00557C83" w:rsidP="007B3C94">
            <w:pPr>
              <w:spacing w:before="0" w:after="0"/>
              <w:jc w:val="center"/>
              <w:rPr>
                <w:rFonts w:cs="Arial"/>
                <w:b/>
                <w:sz w:val="18"/>
                <w:szCs w:val="18"/>
              </w:rPr>
            </w:pPr>
            <w:r w:rsidRPr="00A751F3">
              <w:rPr>
                <w:rFonts w:cs="Arial"/>
                <w:b/>
                <w:sz w:val="18"/>
                <w:szCs w:val="18"/>
              </w:rPr>
              <w:t>P-</w:t>
            </w:r>
            <w:r w:rsidR="0051218E" w:rsidRPr="00A751F3">
              <w:rPr>
                <w:rFonts w:cs="Arial"/>
                <w:b/>
                <w:sz w:val="18"/>
                <w:szCs w:val="18"/>
              </w:rPr>
              <w:t>Value</w:t>
            </w:r>
          </w:p>
        </w:tc>
      </w:tr>
      <w:tr w:rsidR="0051218E" w:rsidRPr="00D852EC" w14:paraId="6D244615" w14:textId="77777777" w:rsidTr="007B3C94">
        <w:trPr>
          <w:trHeight w:hRule="exact" w:val="336"/>
        </w:trPr>
        <w:tc>
          <w:tcPr>
            <w:tcW w:w="2977" w:type="dxa"/>
            <w:tcBorders>
              <w:top w:val="single" w:sz="5" w:space="0" w:color="auto"/>
              <w:left w:val="nil"/>
              <w:bottom w:val="single" w:sz="5" w:space="0" w:color="auto"/>
              <w:right w:val="nil"/>
            </w:tcBorders>
            <w:vAlign w:val="center"/>
          </w:tcPr>
          <w:p w14:paraId="1538E448" w14:textId="77777777" w:rsidR="0051218E" w:rsidRPr="00557C83" w:rsidRDefault="0051218E" w:rsidP="00A751F3">
            <w:pPr>
              <w:spacing w:before="0" w:after="0"/>
              <w:jc w:val="center"/>
              <w:rPr>
                <w:rFonts w:cs="Arial"/>
                <w:b/>
                <w:sz w:val="18"/>
                <w:szCs w:val="18"/>
              </w:rPr>
            </w:pPr>
            <w:r w:rsidRPr="00557C83">
              <w:rPr>
                <w:rFonts w:cs="Arial"/>
                <w:b/>
                <w:sz w:val="18"/>
                <w:szCs w:val="18"/>
              </w:rPr>
              <w:t>Outcome at 48 hours</w:t>
            </w:r>
          </w:p>
        </w:tc>
        <w:tc>
          <w:tcPr>
            <w:tcW w:w="1276" w:type="dxa"/>
            <w:tcBorders>
              <w:top w:val="single" w:sz="5" w:space="0" w:color="auto"/>
              <w:left w:val="nil"/>
              <w:bottom w:val="single" w:sz="5" w:space="0" w:color="auto"/>
              <w:right w:val="nil"/>
            </w:tcBorders>
            <w:vAlign w:val="center"/>
          </w:tcPr>
          <w:p w14:paraId="429A498A" w14:textId="77777777" w:rsidR="0051218E" w:rsidRPr="00D852EC" w:rsidRDefault="0051218E" w:rsidP="007B3C94">
            <w:pPr>
              <w:spacing w:before="0" w:after="0"/>
              <w:jc w:val="center"/>
              <w:rPr>
                <w:rFonts w:cs="Arial"/>
                <w:sz w:val="18"/>
                <w:szCs w:val="18"/>
              </w:rPr>
            </w:pPr>
            <w:proofErr w:type="gramStart"/>
            <w:r w:rsidRPr="00D852EC">
              <w:rPr>
                <w:rFonts w:cs="Arial"/>
                <w:sz w:val="18"/>
                <w:szCs w:val="18"/>
              </w:rPr>
              <w:t>n</w:t>
            </w:r>
            <w:proofErr w:type="gramEnd"/>
            <w:r w:rsidRPr="00D852EC">
              <w:rPr>
                <w:rFonts w:cs="Arial"/>
                <w:sz w:val="18"/>
                <w:szCs w:val="18"/>
              </w:rPr>
              <w:t xml:space="preserve"> (%)</w:t>
            </w:r>
          </w:p>
        </w:tc>
        <w:tc>
          <w:tcPr>
            <w:tcW w:w="1134" w:type="dxa"/>
            <w:tcBorders>
              <w:top w:val="single" w:sz="5" w:space="0" w:color="auto"/>
              <w:left w:val="nil"/>
              <w:bottom w:val="single" w:sz="5" w:space="0" w:color="auto"/>
              <w:right w:val="nil"/>
            </w:tcBorders>
            <w:vAlign w:val="center"/>
          </w:tcPr>
          <w:p w14:paraId="3404137E" w14:textId="77777777" w:rsidR="0051218E" w:rsidRPr="00D852EC" w:rsidRDefault="0051218E" w:rsidP="007B3C94">
            <w:pPr>
              <w:spacing w:before="0" w:after="0"/>
              <w:jc w:val="center"/>
              <w:rPr>
                <w:rFonts w:cs="Arial"/>
                <w:sz w:val="18"/>
                <w:szCs w:val="18"/>
              </w:rPr>
            </w:pPr>
            <w:proofErr w:type="gramStart"/>
            <w:r w:rsidRPr="00D852EC">
              <w:rPr>
                <w:rFonts w:cs="Arial"/>
                <w:sz w:val="18"/>
                <w:szCs w:val="18"/>
              </w:rPr>
              <w:t>n</w:t>
            </w:r>
            <w:proofErr w:type="gramEnd"/>
            <w:r w:rsidRPr="00D852EC">
              <w:rPr>
                <w:rFonts w:cs="Arial"/>
                <w:sz w:val="18"/>
                <w:szCs w:val="18"/>
              </w:rPr>
              <w:t xml:space="preserve"> (%)</w:t>
            </w:r>
          </w:p>
        </w:tc>
        <w:tc>
          <w:tcPr>
            <w:tcW w:w="1134" w:type="dxa"/>
            <w:tcBorders>
              <w:top w:val="single" w:sz="5" w:space="0" w:color="auto"/>
              <w:left w:val="nil"/>
              <w:bottom w:val="single" w:sz="5" w:space="0" w:color="auto"/>
              <w:right w:val="nil"/>
            </w:tcBorders>
            <w:vAlign w:val="center"/>
          </w:tcPr>
          <w:p w14:paraId="1B6C92E1" w14:textId="77777777" w:rsidR="0051218E" w:rsidRPr="00D852EC" w:rsidRDefault="0051218E" w:rsidP="007B3C94">
            <w:pPr>
              <w:spacing w:before="0" w:after="0"/>
              <w:jc w:val="center"/>
              <w:rPr>
                <w:rFonts w:cs="Arial"/>
                <w:sz w:val="18"/>
                <w:szCs w:val="18"/>
              </w:rPr>
            </w:pPr>
            <w:r w:rsidRPr="00D852EC">
              <w:rPr>
                <w:rFonts w:cs="Arial"/>
                <w:sz w:val="18"/>
                <w:szCs w:val="18"/>
              </w:rPr>
              <w:t>(%)</w:t>
            </w:r>
          </w:p>
        </w:tc>
        <w:tc>
          <w:tcPr>
            <w:tcW w:w="1701" w:type="dxa"/>
            <w:tcBorders>
              <w:top w:val="single" w:sz="5" w:space="0" w:color="auto"/>
              <w:left w:val="nil"/>
              <w:bottom w:val="single" w:sz="5" w:space="0" w:color="auto"/>
              <w:right w:val="nil"/>
            </w:tcBorders>
            <w:vAlign w:val="center"/>
          </w:tcPr>
          <w:p w14:paraId="2F4B8DDE" w14:textId="77777777" w:rsidR="0051218E" w:rsidRPr="00D852EC" w:rsidRDefault="0051218E" w:rsidP="007B3C94">
            <w:pPr>
              <w:spacing w:before="0" w:after="0"/>
              <w:jc w:val="center"/>
              <w:rPr>
                <w:rFonts w:cs="Arial"/>
                <w:sz w:val="18"/>
                <w:szCs w:val="18"/>
              </w:rPr>
            </w:pPr>
          </w:p>
        </w:tc>
        <w:tc>
          <w:tcPr>
            <w:tcW w:w="906" w:type="dxa"/>
            <w:tcBorders>
              <w:top w:val="single" w:sz="5" w:space="0" w:color="auto"/>
              <w:left w:val="nil"/>
              <w:bottom w:val="single" w:sz="5" w:space="0" w:color="auto"/>
              <w:right w:val="nil"/>
            </w:tcBorders>
            <w:vAlign w:val="center"/>
          </w:tcPr>
          <w:p w14:paraId="008E461C" w14:textId="77777777" w:rsidR="0051218E" w:rsidRPr="00D852EC" w:rsidRDefault="0051218E" w:rsidP="007B3C94">
            <w:pPr>
              <w:spacing w:before="0" w:after="0"/>
              <w:jc w:val="center"/>
              <w:rPr>
                <w:rFonts w:cs="Arial"/>
                <w:sz w:val="18"/>
                <w:szCs w:val="18"/>
              </w:rPr>
            </w:pPr>
          </w:p>
        </w:tc>
      </w:tr>
      <w:tr w:rsidR="0051218E" w:rsidRPr="00D852EC" w14:paraId="20EAE927" w14:textId="77777777" w:rsidTr="00557C83">
        <w:trPr>
          <w:trHeight w:hRule="exact" w:val="1670"/>
        </w:trPr>
        <w:tc>
          <w:tcPr>
            <w:tcW w:w="2977" w:type="dxa"/>
            <w:tcBorders>
              <w:top w:val="single" w:sz="5" w:space="0" w:color="auto"/>
              <w:left w:val="nil"/>
              <w:bottom w:val="single" w:sz="5" w:space="0" w:color="auto"/>
              <w:right w:val="nil"/>
            </w:tcBorders>
          </w:tcPr>
          <w:p w14:paraId="23A19063" w14:textId="77777777" w:rsidR="0051218E" w:rsidRPr="00D852EC" w:rsidRDefault="0051218E" w:rsidP="00557C83">
            <w:pPr>
              <w:spacing w:before="0" w:after="60"/>
              <w:jc w:val="left"/>
              <w:rPr>
                <w:rFonts w:cs="Arial"/>
                <w:sz w:val="18"/>
                <w:szCs w:val="18"/>
              </w:rPr>
            </w:pPr>
            <w:r w:rsidRPr="00D852EC">
              <w:rPr>
                <w:rFonts w:cs="Arial"/>
                <w:sz w:val="18"/>
                <w:szCs w:val="18"/>
              </w:rPr>
              <w:t>Death or Myocardial Re-infarction</w:t>
            </w:r>
          </w:p>
          <w:p w14:paraId="082CF59E" w14:textId="77777777" w:rsidR="0051218E" w:rsidRPr="00D852EC" w:rsidRDefault="0051218E" w:rsidP="00557C83">
            <w:pPr>
              <w:spacing w:before="0" w:after="60"/>
              <w:ind w:left="227"/>
              <w:jc w:val="left"/>
              <w:rPr>
                <w:rFonts w:cs="Arial"/>
                <w:sz w:val="18"/>
                <w:szCs w:val="18"/>
              </w:rPr>
            </w:pPr>
            <w:r w:rsidRPr="00D852EC">
              <w:rPr>
                <w:rFonts w:cs="Arial"/>
                <w:sz w:val="18"/>
                <w:szCs w:val="18"/>
              </w:rPr>
              <w:t>Death</w:t>
            </w:r>
          </w:p>
          <w:p w14:paraId="3FD76519" w14:textId="77777777" w:rsidR="0051218E" w:rsidRPr="00D852EC" w:rsidRDefault="0051218E" w:rsidP="00557C83">
            <w:pPr>
              <w:spacing w:before="0" w:after="60"/>
              <w:ind w:left="227"/>
              <w:jc w:val="left"/>
              <w:rPr>
                <w:rFonts w:cs="Arial"/>
                <w:sz w:val="18"/>
                <w:szCs w:val="18"/>
              </w:rPr>
            </w:pPr>
            <w:r w:rsidRPr="00D852EC">
              <w:rPr>
                <w:rFonts w:cs="Arial"/>
                <w:sz w:val="18"/>
                <w:szCs w:val="18"/>
              </w:rPr>
              <w:t xml:space="preserve">Myocardial Re-infarction </w:t>
            </w:r>
          </w:p>
          <w:p w14:paraId="454E3A7C" w14:textId="77777777" w:rsidR="0051218E" w:rsidRPr="00D852EC" w:rsidRDefault="0051218E" w:rsidP="00557C83">
            <w:pPr>
              <w:spacing w:before="0" w:after="60"/>
              <w:jc w:val="left"/>
              <w:rPr>
                <w:rFonts w:cs="Arial"/>
                <w:sz w:val="18"/>
                <w:szCs w:val="18"/>
              </w:rPr>
            </w:pPr>
            <w:r w:rsidRPr="00D852EC">
              <w:rPr>
                <w:rFonts w:cs="Arial"/>
                <w:sz w:val="18"/>
                <w:szCs w:val="18"/>
              </w:rPr>
              <w:t>Urgent Revascularisation</w:t>
            </w:r>
          </w:p>
          <w:p w14:paraId="65268F0C" w14:textId="308B3196" w:rsidR="0051218E" w:rsidRPr="00D852EC" w:rsidRDefault="0051218E" w:rsidP="00557C83">
            <w:pPr>
              <w:spacing w:before="0" w:after="60"/>
              <w:ind w:left="142" w:hanging="142"/>
              <w:jc w:val="left"/>
              <w:rPr>
                <w:rFonts w:cs="Arial"/>
                <w:sz w:val="18"/>
                <w:szCs w:val="18"/>
              </w:rPr>
            </w:pPr>
            <w:r w:rsidRPr="00D852EC">
              <w:rPr>
                <w:rFonts w:cs="Arial"/>
                <w:sz w:val="18"/>
                <w:szCs w:val="18"/>
              </w:rPr>
              <w:t xml:space="preserve">Death or Myocardial Re-infarction </w:t>
            </w:r>
            <w:r w:rsidR="00A751F3">
              <w:rPr>
                <w:rFonts w:cs="Arial"/>
                <w:sz w:val="18"/>
                <w:szCs w:val="18"/>
              </w:rPr>
              <w:br/>
            </w:r>
            <w:r w:rsidRPr="00D852EC">
              <w:rPr>
                <w:rFonts w:cs="Arial"/>
                <w:sz w:val="18"/>
                <w:szCs w:val="18"/>
              </w:rPr>
              <w:t>or Urgent Revascularisation</w:t>
            </w:r>
          </w:p>
        </w:tc>
        <w:tc>
          <w:tcPr>
            <w:tcW w:w="1276" w:type="dxa"/>
            <w:tcBorders>
              <w:top w:val="single" w:sz="5" w:space="0" w:color="auto"/>
              <w:left w:val="nil"/>
              <w:bottom w:val="single" w:sz="5" w:space="0" w:color="auto"/>
              <w:right w:val="nil"/>
            </w:tcBorders>
          </w:tcPr>
          <w:p w14:paraId="134A9DB2" w14:textId="668D27C1" w:rsidR="0051218E" w:rsidRPr="00D852EC" w:rsidRDefault="0051218E" w:rsidP="00557C83">
            <w:pPr>
              <w:spacing w:before="0" w:after="60"/>
              <w:jc w:val="center"/>
              <w:rPr>
                <w:rFonts w:cs="Arial"/>
                <w:sz w:val="18"/>
                <w:szCs w:val="18"/>
              </w:rPr>
            </w:pPr>
            <w:r w:rsidRPr="00D852EC">
              <w:rPr>
                <w:rFonts w:cs="Arial"/>
                <w:sz w:val="18"/>
                <w:szCs w:val="18"/>
              </w:rPr>
              <w:t>478 (4.7)</w:t>
            </w:r>
          </w:p>
          <w:p w14:paraId="30908371" w14:textId="503B0E25" w:rsidR="0051218E" w:rsidRPr="00D852EC" w:rsidRDefault="0051218E" w:rsidP="00557C83">
            <w:pPr>
              <w:spacing w:before="0" w:after="60"/>
              <w:jc w:val="center"/>
              <w:rPr>
                <w:rFonts w:cs="Arial"/>
                <w:sz w:val="18"/>
                <w:szCs w:val="18"/>
              </w:rPr>
            </w:pPr>
            <w:r w:rsidRPr="00D852EC">
              <w:rPr>
                <w:rFonts w:cs="Arial"/>
                <w:sz w:val="18"/>
                <w:szCs w:val="18"/>
              </w:rPr>
              <w:t>383 (3.7)</w:t>
            </w:r>
          </w:p>
          <w:p w14:paraId="330F4E5C" w14:textId="049A8BEB" w:rsidR="0051218E" w:rsidRPr="00D852EC" w:rsidRDefault="0051218E" w:rsidP="00557C83">
            <w:pPr>
              <w:spacing w:before="0" w:after="60"/>
              <w:jc w:val="center"/>
              <w:rPr>
                <w:rFonts w:cs="Arial"/>
                <w:sz w:val="18"/>
                <w:szCs w:val="18"/>
              </w:rPr>
            </w:pPr>
            <w:r w:rsidRPr="00D852EC">
              <w:rPr>
                <w:rFonts w:cs="Arial"/>
                <w:sz w:val="18"/>
                <w:szCs w:val="18"/>
              </w:rPr>
              <w:t>102 (1.0)</w:t>
            </w:r>
          </w:p>
          <w:p w14:paraId="6D3DDDC3" w14:textId="37F66E1E" w:rsidR="0051218E" w:rsidRPr="00D852EC" w:rsidRDefault="0051218E" w:rsidP="00557C83">
            <w:pPr>
              <w:spacing w:before="0" w:after="60"/>
              <w:jc w:val="center"/>
              <w:rPr>
                <w:rFonts w:cs="Arial"/>
                <w:sz w:val="18"/>
                <w:szCs w:val="18"/>
              </w:rPr>
            </w:pPr>
            <w:r w:rsidRPr="00D852EC">
              <w:rPr>
                <w:rFonts w:cs="Arial"/>
                <w:sz w:val="18"/>
                <w:szCs w:val="18"/>
              </w:rPr>
              <w:t>74 (0.7)</w:t>
            </w:r>
          </w:p>
          <w:p w14:paraId="79716079" w14:textId="77777777" w:rsidR="0051218E" w:rsidRPr="00D852EC" w:rsidRDefault="0051218E" w:rsidP="00557C83">
            <w:pPr>
              <w:spacing w:before="0" w:after="60"/>
              <w:jc w:val="center"/>
              <w:rPr>
                <w:rFonts w:cs="Arial"/>
                <w:sz w:val="18"/>
                <w:szCs w:val="18"/>
              </w:rPr>
            </w:pPr>
            <w:r w:rsidRPr="00D852EC">
              <w:rPr>
                <w:rFonts w:cs="Arial"/>
                <w:sz w:val="18"/>
                <w:szCs w:val="18"/>
              </w:rPr>
              <w:t>548 (5.3)</w:t>
            </w:r>
          </w:p>
        </w:tc>
        <w:tc>
          <w:tcPr>
            <w:tcW w:w="1134" w:type="dxa"/>
            <w:tcBorders>
              <w:top w:val="single" w:sz="5" w:space="0" w:color="auto"/>
              <w:left w:val="nil"/>
              <w:bottom w:val="single" w:sz="5" w:space="0" w:color="auto"/>
              <w:right w:val="nil"/>
            </w:tcBorders>
          </w:tcPr>
          <w:p w14:paraId="0D8EEBAF" w14:textId="03EB5423" w:rsidR="0051218E" w:rsidRPr="00D852EC" w:rsidRDefault="0051218E" w:rsidP="00557C83">
            <w:pPr>
              <w:spacing w:before="0" w:after="60"/>
              <w:jc w:val="center"/>
              <w:rPr>
                <w:rFonts w:cs="Arial"/>
                <w:sz w:val="18"/>
                <w:szCs w:val="18"/>
              </w:rPr>
            </w:pPr>
            <w:r w:rsidRPr="00D852EC">
              <w:rPr>
                <w:rFonts w:cs="Arial"/>
                <w:sz w:val="18"/>
                <w:szCs w:val="18"/>
              </w:rPr>
              <w:t>531 (5.2)</w:t>
            </w:r>
          </w:p>
          <w:p w14:paraId="3EF45770" w14:textId="76077104" w:rsidR="0051218E" w:rsidRPr="00D852EC" w:rsidRDefault="0051218E" w:rsidP="00557C83">
            <w:pPr>
              <w:spacing w:before="0" w:after="60"/>
              <w:jc w:val="center"/>
              <w:rPr>
                <w:rFonts w:cs="Arial"/>
                <w:sz w:val="18"/>
                <w:szCs w:val="18"/>
              </w:rPr>
            </w:pPr>
            <w:r w:rsidRPr="00D852EC">
              <w:rPr>
                <w:rFonts w:cs="Arial"/>
                <w:sz w:val="18"/>
                <w:szCs w:val="18"/>
              </w:rPr>
              <w:t>390 (3.8)</w:t>
            </w:r>
          </w:p>
          <w:p w14:paraId="3ECB4CBD" w14:textId="1687B066" w:rsidR="0051218E" w:rsidRPr="00D852EC" w:rsidRDefault="0051218E" w:rsidP="00557C83">
            <w:pPr>
              <w:spacing w:before="0" w:after="60"/>
              <w:jc w:val="center"/>
              <w:rPr>
                <w:rFonts w:cs="Arial"/>
                <w:sz w:val="18"/>
                <w:szCs w:val="18"/>
              </w:rPr>
            </w:pPr>
            <w:r w:rsidRPr="00D852EC">
              <w:rPr>
                <w:rFonts w:cs="Arial"/>
                <w:sz w:val="18"/>
                <w:szCs w:val="18"/>
              </w:rPr>
              <w:t>156 (1.5)</w:t>
            </w:r>
          </w:p>
          <w:p w14:paraId="184BBB77" w14:textId="6E86FBF7" w:rsidR="0051218E" w:rsidRPr="00D852EC" w:rsidRDefault="0051218E" w:rsidP="00557C83">
            <w:pPr>
              <w:spacing w:before="0" w:after="60"/>
              <w:jc w:val="center"/>
              <w:rPr>
                <w:rFonts w:cs="Arial"/>
                <w:sz w:val="18"/>
                <w:szCs w:val="18"/>
              </w:rPr>
            </w:pPr>
            <w:r w:rsidRPr="00D852EC">
              <w:rPr>
                <w:rFonts w:cs="Arial"/>
                <w:sz w:val="18"/>
                <w:szCs w:val="18"/>
              </w:rPr>
              <w:t>96 (0.9)</w:t>
            </w:r>
          </w:p>
          <w:p w14:paraId="2C637EAD" w14:textId="77777777" w:rsidR="0051218E" w:rsidRPr="00D852EC" w:rsidRDefault="0051218E" w:rsidP="00557C83">
            <w:pPr>
              <w:spacing w:before="0" w:after="60"/>
              <w:jc w:val="center"/>
              <w:rPr>
                <w:rFonts w:cs="Arial"/>
                <w:sz w:val="18"/>
                <w:szCs w:val="18"/>
              </w:rPr>
            </w:pPr>
            <w:r w:rsidRPr="00D852EC">
              <w:rPr>
                <w:rFonts w:cs="Arial"/>
                <w:sz w:val="18"/>
                <w:szCs w:val="18"/>
              </w:rPr>
              <w:t>622 (6.1)</w:t>
            </w:r>
          </w:p>
        </w:tc>
        <w:tc>
          <w:tcPr>
            <w:tcW w:w="1134" w:type="dxa"/>
            <w:tcBorders>
              <w:top w:val="single" w:sz="5" w:space="0" w:color="auto"/>
              <w:left w:val="nil"/>
              <w:bottom w:val="single" w:sz="5" w:space="0" w:color="auto"/>
              <w:right w:val="nil"/>
            </w:tcBorders>
          </w:tcPr>
          <w:p w14:paraId="7FFF8065" w14:textId="4B7D1470" w:rsidR="0051218E" w:rsidRPr="00D852EC" w:rsidRDefault="0051218E" w:rsidP="00557C83">
            <w:pPr>
              <w:spacing w:before="0" w:after="60"/>
              <w:jc w:val="center"/>
              <w:rPr>
                <w:rFonts w:cs="Arial"/>
                <w:sz w:val="18"/>
                <w:szCs w:val="18"/>
              </w:rPr>
            </w:pPr>
            <w:r w:rsidRPr="00D852EC">
              <w:rPr>
                <w:rFonts w:cs="Arial"/>
                <w:sz w:val="18"/>
                <w:szCs w:val="18"/>
              </w:rPr>
              <w:t>0.5</w:t>
            </w:r>
          </w:p>
          <w:p w14:paraId="07EDA2D3" w14:textId="1885E122" w:rsidR="0051218E" w:rsidRPr="00D852EC" w:rsidRDefault="0051218E" w:rsidP="00557C83">
            <w:pPr>
              <w:spacing w:before="0" w:after="60"/>
              <w:jc w:val="center"/>
              <w:rPr>
                <w:rFonts w:cs="Arial"/>
                <w:sz w:val="18"/>
                <w:szCs w:val="18"/>
              </w:rPr>
            </w:pPr>
            <w:r w:rsidRPr="00D852EC">
              <w:rPr>
                <w:rFonts w:cs="Arial"/>
                <w:sz w:val="18"/>
                <w:szCs w:val="18"/>
              </w:rPr>
              <w:t>0.1</w:t>
            </w:r>
          </w:p>
          <w:p w14:paraId="428C1D25" w14:textId="631AA406" w:rsidR="0051218E" w:rsidRPr="00D852EC" w:rsidRDefault="0051218E" w:rsidP="00557C83">
            <w:pPr>
              <w:spacing w:before="0" w:after="60"/>
              <w:jc w:val="center"/>
              <w:rPr>
                <w:rFonts w:cs="Arial"/>
                <w:sz w:val="18"/>
                <w:szCs w:val="18"/>
              </w:rPr>
            </w:pPr>
            <w:r w:rsidRPr="00D852EC">
              <w:rPr>
                <w:rFonts w:cs="Arial"/>
                <w:sz w:val="18"/>
                <w:szCs w:val="18"/>
              </w:rPr>
              <w:t>0.5</w:t>
            </w:r>
          </w:p>
          <w:p w14:paraId="1446D987" w14:textId="10136FBF" w:rsidR="0051218E" w:rsidRPr="00D852EC" w:rsidRDefault="0051218E" w:rsidP="00557C83">
            <w:pPr>
              <w:spacing w:before="0" w:after="60"/>
              <w:jc w:val="center"/>
              <w:rPr>
                <w:rFonts w:cs="Arial"/>
                <w:sz w:val="18"/>
                <w:szCs w:val="18"/>
              </w:rPr>
            </w:pPr>
            <w:r w:rsidRPr="00D852EC">
              <w:rPr>
                <w:rFonts w:cs="Arial"/>
                <w:sz w:val="18"/>
                <w:szCs w:val="18"/>
              </w:rPr>
              <w:t>0.2</w:t>
            </w:r>
          </w:p>
          <w:p w14:paraId="7D13D5A6" w14:textId="77777777" w:rsidR="0051218E" w:rsidRPr="00D852EC" w:rsidRDefault="0051218E" w:rsidP="00557C83">
            <w:pPr>
              <w:spacing w:before="0" w:after="60"/>
              <w:jc w:val="center"/>
              <w:rPr>
                <w:rFonts w:cs="Arial"/>
                <w:sz w:val="18"/>
                <w:szCs w:val="18"/>
              </w:rPr>
            </w:pPr>
            <w:r w:rsidRPr="00D852EC">
              <w:rPr>
                <w:rFonts w:cs="Arial"/>
                <w:sz w:val="18"/>
                <w:szCs w:val="18"/>
              </w:rPr>
              <w:t>0.8</w:t>
            </w:r>
          </w:p>
        </w:tc>
        <w:tc>
          <w:tcPr>
            <w:tcW w:w="1701" w:type="dxa"/>
            <w:tcBorders>
              <w:top w:val="single" w:sz="5" w:space="0" w:color="auto"/>
              <w:left w:val="nil"/>
              <w:bottom w:val="single" w:sz="5" w:space="0" w:color="auto"/>
              <w:right w:val="nil"/>
            </w:tcBorders>
          </w:tcPr>
          <w:p w14:paraId="7CF837B0" w14:textId="77777777" w:rsidR="0051218E" w:rsidRPr="00D852EC" w:rsidRDefault="0051218E" w:rsidP="00557C83">
            <w:pPr>
              <w:spacing w:before="0" w:after="60"/>
              <w:jc w:val="center"/>
              <w:rPr>
                <w:rFonts w:cs="Arial"/>
                <w:sz w:val="18"/>
                <w:szCs w:val="18"/>
              </w:rPr>
            </w:pPr>
            <w:r w:rsidRPr="00D852EC">
              <w:rPr>
                <w:rFonts w:cs="Arial"/>
                <w:sz w:val="18"/>
                <w:szCs w:val="18"/>
              </w:rPr>
              <w:t>0.90 (0.80 to 1.01)</w:t>
            </w:r>
          </w:p>
          <w:p w14:paraId="597D5AD7" w14:textId="77777777" w:rsidR="0051218E" w:rsidRPr="00D852EC" w:rsidRDefault="0051218E" w:rsidP="00557C83">
            <w:pPr>
              <w:spacing w:before="0" w:after="60"/>
              <w:jc w:val="center"/>
              <w:rPr>
                <w:rFonts w:cs="Arial"/>
                <w:sz w:val="18"/>
                <w:szCs w:val="18"/>
              </w:rPr>
            </w:pPr>
            <w:r w:rsidRPr="00D852EC">
              <w:rPr>
                <w:rFonts w:cs="Arial"/>
                <w:sz w:val="18"/>
                <w:szCs w:val="18"/>
              </w:rPr>
              <w:t>0.98 (0.85 to 1.12)</w:t>
            </w:r>
          </w:p>
          <w:p w14:paraId="3912C658" w14:textId="77777777" w:rsidR="0051218E" w:rsidRPr="00D852EC" w:rsidRDefault="0051218E" w:rsidP="00557C83">
            <w:pPr>
              <w:spacing w:before="0" w:after="60"/>
              <w:jc w:val="center"/>
              <w:rPr>
                <w:rFonts w:cs="Arial"/>
                <w:sz w:val="18"/>
                <w:szCs w:val="18"/>
              </w:rPr>
            </w:pPr>
            <w:r w:rsidRPr="00D852EC">
              <w:rPr>
                <w:rFonts w:cs="Arial"/>
                <w:sz w:val="18"/>
                <w:szCs w:val="18"/>
              </w:rPr>
              <w:t>0.65 (0.51 to 0.84)</w:t>
            </w:r>
          </w:p>
          <w:p w14:paraId="204FE873" w14:textId="77777777" w:rsidR="0051218E" w:rsidRPr="00D852EC" w:rsidRDefault="0051218E" w:rsidP="00557C83">
            <w:pPr>
              <w:spacing w:before="0" w:after="60"/>
              <w:jc w:val="center"/>
              <w:rPr>
                <w:rFonts w:cs="Arial"/>
                <w:sz w:val="18"/>
                <w:szCs w:val="18"/>
              </w:rPr>
            </w:pPr>
            <w:r w:rsidRPr="00D852EC">
              <w:rPr>
                <w:rFonts w:cs="Arial"/>
                <w:sz w:val="18"/>
                <w:szCs w:val="18"/>
              </w:rPr>
              <w:t>0.77 (0.57 to 1.04)</w:t>
            </w:r>
          </w:p>
          <w:p w14:paraId="34954C62" w14:textId="77777777" w:rsidR="0051218E" w:rsidRPr="00D852EC" w:rsidRDefault="0051218E" w:rsidP="00557C83">
            <w:pPr>
              <w:spacing w:before="0" w:after="60"/>
              <w:jc w:val="center"/>
              <w:rPr>
                <w:rFonts w:cs="Arial"/>
                <w:sz w:val="18"/>
                <w:szCs w:val="18"/>
              </w:rPr>
            </w:pPr>
            <w:r w:rsidRPr="00D852EC">
              <w:rPr>
                <w:rFonts w:cs="Arial"/>
                <w:sz w:val="18"/>
                <w:szCs w:val="18"/>
              </w:rPr>
              <w:t>0.88 (0.79 to 0.98)</w:t>
            </w:r>
          </w:p>
        </w:tc>
        <w:tc>
          <w:tcPr>
            <w:tcW w:w="906" w:type="dxa"/>
            <w:tcBorders>
              <w:top w:val="single" w:sz="5" w:space="0" w:color="auto"/>
              <w:left w:val="nil"/>
              <w:bottom w:val="single" w:sz="5" w:space="0" w:color="auto"/>
              <w:right w:val="nil"/>
            </w:tcBorders>
          </w:tcPr>
          <w:p w14:paraId="5EA025D0" w14:textId="54B2A5A3" w:rsidR="0051218E" w:rsidRPr="00D852EC" w:rsidRDefault="0051218E" w:rsidP="00557C83">
            <w:pPr>
              <w:spacing w:before="0" w:after="60"/>
              <w:jc w:val="center"/>
              <w:rPr>
                <w:rFonts w:cs="Arial"/>
                <w:sz w:val="18"/>
                <w:szCs w:val="18"/>
              </w:rPr>
            </w:pPr>
            <w:r w:rsidRPr="00D852EC">
              <w:rPr>
                <w:rFonts w:cs="Arial"/>
                <w:sz w:val="18"/>
                <w:szCs w:val="18"/>
              </w:rPr>
              <w:t>0.08</w:t>
            </w:r>
          </w:p>
          <w:p w14:paraId="40D79114" w14:textId="64894158" w:rsidR="0051218E" w:rsidRPr="00D852EC" w:rsidRDefault="0051218E" w:rsidP="00557C83">
            <w:pPr>
              <w:spacing w:before="0" w:after="60"/>
              <w:jc w:val="center"/>
              <w:rPr>
                <w:rFonts w:cs="Arial"/>
                <w:sz w:val="18"/>
                <w:szCs w:val="18"/>
              </w:rPr>
            </w:pPr>
            <w:r w:rsidRPr="00D852EC">
              <w:rPr>
                <w:rFonts w:cs="Arial"/>
                <w:sz w:val="18"/>
                <w:szCs w:val="18"/>
              </w:rPr>
              <w:t>0.76</w:t>
            </w:r>
          </w:p>
          <w:p w14:paraId="28E5710D" w14:textId="77777777" w:rsidR="0051218E" w:rsidRPr="00D852EC" w:rsidRDefault="0051218E" w:rsidP="00557C83">
            <w:pPr>
              <w:spacing w:before="0" w:after="60"/>
              <w:jc w:val="center"/>
              <w:rPr>
                <w:rFonts w:cs="Arial"/>
                <w:sz w:val="18"/>
                <w:szCs w:val="18"/>
              </w:rPr>
            </w:pPr>
            <w:r w:rsidRPr="00D852EC">
              <w:rPr>
                <w:rFonts w:cs="Arial"/>
                <w:sz w:val="18"/>
                <w:szCs w:val="18"/>
              </w:rPr>
              <w:t>&lt;0.001</w:t>
            </w:r>
          </w:p>
          <w:p w14:paraId="052ECFD3" w14:textId="16813050" w:rsidR="0051218E" w:rsidRPr="00D852EC" w:rsidRDefault="0051218E" w:rsidP="00557C83">
            <w:pPr>
              <w:spacing w:before="0" w:after="60"/>
              <w:jc w:val="center"/>
              <w:rPr>
                <w:rFonts w:cs="Arial"/>
                <w:sz w:val="18"/>
                <w:szCs w:val="18"/>
              </w:rPr>
            </w:pPr>
            <w:r w:rsidRPr="00D852EC">
              <w:rPr>
                <w:rFonts w:cs="Arial"/>
                <w:sz w:val="18"/>
                <w:szCs w:val="18"/>
              </w:rPr>
              <w:t>0.09</w:t>
            </w:r>
          </w:p>
          <w:p w14:paraId="6FE78BCB" w14:textId="77777777" w:rsidR="0051218E" w:rsidRPr="00D852EC" w:rsidRDefault="0051218E" w:rsidP="00557C83">
            <w:pPr>
              <w:spacing w:before="0" w:after="60"/>
              <w:jc w:val="center"/>
              <w:rPr>
                <w:rFonts w:cs="Arial"/>
                <w:sz w:val="18"/>
                <w:szCs w:val="18"/>
              </w:rPr>
            </w:pPr>
            <w:r w:rsidRPr="00D852EC">
              <w:rPr>
                <w:rFonts w:cs="Arial"/>
                <w:sz w:val="18"/>
                <w:szCs w:val="18"/>
              </w:rPr>
              <w:t>0.02</w:t>
            </w:r>
          </w:p>
        </w:tc>
      </w:tr>
      <w:tr w:rsidR="0051218E" w:rsidRPr="00D852EC" w14:paraId="6F14A913" w14:textId="77777777" w:rsidTr="00557C83">
        <w:trPr>
          <w:trHeight w:hRule="exact" w:val="336"/>
        </w:trPr>
        <w:tc>
          <w:tcPr>
            <w:tcW w:w="2977" w:type="dxa"/>
            <w:tcBorders>
              <w:top w:val="single" w:sz="5" w:space="0" w:color="auto"/>
              <w:left w:val="nil"/>
              <w:bottom w:val="single" w:sz="5" w:space="0" w:color="auto"/>
              <w:right w:val="nil"/>
            </w:tcBorders>
            <w:vAlign w:val="center"/>
          </w:tcPr>
          <w:p w14:paraId="6EFF4120" w14:textId="77777777" w:rsidR="0051218E" w:rsidRPr="00557C83" w:rsidRDefault="0051218E" w:rsidP="00A751F3">
            <w:pPr>
              <w:spacing w:before="0" w:after="0"/>
              <w:jc w:val="center"/>
              <w:rPr>
                <w:rFonts w:cs="Arial"/>
                <w:b/>
                <w:sz w:val="18"/>
                <w:szCs w:val="18"/>
              </w:rPr>
            </w:pPr>
            <w:r w:rsidRPr="00557C83">
              <w:rPr>
                <w:rFonts w:cs="Arial"/>
                <w:b/>
                <w:sz w:val="18"/>
                <w:szCs w:val="18"/>
              </w:rPr>
              <w:t>Outcome at 8 Days</w:t>
            </w:r>
          </w:p>
        </w:tc>
        <w:tc>
          <w:tcPr>
            <w:tcW w:w="1276" w:type="dxa"/>
            <w:tcBorders>
              <w:top w:val="single" w:sz="5" w:space="0" w:color="auto"/>
              <w:left w:val="nil"/>
              <w:bottom w:val="single" w:sz="5" w:space="0" w:color="auto"/>
              <w:right w:val="nil"/>
            </w:tcBorders>
          </w:tcPr>
          <w:p w14:paraId="51725F29" w14:textId="77777777" w:rsidR="0051218E" w:rsidRPr="00D852EC" w:rsidRDefault="0051218E" w:rsidP="007B3C94">
            <w:pPr>
              <w:spacing w:before="0" w:after="0"/>
              <w:jc w:val="center"/>
              <w:rPr>
                <w:rFonts w:cs="Arial"/>
                <w:sz w:val="18"/>
                <w:szCs w:val="18"/>
              </w:rPr>
            </w:pPr>
          </w:p>
        </w:tc>
        <w:tc>
          <w:tcPr>
            <w:tcW w:w="1134" w:type="dxa"/>
            <w:tcBorders>
              <w:top w:val="single" w:sz="5" w:space="0" w:color="auto"/>
              <w:left w:val="nil"/>
              <w:bottom w:val="single" w:sz="5" w:space="0" w:color="auto"/>
              <w:right w:val="nil"/>
            </w:tcBorders>
          </w:tcPr>
          <w:p w14:paraId="2BB98F86" w14:textId="77777777" w:rsidR="0051218E" w:rsidRPr="00D852EC" w:rsidRDefault="0051218E" w:rsidP="007B3C94">
            <w:pPr>
              <w:spacing w:before="0" w:after="0"/>
              <w:jc w:val="center"/>
              <w:rPr>
                <w:rFonts w:cs="Arial"/>
                <w:sz w:val="18"/>
                <w:szCs w:val="18"/>
              </w:rPr>
            </w:pPr>
          </w:p>
        </w:tc>
        <w:tc>
          <w:tcPr>
            <w:tcW w:w="1134" w:type="dxa"/>
            <w:tcBorders>
              <w:top w:val="single" w:sz="5" w:space="0" w:color="auto"/>
              <w:left w:val="nil"/>
              <w:bottom w:val="single" w:sz="5" w:space="0" w:color="auto"/>
              <w:right w:val="nil"/>
            </w:tcBorders>
          </w:tcPr>
          <w:p w14:paraId="08C3C32D" w14:textId="77777777" w:rsidR="0051218E" w:rsidRPr="00D852EC" w:rsidRDefault="0051218E" w:rsidP="007B3C94">
            <w:pPr>
              <w:spacing w:before="0" w:after="0"/>
              <w:jc w:val="center"/>
              <w:rPr>
                <w:rFonts w:cs="Arial"/>
                <w:sz w:val="18"/>
                <w:szCs w:val="18"/>
              </w:rPr>
            </w:pPr>
          </w:p>
        </w:tc>
        <w:tc>
          <w:tcPr>
            <w:tcW w:w="1701" w:type="dxa"/>
            <w:tcBorders>
              <w:top w:val="single" w:sz="5" w:space="0" w:color="auto"/>
              <w:left w:val="nil"/>
              <w:bottom w:val="single" w:sz="5" w:space="0" w:color="auto"/>
              <w:right w:val="nil"/>
            </w:tcBorders>
          </w:tcPr>
          <w:p w14:paraId="5923515D" w14:textId="77777777" w:rsidR="0051218E" w:rsidRPr="00D852EC" w:rsidRDefault="0051218E" w:rsidP="007B3C94">
            <w:pPr>
              <w:spacing w:before="0" w:after="0"/>
              <w:jc w:val="center"/>
              <w:rPr>
                <w:rFonts w:cs="Arial"/>
                <w:sz w:val="18"/>
                <w:szCs w:val="18"/>
              </w:rPr>
            </w:pPr>
          </w:p>
        </w:tc>
        <w:tc>
          <w:tcPr>
            <w:tcW w:w="906" w:type="dxa"/>
            <w:tcBorders>
              <w:top w:val="single" w:sz="5" w:space="0" w:color="auto"/>
              <w:left w:val="nil"/>
              <w:bottom w:val="single" w:sz="5" w:space="0" w:color="auto"/>
              <w:right w:val="nil"/>
            </w:tcBorders>
          </w:tcPr>
          <w:p w14:paraId="3AF54995" w14:textId="77777777" w:rsidR="0051218E" w:rsidRPr="00D852EC" w:rsidRDefault="0051218E" w:rsidP="007B3C94">
            <w:pPr>
              <w:spacing w:before="0" w:after="0"/>
              <w:jc w:val="center"/>
              <w:rPr>
                <w:rFonts w:cs="Arial"/>
                <w:sz w:val="18"/>
                <w:szCs w:val="18"/>
              </w:rPr>
            </w:pPr>
          </w:p>
        </w:tc>
      </w:tr>
      <w:tr w:rsidR="0051218E" w:rsidRPr="00D852EC" w14:paraId="7E6BE405" w14:textId="77777777" w:rsidTr="00557C83">
        <w:trPr>
          <w:trHeight w:hRule="exact" w:val="1641"/>
        </w:trPr>
        <w:tc>
          <w:tcPr>
            <w:tcW w:w="2977" w:type="dxa"/>
            <w:tcBorders>
              <w:top w:val="single" w:sz="5" w:space="0" w:color="auto"/>
              <w:left w:val="nil"/>
              <w:bottom w:val="single" w:sz="5" w:space="0" w:color="auto"/>
              <w:right w:val="nil"/>
            </w:tcBorders>
          </w:tcPr>
          <w:p w14:paraId="06A736D7" w14:textId="229FD5F8" w:rsidR="0051218E" w:rsidRPr="00D852EC" w:rsidRDefault="0051218E" w:rsidP="00557C83">
            <w:pPr>
              <w:spacing w:before="0" w:after="60"/>
              <w:jc w:val="left"/>
              <w:rPr>
                <w:rFonts w:cs="Arial"/>
                <w:sz w:val="18"/>
                <w:szCs w:val="18"/>
              </w:rPr>
            </w:pPr>
            <w:r w:rsidRPr="00D852EC">
              <w:rPr>
                <w:rFonts w:cs="Arial"/>
                <w:sz w:val="18"/>
                <w:szCs w:val="18"/>
              </w:rPr>
              <w:t>Death or Myocardial Re-</w:t>
            </w:r>
            <w:r w:rsidR="00A751F3" w:rsidRPr="00D852EC">
              <w:rPr>
                <w:rFonts w:cs="Arial"/>
                <w:sz w:val="18"/>
                <w:szCs w:val="18"/>
              </w:rPr>
              <w:t xml:space="preserve">Infarction </w:t>
            </w:r>
          </w:p>
          <w:p w14:paraId="57EF902C" w14:textId="77777777" w:rsidR="0051218E" w:rsidRPr="00D852EC" w:rsidRDefault="0051218E" w:rsidP="00557C83">
            <w:pPr>
              <w:spacing w:before="0" w:after="60"/>
              <w:ind w:left="227"/>
              <w:jc w:val="left"/>
              <w:rPr>
                <w:rFonts w:cs="Arial"/>
                <w:sz w:val="18"/>
                <w:szCs w:val="18"/>
              </w:rPr>
            </w:pPr>
            <w:r w:rsidRPr="00D852EC">
              <w:rPr>
                <w:rFonts w:cs="Arial"/>
                <w:sz w:val="18"/>
                <w:szCs w:val="18"/>
              </w:rPr>
              <w:t>Death</w:t>
            </w:r>
          </w:p>
          <w:p w14:paraId="1C7ADF6C" w14:textId="48677C71" w:rsidR="0051218E" w:rsidRPr="00D852EC" w:rsidRDefault="0051218E" w:rsidP="00557C83">
            <w:pPr>
              <w:spacing w:before="0" w:after="60"/>
              <w:ind w:left="227"/>
              <w:jc w:val="left"/>
              <w:rPr>
                <w:rFonts w:cs="Arial"/>
                <w:sz w:val="18"/>
                <w:szCs w:val="18"/>
              </w:rPr>
            </w:pPr>
            <w:r w:rsidRPr="00D852EC">
              <w:rPr>
                <w:rFonts w:cs="Arial"/>
                <w:sz w:val="18"/>
                <w:szCs w:val="18"/>
              </w:rPr>
              <w:t>Myocardial Re-</w:t>
            </w:r>
            <w:r w:rsidR="00A751F3" w:rsidRPr="00D852EC">
              <w:rPr>
                <w:rFonts w:cs="Arial"/>
                <w:sz w:val="18"/>
                <w:szCs w:val="18"/>
              </w:rPr>
              <w:t xml:space="preserve">Infarction </w:t>
            </w:r>
          </w:p>
          <w:p w14:paraId="30D9FA3E" w14:textId="77777777" w:rsidR="0051218E" w:rsidRPr="00D852EC" w:rsidRDefault="0051218E" w:rsidP="00557C83">
            <w:pPr>
              <w:spacing w:before="0" w:after="60"/>
              <w:jc w:val="left"/>
              <w:rPr>
                <w:rFonts w:cs="Arial"/>
                <w:sz w:val="18"/>
                <w:szCs w:val="18"/>
              </w:rPr>
            </w:pPr>
            <w:r w:rsidRPr="00D852EC">
              <w:rPr>
                <w:rFonts w:cs="Arial"/>
                <w:sz w:val="18"/>
                <w:szCs w:val="18"/>
              </w:rPr>
              <w:t>Urgent Revascularisation</w:t>
            </w:r>
          </w:p>
          <w:p w14:paraId="3561E55B" w14:textId="02848266" w:rsidR="0051218E" w:rsidRPr="00D852EC" w:rsidRDefault="0051218E" w:rsidP="00557C83">
            <w:pPr>
              <w:spacing w:before="0" w:after="60"/>
              <w:ind w:left="142" w:hanging="142"/>
              <w:jc w:val="left"/>
              <w:rPr>
                <w:rFonts w:cs="Arial"/>
                <w:sz w:val="18"/>
                <w:szCs w:val="18"/>
              </w:rPr>
            </w:pPr>
            <w:r w:rsidRPr="00D852EC">
              <w:rPr>
                <w:rFonts w:cs="Arial"/>
                <w:sz w:val="18"/>
                <w:szCs w:val="18"/>
              </w:rPr>
              <w:t xml:space="preserve">Death or Myocardial Re-infarction </w:t>
            </w:r>
            <w:r w:rsidR="00A751F3">
              <w:rPr>
                <w:rFonts w:cs="Arial"/>
                <w:sz w:val="18"/>
                <w:szCs w:val="18"/>
              </w:rPr>
              <w:br/>
            </w:r>
            <w:r w:rsidRPr="00D852EC">
              <w:rPr>
                <w:rFonts w:cs="Arial"/>
                <w:sz w:val="18"/>
                <w:szCs w:val="18"/>
              </w:rPr>
              <w:t>or Urgent Revascularisation</w:t>
            </w:r>
          </w:p>
        </w:tc>
        <w:tc>
          <w:tcPr>
            <w:tcW w:w="1276" w:type="dxa"/>
            <w:tcBorders>
              <w:top w:val="single" w:sz="5" w:space="0" w:color="auto"/>
              <w:left w:val="nil"/>
              <w:bottom w:val="single" w:sz="5" w:space="0" w:color="auto"/>
              <w:right w:val="nil"/>
            </w:tcBorders>
          </w:tcPr>
          <w:p w14:paraId="07A89CD1" w14:textId="75271D04" w:rsidR="0051218E" w:rsidRPr="00D852EC" w:rsidRDefault="0051218E" w:rsidP="00557C83">
            <w:pPr>
              <w:spacing w:before="0" w:after="60"/>
              <w:jc w:val="center"/>
              <w:rPr>
                <w:rFonts w:cs="Arial"/>
                <w:sz w:val="18"/>
                <w:szCs w:val="18"/>
              </w:rPr>
            </w:pPr>
            <w:r w:rsidRPr="00D852EC">
              <w:rPr>
                <w:rFonts w:cs="Arial"/>
                <w:sz w:val="18"/>
                <w:szCs w:val="18"/>
              </w:rPr>
              <w:t>740 (7.2)</w:t>
            </w:r>
          </w:p>
          <w:p w14:paraId="6A94BFB6" w14:textId="78911162" w:rsidR="0051218E" w:rsidRPr="00D852EC" w:rsidRDefault="0051218E" w:rsidP="00557C83">
            <w:pPr>
              <w:spacing w:before="0" w:after="60"/>
              <w:jc w:val="center"/>
              <w:rPr>
                <w:rFonts w:cs="Arial"/>
                <w:sz w:val="18"/>
                <w:szCs w:val="18"/>
              </w:rPr>
            </w:pPr>
            <w:r w:rsidRPr="00D852EC">
              <w:rPr>
                <w:rFonts w:cs="Arial"/>
                <w:sz w:val="18"/>
                <w:szCs w:val="18"/>
              </w:rPr>
              <w:t>559 (5.5)</w:t>
            </w:r>
          </w:p>
          <w:p w14:paraId="678B9563" w14:textId="7054C69F" w:rsidR="0051218E" w:rsidRPr="00D852EC" w:rsidRDefault="0051218E" w:rsidP="00557C83">
            <w:pPr>
              <w:spacing w:before="0" w:after="60"/>
              <w:jc w:val="center"/>
              <w:rPr>
                <w:rFonts w:cs="Arial"/>
                <w:sz w:val="18"/>
                <w:szCs w:val="18"/>
              </w:rPr>
            </w:pPr>
            <w:r w:rsidRPr="00D852EC">
              <w:rPr>
                <w:rFonts w:cs="Arial"/>
                <w:sz w:val="18"/>
                <w:szCs w:val="18"/>
              </w:rPr>
              <w:t>204 (2.0)</w:t>
            </w:r>
          </w:p>
          <w:p w14:paraId="70EEE2DC" w14:textId="7F54C2DC" w:rsidR="0051218E" w:rsidRPr="00D852EC" w:rsidRDefault="0051218E" w:rsidP="00557C83">
            <w:pPr>
              <w:spacing w:before="0" w:after="60"/>
              <w:jc w:val="center"/>
              <w:rPr>
                <w:rFonts w:cs="Arial"/>
                <w:sz w:val="18"/>
                <w:szCs w:val="18"/>
              </w:rPr>
            </w:pPr>
            <w:r w:rsidRPr="00D852EC">
              <w:rPr>
                <w:rFonts w:cs="Arial"/>
                <w:sz w:val="18"/>
                <w:szCs w:val="18"/>
              </w:rPr>
              <w:t>145 (1.4)</w:t>
            </w:r>
          </w:p>
          <w:p w14:paraId="17820158" w14:textId="77777777" w:rsidR="0051218E" w:rsidRPr="00D852EC" w:rsidRDefault="0051218E" w:rsidP="00557C83">
            <w:pPr>
              <w:spacing w:before="0" w:after="60"/>
              <w:jc w:val="center"/>
              <w:rPr>
                <w:rFonts w:cs="Arial"/>
                <w:sz w:val="18"/>
                <w:szCs w:val="18"/>
              </w:rPr>
            </w:pPr>
            <w:r w:rsidRPr="00D852EC">
              <w:rPr>
                <w:rFonts w:cs="Arial"/>
                <w:sz w:val="18"/>
                <w:szCs w:val="18"/>
              </w:rPr>
              <w:t>874 (8.5)</w:t>
            </w:r>
          </w:p>
        </w:tc>
        <w:tc>
          <w:tcPr>
            <w:tcW w:w="1134" w:type="dxa"/>
            <w:tcBorders>
              <w:top w:val="single" w:sz="5" w:space="0" w:color="auto"/>
              <w:left w:val="nil"/>
              <w:bottom w:val="single" w:sz="5" w:space="0" w:color="auto"/>
              <w:right w:val="nil"/>
            </w:tcBorders>
          </w:tcPr>
          <w:p w14:paraId="717A4457" w14:textId="71C470EC" w:rsidR="0051218E" w:rsidRPr="00D852EC" w:rsidRDefault="0051218E" w:rsidP="00557C83">
            <w:pPr>
              <w:spacing w:before="0" w:after="60"/>
              <w:jc w:val="center"/>
              <w:rPr>
                <w:rFonts w:cs="Arial"/>
                <w:sz w:val="18"/>
                <w:szCs w:val="18"/>
              </w:rPr>
            </w:pPr>
            <w:r w:rsidRPr="00D852EC">
              <w:rPr>
                <w:rFonts w:cs="Arial"/>
                <w:sz w:val="18"/>
                <w:szCs w:val="18"/>
              </w:rPr>
              <w:t>954 (9.3)</w:t>
            </w:r>
          </w:p>
          <w:p w14:paraId="7A9CA05C" w14:textId="182D0972" w:rsidR="0051218E" w:rsidRPr="00D852EC" w:rsidRDefault="0051218E" w:rsidP="00557C83">
            <w:pPr>
              <w:spacing w:before="0" w:after="60"/>
              <w:jc w:val="center"/>
              <w:rPr>
                <w:rFonts w:cs="Arial"/>
                <w:sz w:val="18"/>
                <w:szCs w:val="18"/>
              </w:rPr>
            </w:pPr>
            <w:r w:rsidRPr="00D852EC">
              <w:rPr>
                <w:rFonts w:cs="Arial"/>
                <w:sz w:val="18"/>
                <w:szCs w:val="18"/>
              </w:rPr>
              <w:t>605 (5.9)</w:t>
            </w:r>
          </w:p>
          <w:p w14:paraId="65C0D2D8" w14:textId="77777777" w:rsidR="0051218E" w:rsidRPr="00D852EC" w:rsidRDefault="0051218E" w:rsidP="00557C83">
            <w:pPr>
              <w:spacing w:before="0" w:after="60"/>
              <w:jc w:val="center"/>
              <w:rPr>
                <w:rFonts w:cs="Arial"/>
                <w:sz w:val="18"/>
                <w:szCs w:val="18"/>
              </w:rPr>
            </w:pPr>
            <w:r w:rsidRPr="00D852EC">
              <w:rPr>
                <w:rFonts w:cs="Arial"/>
                <w:sz w:val="18"/>
                <w:szCs w:val="18"/>
              </w:rPr>
              <w:t>379 (3.7)</w:t>
            </w:r>
          </w:p>
          <w:p w14:paraId="31659830" w14:textId="5210BCBE" w:rsidR="0051218E" w:rsidRPr="00D852EC" w:rsidRDefault="0051218E" w:rsidP="00557C83">
            <w:pPr>
              <w:spacing w:before="0" w:after="60"/>
              <w:jc w:val="center"/>
              <w:rPr>
                <w:rFonts w:cs="Arial"/>
                <w:sz w:val="18"/>
                <w:szCs w:val="18"/>
              </w:rPr>
            </w:pPr>
            <w:r w:rsidRPr="00D852EC">
              <w:rPr>
                <w:rFonts w:cs="Arial"/>
                <w:sz w:val="18"/>
                <w:szCs w:val="18"/>
              </w:rPr>
              <w:t>247 (2.4)</w:t>
            </w:r>
          </w:p>
          <w:p w14:paraId="218C3C9C" w14:textId="77777777" w:rsidR="0051218E" w:rsidRPr="00D852EC" w:rsidRDefault="0051218E" w:rsidP="00557C83">
            <w:pPr>
              <w:spacing w:before="0" w:after="60"/>
              <w:jc w:val="center"/>
              <w:rPr>
                <w:rFonts w:cs="Arial"/>
                <w:sz w:val="18"/>
                <w:szCs w:val="18"/>
              </w:rPr>
            </w:pPr>
            <w:r w:rsidRPr="00D852EC">
              <w:rPr>
                <w:rFonts w:cs="Arial"/>
                <w:sz w:val="18"/>
                <w:szCs w:val="18"/>
              </w:rPr>
              <w:t>1181 (11.6)</w:t>
            </w:r>
          </w:p>
        </w:tc>
        <w:tc>
          <w:tcPr>
            <w:tcW w:w="1134" w:type="dxa"/>
            <w:tcBorders>
              <w:top w:val="single" w:sz="5" w:space="0" w:color="auto"/>
              <w:left w:val="nil"/>
              <w:bottom w:val="single" w:sz="5" w:space="0" w:color="auto"/>
              <w:right w:val="nil"/>
            </w:tcBorders>
          </w:tcPr>
          <w:p w14:paraId="1BFDF7FA" w14:textId="67259F03" w:rsidR="0051218E" w:rsidRPr="00D852EC" w:rsidRDefault="0051218E" w:rsidP="00557C83">
            <w:pPr>
              <w:spacing w:before="0" w:after="60"/>
              <w:jc w:val="center"/>
              <w:rPr>
                <w:rFonts w:cs="Arial"/>
                <w:sz w:val="18"/>
                <w:szCs w:val="18"/>
              </w:rPr>
            </w:pPr>
            <w:r w:rsidRPr="00D852EC">
              <w:rPr>
                <w:rFonts w:cs="Arial"/>
                <w:sz w:val="18"/>
                <w:szCs w:val="18"/>
              </w:rPr>
              <w:t>2.1</w:t>
            </w:r>
          </w:p>
          <w:p w14:paraId="791EFA59" w14:textId="295215B3" w:rsidR="0051218E" w:rsidRPr="00D852EC" w:rsidRDefault="0051218E" w:rsidP="00557C83">
            <w:pPr>
              <w:spacing w:before="0" w:after="60"/>
              <w:jc w:val="center"/>
              <w:rPr>
                <w:rFonts w:cs="Arial"/>
                <w:sz w:val="18"/>
                <w:szCs w:val="18"/>
              </w:rPr>
            </w:pPr>
            <w:r w:rsidRPr="00D852EC">
              <w:rPr>
                <w:rFonts w:cs="Arial"/>
                <w:sz w:val="18"/>
                <w:szCs w:val="18"/>
              </w:rPr>
              <w:t>0.4</w:t>
            </w:r>
          </w:p>
          <w:p w14:paraId="347721F1" w14:textId="4D17452D" w:rsidR="0051218E" w:rsidRPr="00D852EC" w:rsidRDefault="0051218E" w:rsidP="00557C83">
            <w:pPr>
              <w:spacing w:before="0" w:after="60"/>
              <w:jc w:val="center"/>
              <w:rPr>
                <w:rFonts w:cs="Arial"/>
                <w:sz w:val="18"/>
                <w:szCs w:val="18"/>
              </w:rPr>
            </w:pPr>
            <w:r w:rsidRPr="00D852EC">
              <w:rPr>
                <w:rFonts w:cs="Arial"/>
                <w:sz w:val="18"/>
                <w:szCs w:val="18"/>
              </w:rPr>
              <w:t>1.7</w:t>
            </w:r>
          </w:p>
          <w:p w14:paraId="595DECE5" w14:textId="10C59E53" w:rsidR="0051218E" w:rsidRPr="00D852EC" w:rsidRDefault="0051218E" w:rsidP="00557C83">
            <w:pPr>
              <w:spacing w:before="0" w:after="60"/>
              <w:jc w:val="center"/>
              <w:rPr>
                <w:rFonts w:cs="Arial"/>
                <w:sz w:val="18"/>
                <w:szCs w:val="18"/>
              </w:rPr>
            </w:pPr>
            <w:r w:rsidRPr="00D852EC">
              <w:rPr>
                <w:rFonts w:cs="Arial"/>
                <w:sz w:val="18"/>
                <w:szCs w:val="18"/>
              </w:rPr>
              <w:t>1.0</w:t>
            </w:r>
          </w:p>
          <w:p w14:paraId="0355FEF0" w14:textId="77777777" w:rsidR="0051218E" w:rsidRPr="00D852EC" w:rsidRDefault="0051218E" w:rsidP="00557C83">
            <w:pPr>
              <w:spacing w:before="0" w:after="60"/>
              <w:jc w:val="center"/>
              <w:rPr>
                <w:rFonts w:cs="Arial"/>
                <w:sz w:val="18"/>
                <w:szCs w:val="18"/>
              </w:rPr>
            </w:pPr>
            <w:r w:rsidRPr="00D852EC">
              <w:rPr>
                <w:rFonts w:cs="Arial"/>
                <w:sz w:val="18"/>
                <w:szCs w:val="18"/>
              </w:rPr>
              <w:t>3.1</w:t>
            </w:r>
          </w:p>
        </w:tc>
        <w:tc>
          <w:tcPr>
            <w:tcW w:w="1701" w:type="dxa"/>
            <w:tcBorders>
              <w:top w:val="single" w:sz="5" w:space="0" w:color="auto"/>
              <w:left w:val="nil"/>
              <w:bottom w:val="single" w:sz="5" w:space="0" w:color="auto"/>
              <w:right w:val="nil"/>
            </w:tcBorders>
          </w:tcPr>
          <w:p w14:paraId="1521E653" w14:textId="77777777" w:rsidR="0051218E" w:rsidRPr="00D852EC" w:rsidRDefault="0051218E" w:rsidP="00557C83">
            <w:pPr>
              <w:spacing w:before="0" w:after="60"/>
              <w:jc w:val="center"/>
              <w:rPr>
                <w:rFonts w:cs="Arial"/>
                <w:sz w:val="18"/>
                <w:szCs w:val="18"/>
              </w:rPr>
            </w:pPr>
            <w:r w:rsidRPr="00D852EC">
              <w:rPr>
                <w:rFonts w:cs="Arial"/>
                <w:sz w:val="18"/>
                <w:szCs w:val="18"/>
              </w:rPr>
              <w:t>0.77 (0.71 to 0.85)</w:t>
            </w:r>
          </w:p>
          <w:p w14:paraId="508DCD47" w14:textId="77777777" w:rsidR="0051218E" w:rsidRPr="00D852EC" w:rsidRDefault="0051218E" w:rsidP="00557C83">
            <w:pPr>
              <w:spacing w:before="0" w:after="60"/>
              <w:jc w:val="center"/>
              <w:rPr>
                <w:rFonts w:cs="Arial"/>
                <w:sz w:val="18"/>
                <w:szCs w:val="18"/>
              </w:rPr>
            </w:pPr>
            <w:r w:rsidRPr="00D852EC">
              <w:rPr>
                <w:rFonts w:cs="Arial"/>
                <w:sz w:val="18"/>
                <w:szCs w:val="18"/>
              </w:rPr>
              <w:t>0.92 (0.82 to 1.03)</w:t>
            </w:r>
          </w:p>
          <w:p w14:paraId="6B08EF70" w14:textId="77777777" w:rsidR="0051218E" w:rsidRPr="00D852EC" w:rsidRDefault="0051218E" w:rsidP="00557C83">
            <w:pPr>
              <w:spacing w:before="0" w:after="60"/>
              <w:jc w:val="center"/>
              <w:rPr>
                <w:rFonts w:cs="Arial"/>
                <w:sz w:val="18"/>
                <w:szCs w:val="18"/>
              </w:rPr>
            </w:pPr>
            <w:r w:rsidRPr="00D852EC">
              <w:rPr>
                <w:rFonts w:cs="Arial"/>
                <w:sz w:val="18"/>
                <w:szCs w:val="18"/>
              </w:rPr>
              <w:t>0.54 (0.45 to 0.63)</w:t>
            </w:r>
          </w:p>
          <w:p w14:paraId="50D682F0" w14:textId="77777777" w:rsidR="0051218E" w:rsidRPr="00D852EC" w:rsidRDefault="0051218E" w:rsidP="00557C83">
            <w:pPr>
              <w:spacing w:before="0" w:after="60"/>
              <w:jc w:val="center"/>
              <w:rPr>
                <w:rFonts w:cs="Arial"/>
                <w:sz w:val="18"/>
                <w:szCs w:val="18"/>
              </w:rPr>
            </w:pPr>
            <w:r w:rsidRPr="00D852EC">
              <w:rPr>
                <w:rFonts w:cs="Arial"/>
                <w:sz w:val="18"/>
                <w:szCs w:val="18"/>
              </w:rPr>
              <w:t>0.59 (0.48 to 0.72)</w:t>
            </w:r>
          </w:p>
          <w:p w14:paraId="506A16B7" w14:textId="77777777" w:rsidR="0051218E" w:rsidRPr="00D852EC" w:rsidRDefault="0051218E" w:rsidP="00557C83">
            <w:pPr>
              <w:spacing w:before="0" w:after="60"/>
              <w:jc w:val="center"/>
              <w:rPr>
                <w:rFonts w:cs="Arial"/>
                <w:sz w:val="18"/>
                <w:szCs w:val="18"/>
              </w:rPr>
            </w:pPr>
            <w:r w:rsidRPr="00D852EC">
              <w:rPr>
                <w:rFonts w:cs="Arial"/>
                <w:sz w:val="18"/>
                <w:szCs w:val="18"/>
              </w:rPr>
              <w:t>0.74 (0.68 to 0.80)</w:t>
            </w:r>
          </w:p>
        </w:tc>
        <w:tc>
          <w:tcPr>
            <w:tcW w:w="906" w:type="dxa"/>
            <w:tcBorders>
              <w:top w:val="single" w:sz="5" w:space="0" w:color="auto"/>
              <w:left w:val="nil"/>
              <w:bottom w:val="single" w:sz="5" w:space="0" w:color="auto"/>
              <w:right w:val="nil"/>
            </w:tcBorders>
          </w:tcPr>
          <w:p w14:paraId="10F6490B" w14:textId="08579ADE" w:rsidR="0051218E" w:rsidRPr="00D852EC" w:rsidRDefault="0051218E" w:rsidP="00557C83">
            <w:pPr>
              <w:spacing w:before="0" w:after="60"/>
              <w:jc w:val="center"/>
              <w:rPr>
                <w:rFonts w:cs="Arial"/>
                <w:sz w:val="18"/>
                <w:szCs w:val="18"/>
              </w:rPr>
            </w:pPr>
            <w:r w:rsidRPr="00D852EC">
              <w:rPr>
                <w:rFonts w:cs="Arial"/>
                <w:sz w:val="18"/>
                <w:szCs w:val="18"/>
              </w:rPr>
              <w:t>&lt;0.001</w:t>
            </w:r>
          </w:p>
          <w:p w14:paraId="535CE750" w14:textId="23DCD96B" w:rsidR="0051218E" w:rsidRPr="00D852EC" w:rsidRDefault="0051218E" w:rsidP="00557C83">
            <w:pPr>
              <w:spacing w:before="0" w:after="60"/>
              <w:jc w:val="center"/>
              <w:rPr>
                <w:rFonts w:cs="Arial"/>
                <w:sz w:val="18"/>
                <w:szCs w:val="18"/>
              </w:rPr>
            </w:pPr>
            <w:r w:rsidRPr="00D852EC">
              <w:rPr>
                <w:rFonts w:cs="Arial"/>
                <w:sz w:val="18"/>
                <w:szCs w:val="18"/>
              </w:rPr>
              <w:t>0.15</w:t>
            </w:r>
          </w:p>
          <w:p w14:paraId="2E22CA5F" w14:textId="6A8D9C22" w:rsidR="0051218E" w:rsidRPr="00D852EC" w:rsidRDefault="0051218E" w:rsidP="00557C83">
            <w:pPr>
              <w:spacing w:before="0" w:after="60"/>
              <w:jc w:val="center"/>
              <w:rPr>
                <w:rFonts w:cs="Arial"/>
                <w:sz w:val="18"/>
                <w:szCs w:val="18"/>
              </w:rPr>
            </w:pPr>
            <w:r w:rsidRPr="00D852EC">
              <w:rPr>
                <w:rFonts w:cs="Arial"/>
                <w:sz w:val="18"/>
                <w:szCs w:val="18"/>
              </w:rPr>
              <w:t>&lt;0.001</w:t>
            </w:r>
          </w:p>
          <w:p w14:paraId="07BA5DFB" w14:textId="55ABC261" w:rsidR="0051218E" w:rsidRPr="00D852EC" w:rsidRDefault="0051218E" w:rsidP="00557C83">
            <w:pPr>
              <w:spacing w:before="0" w:after="60"/>
              <w:jc w:val="center"/>
              <w:rPr>
                <w:rFonts w:cs="Arial"/>
                <w:sz w:val="18"/>
                <w:szCs w:val="18"/>
              </w:rPr>
            </w:pPr>
            <w:r w:rsidRPr="00D852EC">
              <w:rPr>
                <w:rFonts w:cs="Arial"/>
                <w:sz w:val="18"/>
                <w:szCs w:val="18"/>
              </w:rPr>
              <w:t>&lt;0.001</w:t>
            </w:r>
          </w:p>
          <w:p w14:paraId="13B413E5" w14:textId="77777777" w:rsidR="0051218E" w:rsidRPr="00D852EC" w:rsidRDefault="0051218E" w:rsidP="00557C83">
            <w:pPr>
              <w:spacing w:before="0" w:after="60"/>
              <w:jc w:val="center"/>
              <w:rPr>
                <w:rFonts w:cs="Arial"/>
                <w:sz w:val="18"/>
                <w:szCs w:val="18"/>
              </w:rPr>
            </w:pPr>
            <w:r w:rsidRPr="00D852EC">
              <w:rPr>
                <w:rFonts w:cs="Arial"/>
                <w:sz w:val="18"/>
                <w:szCs w:val="18"/>
              </w:rPr>
              <w:t>&lt;0.001</w:t>
            </w:r>
          </w:p>
        </w:tc>
      </w:tr>
      <w:tr w:rsidR="0051218E" w:rsidRPr="00D852EC" w14:paraId="75FF4F6D" w14:textId="77777777" w:rsidTr="00557C83">
        <w:trPr>
          <w:trHeight w:hRule="exact" w:val="336"/>
        </w:trPr>
        <w:tc>
          <w:tcPr>
            <w:tcW w:w="2977" w:type="dxa"/>
            <w:tcBorders>
              <w:top w:val="single" w:sz="5" w:space="0" w:color="auto"/>
              <w:left w:val="nil"/>
              <w:bottom w:val="single" w:sz="5" w:space="0" w:color="auto"/>
              <w:right w:val="nil"/>
            </w:tcBorders>
            <w:vAlign w:val="center"/>
          </w:tcPr>
          <w:p w14:paraId="0C179DFD" w14:textId="77777777" w:rsidR="0051218E" w:rsidRPr="00557C83" w:rsidRDefault="0051218E" w:rsidP="00A751F3">
            <w:pPr>
              <w:spacing w:before="0" w:after="0"/>
              <w:jc w:val="center"/>
              <w:rPr>
                <w:rFonts w:cs="Arial"/>
                <w:b/>
                <w:sz w:val="18"/>
                <w:szCs w:val="18"/>
              </w:rPr>
            </w:pPr>
            <w:r w:rsidRPr="00557C83">
              <w:rPr>
                <w:rFonts w:cs="Arial"/>
                <w:b/>
                <w:sz w:val="18"/>
                <w:szCs w:val="18"/>
              </w:rPr>
              <w:t>Outcome at 30 Days</w:t>
            </w:r>
          </w:p>
        </w:tc>
        <w:tc>
          <w:tcPr>
            <w:tcW w:w="1276" w:type="dxa"/>
            <w:tcBorders>
              <w:top w:val="single" w:sz="5" w:space="0" w:color="auto"/>
              <w:left w:val="nil"/>
              <w:bottom w:val="single" w:sz="5" w:space="0" w:color="auto"/>
              <w:right w:val="nil"/>
            </w:tcBorders>
          </w:tcPr>
          <w:p w14:paraId="0114A44B" w14:textId="77777777" w:rsidR="0051218E" w:rsidRPr="00D852EC" w:rsidRDefault="0051218E" w:rsidP="007B3C94">
            <w:pPr>
              <w:spacing w:before="0" w:after="0"/>
              <w:jc w:val="center"/>
              <w:rPr>
                <w:rFonts w:cs="Arial"/>
                <w:sz w:val="18"/>
                <w:szCs w:val="18"/>
              </w:rPr>
            </w:pPr>
          </w:p>
        </w:tc>
        <w:tc>
          <w:tcPr>
            <w:tcW w:w="1134" w:type="dxa"/>
            <w:tcBorders>
              <w:top w:val="single" w:sz="5" w:space="0" w:color="auto"/>
              <w:left w:val="nil"/>
              <w:bottom w:val="single" w:sz="5" w:space="0" w:color="auto"/>
              <w:right w:val="nil"/>
            </w:tcBorders>
          </w:tcPr>
          <w:p w14:paraId="0FEF7943" w14:textId="77777777" w:rsidR="0051218E" w:rsidRPr="00D852EC" w:rsidRDefault="0051218E" w:rsidP="007B3C94">
            <w:pPr>
              <w:spacing w:before="0" w:after="0"/>
              <w:jc w:val="center"/>
              <w:rPr>
                <w:rFonts w:cs="Arial"/>
                <w:sz w:val="18"/>
                <w:szCs w:val="18"/>
              </w:rPr>
            </w:pPr>
          </w:p>
        </w:tc>
        <w:tc>
          <w:tcPr>
            <w:tcW w:w="1134" w:type="dxa"/>
            <w:tcBorders>
              <w:top w:val="single" w:sz="5" w:space="0" w:color="auto"/>
              <w:left w:val="nil"/>
              <w:bottom w:val="single" w:sz="5" w:space="0" w:color="auto"/>
              <w:right w:val="nil"/>
            </w:tcBorders>
          </w:tcPr>
          <w:p w14:paraId="710BB2AA" w14:textId="77777777" w:rsidR="0051218E" w:rsidRPr="00D852EC" w:rsidRDefault="0051218E" w:rsidP="007B3C94">
            <w:pPr>
              <w:spacing w:before="0" w:after="0"/>
              <w:jc w:val="center"/>
              <w:rPr>
                <w:rFonts w:cs="Arial"/>
                <w:sz w:val="18"/>
                <w:szCs w:val="18"/>
              </w:rPr>
            </w:pPr>
          </w:p>
        </w:tc>
        <w:tc>
          <w:tcPr>
            <w:tcW w:w="1701" w:type="dxa"/>
            <w:tcBorders>
              <w:top w:val="single" w:sz="5" w:space="0" w:color="auto"/>
              <w:left w:val="nil"/>
              <w:bottom w:val="single" w:sz="5" w:space="0" w:color="auto"/>
              <w:right w:val="nil"/>
            </w:tcBorders>
          </w:tcPr>
          <w:p w14:paraId="68D2195B" w14:textId="77777777" w:rsidR="0051218E" w:rsidRPr="00D852EC" w:rsidRDefault="0051218E" w:rsidP="007B3C94">
            <w:pPr>
              <w:spacing w:before="0" w:after="0"/>
              <w:jc w:val="center"/>
              <w:rPr>
                <w:rFonts w:cs="Arial"/>
                <w:sz w:val="18"/>
                <w:szCs w:val="18"/>
              </w:rPr>
            </w:pPr>
          </w:p>
        </w:tc>
        <w:tc>
          <w:tcPr>
            <w:tcW w:w="906" w:type="dxa"/>
            <w:tcBorders>
              <w:top w:val="single" w:sz="5" w:space="0" w:color="auto"/>
              <w:left w:val="nil"/>
              <w:bottom w:val="single" w:sz="5" w:space="0" w:color="auto"/>
              <w:right w:val="nil"/>
            </w:tcBorders>
          </w:tcPr>
          <w:p w14:paraId="5F23A860" w14:textId="77777777" w:rsidR="0051218E" w:rsidRPr="00D852EC" w:rsidRDefault="0051218E" w:rsidP="007B3C94">
            <w:pPr>
              <w:spacing w:before="0" w:after="0"/>
              <w:jc w:val="center"/>
              <w:rPr>
                <w:rFonts w:cs="Arial"/>
                <w:sz w:val="18"/>
                <w:szCs w:val="18"/>
              </w:rPr>
            </w:pPr>
          </w:p>
        </w:tc>
      </w:tr>
      <w:tr w:rsidR="0051218E" w:rsidRPr="00D852EC" w14:paraId="30FED5B1" w14:textId="77777777" w:rsidTr="00557C83">
        <w:trPr>
          <w:trHeight w:hRule="exact" w:val="1791"/>
        </w:trPr>
        <w:tc>
          <w:tcPr>
            <w:tcW w:w="2977" w:type="dxa"/>
            <w:tcBorders>
              <w:top w:val="single" w:sz="5" w:space="0" w:color="auto"/>
              <w:left w:val="nil"/>
              <w:bottom w:val="nil"/>
              <w:right w:val="nil"/>
            </w:tcBorders>
          </w:tcPr>
          <w:p w14:paraId="5E96FFA8" w14:textId="7984F16A" w:rsidR="0051218E" w:rsidRPr="00A751F3" w:rsidRDefault="0051218E" w:rsidP="00557C83">
            <w:pPr>
              <w:spacing w:before="0" w:after="60"/>
              <w:jc w:val="left"/>
              <w:rPr>
                <w:rFonts w:cs="Arial"/>
                <w:b/>
                <w:sz w:val="18"/>
                <w:szCs w:val="18"/>
              </w:rPr>
            </w:pPr>
            <w:r w:rsidRPr="00A751F3">
              <w:rPr>
                <w:rFonts w:cs="Arial"/>
                <w:b/>
                <w:sz w:val="18"/>
                <w:szCs w:val="18"/>
              </w:rPr>
              <w:lastRenderedPageBreak/>
              <w:t xml:space="preserve">Primary </w:t>
            </w:r>
            <w:r w:rsidR="00A751F3" w:rsidRPr="00A751F3">
              <w:rPr>
                <w:rFonts w:cs="Arial"/>
                <w:b/>
                <w:sz w:val="18"/>
                <w:szCs w:val="18"/>
              </w:rPr>
              <w:t xml:space="preserve">Efficacy Endpoint </w:t>
            </w:r>
            <w:r w:rsidRPr="00A751F3">
              <w:rPr>
                <w:rFonts w:cs="Arial"/>
                <w:b/>
                <w:sz w:val="18"/>
                <w:szCs w:val="18"/>
              </w:rPr>
              <w:t>(Death or Myocardial Re-</w:t>
            </w:r>
            <w:r w:rsidR="00A751F3" w:rsidRPr="00A751F3">
              <w:rPr>
                <w:rFonts w:cs="Arial"/>
                <w:b/>
                <w:sz w:val="18"/>
                <w:szCs w:val="18"/>
              </w:rPr>
              <w:t>Infarction</w:t>
            </w:r>
            <w:r w:rsidRPr="00A751F3">
              <w:rPr>
                <w:rFonts w:cs="Arial"/>
                <w:b/>
                <w:sz w:val="18"/>
                <w:szCs w:val="18"/>
              </w:rPr>
              <w:t>)</w:t>
            </w:r>
          </w:p>
          <w:p w14:paraId="61DAC1FF" w14:textId="77777777" w:rsidR="0051218E" w:rsidRPr="00D852EC" w:rsidRDefault="0051218E" w:rsidP="00557C83">
            <w:pPr>
              <w:spacing w:before="0" w:after="60"/>
              <w:ind w:left="227"/>
              <w:jc w:val="left"/>
              <w:rPr>
                <w:rFonts w:cs="Arial"/>
                <w:sz w:val="18"/>
                <w:szCs w:val="18"/>
              </w:rPr>
            </w:pPr>
            <w:r w:rsidRPr="00D852EC">
              <w:rPr>
                <w:rFonts w:cs="Arial"/>
                <w:sz w:val="18"/>
                <w:szCs w:val="18"/>
              </w:rPr>
              <w:t>Death</w:t>
            </w:r>
          </w:p>
          <w:p w14:paraId="2051380B" w14:textId="1BBFD375" w:rsidR="0051218E" w:rsidRPr="00D852EC" w:rsidRDefault="0051218E" w:rsidP="00557C83">
            <w:pPr>
              <w:spacing w:before="0" w:after="60"/>
              <w:ind w:left="227"/>
              <w:jc w:val="left"/>
              <w:rPr>
                <w:rFonts w:cs="Arial"/>
                <w:sz w:val="18"/>
                <w:szCs w:val="18"/>
              </w:rPr>
            </w:pPr>
            <w:r w:rsidRPr="00D852EC">
              <w:rPr>
                <w:rFonts w:cs="Arial"/>
                <w:sz w:val="18"/>
                <w:szCs w:val="18"/>
              </w:rPr>
              <w:t>Myocardial Re-</w:t>
            </w:r>
            <w:r w:rsidR="00A751F3" w:rsidRPr="00D852EC">
              <w:rPr>
                <w:rFonts w:cs="Arial"/>
                <w:sz w:val="18"/>
                <w:szCs w:val="18"/>
              </w:rPr>
              <w:t xml:space="preserve">Infarction </w:t>
            </w:r>
          </w:p>
          <w:p w14:paraId="66DFC0C1" w14:textId="77777777" w:rsidR="0051218E" w:rsidRPr="00D852EC" w:rsidRDefault="0051218E" w:rsidP="00557C83">
            <w:pPr>
              <w:spacing w:before="0" w:after="60"/>
              <w:jc w:val="left"/>
              <w:rPr>
                <w:rFonts w:cs="Arial"/>
                <w:sz w:val="18"/>
                <w:szCs w:val="18"/>
              </w:rPr>
            </w:pPr>
            <w:r w:rsidRPr="00D852EC">
              <w:rPr>
                <w:rFonts w:cs="Arial"/>
                <w:sz w:val="18"/>
                <w:szCs w:val="18"/>
              </w:rPr>
              <w:t>Urgent Revascularisation</w:t>
            </w:r>
          </w:p>
          <w:p w14:paraId="30F2A63F" w14:textId="68E05E0A" w:rsidR="0051218E" w:rsidRPr="00D852EC" w:rsidRDefault="0051218E" w:rsidP="00557C83">
            <w:pPr>
              <w:spacing w:before="0" w:after="60"/>
              <w:ind w:left="142" w:hanging="142"/>
              <w:jc w:val="left"/>
              <w:rPr>
                <w:rFonts w:cs="Arial"/>
                <w:sz w:val="18"/>
                <w:szCs w:val="18"/>
              </w:rPr>
            </w:pPr>
            <w:r w:rsidRPr="00D852EC">
              <w:rPr>
                <w:rFonts w:cs="Arial"/>
                <w:sz w:val="18"/>
                <w:szCs w:val="18"/>
              </w:rPr>
              <w:t xml:space="preserve">Death or Myocardial Re-infarction </w:t>
            </w:r>
            <w:r w:rsidR="00A751F3">
              <w:rPr>
                <w:rFonts w:cs="Arial"/>
                <w:sz w:val="18"/>
                <w:szCs w:val="18"/>
              </w:rPr>
              <w:br/>
            </w:r>
            <w:r w:rsidRPr="00D852EC">
              <w:rPr>
                <w:rFonts w:cs="Arial"/>
                <w:sz w:val="18"/>
                <w:szCs w:val="18"/>
              </w:rPr>
              <w:t>or Urgent Revascularisation</w:t>
            </w:r>
          </w:p>
        </w:tc>
        <w:tc>
          <w:tcPr>
            <w:tcW w:w="1276" w:type="dxa"/>
            <w:tcBorders>
              <w:top w:val="single" w:sz="5" w:space="0" w:color="auto"/>
              <w:left w:val="nil"/>
              <w:bottom w:val="nil"/>
              <w:right w:val="nil"/>
            </w:tcBorders>
          </w:tcPr>
          <w:p w14:paraId="3C4A76CC" w14:textId="77777777" w:rsidR="00A751F3" w:rsidRPr="00A751F3" w:rsidRDefault="00A751F3" w:rsidP="00557C83">
            <w:pPr>
              <w:spacing w:before="0" w:after="60"/>
              <w:jc w:val="center"/>
              <w:rPr>
                <w:rFonts w:cs="Arial"/>
                <w:b/>
                <w:sz w:val="18"/>
                <w:szCs w:val="18"/>
              </w:rPr>
            </w:pPr>
            <w:r>
              <w:rPr>
                <w:rFonts w:cs="Arial"/>
                <w:sz w:val="18"/>
                <w:szCs w:val="18"/>
              </w:rPr>
              <w:br/>
            </w:r>
            <w:r w:rsidR="0051218E" w:rsidRPr="00A751F3">
              <w:rPr>
                <w:rFonts w:cs="Arial"/>
                <w:b/>
                <w:sz w:val="18"/>
                <w:szCs w:val="18"/>
              </w:rPr>
              <w:t>1017 (9.9)</w:t>
            </w:r>
          </w:p>
          <w:p w14:paraId="292780C3" w14:textId="0FBC4F6C" w:rsidR="0051218E" w:rsidRDefault="0051218E" w:rsidP="00557C83">
            <w:pPr>
              <w:spacing w:before="0" w:after="60"/>
              <w:jc w:val="center"/>
              <w:rPr>
                <w:rFonts w:cs="Arial"/>
                <w:sz w:val="18"/>
                <w:szCs w:val="18"/>
              </w:rPr>
            </w:pPr>
            <w:r w:rsidRPr="00D852EC">
              <w:rPr>
                <w:rFonts w:cs="Arial"/>
                <w:sz w:val="18"/>
                <w:szCs w:val="18"/>
              </w:rPr>
              <w:t>708 (6.9)</w:t>
            </w:r>
          </w:p>
          <w:p w14:paraId="6B836EF0" w14:textId="7D7BEC7D" w:rsidR="0051218E" w:rsidRPr="00D852EC" w:rsidRDefault="0051218E" w:rsidP="00557C83">
            <w:pPr>
              <w:spacing w:before="0" w:after="60"/>
              <w:jc w:val="center"/>
              <w:rPr>
                <w:rFonts w:cs="Arial"/>
                <w:sz w:val="18"/>
                <w:szCs w:val="18"/>
              </w:rPr>
            </w:pPr>
            <w:r w:rsidRPr="00D852EC">
              <w:rPr>
                <w:rFonts w:cs="Arial"/>
                <w:sz w:val="18"/>
                <w:szCs w:val="18"/>
              </w:rPr>
              <w:t>352 (3.4)</w:t>
            </w:r>
          </w:p>
          <w:p w14:paraId="2C43CC93" w14:textId="162C82EE" w:rsidR="0051218E" w:rsidRPr="00D852EC" w:rsidRDefault="0051218E" w:rsidP="00557C83">
            <w:pPr>
              <w:spacing w:before="0" w:after="60"/>
              <w:jc w:val="center"/>
              <w:rPr>
                <w:rFonts w:cs="Arial"/>
                <w:sz w:val="18"/>
                <w:szCs w:val="18"/>
              </w:rPr>
            </w:pPr>
            <w:r w:rsidRPr="00D852EC">
              <w:rPr>
                <w:rFonts w:cs="Arial"/>
                <w:sz w:val="18"/>
                <w:szCs w:val="18"/>
              </w:rPr>
              <w:t>213 (2.1)</w:t>
            </w:r>
          </w:p>
          <w:p w14:paraId="400BDFB8" w14:textId="77777777" w:rsidR="0051218E" w:rsidRPr="00D852EC" w:rsidRDefault="0051218E" w:rsidP="00557C83">
            <w:pPr>
              <w:spacing w:before="0" w:after="60"/>
              <w:jc w:val="center"/>
              <w:rPr>
                <w:rFonts w:cs="Arial"/>
                <w:sz w:val="18"/>
                <w:szCs w:val="18"/>
              </w:rPr>
            </w:pPr>
            <w:r w:rsidRPr="00D852EC">
              <w:rPr>
                <w:rFonts w:cs="Arial"/>
                <w:sz w:val="18"/>
                <w:szCs w:val="18"/>
              </w:rPr>
              <w:t>1199 (11.7)</w:t>
            </w:r>
          </w:p>
        </w:tc>
        <w:tc>
          <w:tcPr>
            <w:tcW w:w="1134" w:type="dxa"/>
            <w:tcBorders>
              <w:top w:val="single" w:sz="5" w:space="0" w:color="auto"/>
              <w:left w:val="nil"/>
              <w:bottom w:val="nil"/>
              <w:right w:val="nil"/>
            </w:tcBorders>
          </w:tcPr>
          <w:p w14:paraId="424D28BC" w14:textId="77777777" w:rsidR="00A751F3" w:rsidRPr="00A751F3" w:rsidRDefault="00A751F3" w:rsidP="00557C83">
            <w:pPr>
              <w:spacing w:before="0" w:after="60"/>
              <w:jc w:val="center"/>
              <w:rPr>
                <w:rFonts w:cs="Arial"/>
                <w:b/>
                <w:sz w:val="18"/>
                <w:szCs w:val="18"/>
              </w:rPr>
            </w:pPr>
            <w:r>
              <w:rPr>
                <w:rFonts w:cs="Arial"/>
                <w:sz w:val="18"/>
                <w:szCs w:val="18"/>
              </w:rPr>
              <w:br/>
            </w:r>
            <w:r w:rsidR="0051218E" w:rsidRPr="00A751F3">
              <w:rPr>
                <w:rFonts w:cs="Arial"/>
                <w:b/>
                <w:sz w:val="18"/>
                <w:szCs w:val="18"/>
              </w:rPr>
              <w:t>1223 (12.0)</w:t>
            </w:r>
          </w:p>
          <w:p w14:paraId="02E82DED" w14:textId="6BFF91A3" w:rsidR="0051218E" w:rsidRPr="00D852EC" w:rsidRDefault="0051218E" w:rsidP="00557C83">
            <w:pPr>
              <w:spacing w:before="0" w:after="60"/>
              <w:jc w:val="center"/>
              <w:rPr>
                <w:rFonts w:cs="Arial"/>
                <w:sz w:val="18"/>
                <w:szCs w:val="18"/>
              </w:rPr>
            </w:pPr>
            <w:r w:rsidRPr="00D852EC">
              <w:rPr>
                <w:rFonts w:cs="Arial"/>
                <w:sz w:val="18"/>
                <w:szCs w:val="18"/>
              </w:rPr>
              <w:t>765 (7.5)</w:t>
            </w:r>
          </w:p>
          <w:p w14:paraId="203688EF" w14:textId="6DBE955F" w:rsidR="0051218E" w:rsidRPr="00D852EC" w:rsidRDefault="0051218E" w:rsidP="00557C83">
            <w:pPr>
              <w:spacing w:before="0" w:after="60"/>
              <w:jc w:val="center"/>
              <w:rPr>
                <w:rFonts w:cs="Arial"/>
                <w:sz w:val="18"/>
                <w:szCs w:val="18"/>
              </w:rPr>
            </w:pPr>
            <w:r w:rsidRPr="00D852EC">
              <w:rPr>
                <w:rFonts w:cs="Arial"/>
                <w:sz w:val="18"/>
                <w:szCs w:val="18"/>
              </w:rPr>
              <w:t>508 (5.0)</w:t>
            </w:r>
          </w:p>
          <w:p w14:paraId="672FF644" w14:textId="43755C11" w:rsidR="0051218E" w:rsidRPr="00D852EC" w:rsidRDefault="0051218E" w:rsidP="00557C83">
            <w:pPr>
              <w:spacing w:before="0" w:after="60"/>
              <w:jc w:val="center"/>
              <w:rPr>
                <w:rFonts w:cs="Arial"/>
                <w:sz w:val="18"/>
                <w:szCs w:val="18"/>
              </w:rPr>
            </w:pPr>
            <w:r w:rsidRPr="00D852EC">
              <w:rPr>
                <w:rFonts w:cs="Arial"/>
                <w:sz w:val="18"/>
                <w:szCs w:val="18"/>
              </w:rPr>
              <w:t>286 (2.8)</w:t>
            </w:r>
          </w:p>
          <w:p w14:paraId="36077D73" w14:textId="77777777" w:rsidR="0051218E" w:rsidRPr="00D852EC" w:rsidRDefault="0051218E" w:rsidP="00557C83">
            <w:pPr>
              <w:spacing w:before="0" w:after="60"/>
              <w:jc w:val="center"/>
              <w:rPr>
                <w:rFonts w:cs="Arial"/>
                <w:sz w:val="18"/>
                <w:szCs w:val="18"/>
              </w:rPr>
            </w:pPr>
            <w:r w:rsidRPr="00D852EC">
              <w:rPr>
                <w:rFonts w:cs="Arial"/>
                <w:sz w:val="18"/>
                <w:szCs w:val="18"/>
              </w:rPr>
              <w:t>1479 (14.5)</w:t>
            </w:r>
          </w:p>
        </w:tc>
        <w:tc>
          <w:tcPr>
            <w:tcW w:w="1134" w:type="dxa"/>
            <w:tcBorders>
              <w:top w:val="single" w:sz="5" w:space="0" w:color="auto"/>
              <w:left w:val="nil"/>
              <w:bottom w:val="nil"/>
              <w:right w:val="nil"/>
            </w:tcBorders>
          </w:tcPr>
          <w:p w14:paraId="1F46A882" w14:textId="2AC518CB" w:rsidR="0051218E" w:rsidRPr="00A751F3" w:rsidRDefault="00A751F3" w:rsidP="00557C83">
            <w:pPr>
              <w:spacing w:before="0" w:after="60"/>
              <w:jc w:val="center"/>
              <w:rPr>
                <w:rFonts w:cs="Arial"/>
                <w:b/>
                <w:sz w:val="18"/>
                <w:szCs w:val="18"/>
              </w:rPr>
            </w:pPr>
            <w:r>
              <w:rPr>
                <w:rFonts w:cs="Arial"/>
                <w:sz w:val="18"/>
                <w:szCs w:val="18"/>
              </w:rPr>
              <w:br/>
            </w:r>
            <w:r w:rsidR="0051218E" w:rsidRPr="00A751F3">
              <w:rPr>
                <w:rFonts w:cs="Arial"/>
                <w:b/>
                <w:sz w:val="18"/>
                <w:szCs w:val="18"/>
              </w:rPr>
              <w:t>2.1</w:t>
            </w:r>
          </w:p>
          <w:p w14:paraId="74BB46E2" w14:textId="77AA02D5" w:rsidR="0051218E" w:rsidRPr="00D852EC" w:rsidRDefault="0051218E" w:rsidP="00557C83">
            <w:pPr>
              <w:spacing w:before="0" w:after="60"/>
              <w:jc w:val="center"/>
              <w:rPr>
                <w:rFonts w:cs="Arial"/>
                <w:sz w:val="18"/>
                <w:szCs w:val="18"/>
              </w:rPr>
            </w:pPr>
            <w:r w:rsidRPr="00D852EC">
              <w:rPr>
                <w:rFonts w:cs="Arial"/>
                <w:sz w:val="18"/>
                <w:szCs w:val="18"/>
              </w:rPr>
              <w:t>0.6</w:t>
            </w:r>
          </w:p>
          <w:p w14:paraId="4F9B4D21" w14:textId="503B8D9A" w:rsidR="0051218E" w:rsidRPr="00D852EC" w:rsidRDefault="0051218E" w:rsidP="00557C83">
            <w:pPr>
              <w:spacing w:before="0" w:after="60"/>
              <w:jc w:val="center"/>
              <w:rPr>
                <w:rFonts w:cs="Arial"/>
                <w:sz w:val="18"/>
                <w:szCs w:val="18"/>
              </w:rPr>
            </w:pPr>
            <w:r w:rsidRPr="00D852EC">
              <w:rPr>
                <w:rFonts w:cs="Arial"/>
                <w:sz w:val="18"/>
                <w:szCs w:val="18"/>
              </w:rPr>
              <w:t>1.6</w:t>
            </w:r>
          </w:p>
          <w:p w14:paraId="13EABCBD" w14:textId="17B44043" w:rsidR="0051218E" w:rsidRPr="00D852EC" w:rsidRDefault="0051218E" w:rsidP="00557C83">
            <w:pPr>
              <w:spacing w:before="0" w:after="60"/>
              <w:jc w:val="center"/>
              <w:rPr>
                <w:rFonts w:cs="Arial"/>
                <w:sz w:val="18"/>
                <w:szCs w:val="18"/>
              </w:rPr>
            </w:pPr>
            <w:r w:rsidRPr="00D852EC">
              <w:rPr>
                <w:rFonts w:cs="Arial"/>
                <w:sz w:val="18"/>
                <w:szCs w:val="18"/>
              </w:rPr>
              <w:t>0.7</w:t>
            </w:r>
          </w:p>
          <w:p w14:paraId="2F5758A8" w14:textId="77777777" w:rsidR="0051218E" w:rsidRPr="00D852EC" w:rsidRDefault="0051218E" w:rsidP="00557C83">
            <w:pPr>
              <w:spacing w:before="0" w:after="60"/>
              <w:jc w:val="center"/>
              <w:rPr>
                <w:rFonts w:cs="Arial"/>
                <w:sz w:val="18"/>
                <w:szCs w:val="18"/>
              </w:rPr>
            </w:pPr>
            <w:r w:rsidRPr="00D852EC">
              <w:rPr>
                <w:rFonts w:cs="Arial"/>
                <w:sz w:val="18"/>
                <w:szCs w:val="18"/>
              </w:rPr>
              <w:t>2.8</w:t>
            </w:r>
          </w:p>
        </w:tc>
        <w:tc>
          <w:tcPr>
            <w:tcW w:w="1701" w:type="dxa"/>
            <w:tcBorders>
              <w:top w:val="single" w:sz="5" w:space="0" w:color="auto"/>
              <w:left w:val="nil"/>
              <w:bottom w:val="nil"/>
              <w:right w:val="nil"/>
            </w:tcBorders>
          </w:tcPr>
          <w:p w14:paraId="6A12DDD7" w14:textId="65775653" w:rsidR="0051218E" w:rsidRPr="00A751F3" w:rsidRDefault="00A751F3" w:rsidP="00557C83">
            <w:pPr>
              <w:spacing w:before="0" w:after="60"/>
              <w:jc w:val="center"/>
              <w:rPr>
                <w:rFonts w:cs="Arial"/>
                <w:b/>
                <w:sz w:val="18"/>
                <w:szCs w:val="18"/>
              </w:rPr>
            </w:pPr>
            <w:r>
              <w:rPr>
                <w:rFonts w:cs="Arial"/>
                <w:sz w:val="18"/>
                <w:szCs w:val="18"/>
              </w:rPr>
              <w:br/>
            </w:r>
            <w:r w:rsidR="0051218E" w:rsidRPr="00A751F3">
              <w:rPr>
                <w:rFonts w:cs="Arial"/>
                <w:b/>
                <w:sz w:val="18"/>
                <w:szCs w:val="18"/>
              </w:rPr>
              <w:t>0.83 (0.77 to 0.90)</w:t>
            </w:r>
          </w:p>
          <w:p w14:paraId="70D56FEC" w14:textId="77777777" w:rsidR="0051218E" w:rsidRPr="00D852EC" w:rsidRDefault="0051218E" w:rsidP="00557C83">
            <w:pPr>
              <w:spacing w:before="0" w:after="60"/>
              <w:jc w:val="center"/>
              <w:rPr>
                <w:rFonts w:cs="Arial"/>
                <w:sz w:val="18"/>
                <w:szCs w:val="18"/>
              </w:rPr>
            </w:pPr>
            <w:r w:rsidRPr="00D852EC">
              <w:rPr>
                <w:rFonts w:cs="Arial"/>
                <w:sz w:val="18"/>
                <w:szCs w:val="18"/>
              </w:rPr>
              <w:t>0.92 (0.84 to 1.02)</w:t>
            </w:r>
          </w:p>
          <w:p w14:paraId="4733A360" w14:textId="77777777" w:rsidR="0051218E" w:rsidRPr="00D852EC" w:rsidRDefault="0051218E" w:rsidP="00557C83">
            <w:pPr>
              <w:spacing w:before="0" w:after="60"/>
              <w:jc w:val="center"/>
              <w:rPr>
                <w:rFonts w:cs="Arial"/>
                <w:sz w:val="18"/>
                <w:szCs w:val="18"/>
              </w:rPr>
            </w:pPr>
            <w:r w:rsidRPr="00D852EC">
              <w:rPr>
                <w:rFonts w:cs="Arial"/>
                <w:sz w:val="18"/>
                <w:szCs w:val="18"/>
              </w:rPr>
              <w:t>0.69 (0.60 to 0.79)</w:t>
            </w:r>
          </w:p>
          <w:p w14:paraId="230F706B" w14:textId="77777777" w:rsidR="0051218E" w:rsidRPr="00D852EC" w:rsidRDefault="0051218E" w:rsidP="00557C83">
            <w:pPr>
              <w:spacing w:before="0" w:after="60"/>
              <w:jc w:val="center"/>
              <w:rPr>
                <w:rFonts w:cs="Arial"/>
                <w:sz w:val="18"/>
                <w:szCs w:val="18"/>
              </w:rPr>
            </w:pPr>
            <w:r w:rsidRPr="00D852EC">
              <w:rPr>
                <w:rFonts w:cs="Arial"/>
                <w:sz w:val="18"/>
                <w:szCs w:val="18"/>
              </w:rPr>
              <w:t>0.74 (0.62 to 0.88)</w:t>
            </w:r>
          </w:p>
          <w:p w14:paraId="22588AD8" w14:textId="77777777" w:rsidR="0051218E" w:rsidRPr="00D852EC" w:rsidRDefault="0051218E" w:rsidP="00557C83">
            <w:pPr>
              <w:spacing w:before="0" w:after="60"/>
              <w:jc w:val="center"/>
              <w:rPr>
                <w:rFonts w:cs="Arial"/>
                <w:sz w:val="18"/>
                <w:szCs w:val="18"/>
              </w:rPr>
            </w:pPr>
            <w:r w:rsidRPr="00D852EC">
              <w:rPr>
                <w:rFonts w:cs="Arial"/>
                <w:sz w:val="18"/>
                <w:szCs w:val="18"/>
              </w:rPr>
              <w:t>0.81 (0.75 to 0.87)</w:t>
            </w:r>
          </w:p>
        </w:tc>
        <w:tc>
          <w:tcPr>
            <w:tcW w:w="906" w:type="dxa"/>
            <w:tcBorders>
              <w:top w:val="single" w:sz="5" w:space="0" w:color="auto"/>
              <w:left w:val="nil"/>
              <w:bottom w:val="nil"/>
              <w:right w:val="nil"/>
            </w:tcBorders>
          </w:tcPr>
          <w:p w14:paraId="269D3068" w14:textId="77777777" w:rsidR="00A751F3" w:rsidRPr="00A751F3" w:rsidRDefault="00A751F3" w:rsidP="00557C83">
            <w:pPr>
              <w:spacing w:before="0" w:after="60"/>
              <w:jc w:val="center"/>
              <w:rPr>
                <w:rFonts w:cs="Arial"/>
                <w:b/>
                <w:sz w:val="18"/>
                <w:szCs w:val="18"/>
              </w:rPr>
            </w:pPr>
            <w:r>
              <w:rPr>
                <w:rFonts w:cs="Arial"/>
                <w:sz w:val="18"/>
                <w:szCs w:val="18"/>
              </w:rPr>
              <w:br/>
            </w:r>
            <w:r w:rsidR="0051218E" w:rsidRPr="00A751F3">
              <w:rPr>
                <w:rFonts w:cs="Arial"/>
                <w:b/>
                <w:sz w:val="18"/>
                <w:szCs w:val="18"/>
              </w:rPr>
              <w:t>&lt;0.001</w:t>
            </w:r>
          </w:p>
          <w:p w14:paraId="7A98AD40" w14:textId="7756BB94" w:rsidR="0051218E" w:rsidRPr="00D852EC" w:rsidRDefault="0051218E" w:rsidP="00557C83">
            <w:pPr>
              <w:spacing w:before="0" w:after="60"/>
              <w:jc w:val="center"/>
              <w:rPr>
                <w:rFonts w:cs="Arial"/>
                <w:sz w:val="18"/>
                <w:szCs w:val="18"/>
              </w:rPr>
            </w:pPr>
            <w:r w:rsidRPr="00D852EC">
              <w:rPr>
                <w:rFonts w:cs="Arial"/>
                <w:sz w:val="18"/>
                <w:szCs w:val="18"/>
              </w:rPr>
              <w:t>0.11</w:t>
            </w:r>
          </w:p>
          <w:p w14:paraId="4E3B63DD" w14:textId="50048A8A" w:rsidR="0051218E" w:rsidRPr="00D852EC" w:rsidRDefault="0051218E" w:rsidP="00557C83">
            <w:pPr>
              <w:spacing w:before="0" w:after="60"/>
              <w:jc w:val="center"/>
              <w:rPr>
                <w:rFonts w:cs="Arial"/>
                <w:sz w:val="18"/>
                <w:szCs w:val="18"/>
              </w:rPr>
            </w:pPr>
            <w:r w:rsidRPr="00D852EC">
              <w:rPr>
                <w:rFonts w:cs="Arial"/>
                <w:sz w:val="18"/>
                <w:szCs w:val="18"/>
              </w:rPr>
              <w:t>&lt;0.001</w:t>
            </w:r>
          </w:p>
          <w:p w14:paraId="5772F99D" w14:textId="5943C120" w:rsidR="0051218E" w:rsidRPr="00D852EC" w:rsidRDefault="0051218E" w:rsidP="00557C83">
            <w:pPr>
              <w:spacing w:before="0" w:after="60"/>
              <w:jc w:val="center"/>
              <w:rPr>
                <w:rFonts w:cs="Arial"/>
                <w:sz w:val="18"/>
                <w:szCs w:val="18"/>
              </w:rPr>
            </w:pPr>
            <w:r w:rsidRPr="00D852EC">
              <w:rPr>
                <w:rFonts w:cs="Arial"/>
                <w:sz w:val="18"/>
                <w:szCs w:val="18"/>
              </w:rPr>
              <w:t>&lt;0.001</w:t>
            </w:r>
          </w:p>
          <w:p w14:paraId="70DEDE30" w14:textId="77777777" w:rsidR="0051218E" w:rsidRPr="00D852EC" w:rsidRDefault="0051218E" w:rsidP="00557C83">
            <w:pPr>
              <w:spacing w:before="0" w:after="60"/>
              <w:jc w:val="center"/>
              <w:rPr>
                <w:rFonts w:cs="Arial"/>
                <w:sz w:val="18"/>
                <w:szCs w:val="18"/>
              </w:rPr>
            </w:pPr>
            <w:r w:rsidRPr="00D852EC">
              <w:rPr>
                <w:rFonts w:cs="Arial"/>
                <w:sz w:val="18"/>
                <w:szCs w:val="18"/>
              </w:rPr>
              <w:t>&lt;0.001</w:t>
            </w:r>
          </w:p>
        </w:tc>
      </w:tr>
    </w:tbl>
    <w:p w14:paraId="3B58C3B0" w14:textId="77777777" w:rsidR="0051218E" w:rsidRPr="00D852EC" w:rsidRDefault="0051218E" w:rsidP="00A751F3">
      <w:pPr>
        <w:pBdr>
          <w:top w:val="single" w:sz="4" w:space="1" w:color="auto"/>
        </w:pBdr>
        <w:spacing w:after="360"/>
        <w:rPr>
          <w:rFonts w:cs="Arial"/>
          <w:sz w:val="16"/>
          <w:szCs w:val="16"/>
        </w:rPr>
      </w:pPr>
      <w:r w:rsidRPr="00D852EC">
        <w:rPr>
          <w:rFonts w:cs="Arial"/>
          <w:sz w:val="16"/>
          <w:szCs w:val="16"/>
        </w:rPr>
        <w:t xml:space="preserve">Note: Urgent revascularisation denotes episodes of recurrent myocardial </w:t>
      </w:r>
      <w:proofErr w:type="spellStart"/>
      <w:r w:rsidRPr="00D852EC">
        <w:rPr>
          <w:rFonts w:cs="Arial"/>
          <w:sz w:val="16"/>
          <w:szCs w:val="16"/>
        </w:rPr>
        <w:t>ischaemia</w:t>
      </w:r>
      <w:proofErr w:type="spellEnd"/>
      <w:r w:rsidRPr="00D852EC">
        <w:rPr>
          <w:rFonts w:cs="Arial"/>
          <w:sz w:val="16"/>
          <w:szCs w:val="16"/>
        </w:rPr>
        <w:t xml:space="preserve"> (without infarction) leading to the clinical decision to perform coronary revascularization during the same hospitalization. CI denotes confidence intervals.</w:t>
      </w:r>
    </w:p>
    <w:p w14:paraId="6851D66B" w14:textId="43550C0C" w:rsidR="0051218E" w:rsidRPr="00D852EC" w:rsidRDefault="0051218E" w:rsidP="000A1317">
      <w:pPr>
        <w:rPr>
          <w:rFonts w:cs="Arial"/>
          <w:szCs w:val="20"/>
        </w:rPr>
      </w:pPr>
      <w:r w:rsidRPr="00D852EC">
        <w:rPr>
          <w:rFonts w:cs="Arial"/>
          <w:szCs w:val="20"/>
        </w:rPr>
        <w:t xml:space="preserve">The treatment benefits of </w:t>
      </w:r>
      <w:r w:rsidR="003C10D0" w:rsidRPr="00D852EC">
        <w:rPr>
          <w:rFonts w:cs="Arial"/>
          <w:szCs w:val="20"/>
        </w:rPr>
        <w:t>Enoxaparin</w:t>
      </w:r>
      <w:r w:rsidRPr="00D852EC">
        <w:rPr>
          <w:rFonts w:cs="Arial"/>
          <w:szCs w:val="20"/>
        </w:rPr>
        <w:t>, evident for a number of efficacy outcomes, emerged at 48 hours, at which time there was a 35% reduction in the relative risk of myocardial re-infarction, as compared with UFH (</w:t>
      </w:r>
      <w:r w:rsidR="006852AC">
        <w:rPr>
          <w:rFonts w:cs="Arial"/>
          <w:szCs w:val="20"/>
        </w:rPr>
        <w:t>p</w:t>
      </w:r>
      <w:r w:rsidRPr="00D852EC">
        <w:rPr>
          <w:rFonts w:cs="Arial"/>
          <w:szCs w:val="20"/>
        </w:rPr>
        <w:t xml:space="preserve">&lt;0.0001), representing an absolute risk reduction of 0.5%. The beneficial effect of </w:t>
      </w:r>
      <w:r w:rsidR="003C10D0" w:rsidRPr="00D852EC">
        <w:rPr>
          <w:rFonts w:cs="Arial"/>
          <w:szCs w:val="20"/>
        </w:rPr>
        <w:t xml:space="preserve">Enoxaparin </w:t>
      </w:r>
      <w:r w:rsidRPr="00D852EC">
        <w:rPr>
          <w:rFonts w:cs="Arial"/>
          <w:szCs w:val="20"/>
        </w:rPr>
        <w:t xml:space="preserve">on the primary endpoint was consistent across key subgroups including age, gender, infarct location, history of diabetes, history of prior myocardial infarction, fibrinolytic administered and time to treatment with study drug, however it is necessary to interpret such subgroup analyses with caution (see Figure </w:t>
      </w:r>
      <w:r w:rsidR="006852AC">
        <w:rPr>
          <w:rFonts w:cs="Arial"/>
          <w:szCs w:val="20"/>
        </w:rPr>
        <w:t xml:space="preserve">1, </w:t>
      </w:r>
      <w:r w:rsidRPr="00D852EC">
        <w:rPr>
          <w:rFonts w:cs="Arial"/>
          <w:szCs w:val="20"/>
        </w:rPr>
        <w:t>below).</w:t>
      </w:r>
    </w:p>
    <w:p w14:paraId="7CC8DDBD" w14:textId="7D56B7EE" w:rsidR="00A751F3" w:rsidRPr="00A751F3" w:rsidRDefault="00A751F3" w:rsidP="00A751F3">
      <w:pPr>
        <w:spacing w:before="240" w:after="0"/>
        <w:jc w:val="center"/>
        <w:rPr>
          <w:rFonts w:cs="Arial"/>
          <w:b/>
          <w:szCs w:val="20"/>
        </w:rPr>
      </w:pPr>
      <w:r w:rsidRPr="00A751F3">
        <w:rPr>
          <w:rFonts w:cs="Arial"/>
          <w:b/>
          <w:szCs w:val="20"/>
          <w:u w:val="single"/>
        </w:rPr>
        <w:t>Figure 1</w:t>
      </w:r>
      <w:r w:rsidRPr="00A751F3">
        <w:rPr>
          <w:rFonts w:cs="Arial"/>
          <w:b/>
          <w:szCs w:val="20"/>
        </w:rPr>
        <w:t xml:space="preserve">: Relative Risks of and Absolute Event Rates for the </w:t>
      </w:r>
      <w:r w:rsidRPr="00A751F3">
        <w:rPr>
          <w:rFonts w:cs="Arial"/>
          <w:b/>
          <w:szCs w:val="20"/>
        </w:rPr>
        <w:br/>
        <w:t>Primary Endpoint at 30 Days in Various Subgroups</w:t>
      </w:r>
      <w:r w:rsidRPr="00A751F3">
        <w:rPr>
          <w:rFonts w:cs="Arial"/>
          <w:b/>
          <w:szCs w:val="20"/>
          <w:u w:val="single"/>
        </w:rPr>
        <w:t xml:space="preserve"> </w:t>
      </w:r>
    </w:p>
    <w:p w14:paraId="61AD2157" w14:textId="77777777" w:rsidR="0051218E" w:rsidRPr="00D852EC" w:rsidRDefault="0051218E" w:rsidP="000A1317">
      <w:pPr>
        <w:rPr>
          <w:rFonts w:cs="Arial"/>
          <w:b/>
          <w:noProof/>
          <w:szCs w:val="20"/>
        </w:rPr>
      </w:pPr>
      <w:r w:rsidRPr="00D852EC">
        <w:rPr>
          <w:rFonts w:cs="Arial"/>
          <w:b/>
          <w:noProof/>
          <w:szCs w:val="20"/>
          <w:lang w:eastAsia="en-AU"/>
        </w:rPr>
        <w:drawing>
          <wp:inline distT="0" distB="0" distL="0" distR="0" wp14:anchorId="3E0DAE96" wp14:editId="24D13F78">
            <wp:extent cx="5792108" cy="440960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2822" t="18347" r="24562" b="7661"/>
                    <a:stretch>
                      <a:fillRect/>
                    </a:stretch>
                  </pic:blipFill>
                  <pic:spPr bwMode="auto">
                    <a:xfrm>
                      <a:off x="0" y="0"/>
                      <a:ext cx="5811025" cy="4424005"/>
                    </a:xfrm>
                    <a:prstGeom prst="rect">
                      <a:avLst/>
                    </a:prstGeom>
                    <a:noFill/>
                    <a:ln w="9525">
                      <a:noFill/>
                      <a:miter lim="800000"/>
                      <a:headEnd/>
                      <a:tailEnd/>
                    </a:ln>
                  </pic:spPr>
                </pic:pic>
              </a:graphicData>
            </a:graphic>
          </wp:inline>
        </w:drawing>
      </w:r>
    </w:p>
    <w:p w14:paraId="6E1E5497" w14:textId="284482C6" w:rsidR="0051218E" w:rsidRPr="00D852EC" w:rsidRDefault="0051218E" w:rsidP="006852AC">
      <w:pPr>
        <w:spacing w:after="360"/>
        <w:rPr>
          <w:rFonts w:cs="Arial"/>
          <w:sz w:val="16"/>
          <w:szCs w:val="16"/>
        </w:rPr>
      </w:pPr>
      <w:r w:rsidRPr="00D852EC">
        <w:rPr>
          <w:rFonts w:cs="Arial"/>
          <w:sz w:val="16"/>
          <w:szCs w:val="16"/>
        </w:rPr>
        <w:t xml:space="preserve">The primary efficacy endpoint was the composite of death from any cause or myocardial re- infarction in the first 30 days. The overall treatment effect of </w:t>
      </w:r>
      <w:r w:rsidR="003C10D0" w:rsidRPr="00D852EC">
        <w:rPr>
          <w:rFonts w:cs="Arial"/>
          <w:sz w:val="16"/>
          <w:szCs w:val="16"/>
        </w:rPr>
        <w:t xml:space="preserve">Enoxaparin </w:t>
      </w:r>
      <w:r w:rsidRPr="00D852EC">
        <w:rPr>
          <w:rFonts w:cs="Arial"/>
          <w:sz w:val="16"/>
          <w:szCs w:val="16"/>
        </w:rPr>
        <w:t xml:space="preserve">as compared to the UFH </w:t>
      </w:r>
      <w:proofErr w:type="gramStart"/>
      <w:r w:rsidRPr="00D852EC">
        <w:rPr>
          <w:rFonts w:cs="Arial"/>
          <w:sz w:val="16"/>
          <w:szCs w:val="16"/>
        </w:rPr>
        <w:t>is shown</w:t>
      </w:r>
      <w:proofErr w:type="gramEnd"/>
      <w:r w:rsidRPr="00D852EC">
        <w:rPr>
          <w:rFonts w:cs="Arial"/>
          <w:sz w:val="16"/>
          <w:szCs w:val="16"/>
        </w:rPr>
        <w:t xml:space="preserve"> at the bottom of the figure. For each subgroup, the circle is proportional to the number of patients and represents the point estimate of the treatment effect and the horizontal lines represent the 95% confidence intervals. Fibrin-specific fibrinolytic agents included </w:t>
      </w:r>
      <w:proofErr w:type="spellStart"/>
      <w:r w:rsidRPr="00D852EC">
        <w:rPr>
          <w:rFonts w:cs="Arial"/>
          <w:sz w:val="16"/>
          <w:szCs w:val="16"/>
        </w:rPr>
        <w:t>alteplase</w:t>
      </w:r>
      <w:proofErr w:type="spellEnd"/>
      <w:r w:rsidRPr="00D852EC">
        <w:rPr>
          <w:rFonts w:cs="Arial"/>
          <w:sz w:val="16"/>
          <w:szCs w:val="16"/>
        </w:rPr>
        <w:t xml:space="preserve">, </w:t>
      </w:r>
      <w:proofErr w:type="spellStart"/>
      <w:r w:rsidRPr="00D852EC">
        <w:rPr>
          <w:rFonts w:cs="Arial"/>
          <w:sz w:val="16"/>
          <w:szCs w:val="16"/>
        </w:rPr>
        <w:t>tenecteplase</w:t>
      </w:r>
      <w:proofErr w:type="spellEnd"/>
      <w:r w:rsidRPr="00D852EC">
        <w:rPr>
          <w:rFonts w:cs="Arial"/>
          <w:sz w:val="16"/>
          <w:szCs w:val="16"/>
        </w:rPr>
        <w:t xml:space="preserve"> and </w:t>
      </w:r>
      <w:proofErr w:type="spellStart"/>
      <w:r w:rsidRPr="00D852EC">
        <w:rPr>
          <w:rFonts w:cs="Arial"/>
          <w:sz w:val="16"/>
          <w:szCs w:val="16"/>
        </w:rPr>
        <w:t>reteplase</w:t>
      </w:r>
      <w:proofErr w:type="spellEnd"/>
      <w:r w:rsidRPr="00D852EC">
        <w:rPr>
          <w:rFonts w:cs="Arial"/>
          <w:sz w:val="16"/>
          <w:szCs w:val="16"/>
        </w:rPr>
        <w:t xml:space="preserve">. Time to treatment </w:t>
      </w:r>
      <w:r w:rsidRPr="00D852EC">
        <w:rPr>
          <w:rFonts w:cs="Arial"/>
          <w:sz w:val="16"/>
          <w:szCs w:val="16"/>
        </w:rPr>
        <w:lastRenderedPageBreak/>
        <w:t xml:space="preserve">indicates the time from the onset of symptoms to the administration of study drug (median 3.2 hours). Although there was some variation in the estimate of the treatment effect of </w:t>
      </w:r>
      <w:r w:rsidR="003C10D0" w:rsidRPr="00D852EC">
        <w:rPr>
          <w:rFonts w:cs="Arial"/>
          <w:sz w:val="16"/>
          <w:szCs w:val="16"/>
        </w:rPr>
        <w:t xml:space="preserve">Enoxaparin </w:t>
      </w:r>
      <w:r w:rsidRPr="00D852EC">
        <w:rPr>
          <w:rFonts w:cs="Arial"/>
          <w:sz w:val="16"/>
          <w:szCs w:val="16"/>
        </w:rPr>
        <w:t>on the primary endpoint across the subgroups shown, all P values in tests for interaction were non</w:t>
      </w:r>
      <w:r w:rsidR="006852AC">
        <w:rPr>
          <w:rFonts w:cs="Arial"/>
          <w:sz w:val="16"/>
          <w:szCs w:val="16"/>
        </w:rPr>
        <w:t>-</w:t>
      </w:r>
      <w:r w:rsidRPr="00D852EC">
        <w:rPr>
          <w:rFonts w:cs="Arial"/>
          <w:sz w:val="16"/>
          <w:szCs w:val="16"/>
        </w:rPr>
        <w:t>significant.</w:t>
      </w:r>
    </w:p>
    <w:p w14:paraId="44957AD3" w14:textId="5748891F" w:rsidR="0051218E" w:rsidRPr="00D852EC" w:rsidRDefault="0051218E" w:rsidP="000A1317">
      <w:pPr>
        <w:rPr>
          <w:rFonts w:cs="Arial"/>
          <w:szCs w:val="20"/>
        </w:rPr>
      </w:pPr>
      <w:r w:rsidRPr="00D852EC">
        <w:rPr>
          <w:rFonts w:cs="Arial"/>
          <w:szCs w:val="20"/>
        </w:rPr>
        <w:t xml:space="preserve">The beneficial effect of </w:t>
      </w:r>
      <w:r w:rsidR="003C10D0" w:rsidRPr="00D852EC">
        <w:rPr>
          <w:rFonts w:cs="Arial"/>
          <w:szCs w:val="20"/>
        </w:rPr>
        <w:t xml:space="preserve">Enoxaparin </w:t>
      </w:r>
      <w:r w:rsidRPr="00D852EC">
        <w:rPr>
          <w:rFonts w:cs="Arial"/>
          <w:szCs w:val="20"/>
        </w:rPr>
        <w:t xml:space="preserve">on the primary endpoint observed during the first 30 days was maintained over a </w:t>
      </w:r>
      <w:proofErr w:type="gramStart"/>
      <w:r w:rsidRPr="00D852EC">
        <w:rPr>
          <w:rFonts w:cs="Arial"/>
          <w:szCs w:val="20"/>
        </w:rPr>
        <w:t>12 month</w:t>
      </w:r>
      <w:proofErr w:type="gramEnd"/>
      <w:r w:rsidRPr="00D852EC">
        <w:rPr>
          <w:rFonts w:cs="Arial"/>
          <w:szCs w:val="20"/>
        </w:rPr>
        <w:t xml:space="preserve"> follow-up period (see Figure </w:t>
      </w:r>
      <w:r w:rsidR="006852AC">
        <w:rPr>
          <w:rFonts w:cs="Arial"/>
          <w:szCs w:val="20"/>
        </w:rPr>
        <w:t xml:space="preserve">2, </w:t>
      </w:r>
      <w:r w:rsidRPr="00D852EC">
        <w:rPr>
          <w:rFonts w:cs="Arial"/>
          <w:szCs w:val="20"/>
        </w:rPr>
        <w:t>below).</w:t>
      </w:r>
    </w:p>
    <w:p w14:paraId="3595B789" w14:textId="03140228" w:rsidR="0051218E" w:rsidRPr="00A751F3" w:rsidRDefault="00A751F3" w:rsidP="00A751F3">
      <w:pPr>
        <w:spacing w:after="200" w:line="276" w:lineRule="auto"/>
        <w:jc w:val="center"/>
        <w:rPr>
          <w:rFonts w:cs="Arial"/>
          <w:b/>
          <w:szCs w:val="20"/>
        </w:rPr>
      </w:pPr>
      <w:r w:rsidRPr="00A751F3">
        <w:rPr>
          <w:rFonts w:cs="Arial"/>
          <w:b/>
          <w:szCs w:val="20"/>
          <w:u w:val="single"/>
        </w:rPr>
        <w:t>Figure 2</w:t>
      </w:r>
      <w:r w:rsidRPr="00A751F3">
        <w:rPr>
          <w:rFonts w:cs="Arial"/>
          <w:b/>
          <w:szCs w:val="20"/>
        </w:rPr>
        <w:t xml:space="preserve">: Kaplan-Meier Plot: Death or Myocardial Re-Infarction </w:t>
      </w:r>
      <w:r>
        <w:rPr>
          <w:rFonts w:cs="Arial"/>
          <w:b/>
          <w:szCs w:val="20"/>
        </w:rPr>
        <w:br/>
      </w:r>
      <w:r w:rsidRPr="00A751F3">
        <w:rPr>
          <w:rFonts w:cs="Arial"/>
          <w:b/>
          <w:szCs w:val="20"/>
        </w:rPr>
        <w:t>at 30 Days (ITT Population)</w:t>
      </w:r>
    </w:p>
    <w:p w14:paraId="02FF8ADD" w14:textId="62E7B5A2" w:rsidR="00A751F3" w:rsidRPr="006852AC" w:rsidRDefault="0051218E" w:rsidP="00A751F3">
      <w:pPr>
        <w:spacing w:after="0"/>
        <w:rPr>
          <w:rFonts w:cs="Arial"/>
          <w:szCs w:val="20"/>
        </w:rPr>
      </w:pPr>
      <w:r w:rsidRPr="00D852EC">
        <w:rPr>
          <w:rFonts w:cs="Arial"/>
          <w:noProof/>
          <w:szCs w:val="20"/>
          <w:lang w:eastAsia="en-AU"/>
        </w:rPr>
        <w:drawing>
          <wp:inline distT="0" distB="0" distL="0" distR="0" wp14:anchorId="5AD5726D" wp14:editId="3E1AEA2B">
            <wp:extent cx="5581650" cy="51272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575075" cy="5121253"/>
                    </a:xfrm>
                    <a:prstGeom prst="rect">
                      <a:avLst/>
                    </a:prstGeom>
                    <a:noFill/>
                    <a:ln w="9525">
                      <a:noFill/>
                      <a:miter lim="800000"/>
                      <a:headEnd/>
                      <a:tailEnd/>
                    </a:ln>
                  </pic:spPr>
                </pic:pic>
              </a:graphicData>
            </a:graphic>
          </wp:inline>
        </w:drawing>
      </w:r>
    </w:p>
    <w:p w14:paraId="13F4074B" w14:textId="3E79ED96" w:rsidR="0051218E" w:rsidRPr="00D852EC" w:rsidRDefault="0051218E" w:rsidP="000A1317">
      <w:pPr>
        <w:rPr>
          <w:rFonts w:cs="Arial"/>
          <w:szCs w:val="20"/>
        </w:rPr>
      </w:pPr>
      <w:bookmarkStart w:id="20" w:name="_GoBack"/>
      <w:bookmarkEnd w:id="20"/>
      <w:r w:rsidRPr="00D852EC">
        <w:rPr>
          <w:rFonts w:cs="Arial"/>
          <w:szCs w:val="20"/>
        </w:rPr>
        <w:t xml:space="preserve">There was a significant treatment benefit of </w:t>
      </w:r>
      <w:r w:rsidR="003C10D0" w:rsidRPr="00D852EC">
        <w:rPr>
          <w:rFonts w:cs="Arial"/>
          <w:szCs w:val="20"/>
        </w:rPr>
        <w:t>Enoxaparin</w:t>
      </w:r>
      <w:r w:rsidRPr="00D852EC">
        <w:rPr>
          <w:rFonts w:cs="Arial"/>
          <w:szCs w:val="20"/>
        </w:rPr>
        <w:t xml:space="preserve">, as compared with UFH, in patients who underwent PCI within 30 days after randomisation (23% relative risk reduction, representing an absolute risk reduction of 3.1%) or who were treated medically (15 % relative risk reduction, representing an absolute risk reduction of 1.7%, </w:t>
      </w:r>
      <w:r w:rsidR="006852AC">
        <w:rPr>
          <w:rFonts w:cs="Arial"/>
          <w:szCs w:val="20"/>
        </w:rPr>
        <w:t>p</w:t>
      </w:r>
      <w:r w:rsidRPr="00D852EC">
        <w:rPr>
          <w:rFonts w:cs="Arial"/>
          <w:szCs w:val="20"/>
        </w:rPr>
        <w:t>=0.27 for interaction).</w:t>
      </w:r>
    </w:p>
    <w:p w14:paraId="0CF75D1E" w14:textId="2B75BECF" w:rsidR="0051218E" w:rsidRPr="00D852EC" w:rsidRDefault="0051218E" w:rsidP="000A1317">
      <w:pPr>
        <w:rPr>
          <w:rFonts w:cs="Arial"/>
          <w:szCs w:val="20"/>
        </w:rPr>
      </w:pPr>
      <w:r w:rsidRPr="00D852EC">
        <w:rPr>
          <w:rFonts w:cs="Arial"/>
          <w:szCs w:val="20"/>
        </w:rPr>
        <w:t>The rates of major haemorrhages (defined as requiring 5 or more units of blood for transfusion, or 15% drop in h</w:t>
      </w:r>
      <w:r w:rsidR="006852AC">
        <w:rPr>
          <w:rFonts w:cs="Arial"/>
          <w:szCs w:val="20"/>
        </w:rPr>
        <w:t>a</w:t>
      </w:r>
      <w:r w:rsidRPr="00D852EC">
        <w:rPr>
          <w:rFonts w:cs="Arial"/>
          <w:szCs w:val="20"/>
        </w:rPr>
        <w:t xml:space="preserve">ematocrit or clinically overt bleeding, including intracranial haemorrhage) at 30 days were 2.1% in the </w:t>
      </w:r>
      <w:r w:rsidR="003C10D0" w:rsidRPr="00D852EC">
        <w:rPr>
          <w:rFonts w:cs="Arial"/>
          <w:szCs w:val="20"/>
        </w:rPr>
        <w:t xml:space="preserve">Enoxaparin </w:t>
      </w:r>
      <w:r w:rsidRPr="00D852EC">
        <w:rPr>
          <w:rFonts w:cs="Arial"/>
          <w:szCs w:val="20"/>
        </w:rPr>
        <w:t xml:space="preserve">group and 1.4% in the UFH group. The rates of intracranial haemorrhage at 30 days were 0.8% in the </w:t>
      </w:r>
      <w:r w:rsidR="003C10D0" w:rsidRPr="00D852EC">
        <w:rPr>
          <w:rFonts w:cs="Arial"/>
          <w:szCs w:val="20"/>
        </w:rPr>
        <w:t xml:space="preserve">Enoxaparin </w:t>
      </w:r>
      <w:r w:rsidRPr="00D852EC">
        <w:rPr>
          <w:rFonts w:cs="Arial"/>
          <w:szCs w:val="20"/>
        </w:rPr>
        <w:t>group 0.7% in the UFH group.</w:t>
      </w:r>
    </w:p>
    <w:p w14:paraId="2CC75925" w14:textId="2A3DA016" w:rsidR="0051218E" w:rsidRPr="00D852EC" w:rsidRDefault="0051218E" w:rsidP="000A1317">
      <w:pPr>
        <w:rPr>
          <w:rFonts w:cs="Arial"/>
          <w:szCs w:val="20"/>
        </w:rPr>
      </w:pPr>
      <w:r w:rsidRPr="00D852EC">
        <w:rPr>
          <w:rFonts w:cs="Arial"/>
          <w:szCs w:val="20"/>
        </w:rPr>
        <w:lastRenderedPageBreak/>
        <w:t xml:space="preserve">The rate of the 30-day composite endpoint of death, myocardial re-infarction or intracranial haemorrhage (a measure of net clinical benefit) was significantly lower (p&lt;0.0001) in the </w:t>
      </w:r>
      <w:r w:rsidR="003C10D0" w:rsidRPr="00D852EC">
        <w:rPr>
          <w:rFonts w:cs="Arial"/>
          <w:szCs w:val="20"/>
        </w:rPr>
        <w:t xml:space="preserve">Enoxaparin </w:t>
      </w:r>
      <w:r w:rsidRPr="00D852EC">
        <w:rPr>
          <w:rFonts w:cs="Arial"/>
          <w:szCs w:val="20"/>
        </w:rPr>
        <w:t xml:space="preserve">group (10.1%) as compared to the heparin group (12.2%), representing a 17% relative risk reduction in favour of treatment with </w:t>
      </w:r>
      <w:r w:rsidR="003C10D0" w:rsidRPr="00D852EC">
        <w:rPr>
          <w:rFonts w:cs="Arial"/>
          <w:szCs w:val="20"/>
        </w:rPr>
        <w:t>Enoxaparin</w:t>
      </w:r>
      <w:r w:rsidRPr="00D852EC">
        <w:rPr>
          <w:rFonts w:cs="Arial"/>
          <w:szCs w:val="20"/>
        </w:rPr>
        <w:t>, representing an absolute risk reduction of 2.1%.</w:t>
      </w:r>
    </w:p>
    <w:p w14:paraId="6793D29C" w14:textId="77777777" w:rsidR="0051218E" w:rsidRPr="00D852EC" w:rsidRDefault="0051218E" w:rsidP="000A1317">
      <w:pPr>
        <w:pStyle w:val="Heading4"/>
      </w:pPr>
      <w:r w:rsidRPr="00D852EC">
        <w:t>Renal Impairment</w:t>
      </w:r>
    </w:p>
    <w:p w14:paraId="2D03A987" w14:textId="3CC82EB8" w:rsidR="0051218E" w:rsidRPr="00D852EC" w:rsidRDefault="0051218E" w:rsidP="000A1317">
      <w:pPr>
        <w:rPr>
          <w:rFonts w:cs="Arial"/>
          <w:szCs w:val="20"/>
        </w:rPr>
      </w:pPr>
      <w:r w:rsidRPr="00D852EC">
        <w:rPr>
          <w:rFonts w:cs="Arial"/>
          <w:szCs w:val="20"/>
        </w:rPr>
        <w:t>A linear relationship between anti-</w:t>
      </w:r>
      <w:proofErr w:type="spellStart"/>
      <w:r w:rsidRPr="00D852EC">
        <w:rPr>
          <w:rFonts w:cs="Arial"/>
          <w:szCs w:val="20"/>
        </w:rPr>
        <w:t>Xa</w:t>
      </w:r>
      <w:proofErr w:type="spellEnd"/>
      <w:r w:rsidRPr="00D852EC">
        <w:rPr>
          <w:rFonts w:cs="Arial"/>
          <w:szCs w:val="20"/>
        </w:rPr>
        <w:t xml:space="preserve"> plasma clearance and creatinine clearance at </w:t>
      </w:r>
      <w:proofErr w:type="gramStart"/>
      <w:r w:rsidRPr="00D852EC">
        <w:rPr>
          <w:rFonts w:cs="Arial"/>
          <w:szCs w:val="20"/>
        </w:rPr>
        <w:t>steady-state</w:t>
      </w:r>
      <w:proofErr w:type="gramEnd"/>
      <w:r w:rsidRPr="00D852EC">
        <w:rPr>
          <w:rFonts w:cs="Arial"/>
          <w:szCs w:val="20"/>
        </w:rPr>
        <w:t xml:space="preserve"> has been observed, which indicates decreased clearance of Enoxaparin in patients with reduced renal function. Anti-</w:t>
      </w:r>
      <w:proofErr w:type="spellStart"/>
      <w:r w:rsidRPr="00D852EC">
        <w:rPr>
          <w:rFonts w:cs="Arial"/>
          <w:szCs w:val="20"/>
        </w:rPr>
        <w:t>Xa</w:t>
      </w:r>
      <w:proofErr w:type="spellEnd"/>
      <w:r w:rsidRPr="00D852EC">
        <w:rPr>
          <w:rFonts w:cs="Arial"/>
          <w:szCs w:val="20"/>
        </w:rPr>
        <w:t xml:space="preserve"> exposure represented by AUC, at </w:t>
      </w:r>
      <w:proofErr w:type="gramStart"/>
      <w:r w:rsidRPr="00D852EC">
        <w:rPr>
          <w:rFonts w:cs="Arial"/>
          <w:szCs w:val="20"/>
        </w:rPr>
        <w:t>steady-state</w:t>
      </w:r>
      <w:proofErr w:type="gramEnd"/>
      <w:r w:rsidRPr="00D852EC">
        <w:rPr>
          <w:rFonts w:cs="Arial"/>
          <w:szCs w:val="20"/>
        </w:rPr>
        <w:t xml:space="preserve">, is increased by 20% in mild (creatinine clearance 50-80 mL/min) and 21% in moderate (creatinine clearance 30-50 mL/min) renal impairment after repeated subcutaneous 40 mg once daily doses. In patients with severe renal impairment (creatinine clearance &lt;30 mL/min), the AUC at steady-state is significantly increased on average by 65% after repeated subcutaneous </w:t>
      </w:r>
      <w:r w:rsidR="007B3C94">
        <w:rPr>
          <w:rFonts w:cs="Arial"/>
          <w:szCs w:val="20"/>
        </w:rPr>
        <w:br/>
      </w:r>
      <w:r w:rsidRPr="00D852EC">
        <w:rPr>
          <w:rFonts w:cs="Arial"/>
          <w:szCs w:val="20"/>
        </w:rPr>
        <w:t>40 mg once daily doses.</w:t>
      </w:r>
    </w:p>
    <w:p w14:paraId="7F09A4B7" w14:textId="77777777" w:rsidR="0051218E" w:rsidRPr="00D852EC" w:rsidRDefault="0051218E" w:rsidP="000A1317">
      <w:pPr>
        <w:pStyle w:val="Heading4"/>
      </w:pPr>
      <w:r w:rsidRPr="00D852EC">
        <w:t>Weight</w:t>
      </w:r>
    </w:p>
    <w:p w14:paraId="3000EE54" w14:textId="77777777" w:rsidR="0051218E" w:rsidRPr="00D852EC" w:rsidRDefault="0051218E" w:rsidP="000A1317">
      <w:pPr>
        <w:rPr>
          <w:rFonts w:cs="Arial"/>
          <w:szCs w:val="20"/>
        </w:rPr>
      </w:pPr>
      <w:r w:rsidRPr="00D852EC">
        <w:rPr>
          <w:rFonts w:cs="Arial"/>
          <w:szCs w:val="20"/>
        </w:rPr>
        <w:t>In obese subjects, after repeated subcutaneous 1.5 mg/kg daily dosing, mean AUC of anti-</w:t>
      </w:r>
      <w:proofErr w:type="spellStart"/>
      <w:r w:rsidRPr="00D852EC">
        <w:rPr>
          <w:rFonts w:cs="Arial"/>
          <w:szCs w:val="20"/>
        </w:rPr>
        <w:t>Xa</w:t>
      </w:r>
      <w:proofErr w:type="spellEnd"/>
      <w:r w:rsidRPr="00D852EC">
        <w:rPr>
          <w:rFonts w:cs="Arial"/>
          <w:szCs w:val="20"/>
        </w:rPr>
        <w:t xml:space="preserve"> activity is 19% higher at steady-state in obese healthy volunteers (BMI &gt;30 kg/m</w:t>
      </w:r>
      <w:r w:rsidRPr="00D852EC">
        <w:rPr>
          <w:rFonts w:cs="Arial"/>
          <w:szCs w:val="20"/>
          <w:vertAlign w:val="superscript"/>
        </w:rPr>
        <w:t>2</w:t>
      </w:r>
      <w:r w:rsidRPr="00D852EC">
        <w:rPr>
          <w:rFonts w:cs="Arial"/>
          <w:szCs w:val="20"/>
        </w:rPr>
        <w:t xml:space="preserve"> ) compared to non-obese healthy control subjects (18&lt; BMI = &lt;25 kg/m</w:t>
      </w:r>
      <w:r w:rsidRPr="00D852EC">
        <w:rPr>
          <w:rFonts w:cs="Arial"/>
          <w:szCs w:val="20"/>
          <w:vertAlign w:val="superscript"/>
        </w:rPr>
        <w:t>2</w:t>
      </w:r>
      <w:r w:rsidRPr="00D852EC">
        <w:rPr>
          <w:rFonts w:cs="Arial"/>
          <w:szCs w:val="20"/>
        </w:rPr>
        <w:t xml:space="preserve"> ), while maximal plasma activity is not increased. There is a lower weight-adjusted clearance (L/h/kg) in obese subjects compared to non-obese subjects.</w:t>
      </w:r>
    </w:p>
    <w:p w14:paraId="2A079E26" w14:textId="69B61B65" w:rsidR="0051218E" w:rsidRPr="00D852EC" w:rsidRDefault="0051218E" w:rsidP="000A1317">
      <w:pPr>
        <w:rPr>
          <w:rFonts w:cs="Arial"/>
          <w:szCs w:val="20"/>
        </w:rPr>
      </w:pPr>
      <w:r w:rsidRPr="00D852EC">
        <w:rPr>
          <w:rFonts w:cs="Arial"/>
          <w:szCs w:val="20"/>
        </w:rPr>
        <w:t>In low-weight subjects, anti-</w:t>
      </w:r>
      <w:proofErr w:type="spellStart"/>
      <w:r w:rsidRPr="00D852EC">
        <w:rPr>
          <w:rFonts w:cs="Arial"/>
          <w:szCs w:val="20"/>
        </w:rPr>
        <w:t>Xa</w:t>
      </w:r>
      <w:proofErr w:type="spellEnd"/>
      <w:r w:rsidRPr="00D852EC">
        <w:rPr>
          <w:rFonts w:cs="Arial"/>
          <w:szCs w:val="20"/>
        </w:rPr>
        <w:t xml:space="preserve"> exposure is 52% higher in healthy low-weight women (&lt;45 kg but BMI &gt;18 kg/m</w:t>
      </w:r>
      <w:r w:rsidRPr="00D852EC">
        <w:rPr>
          <w:rFonts w:cs="Arial"/>
          <w:szCs w:val="20"/>
          <w:vertAlign w:val="superscript"/>
        </w:rPr>
        <w:t>2</w:t>
      </w:r>
      <w:r w:rsidRPr="00D852EC">
        <w:rPr>
          <w:rFonts w:cs="Arial"/>
          <w:szCs w:val="20"/>
        </w:rPr>
        <w:t>) and 27% higher in healthy low-weight men (&lt;57 kg but BMI &gt;18 kg/m</w:t>
      </w:r>
      <w:r w:rsidRPr="00D852EC">
        <w:rPr>
          <w:rFonts w:cs="Arial"/>
          <w:szCs w:val="20"/>
          <w:vertAlign w:val="superscript"/>
        </w:rPr>
        <w:t>2</w:t>
      </w:r>
      <w:r w:rsidRPr="00D852EC">
        <w:rPr>
          <w:rFonts w:cs="Arial"/>
          <w:szCs w:val="20"/>
        </w:rPr>
        <w:t>) when compared to healthy normal weight subjects (&lt;60 kg for women &amp; &gt;72 kg for men with BMI of 18-28 kg/m</w:t>
      </w:r>
      <w:r w:rsidRPr="00D852EC">
        <w:rPr>
          <w:rFonts w:cs="Arial"/>
          <w:szCs w:val="20"/>
          <w:vertAlign w:val="superscript"/>
        </w:rPr>
        <w:t>2</w:t>
      </w:r>
      <w:r w:rsidRPr="00D852EC">
        <w:rPr>
          <w:rFonts w:cs="Arial"/>
          <w:szCs w:val="20"/>
        </w:rPr>
        <w:t xml:space="preserve"> for both genders). The maximal plasma activity </w:t>
      </w:r>
      <w:proofErr w:type="gramStart"/>
      <w:r w:rsidRPr="00D852EC">
        <w:rPr>
          <w:rFonts w:cs="Arial"/>
          <w:szCs w:val="20"/>
        </w:rPr>
        <w:t>was also increased</w:t>
      </w:r>
      <w:proofErr w:type="gramEnd"/>
      <w:r w:rsidRPr="00D852EC">
        <w:rPr>
          <w:rFonts w:cs="Arial"/>
          <w:szCs w:val="20"/>
        </w:rPr>
        <w:t xml:space="preserve"> by 45% for low-weight women and 31% for low-weight men compared to their respective normal weight controls.</w:t>
      </w:r>
    </w:p>
    <w:p w14:paraId="31C66864" w14:textId="77777777" w:rsidR="0051218E" w:rsidRPr="00D852EC" w:rsidRDefault="0051218E" w:rsidP="000A1317">
      <w:pPr>
        <w:pStyle w:val="Heading4"/>
      </w:pPr>
      <w:r w:rsidRPr="00D852EC">
        <w:t>Elderly</w:t>
      </w:r>
    </w:p>
    <w:p w14:paraId="4E050452" w14:textId="08FFE053" w:rsidR="0051218E" w:rsidRPr="006727DE" w:rsidRDefault="0051218E" w:rsidP="00FB45F5">
      <w:pPr>
        <w:spacing w:after="360"/>
        <w:rPr>
          <w:rFonts w:cs="Arial"/>
          <w:szCs w:val="20"/>
        </w:rPr>
      </w:pPr>
      <w:r w:rsidRPr="00D852EC">
        <w:rPr>
          <w:rFonts w:cs="Arial"/>
          <w:szCs w:val="20"/>
        </w:rPr>
        <w:t xml:space="preserve">Based on the results of a pharmacokinetic analysis, the Enoxaparin kinetic profile is not different in elderly subjects compared to younger subjects when renal function is normal. However, since renal function </w:t>
      </w:r>
      <w:proofErr w:type="gramStart"/>
      <w:r w:rsidRPr="00D852EC">
        <w:rPr>
          <w:rFonts w:cs="Arial"/>
          <w:szCs w:val="20"/>
        </w:rPr>
        <w:t>is known</w:t>
      </w:r>
      <w:proofErr w:type="gramEnd"/>
      <w:r w:rsidRPr="00D852EC">
        <w:rPr>
          <w:rFonts w:cs="Arial"/>
          <w:szCs w:val="20"/>
        </w:rPr>
        <w:t xml:space="preserve"> to decline with age, elderly patients may show reduced elimination of Enoxaparin.</w:t>
      </w:r>
    </w:p>
    <w:p w14:paraId="7EEDC62D" w14:textId="25895328" w:rsidR="001A3992" w:rsidRPr="00571478" w:rsidRDefault="001A3992" w:rsidP="000A1317">
      <w:pPr>
        <w:pStyle w:val="Heading2"/>
      </w:pPr>
      <w:bookmarkStart w:id="21" w:name="_Ref5878248"/>
      <w:r w:rsidRPr="00571478">
        <w:t xml:space="preserve">Pharmacokinetic </w:t>
      </w:r>
      <w:r w:rsidR="00300792" w:rsidRPr="00571478">
        <w:rPr>
          <w:caps w:val="0"/>
        </w:rPr>
        <w:t>P</w:t>
      </w:r>
      <w:r w:rsidRPr="00571478">
        <w:t>roperties</w:t>
      </w:r>
      <w:bookmarkEnd w:id="21"/>
      <w:r w:rsidRPr="00571478">
        <w:t xml:space="preserve"> </w:t>
      </w:r>
    </w:p>
    <w:p w14:paraId="7BDE38A0" w14:textId="77777777" w:rsidR="000E4B30" w:rsidRPr="00EC5AEB" w:rsidRDefault="000E4B30" w:rsidP="000A1317">
      <w:pPr>
        <w:rPr>
          <w:rFonts w:cs="Arial"/>
        </w:rPr>
      </w:pPr>
      <w:r w:rsidRPr="00EC5AEB">
        <w:rPr>
          <w:rFonts w:cs="Arial"/>
        </w:rPr>
        <w:t xml:space="preserve">In a study comparing </w:t>
      </w:r>
      <w:r w:rsidRPr="00EC5AEB">
        <w:t>this product</w:t>
      </w:r>
      <w:r w:rsidRPr="00EC5AEB">
        <w:rPr>
          <w:rFonts w:cs="Arial"/>
        </w:rPr>
        <w:t xml:space="preserve"> with the reference </w:t>
      </w:r>
      <w:r w:rsidRPr="00EC5AEB">
        <w:t>product</w:t>
      </w:r>
      <w:r w:rsidRPr="00EC5AEB">
        <w:rPr>
          <w:rFonts w:cs="Arial"/>
        </w:rPr>
        <w:t xml:space="preserve">, the two products </w:t>
      </w:r>
      <w:proofErr w:type="gramStart"/>
      <w:r w:rsidRPr="00EC5AEB">
        <w:rPr>
          <w:rFonts w:cs="Arial"/>
        </w:rPr>
        <w:t>were shown</w:t>
      </w:r>
      <w:proofErr w:type="gramEnd"/>
      <w:r w:rsidRPr="00EC5AEB">
        <w:rPr>
          <w:rFonts w:cs="Arial"/>
        </w:rPr>
        <w:t xml:space="preserve"> to be therapeutically bioequivalent using pharmacokinetic and pharmacodynamics endpoints. </w:t>
      </w:r>
    </w:p>
    <w:p w14:paraId="172F3FD3" w14:textId="31A7441E" w:rsidR="000E4B30" w:rsidRPr="00EC5AEB" w:rsidRDefault="000E4B30" w:rsidP="000A1317">
      <w:pPr>
        <w:rPr>
          <w:rFonts w:cs="Arial"/>
        </w:rPr>
      </w:pPr>
      <w:r w:rsidRPr="00EC5AEB">
        <w:rPr>
          <w:rFonts w:cs="Arial"/>
        </w:rPr>
        <w:t xml:space="preserve">For </w:t>
      </w:r>
      <w:r w:rsidR="00A751F3" w:rsidRPr="00EC5AEB">
        <w:rPr>
          <w:rFonts w:cs="Arial"/>
        </w:rPr>
        <w:t xml:space="preserve">plasma </w:t>
      </w:r>
      <w:r w:rsidR="00EB2F03" w:rsidRPr="00EC5AEB">
        <w:rPr>
          <w:rFonts w:cs="Arial"/>
        </w:rPr>
        <w:t>anti</w:t>
      </w:r>
      <w:r w:rsidRPr="00EC5AEB">
        <w:rPr>
          <w:rFonts w:cs="Arial"/>
        </w:rPr>
        <w:t>-</w:t>
      </w:r>
      <w:r w:rsidR="00EB2F03" w:rsidRPr="00EC5AEB">
        <w:rPr>
          <w:rFonts w:cs="Arial"/>
        </w:rPr>
        <w:t xml:space="preserve">Factor </w:t>
      </w:r>
      <w:proofErr w:type="spellStart"/>
      <w:r w:rsidRPr="00EC5AEB">
        <w:rPr>
          <w:rFonts w:cs="Arial"/>
        </w:rPr>
        <w:t>Xa</w:t>
      </w:r>
      <w:proofErr w:type="spellEnd"/>
      <w:r w:rsidRPr="00EC5AEB">
        <w:rPr>
          <w:rFonts w:cs="Arial"/>
        </w:rPr>
        <w:t xml:space="preserve"> activity, the 90% confidence intervals for the ratios of </w:t>
      </w:r>
      <w:proofErr w:type="gramStart"/>
      <w:r w:rsidRPr="00EC5AEB">
        <w:rPr>
          <w:rFonts w:cs="Arial"/>
        </w:rPr>
        <w:t>AUA</w:t>
      </w:r>
      <w:r w:rsidR="007B3C94" w:rsidRPr="007B3C94">
        <w:rPr>
          <w:rFonts w:cs="Arial"/>
          <w:vertAlign w:val="subscript"/>
        </w:rPr>
        <w:t>(</w:t>
      </w:r>
      <w:proofErr w:type="gramEnd"/>
      <w:r w:rsidRPr="007B3C94">
        <w:rPr>
          <w:rFonts w:cs="Arial"/>
          <w:vertAlign w:val="subscript"/>
        </w:rPr>
        <w:t>0-t</w:t>
      </w:r>
      <w:r w:rsidR="007B3C94">
        <w:rPr>
          <w:rFonts w:cs="Arial"/>
          <w:vertAlign w:val="subscript"/>
        </w:rPr>
        <w:t>)</w:t>
      </w:r>
      <w:r w:rsidRPr="00EC5AEB">
        <w:rPr>
          <w:rFonts w:cs="Arial"/>
        </w:rPr>
        <w:t xml:space="preserve">, </w:t>
      </w:r>
      <w:r w:rsidR="00A751F3">
        <w:rPr>
          <w:rFonts w:cs="Arial"/>
        </w:rPr>
        <w:br/>
      </w:r>
      <w:r w:rsidRPr="00EC5AEB">
        <w:rPr>
          <w:rFonts w:cs="Arial"/>
        </w:rPr>
        <w:t>AUA</w:t>
      </w:r>
      <w:r w:rsidR="007B3C94" w:rsidRPr="007B3C94">
        <w:rPr>
          <w:rFonts w:cs="Arial"/>
          <w:vertAlign w:val="subscript"/>
        </w:rPr>
        <w:t>(</w:t>
      </w:r>
      <w:proofErr w:type="spellStart"/>
      <w:r w:rsidRPr="007B3C94">
        <w:rPr>
          <w:rFonts w:cs="Arial"/>
          <w:vertAlign w:val="subscript"/>
        </w:rPr>
        <w:t>inf</w:t>
      </w:r>
      <w:proofErr w:type="spellEnd"/>
      <w:r w:rsidR="007B3C94">
        <w:rPr>
          <w:rFonts w:cs="Arial"/>
          <w:vertAlign w:val="subscript"/>
        </w:rPr>
        <w:t>)</w:t>
      </w:r>
      <w:r w:rsidRPr="00EC5AEB">
        <w:rPr>
          <w:rFonts w:cs="Arial"/>
        </w:rPr>
        <w:t xml:space="preserve"> and A</w:t>
      </w:r>
      <w:r w:rsidRPr="007B3C94">
        <w:rPr>
          <w:rFonts w:cs="Arial"/>
          <w:vertAlign w:val="subscript"/>
        </w:rPr>
        <w:t>max</w:t>
      </w:r>
      <w:r w:rsidRPr="00EC5AEB">
        <w:rPr>
          <w:rFonts w:cs="Arial"/>
        </w:rPr>
        <w:t xml:space="preserve"> were found to be 99.8 – 103.8%, 99.6 – 103.4% and 91.8 – 101.8%</w:t>
      </w:r>
      <w:r w:rsidR="00E35FCA">
        <w:rPr>
          <w:rFonts w:cs="Arial"/>
        </w:rPr>
        <w:t>,</w:t>
      </w:r>
      <w:r w:rsidRPr="00EC5AEB">
        <w:rPr>
          <w:rFonts w:cs="Arial"/>
        </w:rPr>
        <w:t xml:space="preserve"> respectively.</w:t>
      </w:r>
    </w:p>
    <w:p w14:paraId="0AB03222" w14:textId="5885F381" w:rsidR="000E4B30" w:rsidRPr="00EC5AEB" w:rsidRDefault="000E4B30" w:rsidP="000A1317">
      <w:pPr>
        <w:rPr>
          <w:rFonts w:cs="Arial"/>
        </w:rPr>
      </w:pPr>
      <w:r w:rsidRPr="00EC5AEB">
        <w:rPr>
          <w:rFonts w:cs="Arial"/>
        </w:rPr>
        <w:t xml:space="preserve">For </w:t>
      </w:r>
      <w:r w:rsidR="00A751F3" w:rsidRPr="00EC5AEB">
        <w:rPr>
          <w:rFonts w:cs="Arial"/>
        </w:rPr>
        <w:t xml:space="preserve">plasma </w:t>
      </w:r>
      <w:r w:rsidR="00EB2F03" w:rsidRPr="00EC5AEB">
        <w:rPr>
          <w:rFonts w:cs="Arial"/>
        </w:rPr>
        <w:t>anti</w:t>
      </w:r>
      <w:r w:rsidRPr="00EC5AEB">
        <w:rPr>
          <w:rFonts w:cs="Arial"/>
        </w:rPr>
        <w:t>-</w:t>
      </w:r>
      <w:r w:rsidR="00EB2F03" w:rsidRPr="00EC5AEB">
        <w:rPr>
          <w:rFonts w:cs="Arial"/>
        </w:rPr>
        <w:t xml:space="preserve">Factor </w:t>
      </w:r>
      <w:proofErr w:type="spellStart"/>
      <w:r w:rsidRPr="00EC5AEB">
        <w:rPr>
          <w:rFonts w:cs="Arial"/>
        </w:rPr>
        <w:t>IIa</w:t>
      </w:r>
      <w:proofErr w:type="spellEnd"/>
      <w:r w:rsidRPr="00EC5AEB">
        <w:rPr>
          <w:rFonts w:cs="Arial"/>
        </w:rPr>
        <w:t xml:space="preserve"> activity, the 90% confidence intervals for the ratios of </w:t>
      </w:r>
      <w:proofErr w:type="gramStart"/>
      <w:r w:rsidRPr="00EC5AEB">
        <w:rPr>
          <w:rFonts w:cs="Arial"/>
        </w:rPr>
        <w:t>AUA</w:t>
      </w:r>
      <w:r w:rsidR="007B3C94" w:rsidRPr="007B3C94">
        <w:rPr>
          <w:rFonts w:cs="Arial"/>
          <w:vertAlign w:val="subscript"/>
        </w:rPr>
        <w:t>(</w:t>
      </w:r>
      <w:proofErr w:type="gramEnd"/>
      <w:r w:rsidRPr="007B3C94">
        <w:rPr>
          <w:rFonts w:cs="Arial"/>
          <w:vertAlign w:val="subscript"/>
        </w:rPr>
        <w:t>0-t</w:t>
      </w:r>
      <w:r w:rsidR="007B3C94" w:rsidRPr="007B3C94">
        <w:rPr>
          <w:rFonts w:cs="Arial"/>
          <w:vertAlign w:val="subscript"/>
        </w:rPr>
        <w:t>)</w:t>
      </w:r>
      <w:r w:rsidRPr="00EC5AEB">
        <w:rPr>
          <w:rFonts w:cs="Arial"/>
        </w:rPr>
        <w:t xml:space="preserve">, </w:t>
      </w:r>
      <w:r w:rsidR="00A751F3">
        <w:rPr>
          <w:rFonts w:cs="Arial"/>
        </w:rPr>
        <w:br/>
      </w:r>
      <w:r w:rsidRPr="00EC5AEB">
        <w:rPr>
          <w:rFonts w:cs="Arial"/>
        </w:rPr>
        <w:t>AUA</w:t>
      </w:r>
      <w:r w:rsidR="007B3C94" w:rsidRPr="007B3C94">
        <w:rPr>
          <w:rFonts w:cs="Arial"/>
          <w:vertAlign w:val="subscript"/>
        </w:rPr>
        <w:t>(</w:t>
      </w:r>
      <w:proofErr w:type="spellStart"/>
      <w:r w:rsidRPr="007B3C94">
        <w:rPr>
          <w:rFonts w:cs="Arial"/>
          <w:vertAlign w:val="subscript"/>
        </w:rPr>
        <w:t>inf</w:t>
      </w:r>
      <w:proofErr w:type="spellEnd"/>
      <w:r w:rsidR="007B3C94" w:rsidRPr="007B3C94">
        <w:rPr>
          <w:rFonts w:cs="Arial"/>
          <w:vertAlign w:val="subscript"/>
        </w:rPr>
        <w:t>)</w:t>
      </w:r>
      <w:r w:rsidRPr="00EC5AEB">
        <w:rPr>
          <w:rFonts w:cs="Arial"/>
        </w:rPr>
        <w:t xml:space="preserve"> and A</w:t>
      </w:r>
      <w:r w:rsidRPr="007B3C94">
        <w:rPr>
          <w:rFonts w:cs="Arial"/>
          <w:vertAlign w:val="subscript"/>
        </w:rPr>
        <w:t>max</w:t>
      </w:r>
      <w:r w:rsidRPr="00EC5AEB">
        <w:rPr>
          <w:rFonts w:cs="Arial"/>
        </w:rPr>
        <w:t xml:space="preserve"> were found to be 97.3 – 118.1%, 93.6 – 116.7% and 97.9 – 115.1%</w:t>
      </w:r>
      <w:r w:rsidR="00E35FCA">
        <w:rPr>
          <w:rFonts w:cs="Arial"/>
        </w:rPr>
        <w:t>,</w:t>
      </w:r>
      <w:r w:rsidRPr="00EC5AEB">
        <w:rPr>
          <w:rFonts w:cs="Arial"/>
        </w:rPr>
        <w:t xml:space="preserve"> respectively.</w:t>
      </w:r>
    </w:p>
    <w:p w14:paraId="248009D6" w14:textId="5CC594F7" w:rsidR="000E4B30" w:rsidRPr="00EC5AEB" w:rsidRDefault="000E4B30" w:rsidP="000A1317">
      <w:pPr>
        <w:rPr>
          <w:rFonts w:cs="Arial"/>
          <w:spacing w:val="-2"/>
          <w:w w:val="105"/>
        </w:rPr>
      </w:pPr>
      <w:r w:rsidRPr="00EC5AEB">
        <w:rPr>
          <w:rFonts w:cs="Arial"/>
        </w:rPr>
        <w:lastRenderedPageBreak/>
        <w:t xml:space="preserve">For </w:t>
      </w:r>
      <w:proofErr w:type="spellStart"/>
      <w:r w:rsidR="007B3C94">
        <w:rPr>
          <w:rFonts w:cs="Arial"/>
        </w:rPr>
        <w:t>a</w:t>
      </w:r>
      <w:r w:rsidR="007B3C94" w:rsidRPr="00EC5AEB">
        <w:rPr>
          <w:rFonts w:cs="Arial"/>
        </w:rPr>
        <w:t>PTT</w:t>
      </w:r>
      <w:proofErr w:type="spellEnd"/>
      <w:r w:rsidR="007B3C94" w:rsidRPr="00EC5AEB">
        <w:rPr>
          <w:rFonts w:cs="Arial"/>
        </w:rPr>
        <w:t xml:space="preserve"> </w:t>
      </w:r>
      <w:r w:rsidRPr="00EC5AEB">
        <w:rPr>
          <w:rFonts w:cs="Arial"/>
        </w:rPr>
        <w:t>in blood, the 90% confidence intervals for the ratios of A</w:t>
      </w:r>
      <w:r w:rsidRPr="007B3C94">
        <w:rPr>
          <w:rFonts w:cs="Arial"/>
          <w:vertAlign w:val="subscript"/>
        </w:rPr>
        <w:t>max</w:t>
      </w:r>
      <w:r w:rsidRPr="00EC5AEB">
        <w:rPr>
          <w:rFonts w:cs="Arial"/>
        </w:rPr>
        <w:t xml:space="preserve"> and </w:t>
      </w:r>
      <w:proofErr w:type="gramStart"/>
      <w:r w:rsidRPr="00EC5AEB">
        <w:rPr>
          <w:rFonts w:cs="Arial"/>
        </w:rPr>
        <w:t>A</w:t>
      </w:r>
      <w:r w:rsidRPr="007B3C94">
        <w:rPr>
          <w:rFonts w:cs="Arial"/>
          <w:vertAlign w:val="subscript"/>
        </w:rPr>
        <w:t>(</w:t>
      </w:r>
      <w:proofErr w:type="gramEnd"/>
      <w:r w:rsidRPr="007B3C94">
        <w:rPr>
          <w:rFonts w:cs="Arial"/>
          <w:vertAlign w:val="subscript"/>
        </w:rPr>
        <w:t>∆t)max</w:t>
      </w:r>
      <w:r w:rsidRPr="00EC5AEB">
        <w:rPr>
          <w:rFonts w:cs="Arial"/>
        </w:rPr>
        <w:t xml:space="preserve"> were found to be 99.0 – 103.0%, and 94.8 – 107.3%</w:t>
      </w:r>
      <w:r w:rsidR="00E35FCA">
        <w:rPr>
          <w:rFonts w:cs="Arial"/>
        </w:rPr>
        <w:t>,</w:t>
      </w:r>
      <w:r w:rsidRPr="00EC5AEB">
        <w:rPr>
          <w:rFonts w:cs="Arial"/>
        </w:rPr>
        <w:t xml:space="preserve"> respectively.</w:t>
      </w:r>
    </w:p>
    <w:p w14:paraId="07668523" w14:textId="77777777" w:rsidR="000E4B30" w:rsidRDefault="000E4B30" w:rsidP="000A1317">
      <w:pPr>
        <w:rPr>
          <w:rFonts w:cs="Arial"/>
          <w:szCs w:val="20"/>
        </w:rPr>
      </w:pPr>
      <w:r w:rsidRPr="00D852EC">
        <w:rPr>
          <w:rFonts w:cs="Arial"/>
          <w:szCs w:val="20"/>
        </w:rPr>
        <w:t xml:space="preserve">The pharmacokinetic parameters of Enoxaparin </w:t>
      </w:r>
      <w:proofErr w:type="gramStart"/>
      <w:r w:rsidRPr="00D852EC">
        <w:rPr>
          <w:rFonts w:cs="Arial"/>
          <w:szCs w:val="20"/>
        </w:rPr>
        <w:t>were studied</w:t>
      </w:r>
      <w:proofErr w:type="gramEnd"/>
      <w:r w:rsidRPr="00D852EC">
        <w:rPr>
          <w:rFonts w:cs="Arial"/>
          <w:szCs w:val="20"/>
        </w:rPr>
        <w:t xml:space="preserve"> from the changes in plasma anti-</w:t>
      </w:r>
      <w:proofErr w:type="spellStart"/>
      <w:r w:rsidRPr="00D852EC">
        <w:rPr>
          <w:rFonts w:cs="Arial"/>
          <w:szCs w:val="20"/>
        </w:rPr>
        <w:t>Xa</w:t>
      </w:r>
      <w:proofErr w:type="spellEnd"/>
      <w:r w:rsidRPr="00D852EC">
        <w:rPr>
          <w:rFonts w:cs="Arial"/>
          <w:szCs w:val="20"/>
        </w:rPr>
        <w:t xml:space="preserve"> activity.</w:t>
      </w:r>
    </w:p>
    <w:p w14:paraId="7B5A3D60" w14:textId="29F96357" w:rsidR="00E35FCA" w:rsidRPr="00E35FCA" w:rsidRDefault="00E35FCA" w:rsidP="00E35FCA">
      <w:pPr>
        <w:rPr>
          <w:rFonts w:cs="Arial"/>
          <w:szCs w:val="20"/>
        </w:rPr>
      </w:pPr>
      <w:r w:rsidRPr="00E35FCA">
        <w:rPr>
          <w:rFonts w:cs="Arial"/>
          <w:szCs w:val="20"/>
        </w:rPr>
        <w:t xml:space="preserve">The </w:t>
      </w:r>
      <w:r w:rsidR="00EB2F03" w:rsidRPr="00E35FCA">
        <w:rPr>
          <w:rFonts w:cs="Arial"/>
          <w:szCs w:val="20"/>
        </w:rPr>
        <w:t>anti</w:t>
      </w:r>
      <w:r w:rsidRPr="00E35FCA">
        <w:rPr>
          <w:rFonts w:cs="Arial"/>
          <w:szCs w:val="20"/>
        </w:rPr>
        <w:t>-</w:t>
      </w:r>
      <w:proofErr w:type="spellStart"/>
      <w:r w:rsidRPr="00E35FCA">
        <w:rPr>
          <w:rFonts w:cs="Arial"/>
          <w:szCs w:val="20"/>
        </w:rPr>
        <w:t>Xa</w:t>
      </w:r>
      <w:proofErr w:type="spellEnd"/>
      <w:r w:rsidRPr="00E35FCA">
        <w:rPr>
          <w:rFonts w:cs="Arial"/>
          <w:szCs w:val="20"/>
        </w:rPr>
        <w:t xml:space="preserve"> activity generated by </w:t>
      </w:r>
      <w:r>
        <w:rPr>
          <w:rFonts w:cs="Arial"/>
          <w:szCs w:val="20"/>
        </w:rPr>
        <w:t>Enoxaparin</w:t>
      </w:r>
      <w:r w:rsidRPr="00E35FCA">
        <w:rPr>
          <w:rFonts w:cs="Arial"/>
          <w:szCs w:val="20"/>
        </w:rPr>
        <w:t xml:space="preserve"> does not cross the placental barrier during the</w:t>
      </w:r>
      <w:r>
        <w:rPr>
          <w:rFonts w:cs="Arial"/>
          <w:szCs w:val="20"/>
        </w:rPr>
        <w:t xml:space="preserve"> </w:t>
      </w:r>
      <w:r w:rsidRPr="00E35FCA">
        <w:rPr>
          <w:rFonts w:cs="Arial"/>
          <w:szCs w:val="20"/>
        </w:rPr>
        <w:t>second trimester of pregnancy.</w:t>
      </w:r>
    </w:p>
    <w:p w14:paraId="7AA33CBF" w14:textId="1AE4043B" w:rsidR="00E35FCA" w:rsidRPr="00D852EC" w:rsidRDefault="00631DEA" w:rsidP="00E35FCA">
      <w:pPr>
        <w:rPr>
          <w:rFonts w:cs="Arial"/>
          <w:szCs w:val="20"/>
        </w:rPr>
      </w:pPr>
      <w:r w:rsidRPr="00E35FCA">
        <w:rPr>
          <w:rFonts w:cs="Arial"/>
          <w:szCs w:val="20"/>
        </w:rPr>
        <w:t>Anti</w:t>
      </w:r>
      <w:r w:rsidR="00E35FCA" w:rsidRPr="00E35FCA">
        <w:rPr>
          <w:rFonts w:cs="Arial"/>
          <w:szCs w:val="20"/>
        </w:rPr>
        <w:t>-</w:t>
      </w:r>
      <w:proofErr w:type="spellStart"/>
      <w:r w:rsidR="00E35FCA" w:rsidRPr="00E35FCA">
        <w:rPr>
          <w:rFonts w:cs="Arial"/>
          <w:szCs w:val="20"/>
        </w:rPr>
        <w:t>Xa</w:t>
      </w:r>
      <w:proofErr w:type="spellEnd"/>
      <w:r w:rsidR="00E35FCA" w:rsidRPr="00E35FCA">
        <w:rPr>
          <w:rFonts w:cs="Arial"/>
          <w:szCs w:val="20"/>
        </w:rPr>
        <w:t xml:space="preserve"> activity generated by </w:t>
      </w:r>
      <w:r w:rsidR="00E35FCA">
        <w:rPr>
          <w:rFonts w:cs="Arial"/>
          <w:szCs w:val="20"/>
        </w:rPr>
        <w:t>Enoxaparin</w:t>
      </w:r>
      <w:r w:rsidR="00E35FCA" w:rsidRPr="00E35FCA">
        <w:rPr>
          <w:rFonts w:cs="Arial"/>
          <w:szCs w:val="20"/>
        </w:rPr>
        <w:t xml:space="preserve"> is localised within the vascular space.</w:t>
      </w:r>
    </w:p>
    <w:p w14:paraId="56F4EC4C" w14:textId="77777777" w:rsidR="000E4B30" w:rsidRPr="00EC5AEB" w:rsidRDefault="000E4B30" w:rsidP="00E35FCA">
      <w:pPr>
        <w:pStyle w:val="Heading3"/>
      </w:pPr>
      <w:r w:rsidRPr="00EC5AEB">
        <w:t>Absorption</w:t>
      </w:r>
    </w:p>
    <w:p w14:paraId="0D1A024C" w14:textId="77777777" w:rsidR="000E4B30" w:rsidRPr="00D852EC" w:rsidRDefault="000E4B30" w:rsidP="000A1317">
      <w:pPr>
        <w:rPr>
          <w:rFonts w:cs="Arial"/>
          <w:szCs w:val="20"/>
        </w:rPr>
      </w:pPr>
      <w:r w:rsidRPr="00D852EC">
        <w:rPr>
          <w:rFonts w:cs="Arial"/>
          <w:szCs w:val="20"/>
        </w:rPr>
        <w:t xml:space="preserve">After injection of Enoxaparin by the subcutaneous route (SC), the product </w:t>
      </w:r>
      <w:proofErr w:type="gramStart"/>
      <w:r w:rsidRPr="00D852EC">
        <w:rPr>
          <w:rFonts w:cs="Arial"/>
          <w:szCs w:val="20"/>
        </w:rPr>
        <w:t>is rapidly and completely absorbed</w:t>
      </w:r>
      <w:proofErr w:type="gramEnd"/>
      <w:r w:rsidRPr="00D852EC">
        <w:rPr>
          <w:rFonts w:cs="Arial"/>
          <w:szCs w:val="20"/>
        </w:rPr>
        <w:t>. The absolute bioavailability is over 90%.</w:t>
      </w:r>
    </w:p>
    <w:p w14:paraId="00179691" w14:textId="77777777" w:rsidR="000E4B30" w:rsidRPr="00F4287E" w:rsidRDefault="000E4B30" w:rsidP="00E35FCA">
      <w:pPr>
        <w:pStyle w:val="Heading3"/>
      </w:pPr>
      <w:r w:rsidRPr="00F4287E">
        <w:t>Distribution</w:t>
      </w:r>
    </w:p>
    <w:p w14:paraId="23F7E735" w14:textId="77777777" w:rsidR="000E4B30" w:rsidRPr="00D852EC" w:rsidRDefault="000E4B30" w:rsidP="000A1317">
      <w:pPr>
        <w:rPr>
          <w:rFonts w:cs="Arial"/>
          <w:szCs w:val="20"/>
        </w:rPr>
      </w:pPr>
      <w:r w:rsidRPr="00D852EC">
        <w:rPr>
          <w:rFonts w:cs="Arial"/>
          <w:szCs w:val="20"/>
        </w:rPr>
        <w:t xml:space="preserve">The maximum plasma activity </w:t>
      </w:r>
      <w:proofErr w:type="gramStart"/>
      <w:r w:rsidRPr="00D852EC">
        <w:rPr>
          <w:rFonts w:cs="Arial"/>
          <w:szCs w:val="20"/>
        </w:rPr>
        <w:t>is observed</w:t>
      </w:r>
      <w:proofErr w:type="gramEnd"/>
      <w:r w:rsidRPr="00D852EC">
        <w:rPr>
          <w:rFonts w:cs="Arial"/>
          <w:szCs w:val="20"/>
        </w:rPr>
        <w:t xml:space="preserve"> after 3 hours and is, on average, 1.6 µg/mL after the SC injection of a 20 mg dose and 3.8 µg /mL after the injection of a 40 mg dose. The anti-</w:t>
      </w:r>
      <w:proofErr w:type="spellStart"/>
      <w:r w:rsidRPr="00D852EC">
        <w:rPr>
          <w:rFonts w:cs="Arial"/>
          <w:szCs w:val="20"/>
        </w:rPr>
        <w:t>Xa</w:t>
      </w:r>
      <w:proofErr w:type="spellEnd"/>
      <w:r w:rsidRPr="00D852EC">
        <w:rPr>
          <w:rFonts w:cs="Arial"/>
          <w:szCs w:val="20"/>
        </w:rPr>
        <w:t xml:space="preserve"> activity, measured like that of unfractionated heparin (UFH), gives values of approximately 0.16 and 0.38 IU/mL respectively.</w:t>
      </w:r>
    </w:p>
    <w:p w14:paraId="22C7835A" w14:textId="77777777" w:rsidR="000E4B30" w:rsidRPr="00D852EC" w:rsidRDefault="000E4B30" w:rsidP="000A1317">
      <w:pPr>
        <w:rPr>
          <w:rFonts w:cs="Arial"/>
          <w:szCs w:val="20"/>
        </w:rPr>
      </w:pPr>
      <w:r w:rsidRPr="00D852EC">
        <w:rPr>
          <w:rFonts w:cs="Arial"/>
          <w:szCs w:val="20"/>
        </w:rPr>
        <w:t>A 30 mg intravenous (IV) bolus immediately followed by 1 mg/kg SC provided initial peak anti-</w:t>
      </w:r>
      <w:proofErr w:type="spellStart"/>
      <w:r w:rsidRPr="00D852EC">
        <w:rPr>
          <w:rFonts w:cs="Arial"/>
          <w:szCs w:val="20"/>
        </w:rPr>
        <w:t>Xa</w:t>
      </w:r>
      <w:proofErr w:type="spellEnd"/>
      <w:r w:rsidRPr="00D852EC">
        <w:rPr>
          <w:rFonts w:cs="Arial"/>
          <w:szCs w:val="20"/>
        </w:rPr>
        <w:t xml:space="preserve"> levels of 1.16 IU/mL (n = 16) and an average exposure corresponding to 84% of steady-state levels. </w:t>
      </w:r>
      <w:proofErr w:type="gramStart"/>
      <w:r w:rsidRPr="00D852EC">
        <w:rPr>
          <w:rFonts w:cs="Arial"/>
          <w:szCs w:val="20"/>
        </w:rPr>
        <w:t>Steady-state</w:t>
      </w:r>
      <w:proofErr w:type="gramEnd"/>
      <w:r w:rsidRPr="00D852EC">
        <w:rPr>
          <w:rFonts w:cs="Arial"/>
          <w:szCs w:val="20"/>
        </w:rPr>
        <w:t xml:space="preserve"> is achieved on the second day of treatment following continued SC dosing of 1 mg/kg every 12 hours. The </w:t>
      </w:r>
      <w:proofErr w:type="spellStart"/>
      <w:r w:rsidRPr="00D852EC">
        <w:rPr>
          <w:rFonts w:cs="Arial"/>
          <w:szCs w:val="20"/>
        </w:rPr>
        <w:t>aPTT</w:t>
      </w:r>
      <w:proofErr w:type="spellEnd"/>
      <w:r w:rsidRPr="00D852EC">
        <w:rPr>
          <w:rFonts w:cs="Arial"/>
          <w:szCs w:val="20"/>
        </w:rPr>
        <w:t xml:space="preserve"> (activated partial thromboplastin time) immediately after the first SC injection was 49.6 seconds. The </w:t>
      </w:r>
      <w:proofErr w:type="gramStart"/>
      <w:r w:rsidRPr="00D852EC">
        <w:rPr>
          <w:rFonts w:cs="Arial"/>
          <w:szCs w:val="20"/>
        </w:rPr>
        <w:t xml:space="preserve">average </w:t>
      </w:r>
      <w:proofErr w:type="spellStart"/>
      <w:r w:rsidRPr="00D852EC">
        <w:rPr>
          <w:rFonts w:cs="Arial"/>
          <w:szCs w:val="20"/>
        </w:rPr>
        <w:t>aPTT</w:t>
      </w:r>
      <w:proofErr w:type="spellEnd"/>
      <w:r w:rsidRPr="00D852EC">
        <w:rPr>
          <w:rFonts w:cs="Arial"/>
          <w:szCs w:val="20"/>
        </w:rPr>
        <w:t xml:space="preserve"> prolongation value</w:t>
      </w:r>
      <w:proofErr w:type="gramEnd"/>
      <w:r w:rsidRPr="00D852EC">
        <w:rPr>
          <w:rFonts w:cs="Arial"/>
          <w:szCs w:val="20"/>
        </w:rPr>
        <w:t xml:space="preserve"> on Day 1 was about 16% higher than on Day 4.</w:t>
      </w:r>
    </w:p>
    <w:p w14:paraId="0FF9D151" w14:textId="77777777" w:rsidR="000E4B30" w:rsidRPr="00F4287E" w:rsidRDefault="000E4B30" w:rsidP="00E35FCA">
      <w:pPr>
        <w:pStyle w:val="Heading3"/>
      </w:pPr>
      <w:r w:rsidRPr="00F4287E">
        <w:t>Metabolism</w:t>
      </w:r>
    </w:p>
    <w:p w14:paraId="7DDFC47F" w14:textId="77777777" w:rsidR="000E4B30" w:rsidRDefault="000E4B30" w:rsidP="000A1317">
      <w:pPr>
        <w:rPr>
          <w:rFonts w:cs="Arial"/>
          <w:szCs w:val="20"/>
        </w:rPr>
      </w:pPr>
      <w:r w:rsidRPr="00D852EC">
        <w:rPr>
          <w:rFonts w:cs="Arial"/>
          <w:szCs w:val="20"/>
        </w:rPr>
        <w:t>Metabolic breakdown of Enoxaparin is slight and takes place mainly in the liver (</w:t>
      </w:r>
      <w:proofErr w:type="spellStart"/>
      <w:r w:rsidRPr="00D852EC">
        <w:rPr>
          <w:rFonts w:cs="Arial"/>
          <w:szCs w:val="20"/>
        </w:rPr>
        <w:t>desulphation</w:t>
      </w:r>
      <w:proofErr w:type="spellEnd"/>
      <w:r w:rsidRPr="00D852EC">
        <w:rPr>
          <w:rFonts w:cs="Arial"/>
          <w:szCs w:val="20"/>
        </w:rPr>
        <w:t xml:space="preserve"> and depolymerisation). </w:t>
      </w:r>
      <w:proofErr w:type="gramStart"/>
      <w:r w:rsidRPr="00D852EC">
        <w:rPr>
          <w:rFonts w:cs="Arial"/>
          <w:szCs w:val="20"/>
        </w:rPr>
        <w:t>Small amounts of the product are eliminated by the kidneys in an intact or slightly degraded form</w:t>
      </w:r>
      <w:proofErr w:type="gramEnd"/>
      <w:r w:rsidRPr="00D852EC">
        <w:rPr>
          <w:rFonts w:cs="Arial"/>
          <w:szCs w:val="20"/>
        </w:rPr>
        <w:t>.</w:t>
      </w:r>
    </w:p>
    <w:p w14:paraId="7CB33784" w14:textId="77777777" w:rsidR="000E4B30" w:rsidRPr="00F4287E" w:rsidRDefault="000E4B30" w:rsidP="00E35FCA">
      <w:pPr>
        <w:pStyle w:val="Heading3"/>
      </w:pPr>
      <w:r w:rsidRPr="00F4287E">
        <w:t>Excretion</w:t>
      </w:r>
    </w:p>
    <w:p w14:paraId="0265C87B" w14:textId="0DDB6CAE" w:rsidR="000E4B30" w:rsidRPr="00D852EC" w:rsidRDefault="000E4B30" w:rsidP="000A1317">
      <w:pPr>
        <w:rPr>
          <w:rFonts w:cs="Arial"/>
          <w:szCs w:val="20"/>
        </w:rPr>
      </w:pPr>
      <w:r w:rsidRPr="00D852EC">
        <w:rPr>
          <w:rFonts w:cs="Arial"/>
          <w:szCs w:val="20"/>
        </w:rPr>
        <w:t xml:space="preserve">The elimination of </w:t>
      </w:r>
      <w:r w:rsidR="003C10D0" w:rsidRPr="00D852EC">
        <w:rPr>
          <w:rFonts w:cs="Arial"/>
          <w:szCs w:val="20"/>
        </w:rPr>
        <w:t xml:space="preserve">Enoxaparin </w:t>
      </w:r>
      <w:r w:rsidRPr="00D852EC">
        <w:rPr>
          <w:rFonts w:cs="Arial"/>
          <w:szCs w:val="20"/>
        </w:rPr>
        <w:t>(based on anti-</w:t>
      </w:r>
      <w:proofErr w:type="spellStart"/>
      <w:r w:rsidRPr="00D852EC">
        <w:rPr>
          <w:rFonts w:cs="Arial"/>
          <w:szCs w:val="20"/>
        </w:rPr>
        <w:t>Xa</w:t>
      </w:r>
      <w:proofErr w:type="spellEnd"/>
      <w:r w:rsidRPr="00D852EC">
        <w:rPr>
          <w:rFonts w:cs="Arial"/>
          <w:szCs w:val="20"/>
        </w:rPr>
        <w:t xml:space="preserve"> activity levels) is characterised by a half-life of approximately 4.4 hours for a dose of 40 mg. At higher doses of 73.8 mg to 132.6 mg, a study has shown that anti-</w:t>
      </w:r>
      <w:proofErr w:type="spellStart"/>
      <w:r w:rsidRPr="00D852EC">
        <w:rPr>
          <w:rFonts w:cs="Arial"/>
          <w:szCs w:val="20"/>
        </w:rPr>
        <w:t>Xa</w:t>
      </w:r>
      <w:proofErr w:type="spellEnd"/>
      <w:r w:rsidRPr="00D852EC">
        <w:rPr>
          <w:rFonts w:cs="Arial"/>
          <w:szCs w:val="20"/>
        </w:rPr>
        <w:t xml:space="preserve"> activity levels exhibit a first phase elimination half-life of 5 hours and a second stage elimination half-life of </w:t>
      </w:r>
      <w:r w:rsidR="00E35FCA">
        <w:rPr>
          <w:rFonts w:cs="Arial"/>
          <w:szCs w:val="20"/>
        </w:rPr>
        <w:t>~</w:t>
      </w:r>
      <w:r w:rsidRPr="00D852EC">
        <w:rPr>
          <w:rFonts w:cs="Arial"/>
          <w:szCs w:val="20"/>
        </w:rPr>
        <w:t>9 hours. Following a 40 mg dose, anti-</w:t>
      </w:r>
      <w:proofErr w:type="spellStart"/>
      <w:r w:rsidRPr="00D852EC">
        <w:rPr>
          <w:rFonts w:cs="Arial"/>
          <w:szCs w:val="20"/>
        </w:rPr>
        <w:t>Xa</w:t>
      </w:r>
      <w:proofErr w:type="spellEnd"/>
      <w:r w:rsidRPr="00D852EC">
        <w:rPr>
          <w:rFonts w:cs="Arial"/>
          <w:szCs w:val="20"/>
        </w:rPr>
        <w:t xml:space="preserve"> activity may persist in the plasma for 24 hours.</w:t>
      </w:r>
    </w:p>
    <w:p w14:paraId="20948E42" w14:textId="48692188" w:rsidR="000E4B30" w:rsidRPr="00341707" w:rsidRDefault="000E4B30" w:rsidP="00FB45F5">
      <w:pPr>
        <w:spacing w:after="360"/>
        <w:rPr>
          <w:color w:val="00B050"/>
        </w:rPr>
      </w:pPr>
      <w:r w:rsidRPr="00D852EC">
        <w:rPr>
          <w:rFonts w:cs="Arial"/>
          <w:szCs w:val="20"/>
        </w:rPr>
        <w:t xml:space="preserve">Elimination of Enoxaparin at prophylactic dosages </w:t>
      </w:r>
      <w:proofErr w:type="gramStart"/>
      <w:r w:rsidRPr="00D852EC">
        <w:rPr>
          <w:rFonts w:cs="Arial"/>
          <w:szCs w:val="20"/>
        </w:rPr>
        <w:t>is not significantly modified</w:t>
      </w:r>
      <w:proofErr w:type="gramEnd"/>
      <w:r w:rsidRPr="00D852EC">
        <w:rPr>
          <w:rFonts w:cs="Arial"/>
          <w:szCs w:val="20"/>
        </w:rPr>
        <w:t xml:space="preserve"> in patients with mild (creatinine clearance 50-80 mL/min) to moderate (creatinine clearance 30-50 mL/min) renal insufficiency. It is slightly reduced in the elderly (t</w:t>
      </w:r>
      <w:r w:rsidRPr="00D852EC">
        <w:rPr>
          <w:rFonts w:cs="Arial"/>
          <w:szCs w:val="20"/>
          <w:vertAlign w:val="subscript"/>
        </w:rPr>
        <w:t>½</w:t>
      </w:r>
      <w:r w:rsidRPr="00D852EC">
        <w:rPr>
          <w:rFonts w:cs="Arial"/>
          <w:szCs w:val="20"/>
        </w:rPr>
        <w:t xml:space="preserve"> = 6-7 hours). This modification has no effect on the doses or the frequency of injections, as there is no plasma accumulation in elderly subjects.</w:t>
      </w:r>
      <w:r w:rsidR="00725540" w:rsidRPr="00341707">
        <w:rPr>
          <w:color w:val="00B050"/>
        </w:rPr>
        <w:t xml:space="preserve"> </w:t>
      </w:r>
    </w:p>
    <w:p w14:paraId="3E725F10" w14:textId="296E54FB" w:rsidR="001A3992" w:rsidRPr="00571478" w:rsidRDefault="001A3992" w:rsidP="000A1317">
      <w:pPr>
        <w:pStyle w:val="Heading2"/>
      </w:pPr>
      <w:r w:rsidRPr="00571478">
        <w:lastRenderedPageBreak/>
        <w:t xml:space="preserve">Preclinical </w:t>
      </w:r>
      <w:r w:rsidR="00300792" w:rsidRPr="00571478">
        <w:rPr>
          <w:caps w:val="0"/>
        </w:rPr>
        <w:t>S</w:t>
      </w:r>
      <w:r w:rsidRPr="00571478">
        <w:t xml:space="preserve">afety </w:t>
      </w:r>
      <w:r w:rsidR="00300792" w:rsidRPr="00571478">
        <w:rPr>
          <w:caps w:val="0"/>
        </w:rPr>
        <w:t>D</w:t>
      </w:r>
      <w:r w:rsidRPr="00571478">
        <w:t>ata</w:t>
      </w:r>
    </w:p>
    <w:p w14:paraId="0FBA16B8" w14:textId="77777777" w:rsidR="00E62824" w:rsidRPr="00101B36" w:rsidRDefault="00E62824" w:rsidP="000A1317">
      <w:pPr>
        <w:pStyle w:val="Heading3"/>
      </w:pPr>
      <w:bookmarkStart w:id="22" w:name="_Hlk509310316"/>
      <w:proofErr w:type="spellStart"/>
      <w:r w:rsidRPr="00101B36">
        <w:t>Genotoxicity</w:t>
      </w:r>
      <w:proofErr w:type="spellEnd"/>
    </w:p>
    <w:p w14:paraId="67E7A0EB" w14:textId="16D6CF43" w:rsidR="00F26307" w:rsidRPr="00341707" w:rsidRDefault="00E62824" w:rsidP="000A1317">
      <w:pPr>
        <w:rPr>
          <w:color w:val="00B050"/>
        </w:rPr>
      </w:pPr>
      <w:r w:rsidRPr="00101B36">
        <w:t xml:space="preserve">Enoxaparin was not genotoxic in </w:t>
      </w:r>
      <w:r w:rsidRPr="00E35FCA">
        <w:rPr>
          <w:i/>
        </w:rPr>
        <w:t>in vitro</w:t>
      </w:r>
      <w:r w:rsidRPr="00101B36">
        <w:t xml:space="preserve"> tests, including the Ames test, mouse lymphoma cell forward mutation test and human lymphocyte chromosomal aberration test and the </w:t>
      </w:r>
      <w:r w:rsidRPr="00E35FCA">
        <w:rPr>
          <w:i/>
        </w:rPr>
        <w:t>in vivo</w:t>
      </w:r>
      <w:r w:rsidRPr="00101B36">
        <w:t xml:space="preserve"> rat bone marrow chromosomal aberration test.</w:t>
      </w:r>
    </w:p>
    <w:bookmarkEnd w:id="22"/>
    <w:p w14:paraId="0B163C8F" w14:textId="68D893E7" w:rsidR="001A3992" w:rsidRPr="00571478" w:rsidRDefault="001A3992" w:rsidP="000A1317">
      <w:pPr>
        <w:pStyle w:val="Heading3"/>
        <w:spacing w:before="0"/>
        <w:rPr>
          <w:rFonts w:ascii="Arial" w:hAnsi="Arial" w:cs="Arial"/>
        </w:rPr>
      </w:pPr>
      <w:r w:rsidRPr="00571478">
        <w:rPr>
          <w:rFonts w:ascii="Arial" w:hAnsi="Arial" w:cs="Arial"/>
        </w:rPr>
        <w:t>Carcinogenicity</w:t>
      </w:r>
    </w:p>
    <w:p w14:paraId="6BB940DD" w14:textId="1CD81131" w:rsidR="00E62824" w:rsidRPr="006727DE" w:rsidRDefault="00E62824" w:rsidP="00FB45F5">
      <w:pPr>
        <w:spacing w:after="360"/>
      </w:pPr>
      <w:r w:rsidRPr="00101B36">
        <w:t xml:space="preserve">No long-term studies in animals </w:t>
      </w:r>
      <w:proofErr w:type="gramStart"/>
      <w:r w:rsidRPr="00101B36">
        <w:t>have been performed</w:t>
      </w:r>
      <w:proofErr w:type="gramEnd"/>
      <w:r w:rsidRPr="00101B36">
        <w:t xml:space="preserve"> to evaluate the carcinogenic potential of </w:t>
      </w:r>
      <w:r w:rsidR="003C10D0" w:rsidRPr="00101B36">
        <w:t>Enoxaparin</w:t>
      </w:r>
      <w:r w:rsidRPr="00101B36">
        <w:t>.</w:t>
      </w:r>
    </w:p>
    <w:p w14:paraId="6F1DFFA1" w14:textId="298FD84E" w:rsidR="001A3992" w:rsidRPr="00571478" w:rsidRDefault="001A3992" w:rsidP="000A1317">
      <w:pPr>
        <w:pStyle w:val="Heading1"/>
      </w:pPr>
      <w:r w:rsidRPr="00571478">
        <w:t xml:space="preserve">Pharmaceutical </w:t>
      </w:r>
      <w:r w:rsidR="00300792" w:rsidRPr="00571478">
        <w:rPr>
          <w:caps w:val="0"/>
        </w:rPr>
        <w:t>P</w:t>
      </w:r>
      <w:r w:rsidRPr="00571478">
        <w:t>articulars</w:t>
      </w:r>
    </w:p>
    <w:p w14:paraId="6CE4C0D7" w14:textId="6C10E7D8" w:rsidR="001A3992" w:rsidRPr="00571478" w:rsidRDefault="00FF764B" w:rsidP="000A1317">
      <w:pPr>
        <w:pStyle w:val="Heading2"/>
      </w:pPr>
      <w:bookmarkStart w:id="23" w:name="_Ref875053"/>
      <w:r w:rsidRPr="00571478">
        <w:t xml:space="preserve">List of </w:t>
      </w:r>
      <w:r w:rsidR="00300792" w:rsidRPr="00571478">
        <w:rPr>
          <w:caps w:val="0"/>
        </w:rPr>
        <w:t>E</w:t>
      </w:r>
      <w:r w:rsidRPr="00571478">
        <w:t>xcipients</w:t>
      </w:r>
      <w:bookmarkEnd w:id="23"/>
    </w:p>
    <w:p w14:paraId="1FE9084A" w14:textId="671ADCD2" w:rsidR="005D430D" w:rsidRPr="00571478" w:rsidRDefault="00743780" w:rsidP="00E35FCA">
      <w:pPr>
        <w:spacing w:after="360"/>
        <w:rPr>
          <w:rFonts w:cs="Arial"/>
        </w:rPr>
      </w:pPr>
      <w:r w:rsidRPr="00743780">
        <w:rPr>
          <w:rFonts w:cs="Arial"/>
        </w:rPr>
        <w:t>Enoxaparin sodium solution for injection also contains water for injections</w:t>
      </w:r>
      <w:r w:rsidR="00E35FCA">
        <w:rPr>
          <w:rFonts w:cs="Arial"/>
        </w:rPr>
        <w:t>,</w:t>
      </w:r>
      <w:r w:rsidRPr="00743780">
        <w:rPr>
          <w:rFonts w:cs="Arial"/>
        </w:rPr>
        <w:t xml:space="preserve"> as an inactive ingredient.</w:t>
      </w:r>
    </w:p>
    <w:p w14:paraId="1EC6F3F7" w14:textId="77D4BD9E" w:rsidR="001A3992" w:rsidRPr="00571478" w:rsidRDefault="00FF764B" w:rsidP="000A1317">
      <w:pPr>
        <w:pStyle w:val="Heading2"/>
      </w:pPr>
      <w:r w:rsidRPr="00571478">
        <w:t>Incompatibilities</w:t>
      </w:r>
    </w:p>
    <w:p w14:paraId="0BC56328" w14:textId="58C878AF" w:rsidR="005D430D" w:rsidRPr="00577713" w:rsidRDefault="00E75F79" w:rsidP="00FB45F5">
      <w:pPr>
        <w:spacing w:after="360"/>
        <w:rPr>
          <w:rFonts w:cs="Arial"/>
        </w:rPr>
      </w:pPr>
      <w:r w:rsidRPr="00577713">
        <w:rPr>
          <w:rFonts w:cs="Arial"/>
        </w:rPr>
        <w:t xml:space="preserve">Incompatibilities </w:t>
      </w:r>
      <w:proofErr w:type="gramStart"/>
      <w:r w:rsidRPr="00577713">
        <w:rPr>
          <w:rFonts w:cs="Arial"/>
        </w:rPr>
        <w:t>were either not assessed or not identified as part of the registration of this medicine</w:t>
      </w:r>
      <w:proofErr w:type="gramEnd"/>
      <w:r w:rsidRPr="00577713">
        <w:rPr>
          <w:rFonts w:cs="Arial"/>
        </w:rPr>
        <w:t>.</w:t>
      </w:r>
    </w:p>
    <w:p w14:paraId="518A07F2" w14:textId="4FDB29FC" w:rsidR="001A3992" w:rsidRPr="00571478" w:rsidRDefault="001A3992" w:rsidP="000A1317">
      <w:pPr>
        <w:pStyle w:val="Heading2"/>
      </w:pPr>
      <w:r w:rsidRPr="00571478">
        <w:t xml:space="preserve">Shelf </w:t>
      </w:r>
      <w:r w:rsidR="00300792" w:rsidRPr="00571478">
        <w:rPr>
          <w:caps w:val="0"/>
        </w:rPr>
        <w:t>L</w:t>
      </w:r>
      <w:r w:rsidRPr="00571478">
        <w:t>ife</w:t>
      </w:r>
    </w:p>
    <w:p w14:paraId="1219AE07" w14:textId="14D6137F" w:rsidR="00FF764B" w:rsidRPr="00571478" w:rsidRDefault="00130CDE" w:rsidP="000A1317">
      <w:pPr>
        <w:spacing w:after="0"/>
        <w:rPr>
          <w:rFonts w:cs="Arial"/>
        </w:rPr>
      </w:pPr>
      <w:r w:rsidRPr="00571478">
        <w:rPr>
          <w:rFonts w:cs="Arial"/>
        </w:rPr>
        <w:t xml:space="preserve">In Australia, information on the shelf life </w:t>
      </w:r>
      <w:proofErr w:type="gramStart"/>
      <w:r w:rsidRPr="00571478">
        <w:rPr>
          <w:rFonts w:cs="Arial"/>
        </w:rPr>
        <w:t>can be found</w:t>
      </w:r>
      <w:proofErr w:type="gramEnd"/>
      <w:r w:rsidRPr="00571478">
        <w:rPr>
          <w:rFonts w:cs="Arial"/>
        </w:rPr>
        <w:t xml:space="preserve"> on the public summary of the Australian Register of Therapeutic Goods (ARTG). The expiry date </w:t>
      </w:r>
      <w:proofErr w:type="gramStart"/>
      <w:r w:rsidR="00F26307" w:rsidRPr="00571478">
        <w:rPr>
          <w:rFonts w:cs="Arial"/>
        </w:rPr>
        <w:t>can be found</w:t>
      </w:r>
      <w:proofErr w:type="gramEnd"/>
      <w:r w:rsidR="00F26307" w:rsidRPr="00571478">
        <w:rPr>
          <w:rFonts w:cs="Arial"/>
        </w:rPr>
        <w:t xml:space="preserve"> on the packaging.</w:t>
      </w:r>
    </w:p>
    <w:p w14:paraId="0E804A71" w14:textId="29778C2D" w:rsidR="005D430D" w:rsidRPr="00577713" w:rsidRDefault="00A6409E" w:rsidP="00FB45F5">
      <w:pPr>
        <w:spacing w:after="360"/>
        <w:rPr>
          <w:rFonts w:cs="Arial"/>
        </w:rPr>
      </w:pPr>
      <w:r>
        <w:rPr>
          <w:rFonts w:cs="Arial"/>
        </w:rPr>
        <w:t>See</w:t>
      </w:r>
      <w:r w:rsidR="00323357">
        <w:rPr>
          <w:rFonts w:cs="Arial"/>
        </w:rPr>
        <w:t xml:space="preserve"> also</w:t>
      </w:r>
      <w:r>
        <w:rPr>
          <w:rFonts w:cs="Arial"/>
        </w:rPr>
        <w:t xml:space="preserve"> </w:t>
      </w:r>
      <w:r w:rsidR="000E1F25">
        <w:rPr>
          <w:rFonts w:cs="Arial"/>
        </w:rPr>
        <w:t xml:space="preserve">Section </w:t>
      </w:r>
      <w:r w:rsidR="00F3331C">
        <w:rPr>
          <w:rFonts w:cs="Arial"/>
        </w:rPr>
        <w:fldChar w:fldCharType="begin"/>
      </w:r>
      <w:r w:rsidR="00F3331C">
        <w:rPr>
          <w:rFonts w:cs="Arial"/>
        </w:rPr>
        <w:instrText xml:space="preserve"> REF _Ref953210 \r \h </w:instrText>
      </w:r>
      <w:r w:rsidR="00F3331C">
        <w:rPr>
          <w:rFonts w:cs="Arial"/>
        </w:rPr>
      </w:r>
      <w:r w:rsidR="00F3331C">
        <w:rPr>
          <w:rFonts w:cs="Arial"/>
        </w:rPr>
        <w:fldChar w:fldCharType="separate"/>
      </w:r>
      <w:r w:rsidR="006254D6">
        <w:rPr>
          <w:rFonts w:cs="Arial"/>
        </w:rPr>
        <w:t>6.4</w:t>
      </w:r>
      <w:r w:rsidR="00F3331C">
        <w:rPr>
          <w:rFonts w:cs="Arial"/>
        </w:rPr>
        <w:fldChar w:fldCharType="end"/>
      </w:r>
      <w:r w:rsidR="007B3C94">
        <w:rPr>
          <w:rFonts w:cs="Arial"/>
        </w:rPr>
        <w:t xml:space="preserve"> – </w:t>
      </w:r>
      <w:r w:rsidR="00F3331C">
        <w:rPr>
          <w:rFonts w:cs="Arial"/>
        </w:rPr>
        <w:fldChar w:fldCharType="begin"/>
      </w:r>
      <w:r w:rsidR="00F3331C">
        <w:rPr>
          <w:rFonts w:cs="Arial"/>
        </w:rPr>
        <w:instrText xml:space="preserve"> REF _Ref953210 \h </w:instrText>
      </w:r>
      <w:r w:rsidR="00F3331C">
        <w:rPr>
          <w:rFonts w:cs="Arial"/>
        </w:rPr>
      </w:r>
      <w:r w:rsidR="00F3331C">
        <w:rPr>
          <w:rFonts w:cs="Arial"/>
        </w:rPr>
        <w:fldChar w:fldCharType="separate"/>
      </w:r>
      <w:r w:rsidR="006254D6" w:rsidRPr="00571478">
        <w:t>Special Precautions for Storage</w:t>
      </w:r>
      <w:r w:rsidR="00F3331C">
        <w:rPr>
          <w:rFonts w:cs="Arial"/>
        </w:rPr>
        <w:fldChar w:fldCharType="end"/>
      </w:r>
      <w:r>
        <w:rPr>
          <w:rFonts w:cs="Arial"/>
        </w:rPr>
        <w:t>.</w:t>
      </w:r>
    </w:p>
    <w:p w14:paraId="375FB81D" w14:textId="24A9FEFC" w:rsidR="001A3992" w:rsidRPr="00571478" w:rsidRDefault="00FF764B" w:rsidP="000A1317">
      <w:pPr>
        <w:pStyle w:val="Heading2"/>
      </w:pPr>
      <w:bookmarkStart w:id="24" w:name="_Ref953210"/>
      <w:r w:rsidRPr="00571478">
        <w:t xml:space="preserve">Special </w:t>
      </w:r>
      <w:r w:rsidR="00300792" w:rsidRPr="00571478">
        <w:rPr>
          <w:caps w:val="0"/>
        </w:rPr>
        <w:t>P</w:t>
      </w:r>
      <w:r w:rsidRPr="00571478">
        <w:t xml:space="preserve">recautions for </w:t>
      </w:r>
      <w:r w:rsidR="00300792" w:rsidRPr="00571478">
        <w:rPr>
          <w:caps w:val="0"/>
        </w:rPr>
        <w:t>S</w:t>
      </w:r>
      <w:r w:rsidRPr="00571478">
        <w:t>torage</w:t>
      </w:r>
      <w:bookmarkEnd w:id="24"/>
    </w:p>
    <w:p w14:paraId="2BC58FC6" w14:textId="77A1D93B" w:rsidR="005D430D" w:rsidRPr="00577713" w:rsidRDefault="00577713" w:rsidP="00FB45F5">
      <w:pPr>
        <w:spacing w:after="360"/>
        <w:rPr>
          <w:rFonts w:cs="Arial"/>
        </w:rPr>
      </w:pPr>
      <w:r w:rsidRPr="00577713">
        <w:rPr>
          <w:rFonts w:cs="Arial"/>
        </w:rPr>
        <w:t>Do not freeze.</w:t>
      </w:r>
      <w:r w:rsidR="00A6409E">
        <w:rPr>
          <w:rFonts w:cs="Arial"/>
        </w:rPr>
        <w:t xml:space="preserve"> </w:t>
      </w:r>
      <w:r w:rsidR="00A6409E" w:rsidRPr="00577713">
        <w:rPr>
          <w:rFonts w:cs="Arial"/>
        </w:rPr>
        <w:t>Store below 25°C.</w:t>
      </w:r>
    </w:p>
    <w:p w14:paraId="6E270B45" w14:textId="6BC9D186" w:rsidR="001A3992" w:rsidRDefault="001A3992" w:rsidP="000A1317">
      <w:pPr>
        <w:pStyle w:val="Heading2"/>
      </w:pPr>
      <w:r w:rsidRPr="00571478">
        <w:t>N</w:t>
      </w:r>
      <w:r w:rsidR="00FF764B" w:rsidRPr="00571478">
        <w:t xml:space="preserve">ature and </w:t>
      </w:r>
      <w:r w:rsidR="00300792" w:rsidRPr="00571478">
        <w:rPr>
          <w:caps w:val="0"/>
        </w:rPr>
        <w:t>C</w:t>
      </w:r>
      <w:r w:rsidR="00FF764B" w:rsidRPr="00571478">
        <w:t xml:space="preserve">ontents of </w:t>
      </w:r>
      <w:r w:rsidR="00300792" w:rsidRPr="00571478">
        <w:rPr>
          <w:caps w:val="0"/>
        </w:rPr>
        <w:t>C</w:t>
      </w:r>
      <w:r w:rsidR="00FF764B" w:rsidRPr="00571478">
        <w:t>ontainer</w:t>
      </w:r>
    </w:p>
    <w:p w14:paraId="3E4EB3D2" w14:textId="4A5D40A3" w:rsidR="008A238C" w:rsidRPr="008A238C" w:rsidRDefault="00F248F8" w:rsidP="008A238C">
      <w:pPr>
        <w:spacing w:after="360"/>
      </w:pPr>
      <w:bookmarkStart w:id="25" w:name="_Hlk519243371"/>
      <w:r>
        <w:t>ENOXAPO</w:t>
      </w:r>
      <w:r w:rsidR="004474E0">
        <w:t xml:space="preserve"> </w:t>
      </w:r>
      <w:r w:rsidR="008A238C" w:rsidRPr="008A238C">
        <w:t xml:space="preserve">solutions </w:t>
      </w:r>
      <w:proofErr w:type="gramStart"/>
      <w:r w:rsidR="008A238C" w:rsidRPr="008A238C">
        <w:t>are intended</w:t>
      </w:r>
      <w:proofErr w:type="gramEnd"/>
      <w:r w:rsidR="008A238C" w:rsidRPr="008A238C">
        <w:t xml:space="preserve"> for SC and IV injection. Each syringe contains 100 mg/mL or 150 mg/mL Enoxaparin sodium, as the active ingredient.</w:t>
      </w:r>
    </w:p>
    <w:p w14:paraId="6C555767" w14:textId="00F38A3A" w:rsidR="008A238C" w:rsidRPr="008A238C" w:rsidRDefault="008A238C" w:rsidP="008A238C">
      <w:pPr>
        <w:rPr>
          <w:b/>
        </w:rPr>
      </w:pPr>
      <w:r w:rsidRPr="008A238C">
        <w:rPr>
          <w:b/>
        </w:rPr>
        <w:t>ENOXAP</w:t>
      </w:r>
      <w:r w:rsidR="00F248F8">
        <w:rPr>
          <w:b/>
        </w:rPr>
        <w:t>O</w:t>
      </w:r>
    </w:p>
    <w:p w14:paraId="2106FBA3" w14:textId="2CECF4FA" w:rsidR="008A238C" w:rsidRPr="008A238C" w:rsidRDefault="008A238C" w:rsidP="008A238C">
      <w:pPr>
        <w:rPr>
          <w:rFonts w:cs="Arial"/>
        </w:rPr>
      </w:pPr>
      <w:r w:rsidRPr="008A238C">
        <w:rPr>
          <w:rFonts w:cs="Arial"/>
        </w:rPr>
        <w:t>20 mg/0.2 mL (anti-</w:t>
      </w:r>
      <w:proofErr w:type="spellStart"/>
      <w:r w:rsidRPr="008A238C">
        <w:rPr>
          <w:rFonts w:cs="Arial"/>
        </w:rPr>
        <w:t>Xa</w:t>
      </w:r>
      <w:proofErr w:type="spellEnd"/>
      <w:r w:rsidRPr="008A238C">
        <w:rPr>
          <w:rFonts w:cs="Arial"/>
        </w:rPr>
        <w:t xml:space="preserve">: 2,000 IU) ready-to-use, pre-filled syringes, </w:t>
      </w:r>
      <w:proofErr w:type="gramStart"/>
      <w:r w:rsidRPr="008A238C">
        <w:rPr>
          <w:rFonts w:cs="Arial"/>
        </w:rPr>
        <w:t>10's:</w:t>
      </w:r>
      <w:proofErr w:type="gramEnd"/>
      <w:r w:rsidRPr="008A238C">
        <w:rPr>
          <w:rFonts w:cs="Arial"/>
        </w:rPr>
        <w:t xml:space="preserve"> AUST R </w:t>
      </w:r>
      <w:r w:rsidR="00755E82">
        <w:rPr>
          <w:rFonts w:cs="Arial"/>
        </w:rPr>
        <w:t>210318</w:t>
      </w:r>
      <w:r w:rsidRPr="008A238C">
        <w:rPr>
          <w:rFonts w:cs="Arial"/>
        </w:rPr>
        <w:t>.</w:t>
      </w:r>
    </w:p>
    <w:p w14:paraId="23F06160" w14:textId="4969F698" w:rsidR="008A238C" w:rsidRPr="008A238C" w:rsidRDefault="008A238C" w:rsidP="008A238C">
      <w:pPr>
        <w:rPr>
          <w:rFonts w:cs="Arial"/>
        </w:rPr>
      </w:pPr>
      <w:r w:rsidRPr="008A238C">
        <w:rPr>
          <w:rFonts w:cs="Arial"/>
        </w:rPr>
        <w:t>40 mg/0.4 mL (anti-</w:t>
      </w:r>
      <w:proofErr w:type="spellStart"/>
      <w:r w:rsidRPr="008A238C">
        <w:rPr>
          <w:rFonts w:cs="Arial"/>
        </w:rPr>
        <w:t>Xa</w:t>
      </w:r>
      <w:proofErr w:type="spellEnd"/>
      <w:r w:rsidRPr="008A238C">
        <w:rPr>
          <w:rFonts w:cs="Arial"/>
        </w:rPr>
        <w:t xml:space="preserve">: 4,000 IU) ready-to-use, pre-filled syringes, </w:t>
      </w:r>
      <w:proofErr w:type="gramStart"/>
      <w:r w:rsidRPr="008A238C">
        <w:rPr>
          <w:rFonts w:cs="Arial"/>
        </w:rPr>
        <w:t>10's:</w:t>
      </w:r>
      <w:proofErr w:type="gramEnd"/>
      <w:r w:rsidRPr="008A238C">
        <w:rPr>
          <w:rFonts w:cs="Arial"/>
        </w:rPr>
        <w:t xml:space="preserve"> AUST R </w:t>
      </w:r>
      <w:r w:rsidR="00755E82">
        <w:rPr>
          <w:rFonts w:cs="Arial"/>
        </w:rPr>
        <w:t>210320</w:t>
      </w:r>
      <w:r w:rsidRPr="008A238C">
        <w:rPr>
          <w:rFonts w:cs="Arial"/>
        </w:rPr>
        <w:t>.</w:t>
      </w:r>
    </w:p>
    <w:p w14:paraId="57D46C73" w14:textId="08C38980" w:rsidR="008A238C" w:rsidRPr="008A238C" w:rsidRDefault="008A238C" w:rsidP="008A238C">
      <w:pPr>
        <w:rPr>
          <w:rFonts w:cs="Arial"/>
        </w:rPr>
      </w:pPr>
      <w:r w:rsidRPr="008A238C">
        <w:rPr>
          <w:rFonts w:cs="Arial"/>
        </w:rPr>
        <w:t>60 mg/0.6 mL (anti-</w:t>
      </w:r>
      <w:proofErr w:type="spellStart"/>
      <w:r w:rsidRPr="008A238C">
        <w:rPr>
          <w:rFonts w:cs="Arial"/>
        </w:rPr>
        <w:t>Xa</w:t>
      </w:r>
      <w:proofErr w:type="spellEnd"/>
      <w:r w:rsidRPr="008A238C">
        <w:rPr>
          <w:rFonts w:cs="Arial"/>
        </w:rPr>
        <w:t xml:space="preserve">: 6,000 IU) ready-to-use, pre-filled syringes with graduated markings, </w:t>
      </w:r>
      <w:proofErr w:type="gramStart"/>
      <w:r w:rsidRPr="008A238C">
        <w:rPr>
          <w:rFonts w:cs="Arial"/>
        </w:rPr>
        <w:t>10's:</w:t>
      </w:r>
      <w:proofErr w:type="gramEnd"/>
      <w:r w:rsidRPr="008A238C">
        <w:rPr>
          <w:rFonts w:cs="Arial"/>
        </w:rPr>
        <w:t xml:space="preserve"> AUST R </w:t>
      </w:r>
      <w:r w:rsidR="00755E82">
        <w:rPr>
          <w:rFonts w:cs="Arial"/>
        </w:rPr>
        <w:t>210337</w:t>
      </w:r>
      <w:r w:rsidRPr="008A238C">
        <w:rPr>
          <w:rFonts w:cs="Arial"/>
        </w:rPr>
        <w:t xml:space="preserve">. </w:t>
      </w:r>
    </w:p>
    <w:p w14:paraId="0B516A0C" w14:textId="6D27E6A0" w:rsidR="008A238C" w:rsidRPr="008A238C" w:rsidRDefault="008A238C" w:rsidP="008A238C">
      <w:pPr>
        <w:rPr>
          <w:rFonts w:cs="Arial"/>
        </w:rPr>
      </w:pPr>
      <w:r w:rsidRPr="008A238C">
        <w:rPr>
          <w:rFonts w:cs="Arial"/>
        </w:rPr>
        <w:lastRenderedPageBreak/>
        <w:t>80 mg/0.8 mL (anti-</w:t>
      </w:r>
      <w:proofErr w:type="spellStart"/>
      <w:r w:rsidRPr="008A238C">
        <w:rPr>
          <w:rFonts w:cs="Arial"/>
        </w:rPr>
        <w:t>Xa</w:t>
      </w:r>
      <w:proofErr w:type="spellEnd"/>
      <w:r w:rsidRPr="008A238C">
        <w:rPr>
          <w:rFonts w:cs="Arial"/>
        </w:rPr>
        <w:t xml:space="preserve">: 8,000 IU) ready-to-use, pre-filled syringes with graduated markings, </w:t>
      </w:r>
      <w:proofErr w:type="gramStart"/>
      <w:r w:rsidRPr="008A238C">
        <w:rPr>
          <w:rFonts w:cs="Arial"/>
        </w:rPr>
        <w:t>10's:</w:t>
      </w:r>
      <w:proofErr w:type="gramEnd"/>
      <w:r w:rsidRPr="008A238C">
        <w:rPr>
          <w:rFonts w:cs="Arial"/>
        </w:rPr>
        <w:t xml:space="preserve"> AUST R </w:t>
      </w:r>
      <w:r w:rsidR="00755E82">
        <w:rPr>
          <w:rFonts w:cs="Arial"/>
        </w:rPr>
        <w:t>210333</w:t>
      </w:r>
      <w:r w:rsidRPr="008A238C">
        <w:rPr>
          <w:rFonts w:cs="Arial"/>
        </w:rPr>
        <w:t xml:space="preserve">. </w:t>
      </w:r>
    </w:p>
    <w:p w14:paraId="4D5E01E9" w14:textId="0279B948" w:rsidR="008A238C" w:rsidRPr="008A238C" w:rsidRDefault="008A238C" w:rsidP="008A238C">
      <w:pPr>
        <w:rPr>
          <w:rFonts w:cs="Arial"/>
        </w:rPr>
      </w:pPr>
      <w:r w:rsidRPr="008A238C">
        <w:rPr>
          <w:rFonts w:cs="Arial"/>
        </w:rPr>
        <w:t>100 mg/1 mL (anti-</w:t>
      </w:r>
      <w:proofErr w:type="spellStart"/>
      <w:r w:rsidRPr="008A238C">
        <w:rPr>
          <w:rFonts w:cs="Arial"/>
        </w:rPr>
        <w:t>Xa</w:t>
      </w:r>
      <w:proofErr w:type="spellEnd"/>
      <w:r w:rsidRPr="008A238C">
        <w:rPr>
          <w:rFonts w:cs="Arial"/>
        </w:rPr>
        <w:t xml:space="preserve">: 10,000 IU) ready-to-use, pre-filled syringes with graduated markings, </w:t>
      </w:r>
      <w:proofErr w:type="gramStart"/>
      <w:r w:rsidRPr="008A238C">
        <w:rPr>
          <w:rFonts w:cs="Arial"/>
        </w:rPr>
        <w:t>10's:</w:t>
      </w:r>
      <w:proofErr w:type="gramEnd"/>
      <w:r w:rsidRPr="008A238C">
        <w:rPr>
          <w:rFonts w:cs="Arial"/>
        </w:rPr>
        <w:t xml:space="preserve"> AUST R </w:t>
      </w:r>
      <w:r w:rsidR="00755E82">
        <w:rPr>
          <w:rFonts w:cs="Arial"/>
        </w:rPr>
        <w:t>210340</w:t>
      </w:r>
      <w:r w:rsidRPr="008A238C">
        <w:rPr>
          <w:rFonts w:cs="Arial"/>
        </w:rPr>
        <w:t xml:space="preserve">. </w:t>
      </w:r>
    </w:p>
    <w:p w14:paraId="2A7C2049" w14:textId="03F67764" w:rsidR="008A238C" w:rsidRPr="008A238C" w:rsidRDefault="008A238C" w:rsidP="008A238C">
      <w:pPr>
        <w:rPr>
          <w:rFonts w:cs="Arial"/>
        </w:rPr>
      </w:pPr>
      <w:r w:rsidRPr="008A238C">
        <w:rPr>
          <w:rFonts w:cs="Arial"/>
        </w:rPr>
        <w:t>120 mg/0.8 mL (anti-</w:t>
      </w:r>
      <w:proofErr w:type="spellStart"/>
      <w:r w:rsidRPr="008A238C">
        <w:rPr>
          <w:rFonts w:cs="Arial"/>
        </w:rPr>
        <w:t>Xa</w:t>
      </w:r>
      <w:proofErr w:type="spellEnd"/>
      <w:r w:rsidRPr="008A238C">
        <w:rPr>
          <w:rFonts w:cs="Arial"/>
        </w:rPr>
        <w:t xml:space="preserve">: 12,000 IU) ready-to-use, pre-filled syringes with double graduated markings, </w:t>
      </w:r>
      <w:proofErr w:type="gramStart"/>
      <w:r w:rsidRPr="008A238C">
        <w:rPr>
          <w:rFonts w:cs="Arial"/>
        </w:rPr>
        <w:t>10's:</w:t>
      </w:r>
      <w:proofErr w:type="gramEnd"/>
      <w:r w:rsidRPr="008A238C">
        <w:rPr>
          <w:rFonts w:cs="Arial"/>
        </w:rPr>
        <w:t xml:space="preserve"> AUST R </w:t>
      </w:r>
      <w:r w:rsidR="00755E82" w:rsidRPr="00755E82">
        <w:rPr>
          <w:rFonts w:cs="Arial"/>
        </w:rPr>
        <w:t>210312</w:t>
      </w:r>
      <w:r w:rsidRPr="008A238C">
        <w:rPr>
          <w:rFonts w:cs="Arial"/>
        </w:rPr>
        <w:t>.</w:t>
      </w:r>
    </w:p>
    <w:p w14:paraId="7E1BDA91" w14:textId="6089A35F" w:rsidR="0000654F" w:rsidRPr="00577713" w:rsidRDefault="008A238C" w:rsidP="008A238C">
      <w:pPr>
        <w:rPr>
          <w:rFonts w:cs="Arial"/>
        </w:rPr>
      </w:pPr>
      <w:r w:rsidRPr="008A238C">
        <w:rPr>
          <w:rFonts w:cs="Arial"/>
        </w:rPr>
        <w:t>150 mg/1 mL (anti-</w:t>
      </w:r>
      <w:proofErr w:type="spellStart"/>
      <w:r w:rsidRPr="008A238C">
        <w:rPr>
          <w:rFonts w:cs="Arial"/>
        </w:rPr>
        <w:t>Xa</w:t>
      </w:r>
      <w:proofErr w:type="spellEnd"/>
      <w:r w:rsidRPr="008A238C">
        <w:rPr>
          <w:rFonts w:cs="Arial"/>
        </w:rPr>
        <w:t xml:space="preserve">: 15,000 IU) ready-to-use, pre-filled syringes with the double graduated markings, </w:t>
      </w:r>
      <w:proofErr w:type="gramStart"/>
      <w:r w:rsidRPr="008A238C">
        <w:rPr>
          <w:rFonts w:cs="Arial"/>
        </w:rPr>
        <w:t>10's:</w:t>
      </w:r>
      <w:proofErr w:type="gramEnd"/>
      <w:r w:rsidRPr="008A238C">
        <w:rPr>
          <w:rFonts w:cs="Arial"/>
        </w:rPr>
        <w:t xml:space="preserve"> AUST R </w:t>
      </w:r>
      <w:r w:rsidR="00755E82">
        <w:rPr>
          <w:rFonts w:cs="Arial"/>
        </w:rPr>
        <w:t>210324.</w:t>
      </w:r>
    </w:p>
    <w:bookmarkEnd w:id="25"/>
    <w:p w14:paraId="328F54CD" w14:textId="7D6389D3" w:rsidR="005D430D" w:rsidRPr="00DC78F4" w:rsidRDefault="007764BE" w:rsidP="00FB45F5">
      <w:pPr>
        <w:spacing w:after="360"/>
        <w:rPr>
          <w:rFonts w:cs="Arial"/>
        </w:rPr>
      </w:pPr>
      <w:r>
        <w:rPr>
          <w:rFonts w:cs="Arial"/>
        </w:rPr>
        <w:t>(</w:t>
      </w:r>
      <w:r w:rsidR="00220A12" w:rsidRPr="00DC78F4">
        <w:rPr>
          <w:rFonts w:cs="Arial"/>
        </w:rPr>
        <w:t xml:space="preserve">Not all strengths </w:t>
      </w:r>
      <w:r w:rsidR="00C30BA9" w:rsidRPr="00DC78F4">
        <w:rPr>
          <w:rFonts w:cs="Arial"/>
        </w:rPr>
        <w:t>[</w:t>
      </w:r>
      <w:r w:rsidR="00220A12" w:rsidRPr="00DC78F4">
        <w:rPr>
          <w:rFonts w:cs="Arial"/>
        </w:rPr>
        <w:t>pack sizes</w:t>
      </w:r>
      <w:r w:rsidR="00C30BA9" w:rsidRPr="00DC78F4">
        <w:rPr>
          <w:rFonts w:cs="Arial"/>
        </w:rPr>
        <w:t>] may be</w:t>
      </w:r>
      <w:r w:rsidR="00220A12" w:rsidRPr="00DC78F4">
        <w:rPr>
          <w:rFonts w:cs="Arial"/>
        </w:rPr>
        <w:t xml:space="preserve"> </w:t>
      </w:r>
      <w:r w:rsidR="0000654F" w:rsidRPr="00DC78F4">
        <w:rPr>
          <w:rFonts w:cs="Arial"/>
        </w:rPr>
        <w:t>available</w:t>
      </w:r>
      <w:r>
        <w:rPr>
          <w:rFonts w:cs="Arial"/>
        </w:rPr>
        <w:t>)</w:t>
      </w:r>
      <w:r w:rsidR="00577713" w:rsidRPr="00DC78F4">
        <w:rPr>
          <w:rFonts w:cs="Arial"/>
        </w:rPr>
        <w:t>.</w:t>
      </w:r>
    </w:p>
    <w:p w14:paraId="6AE854FE" w14:textId="53813453" w:rsidR="001A3992" w:rsidRPr="00571478" w:rsidRDefault="001A3992" w:rsidP="000A1317">
      <w:pPr>
        <w:pStyle w:val="Heading2"/>
      </w:pPr>
      <w:r w:rsidRPr="00571478">
        <w:t>S</w:t>
      </w:r>
      <w:r w:rsidR="00FF764B" w:rsidRPr="00571478">
        <w:t xml:space="preserve">pecial </w:t>
      </w:r>
      <w:r w:rsidR="00300792" w:rsidRPr="00571478">
        <w:rPr>
          <w:caps w:val="0"/>
        </w:rPr>
        <w:t>P</w:t>
      </w:r>
      <w:r w:rsidR="00FF764B" w:rsidRPr="00571478">
        <w:t xml:space="preserve">recautions for </w:t>
      </w:r>
      <w:r w:rsidR="00300792" w:rsidRPr="00571478">
        <w:rPr>
          <w:caps w:val="0"/>
        </w:rPr>
        <w:t>D</w:t>
      </w:r>
      <w:r w:rsidR="00FF764B" w:rsidRPr="00571478">
        <w:t>isposal</w:t>
      </w:r>
    </w:p>
    <w:p w14:paraId="1EE406BB" w14:textId="3C9129CD" w:rsidR="005D430D" w:rsidRPr="00B217EF" w:rsidRDefault="00130CDE" w:rsidP="00FB45F5">
      <w:pPr>
        <w:spacing w:after="360"/>
        <w:rPr>
          <w:rFonts w:cs="Arial"/>
        </w:rPr>
      </w:pPr>
      <w:r w:rsidRPr="00B217EF">
        <w:rPr>
          <w:rFonts w:cs="Arial"/>
        </w:rPr>
        <w:t>In Australia, any unused medicine or waste material should be disposed of by taking to your local pharmacy.</w:t>
      </w:r>
      <w:r w:rsidR="00283D85" w:rsidRPr="00B217EF">
        <w:rPr>
          <w:rFonts w:cs="Arial"/>
        </w:rPr>
        <w:t xml:space="preserve"> </w:t>
      </w:r>
    </w:p>
    <w:p w14:paraId="6E118916" w14:textId="1CD337B4" w:rsidR="001A3992" w:rsidRPr="00571478" w:rsidRDefault="001A3992" w:rsidP="000A1317">
      <w:pPr>
        <w:pStyle w:val="Heading2"/>
      </w:pPr>
      <w:r w:rsidRPr="00571478">
        <w:t xml:space="preserve">Physicochemical </w:t>
      </w:r>
      <w:r w:rsidR="00300792" w:rsidRPr="00571478">
        <w:rPr>
          <w:caps w:val="0"/>
        </w:rPr>
        <w:t>P</w:t>
      </w:r>
      <w:r w:rsidRPr="00571478">
        <w:t>roperties</w:t>
      </w:r>
    </w:p>
    <w:p w14:paraId="31C4F1BA" w14:textId="7745D92B" w:rsidR="001A3992" w:rsidRPr="00571478" w:rsidRDefault="001A3992" w:rsidP="000A1317">
      <w:pPr>
        <w:pStyle w:val="Heading3"/>
        <w:spacing w:before="0"/>
        <w:rPr>
          <w:rFonts w:ascii="Arial" w:hAnsi="Arial" w:cs="Arial"/>
        </w:rPr>
      </w:pPr>
      <w:r w:rsidRPr="00571478">
        <w:rPr>
          <w:rFonts w:ascii="Arial" w:hAnsi="Arial" w:cs="Arial"/>
        </w:rPr>
        <w:t xml:space="preserve">Chemical </w:t>
      </w:r>
      <w:r w:rsidR="00300792" w:rsidRPr="00571478">
        <w:rPr>
          <w:rFonts w:ascii="Arial" w:hAnsi="Arial" w:cs="Arial"/>
        </w:rPr>
        <w:t>S</w:t>
      </w:r>
      <w:r w:rsidRPr="00571478">
        <w:rPr>
          <w:rFonts w:ascii="Arial" w:hAnsi="Arial" w:cs="Arial"/>
        </w:rPr>
        <w:t>tructure</w:t>
      </w:r>
    </w:p>
    <w:p w14:paraId="426DCF86" w14:textId="77777777" w:rsidR="00B217EF" w:rsidRPr="006041D3" w:rsidRDefault="00B217EF" w:rsidP="00226219">
      <w:pPr>
        <w:jc w:val="center"/>
        <w:rPr>
          <w:rFonts w:cs="Arial"/>
          <w:szCs w:val="20"/>
        </w:rPr>
      </w:pPr>
      <w:r w:rsidRPr="006041D3">
        <w:rPr>
          <w:rFonts w:cs="Arial"/>
          <w:noProof/>
          <w:szCs w:val="20"/>
          <w:lang w:eastAsia="en-AU"/>
        </w:rPr>
        <w:drawing>
          <wp:inline distT="0" distB="0" distL="0" distR="0" wp14:anchorId="7E939AA5" wp14:editId="7FA0BA3A">
            <wp:extent cx="3752850" cy="15032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764459" cy="1507878"/>
                    </a:xfrm>
                    <a:prstGeom prst="rect">
                      <a:avLst/>
                    </a:prstGeom>
                    <a:noFill/>
                    <a:ln w="9525">
                      <a:noFill/>
                      <a:miter lim="800000"/>
                      <a:headEnd/>
                      <a:tailEnd/>
                    </a:ln>
                  </pic:spPr>
                </pic:pic>
              </a:graphicData>
            </a:graphic>
          </wp:inline>
        </w:drawing>
      </w:r>
    </w:p>
    <w:tbl>
      <w:tblPr>
        <w:tblStyle w:val="TableGrid"/>
        <w:tblW w:w="0" w:type="auto"/>
        <w:tblLook w:val="04A0" w:firstRow="1" w:lastRow="0" w:firstColumn="1" w:lastColumn="0" w:noHBand="0" w:noVBand="1"/>
      </w:tblPr>
      <w:tblGrid>
        <w:gridCol w:w="1722"/>
        <w:gridCol w:w="1812"/>
        <w:gridCol w:w="3778"/>
        <w:gridCol w:w="1748"/>
      </w:tblGrid>
      <w:tr w:rsidR="00B217EF" w:rsidRPr="006041D3" w14:paraId="08EF8F0A" w14:textId="77777777" w:rsidTr="00366749">
        <w:tc>
          <w:tcPr>
            <w:tcW w:w="2020" w:type="dxa"/>
            <w:vMerge w:val="restart"/>
            <w:vAlign w:val="center"/>
          </w:tcPr>
          <w:p w14:paraId="09BF1F33" w14:textId="77777777" w:rsidR="00B217EF" w:rsidRPr="006041D3" w:rsidRDefault="00B217EF" w:rsidP="000A1317">
            <w:pPr>
              <w:rPr>
                <w:rFonts w:cs="Arial"/>
                <w:szCs w:val="20"/>
              </w:rPr>
            </w:pPr>
            <w:r w:rsidRPr="006041D3">
              <w:rPr>
                <w:rFonts w:cs="Arial"/>
                <w:szCs w:val="20"/>
              </w:rPr>
              <w:t>R</w:t>
            </w:r>
          </w:p>
        </w:tc>
        <w:tc>
          <w:tcPr>
            <w:tcW w:w="2068" w:type="dxa"/>
            <w:vAlign w:val="center"/>
          </w:tcPr>
          <w:p w14:paraId="041CA100" w14:textId="040FB878" w:rsidR="00B217EF" w:rsidRPr="006041D3" w:rsidRDefault="00B217EF" w:rsidP="000A1317">
            <w:pPr>
              <w:rPr>
                <w:rFonts w:cs="Arial"/>
                <w:szCs w:val="20"/>
              </w:rPr>
            </w:pPr>
            <w:r w:rsidRPr="006041D3">
              <w:rPr>
                <w:rFonts w:cs="Arial"/>
                <w:szCs w:val="20"/>
              </w:rPr>
              <w:t>X = 1</w:t>
            </w:r>
            <w:r w:rsidR="00F248F8">
              <w:rPr>
                <w:rFonts w:cs="Arial"/>
                <w:szCs w:val="20"/>
              </w:rPr>
              <w:t>7</w:t>
            </w:r>
            <w:r w:rsidRPr="006041D3">
              <w:rPr>
                <w:rFonts w:cs="Arial"/>
                <w:szCs w:val="20"/>
              </w:rPr>
              <w:t xml:space="preserve"> to</w:t>
            </w:r>
          </w:p>
          <w:p w14:paraId="59593CB0" w14:textId="77777777" w:rsidR="00B217EF" w:rsidRPr="006041D3" w:rsidRDefault="00B217EF" w:rsidP="000A1317">
            <w:pPr>
              <w:rPr>
                <w:rFonts w:cs="Arial"/>
                <w:szCs w:val="20"/>
              </w:rPr>
            </w:pPr>
            <w:r w:rsidRPr="006041D3">
              <w:rPr>
                <w:rFonts w:cs="Arial"/>
                <w:szCs w:val="20"/>
              </w:rPr>
              <w:t>25%</w:t>
            </w:r>
          </w:p>
        </w:tc>
        <w:tc>
          <w:tcPr>
            <w:tcW w:w="4066" w:type="dxa"/>
            <w:vAlign w:val="center"/>
          </w:tcPr>
          <w:p w14:paraId="4F7A14E9" w14:textId="77777777" w:rsidR="00B217EF" w:rsidRPr="006041D3" w:rsidRDefault="00B217EF" w:rsidP="000A1317">
            <w:pPr>
              <w:rPr>
                <w:rFonts w:cs="Arial"/>
                <w:szCs w:val="20"/>
              </w:rPr>
            </w:pPr>
            <w:r w:rsidRPr="006041D3">
              <w:rPr>
                <w:rFonts w:cs="Arial"/>
                <w:noProof/>
                <w:szCs w:val="20"/>
                <w:lang w:eastAsia="en-AU"/>
              </w:rPr>
              <w:drawing>
                <wp:inline distT="0" distB="0" distL="0" distR="0" wp14:anchorId="541540E0" wp14:editId="4E66AA50">
                  <wp:extent cx="1438275" cy="7458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445852" cy="749798"/>
                          </a:xfrm>
                          <a:prstGeom prst="rect">
                            <a:avLst/>
                          </a:prstGeom>
                          <a:noFill/>
                          <a:ln w="9525">
                            <a:noFill/>
                            <a:miter lim="800000"/>
                            <a:headEnd/>
                            <a:tailEnd/>
                          </a:ln>
                        </pic:spPr>
                      </pic:pic>
                    </a:graphicData>
                  </a:graphic>
                </wp:inline>
              </w:drawing>
            </w:r>
          </w:p>
        </w:tc>
        <w:tc>
          <w:tcPr>
            <w:tcW w:w="2034" w:type="dxa"/>
            <w:vAlign w:val="center"/>
          </w:tcPr>
          <w:p w14:paraId="19811AD8" w14:textId="77777777" w:rsidR="00B217EF" w:rsidRPr="006041D3" w:rsidRDefault="00B217EF" w:rsidP="000A1317">
            <w:pPr>
              <w:rPr>
                <w:rFonts w:cs="Arial"/>
                <w:szCs w:val="20"/>
              </w:rPr>
            </w:pPr>
            <w:r w:rsidRPr="006041D3">
              <w:rPr>
                <w:rFonts w:cs="Arial"/>
                <w:szCs w:val="20"/>
              </w:rPr>
              <w:t>n = 0 to 20</w:t>
            </w:r>
          </w:p>
        </w:tc>
      </w:tr>
      <w:tr w:rsidR="00B217EF" w:rsidRPr="006041D3" w14:paraId="03998233" w14:textId="77777777" w:rsidTr="00366749">
        <w:tc>
          <w:tcPr>
            <w:tcW w:w="2020" w:type="dxa"/>
            <w:vMerge/>
            <w:vAlign w:val="center"/>
          </w:tcPr>
          <w:p w14:paraId="694F1972" w14:textId="77777777" w:rsidR="00B217EF" w:rsidRPr="006041D3" w:rsidRDefault="00B217EF" w:rsidP="000A1317">
            <w:pPr>
              <w:rPr>
                <w:rFonts w:cs="Arial"/>
                <w:szCs w:val="20"/>
              </w:rPr>
            </w:pPr>
          </w:p>
        </w:tc>
        <w:tc>
          <w:tcPr>
            <w:tcW w:w="2068" w:type="dxa"/>
            <w:vAlign w:val="center"/>
          </w:tcPr>
          <w:p w14:paraId="1A9007B4" w14:textId="77777777" w:rsidR="00B217EF" w:rsidRPr="006041D3" w:rsidRDefault="00B217EF" w:rsidP="000A1317">
            <w:pPr>
              <w:rPr>
                <w:rFonts w:cs="Arial"/>
                <w:szCs w:val="20"/>
              </w:rPr>
            </w:pPr>
            <w:r w:rsidRPr="006041D3">
              <w:rPr>
                <w:rFonts w:cs="Arial"/>
                <w:szCs w:val="20"/>
              </w:rPr>
              <w:t>100 – X</w:t>
            </w:r>
          </w:p>
        </w:tc>
        <w:tc>
          <w:tcPr>
            <w:tcW w:w="4066" w:type="dxa"/>
            <w:vAlign w:val="center"/>
          </w:tcPr>
          <w:p w14:paraId="22843D57" w14:textId="77777777" w:rsidR="00B217EF" w:rsidRPr="006041D3" w:rsidRDefault="00B217EF" w:rsidP="000A1317">
            <w:pPr>
              <w:rPr>
                <w:rFonts w:cs="Arial"/>
                <w:szCs w:val="20"/>
              </w:rPr>
            </w:pPr>
            <w:r w:rsidRPr="006041D3">
              <w:rPr>
                <w:rFonts w:cs="Arial"/>
                <w:szCs w:val="20"/>
              </w:rPr>
              <w:t>H</w:t>
            </w:r>
          </w:p>
        </w:tc>
        <w:tc>
          <w:tcPr>
            <w:tcW w:w="2034" w:type="dxa"/>
            <w:vAlign w:val="center"/>
          </w:tcPr>
          <w:p w14:paraId="4631E7E1" w14:textId="77777777" w:rsidR="00B217EF" w:rsidRPr="006041D3" w:rsidRDefault="00B217EF" w:rsidP="000A1317">
            <w:pPr>
              <w:rPr>
                <w:rFonts w:cs="Arial"/>
                <w:szCs w:val="20"/>
              </w:rPr>
            </w:pPr>
            <w:r w:rsidRPr="006041D3">
              <w:rPr>
                <w:rFonts w:cs="Arial"/>
                <w:szCs w:val="20"/>
              </w:rPr>
              <w:t>n = 1 to 21</w:t>
            </w:r>
          </w:p>
        </w:tc>
      </w:tr>
    </w:tbl>
    <w:p w14:paraId="3324A1BD" w14:textId="77777777" w:rsidR="00B217EF" w:rsidRPr="006041D3" w:rsidRDefault="00B217EF" w:rsidP="0088628E">
      <w:pPr>
        <w:spacing w:after="0"/>
        <w:rPr>
          <w:rFonts w:cs="Arial"/>
          <w:szCs w:val="20"/>
        </w:rPr>
      </w:pPr>
      <w:r w:rsidRPr="006041D3">
        <w:rPr>
          <w:rFonts w:cs="Arial"/>
          <w:szCs w:val="20"/>
        </w:rPr>
        <w:t xml:space="preserve">X = percent of polysaccharide chain containing </w:t>
      </w:r>
      <w:proofErr w:type="gramStart"/>
      <w:r w:rsidRPr="006041D3">
        <w:rPr>
          <w:rFonts w:cs="Arial"/>
          <w:szCs w:val="20"/>
        </w:rPr>
        <w:t>1</w:t>
      </w:r>
      <w:proofErr w:type="gramEnd"/>
      <w:r w:rsidRPr="006041D3">
        <w:rPr>
          <w:rFonts w:cs="Arial"/>
          <w:szCs w:val="20"/>
        </w:rPr>
        <w:t xml:space="preserve">, 6 </w:t>
      </w:r>
      <w:proofErr w:type="spellStart"/>
      <w:r w:rsidRPr="006041D3">
        <w:rPr>
          <w:rFonts w:cs="Arial"/>
          <w:szCs w:val="20"/>
        </w:rPr>
        <w:t>anhydro</w:t>
      </w:r>
      <w:proofErr w:type="spellEnd"/>
      <w:r w:rsidRPr="006041D3">
        <w:rPr>
          <w:rFonts w:cs="Arial"/>
          <w:szCs w:val="20"/>
        </w:rPr>
        <w:t xml:space="preserve"> derivative on the reducing end.</w:t>
      </w:r>
    </w:p>
    <w:p w14:paraId="0EC077DB" w14:textId="77777777" w:rsidR="0088628E" w:rsidRDefault="0088628E" w:rsidP="0088628E">
      <w:pPr>
        <w:spacing w:before="0" w:after="0"/>
        <w:rPr>
          <w:rFonts w:cs="Arial"/>
          <w:szCs w:val="20"/>
        </w:rPr>
      </w:pPr>
    </w:p>
    <w:p w14:paraId="6B7A333A" w14:textId="73568FA7" w:rsidR="001A3992" w:rsidRPr="00571478" w:rsidRDefault="001A3992" w:rsidP="000A1317">
      <w:pPr>
        <w:pStyle w:val="Heading3"/>
        <w:spacing w:before="0"/>
        <w:rPr>
          <w:rFonts w:ascii="Arial" w:hAnsi="Arial" w:cs="Arial"/>
        </w:rPr>
      </w:pPr>
      <w:r w:rsidRPr="00571478">
        <w:rPr>
          <w:rFonts w:ascii="Arial" w:hAnsi="Arial" w:cs="Arial"/>
        </w:rPr>
        <w:t xml:space="preserve">CAS </w:t>
      </w:r>
      <w:r w:rsidR="00300792" w:rsidRPr="00571478">
        <w:rPr>
          <w:rFonts w:ascii="Arial" w:hAnsi="Arial" w:cs="Arial"/>
        </w:rPr>
        <w:t>N</w:t>
      </w:r>
      <w:r w:rsidRPr="00571478">
        <w:rPr>
          <w:rFonts w:ascii="Arial" w:hAnsi="Arial" w:cs="Arial"/>
        </w:rPr>
        <w:t>umber</w:t>
      </w:r>
    </w:p>
    <w:p w14:paraId="3D3D3E61" w14:textId="40197DC8" w:rsidR="005D430D" w:rsidRPr="00B217EF" w:rsidRDefault="00B217EF" w:rsidP="00FB45F5">
      <w:pPr>
        <w:spacing w:after="360"/>
      </w:pPr>
      <w:r w:rsidRPr="00B217EF">
        <w:t>9005-49-6</w:t>
      </w:r>
    </w:p>
    <w:p w14:paraId="4A0C1CEC" w14:textId="070E6A36" w:rsidR="001A3992" w:rsidRPr="00571478" w:rsidRDefault="001A3992" w:rsidP="000A1317">
      <w:pPr>
        <w:pStyle w:val="Heading1"/>
      </w:pPr>
      <w:r w:rsidRPr="00571478">
        <w:t xml:space="preserve">Medicine </w:t>
      </w:r>
      <w:r w:rsidR="00300792" w:rsidRPr="00571478">
        <w:rPr>
          <w:caps w:val="0"/>
        </w:rPr>
        <w:t>S</w:t>
      </w:r>
      <w:r w:rsidRPr="00571478">
        <w:t>chedule (</w:t>
      </w:r>
      <w:r w:rsidR="00300792" w:rsidRPr="00571478">
        <w:rPr>
          <w:caps w:val="0"/>
        </w:rPr>
        <w:t>P</w:t>
      </w:r>
      <w:r w:rsidRPr="00571478">
        <w:t xml:space="preserve">oisons </w:t>
      </w:r>
      <w:r w:rsidR="00300792" w:rsidRPr="00571478">
        <w:rPr>
          <w:caps w:val="0"/>
        </w:rPr>
        <w:t>S</w:t>
      </w:r>
      <w:r w:rsidRPr="00571478">
        <w:t>tandard)</w:t>
      </w:r>
    </w:p>
    <w:p w14:paraId="0C24BE8C" w14:textId="2AF87274" w:rsidR="005331FA" w:rsidRPr="006727DE" w:rsidRDefault="00B1320E" w:rsidP="00FB45F5">
      <w:pPr>
        <w:spacing w:after="360"/>
      </w:pPr>
      <w:r w:rsidRPr="000F1FE5">
        <w:t>Prescription Only Medicine</w:t>
      </w:r>
      <w:r w:rsidR="00EA4CCD">
        <w:t xml:space="preserve"> (S4)</w:t>
      </w:r>
    </w:p>
    <w:p w14:paraId="4DBE7674" w14:textId="3D65F996" w:rsidR="001A3992" w:rsidRPr="00571478" w:rsidRDefault="001A3992" w:rsidP="00FB45F5">
      <w:pPr>
        <w:pStyle w:val="Heading1"/>
        <w:spacing w:before="360"/>
      </w:pPr>
      <w:r w:rsidRPr="00571478">
        <w:lastRenderedPageBreak/>
        <w:t>Sponsor</w:t>
      </w:r>
    </w:p>
    <w:p w14:paraId="20727FDB" w14:textId="77777777" w:rsidR="0088628E" w:rsidRDefault="00B1320E" w:rsidP="0088628E">
      <w:pPr>
        <w:spacing w:after="0"/>
        <w:jc w:val="left"/>
      </w:pPr>
      <w:proofErr w:type="spellStart"/>
      <w:r w:rsidRPr="00571478">
        <w:t>Apotex</w:t>
      </w:r>
      <w:proofErr w:type="spellEnd"/>
      <w:r w:rsidRPr="00571478">
        <w:t xml:space="preserve"> Pty Ltd</w:t>
      </w:r>
    </w:p>
    <w:p w14:paraId="2234A07B" w14:textId="106CCCD6" w:rsidR="0088628E" w:rsidRDefault="00B1320E" w:rsidP="0088628E">
      <w:pPr>
        <w:spacing w:after="0"/>
        <w:jc w:val="left"/>
      </w:pPr>
      <w:r w:rsidRPr="00571478">
        <w:t xml:space="preserve">16 </w:t>
      </w:r>
      <w:proofErr w:type="spellStart"/>
      <w:r w:rsidRPr="00571478">
        <w:t>Giffnock</w:t>
      </w:r>
      <w:proofErr w:type="spellEnd"/>
      <w:r w:rsidRPr="00571478">
        <w:t xml:space="preserve"> Avenue</w:t>
      </w:r>
    </w:p>
    <w:p w14:paraId="59363320" w14:textId="2F0D14F3" w:rsidR="00803450" w:rsidRDefault="00B1320E" w:rsidP="0088628E">
      <w:pPr>
        <w:spacing w:after="0"/>
        <w:jc w:val="left"/>
      </w:pPr>
      <w:r w:rsidRPr="00571478">
        <w:t>Macquarie Park NSW 2113</w:t>
      </w:r>
    </w:p>
    <w:p w14:paraId="23E973AA" w14:textId="77777777" w:rsidR="0088628E" w:rsidRDefault="00AD2AD1" w:rsidP="0088628E">
      <w:pPr>
        <w:spacing w:after="0"/>
        <w:jc w:val="left"/>
      </w:pPr>
      <w:r>
        <w:t>Australia</w:t>
      </w:r>
    </w:p>
    <w:p w14:paraId="5D3F40CA" w14:textId="7CF9A646" w:rsidR="00AE368B" w:rsidRPr="00571478" w:rsidRDefault="00AE368B" w:rsidP="0088628E">
      <w:pPr>
        <w:spacing w:after="0"/>
        <w:jc w:val="left"/>
      </w:pPr>
    </w:p>
    <w:p w14:paraId="607DACA5" w14:textId="77777777" w:rsidR="0088628E" w:rsidRDefault="007439C1" w:rsidP="0088628E">
      <w:pPr>
        <w:spacing w:after="0"/>
        <w:jc w:val="left"/>
      </w:pPr>
      <w:r w:rsidRPr="00571478">
        <w:t>T</w:t>
      </w:r>
      <w:r w:rsidR="00B1320E" w:rsidRPr="00571478">
        <w:t xml:space="preserve">el: </w:t>
      </w:r>
      <w:r w:rsidR="00E956EE" w:rsidRPr="00571478">
        <w:t>(02)</w:t>
      </w:r>
      <w:r w:rsidR="00B1320E" w:rsidRPr="00571478">
        <w:t xml:space="preserve"> 8877 8333</w:t>
      </w:r>
    </w:p>
    <w:p w14:paraId="2D358056" w14:textId="6B81AF5C" w:rsidR="005331FA" w:rsidRDefault="00AE368B" w:rsidP="0088628E">
      <w:pPr>
        <w:spacing w:after="0"/>
        <w:jc w:val="left"/>
      </w:pPr>
      <w:r w:rsidRPr="00571478">
        <w:t>Web</w:t>
      </w:r>
      <w:r w:rsidR="00427750" w:rsidRPr="00571478">
        <w:t xml:space="preserve">: </w:t>
      </w:r>
      <w:r w:rsidRPr="00571478">
        <w:t>www1.apotex.com/au</w:t>
      </w:r>
    </w:p>
    <w:p w14:paraId="69314518" w14:textId="77777777" w:rsidR="0088628E" w:rsidRDefault="0088628E" w:rsidP="0088628E">
      <w:pPr>
        <w:spacing w:after="0"/>
        <w:jc w:val="left"/>
      </w:pPr>
    </w:p>
    <w:p w14:paraId="74C165A8" w14:textId="234F6959" w:rsidR="00AD2AD1" w:rsidRPr="00571478" w:rsidRDefault="00105BBD" w:rsidP="00FB45F5">
      <w:pPr>
        <w:spacing w:after="360"/>
        <w:jc w:val="left"/>
      </w:pPr>
      <w:r>
        <w:t>ENOX</w:t>
      </w:r>
      <w:r w:rsidR="00AD2AD1">
        <w:t xml:space="preserve">APO </w:t>
      </w:r>
      <w:r w:rsidR="00FC3845">
        <w:t>is</w:t>
      </w:r>
      <w:r w:rsidR="007D648D">
        <w:t xml:space="preserve"> a </w:t>
      </w:r>
      <w:r w:rsidR="00AD2AD1">
        <w:t>registered trade</w:t>
      </w:r>
      <w:r w:rsidR="00AD2AD1" w:rsidRPr="00AD2AD1">
        <w:t xml:space="preserve">mark of </w:t>
      </w:r>
      <w:proofErr w:type="spellStart"/>
      <w:r w:rsidR="00AD2AD1" w:rsidRPr="00AD2AD1">
        <w:t>Apotex</w:t>
      </w:r>
      <w:proofErr w:type="spellEnd"/>
      <w:r w:rsidR="00AD2AD1" w:rsidRPr="00AD2AD1">
        <w:t xml:space="preserve"> Inc.</w:t>
      </w:r>
    </w:p>
    <w:p w14:paraId="1ED32F7D" w14:textId="410652D7" w:rsidR="001A3992" w:rsidRPr="00571478" w:rsidRDefault="001A3992" w:rsidP="000A1317">
      <w:pPr>
        <w:pStyle w:val="Heading1"/>
      </w:pPr>
      <w:r w:rsidRPr="00571478">
        <w:t xml:space="preserve">Date of </w:t>
      </w:r>
      <w:r w:rsidR="00300792" w:rsidRPr="00571478">
        <w:rPr>
          <w:caps w:val="0"/>
        </w:rPr>
        <w:t>F</w:t>
      </w:r>
      <w:r w:rsidRPr="00571478">
        <w:t xml:space="preserve">irst </w:t>
      </w:r>
      <w:r w:rsidR="00300792" w:rsidRPr="00571478">
        <w:rPr>
          <w:caps w:val="0"/>
        </w:rPr>
        <w:t>A</w:t>
      </w:r>
      <w:r w:rsidR="00FF764B" w:rsidRPr="00571478">
        <w:t>pproval</w:t>
      </w:r>
    </w:p>
    <w:p w14:paraId="710D8B4B" w14:textId="3510E8C4" w:rsidR="005331FA" w:rsidRPr="000F1FE5" w:rsidRDefault="00502B0D" w:rsidP="00FB45F5">
      <w:pPr>
        <w:spacing w:after="360"/>
      </w:pPr>
      <w:r>
        <w:t>10 February 2020</w:t>
      </w:r>
    </w:p>
    <w:p w14:paraId="26D17EBE" w14:textId="148F7FCA" w:rsidR="001A3992" w:rsidRPr="00571478" w:rsidRDefault="00FF764B" w:rsidP="000A1317">
      <w:pPr>
        <w:pStyle w:val="Heading1"/>
      </w:pPr>
      <w:r w:rsidRPr="00571478">
        <w:t xml:space="preserve">Date of </w:t>
      </w:r>
      <w:r w:rsidR="00300792" w:rsidRPr="00571478">
        <w:rPr>
          <w:caps w:val="0"/>
        </w:rPr>
        <w:t>R</w:t>
      </w:r>
      <w:r w:rsidRPr="00571478">
        <w:t>evision</w:t>
      </w:r>
    </w:p>
    <w:p w14:paraId="05AC1E46" w14:textId="49A8B652" w:rsidR="007439C1" w:rsidRDefault="00E431AE" w:rsidP="001164EA">
      <w:pPr>
        <w:spacing w:after="360"/>
      </w:pPr>
      <w:r>
        <w:t>Not applicable.</w:t>
      </w:r>
    </w:p>
    <w:p w14:paraId="011F1D6D" w14:textId="77777777" w:rsidR="005331FA" w:rsidRPr="000F1FE5" w:rsidRDefault="005331FA" w:rsidP="000A1317">
      <w:pPr>
        <w:spacing w:after="0"/>
        <w:rPr>
          <w:rFonts w:cs="Arial"/>
        </w:rPr>
      </w:pPr>
    </w:p>
    <w:p w14:paraId="4DF7F891" w14:textId="5CDFA3C7" w:rsidR="001A3992" w:rsidRPr="00571478" w:rsidRDefault="001A3992" w:rsidP="000A1317">
      <w:pPr>
        <w:pStyle w:val="Heading3"/>
        <w:spacing w:after="240"/>
      </w:pPr>
      <w:bookmarkStart w:id="26" w:name="_Hlk519244227"/>
      <w:r w:rsidRPr="00571478">
        <w:t xml:space="preserve">Summary </w:t>
      </w:r>
      <w:r w:rsidR="00300792" w:rsidRPr="00571478">
        <w:t xml:space="preserve">Table </w:t>
      </w:r>
      <w:r w:rsidRPr="00571478">
        <w:t xml:space="preserve">of </w:t>
      </w:r>
      <w:r w:rsidR="00300792" w:rsidRPr="00571478">
        <w:t>Changes</w:t>
      </w:r>
      <w:r w:rsidR="00EA4CCD">
        <w:t>:</w:t>
      </w:r>
    </w:p>
    <w:tbl>
      <w:tblPr>
        <w:tblStyle w:val="LightGrid"/>
        <w:tblW w:w="0" w:type="auto"/>
        <w:tblCellMar>
          <w:top w:w="57" w:type="dxa"/>
          <w:bottom w:w="57" w:type="dxa"/>
        </w:tblCellMar>
        <w:tblLook w:val="06A0" w:firstRow="1" w:lastRow="0" w:firstColumn="1" w:lastColumn="0" w:noHBand="1" w:noVBand="1"/>
      </w:tblPr>
      <w:tblGrid>
        <w:gridCol w:w="1408"/>
        <w:gridCol w:w="7598"/>
      </w:tblGrid>
      <w:tr w:rsidR="00ED0937" w:rsidRPr="00571478" w14:paraId="7C1E5885" w14:textId="77777777" w:rsidTr="00EA4CC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08" w:type="dxa"/>
            <w:shd w:val="clear" w:color="auto" w:fill="F2F2F2" w:themeFill="background1" w:themeFillShade="F2"/>
            <w:tcMar>
              <w:top w:w="113" w:type="dxa"/>
              <w:left w:w="113" w:type="dxa"/>
              <w:bottom w:w="113" w:type="dxa"/>
              <w:right w:w="113" w:type="dxa"/>
            </w:tcMar>
            <w:vAlign w:val="center"/>
          </w:tcPr>
          <w:p w14:paraId="3D07BFB2" w14:textId="77777777" w:rsidR="00ED0937" w:rsidRPr="00EA4CCD" w:rsidRDefault="00ED0937" w:rsidP="000A1317">
            <w:pPr>
              <w:spacing w:before="0" w:after="0"/>
              <w:rPr>
                <w:rFonts w:cs="Arial"/>
              </w:rPr>
            </w:pPr>
            <w:r w:rsidRPr="00EA4CCD">
              <w:rPr>
                <w:rFonts w:cs="Arial"/>
              </w:rPr>
              <w:t>Section Changed</w:t>
            </w:r>
          </w:p>
        </w:tc>
        <w:tc>
          <w:tcPr>
            <w:tcW w:w="7598" w:type="dxa"/>
            <w:shd w:val="clear" w:color="auto" w:fill="F2F2F2" w:themeFill="background1" w:themeFillShade="F2"/>
            <w:tcMar>
              <w:top w:w="113" w:type="dxa"/>
              <w:left w:w="113" w:type="dxa"/>
              <w:bottom w:w="113" w:type="dxa"/>
              <w:right w:w="113" w:type="dxa"/>
            </w:tcMar>
            <w:vAlign w:val="center"/>
          </w:tcPr>
          <w:p w14:paraId="6D51F484" w14:textId="5068D2A0" w:rsidR="00ED0937" w:rsidRPr="00EA4CCD" w:rsidRDefault="00ED0937" w:rsidP="000A1317">
            <w:pPr>
              <w:spacing w:before="0" w:after="0"/>
              <w:cnfStyle w:val="100000000000" w:firstRow="1" w:lastRow="0" w:firstColumn="0" w:lastColumn="0" w:oddVBand="0" w:evenVBand="0" w:oddHBand="0" w:evenHBand="0" w:firstRowFirstColumn="0" w:firstRowLastColumn="0" w:lastRowFirstColumn="0" w:lastRowLastColumn="0"/>
              <w:rPr>
                <w:rFonts w:cs="Arial"/>
              </w:rPr>
            </w:pPr>
            <w:r w:rsidRPr="00EA4CCD">
              <w:rPr>
                <w:rFonts w:cs="Arial"/>
              </w:rPr>
              <w:t xml:space="preserve">Summary of </w:t>
            </w:r>
            <w:r w:rsidR="00EA4CCD" w:rsidRPr="00EA4CCD">
              <w:rPr>
                <w:rFonts w:cs="Arial"/>
              </w:rPr>
              <w:t>New Information</w:t>
            </w:r>
          </w:p>
        </w:tc>
      </w:tr>
      <w:tr w:rsidR="007D0887" w:rsidRPr="00571478" w14:paraId="1A6BCD05" w14:textId="77777777" w:rsidTr="00EA4CCD">
        <w:trPr>
          <w:cantSplit/>
        </w:trPr>
        <w:tc>
          <w:tcPr>
            <w:cnfStyle w:val="001000000000" w:firstRow="0" w:lastRow="0" w:firstColumn="1" w:lastColumn="0" w:oddVBand="0" w:evenVBand="0" w:oddHBand="0" w:evenHBand="0" w:firstRowFirstColumn="0" w:firstRowLastColumn="0" w:lastRowFirstColumn="0" w:lastRowLastColumn="0"/>
            <w:tcW w:w="1408" w:type="dxa"/>
            <w:tcMar>
              <w:top w:w="113" w:type="dxa"/>
              <w:left w:w="113" w:type="dxa"/>
              <w:bottom w:w="113" w:type="dxa"/>
              <w:right w:w="113" w:type="dxa"/>
            </w:tcMar>
            <w:vAlign w:val="center"/>
          </w:tcPr>
          <w:p w14:paraId="3336EE2A" w14:textId="31FC411C" w:rsidR="007D0887" w:rsidRPr="00EA4CCD" w:rsidRDefault="00502B0D" w:rsidP="000A1317">
            <w:pPr>
              <w:spacing w:before="0" w:after="0"/>
              <w:rPr>
                <w:rFonts w:cs="Arial"/>
              </w:rPr>
            </w:pPr>
            <w:r>
              <w:rPr>
                <w:rFonts w:cs="Arial"/>
              </w:rPr>
              <w:t>N/A</w:t>
            </w:r>
          </w:p>
        </w:tc>
        <w:tc>
          <w:tcPr>
            <w:tcW w:w="7598" w:type="dxa"/>
            <w:tcMar>
              <w:top w:w="113" w:type="dxa"/>
              <w:left w:w="113" w:type="dxa"/>
              <w:bottom w:w="113" w:type="dxa"/>
              <w:right w:w="113" w:type="dxa"/>
            </w:tcMar>
            <w:vAlign w:val="center"/>
          </w:tcPr>
          <w:p w14:paraId="5D5B80DF" w14:textId="36FCA264" w:rsidR="007D0887" w:rsidRPr="00EA4CCD" w:rsidRDefault="00502B0D" w:rsidP="000A1317">
            <w:pPr>
              <w:spacing w:before="0" w:after="0"/>
              <w:cnfStyle w:val="000000000000" w:firstRow="0" w:lastRow="0" w:firstColumn="0" w:lastColumn="0" w:oddVBand="0" w:evenVBand="0" w:oddHBand="0" w:evenHBand="0" w:firstRowFirstColumn="0" w:firstRowLastColumn="0" w:lastRowFirstColumn="0" w:lastRowLastColumn="0"/>
              <w:rPr>
                <w:rFonts w:cs="Arial"/>
              </w:rPr>
            </w:pPr>
            <w:r>
              <w:rPr>
                <w:rFonts w:cs="Arial"/>
              </w:rPr>
              <w:t>New Australian Product Information</w:t>
            </w:r>
          </w:p>
        </w:tc>
      </w:tr>
      <w:tr w:rsidR="007D0887" w:rsidRPr="00571478" w14:paraId="6B3E89F5" w14:textId="77777777" w:rsidTr="00EA4CCD">
        <w:trPr>
          <w:cantSplit/>
          <w:trHeight w:val="155"/>
        </w:trPr>
        <w:tc>
          <w:tcPr>
            <w:cnfStyle w:val="001000000000" w:firstRow="0" w:lastRow="0" w:firstColumn="1" w:lastColumn="0" w:oddVBand="0" w:evenVBand="0" w:oddHBand="0" w:evenHBand="0" w:firstRowFirstColumn="0" w:firstRowLastColumn="0" w:lastRowFirstColumn="0" w:lastRowLastColumn="0"/>
            <w:tcW w:w="1408" w:type="dxa"/>
            <w:tcMar>
              <w:top w:w="113" w:type="dxa"/>
              <w:left w:w="113" w:type="dxa"/>
              <w:bottom w:w="113" w:type="dxa"/>
              <w:right w:w="113" w:type="dxa"/>
            </w:tcMar>
            <w:vAlign w:val="center"/>
          </w:tcPr>
          <w:p w14:paraId="34A502C6" w14:textId="77777777" w:rsidR="007D0887" w:rsidRPr="00EA4CCD" w:rsidRDefault="007D0887" w:rsidP="000A1317">
            <w:pPr>
              <w:spacing w:before="0" w:after="0"/>
              <w:rPr>
                <w:rFonts w:cs="Arial"/>
              </w:rPr>
            </w:pPr>
          </w:p>
        </w:tc>
        <w:tc>
          <w:tcPr>
            <w:tcW w:w="7598" w:type="dxa"/>
            <w:tcMar>
              <w:top w:w="113" w:type="dxa"/>
              <w:left w:w="113" w:type="dxa"/>
              <w:bottom w:w="113" w:type="dxa"/>
              <w:right w:w="113" w:type="dxa"/>
            </w:tcMar>
            <w:vAlign w:val="center"/>
          </w:tcPr>
          <w:p w14:paraId="3968241F" w14:textId="77777777" w:rsidR="007D0887" w:rsidRPr="00EA4CCD" w:rsidRDefault="007D0887" w:rsidP="000A1317">
            <w:pPr>
              <w:spacing w:before="0" w:after="0"/>
              <w:cnfStyle w:val="000000000000" w:firstRow="0" w:lastRow="0" w:firstColumn="0" w:lastColumn="0" w:oddVBand="0" w:evenVBand="0" w:oddHBand="0" w:evenHBand="0" w:firstRowFirstColumn="0" w:firstRowLastColumn="0" w:lastRowFirstColumn="0" w:lastRowLastColumn="0"/>
              <w:rPr>
                <w:rFonts w:cs="Arial"/>
              </w:rPr>
            </w:pPr>
          </w:p>
        </w:tc>
      </w:tr>
      <w:tr w:rsidR="007D0887" w:rsidRPr="00571478" w14:paraId="3562325F" w14:textId="77777777" w:rsidTr="00EA4CCD">
        <w:trPr>
          <w:cantSplit/>
          <w:trHeight w:val="200"/>
        </w:trPr>
        <w:tc>
          <w:tcPr>
            <w:cnfStyle w:val="001000000000" w:firstRow="0" w:lastRow="0" w:firstColumn="1" w:lastColumn="0" w:oddVBand="0" w:evenVBand="0" w:oddHBand="0" w:evenHBand="0" w:firstRowFirstColumn="0" w:firstRowLastColumn="0" w:lastRowFirstColumn="0" w:lastRowLastColumn="0"/>
            <w:tcW w:w="1408" w:type="dxa"/>
            <w:tcMar>
              <w:top w:w="113" w:type="dxa"/>
              <w:left w:w="113" w:type="dxa"/>
              <w:bottom w:w="113" w:type="dxa"/>
              <w:right w:w="113" w:type="dxa"/>
            </w:tcMar>
            <w:vAlign w:val="center"/>
          </w:tcPr>
          <w:p w14:paraId="593F6DE5" w14:textId="77777777" w:rsidR="007D0887" w:rsidRPr="00EA4CCD" w:rsidRDefault="007D0887" w:rsidP="000A1317">
            <w:pPr>
              <w:spacing w:before="0" w:after="0"/>
              <w:rPr>
                <w:rFonts w:cs="Arial"/>
              </w:rPr>
            </w:pPr>
          </w:p>
        </w:tc>
        <w:tc>
          <w:tcPr>
            <w:tcW w:w="7598" w:type="dxa"/>
            <w:tcMar>
              <w:top w:w="113" w:type="dxa"/>
              <w:left w:w="113" w:type="dxa"/>
              <w:bottom w:w="113" w:type="dxa"/>
              <w:right w:w="113" w:type="dxa"/>
            </w:tcMar>
            <w:vAlign w:val="center"/>
          </w:tcPr>
          <w:p w14:paraId="7167C7A0" w14:textId="77777777" w:rsidR="007D0887" w:rsidRPr="00EA4CCD" w:rsidRDefault="007D0887" w:rsidP="000A1317">
            <w:pPr>
              <w:spacing w:before="0" w:after="0"/>
              <w:cnfStyle w:val="000000000000" w:firstRow="0" w:lastRow="0" w:firstColumn="0" w:lastColumn="0" w:oddVBand="0" w:evenVBand="0" w:oddHBand="0" w:evenHBand="0" w:firstRowFirstColumn="0" w:firstRowLastColumn="0" w:lastRowFirstColumn="0" w:lastRowLastColumn="0"/>
              <w:rPr>
                <w:rFonts w:cs="Arial"/>
              </w:rPr>
            </w:pPr>
          </w:p>
        </w:tc>
      </w:tr>
      <w:bookmarkEnd w:id="26"/>
    </w:tbl>
    <w:p w14:paraId="2F47193B" w14:textId="51A72DDD" w:rsidR="00960CD5" w:rsidRPr="00571478" w:rsidRDefault="00960CD5" w:rsidP="000A1317">
      <w:pPr>
        <w:rPr>
          <w:rFonts w:cs="Arial"/>
        </w:rPr>
      </w:pPr>
    </w:p>
    <w:sectPr w:rsidR="00960CD5" w:rsidRPr="00571478" w:rsidSect="00185F11">
      <w:headerReference w:type="default" r:id="rId12"/>
      <w:footerReference w:type="default" r:id="rId13"/>
      <w:type w:val="continuous"/>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708FD" w14:textId="77777777" w:rsidR="00CA4A0E" w:rsidRDefault="00CA4A0E" w:rsidP="001A3992">
      <w:pPr>
        <w:spacing w:after="0"/>
      </w:pPr>
      <w:r>
        <w:separator/>
      </w:r>
    </w:p>
  </w:endnote>
  <w:endnote w:type="continuationSeparator" w:id="0">
    <w:p w14:paraId="271E2663" w14:textId="77777777" w:rsidR="00CA4A0E" w:rsidRDefault="00CA4A0E" w:rsidP="001A39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933701427"/>
      <w:docPartObj>
        <w:docPartGallery w:val="Page Numbers (Bottom of Page)"/>
        <w:docPartUnique/>
      </w:docPartObj>
    </w:sdtPr>
    <w:sdtEndPr>
      <w:rPr>
        <w:rFonts w:ascii="Arial" w:hAnsi="Arial" w:cs="Arial"/>
        <w:noProof/>
      </w:rPr>
    </w:sdtEndPr>
    <w:sdtContent>
      <w:p w14:paraId="4BB73813" w14:textId="795AC639" w:rsidR="00CA4A0E" w:rsidRPr="002977A0" w:rsidRDefault="00CA4A0E" w:rsidP="003C3A05">
        <w:pPr>
          <w:pStyle w:val="Footer"/>
          <w:jc w:val="right"/>
          <w:rPr>
            <w:rFonts w:ascii="Arial" w:hAnsi="Arial" w:cs="Arial"/>
            <w:sz w:val="20"/>
          </w:rPr>
        </w:pPr>
        <w:r w:rsidRPr="002977A0">
          <w:rPr>
            <w:rFonts w:ascii="Arial" w:hAnsi="Arial" w:cs="Arial"/>
            <w:sz w:val="20"/>
          </w:rPr>
          <w:fldChar w:fldCharType="begin"/>
        </w:r>
        <w:r w:rsidRPr="002977A0">
          <w:rPr>
            <w:rFonts w:ascii="Arial" w:hAnsi="Arial" w:cs="Arial"/>
            <w:sz w:val="20"/>
          </w:rPr>
          <w:instrText xml:space="preserve"> PAGE   \* MERGEFORMAT </w:instrText>
        </w:r>
        <w:r w:rsidRPr="002977A0">
          <w:rPr>
            <w:rFonts w:ascii="Arial" w:hAnsi="Arial" w:cs="Arial"/>
            <w:sz w:val="20"/>
          </w:rPr>
          <w:fldChar w:fldCharType="separate"/>
        </w:r>
        <w:r w:rsidR="00964137">
          <w:rPr>
            <w:rFonts w:ascii="Arial" w:hAnsi="Arial" w:cs="Arial"/>
            <w:noProof/>
            <w:sz w:val="20"/>
          </w:rPr>
          <w:t>26</w:t>
        </w:r>
        <w:r w:rsidRPr="002977A0">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192AB" w14:textId="77777777" w:rsidR="00CA4A0E" w:rsidRDefault="00CA4A0E" w:rsidP="001A3992">
      <w:pPr>
        <w:spacing w:after="0"/>
      </w:pPr>
      <w:r>
        <w:separator/>
      </w:r>
    </w:p>
  </w:footnote>
  <w:footnote w:type="continuationSeparator" w:id="0">
    <w:p w14:paraId="3C789191" w14:textId="77777777" w:rsidR="00CA4A0E" w:rsidRDefault="00CA4A0E" w:rsidP="001A39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CA4A0E" w14:paraId="3252453A" w14:textId="77777777" w:rsidTr="00CA4A0E">
      <w:tc>
        <w:tcPr>
          <w:tcW w:w="8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3C12A50A" w14:textId="7DA0CE6A" w:rsidR="00CA4A0E" w:rsidRPr="00CA4A0E" w:rsidRDefault="00CA4A0E" w:rsidP="00CA4A0E">
          <w:pPr>
            <w:rPr>
              <w:rFonts w:ascii="Cambria" w:hAnsi="Cambria"/>
              <w:sz w:val="20"/>
              <w:szCs w:val="20"/>
            </w:rPr>
          </w:pPr>
          <w:r w:rsidRPr="00CA4A0E">
            <w:rPr>
              <w:b/>
              <w:sz w:val="20"/>
              <w:szCs w:val="20"/>
            </w:rPr>
            <w:t xml:space="preserve">Attachment 1: Product information for </w:t>
          </w:r>
          <w:proofErr w:type="spellStart"/>
          <w:r w:rsidRPr="00CA4A0E">
            <w:rPr>
              <w:b/>
              <w:sz w:val="20"/>
              <w:szCs w:val="20"/>
            </w:rPr>
            <w:t>AusPAR</w:t>
          </w:r>
          <w:proofErr w:type="spellEnd"/>
          <w:r w:rsidRPr="00CA4A0E">
            <w:rPr>
              <w:b/>
              <w:sz w:val="20"/>
              <w:szCs w:val="20"/>
            </w:rPr>
            <w:t xml:space="preserve"> – </w:t>
          </w:r>
          <w:proofErr w:type="spellStart"/>
          <w:r w:rsidRPr="00CA4A0E">
            <w:rPr>
              <w:b/>
              <w:sz w:val="20"/>
              <w:szCs w:val="20"/>
            </w:rPr>
            <w:t>Enoxapo</w:t>
          </w:r>
          <w:proofErr w:type="spellEnd"/>
          <w:r w:rsidRPr="00CA4A0E">
            <w:rPr>
              <w:b/>
              <w:sz w:val="20"/>
              <w:szCs w:val="20"/>
            </w:rPr>
            <w:t xml:space="preserve"> - enoxaparin sodium - </w:t>
          </w:r>
          <w:proofErr w:type="spellStart"/>
          <w:r w:rsidRPr="00CA4A0E">
            <w:rPr>
              <w:b/>
              <w:sz w:val="20"/>
              <w:szCs w:val="20"/>
            </w:rPr>
            <w:t>Apotex</w:t>
          </w:r>
          <w:proofErr w:type="spellEnd"/>
          <w:r w:rsidRPr="00CA4A0E">
            <w:rPr>
              <w:b/>
              <w:sz w:val="20"/>
              <w:szCs w:val="20"/>
            </w:rPr>
            <w:t xml:space="preserve"> Pty Ltd - PM-2012-03777-1-3 Final 21 July 2020. This is the Product Information that </w:t>
          </w:r>
          <w:proofErr w:type="gramStart"/>
          <w:r w:rsidRPr="00CA4A0E">
            <w:rPr>
              <w:b/>
              <w:sz w:val="20"/>
              <w:szCs w:val="20"/>
            </w:rPr>
            <w:t>was approved</w:t>
          </w:r>
          <w:proofErr w:type="gramEnd"/>
          <w:r w:rsidRPr="00CA4A0E">
            <w:rPr>
              <w:b/>
              <w:sz w:val="20"/>
              <w:szCs w:val="20"/>
            </w:rPr>
            <w:t xml:space="preserve"> with the submission described in this </w:t>
          </w:r>
          <w:proofErr w:type="spellStart"/>
          <w:r w:rsidRPr="00CA4A0E">
            <w:rPr>
              <w:b/>
              <w:sz w:val="20"/>
              <w:szCs w:val="20"/>
            </w:rPr>
            <w:t>AusPAR</w:t>
          </w:r>
          <w:proofErr w:type="spellEnd"/>
          <w:r w:rsidRPr="00CA4A0E">
            <w:rPr>
              <w:b/>
              <w:sz w:val="20"/>
              <w:szCs w:val="20"/>
            </w:rPr>
            <w:t xml:space="preserve">. It </w:t>
          </w:r>
          <w:proofErr w:type="gramStart"/>
          <w:r w:rsidRPr="00CA4A0E">
            <w:rPr>
              <w:b/>
              <w:sz w:val="20"/>
              <w:szCs w:val="20"/>
            </w:rPr>
            <w:t>may have been superseded</w:t>
          </w:r>
          <w:proofErr w:type="gramEnd"/>
          <w:r w:rsidRPr="00CA4A0E">
            <w:rPr>
              <w:b/>
              <w:sz w:val="20"/>
              <w:szCs w:val="20"/>
            </w:rPr>
            <w:t>. For the most recent PI, please refer to the TGA website at &lt;</w:t>
          </w:r>
          <w:hyperlink r:id="rId1" w:history="1">
            <w:r w:rsidRPr="00CA4A0E">
              <w:rPr>
                <w:rStyle w:val="Hyperlink"/>
                <w:sz w:val="20"/>
                <w:szCs w:val="20"/>
              </w:rPr>
              <w:t>https://www.tga.gov.au/product-information-pi</w:t>
            </w:r>
          </w:hyperlink>
          <w:r w:rsidRPr="00CA4A0E">
            <w:rPr>
              <w:rStyle w:val="Hyperlink"/>
              <w:b/>
              <w:color w:val="000000" w:themeColor="text1"/>
              <w:sz w:val="20"/>
              <w:szCs w:val="20"/>
              <w:u w:val="none"/>
            </w:rPr>
            <w:t>&gt;</w:t>
          </w:r>
        </w:p>
      </w:tc>
    </w:tr>
  </w:tbl>
  <w:p w14:paraId="5D943A46" w14:textId="77777777" w:rsidR="00CA4A0E" w:rsidRDefault="00CA4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CAC6F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15528"/>
    <w:multiLevelType w:val="hybridMultilevel"/>
    <w:tmpl w:val="3C2CC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384738"/>
    <w:multiLevelType w:val="hybridMultilevel"/>
    <w:tmpl w:val="C7F807D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F3514"/>
    <w:multiLevelType w:val="hybridMultilevel"/>
    <w:tmpl w:val="E0DC0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7A7EAE"/>
    <w:multiLevelType w:val="hybridMultilevel"/>
    <w:tmpl w:val="6DBC1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20061B"/>
    <w:multiLevelType w:val="hybridMultilevel"/>
    <w:tmpl w:val="1526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477F5B"/>
    <w:multiLevelType w:val="multilevel"/>
    <w:tmpl w:val="15E65B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D46720"/>
    <w:multiLevelType w:val="hybridMultilevel"/>
    <w:tmpl w:val="0FA20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807674"/>
    <w:multiLevelType w:val="hybridMultilevel"/>
    <w:tmpl w:val="03A2A794"/>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13" w15:restartNumberingAfterBreak="0">
    <w:nsid w:val="62C74AD8"/>
    <w:multiLevelType w:val="hybridMultilevel"/>
    <w:tmpl w:val="EE8E7368"/>
    <w:lvl w:ilvl="0" w:tplc="6678776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332797"/>
    <w:multiLevelType w:val="multilevel"/>
    <w:tmpl w:val="6A78DAE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277"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9570F3"/>
    <w:multiLevelType w:val="hybridMultilevel"/>
    <w:tmpl w:val="B2029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
  </w:num>
  <w:num w:numId="4">
    <w:abstractNumId w:val="11"/>
  </w:num>
  <w:num w:numId="5">
    <w:abstractNumId w:val="20"/>
  </w:num>
  <w:num w:numId="6">
    <w:abstractNumId w:val="17"/>
  </w:num>
  <w:num w:numId="7">
    <w:abstractNumId w:val="15"/>
  </w:num>
  <w:num w:numId="8">
    <w:abstractNumId w:val="18"/>
  </w:num>
  <w:num w:numId="9">
    <w:abstractNumId w:val="8"/>
  </w:num>
  <w:num w:numId="10">
    <w:abstractNumId w:val="14"/>
  </w:num>
  <w:num w:numId="11">
    <w:abstractNumId w:val="16"/>
  </w:num>
  <w:num w:numId="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2"/>
  </w:num>
  <w:num w:numId="15">
    <w:abstractNumId w:val="10"/>
  </w:num>
  <w:num w:numId="16">
    <w:abstractNumId w:val="5"/>
  </w:num>
  <w:num w:numId="17">
    <w:abstractNumId w:val="13"/>
  </w:num>
  <w:num w:numId="18">
    <w:abstractNumId w:val="0"/>
  </w:num>
  <w:num w:numId="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7"/>
  </w:num>
  <w:num w:numId="23">
    <w:abstractNumId w:val="6"/>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removeDateAndTime/>
  <w:proofState w:spelling="clean" w:grammar="clean"/>
  <w:doNotTrackFormattin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E5"/>
    <w:rsid w:val="0000654F"/>
    <w:rsid w:val="000333CE"/>
    <w:rsid w:val="00050C51"/>
    <w:rsid w:val="0005203A"/>
    <w:rsid w:val="00053092"/>
    <w:rsid w:val="000706F7"/>
    <w:rsid w:val="00070BBB"/>
    <w:rsid w:val="00071AEF"/>
    <w:rsid w:val="000966EF"/>
    <w:rsid w:val="000A1317"/>
    <w:rsid w:val="000B4C96"/>
    <w:rsid w:val="000D13B8"/>
    <w:rsid w:val="000E1F25"/>
    <w:rsid w:val="000E2A97"/>
    <w:rsid w:val="000E4B30"/>
    <w:rsid w:val="000F1FE5"/>
    <w:rsid w:val="00101B36"/>
    <w:rsid w:val="00105BBD"/>
    <w:rsid w:val="001130B5"/>
    <w:rsid w:val="001164EA"/>
    <w:rsid w:val="00130CDE"/>
    <w:rsid w:val="0013783C"/>
    <w:rsid w:val="00147F97"/>
    <w:rsid w:val="001538ED"/>
    <w:rsid w:val="00155462"/>
    <w:rsid w:val="00163B88"/>
    <w:rsid w:val="00185F11"/>
    <w:rsid w:val="001A3992"/>
    <w:rsid w:val="001B44ED"/>
    <w:rsid w:val="001B7330"/>
    <w:rsid w:val="001C4D2C"/>
    <w:rsid w:val="001E76AB"/>
    <w:rsid w:val="001F2BBB"/>
    <w:rsid w:val="00220A12"/>
    <w:rsid w:val="00226219"/>
    <w:rsid w:val="002441EF"/>
    <w:rsid w:val="00260379"/>
    <w:rsid w:val="00265355"/>
    <w:rsid w:val="00283D85"/>
    <w:rsid w:val="00283E41"/>
    <w:rsid w:val="002977A0"/>
    <w:rsid w:val="002B066A"/>
    <w:rsid w:val="002B3BF0"/>
    <w:rsid w:val="002C1EE3"/>
    <w:rsid w:val="002E277D"/>
    <w:rsid w:val="00300792"/>
    <w:rsid w:val="0030337F"/>
    <w:rsid w:val="00311982"/>
    <w:rsid w:val="003146CC"/>
    <w:rsid w:val="00323357"/>
    <w:rsid w:val="00330499"/>
    <w:rsid w:val="003306C7"/>
    <w:rsid w:val="00340E04"/>
    <w:rsid w:val="00341707"/>
    <w:rsid w:val="00356FDF"/>
    <w:rsid w:val="00366749"/>
    <w:rsid w:val="0037494C"/>
    <w:rsid w:val="003854AF"/>
    <w:rsid w:val="003A2B99"/>
    <w:rsid w:val="003A62EA"/>
    <w:rsid w:val="003B1512"/>
    <w:rsid w:val="003B712D"/>
    <w:rsid w:val="003C10D0"/>
    <w:rsid w:val="003C3A05"/>
    <w:rsid w:val="003C7610"/>
    <w:rsid w:val="003D03EC"/>
    <w:rsid w:val="003D47DB"/>
    <w:rsid w:val="003F21AD"/>
    <w:rsid w:val="003F69C7"/>
    <w:rsid w:val="003F7EE3"/>
    <w:rsid w:val="004032BD"/>
    <w:rsid w:val="00413684"/>
    <w:rsid w:val="0042177F"/>
    <w:rsid w:val="00421A33"/>
    <w:rsid w:val="00427750"/>
    <w:rsid w:val="00431ACD"/>
    <w:rsid w:val="00440F47"/>
    <w:rsid w:val="00442783"/>
    <w:rsid w:val="004461E6"/>
    <w:rsid w:val="0044668A"/>
    <w:rsid w:val="004474E0"/>
    <w:rsid w:val="004607FF"/>
    <w:rsid w:val="00464018"/>
    <w:rsid w:val="0047035D"/>
    <w:rsid w:val="00471441"/>
    <w:rsid w:val="00482687"/>
    <w:rsid w:val="004850A5"/>
    <w:rsid w:val="00494197"/>
    <w:rsid w:val="004B21DF"/>
    <w:rsid w:val="004B3135"/>
    <w:rsid w:val="004B6EDF"/>
    <w:rsid w:val="004C74B4"/>
    <w:rsid w:val="004F46C3"/>
    <w:rsid w:val="00502B0D"/>
    <w:rsid w:val="00510D06"/>
    <w:rsid w:val="0051218E"/>
    <w:rsid w:val="00512BA0"/>
    <w:rsid w:val="00513A4E"/>
    <w:rsid w:val="00520E9F"/>
    <w:rsid w:val="00526CB2"/>
    <w:rsid w:val="005331FA"/>
    <w:rsid w:val="0054549A"/>
    <w:rsid w:val="00551D6D"/>
    <w:rsid w:val="005536BA"/>
    <w:rsid w:val="005537A9"/>
    <w:rsid w:val="00557C83"/>
    <w:rsid w:val="0056374D"/>
    <w:rsid w:val="00567A64"/>
    <w:rsid w:val="00571478"/>
    <w:rsid w:val="00574BA9"/>
    <w:rsid w:val="00577713"/>
    <w:rsid w:val="005A0124"/>
    <w:rsid w:val="005B0462"/>
    <w:rsid w:val="005B511E"/>
    <w:rsid w:val="005C368F"/>
    <w:rsid w:val="005D430D"/>
    <w:rsid w:val="005E7074"/>
    <w:rsid w:val="00603046"/>
    <w:rsid w:val="006048C6"/>
    <w:rsid w:val="006246E0"/>
    <w:rsid w:val="006254D6"/>
    <w:rsid w:val="00626DC0"/>
    <w:rsid w:val="00631B8F"/>
    <w:rsid w:val="00631DEA"/>
    <w:rsid w:val="00636DE7"/>
    <w:rsid w:val="00654283"/>
    <w:rsid w:val="00663D0C"/>
    <w:rsid w:val="006671DE"/>
    <w:rsid w:val="00670C2C"/>
    <w:rsid w:val="006727DE"/>
    <w:rsid w:val="006852AC"/>
    <w:rsid w:val="006A02F6"/>
    <w:rsid w:val="006A4C77"/>
    <w:rsid w:val="006C5910"/>
    <w:rsid w:val="006E4FF7"/>
    <w:rsid w:val="0070123D"/>
    <w:rsid w:val="007067A2"/>
    <w:rsid w:val="00725540"/>
    <w:rsid w:val="00731116"/>
    <w:rsid w:val="007427DF"/>
    <w:rsid w:val="00743780"/>
    <w:rsid w:val="007439C1"/>
    <w:rsid w:val="00755E82"/>
    <w:rsid w:val="007764BE"/>
    <w:rsid w:val="00782759"/>
    <w:rsid w:val="0079703B"/>
    <w:rsid w:val="007A029A"/>
    <w:rsid w:val="007A7AE2"/>
    <w:rsid w:val="007B39F3"/>
    <w:rsid w:val="007B3C94"/>
    <w:rsid w:val="007B5F35"/>
    <w:rsid w:val="007C68DA"/>
    <w:rsid w:val="007D05F5"/>
    <w:rsid w:val="007D0887"/>
    <w:rsid w:val="007D1177"/>
    <w:rsid w:val="007D4156"/>
    <w:rsid w:val="007D648D"/>
    <w:rsid w:val="007E3C6C"/>
    <w:rsid w:val="007E4311"/>
    <w:rsid w:val="007E66A3"/>
    <w:rsid w:val="007F5866"/>
    <w:rsid w:val="007F7074"/>
    <w:rsid w:val="00803450"/>
    <w:rsid w:val="00804AC8"/>
    <w:rsid w:val="00812ABE"/>
    <w:rsid w:val="008140CC"/>
    <w:rsid w:val="00823BCD"/>
    <w:rsid w:val="00824AB6"/>
    <w:rsid w:val="00834AD3"/>
    <w:rsid w:val="00840C27"/>
    <w:rsid w:val="00852C99"/>
    <w:rsid w:val="00857B45"/>
    <w:rsid w:val="0088628E"/>
    <w:rsid w:val="008903F9"/>
    <w:rsid w:val="00892F53"/>
    <w:rsid w:val="00897D30"/>
    <w:rsid w:val="008A238C"/>
    <w:rsid w:val="008A4953"/>
    <w:rsid w:val="008B3EDA"/>
    <w:rsid w:val="008C1AC7"/>
    <w:rsid w:val="008D10A7"/>
    <w:rsid w:val="008D1AD6"/>
    <w:rsid w:val="008D62BC"/>
    <w:rsid w:val="008D72C3"/>
    <w:rsid w:val="008F1D94"/>
    <w:rsid w:val="009067EA"/>
    <w:rsid w:val="00923F35"/>
    <w:rsid w:val="0093188E"/>
    <w:rsid w:val="00931CF7"/>
    <w:rsid w:val="00960CD5"/>
    <w:rsid w:val="00964137"/>
    <w:rsid w:val="00971809"/>
    <w:rsid w:val="0097181C"/>
    <w:rsid w:val="0097579D"/>
    <w:rsid w:val="00976826"/>
    <w:rsid w:val="009838AC"/>
    <w:rsid w:val="00990108"/>
    <w:rsid w:val="009A0103"/>
    <w:rsid w:val="009A440B"/>
    <w:rsid w:val="009A6C42"/>
    <w:rsid w:val="009B46A4"/>
    <w:rsid w:val="009B71C1"/>
    <w:rsid w:val="009D7B26"/>
    <w:rsid w:val="009E1B4C"/>
    <w:rsid w:val="009F0883"/>
    <w:rsid w:val="009F48DA"/>
    <w:rsid w:val="009F5270"/>
    <w:rsid w:val="009F62A1"/>
    <w:rsid w:val="00A005AC"/>
    <w:rsid w:val="00A04859"/>
    <w:rsid w:val="00A04C94"/>
    <w:rsid w:val="00A06FB3"/>
    <w:rsid w:val="00A10106"/>
    <w:rsid w:val="00A201A3"/>
    <w:rsid w:val="00A23738"/>
    <w:rsid w:val="00A32BE5"/>
    <w:rsid w:val="00A40CE0"/>
    <w:rsid w:val="00A41CCE"/>
    <w:rsid w:val="00A4379E"/>
    <w:rsid w:val="00A51E3A"/>
    <w:rsid w:val="00A5573B"/>
    <w:rsid w:val="00A63CD2"/>
    <w:rsid w:val="00A6409E"/>
    <w:rsid w:val="00A751F3"/>
    <w:rsid w:val="00A7643B"/>
    <w:rsid w:val="00AA0EFB"/>
    <w:rsid w:val="00AA51DF"/>
    <w:rsid w:val="00AA5E6F"/>
    <w:rsid w:val="00AB5A0D"/>
    <w:rsid w:val="00AC7CFF"/>
    <w:rsid w:val="00AD2AD1"/>
    <w:rsid w:val="00AD5DD9"/>
    <w:rsid w:val="00AD6CCC"/>
    <w:rsid w:val="00AE2EB5"/>
    <w:rsid w:val="00AE368B"/>
    <w:rsid w:val="00AE59F5"/>
    <w:rsid w:val="00AF4671"/>
    <w:rsid w:val="00B07650"/>
    <w:rsid w:val="00B1320E"/>
    <w:rsid w:val="00B14A1E"/>
    <w:rsid w:val="00B216D8"/>
    <w:rsid w:val="00B217EF"/>
    <w:rsid w:val="00B3559F"/>
    <w:rsid w:val="00B442A8"/>
    <w:rsid w:val="00B8244D"/>
    <w:rsid w:val="00B8510A"/>
    <w:rsid w:val="00BA10A0"/>
    <w:rsid w:val="00BB2268"/>
    <w:rsid w:val="00BD4300"/>
    <w:rsid w:val="00BD7413"/>
    <w:rsid w:val="00BF6BF9"/>
    <w:rsid w:val="00C03550"/>
    <w:rsid w:val="00C12542"/>
    <w:rsid w:val="00C30BA9"/>
    <w:rsid w:val="00C45E0F"/>
    <w:rsid w:val="00C63A4D"/>
    <w:rsid w:val="00C63FBF"/>
    <w:rsid w:val="00C6404A"/>
    <w:rsid w:val="00C70747"/>
    <w:rsid w:val="00CA4A0E"/>
    <w:rsid w:val="00CA5C63"/>
    <w:rsid w:val="00CA666C"/>
    <w:rsid w:val="00CA6CCF"/>
    <w:rsid w:val="00CA7F4D"/>
    <w:rsid w:val="00CB1B29"/>
    <w:rsid w:val="00CD10CA"/>
    <w:rsid w:val="00CD52E2"/>
    <w:rsid w:val="00CE4326"/>
    <w:rsid w:val="00CF35D8"/>
    <w:rsid w:val="00CF3BF3"/>
    <w:rsid w:val="00D008A0"/>
    <w:rsid w:val="00D370C2"/>
    <w:rsid w:val="00D43A5B"/>
    <w:rsid w:val="00D44BA0"/>
    <w:rsid w:val="00D63CC6"/>
    <w:rsid w:val="00D83953"/>
    <w:rsid w:val="00DB53A1"/>
    <w:rsid w:val="00DC0BAF"/>
    <w:rsid w:val="00DC2ED3"/>
    <w:rsid w:val="00DC78F4"/>
    <w:rsid w:val="00DF37BC"/>
    <w:rsid w:val="00DF5E99"/>
    <w:rsid w:val="00E027A7"/>
    <w:rsid w:val="00E134E9"/>
    <w:rsid w:val="00E32050"/>
    <w:rsid w:val="00E32F55"/>
    <w:rsid w:val="00E35FCA"/>
    <w:rsid w:val="00E40AB3"/>
    <w:rsid w:val="00E4303D"/>
    <w:rsid w:val="00E431AE"/>
    <w:rsid w:val="00E442B2"/>
    <w:rsid w:val="00E62792"/>
    <w:rsid w:val="00E62824"/>
    <w:rsid w:val="00E65876"/>
    <w:rsid w:val="00E74A56"/>
    <w:rsid w:val="00E75F79"/>
    <w:rsid w:val="00E91AE8"/>
    <w:rsid w:val="00E956EE"/>
    <w:rsid w:val="00E970E1"/>
    <w:rsid w:val="00EA4CCD"/>
    <w:rsid w:val="00EA70B8"/>
    <w:rsid w:val="00EB2F03"/>
    <w:rsid w:val="00EC54DA"/>
    <w:rsid w:val="00ED05A2"/>
    <w:rsid w:val="00ED0937"/>
    <w:rsid w:val="00ED76AC"/>
    <w:rsid w:val="00F0072F"/>
    <w:rsid w:val="00F248F8"/>
    <w:rsid w:val="00F24B2D"/>
    <w:rsid w:val="00F2505A"/>
    <w:rsid w:val="00F26307"/>
    <w:rsid w:val="00F3331C"/>
    <w:rsid w:val="00F41138"/>
    <w:rsid w:val="00F601F4"/>
    <w:rsid w:val="00F71F7B"/>
    <w:rsid w:val="00F92D8F"/>
    <w:rsid w:val="00F9301D"/>
    <w:rsid w:val="00FA63A6"/>
    <w:rsid w:val="00FB08D0"/>
    <w:rsid w:val="00FB23E5"/>
    <w:rsid w:val="00FB45F5"/>
    <w:rsid w:val="00FC3845"/>
    <w:rsid w:val="00FF76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213841"/>
  <w15:docId w15:val="{C734552C-BC90-410B-B782-667E4B0A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124"/>
    <w:pPr>
      <w:spacing w:before="120" w:after="240" w:line="240" w:lineRule="auto"/>
      <w:jc w:val="both"/>
    </w:pPr>
    <w:rPr>
      <w:rFonts w:ascii="Arial" w:hAnsi="Arial"/>
    </w:rPr>
  </w:style>
  <w:style w:type="paragraph" w:styleId="Heading1">
    <w:name w:val="heading 1"/>
    <w:aliases w:val="Heading"/>
    <w:basedOn w:val="Normal"/>
    <w:next w:val="Normal"/>
    <w:link w:val="Heading1Char"/>
    <w:autoRedefine/>
    <w:uiPriority w:val="9"/>
    <w:qFormat/>
    <w:rsid w:val="005A0124"/>
    <w:pPr>
      <w:keepNext/>
      <w:keepLines/>
      <w:numPr>
        <w:numId w:val="1"/>
      </w:numPr>
      <w:spacing w:before="240"/>
      <w:ind w:left="431" w:hanging="431"/>
      <w:outlineLvl w:val="0"/>
    </w:pPr>
    <w:rPr>
      <w:rFonts w:eastAsiaTheme="majorEastAsia" w:cstheme="majorBidi"/>
      <w:b/>
      <w:bCs/>
      <w:caps/>
      <w:sz w:val="28"/>
      <w:szCs w:val="28"/>
    </w:rPr>
  </w:style>
  <w:style w:type="paragraph" w:styleId="Heading2">
    <w:name w:val="heading 2"/>
    <w:basedOn w:val="Normal"/>
    <w:next w:val="Normal"/>
    <w:link w:val="Heading2Char"/>
    <w:autoRedefine/>
    <w:uiPriority w:val="9"/>
    <w:unhideWhenUsed/>
    <w:qFormat/>
    <w:rsid w:val="005A0124"/>
    <w:pPr>
      <w:keepNext/>
      <w:numPr>
        <w:ilvl w:val="1"/>
        <w:numId w:val="11"/>
      </w:numPr>
      <w:spacing w:before="240"/>
      <w:ind w:left="578" w:hanging="578"/>
      <w:outlineLvl w:val="1"/>
    </w:pPr>
    <w:rPr>
      <w:rFonts w:ascii="Arial Bold" w:hAnsi="Arial Bold"/>
      <w:b/>
      <w:caps/>
      <w:sz w:val="24"/>
    </w:rPr>
  </w:style>
  <w:style w:type="paragraph" w:styleId="Heading3">
    <w:name w:val="heading 3"/>
    <w:basedOn w:val="Normal"/>
    <w:next w:val="Normal"/>
    <w:link w:val="Heading3Char"/>
    <w:uiPriority w:val="9"/>
    <w:unhideWhenUsed/>
    <w:qFormat/>
    <w:rsid w:val="005A0124"/>
    <w:pPr>
      <w:keepNext/>
      <w:keepLines/>
      <w:spacing w:after="120"/>
      <w:outlineLvl w:val="2"/>
    </w:pPr>
    <w:rPr>
      <w:rFonts w:ascii="Arial Bold" w:eastAsiaTheme="majorEastAsia" w:hAnsi="Arial Bold" w:cstheme="majorBidi"/>
      <w:b/>
      <w:bCs/>
    </w:rPr>
  </w:style>
  <w:style w:type="paragraph" w:styleId="Heading4">
    <w:name w:val="heading 4"/>
    <w:basedOn w:val="Normal"/>
    <w:next w:val="Normal"/>
    <w:link w:val="Heading4Char"/>
    <w:uiPriority w:val="9"/>
    <w:unhideWhenUsed/>
    <w:qFormat/>
    <w:rsid w:val="005A0124"/>
    <w:pPr>
      <w:keepNext/>
      <w:keepLines/>
      <w:spacing w:after="120"/>
      <w:outlineLvl w:val="3"/>
    </w:pPr>
    <w:rPr>
      <w:rFonts w:cs="Arial"/>
      <w:szCs w:val="20"/>
      <w:u w:val="single"/>
    </w:rPr>
  </w:style>
  <w:style w:type="paragraph" w:styleId="Heading5">
    <w:name w:val="heading 5"/>
    <w:basedOn w:val="Normal"/>
    <w:next w:val="Normal"/>
    <w:link w:val="Heading5Char"/>
    <w:uiPriority w:val="9"/>
    <w:semiHidden/>
    <w:unhideWhenUsed/>
    <w:qFormat/>
    <w:rsid w:val="001A3992"/>
    <w:pPr>
      <w:keepNext/>
      <w:keepLines/>
      <w:numPr>
        <w:ilvl w:val="4"/>
        <w:numId w:val="1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5A0124"/>
    <w:rPr>
      <w:rFonts w:ascii="Arial" w:eastAsiaTheme="majorEastAsia" w:hAnsi="Arial" w:cstheme="majorBidi"/>
      <w:b/>
      <w:bCs/>
      <w:caps/>
      <w:sz w:val="28"/>
      <w:szCs w:val="28"/>
    </w:rPr>
  </w:style>
  <w:style w:type="character" w:customStyle="1" w:styleId="Heading2Char">
    <w:name w:val="Heading 2 Char"/>
    <w:basedOn w:val="DefaultParagraphFont"/>
    <w:link w:val="Heading2"/>
    <w:uiPriority w:val="9"/>
    <w:rsid w:val="005A0124"/>
    <w:rPr>
      <w:rFonts w:ascii="Arial Bold" w:hAnsi="Arial Bold"/>
      <w:b/>
      <w:caps/>
      <w:sz w:val="24"/>
    </w:rPr>
  </w:style>
  <w:style w:type="character" w:customStyle="1" w:styleId="Heading3Char">
    <w:name w:val="Heading 3 Char"/>
    <w:basedOn w:val="DefaultParagraphFont"/>
    <w:link w:val="Heading3"/>
    <w:uiPriority w:val="9"/>
    <w:rsid w:val="005A0124"/>
    <w:rPr>
      <w:rFonts w:ascii="Arial Bold" w:eastAsiaTheme="majorEastAsia" w:hAnsi="Arial Bold" w:cstheme="majorBidi"/>
      <w:b/>
      <w:bCs/>
    </w:rPr>
  </w:style>
  <w:style w:type="character" w:customStyle="1" w:styleId="Heading4Char">
    <w:name w:val="Heading 4 Char"/>
    <w:basedOn w:val="DefaultParagraphFont"/>
    <w:link w:val="Heading4"/>
    <w:uiPriority w:val="9"/>
    <w:rsid w:val="005A0124"/>
    <w:rPr>
      <w:rFonts w:ascii="Arial" w:hAnsi="Arial" w:cs="Arial"/>
      <w:szCs w:val="20"/>
      <w:u w:val="single"/>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basedOn w:val="Normal"/>
    <w:link w:val="CommentTextChar"/>
    <w:uiPriority w:val="99"/>
    <w:semiHidden/>
    <w:unhideWhenUsed/>
    <w:rsid w:val="001A3992"/>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C6404A"/>
    <w:pPr>
      <w:numPr>
        <w:numId w:val="17"/>
      </w:numPr>
      <w:spacing w:before="0" w:after="0"/>
      <w:contextualSpacing/>
    </w:p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1538ED"/>
    <w:rPr>
      <w:rFonts w:asciiTheme="minorHAnsi" w:hAnsiTheme="minorHAnsi"/>
      <w:b/>
      <w:bCs/>
    </w:rPr>
  </w:style>
  <w:style w:type="character" w:customStyle="1" w:styleId="CommentSubjectChar">
    <w:name w:val="Comment Subject Char"/>
    <w:basedOn w:val="CommentTextChar"/>
    <w:link w:val="CommentSubject"/>
    <w:uiPriority w:val="99"/>
    <w:semiHidden/>
    <w:rsid w:val="001538ED"/>
    <w:rPr>
      <w:rFonts w:ascii="Cambria" w:hAnsi="Cambria"/>
      <w:b/>
      <w:bCs/>
      <w:sz w:val="20"/>
      <w:szCs w:val="20"/>
    </w:rPr>
  </w:style>
  <w:style w:type="paragraph" w:customStyle="1" w:styleId="Default">
    <w:name w:val="Default"/>
    <w:rsid w:val="001538ED"/>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semiHidden/>
    <w:unhideWhenUsed/>
    <w:rsid w:val="008140CC"/>
  </w:style>
  <w:style w:type="character" w:customStyle="1" w:styleId="BodyTextChar">
    <w:name w:val="Body Text Char"/>
    <w:basedOn w:val="DefaultParagraphFont"/>
    <w:link w:val="BodyText"/>
    <w:uiPriority w:val="99"/>
    <w:semiHidden/>
    <w:rsid w:val="008140CC"/>
  </w:style>
  <w:style w:type="paragraph" w:styleId="Revision">
    <w:name w:val="Revision"/>
    <w:hidden/>
    <w:uiPriority w:val="99"/>
    <w:semiHidden/>
    <w:rsid w:val="003B1512"/>
    <w:pPr>
      <w:spacing w:after="0" w:line="240" w:lineRule="auto"/>
    </w:pPr>
  </w:style>
  <w:style w:type="paragraph" w:customStyle="1" w:styleId="NormalBold">
    <w:name w:val="Normal Bold"/>
    <w:basedOn w:val="Normal"/>
    <w:qFormat/>
    <w:rsid w:val="005D430D"/>
  </w:style>
  <w:style w:type="character" w:customStyle="1" w:styleId="UnresolvedMention1">
    <w:name w:val="Unresolved Mention1"/>
    <w:basedOn w:val="DefaultParagraphFont"/>
    <w:uiPriority w:val="99"/>
    <w:semiHidden/>
    <w:unhideWhenUsed/>
    <w:rsid w:val="00823BCD"/>
    <w:rPr>
      <w:color w:val="808080"/>
      <w:shd w:val="clear" w:color="auto" w:fill="E6E6E6"/>
    </w:rPr>
  </w:style>
  <w:style w:type="paragraph" w:styleId="Title">
    <w:name w:val="Title"/>
    <w:basedOn w:val="Heading4"/>
    <w:next w:val="Normal"/>
    <w:link w:val="TitleChar"/>
    <w:uiPriority w:val="10"/>
    <w:qFormat/>
    <w:rsid w:val="00FA63A6"/>
    <w:pPr>
      <w:spacing w:after="360"/>
      <w:jc w:val="left"/>
    </w:pPr>
    <w:rPr>
      <w:rFonts w:ascii="Arial Bold" w:hAnsi="Arial Bold"/>
      <w:b/>
      <w:caps/>
      <w:sz w:val="32"/>
      <w:u w:val="none"/>
    </w:rPr>
  </w:style>
  <w:style w:type="character" w:customStyle="1" w:styleId="TitleChar">
    <w:name w:val="Title Char"/>
    <w:basedOn w:val="DefaultParagraphFont"/>
    <w:link w:val="Title"/>
    <w:uiPriority w:val="10"/>
    <w:rsid w:val="00FA63A6"/>
    <w:rPr>
      <w:rFonts w:ascii="Arial Bold" w:hAnsi="Arial Bold" w:cs="Arial"/>
      <w:b/>
      <w:caps/>
      <w:sz w:val="32"/>
      <w:szCs w:val="20"/>
    </w:rPr>
  </w:style>
  <w:style w:type="paragraph" w:styleId="EndnoteText">
    <w:name w:val="endnote text"/>
    <w:basedOn w:val="Normal"/>
    <w:link w:val="EndnoteTextChar"/>
    <w:uiPriority w:val="99"/>
    <w:semiHidden/>
    <w:unhideWhenUsed/>
    <w:rsid w:val="00A04C94"/>
    <w:pPr>
      <w:spacing w:before="0" w:after="0"/>
    </w:pPr>
    <w:rPr>
      <w:sz w:val="20"/>
      <w:szCs w:val="20"/>
    </w:rPr>
  </w:style>
  <w:style w:type="character" w:customStyle="1" w:styleId="EndnoteTextChar">
    <w:name w:val="Endnote Text Char"/>
    <w:basedOn w:val="DefaultParagraphFont"/>
    <w:link w:val="EndnoteText"/>
    <w:uiPriority w:val="99"/>
    <w:semiHidden/>
    <w:rsid w:val="00A04C94"/>
    <w:rPr>
      <w:rFonts w:ascii="Arial" w:hAnsi="Arial"/>
      <w:sz w:val="20"/>
      <w:szCs w:val="20"/>
    </w:rPr>
  </w:style>
  <w:style w:type="character" w:styleId="EndnoteReference">
    <w:name w:val="endnote reference"/>
    <w:basedOn w:val="DefaultParagraphFont"/>
    <w:uiPriority w:val="99"/>
    <w:semiHidden/>
    <w:unhideWhenUsed/>
    <w:rsid w:val="00A04C94"/>
    <w:rPr>
      <w:vertAlign w:val="superscript"/>
    </w:rPr>
  </w:style>
  <w:style w:type="table" w:styleId="TableGrid">
    <w:name w:val="Table Grid"/>
    <w:basedOn w:val="TableNormal"/>
    <w:uiPriority w:val="59"/>
    <w:rsid w:val="00B217E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FF04A-B15A-4FE6-928D-08DA46A1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9788</Words>
  <Characters>55891</Characters>
  <Application>Microsoft Office Word</Application>
  <DocSecurity>0</DocSecurity>
  <Lines>1189</Lines>
  <Paragraphs>619</Paragraphs>
  <ScaleCrop>false</ScaleCrop>
  <HeadingPairs>
    <vt:vector size="2" baseType="variant">
      <vt:variant>
        <vt:lpstr>Title</vt:lpstr>
      </vt:variant>
      <vt:variant>
        <vt:i4>1</vt:i4>
      </vt:variant>
    </vt:vector>
  </HeadingPairs>
  <TitlesOfParts>
    <vt:vector size="1" baseType="lpstr">
      <vt:lpstr>AusPAR Attachment 1: Product Information for Enoxaparin sodium</vt:lpstr>
    </vt:vector>
  </TitlesOfParts>
  <Company/>
  <LinksUpToDate>false</LinksUpToDate>
  <CharactersWithSpaces>65060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Enoxaparin sodium</dc:title>
  <dc:subject>Prescription medicines</dc:subject>
  <dc:creator>Apotex</dc:creator>
  <cp:keywords>AusPARs</cp:keywords>
  <cp:lastPrinted>2020-02-11T05:28:00Z</cp:lastPrinted>
  <dcterms:created xsi:type="dcterms:W3CDTF">2020-07-21T05:37:00Z</dcterms:created>
  <dcterms:modified xsi:type="dcterms:W3CDTF">2020-08-04T02:43:00Z</dcterms:modified>
</cp:coreProperties>
</file>