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9247D3" w:rsidP="00096AA7">
            <w:pPr>
              <w:rPr>
                <w:rFonts w:ascii="Arial" w:hAnsi="Arial" w:cs="Arial"/>
                <w:b/>
                <w:color w:val="002C47"/>
                <w:sz w:val="36"/>
                <w:szCs w:val="36"/>
              </w:rPr>
            </w:pPr>
            <w:r>
              <w:rPr>
                <w:rFonts w:ascii="Arial" w:hAnsi="Arial" w:cs="Arial"/>
                <w:b/>
                <w:color w:val="002C47"/>
                <w:sz w:val="36"/>
                <w:szCs w:val="36"/>
              </w:rPr>
              <w:t>April</w:t>
            </w:r>
            <w:r w:rsidR="007F7A84">
              <w:rPr>
                <w:rFonts w:ascii="Arial" w:hAnsi="Arial" w:cs="Arial"/>
                <w:b/>
                <w:color w:val="002C47"/>
                <w:sz w:val="36"/>
                <w:szCs w:val="36"/>
              </w:rPr>
              <w:t xml:space="preserve"> 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proofErr w:type="spellStart"/>
            <w:r w:rsidR="007F7A84">
              <w:rPr>
                <w:color w:val="FFFFFF" w:themeColor="background1"/>
              </w:rPr>
              <w:t>E</w:t>
            </w:r>
            <w:r w:rsidR="007F7A84" w:rsidRPr="007F7A84">
              <w:rPr>
                <w:color w:val="FFFFFF" w:themeColor="background1"/>
              </w:rPr>
              <w:t>nasidenib</w:t>
            </w:r>
            <w:proofErr w:type="spellEnd"/>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r w:rsidR="007F7A84" w:rsidRPr="007F7A84">
              <w:rPr>
                <w:color w:val="FFFFFF" w:themeColor="background1"/>
              </w:rPr>
              <w:t>Idhifa</w:t>
            </w:r>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r w:rsidR="007F7A84" w:rsidRPr="007F7A84">
              <w:rPr>
                <w:color w:val="FFFFFF" w:themeColor="background1"/>
              </w:rPr>
              <w:t>Celgene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rsidR="008E7846" w:rsidRDefault="008E7846" w:rsidP="00875A6B">
      <w:pPr>
        <w:pStyle w:val="NonTOCHeading2"/>
      </w:pPr>
      <w:r>
        <w:t>About AusPARs</w:t>
      </w:r>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sidR="007F7A84">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w:t>
          </w:r>
          <w:bookmarkStart w:id="2" w:name="_GoBack"/>
          <w:bookmarkEnd w:id="2"/>
          <w:r w:rsidRPr="0010788A">
            <w:t>ts</w:t>
          </w:r>
        </w:p>
        <w:p w:rsidR="001A572A"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40087023" w:history="1">
            <w:r w:rsidR="001A572A" w:rsidRPr="00D70E79">
              <w:rPr>
                <w:rStyle w:val="Hyperlink"/>
                <w:noProof/>
              </w:rPr>
              <w:t>Common abbreviations</w:t>
            </w:r>
            <w:r w:rsidR="001A572A">
              <w:rPr>
                <w:noProof/>
                <w:webHidden/>
              </w:rPr>
              <w:tab/>
            </w:r>
            <w:r w:rsidR="001A572A">
              <w:rPr>
                <w:noProof/>
                <w:webHidden/>
              </w:rPr>
              <w:fldChar w:fldCharType="begin"/>
            </w:r>
            <w:r w:rsidR="001A572A">
              <w:rPr>
                <w:noProof/>
                <w:webHidden/>
              </w:rPr>
              <w:instrText xml:space="preserve"> PAGEREF _Toc40087023 \h </w:instrText>
            </w:r>
            <w:r w:rsidR="001A572A">
              <w:rPr>
                <w:noProof/>
                <w:webHidden/>
              </w:rPr>
            </w:r>
            <w:r w:rsidR="001A572A">
              <w:rPr>
                <w:noProof/>
                <w:webHidden/>
              </w:rPr>
              <w:fldChar w:fldCharType="separate"/>
            </w:r>
            <w:r w:rsidR="001A572A">
              <w:rPr>
                <w:noProof/>
                <w:webHidden/>
              </w:rPr>
              <w:t>4</w:t>
            </w:r>
            <w:r w:rsidR="001A572A">
              <w:rPr>
                <w:noProof/>
                <w:webHidden/>
              </w:rPr>
              <w:fldChar w:fldCharType="end"/>
            </w:r>
          </w:hyperlink>
        </w:p>
        <w:p w:rsidR="001A572A" w:rsidRDefault="001A572A">
          <w:pPr>
            <w:pStyle w:val="TOC2"/>
            <w:rPr>
              <w:rFonts w:asciiTheme="minorHAnsi" w:eastAsiaTheme="minorEastAsia" w:hAnsiTheme="minorHAnsi" w:cstheme="minorBidi"/>
              <w:b w:val="0"/>
              <w:noProof/>
              <w:sz w:val="22"/>
              <w:lang w:eastAsia="en-AU"/>
            </w:rPr>
          </w:pPr>
          <w:hyperlink w:anchor="_Toc40087024" w:history="1">
            <w:r w:rsidRPr="00D70E79">
              <w:rPr>
                <w:rStyle w:val="Hyperlink"/>
                <w:noProof/>
              </w:rPr>
              <w:t>I. Introduction to product submission</w:t>
            </w:r>
            <w:r>
              <w:rPr>
                <w:noProof/>
                <w:webHidden/>
              </w:rPr>
              <w:tab/>
            </w:r>
            <w:r>
              <w:rPr>
                <w:noProof/>
                <w:webHidden/>
              </w:rPr>
              <w:fldChar w:fldCharType="begin"/>
            </w:r>
            <w:r>
              <w:rPr>
                <w:noProof/>
                <w:webHidden/>
              </w:rPr>
              <w:instrText xml:space="preserve"> PAGEREF _Toc40087024 \h </w:instrText>
            </w:r>
            <w:r>
              <w:rPr>
                <w:noProof/>
                <w:webHidden/>
              </w:rPr>
            </w:r>
            <w:r>
              <w:rPr>
                <w:noProof/>
                <w:webHidden/>
              </w:rPr>
              <w:fldChar w:fldCharType="separate"/>
            </w:r>
            <w:r>
              <w:rPr>
                <w:noProof/>
                <w:webHidden/>
              </w:rPr>
              <w:t>7</w:t>
            </w:r>
            <w:r>
              <w:rPr>
                <w:noProof/>
                <w:webHidden/>
              </w:rPr>
              <w:fldChar w:fldCharType="end"/>
            </w:r>
          </w:hyperlink>
        </w:p>
        <w:p w:rsidR="001A572A" w:rsidRDefault="001A572A">
          <w:pPr>
            <w:pStyle w:val="TOC3"/>
            <w:rPr>
              <w:rFonts w:asciiTheme="minorHAnsi" w:eastAsiaTheme="minorEastAsia" w:hAnsiTheme="minorHAnsi" w:cstheme="minorBidi"/>
              <w:noProof/>
              <w:lang w:eastAsia="en-AU"/>
            </w:rPr>
          </w:pPr>
          <w:hyperlink w:anchor="_Toc40087025" w:history="1">
            <w:r w:rsidRPr="00D70E79">
              <w:rPr>
                <w:rStyle w:val="Hyperlink"/>
                <w:noProof/>
                <w:lang w:eastAsia="en-AU"/>
              </w:rPr>
              <w:t>Submission details</w:t>
            </w:r>
            <w:r>
              <w:rPr>
                <w:noProof/>
                <w:webHidden/>
              </w:rPr>
              <w:tab/>
            </w:r>
            <w:r>
              <w:rPr>
                <w:noProof/>
                <w:webHidden/>
              </w:rPr>
              <w:fldChar w:fldCharType="begin"/>
            </w:r>
            <w:r>
              <w:rPr>
                <w:noProof/>
                <w:webHidden/>
              </w:rPr>
              <w:instrText xml:space="preserve"> PAGEREF _Toc40087025 \h </w:instrText>
            </w:r>
            <w:r>
              <w:rPr>
                <w:noProof/>
                <w:webHidden/>
              </w:rPr>
            </w:r>
            <w:r>
              <w:rPr>
                <w:noProof/>
                <w:webHidden/>
              </w:rPr>
              <w:fldChar w:fldCharType="separate"/>
            </w:r>
            <w:r>
              <w:rPr>
                <w:noProof/>
                <w:webHidden/>
              </w:rPr>
              <w:t>7</w:t>
            </w:r>
            <w:r>
              <w:rPr>
                <w:noProof/>
                <w:webHidden/>
              </w:rPr>
              <w:fldChar w:fldCharType="end"/>
            </w:r>
          </w:hyperlink>
        </w:p>
        <w:p w:rsidR="001A572A" w:rsidRDefault="001A572A">
          <w:pPr>
            <w:pStyle w:val="TOC3"/>
            <w:rPr>
              <w:rFonts w:asciiTheme="minorHAnsi" w:eastAsiaTheme="minorEastAsia" w:hAnsiTheme="minorHAnsi" w:cstheme="minorBidi"/>
              <w:noProof/>
              <w:lang w:eastAsia="en-AU"/>
            </w:rPr>
          </w:pPr>
          <w:hyperlink w:anchor="_Toc40087026" w:history="1">
            <w:r w:rsidRPr="00D70E79">
              <w:rPr>
                <w:rStyle w:val="Hyperlink"/>
                <w:noProof/>
              </w:rPr>
              <w:t>Product background</w:t>
            </w:r>
            <w:r>
              <w:rPr>
                <w:noProof/>
                <w:webHidden/>
              </w:rPr>
              <w:tab/>
            </w:r>
            <w:r>
              <w:rPr>
                <w:noProof/>
                <w:webHidden/>
              </w:rPr>
              <w:fldChar w:fldCharType="begin"/>
            </w:r>
            <w:r>
              <w:rPr>
                <w:noProof/>
                <w:webHidden/>
              </w:rPr>
              <w:instrText xml:space="preserve"> PAGEREF _Toc40087026 \h </w:instrText>
            </w:r>
            <w:r>
              <w:rPr>
                <w:noProof/>
                <w:webHidden/>
              </w:rPr>
            </w:r>
            <w:r>
              <w:rPr>
                <w:noProof/>
                <w:webHidden/>
              </w:rPr>
              <w:fldChar w:fldCharType="separate"/>
            </w:r>
            <w:r>
              <w:rPr>
                <w:noProof/>
                <w:webHidden/>
              </w:rPr>
              <w:t>8</w:t>
            </w:r>
            <w:r>
              <w:rPr>
                <w:noProof/>
                <w:webHidden/>
              </w:rPr>
              <w:fldChar w:fldCharType="end"/>
            </w:r>
          </w:hyperlink>
        </w:p>
        <w:p w:rsidR="001A572A" w:rsidRDefault="001A572A">
          <w:pPr>
            <w:pStyle w:val="TOC3"/>
            <w:rPr>
              <w:rFonts w:asciiTheme="minorHAnsi" w:eastAsiaTheme="minorEastAsia" w:hAnsiTheme="minorHAnsi" w:cstheme="minorBidi"/>
              <w:noProof/>
              <w:lang w:eastAsia="en-AU"/>
            </w:rPr>
          </w:pPr>
          <w:hyperlink w:anchor="_Toc40087027" w:history="1">
            <w:r w:rsidRPr="00D70E79">
              <w:rPr>
                <w:rStyle w:val="Hyperlink"/>
                <w:noProof/>
              </w:rPr>
              <w:t>Regulatory status</w:t>
            </w:r>
            <w:r>
              <w:rPr>
                <w:noProof/>
                <w:webHidden/>
              </w:rPr>
              <w:tab/>
            </w:r>
            <w:r>
              <w:rPr>
                <w:noProof/>
                <w:webHidden/>
              </w:rPr>
              <w:fldChar w:fldCharType="begin"/>
            </w:r>
            <w:r>
              <w:rPr>
                <w:noProof/>
                <w:webHidden/>
              </w:rPr>
              <w:instrText xml:space="preserve"> PAGEREF _Toc40087027 \h </w:instrText>
            </w:r>
            <w:r>
              <w:rPr>
                <w:noProof/>
                <w:webHidden/>
              </w:rPr>
            </w:r>
            <w:r>
              <w:rPr>
                <w:noProof/>
                <w:webHidden/>
              </w:rPr>
              <w:fldChar w:fldCharType="separate"/>
            </w:r>
            <w:r>
              <w:rPr>
                <w:noProof/>
                <w:webHidden/>
              </w:rPr>
              <w:t>9</w:t>
            </w:r>
            <w:r>
              <w:rPr>
                <w:noProof/>
                <w:webHidden/>
              </w:rPr>
              <w:fldChar w:fldCharType="end"/>
            </w:r>
          </w:hyperlink>
        </w:p>
        <w:p w:rsidR="001A572A" w:rsidRDefault="001A572A">
          <w:pPr>
            <w:pStyle w:val="TOC3"/>
            <w:rPr>
              <w:rFonts w:asciiTheme="minorHAnsi" w:eastAsiaTheme="minorEastAsia" w:hAnsiTheme="minorHAnsi" w:cstheme="minorBidi"/>
              <w:noProof/>
              <w:lang w:eastAsia="en-AU"/>
            </w:rPr>
          </w:pPr>
          <w:hyperlink w:anchor="_Toc40087028" w:history="1">
            <w:r w:rsidRPr="00D70E79">
              <w:rPr>
                <w:rStyle w:val="Hyperlink"/>
                <w:noProof/>
              </w:rPr>
              <w:t>Product Information</w:t>
            </w:r>
            <w:r>
              <w:rPr>
                <w:noProof/>
                <w:webHidden/>
              </w:rPr>
              <w:tab/>
            </w:r>
            <w:r>
              <w:rPr>
                <w:noProof/>
                <w:webHidden/>
              </w:rPr>
              <w:fldChar w:fldCharType="begin"/>
            </w:r>
            <w:r>
              <w:rPr>
                <w:noProof/>
                <w:webHidden/>
              </w:rPr>
              <w:instrText xml:space="preserve"> PAGEREF _Toc40087028 \h </w:instrText>
            </w:r>
            <w:r>
              <w:rPr>
                <w:noProof/>
                <w:webHidden/>
              </w:rPr>
            </w:r>
            <w:r>
              <w:rPr>
                <w:noProof/>
                <w:webHidden/>
              </w:rPr>
              <w:fldChar w:fldCharType="separate"/>
            </w:r>
            <w:r>
              <w:rPr>
                <w:noProof/>
                <w:webHidden/>
              </w:rPr>
              <w:t>9</w:t>
            </w:r>
            <w:r>
              <w:rPr>
                <w:noProof/>
                <w:webHidden/>
              </w:rPr>
              <w:fldChar w:fldCharType="end"/>
            </w:r>
          </w:hyperlink>
        </w:p>
        <w:p w:rsidR="001A572A" w:rsidRDefault="001A572A">
          <w:pPr>
            <w:pStyle w:val="TOC2"/>
            <w:rPr>
              <w:rFonts w:asciiTheme="minorHAnsi" w:eastAsiaTheme="minorEastAsia" w:hAnsiTheme="minorHAnsi" w:cstheme="minorBidi"/>
              <w:b w:val="0"/>
              <w:noProof/>
              <w:sz w:val="22"/>
              <w:lang w:eastAsia="en-AU"/>
            </w:rPr>
          </w:pPr>
          <w:hyperlink w:anchor="_Toc40087029" w:history="1">
            <w:r w:rsidRPr="00D70E79">
              <w:rPr>
                <w:rStyle w:val="Hyperlink"/>
                <w:noProof/>
              </w:rPr>
              <w:t>II. Registration timeline</w:t>
            </w:r>
            <w:r>
              <w:rPr>
                <w:noProof/>
                <w:webHidden/>
              </w:rPr>
              <w:tab/>
            </w:r>
            <w:r>
              <w:rPr>
                <w:noProof/>
                <w:webHidden/>
              </w:rPr>
              <w:fldChar w:fldCharType="begin"/>
            </w:r>
            <w:r>
              <w:rPr>
                <w:noProof/>
                <w:webHidden/>
              </w:rPr>
              <w:instrText xml:space="preserve"> PAGEREF _Toc40087029 \h </w:instrText>
            </w:r>
            <w:r>
              <w:rPr>
                <w:noProof/>
                <w:webHidden/>
              </w:rPr>
            </w:r>
            <w:r>
              <w:rPr>
                <w:noProof/>
                <w:webHidden/>
              </w:rPr>
              <w:fldChar w:fldCharType="separate"/>
            </w:r>
            <w:r>
              <w:rPr>
                <w:noProof/>
                <w:webHidden/>
              </w:rPr>
              <w:t>9</w:t>
            </w:r>
            <w:r>
              <w:rPr>
                <w:noProof/>
                <w:webHidden/>
              </w:rPr>
              <w:fldChar w:fldCharType="end"/>
            </w:r>
          </w:hyperlink>
        </w:p>
        <w:p w:rsidR="001A572A" w:rsidRDefault="001A572A">
          <w:pPr>
            <w:pStyle w:val="TOC2"/>
            <w:rPr>
              <w:rFonts w:asciiTheme="minorHAnsi" w:eastAsiaTheme="minorEastAsia" w:hAnsiTheme="minorHAnsi" w:cstheme="minorBidi"/>
              <w:b w:val="0"/>
              <w:noProof/>
              <w:sz w:val="22"/>
              <w:lang w:eastAsia="en-AU"/>
            </w:rPr>
          </w:pPr>
          <w:hyperlink w:anchor="_Toc40087030" w:history="1">
            <w:r w:rsidRPr="00D70E79">
              <w:rPr>
                <w:rStyle w:val="Hyperlink"/>
                <w:noProof/>
              </w:rPr>
              <w:t>III. Submission overview and risk/benefit assessment</w:t>
            </w:r>
            <w:r>
              <w:rPr>
                <w:noProof/>
                <w:webHidden/>
              </w:rPr>
              <w:tab/>
            </w:r>
            <w:r>
              <w:rPr>
                <w:noProof/>
                <w:webHidden/>
              </w:rPr>
              <w:fldChar w:fldCharType="begin"/>
            </w:r>
            <w:r>
              <w:rPr>
                <w:noProof/>
                <w:webHidden/>
              </w:rPr>
              <w:instrText xml:space="preserve"> PAGEREF _Toc40087030 \h </w:instrText>
            </w:r>
            <w:r>
              <w:rPr>
                <w:noProof/>
                <w:webHidden/>
              </w:rPr>
            </w:r>
            <w:r>
              <w:rPr>
                <w:noProof/>
                <w:webHidden/>
              </w:rPr>
              <w:fldChar w:fldCharType="separate"/>
            </w:r>
            <w:r>
              <w:rPr>
                <w:noProof/>
                <w:webHidden/>
              </w:rPr>
              <w:t>10</w:t>
            </w:r>
            <w:r>
              <w:rPr>
                <w:noProof/>
                <w:webHidden/>
              </w:rPr>
              <w:fldChar w:fldCharType="end"/>
            </w:r>
          </w:hyperlink>
        </w:p>
        <w:p w:rsidR="001A572A" w:rsidRDefault="001A572A">
          <w:pPr>
            <w:pStyle w:val="TOC3"/>
            <w:rPr>
              <w:rFonts w:asciiTheme="minorHAnsi" w:eastAsiaTheme="minorEastAsia" w:hAnsiTheme="minorHAnsi" w:cstheme="minorBidi"/>
              <w:noProof/>
              <w:lang w:eastAsia="en-AU"/>
            </w:rPr>
          </w:pPr>
          <w:hyperlink w:anchor="_Toc40087031" w:history="1">
            <w:r w:rsidRPr="00D70E79">
              <w:rPr>
                <w:rStyle w:val="Hyperlink"/>
                <w:noProof/>
              </w:rPr>
              <w:t>Quality</w:t>
            </w:r>
            <w:r>
              <w:rPr>
                <w:noProof/>
                <w:webHidden/>
              </w:rPr>
              <w:tab/>
            </w:r>
            <w:r>
              <w:rPr>
                <w:noProof/>
                <w:webHidden/>
              </w:rPr>
              <w:fldChar w:fldCharType="begin"/>
            </w:r>
            <w:r>
              <w:rPr>
                <w:noProof/>
                <w:webHidden/>
              </w:rPr>
              <w:instrText xml:space="preserve"> PAGEREF _Toc40087031 \h </w:instrText>
            </w:r>
            <w:r>
              <w:rPr>
                <w:noProof/>
                <w:webHidden/>
              </w:rPr>
            </w:r>
            <w:r>
              <w:rPr>
                <w:noProof/>
                <w:webHidden/>
              </w:rPr>
              <w:fldChar w:fldCharType="separate"/>
            </w:r>
            <w:r>
              <w:rPr>
                <w:noProof/>
                <w:webHidden/>
              </w:rPr>
              <w:t>10</w:t>
            </w:r>
            <w:r>
              <w:rPr>
                <w:noProof/>
                <w:webHidden/>
              </w:rPr>
              <w:fldChar w:fldCharType="end"/>
            </w:r>
          </w:hyperlink>
        </w:p>
        <w:p w:rsidR="001A572A" w:rsidRDefault="001A572A">
          <w:pPr>
            <w:pStyle w:val="TOC3"/>
            <w:rPr>
              <w:rFonts w:asciiTheme="minorHAnsi" w:eastAsiaTheme="minorEastAsia" w:hAnsiTheme="minorHAnsi" w:cstheme="minorBidi"/>
              <w:noProof/>
              <w:lang w:eastAsia="en-AU"/>
            </w:rPr>
          </w:pPr>
          <w:hyperlink w:anchor="_Toc40087032" w:history="1">
            <w:r w:rsidRPr="00D70E79">
              <w:rPr>
                <w:rStyle w:val="Hyperlink"/>
                <w:noProof/>
              </w:rPr>
              <w:t>Nonclinical</w:t>
            </w:r>
            <w:r>
              <w:rPr>
                <w:noProof/>
                <w:webHidden/>
              </w:rPr>
              <w:tab/>
            </w:r>
            <w:r>
              <w:rPr>
                <w:noProof/>
                <w:webHidden/>
              </w:rPr>
              <w:fldChar w:fldCharType="begin"/>
            </w:r>
            <w:r>
              <w:rPr>
                <w:noProof/>
                <w:webHidden/>
              </w:rPr>
              <w:instrText xml:space="preserve"> PAGEREF _Toc40087032 \h </w:instrText>
            </w:r>
            <w:r>
              <w:rPr>
                <w:noProof/>
                <w:webHidden/>
              </w:rPr>
            </w:r>
            <w:r>
              <w:rPr>
                <w:noProof/>
                <w:webHidden/>
              </w:rPr>
              <w:fldChar w:fldCharType="separate"/>
            </w:r>
            <w:r>
              <w:rPr>
                <w:noProof/>
                <w:webHidden/>
              </w:rPr>
              <w:t>11</w:t>
            </w:r>
            <w:r>
              <w:rPr>
                <w:noProof/>
                <w:webHidden/>
              </w:rPr>
              <w:fldChar w:fldCharType="end"/>
            </w:r>
          </w:hyperlink>
        </w:p>
        <w:p w:rsidR="001A572A" w:rsidRDefault="001A572A">
          <w:pPr>
            <w:pStyle w:val="TOC3"/>
            <w:rPr>
              <w:rFonts w:asciiTheme="minorHAnsi" w:eastAsiaTheme="minorEastAsia" w:hAnsiTheme="minorHAnsi" w:cstheme="minorBidi"/>
              <w:noProof/>
              <w:lang w:eastAsia="en-AU"/>
            </w:rPr>
          </w:pPr>
          <w:hyperlink w:anchor="_Toc40087033" w:history="1">
            <w:r w:rsidRPr="00D70E79">
              <w:rPr>
                <w:rStyle w:val="Hyperlink"/>
                <w:noProof/>
              </w:rPr>
              <w:t>Clinical</w:t>
            </w:r>
            <w:r>
              <w:rPr>
                <w:noProof/>
                <w:webHidden/>
              </w:rPr>
              <w:tab/>
            </w:r>
            <w:r>
              <w:rPr>
                <w:noProof/>
                <w:webHidden/>
              </w:rPr>
              <w:fldChar w:fldCharType="begin"/>
            </w:r>
            <w:r>
              <w:rPr>
                <w:noProof/>
                <w:webHidden/>
              </w:rPr>
              <w:instrText xml:space="preserve"> PAGEREF _Toc40087033 \h </w:instrText>
            </w:r>
            <w:r>
              <w:rPr>
                <w:noProof/>
                <w:webHidden/>
              </w:rPr>
            </w:r>
            <w:r>
              <w:rPr>
                <w:noProof/>
                <w:webHidden/>
              </w:rPr>
              <w:fldChar w:fldCharType="separate"/>
            </w:r>
            <w:r>
              <w:rPr>
                <w:noProof/>
                <w:webHidden/>
              </w:rPr>
              <w:t>12</w:t>
            </w:r>
            <w:r>
              <w:rPr>
                <w:noProof/>
                <w:webHidden/>
              </w:rPr>
              <w:fldChar w:fldCharType="end"/>
            </w:r>
          </w:hyperlink>
        </w:p>
        <w:p w:rsidR="001A572A" w:rsidRDefault="001A572A">
          <w:pPr>
            <w:pStyle w:val="TOC3"/>
            <w:rPr>
              <w:rFonts w:asciiTheme="minorHAnsi" w:eastAsiaTheme="minorEastAsia" w:hAnsiTheme="minorHAnsi" w:cstheme="minorBidi"/>
              <w:noProof/>
              <w:lang w:eastAsia="en-AU"/>
            </w:rPr>
          </w:pPr>
          <w:hyperlink w:anchor="_Toc40087034" w:history="1">
            <w:r w:rsidRPr="00D70E79">
              <w:rPr>
                <w:rStyle w:val="Hyperlink"/>
                <w:noProof/>
                <w:lang w:eastAsia="en-AU"/>
              </w:rPr>
              <w:t>Risk management plan</w:t>
            </w:r>
            <w:r>
              <w:rPr>
                <w:noProof/>
                <w:webHidden/>
              </w:rPr>
              <w:tab/>
            </w:r>
            <w:r>
              <w:rPr>
                <w:noProof/>
                <w:webHidden/>
              </w:rPr>
              <w:fldChar w:fldCharType="begin"/>
            </w:r>
            <w:r>
              <w:rPr>
                <w:noProof/>
                <w:webHidden/>
              </w:rPr>
              <w:instrText xml:space="preserve"> PAGEREF _Toc40087034 \h </w:instrText>
            </w:r>
            <w:r>
              <w:rPr>
                <w:noProof/>
                <w:webHidden/>
              </w:rPr>
            </w:r>
            <w:r>
              <w:rPr>
                <w:noProof/>
                <w:webHidden/>
              </w:rPr>
              <w:fldChar w:fldCharType="separate"/>
            </w:r>
            <w:r>
              <w:rPr>
                <w:noProof/>
                <w:webHidden/>
              </w:rPr>
              <w:t>26</w:t>
            </w:r>
            <w:r>
              <w:rPr>
                <w:noProof/>
                <w:webHidden/>
              </w:rPr>
              <w:fldChar w:fldCharType="end"/>
            </w:r>
          </w:hyperlink>
        </w:p>
        <w:p w:rsidR="001A572A" w:rsidRDefault="001A572A">
          <w:pPr>
            <w:pStyle w:val="TOC3"/>
            <w:rPr>
              <w:rFonts w:asciiTheme="minorHAnsi" w:eastAsiaTheme="minorEastAsia" w:hAnsiTheme="minorHAnsi" w:cstheme="minorBidi"/>
              <w:noProof/>
              <w:lang w:eastAsia="en-AU"/>
            </w:rPr>
          </w:pPr>
          <w:hyperlink w:anchor="_Toc40087035" w:history="1">
            <w:r w:rsidRPr="00D70E79">
              <w:rPr>
                <w:rStyle w:val="Hyperlink"/>
                <w:noProof/>
              </w:rPr>
              <w:t>Risk-benefit analysis</w:t>
            </w:r>
            <w:r>
              <w:rPr>
                <w:noProof/>
                <w:webHidden/>
              </w:rPr>
              <w:tab/>
            </w:r>
            <w:r>
              <w:rPr>
                <w:noProof/>
                <w:webHidden/>
              </w:rPr>
              <w:fldChar w:fldCharType="begin"/>
            </w:r>
            <w:r>
              <w:rPr>
                <w:noProof/>
                <w:webHidden/>
              </w:rPr>
              <w:instrText xml:space="preserve"> PAGEREF _Toc40087035 \h </w:instrText>
            </w:r>
            <w:r>
              <w:rPr>
                <w:noProof/>
                <w:webHidden/>
              </w:rPr>
            </w:r>
            <w:r>
              <w:rPr>
                <w:noProof/>
                <w:webHidden/>
              </w:rPr>
              <w:fldChar w:fldCharType="separate"/>
            </w:r>
            <w:r>
              <w:rPr>
                <w:noProof/>
                <w:webHidden/>
              </w:rPr>
              <w:t>28</w:t>
            </w:r>
            <w:r>
              <w:rPr>
                <w:noProof/>
                <w:webHidden/>
              </w:rPr>
              <w:fldChar w:fldCharType="end"/>
            </w:r>
          </w:hyperlink>
        </w:p>
        <w:p w:rsidR="001A572A" w:rsidRDefault="001A572A">
          <w:pPr>
            <w:pStyle w:val="TOC3"/>
            <w:rPr>
              <w:rFonts w:asciiTheme="minorHAnsi" w:eastAsiaTheme="minorEastAsia" w:hAnsiTheme="minorHAnsi" w:cstheme="minorBidi"/>
              <w:noProof/>
              <w:lang w:eastAsia="en-AU"/>
            </w:rPr>
          </w:pPr>
          <w:hyperlink w:anchor="_Toc40087036" w:history="1">
            <w:r w:rsidRPr="00D70E79">
              <w:rPr>
                <w:rStyle w:val="Hyperlink"/>
                <w:noProof/>
              </w:rPr>
              <w:t>Outcome</w:t>
            </w:r>
            <w:r>
              <w:rPr>
                <w:noProof/>
                <w:webHidden/>
              </w:rPr>
              <w:tab/>
            </w:r>
            <w:r>
              <w:rPr>
                <w:noProof/>
                <w:webHidden/>
              </w:rPr>
              <w:fldChar w:fldCharType="begin"/>
            </w:r>
            <w:r>
              <w:rPr>
                <w:noProof/>
                <w:webHidden/>
              </w:rPr>
              <w:instrText xml:space="preserve"> PAGEREF _Toc40087036 \h </w:instrText>
            </w:r>
            <w:r>
              <w:rPr>
                <w:noProof/>
                <w:webHidden/>
              </w:rPr>
            </w:r>
            <w:r>
              <w:rPr>
                <w:noProof/>
                <w:webHidden/>
              </w:rPr>
              <w:fldChar w:fldCharType="separate"/>
            </w:r>
            <w:r>
              <w:rPr>
                <w:noProof/>
                <w:webHidden/>
              </w:rPr>
              <w:t>30</w:t>
            </w:r>
            <w:r>
              <w:rPr>
                <w:noProof/>
                <w:webHidden/>
              </w:rPr>
              <w:fldChar w:fldCharType="end"/>
            </w:r>
          </w:hyperlink>
        </w:p>
        <w:p w:rsidR="001A572A" w:rsidRDefault="001A572A">
          <w:pPr>
            <w:pStyle w:val="TOC2"/>
            <w:rPr>
              <w:rFonts w:asciiTheme="minorHAnsi" w:eastAsiaTheme="minorEastAsia" w:hAnsiTheme="minorHAnsi" w:cstheme="minorBidi"/>
              <w:b w:val="0"/>
              <w:noProof/>
              <w:sz w:val="22"/>
              <w:lang w:eastAsia="en-AU"/>
            </w:rPr>
          </w:pPr>
          <w:hyperlink w:anchor="_Toc40087037" w:history="1">
            <w:r w:rsidRPr="00D70E79">
              <w:rPr>
                <w:rStyle w:val="Hyperlink"/>
                <w:noProof/>
              </w:rPr>
              <w:t>Attachment 1. Product Information</w:t>
            </w:r>
            <w:r>
              <w:rPr>
                <w:noProof/>
                <w:webHidden/>
              </w:rPr>
              <w:tab/>
            </w:r>
            <w:r>
              <w:rPr>
                <w:noProof/>
                <w:webHidden/>
              </w:rPr>
              <w:fldChar w:fldCharType="begin"/>
            </w:r>
            <w:r>
              <w:rPr>
                <w:noProof/>
                <w:webHidden/>
              </w:rPr>
              <w:instrText xml:space="preserve"> PAGEREF _Toc40087037 \h </w:instrText>
            </w:r>
            <w:r>
              <w:rPr>
                <w:noProof/>
                <w:webHidden/>
              </w:rPr>
            </w:r>
            <w:r>
              <w:rPr>
                <w:noProof/>
                <w:webHidden/>
              </w:rPr>
              <w:fldChar w:fldCharType="separate"/>
            </w:r>
            <w:r>
              <w:rPr>
                <w:noProof/>
                <w:webHidden/>
              </w:rPr>
              <w:t>31</w:t>
            </w:r>
            <w:r>
              <w:rPr>
                <w:noProof/>
                <w:webHidden/>
              </w:rPr>
              <w:fldChar w:fldCharType="end"/>
            </w:r>
          </w:hyperlink>
        </w:p>
        <w:p w:rsidR="003A7F6C" w:rsidRPr="00B811C6" w:rsidRDefault="00960520"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C52E24" w:rsidRPr="00C52E24" w:rsidRDefault="00441C3F" w:rsidP="00B954FE">
      <w:pPr>
        <w:pStyle w:val="Heading2"/>
      </w:pPr>
      <w:bookmarkStart w:id="4" w:name="_Toc351716269"/>
      <w:bookmarkStart w:id="5" w:name="_Toc351718881"/>
      <w:bookmarkStart w:id="6" w:name="_Toc355338616"/>
      <w:bookmarkStart w:id="7" w:name="_Toc356306144"/>
      <w:bookmarkStart w:id="8" w:name="_Toc40087023"/>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830"/>
      </w:tblGrid>
      <w:tr w:rsidR="00FD119B" w:rsidRPr="00FD119B" w:rsidTr="00F62510">
        <w:trPr>
          <w:cnfStyle w:val="100000000000" w:firstRow="1" w:lastRow="0" w:firstColumn="0" w:lastColumn="0" w:oddVBand="0" w:evenVBand="0" w:oddHBand="0" w:evenHBand="0" w:firstRowFirstColumn="0" w:firstRowLastColumn="0" w:lastRowFirstColumn="0" w:lastRowLastColumn="0"/>
        </w:trPr>
        <w:tc>
          <w:tcPr>
            <w:tcW w:w="1890" w:type="dxa"/>
          </w:tcPr>
          <w:p w:rsidR="00FD119B" w:rsidRPr="00FD119B" w:rsidRDefault="00FD119B" w:rsidP="00B954FE">
            <w:pPr>
              <w:keepNext w:val="0"/>
              <w:rPr>
                <w:szCs w:val="22"/>
                <w:lang w:eastAsia="en-US"/>
              </w:rPr>
            </w:pPr>
            <w:r w:rsidRPr="00FD119B">
              <w:rPr>
                <w:szCs w:val="22"/>
                <w:lang w:eastAsia="en-US"/>
              </w:rPr>
              <w:t>Abbreviation</w:t>
            </w:r>
          </w:p>
        </w:tc>
        <w:tc>
          <w:tcPr>
            <w:tcW w:w="6830" w:type="dxa"/>
          </w:tcPr>
          <w:p w:rsidR="00FD119B" w:rsidRPr="00FD119B" w:rsidRDefault="00FD119B" w:rsidP="00B954FE">
            <w:pPr>
              <w:keepNext w:val="0"/>
              <w:rPr>
                <w:szCs w:val="22"/>
                <w:lang w:eastAsia="en-US"/>
              </w:rPr>
            </w:pPr>
            <w:r w:rsidRPr="00FD119B">
              <w:rPr>
                <w:szCs w:val="22"/>
                <w:lang w:eastAsia="en-US"/>
              </w:rPr>
              <w:t>Meaning</w:t>
            </w:r>
          </w:p>
        </w:tc>
      </w:tr>
      <w:tr w:rsidR="00E474C8" w:rsidRPr="00FD119B" w:rsidTr="00F62510">
        <w:tc>
          <w:tcPr>
            <w:tcW w:w="1890" w:type="dxa"/>
          </w:tcPr>
          <w:p w:rsidR="00E474C8" w:rsidRDefault="00E474C8" w:rsidP="00B954FE">
            <w:r w:rsidRPr="00345C78">
              <w:t>2-HG</w:t>
            </w:r>
          </w:p>
        </w:tc>
        <w:tc>
          <w:tcPr>
            <w:tcW w:w="6830" w:type="dxa"/>
          </w:tcPr>
          <w:p w:rsidR="00E474C8" w:rsidRDefault="00E474C8" w:rsidP="00E474C8">
            <w:r>
              <w:t>R(-)2-hydroxyglutarate</w:t>
            </w:r>
          </w:p>
        </w:tc>
      </w:tr>
      <w:tr w:rsidR="00B401D9" w:rsidRPr="00FD119B" w:rsidTr="00F62510">
        <w:tc>
          <w:tcPr>
            <w:tcW w:w="1890" w:type="dxa"/>
          </w:tcPr>
          <w:p w:rsidR="00B401D9" w:rsidRPr="00345C78" w:rsidRDefault="00B401D9" w:rsidP="00B954FE">
            <w:r>
              <w:t>ACM</w:t>
            </w:r>
          </w:p>
        </w:tc>
        <w:tc>
          <w:tcPr>
            <w:tcW w:w="6830" w:type="dxa"/>
          </w:tcPr>
          <w:p w:rsidR="00B401D9" w:rsidRDefault="00B401D9" w:rsidP="00E474C8">
            <w:r>
              <w:t>Advisory Committee on Medicines</w:t>
            </w:r>
          </w:p>
        </w:tc>
      </w:tr>
      <w:tr w:rsidR="003233F7" w:rsidRPr="00FD119B" w:rsidTr="00F62510">
        <w:tc>
          <w:tcPr>
            <w:tcW w:w="1890" w:type="dxa"/>
          </w:tcPr>
          <w:p w:rsidR="003233F7" w:rsidRPr="00345C78" w:rsidRDefault="003233F7" w:rsidP="00B954FE">
            <w:r>
              <w:t>ADME</w:t>
            </w:r>
          </w:p>
        </w:tc>
        <w:tc>
          <w:tcPr>
            <w:tcW w:w="6830" w:type="dxa"/>
          </w:tcPr>
          <w:p w:rsidR="003233F7" w:rsidRDefault="003233F7" w:rsidP="009247D3">
            <w:r>
              <w:t>A</w:t>
            </w:r>
            <w:r w:rsidRPr="00345C78">
              <w:t>bsorption, distribut</w:t>
            </w:r>
            <w:r>
              <w:t xml:space="preserve">ion, metabolism and </w:t>
            </w:r>
            <w:r w:rsidR="009247D3">
              <w:t>excretion</w:t>
            </w:r>
          </w:p>
        </w:tc>
      </w:tr>
      <w:tr w:rsidR="00B954FE" w:rsidRPr="00FD119B" w:rsidTr="00F62510">
        <w:tc>
          <w:tcPr>
            <w:tcW w:w="1890" w:type="dxa"/>
          </w:tcPr>
          <w:p w:rsidR="00B954FE" w:rsidRDefault="00B954FE" w:rsidP="00B954FE">
            <w:r>
              <w:t>AE</w:t>
            </w:r>
          </w:p>
        </w:tc>
        <w:tc>
          <w:tcPr>
            <w:tcW w:w="6830" w:type="dxa"/>
          </w:tcPr>
          <w:p w:rsidR="00B954FE" w:rsidRDefault="00B954FE" w:rsidP="00B954FE">
            <w:r>
              <w:t>Adverse event</w:t>
            </w:r>
          </w:p>
        </w:tc>
      </w:tr>
      <w:tr w:rsidR="008E3CA8" w:rsidRPr="00FD119B" w:rsidTr="00F62510">
        <w:tc>
          <w:tcPr>
            <w:tcW w:w="1890" w:type="dxa"/>
          </w:tcPr>
          <w:p w:rsidR="008E3CA8" w:rsidRDefault="008E3CA8" w:rsidP="00B954FE">
            <w:r w:rsidRPr="00345C78">
              <w:t>AGI</w:t>
            </w:r>
            <w:r w:rsidRPr="00345C78">
              <w:noBreakHyphen/>
              <w:t>16903</w:t>
            </w:r>
          </w:p>
        </w:tc>
        <w:tc>
          <w:tcPr>
            <w:tcW w:w="6830" w:type="dxa"/>
          </w:tcPr>
          <w:p w:rsidR="008E3CA8" w:rsidRDefault="008E3CA8" w:rsidP="00B954FE">
            <w:proofErr w:type="spellStart"/>
            <w:r>
              <w:t>Enasidenib</w:t>
            </w:r>
            <w:proofErr w:type="spellEnd"/>
            <w:r>
              <w:t xml:space="preserve"> metabolite</w:t>
            </w:r>
          </w:p>
        </w:tc>
      </w:tr>
      <w:tr w:rsidR="00B954FE" w:rsidRPr="00FD119B" w:rsidTr="00F62510">
        <w:tc>
          <w:tcPr>
            <w:tcW w:w="1890" w:type="dxa"/>
          </w:tcPr>
          <w:p w:rsidR="00B954FE" w:rsidRDefault="00B954FE" w:rsidP="00B954FE">
            <w:r>
              <w:t>AML</w:t>
            </w:r>
          </w:p>
        </w:tc>
        <w:tc>
          <w:tcPr>
            <w:tcW w:w="6830" w:type="dxa"/>
          </w:tcPr>
          <w:p w:rsidR="00B954FE" w:rsidRDefault="00B954FE" w:rsidP="00B954FE">
            <w:r>
              <w:t xml:space="preserve">Acute </w:t>
            </w:r>
            <w:r w:rsidR="002227D5">
              <w:t>myeloid leukaemia</w:t>
            </w:r>
          </w:p>
        </w:tc>
      </w:tr>
      <w:tr w:rsidR="009353A1" w:rsidRPr="00FD119B" w:rsidTr="00F62510">
        <w:tc>
          <w:tcPr>
            <w:tcW w:w="1890" w:type="dxa"/>
          </w:tcPr>
          <w:p w:rsidR="009353A1" w:rsidRDefault="009353A1" w:rsidP="00B954FE">
            <w:r>
              <w:t>AMLSG</w:t>
            </w:r>
          </w:p>
        </w:tc>
        <w:tc>
          <w:tcPr>
            <w:tcW w:w="6830" w:type="dxa"/>
          </w:tcPr>
          <w:p w:rsidR="009353A1" w:rsidRDefault="009353A1" w:rsidP="009353A1">
            <w:r w:rsidRPr="009353A1">
              <w:t xml:space="preserve">Austrian </w:t>
            </w:r>
            <w:r>
              <w:t xml:space="preserve">Acute Myeloid </w:t>
            </w:r>
            <w:proofErr w:type="spellStart"/>
            <w:r>
              <w:t>Leukemia</w:t>
            </w:r>
            <w:proofErr w:type="spellEnd"/>
            <w:r w:rsidRPr="009353A1">
              <w:t xml:space="preserve"> Study Group</w:t>
            </w:r>
          </w:p>
        </w:tc>
      </w:tr>
      <w:tr w:rsidR="00654858" w:rsidRPr="00FD119B" w:rsidTr="00F62510">
        <w:tc>
          <w:tcPr>
            <w:tcW w:w="1890" w:type="dxa"/>
          </w:tcPr>
          <w:p w:rsidR="00654858" w:rsidRDefault="00654858" w:rsidP="00B954FE">
            <w:r>
              <w:t>ARTG</w:t>
            </w:r>
          </w:p>
        </w:tc>
        <w:tc>
          <w:tcPr>
            <w:tcW w:w="6830" w:type="dxa"/>
          </w:tcPr>
          <w:p w:rsidR="00654858" w:rsidRPr="00ED164F" w:rsidRDefault="00654858" w:rsidP="00B954FE">
            <w:r>
              <w:t>Australian Register of Therapeutic Goods</w:t>
            </w:r>
          </w:p>
        </w:tc>
      </w:tr>
      <w:tr w:rsidR="00B954FE" w:rsidRPr="00FD119B" w:rsidTr="00F62510">
        <w:tc>
          <w:tcPr>
            <w:tcW w:w="1890" w:type="dxa"/>
          </w:tcPr>
          <w:p w:rsidR="00B954FE" w:rsidRDefault="00B954FE" w:rsidP="00B954FE">
            <w:r>
              <w:t>ASA</w:t>
            </w:r>
          </w:p>
        </w:tc>
        <w:tc>
          <w:tcPr>
            <w:tcW w:w="6830" w:type="dxa"/>
          </w:tcPr>
          <w:p w:rsidR="00B954FE" w:rsidRPr="00F06857" w:rsidRDefault="008E4B66" w:rsidP="008E3CA8">
            <w:r>
              <w:t>Australian s</w:t>
            </w:r>
            <w:r w:rsidR="00B954FE">
              <w:t>pecific Annex</w:t>
            </w:r>
          </w:p>
        </w:tc>
      </w:tr>
      <w:tr w:rsidR="00F17D97" w:rsidRPr="00FD119B" w:rsidTr="00F62510">
        <w:tc>
          <w:tcPr>
            <w:tcW w:w="1890" w:type="dxa"/>
          </w:tcPr>
          <w:p w:rsidR="00F17D97" w:rsidRDefault="00F17D97" w:rsidP="00B954FE">
            <w:r w:rsidRPr="00345C78">
              <w:rPr>
                <w:rFonts w:asciiTheme="minorHAnsi" w:hAnsiTheme="minorHAnsi"/>
              </w:rPr>
              <w:t>AUC</w:t>
            </w:r>
          </w:p>
        </w:tc>
        <w:tc>
          <w:tcPr>
            <w:tcW w:w="6830" w:type="dxa"/>
          </w:tcPr>
          <w:p w:rsidR="00F17D97" w:rsidRDefault="00F17D97" w:rsidP="00F17D97">
            <w:r>
              <w:rPr>
                <w:rFonts w:asciiTheme="minorHAnsi" w:hAnsiTheme="minorHAnsi"/>
              </w:rPr>
              <w:t>Area under the plasma concentration time curve</w:t>
            </w:r>
          </w:p>
        </w:tc>
      </w:tr>
      <w:tr w:rsidR="00CF7B22" w:rsidRPr="00FD119B" w:rsidTr="00F62510">
        <w:tc>
          <w:tcPr>
            <w:tcW w:w="1890" w:type="dxa"/>
          </w:tcPr>
          <w:p w:rsidR="00CF7B22" w:rsidRDefault="00CF7B22" w:rsidP="00B954FE">
            <w:pPr>
              <w:rPr>
                <w:rFonts w:asciiTheme="minorHAnsi" w:hAnsiTheme="minorHAnsi"/>
              </w:rPr>
            </w:pPr>
            <w:r>
              <w:rPr>
                <w:rFonts w:asciiTheme="minorHAnsi" w:hAnsiTheme="minorHAnsi"/>
              </w:rPr>
              <w:t>AUC</w:t>
            </w:r>
            <w:r w:rsidR="009247D3">
              <w:rPr>
                <w:rFonts w:asciiTheme="minorHAnsi" w:hAnsiTheme="minorHAnsi"/>
                <w:vertAlign w:val="subscript"/>
              </w:rPr>
              <w:t>0-</w:t>
            </w:r>
            <w:r w:rsidRPr="00CF7B22">
              <w:rPr>
                <w:vertAlign w:val="subscript"/>
              </w:rPr>
              <w:t>∞</w:t>
            </w:r>
          </w:p>
        </w:tc>
        <w:tc>
          <w:tcPr>
            <w:tcW w:w="6830" w:type="dxa"/>
          </w:tcPr>
          <w:p w:rsidR="00CF7B22" w:rsidRPr="00F17D97" w:rsidRDefault="00CF7B22" w:rsidP="00F17D97">
            <w:pPr>
              <w:rPr>
                <w:rFonts w:asciiTheme="minorHAnsi" w:hAnsiTheme="minorHAnsi"/>
              </w:rPr>
            </w:pPr>
            <w:r>
              <w:rPr>
                <w:rFonts w:asciiTheme="minorHAnsi" w:hAnsiTheme="minorHAnsi"/>
              </w:rPr>
              <w:t xml:space="preserve">Area under plasma concentration </w:t>
            </w:r>
            <w:r w:rsidRPr="00CF7B22">
              <w:rPr>
                <w:rFonts w:asciiTheme="minorHAnsi" w:hAnsiTheme="minorHAnsi"/>
              </w:rPr>
              <w:t xml:space="preserve">time curve from time </w:t>
            </w:r>
            <w:r w:rsidR="009247D3">
              <w:rPr>
                <w:rFonts w:asciiTheme="minorHAnsi" w:hAnsiTheme="minorHAnsi"/>
              </w:rPr>
              <w:t>zero</w:t>
            </w:r>
            <w:r w:rsidRPr="00CF7B22">
              <w:rPr>
                <w:rFonts w:asciiTheme="minorHAnsi" w:hAnsiTheme="minorHAnsi"/>
              </w:rPr>
              <w:t xml:space="preserve"> </w:t>
            </w:r>
            <w:r w:rsidR="009247D3">
              <w:rPr>
                <w:rFonts w:asciiTheme="minorHAnsi" w:hAnsiTheme="minorHAnsi"/>
              </w:rPr>
              <w:t xml:space="preserve">extrapolated </w:t>
            </w:r>
            <w:r w:rsidRPr="00CF7B22">
              <w:rPr>
                <w:rFonts w:asciiTheme="minorHAnsi" w:hAnsiTheme="minorHAnsi"/>
              </w:rPr>
              <w:t>to infinity</w:t>
            </w:r>
            <w:r w:rsidR="009247D3">
              <w:rPr>
                <w:rFonts w:asciiTheme="minorHAnsi" w:hAnsiTheme="minorHAnsi"/>
              </w:rPr>
              <w:t xml:space="preserve"> (</w:t>
            </w:r>
            <w:r w:rsidR="009247D3" w:rsidRPr="00DC5B6B">
              <w:t>∞</w:t>
            </w:r>
            <w:r w:rsidR="009247D3">
              <w:t>)</w:t>
            </w:r>
          </w:p>
        </w:tc>
      </w:tr>
      <w:tr w:rsidR="00F17D97" w:rsidRPr="00FD119B" w:rsidTr="00F62510">
        <w:tc>
          <w:tcPr>
            <w:tcW w:w="1890" w:type="dxa"/>
          </w:tcPr>
          <w:p w:rsidR="00F17D97" w:rsidRPr="00345C78" w:rsidRDefault="00F17D97" w:rsidP="00B954FE">
            <w:pPr>
              <w:rPr>
                <w:rFonts w:asciiTheme="minorHAnsi" w:hAnsiTheme="minorHAnsi"/>
              </w:rPr>
            </w:pPr>
            <w:r>
              <w:rPr>
                <w:rFonts w:asciiTheme="minorHAnsi" w:hAnsiTheme="minorHAnsi"/>
              </w:rPr>
              <w:t>AUC</w:t>
            </w:r>
            <w:r w:rsidR="009247D3" w:rsidRPr="00DC5B6B">
              <w:rPr>
                <w:rFonts w:asciiTheme="minorHAnsi" w:hAnsiTheme="minorHAnsi"/>
                <w:vertAlign w:val="subscript"/>
              </w:rPr>
              <w:t>0-</w:t>
            </w:r>
            <w:r w:rsidRPr="009247D3">
              <w:rPr>
                <w:rFonts w:asciiTheme="minorHAnsi" w:hAnsiTheme="minorHAnsi"/>
                <w:vertAlign w:val="subscript"/>
              </w:rPr>
              <w:t>t</w:t>
            </w:r>
          </w:p>
        </w:tc>
        <w:tc>
          <w:tcPr>
            <w:tcW w:w="6830" w:type="dxa"/>
          </w:tcPr>
          <w:p w:rsidR="00F17D97" w:rsidRDefault="00F17D97" w:rsidP="009247D3">
            <w:pPr>
              <w:rPr>
                <w:rFonts w:asciiTheme="minorHAnsi" w:hAnsiTheme="minorHAnsi"/>
              </w:rPr>
            </w:pPr>
            <w:r w:rsidRPr="00F17D97">
              <w:rPr>
                <w:rFonts w:asciiTheme="minorHAnsi" w:hAnsiTheme="minorHAnsi"/>
              </w:rPr>
              <w:t>Area</w:t>
            </w:r>
            <w:r w:rsidR="00CF7B22">
              <w:rPr>
                <w:rFonts w:asciiTheme="minorHAnsi" w:hAnsiTheme="minorHAnsi"/>
              </w:rPr>
              <w:t xml:space="preserve"> under the plasma concentration </w:t>
            </w:r>
            <w:r w:rsidRPr="00F17D97">
              <w:rPr>
                <w:rFonts w:asciiTheme="minorHAnsi" w:hAnsiTheme="minorHAnsi"/>
              </w:rPr>
              <w:t xml:space="preserve">time curve from time zero to </w:t>
            </w:r>
            <w:r w:rsidR="009247D3">
              <w:rPr>
                <w:rFonts w:asciiTheme="minorHAnsi" w:hAnsiTheme="minorHAnsi"/>
              </w:rPr>
              <w:t>the last measurable concentration (t)</w:t>
            </w:r>
          </w:p>
        </w:tc>
      </w:tr>
      <w:tr w:rsidR="00B954FE" w:rsidRPr="00FD119B" w:rsidTr="00F62510">
        <w:tc>
          <w:tcPr>
            <w:tcW w:w="1890" w:type="dxa"/>
          </w:tcPr>
          <w:p w:rsidR="00B954FE" w:rsidRDefault="00B954FE" w:rsidP="00B954FE">
            <w:r>
              <w:t>BID</w:t>
            </w:r>
          </w:p>
        </w:tc>
        <w:tc>
          <w:tcPr>
            <w:tcW w:w="6830" w:type="dxa"/>
          </w:tcPr>
          <w:p w:rsidR="00B954FE" w:rsidRDefault="00B954FE" w:rsidP="00B954FE">
            <w:r>
              <w:t>Twice daily</w:t>
            </w:r>
            <w:r w:rsidR="009247D3">
              <w:t xml:space="preserve"> (</w:t>
            </w:r>
            <w:r w:rsidR="009247D3" w:rsidRPr="00DC5B6B">
              <w:rPr>
                <w:i/>
              </w:rPr>
              <w:t xml:space="preserve">Latin: </w:t>
            </w:r>
            <w:proofErr w:type="spellStart"/>
            <w:r w:rsidR="009247D3" w:rsidRPr="00DC5B6B">
              <w:rPr>
                <w:i/>
              </w:rPr>
              <w:t>bis</w:t>
            </w:r>
            <w:proofErr w:type="spellEnd"/>
            <w:r w:rsidR="009247D3" w:rsidRPr="00DC5B6B">
              <w:rPr>
                <w:i/>
              </w:rPr>
              <w:t xml:space="preserve"> in die</w:t>
            </w:r>
            <w:r w:rsidR="009247D3">
              <w:t>)</w:t>
            </w:r>
          </w:p>
        </w:tc>
      </w:tr>
      <w:tr w:rsidR="00B954FE" w:rsidRPr="00FD119B" w:rsidTr="00F62510">
        <w:tc>
          <w:tcPr>
            <w:tcW w:w="1890" w:type="dxa"/>
          </w:tcPr>
          <w:p w:rsidR="00B954FE" w:rsidRDefault="00B954FE" w:rsidP="00B954FE">
            <w:r>
              <w:t>BMT</w:t>
            </w:r>
          </w:p>
        </w:tc>
        <w:tc>
          <w:tcPr>
            <w:tcW w:w="6830" w:type="dxa"/>
          </w:tcPr>
          <w:p w:rsidR="00B954FE" w:rsidRDefault="00B954FE" w:rsidP="00B954FE">
            <w:r>
              <w:t>Bone marrow transplant</w:t>
            </w:r>
          </w:p>
        </w:tc>
      </w:tr>
      <w:tr w:rsidR="00E474C8" w:rsidRPr="00FD119B" w:rsidTr="00F62510">
        <w:tc>
          <w:tcPr>
            <w:tcW w:w="1890" w:type="dxa"/>
          </w:tcPr>
          <w:p w:rsidR="00E474C8" w:rsidRDefault="00E474C8" w:rsidP="00B954FE">
            <w:r>
              <w:t>CD33</w:t>
            </w:r>
          </w:p>
        </w:tc>
        <w:tc>
          <w:tcPr>
            <w:tcW w:w="6830" w:type="dxa"/>
          </w:tcPr>
          <w:p w:rsidR="00E474C8" w:rsidRDefault="00E474C8" w:rsidP="00E474C8">
            <w:r>
              <w:t>Cluster of differentiation</w:t>
            </w:r>
            <w:r w:rsidR="009247D3">
              <w:t xml:space="preserve"> 33</w:t>
            </w:r>
          </w:p>
        </w:tc>
      </w:tr>
      <w:tr w:rsidR="00B954FE" w:rsidRPr="00FD119B" w:rsidTr="00F62510">
        <w:tc>
          <w:tcPr>
            <w:tcW w:w="1890" w:type="dxa"/>
          </w:tcPr>
          <w:p w:rsidR="00B954FE" w:rsidRDefault="00B954FE" w:rsidP="00B954FE">
            <w:r>
              <w:t>CI</w:t>
            </w:r>
          </w:p>
        </w:tc>
        <w:tc>
          <w:tcPr>
            <w:tcW w:w="6830" w:type="dxa"/>
          </w:tcPr>
          <w:p w:rsidR="00B954FE" w:rsidRDefault="00B954FE" w:rsidP="00B954FE">
            <w:r>
              <w:t>Confidence interval</w:t>
            </w:r>
          </w:p>
        </w:tc>
      </w:tr>
      <w:tr w:rsidR="00F17D97" w:rsidRPr="00FD119B" w:rsidTr="00F62510">
        <w:tc>
          <w:tcPr>
            <w:tcW w:w="1890" w:type="dxa"/>
          </w:tcPr>
          <w:p w:rsidR="00F17D97" w:rsidRDefault="00F17D97" w:rsidP="00B954FE">
            <w:proofErr w:type="spellStart"/>
            <w:r w:rsidRPr="00345C78">
              <w:rPr>
                <w:rFonts w:asciiTheme="minorHAnsi" w:hAnsiTheme="minorHAnsi"/>
              </w:rPr>
              <w:t>C</w:t>
            </w:r>
            <w:r w:rsidRPr="009B0352">
              <w:rPr>
                <w:rFonts w:asciiTheme="minorHAnsi" w:hAnsiTheme="minorHAnsi"/>
                <w:vertAlign w:val="subscript"/>
              </w:rPr>
              <w:t>max</w:t>
            </w:r>
            <w:proofErr w:type="spellEnd"/>
          </w:p>
        </w:tc>
        <w:tc>
          <w:tcPr>
            <w:tcW w:w="6830" w:type="dxa"/>
          </w:tcPr>
          <w:p w:rsidR="00F17D97" w:rsidRPr="00ED164F" w:rsidRDefault="00F17D97" w:rsidP="00F17D97">
            <w:r>
              <w:rPr>
                <w:rFonts w:asciiTheme="minorHAnsi" w:hAnsiTheme="minorHAnsi"/>
              </w:rPr>
              <w:t>Maximum plasma concentration</w:t>
            </w:r>
          </w:p>
        </w:tc>
      </w:tr>
      <w:tr w:rsidR="008E4B66" w:rsidRPr="00FD119B" w:rsidTr="00F62510">
        <w:tc>
          <w:tcPr>
            <w:tcW w:w="1890" w:type="dxa"/>
          </w:tcPr>
          <w:p w:rsidR="008E4B66" w:rsidRPr="00345C78" w:rsidRDefault="008E4B66" w:rsidP="00B954FE">
            <w:pPr>
              <w:rPr>
                <w:rFonts w:asciiTheme="minorHAnsi" w:hAnsiTheme="minorHAnsi"/>
              </w:rPr>
            </w:pPr>
            <w:r>
              <w:rPr>
                <w:rFonts w:asciiTheme="minorHAnsi" w:hAnsiTheme="minorHAnsi"/>
              </w:rPr>
              <w:t>CMI</w:t>
            </w:r>
          </w:p>
        </w:tc>
        <w:tc>
          <w:tcPr>
            <w:tcW w:w="6830" w:type="dxa"/>
          </w:tcPr>
          <w:p w:rsidR="008E4B66" w:rsidRDefault="008E4B66" w:rsidP="00F17D97">
            <w:pPr>
              <w:rPr>
                <w:rFonts w:asciiTheme="minorHAnsi" w:hAnsiTheme="minorHAnsi"/>
              </w:rPr>
            </w:pPr>
            <w:r>
              <w:rPr>
                <w:rFonts w:asciiTheme="minorHAnsi" w:hAnsiTheme="minorHAnsi"/>
              </w:rPr>
              <w:t>Consumer Medicines Information</w:t>
            </w:r>
          </w:p>
        </w:tc>
      </w:tr>
      <w:tr w:rsidR="00B954FE" w:rsidRPr="00FD119B" w:rsidTr="00F62510">
        <w:tc>
          <w:tcPr>
            <w:tcW w:w="1890" w:type="dxa"/>
          </w:tcPr>
          <w:p w:rsidR="00B954FE" w:rsidRDefault="00B954FE" w:rsidP="00B954FE">
            <w:r>
              <w:t>CR</w:t>
            </w:r>
          </w:p>
        </w:tc>
        <w:tc>
          <w:tcPr>
            <w:tcW w:w="6830" w:type="dxa"/>
          </w:tcPr>
          <w:p w:rsidR="00B954FE" w:rsidRDefault="00B954FE" w:rsidP="00B954FE">
            <w:r>
              <w:t>Complete remission</w:t>
            </w:r>
          </w:p>
        </w:tc>
      </w:tr>
      <w:tr w:rsidR="00B954FE" w:rsidRPr="00FD119B" w:rsidTr="00F62510">
        <w:tc>
          <w:tcPr>
            <w:tcW w:w="1890" w:type="dxa"/>
          </w:tcPr>
          <w:p w:rsidR="00B954FE" w:rsidRDefault="00B954FE" w:rsidP="00B954FE">
            <w:proofErr w:type="spellStart"/>
            <w:r>
              <w:t>CRi</w:t>
            </w:r>
            <w:proofErr w:type="spellEnd"/>
          </w:p>
        </w:tc>
        <w:tc>
          <w:tcPr>
            <w:tcW w:w="6830" w:type="dxa"/>
          </w:tcPr>
          <w:p w:rsidR="00B954FE" w:rsidRDefault="00B954FE" w:rsidP="00B954FE">
            <w:r>
              <w:t xml:space="preserve">Complete remission with incomplete </w:t>
            </w:r>
            <w:proofErr w:type="spellStart"/>
            <w:r>
              <w:t>haematologic</w:t>
            </w:r>
            <w:proofErr w:type="spellEnd"/>
            <w:r>
              <w:t xml:space="preserve"> recovery</w:t>
            </w:r>
          </w:p>
        </w:tc>
      </w:tr>
      <w:tr w:rsidR="00B954FE" w:rsidRPr="00FD119B" w:rsidTr="00F62510">
        <w:tc>
          <w:tcPr>
            <w:tcW w:w="1890" w:type="dxa"/>
          </w:tcPr>
          <w:p w:rsidR="00B954FE" w:rsidRDefault="00B954FE" w:rsidP="00B954FE">
            <w:proofErr w:type="spellStart"/>
            <w:r>
              <w:t>CRp</w:t>
            </w:r>
            <w:proofErr w:type="spellEnd"/>
          </w:p>
        </w:tc>
        <w:tc>
          <w:tcPr>
            <w:tcW w:w="6830" w:type="dxa"/>
          </w:tcPr>
          <w:p w:rsidR="00B954FE" w:rsidRDefault="00B954FE" w:rsidP="00B954FE">
            <w:r>
              <w:t>Complete remission with incomplete platelet recovery</w:t>
            </w:r>
          </w:p>
        </w:tc>
      </w:tr>
      <w:tr w:rsidR="00463FCB" w:rsidRPr="00FD119B" w:rsidTr="00F62510">
        <w:tc>
          <w:tcPr>
            <w:tcW w:w="1890" w:type="dxa"/>
          </w:tcPr>
          <w:p w:rsidR="00463FCB" w:rsidRDefault="00463FCB" w:rsidP="00B954FE">
            <w:r>
              <w:t>CSR</w:t>
            </w:r>
          </w:p>
        </w:tc>
        <w:tc>
          <w:tcPr>
            <w:tcW w:w="6830" w:type="dxa"/>
          </w:tcPr>
          <w:p w:rsidR="00463FCB" w:rsidRDefault="00F62510" w:rsidP="00463FCB">
            <w:r>
              <w:t>Clinical study report</w:t>
            </w:r>
          </w:p>
        </w:tc>
      </w:tr>
      <w:tr w:rsidR="00C70808" w:rsidRPr="00FD119B" w:rsidTr="00F62510">
        <w:tc>
          <w:tcPr>
            <w:tcW w:w="1890" w:type="dxa"/>
          </w:tcPr>
          <w:p w:rsidR="00C70808" w:rsidRDefault="00C70808" w:rsidP="00B954FE">
            <w:r>
              <w:t>CTCAE</w:t>
            </w:r>
          </w:p>
        </w:tc>
        <w:tc>
          <w:tcPr>
            <w:tcW w:w="6830" w:type="dxa"/>
          </w:tcPr>
          <w:p w:rsidR="00C70808" w:rsidRDefault="00C70808" w:rsidP="00463FCB">
            <w:r w:rsidRPr="00C70808">
              <w:t>Common Terminology Criteria for Adverse Events</w:t>
            </w:r>
          </w:p>
        </w:tc>
      </w:tr>
      <w:tr w:rsidR="00F60DFD" w:rsidRPr="00FD119B" w:rsidTr="00F62510">
        <w:tc>
          <w:tcPr>
            <w:tcW w:w="1890" w:type="dxa"/>
          </w:tcPr>
          <w:p w:rsidR="00F60DFD" w:rsidRDefault="00F60DFD" w:rsidP="00B954FE">
            <w:r>
              <w:t>CYP</w:t>
            </w:r>
          </w:p>
        </w:tc>
        <w:tc>
          <w:tcPr>
            <w:tcW w:w="6830" w:type="dxa"/>
          </w:tcPr>
          <w:p w:rsidR="00F60DFD" w:rsidRDefault="00F60DFD" w:rsidP="00F60DFD">
            <w:r>
              <w:t>Cytochrome P450</w:t>
            </w:r>
          </w:p>
        </w:tc>
      </w:tr>
      <w:tr w:rsidR="008E4B66" w:rsidRPr="00FD119B" w:rsidTr="00F62510">
        <w:tc>
          <w:tcPr>
            <w:tcW w:w="1890" w:type="dxa"/>
          </w:tcPr>
          <w:p w:rsidR="008E4B66" w:rsidRDefault="008E4B66" w:rsidP="00B954FE">
            <w:r w:rsidRPr="00BF086A">
              <w:lastRenderedPageBreak/>
              <w:t>DLP</w:t>
            </w:r>
          </w:p>
        </w:tc>
        <w:tc>
          <w:tcPr>
            <w:tcW w:w="6830" w:type="dxa"/>
          </w:tcPr>
          <w:p w:rsidR="008E4B66" w:rsidRDefault="008E4B66" w:rsidP="008E4B66">
            <w:r>
              <w:t>Data lock point</w:t>
            </w:r>
          </w:p>
        </w:tc>
      </w:tr>
      <w:tr w:rsidR="00B954FE" w:rsidRPr="00FD119B" w:rsidTr="00F62510">
        <w:tc>
          <w:tcPr>
            <w:tcW w:w="1890" w:type="dxa"/>
          </w:tcPr>
          <w:p w:rsidR="00B954FE" w:rsidRDefault="00B954FE" w:rsidP="00B954FE">
            <w:r>
              <w:t>DLT</w:t>
            </w:r>
          </w:p>
        </w:tc>
        <w:tc>
          <w:tcPr>
            <w:tcW w:w="6830" w:type="dxa"/>
          </w:tcPr>
          <w:p w:rsidR="00B954FE" w:rsidRDefault="00B954FE" w:rsidP="00B954FE">
            <w:r>
              <w:t>Dose limiting toxicity</w:t>
            </w:r>
          </w:p>
        </w:tc>
      </w:tr>
      <w:tr w:rsidR="00B954FE" w:rsidRPr="00FD119B" w:rsidTr="00F62510">
        <w:tc>
          <w:tcPr>
            <w:tcW w:w="1890" w:type="dxa"/>
          </w:tcPr>
          <w:p w:rsidR="00B954FE" w:rsidRDefault="00B954FE" w:rsidP="00B954FE">
            <w:r>
              <w:t>ECOG</w:t>
            </w:r>
          </w:p>
        </w:tc>
        <w:tc>
          <w:tcPr>
            <w:tcW w:w="6830" w:type="dxa"/>
          </w:tcPr>
          <w:p w:rsidR="00B954FE" w:rsidRDefault="00B954FE" w:rsidP="00B954FE">
            <w:r w:rsidRPr="00F06857">
              <w:t>Eastern Cooperative Oncology Group</w:t>
            </w:r>
          </w:p>
        </w:tc>
      </w:tr>
      <w:tr w:rsidR="002D4D5A" w:rsidRPr="00FD119B" w:rsidTr="00F62510">
        <w:tc>
          <w:tcPr>
            <w:tcW w:w="1890" w:type="dxa"/>
          </w:tcPr>
          <w:p w:rsidR="002D4D5A" w:rsidRDefault="002D4D5A" w:rsidP="00B954FE">
            <w:r>
              <w:t>ELN</w:t>
            </w:r>
          </w:p>
        </w:tc>
        <w:tc>
          <w:tcPr>
            <w:tcW w:w="6830" w:type="dxa"/>
          </w:tcPr>
          <w:p w:rsidR="002D4D5A" w:rsidRDefault="002D4D5A" w:rsidP="002D4D5A">
            <w:r>
              <w:t>European Leukaemia Net</w:t>
            </w:r>
          </w:p>
        </w:tc>
      </w:tr>
      <w:tr w:rsidR="008E3CA8" w:rsidRPr="00FD119B" w:rsidTr="00F62510">
        <w:tc>
          <w:tcPr>
            <w:tcW w:w="1890" w:type="dxa"/>
          </w:tcPr>
          <w:p w:rsidR="008E3CA8" w:rsidRDefault="008E3CA8" w:rsidP="00B954FE">
            <w:r>
              <w:t>EMA</w:t>
            </w:r>
          </w:p>
        </w:tc>
        <w:tc>
          <w:tcPr>
            <w:tcW w:w="6830" w:type="dxa"/>
          </w:tcPr>
          <w:p w:rsidR="008E3CA8" w:rsidRDefault="008E3CA8" w:rsidP="002D4D5A">
            <w:r>
              <w:t>European Medicines Agency (European Union)</w:t>
            </w:r>
          </w:p>
        </w:tc>
      </w:tr>
      <w:tr w:rsidR="008E4B66" w:rsidRPr="00FD119B" w:rsidTr="00F62510">
        <w:tc>
          <w:tcPr>
            <w:tcW w:w="1890" w:type="dxa"/>
          </w:tcPr>
          <w:p w:rsidR="008E4B66" w:rsidRDefault="008E4B66" w:rsidP="00B954FE">
            <w:r>
              <w:t>EU</w:t>
            </w:r>
          </w:p>
        </w:tc>
        <w:tc>
          <w:tcPr>
            <w:tcW w:w="6830" w:type="dxa"/>
          </w:tcPr>
          <w:p w:rsidR="008E4B66" w:rsidRDefault="008E4B66" w:rsidP="00B954FE">
            <w:r>
              <w:t>European Union</w:t>
            </w:r>
          </w:p>
        </w:tc>
      </w:tr>
      <w:tr w:rsidR="008E4B66" w:rsidRPr="00FD119B" w:rsidTr="00F62510">
        <w:tc>
          <w:tcPr>
            <w:tcW w:w="1890" w:type="dxa"/>
          </w:tcPr>
          <w:p w:rsidR="008E4B66" w:rsidRDefault="008E4B66" w:rsidP="00B954FE">
            <w:r w:rsidRPr="00BF086A">
              <w:t>EU-RMP</w:t>
            </w:r>
          </w:p>
        </w:tc>
        <w:tc>
          <w:tcPr>
            <w:tcW w:w="6830" w:type="dxa"/>
          </w:tcPr>
          <w:p w:rsidR="008E4B66" w:rsidRDefault="008E4B66" w:rsidP="008E4B66">
            <w:r>
              <w:t>European Union-risk management plan</w:t>
            </w:r>
          </w:p>
        </w:tc>
      </w:tr>
      <w:tr w:rsidR="008E4B66" w:rsidRPr="00FD119B" w:rsidTr="00F62510">
        <w:tc>
          <w:tcPr>
            <w:tcW w:w="1890" w:type="dxa"/>
          </w:tcPr>
          <w:p w:rsidR="008E4B66" w:rsidRDefault="008E4B66" w:rsidP="00B954FE">
            <w:r>
              <w:t>FDA</w:t>
            </w:r>
          </w:p>
        </w:tc>
        <w:tc>
          <w:tcPr>
            <w:tcW w:w="6830" w:type="dxa"/>
          </w:tcPr>
          <w:p w:rsidR="008E4B66" w:rsidRDefault="008E4B66" w:rsidP="00B954FE">
            <w:r>
              <w:t>Food and Drug Administration (United States)</w:t>
            </w:r>
          </w:p>
        </w:tc>
      </w:tr>
      <w:tr w:rsidR="00E474C8" w:rsidRPr="00FD119B" w:rsidTr="00F62510">
        <w:tc>
          <w:tcPr>
            <w:tcW w:w="1890" w:type="dxa"/>
          </w:tcPr>
          <w:p w:rsidR="00E474C8" w:rsidRDefault="00E474C8" w:rsidP="00B954FE">
            <w:r>
              <w:t>FLT3</w:t>
            </w:r>
          </w:p>
        </w:tc>
        <w:tc>
          <w:tcPr>
            <w:tcW w:w="6830" w:type="dxa"/>
          </w:tcPr>
          <w:p w:rsidR="00E474C8" w:rsidRDefault="00E474C8" w:rsidP="00E474C8">
            <w:proofErr w:type="spellStart"/>
            <w:r>
              <w:t>F</w:t>
            </w:r>
            <w:r w:rsidRPr="00E474C8">
              <w:t>ms</w:t>
            </w:r>
            <w:proofErr w:type="spellEnd"/>
            <w:r w:rsidRPr="00E474C8">
              <w:t xml:space="preserve"> like tyrosine kinase 3</w:t>
            </w:r>
          </w:p>
        </w:tc>
      </w:tr>
      <w:tr w:rsidR="006503E5" w:rsidRPr="00FD119B" w:rsidTr="00F62510">
        <w:tc>
          <w:tcPr>
            <w:tcW w:w="1890" w:type="dxa"/>
          </w:tcPr>
          <w:p w:rsidR="006503E5" w:rsidRDefault="006503E5" w:rsidP="00B954FE">
            <w:r w:rsidRPr="00227CA7">
              <w:t>GMP</w:t>
            </w:r>
          </w:p>
        </w:tc>
        <w:tc>
          <w:tcPr>
            <w:tcW w:w="6830" w:type="dxa"/>
          </w:tcPr>
          <w:p w:rsidR="006503E5" w:rsidRDefault="006503E5" w:rsidP="006503E5">
            <w:r>
              <w:t>Good Manufacturing Practice</w:t>
            </w:r>
          </w:p>
        </w:tc>
      </w:tr>
      <w:tr w:rsidR="00416FF1" w:rsidRPr="00FD119B" w:rsidTr="00F62510">
        <w:tc>
          <w:tcPr>
            <w:tcW w:w="1890" w:type="dxa"/>
          </w:tcPr>
          <w:p w:rsidR="00416FF1" w:rsidRPr="00227CA7" w:rsidRDefault="00416FF1" w:rsidP="00B954FE">
            <w:r w:rsidRPr="00DF17B0">
              <w:t>GVP</w:t>
            </w:r>
          </w:p>
        </w:tc>
        <w:tc>
          <w:tcPr>
            <w:tcW w:w="6830" w:type="dxa"/>
          </w:tcPr>
          <w:p w:rsidR="00416FF1" w:rsidRDefault="00416FF1" w:rsidP="00416FF1">
            <w:r w:rsidRPr="00DF17B0">
              <w:t>G</w:t>
            </w:r>
            <w:r>
              <w:t>ood Pharmacovigilance Practice</w:t>
            </w:r>
          </w:p>
        </w:tc>
      </w:tr>
      <w:tr w:rsidR="00B954FE" w:rsidRPr="00FD119B" w:rsidTr="00F62510">
        <w:tc>
          <w:tcPr>
            <w:tcW w:w="1890" w:type="dxa"/>
          </w:tcPr>
          <w:p w:rsidR="00B954FE" w:rsidRDefault="00B954FE" w:rsidP="00B954FE">
            <w:r>
              <w:t>HSCT</w:t>
            </w:r>
          </w:p>
        </w:tc>
        <w:tc>
          <w:tcPr>
            <w:tcW w:w="6830" w:type="dxa"/>
          </w:tcPr>
          <w:p w:rsidR="00B954FE" w:rsidRPr="00F06857" w:rsidRDefault="00B954FE" w:rsidP="00B954FE">
            <w:r w:rsidRPr="00C63F22">
              <w:t>H</w:t>
            </w:r>
            <w:r w:rsidR="009247D3">
              <w:t>a</w:t>
            </w:r>
            <w:r w:rsidRPr="00C63F22">
              <w:t>ematopoietic stem cell transplant</w:t>
            </w:r>
          </w:p>
        </w:tc>
      </w:tr>
      <w:tr w:rsidR="00B954FE" w:rsidRPr="00FD119B" w:rsidTr="00F62510">
        <w:tc>
          <w:tcPr>
            <w:tcW w:w="1890" w:type="dxa"/>
          </w:tcPr>
          <w:p w:rsidR="00B954FE" w:rsidRDefault="00B954FE" w:rsidP="00B954FE">
            <w:r>
              <w:t>IDH</w:t>
            </w:r>
          </w:p>
        </w:tc>
        <w:tc>
          <w:tcPr>
            <w:tcW w:w="6830" w:type="dxa"/>
          </w:tcPr>
          <w:p w:rsidR="00B954FE" w:rsidRDefault="00B954FE" w:rsidP="00B954FE">
            <w:proofErr w:type="spellStart"/>
            <w:r>
              <w:t>Isocitrate</w:t>
            </w:r>
            <w:proofErr w:type="spellEnd"/>
            <w:r>
              <w:t xml:space="preserve"> deh</w:t>
            </w:r>
            <w:r w:rsidR="00E474C8">
              <w:t>y</w:t>
            </w:r>
            <w:r>
              <w:t>drogenase</w:t>
            </w:r>
          </w:p>
        </w:tc>
      </w:tr>
      <w:tr w:rsidR="00E474C8" w:rsidRPr="00FD119B" w:rsidTr="00F62510">
        <w:tc>
          <w:tcPr>
            <w:tcW w:w="1890" w:type="dxa"/>
          </w:tcPr>
          <w:p w:rsidR="00E474C8" w:rsidRDefault="0052487B" w:rsidP="00B954FE">
            <w:r>
              <w:t>IDH</w:t>
            </w:r>
            <w:r w:rsidR="00E474C8">
              <w:t>1</w:t>
            </w:r>
          </w:p>
        </w:tc>
        <w:tc>
          <w:tcPr>
            <w:tcW w:w="6830" w:type="dxa"/>
          </w:tcPr>
          <w:p w:rsidR="00E474C8" w:rsidRDefault="00E474C8" w:rsidP="00B954FE">
            <w:proofErr w:type="spellStart"/>
            <w:r>
              <w:t>Isocitrate</w:t>
            </w:r>
            <w:proofErr w:type="spellEnd"/>
            <w:r>
              <w:t xml:space="preserve"> dehydrogenase 1</w:t>
            </w:r>
          </w:p>
        </w:tc>
      </w:tr>
      <w:tr w:rsidR="00E474C8" w:rsidRPr="00FD119B" w:rsidTr="00F62510">
        <w:tc>
          <w:tcPr>
            <w:tcW w:w="1890" w:type="dxa"/>
          </w:tcPr>
          <w:p w:rsidR="00E474C8" w:rsidRDefault="0052487B" w:rsidP="00B954FE">
            <w:r>
              <w:t>IDH</w:t>
            </w:r>
            <w:r w:rsidR="00E474C8">
              <w:t>2</w:t>
            </w:r>
          </w:p>
        </w:tc>
        <w:tc>
          <w:tcPr>
            <w:tcW w:w="6830" w:type="dxa"/>
          </w:tcPr>
          <w:p w:rsidR="00E474C8" w:rsidRDefault="00E474C8" w:rsidP="00B954FE">
            <w:proofErr w:type="spellStart"/>
            <w:r>
              <w:t>Isocitrate</w:t>
            </w:r>
            <w:proofErr w:type="spellEnd"/>
            <w:r>
              <w:t xml:space="preserve"> dehydrogenase 2</w:t>
            </w:r>
          </w:p>
        </w:tc>
      </w:tr>
      <w:tr w:rsidR="006B3061" w:rsidRPr="00FD119B" w:rsidTr="00F62510">
        <w:tc>
          <w:tcPr>
            <w:tcW w:w="1890" w:type="dxa"/>
          </w:tcPr>
          <w:p w:rsidR="006B3061" w:rsidRDefault="006B3061" w:rsidP="00B954FE">
            <w:r w:rsidRPr="006B3061">
              <w:rPr>
                <w:u w:color="F8F8F8"/>
              </w:rPr>
              <w:t>IRAC</w:t>
            </w:r>
          </w:p>
        </w:tc>
        <w:tc>
          <w:tcPr>
            <w:tcW w:w="6830" w:type="dxa"/>
          </w:tcPr>
          <w:p w:rsidR="006B3061" w:rsidRDefault="006B3061" w:rsidP="00B954FE">
            <w:r w:rsidRPr="006B3061">
              <w:rPr>
                <w:u w:color="F8F8F8"/>
              </w:rPr>
              <w:t>Independent Re</w:t>
            </w:r>
            <w:r>
              <w:rPr>
                <w:u w:color="F8F8F8"/>
              </w:rPr>
              <w:t>sponse Adjudication Committee</w:t>
            </w:r>
          </w:p>
        </w:tc>
      </w:tr>
      <w:tr w:rsidR="00D84D51" w:rsidRPr="00FD119B" w:rsidTr="00F62510">
        <w:tc>
          <w:tcPr>
            <w:tcW w:w="1890" w:type="dxa"/>
          </w:tcPr>
          <w:p w:rsidR="00D84D51" w:rsidRPr="006B3061" w:rsidRDefault="00D84D51" w:rsidP="00B954FE">
            <w:pPr>
              <w:rPr>
                <w:u w:color="F8F8F8"/>
              </w:rPr>
            </w:pPr>
            <w:r>
              <w:rPr>
                <w:u w:color="F8F8F8"/>
              </w:rPr>
              <w:t>IWG</w:t>
            </w:r>
          </w:p>
        </w:tc>
        <w:tc>
          <w:tcPr>
            <w:tcW w:w="6830" w:type="dxa"/>
          </w:tcPr>
          <w:p w:rsidR="00D84D51" w:rsidRPr="006B3061" w:rsidRDefault="00D84D51" w:rsidP="00B954FE">
            <w:pPr>
              <w:rPr>
                <w:u w:color="F8F8F8"/>
              </w:rPr>
            </w:pPr>
            <w:r>
              <w:rPr>
                <w:u w:color="F8F8F8"/>
              </w:rPr>
              <w:t>International Working Group (</w:t>
            </w:r>
            <w:r w:rsidRPr="005D20B0">
              <w:t>for Diagnosis, Standardization of Response Criteria</w:t>
            </w:r>
            <w:r>
              <w:t>)</w:t>
            </w:r>
          </w:p>
        </w:tc>
      </w:tr>
      <w:tr w:rsidR="006B3061" w:rsidRPr="00FD119B" w:rsidTr="00F62510">
        <w:tc>
          <w:tcPr>
            <w:tcW w:w="1890" w:type="dxa"/>
          </w:tcPr>
          <w:p w:rsidR="006B3061" w:rsidRPr="006B3061" w:rsidRDefault="006B3061" w:rsidP="00B954FE">
            <w:pPr>
              <w:rPr>
                <w:u w:color="F8F8F8"/>
              </w:rPr>
            </w:pPr>
            <w:r>
              <w:rPr>
                <w:u w:color="F8F8F8"/>
              </w:rPr>
              <w:t>KM</w:t>
            </w:r>
          </w:p>
        </w:tc>
        <w:tc>
          <w:tcPr>
            <w:tcW w:w="6830" w:type="dxa"/>
          </w:tcPr>
          <w:p w:rsidR="006B3061" w:rsidRPr="006B3061" w:rsidRDefault="006B3061" w:rsidP="00B954FE">
            <w:pPr>
              <w:rPr>
                <w:u w:color="F8F8F8"/>
              </w:rPr>
            </w:pPr>
            <w:r>
              <w:rPr>
                <w:u w:color="F8F8F8"/>
              </w:rPr>
              <w:t>Kaplan Meier</w:t>
            </w:r>
          </w:p>
        </w:tc>
      </w:tr>
      <w:tr w:rsidR="002D4D5A" w:rsidRPr="00FD119B" w:rsidTr="00F62510">
        <w:tc>
          <w:tcPr>
            <w:tcW w:w="1890" w:type="dxa"/>
          </w:tcPr>
          <w:p w:rsidR="002D4D5A" w:rsidRDefault="002D4D5A" w:rsidP="00B954FE">
            <w:pPr>
              <w:rPr>
                <w:u w:color="F8F8F8"/>
              </w:rPr>
            </w:pPr>
            <w:r>
              <w:rPr>
                <w:u w:color="F8F8F8"/>
              </w:rPr>
              <w:t>MDS</w:t>
            </w:r>
          </w:p>
        </w:tc>
        <w:tc>
          <w:tcPr>
            <w:tcW w:w="6830" w:type="dxa"/>
          </w:tcPr>
          <w:p w:rsidR="002D4D5A" w:rsidRDefault="002D4D5A" w:rsidP="002D4D5A">
            <w:pPr>
              <w:rPr>
                <w:u w:color="F8F8F8"/>
              </w:rPr>
            </w:pPr>
            <w:r>
              <w:t>M</w:t>
            </w:r>
            <w:r w:rsidRPr="00345C78">
              <w:t>yelodysplastic syndrome</w:t>
            </w:r>
          </w:p>
        </w:tc>
      </w:tr>
      <w:tr w:rsidR="00577FF8" w:rsidRPr="00FD119B" w:rsidTr="00F62510">
        <w:tc>
          <w:tcPr>
            <w:tcW w:w="1890" w:type="dxa"/>
          </w:tcPr>
          <w:p w:rsidR="00577FF8" w:rsidRDefault="00577FF8" w:rsidP="00B954FE">
            <w:r w:rsidRPr="00577FF8">
              <w:t>mIDH2</w:t>
            </w:r>
          </w:p>
        </w:tc>
        <w:tc>
          <w:tcPr>
            <w:tcW w:w="6830" w:type="dxa"/>
          </w:tcPr>
          <w:p w:rsidR="00577FF8" w:rsidRDefault="00577FF8" w:rsidP="00B954FE">
            <w:r>
              <w:t xml:space="preserve">Mutant </w:t>
            </w:r>
            <w:proofErr w:type="spellStart"/>
            <w:r>
              <w:t>isocitrate</w:t>
            </w:r>
            <w:proofErr w:type="spellEnd"/>
            <w:r>
              <w:t xml:space="preserve"> dehydrogenase 2</w:t>
            </w:r>
          </w:p>
        </w:tc>
      </w:tr>
      <w:tr w:rsidR="00B954FE" w:rsidRPr="00FD119B" w:rsidTr="00F62510">
        <w:tc>
          <w:tcPr>
            <w:tcW w:w="1890" w:type="dxa"/>
          </w:tcPr>
          <w:p w:rsidR="00B954FE" w:rsidRDefault="00B954FE" w:rsidP="00B954FE">
            <w:r>
              <w:t>MLFS</w:t>
            </w:r>
          </w:p>
        </w:tc>
        <w:tc>
          <w:tcPr>
            <w:tcW w:w="6830" w:type="dxa"/>
          </w:tcPr>
          <w:p w:rsidR="00B954FE" w:rsidRDefault="00B954FE" w:rsidP="00B954FE">
            <w:r w:rsidRPr="00247248">
              <w:t>Morphologic leukaemia-free state</w:t>
            </w:r>
          </w:p>
        </w:tc>
      </w:tr>
      <w:tr w:rsidR="00B954FE" w:rsidRPr="00FD119B" w:rsidTr="00F62510">
        <w:tc>
          <w:tcPr>
            <w:tcW w:w="1890" w:type="dxa"/>
          </w:tcPr>
          <w:p w:rsidR="00B954FE" w:rsidRDefault="00B954FE" w:rsidP="00B954FE">
            <w:r>
              <w:t>MTD</w:t>
            </w:r>
          </w:p>
        </w:tc>
        <w:tc>
          <w:tcPr>
            <w:tcW w:w="6830" w:type="dxa"/>
          </w:tcPr>
          <w:p w:rsidR="00B954FE" w:rsidRDefault="00B954FE" w:rsidP="00B954FE">
            <w:r>
              <w:t>Maximum tolerated dose</w:t>
            </w:r>
          </w:p>
        </w:tc>
      </w:tr>
      <w:tr w:rsidR="00D84D51" w:rsidRPr="00FD119B" w:rsidTr="00F62510">
        <w:tc>
          <w:tcPr>
            <w:tcW w:w="1890" w:type="dxa"/>
          </w:tcPr>
          <w:p w:rsidR="00D84D51" w:rsidRDefault="00D84D51" w:rsidP="00B954FE">
            <w:r>
              <w:t>NCCN</w:t>
            </w:r>
          </w:p>
        </w:tc>
        <w:tc>
          <w:tcPr>
            <w:tcW w:w="6830" w:type="dxa"/>
          </w:tcPr>
          <w:p w:rsidR="00D84D51" w:rsidRDefault="00D84D51" w:rsidP="00B954FE">
            <w:r>
              <w:t>National Comprehensive Cancer Network (United States)</w:t>
            </w:r>
          </w:p>
        </w:tc>
      </w:tr>
      <w:tr w:rsidR="00F60DFD" w:rsidRPr="00FD119B" w:rsidTr="00F62510">
        <w:tc>
          <w:tcPr>
            <w:tcW w:w="1890" w:type="dxa"/>
          </w:tcPr>
          <w:p w:rsidR="00F60DFD" w:rsidRDefault="00F60DFD" w:rsidP="00B954FE">
            <w:r>
              <w:t>OAT1</w:t>
            </w:r>
          </w:p>
        </w:tc>
        <w:tc>
          <w:tcPr>
            <w:tcW w:w="6830" w:type="dxa"/>
          </w:tcPr>
          <w:p w:rsidR="00F60DFD" w:rsidRDefault="00F60DFD" w:rsidP="00F60DFD">
            <w:r>
              <w:t>O</w:t>
            </w:r>
            <w:r w:rsidRPr="00F60DFD">
              <w:t xml:space="preserve">rganic anion transporter </w:t>
            </w:r>
            <w:r>
              <w:t>1</w:t>
            </w:r>
          </w:p>
        </w:tc>
      </w:tr>
      <w:tr w:rsidR="00F60DFD" w:rsidRPr="00FD119B" w:rsidTr="00F62510">
        <w:tc>
          <w:tcPr>
            <w:tcW w:w="1890" w:type="dxa"/>
          </w:tcPr>
          <w:p w:rsidR="00F60DFD" w:rsidRDefault="00F60DFD" w:rsidP="00B954FE">
            <w:r>
              <w:t>OATP1B1</w:t>
            </w:r>
          </w:p>
        </w:tc>
        <w:tc>
          <w:tcPr>
            <w:tcW w:w="6830" w:type="dxa"/>
          </w:tcPr>
          <w:p w:rsidR="00F60DFD" w:rsidRDefault="00F60DFD" w:rsidP="00F60DFD">
            <w:r>
              <w:t>O</w:t>
            </w:r>
            <w:r w:rsidRPr="00F60DFD">
              <w:t>rganic ani</w:t>
            </w:r>
            <w:r>
              <w:t>on transporting polypeptide 1B1</w:t>
            </w:r>
          </w:p>
        </w:tc>
      </w:tr>
      <w:tr w:rsidR="00B954FE" w:rsidRPr="00FD119B" w:rsidTr="00F62510">
        <w:tc>
          <w:tcPr>
            <w:tcW w:w="1890" w:type="dxa"/>
          </w:tcPr>
          <w:p w:rsidR="00B954FE" w:rsidRDefault="00B954FE" w:rsidP="00B954FE">
            <w:r>
              <w:lastRenderedPageBreak/>
              <w:t>ORR</w:t>
            </w:r>
          </w:p>
        </w:tc>
        <w:tc>
          <w:tcPr>
            <w:tcW w:w="6830" w:type="dxa"/>
          </w:tcPr>
          <w:p w:rsidR="00B954FE" w:rsidRDefault="00B954FE" w:rsidP="00B954FE">
            <w:r>
              <w:t>Overall response rate</w:t>
            </w:r>
          </w:p>
        </w:tc>
      </w:tr>
      <w:tr w:rsidR="00B954FE" w:rsidRPr="00FD119B" w:rsidTr="00F62510">
        <w:tc>
          <w:tcPr>
            <w:tcW w:w="1890" w:type="dxa"/>
          </w:tcPr>
          <w:p w:rsidR="00B954FE" w:rsidRDefault="00B954FE" w:rsidP="00B954FE">
            <w:r>
              <w:t>OS</w:t>
            </w:r>
          </w:p>
        </w:tc>
        <w:tc>
          <w:tcPr>
            <w:tcW w:w="6830" w:type="dxa"/>
          </w:tcPr>
          <w:p w:rsidR="00B954FE" w:rsidRDefault="00B954FE" w:rsidP="00B954FE">
            <w:r>
              <w:t>Overall survival</w:t>
            </w:r>
          </w:p>
        </w:tc>
      </w:tr>
      <w:tr w:rsidR="00654858" w:rsidRPr="00FD119B" w:rsidTr="00F62510">
        <w:tc>
          <w:tcPr>
            <w:tcW w:w="1890" w:type="dxa"/>
          </w:tcPr>
          <w:p w:rsidR="00654858" w:rsidRDefault="00654858" w:rsidP="00B954FE">
            <w:r w:rsidRPr="00227CA7">
              <w:t>PAR</w:t>
            </w:r>
          </w:p>
        </w:tc>
        <w:tc>
          <w:tcPr>
            <w:tcW w:w="6830" w:type="dxa"/>
          </w:tcPr>
          <w:p w:rsidR="00654858" w:rsidRDefault="00654858" w:rsidP="00654858">
            <w:r>
              <w:t>Provisional Australian Register of Therapeutic Goods record</w:t>
            </w:r>
          </w:p>
        </w:tc>
      </w:tr>
      <w:tr w:rsidR="00F60DFD" w:rsidRPr="00FD119B" w:rsidTr="00F62510">
        <w:tc>
          <w:tcPr>
            <w:tcW w:w="1890" w:type="dxa"/>
          </w:tcPr>
          <w:p w:rsidR="00F60DFD" w:rsidRDefault="00F60DFD" w:rsidP="00B954FE">
            <w:r>
              <w:t>PD</w:t>
            </w:r>
          </w:p>
        </w:tc>
        <w:tc>
          <w:tcPr>
            <w:tcW w:w="6830" w:type="dxa"/>
          </w:tcPr>
          <w:p w:rsidR="00F60DFD" w:rsidRDefault="00F60DFD" w:rsidP="00F60DFD">
            <w:r>
              <w:t>Pharmacodynamic</w:t>
            </w:r>
            <w:r w:rsidR="005369D1">
              <w:t>(s)</w:t>
            </w:r>
          </w:p>
        </w:tc>
      </w:tr>
      <w:tr w:rsidR="00587F74" w:rsidRPr="00FD119B" w:rsidTr="00F62510">
        <w:tc>
          <w:tcPr>
            <w:tcW w:w="1890" w:type="dxa"/>
          </w:tcPr>
          <w:p w:rsidR="00587F74" w:rsidRDefault="00587F74" w:rsidP="00B954FE">
            <w:r>
              <w:t>PETHEMA</w:t>
            </w:r>
          </w:p>
        </w:tc>
        <w:tc>
          <w:tcPr>
            <w:tcW w:w="6830" w:type="dxa"/>
          </w:tcPr>
          <w:p w:rsidR="00587F74" w:rsidRDefault="00587F74" w:rsidP="00587F74">
            <w:proofErr w:type="spellStart"/>
            <w:r w:rsidRPr="00587F74">
              <w:t>Programa</w:t>
            </w:r>
            <w:proofErr w:type="spellEnd"/>
            <w:r w:rsidRPr="00587F74">
              <w:t xml:space="preserve"> </w:t>
            </w:r>
            <w:proofErr w:type="spellStart"/>
            <w:r w:rsidRPr="00587F74">
              <w:t>Español</w:t>
            </w:r>
            <w:proofErr w:type="spellEnd"/>
            <w:r w:rsidRPr="00587F74">
              <w:t xml:space="preserve"> </w:t>
            </w:r>
            <w:r w:rsidR="00F17D97">
              <w:t xml:space="preserve">de </w:t>
            </w:r>
            <w:proofErr w:type="spellStart"/>
            <w:r w:rsidR="00F17D97">
              <w:t>Tratamientos</w:t>
            </w:r>
            <w:proofErr w:type="spellEnd"/>
            <w:r w:rsidR="00F17D97">
              <w:t xml:space="preserve"> </w:t>
            </w:r>
            <w:proofErr w:type="spellStart"/>
            <w:r w:rsidR="00F17D97">
              <w:t>en</w:t>
            </w:r>
            <w:proofErr w:type="spellEnd"/>
            <w:r w:rsidR="00F17D97">
              <w:t xml:space="preserve"> </w:t>
            </w:r>
            <w:proofErr w:type="spellStart"/>
            <w:r w:rsidR="00F17D97">
              <w:t>Hematología</w:t>
            </w:r>
            <w:proofErr w:type="spellEnd"/>
          </w:p>
        </w:tc>
      </w:tr>
      <w:tr w:rsidR="00B954FE" w:rsidRPr="00FD119B" w:rsidTr="00F62510">
        <w:tc>
          <w:tcPr>
            <w:tcW w:w="1890" w:type="dxa"/>
          </w:tcPr>
          <w:p w:rsidR="00B954FE" w:rsidRDefault="00B954FE" w:rsidP="00B954FE">
            <w:r>
              <w:t>PI</w:t>
            </w:r>
          </w:p>
        </w:tc>
        <w:tc>
          <w:tcPr>
            <w:tcW w:w="6830" w:type="dxa"/>
          </w:tcPr>
          <w:p w:rsidR="00B954FE" w:rsidRDefault="00B954FE" w:rsidP="00B954FE">
            <w:r>
              <w:t>Product information</w:t>
            </w:r>
          </w:p>
        </w:tc>
      </w:tr>
      <w:tr w:rsidR="00F60DFD" w:rsidRPr="00FD119B" w:rsidTr="00F62510">
        <w:tc>
          <w:tcPr>
            <w:tcW w:w="1890" w:type="dxa"/>
          </w:tcPr>
          <w:p w:rsidR="00F60DFD" w:rsidRDefault="00F60DFD" w:rsidP="00B954FE">
            <w:r>
              <w:t>PK</w:t>
            </w:r>
          </w:p>
        </w:tc>
        <w:tc>
          <w:tcPr>
            <w:tcW w:w="6830" w:type="dxa"/>
          </w:tcPr>
          <w:p w:rsidR="00F60DFD" w:rsidRDefault="00F60DFD" w:rsidP="00F60DFD">
            <w:r>
              <w:t>Pharmacokinetic</w:t>
            </w:r>
            <w:r w:rsidR="005369D1">
              <w:t>(s)</w:t>
            </w:r>
          </w:p>
        </w:tc>
      </w:tr>
      <w:tr w:rsidR="00B954FE" w:rsidRPr="00FD119B" w:rsidTr="00F62510">
        <w:tc>
          <w:tcPr>
            <w:tcW w:w="1890" w:type="dxa"/>
          </w:tcPr>
          <w:p w:rsidR="00B954FE" w:rsidRDefault="00B954FE" w:rsidP="00B954FE">
            <w:r>
              <w:t>PS</w:t>
            </w:r>
          </w:p>
        </w:tc>
        <w:tc>
          <w:tcPr>
            <w:tcW w:w="6830" w:type="dxa"/>
          </w:tcPr>
          <w:p w:rsidR="00B954FE" w:rsidRDefault="00B954FE" w:rsidP="00B954FE">
            <w:r>
              <w:t>Performance status</w:t>
            </w:r>
          </w:p>
        </w:tc>
      </w:tr>
      <w:tr w:rsidR="00F62510" w:rsidRPr="00FD119B" w:rsidTr="00F62510">
        <w:tc>
          <w:tcPr>
            <w:tcW w:w="1890" w:type="dxa"/>
          </w:tcPr>
          <w:p w:rsidR="00F62510" w:rsidRDefault="00F62510" w:rsidP="00B954FE">
            <w:r>
              <w:t>PSUR</w:t>
            </w:r>
          </w:p>
        </w:tc>
        <w:tc>
          <w:tcPr>
            <w:tcW w:w="6830" w:type="dxa"/>
          </w:tcPr>
          <w:p w:rsidR="00F62510" w:rsidRDefault="00F62510" w:rsidP="00B954FE">
            <w:r>
              <w:t>Periodic safety update report</w:t>
            </w:r>
          </w:p>
        </w:tc>
      </w:tr>
      <w:tr w:rsidR="00E93D0B" w:rsidRPr="00FD119B" w:rsidTr="00F62510">
        <w:tc>
          <w:tcPr>
            <w:tcW w:w="1890" w:type="dxa"/>
          </w:tcPr>
          <w:p w:rsidR="00E93D0B" w:rsidRDefault="00E93D0B" w:rsidP="00B954FE">
            <w:r>
              <w:t>PT</w:t>
            </w:r>
          </w:p>
        </w:tc>
        <w:tc>
          <w:tcPr>
            <w:tcW w:w="6830" w:type="dxa"/>
          </w:tcPr>
          <w:p w:rsidR="00E93D0B" w:rsidRDefault="00E93D0B" w:rsidP="00B954FE">
            <w:r>
              <w:t>Preferred Term</w:t>
            </w:r>
          </w:p>
        </w:tc>
      </w:tr>
      <w:tr w:rsidR="00B954FE" w:rsidRPr="00FD119B" w:rsidTr="00F62510">
        <w:tc>
          <w:tcPr>
            <w:tcW w:w="1890" w:type="dxa"/>
          </w:tcPr>
          <w:p w:rsidR="00B954FE" w:rsidRDefault="00B954FE" w:rsidP="00B954FE">
            <w:r>
              <w:t>QD</w:t>
            </w:r>
          </w:p>
        </w:tc>
        <w:tc>
          <w:tcPr>
            <w:tcW w:w="6830" w:type="dxa"/>
          </w:tcPr>
          <w:p w:rsidR="00B954FE" w:rsidRDefault="00B954FE" w:rsidP="00B954FE">
            <w:r>
              <w:t>Once daily</w:t>
            </w:r>
            <w:r w:rsidR="005369D1">
              <w:t xml:space="preserve"> (</w:t>
            </w:r>
            <w:r w:rsidR="005369D1" w:rsidRPr="00DC5B6B">
              <w:rPr>
                <w:i/>
              </w:rPr>
              <w:t xml:space="preserve">Latin: </w:t>
            </w:r>
            <w:proofErr w:type="spellStart"/>
            <w:r w:rsidR="005369D1" w:rsidRPr="00DC5B6B">
              <w:rPr>
                <w:i/>
              </w:rPr>
              <w:t>quaque</w:t>
            </w:r>
            <w:proofErr w:type="spellEnd"/>
            <w:r w:rsidR="005369D1" w:rsidRPr="00DC5B6B">
              <w:rPr>
                <w:i/>
              </w:rPr>
              <w:t xml:space="preserve"> die</w:t>
            </w:r>
            <w:r w:rsidR="005369D1">
              <w:t>)</w:t>
            </w:r>
          </w:p>
        </w:tc>
      </w:tr>
      <w:tr w:rsidR="00A956FC" w:rsidRPr="00FD119B" w:rsidTr="00F62510">
        <w:tc>
          <w:tcPr>
            <w:tcW w:w="1890" w:type="dxa"/>
          </w:tcPr>
          <w:p w:rsidR="00A956FC" w:rsidRDefault="00A956FC" w:rsidP="00B954FE">
            <w:proofErr w:type="spellStart"/>
            <w:r w:rsidRPr="00A956FC">
              <w:t>QTc</w:t>
            </w:r>
            <w:proofErr w:type="spellEnd"/>
          </w:p>
        </w:tc>
        <w:tc>
          <w:tcPr>
            <w:tcW w:w="6830" w:type="dxa"/>
          </w:tcPr>
          <w:p w:rsidR="00A956FC" w:rsidRDefault="00A956FC" w:rsidP="00A956FC">
            <w:r>
              <w:t>Corrected QT interval</w:t>
            </w:r>
          </w:p>
        </w:tc>
      </w:tr>
      <w:tr w:rsidR="00646F0F" w:rsidRPr="00FD119B" w:rsidTr="00F62510">
        <w:tc>
          <w:tcPr>
            <w:tcW w:w="1890" w:type="dxa"/>
          </w:tcPr>
          <w:p w:rsidR="00646F0F" w:rsidRDefault="00646F0F" w:rsidP="00B954FE">
            <w:r>
              <w:t>R/R</w:t>
            </w:r>
          </w:p>
        </w:tc>
        <w:tc>
          <w:tcPr>
            <w:tcW w:w="6830" w:type="dxa"/>
          </w:tcPr>
          <w:p w:rsidR="00646F0F" w:rsidRDefault="00646F0F" w:rsidP="00646F0F">
            <w:r>
              <w:t>Relapsed or refractory</w:t>
            </w:r>
          </w:p>
        </w:tc>
      </w:tr>
      <w:tr w:rsidR="00DA0627" w:rsidRPr="00FD119B" w:rsidTr="00F62510">
        <w:tc>
          <w:tcPr>
            <w:tcW w:w="1890" w:type="dxa"/>
          </w:tcPr>
          <w:p w:rsidR="00DA0627" w:rsidRDefault="00DA0627" w:rsidP="00B954FE">
            <w:r>
              <w:t>RBC</w:t>
            </w:r>
          </w:p>
        </w:tc>
        <w:tc>
          <w:tcPr>
            <w:tcW w:w="6830" w:type="dxa"/>
          </w:tcPr>
          <w:p w:rsidR="00DA0627" w:rsidRDefault="00DA0627" w:rsidP="00646F0F">
            <w:r>
              <w:t>Red blood cell</w:t>
            </w:r>
          </w:p>
        </w:tc>
      </w:tr>
      <w:tr w:rsidR="008E4B66" w:rsidRPr="00FD119B" w:rsidTr="00F62510">
        <w:tc>
          <w:tcPr>
            <w:tcW w:w="1890" w:type="dxa"/>
          </w:tcPr>
          <w:p w:rsidR="008E4B66" w:rsidRDefault="008E4B66" w:rsidP="00B954FE">
            <w:r w:rsidRPr="00345C78">
              <w:t>RMP</w:t>
            </w:r>
          </w:p>
        </w:tc>
        <w:tc>
          <w:tcPr>
            <w:tcW w:w="6830" w:type="dxa"/>
          </w:tcPr>
          <w:p w:rsidR="008E4B66" w:rsidRDefault="008E4B66" w:rsidP="008E4B66">
            <w:r>
              <w:t>Risk management plan</w:t>
            </w:r>
          </w:p>
        </w:tc>
      </w:tr>
      <w:tr w:rsidR="00E93D0B" w:rsidRPr="00FD119B" w:rsidTr="00F62510">
        <w:tc>
          <w:tcPr>
            <w:tcW w:w="1890" w:type="dxa"/>
          </w:tcPr>
          <w:p w:rsidR="00E93D0B" w:rsidRPr="00345C78" w:rsidRDefault="00E93D0B" w:rsidP="00B954FE">
            <w:r>
              <w:t>SOC</w:t>
            </w:r>
          </w:p>
        </w:tc>
        <w:tc>
          <w:tcPr>
            <w:tcW w:w="6830" w:type="dxa"/>
          </w:tcPr>
          <w:p w:rsidR="00E93D0B" w:rsidRDefault="00E93D0B" w:rsidP="008E4B66">
            <w:r>
              <w:t>System Organ Class</w:t>
            </w:r>
          </w:p>
        </w:tc>
      </w:tr>
      <w:tr w:rsidR="00B954FE" w:rsidRPr="00FD119B" w:rsidTr="00F62510">
        <w:tc>
          <w:tcPr>
            <w:tcW w:w="1890" w:type="dxa"/>
          </w:tcPr>
          <w:p w:rsidR="00B954FE" w:rsidRDefault="00B954FE" w:rsidP="00B954FE">
            <w:r>
              <w:t>TEAE</w:t>
            </w:r>
          </w:p>
        </w:tc>
        <w:tc>
          <w:tcPr>
            <w:tcW w:w="6830" w:type="dxa"/>
          </w:tcPr>
          <w:p w:rsidR="00B954FE" w:rsidRDefault="00B954FE" w:rsidP="00B954FE">
            <w:r w:rsidRPr="00F06857">
              <w:t>Treatment-emergent adverse event</w:t>
            </w:r>
          </w:p>
        </w:tc>
      </w:tr>
      <w:tr w:rsidR="00F84978" w:rsidRPr="00FD119B" w:rsidTr="00F62510">
        <w:tc>
          <w:tcPr>
            <w:tcW w:w="1890" w:type="dxa"/>
          </w:tcPr>
          <w:p w:rsidR="00F84978" w:rsidRDefault="00F84978" w:rsidP="00B954FE">
            <w:proofErr w:type="spellStart"/>
            <w:r w:rsidRPr="00345C78">
              <w:rPr>
                <w:rFonts w:asciiTheme="minorHAnsi" w:hAnsiTheme="minorHAnsi"/>
              </w:rPr>
              <w:t>T</w:t>
            </w:r>
            <w:r w:rsidRPr="009B0352">
              <w:rPr>
                <w:rFonts w:asciiTheme="minorHAnsi" w:hAnsiTheme="minorHAnsi"/>
                <w:vertAlign w:val="subscript"/>
              </w:rPr>
              <w:t>max</w:t>
            </w:r>
            <w:proofErr w:type="spellEnd"/>
          </w:p>
        </w:tc>
        <w:tc>
          <w:tcPr>
            <w:tcW w:w="6830" w:type="dxa"/>
          </w:tcPr>
          <w:p w:rsidR="00F84978" w:rsidRPr="00F06857" w:rsidRDefault="00F84978" w:rsidP="00F84978">
            <w:r>
              <w:rPr>
                <w:rFonts w:asciiTheme="minorHAnsi" w:hAnsiTheme="minorHAnsi"/>
              </w:rPr>
              <w:t>Time of maximum plasma concentration</w:t>
            </w:r>
          </w:p>
        </w:tc>
      </w:tr>
      <w:tr w:rsidR="002227D5" w:rsidRPr="00FD119B" w:rsidTr="00F62510">
        <w:tc>
          <w:tcPr>
            <w:tcW w:w="1890" w:type="dxa"/>
          </w:tcPr>
          <w:p w:rsidR="002227D5" w:rsidRDefault="002227D5" w:rsidP="00B954FE">
            <w:r>
              <w:t>TNF</w:t>
            </w:r>
          </w:p>
        </w:tc>
        <w:tc>
          <w:tcPr>
            <w:tcW w:w="6830" w:type="dxa"/>
          </w:tcPr>
          <w:p w:rsidR="002227D5" w:rsidRPr="00F06857" w:rsidRDefault="002227D5" w:rsidP="002227D5">
            <w:r>
              <w:t>Tumour necrosis factor</w:t>
            </w:r>
          </w:p>
        </w:tc>
      </w:tr>
      <w:tr w:rsidR="00F60DFD" w:rsidRPr="00FD119B" w:rsidTr="00F62510">
        <w:tc>
          <w:tcPr>
            <w:tcW w:w="1890" w:type="dxa"/>
          </w:tcPr>
          <w:p w:rsidR="00F60DFD" w:rsidRDefault="00F60DFD" w:rsidP="00B954FE">
            <w:r>
              <w:t>UGT</w:t>
            </w:r>
          </w:p>
        </w:tc>
        <w:tc>
          <w:tcPr>
            <w:tcW w:w="6830" w:type="dxa"/>
          </w:tcPr>
          <w:p w:rsidR="00F60DFD" w:rsidRPr="00F06857" w:rsidRDefault="00F60DFD" w:rsidP="00F60DFD">
            <w:r>
              <w:t>U</w:t>
            </w:r>
            <w:r w:rsidRPr="00F60DFD">
              <w:t>ridine 5'-diphospho-glucuronosyltransferase</w:t>
            </w:r>
          </w:p>
        </w:tc>
      </w:tr>
      <w:tr w:rsidR="008E4B66" w:rsidRPr="00FD119B" w:rsidTr="00F62510">
        <w:tc>
          <w:tcPr>
            <w:tcW w:w="1890" w:type="dxa"/>
          </w:tcPr>
          <w:p w:rsidR="008E4B66" w:rsidRDefault="008E4B66" w:rsidP="00B954FE">
            <w:r>
              <w:t>US</w:t>
            </w:r>
          </w:p>
        </w:tc>
        <w:tc>
          <w:tcPr>
            <w:tcW w:w="6830" w:type="dxa"/>
          </w:tcPr>
          <w:p w:rsidR="008E4B66" w:rsidRDefault="008E4B66" w:rsidP="00B954FE">
            <w:r>
              <w:t>United States</w:t>
            </w:r>
          </w:p>
        </w:tc>
      </w:tr>
      <w:tr w:rsidR="00CF7B22" w:rsidRPr="00FD119B" w:rsidTr="00F62510">
        <w:tc>
          <w:tcPr>
            <w:tcW w:w="1890" w:type="dxa"/>
          </w:tcPr>
          <w:p w:rsidR="00CF7B22" w:rsidRDefault="00CF7B22" w:rsidP="00B954FE">
            <w:proofErr w:type="spellStart"/>
            <w:r w:rsidRPr="00345C78">
              <w:rPr>
                <w:rFonts w:asciiTheme="minorHAnsi" w:hAnsiTheme="minorHAnsi"/>
              </w:rPr>
              <w:t>Vd</w:t>
            </w:r>
            <w:proofErr w:type="spellEnd"/>
          </w:p>
        </w:tc>
        <w:tc>
          <w:tcPr>
            <w:tcW w:w="6830" w:type="dxa"/>
          </w:tcPr>
          <w:p w:rsidR="00CF7B22" w:rsidRDefault="00CF7B22" w:rsidP="00CF7B22">
            <w:r>
              <w:rPr>
                <w:rFonts w:asciiTheme="minorHAnsi" w:hAnsiTheme="minorHAnsi"/>
              </w:rPr>
              <w:t>Volume of distribution</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0087024"/>
      <w:r>
        <w:lastRenderedPageBreak/>
        <w:t>I.</w:t>
      </w:r>
      <w:r w:rsidR="008E7846">
        <w:t xml:space="preserve"> Introduction to product submission</w:t>
      </w:r>
      <w:bookmarkEnd w:id="3"/>
      <w:bookmarkEnd w:id="0"/>
      <w:bookmarkEnd w:id="9"/>
    </w:p>
    <w:p w:rsidR="008E7846" w:rsidRDefault="008E7846" w:rsidP="008E7846">
      <w:pPr>
        <w:pStyle w:val="Heading3"/>
        <w:rPr>
          <w:lang w:eastAsia="en-AU"/>
        </w:rPr>
      </w:pPr>
      <w:bookmarkStart w:id="10" w:name="_Toc247691502"/>
      <w:bookmarkStart w:id="11" w:name="_Toc314842483"/>
      <w:bookmarkStart w:id="12" w:name="_Toc40087025"/>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3735BC">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8E7846" w:rsidP="001B5C90">
            <w:r w:rsidRPr="003D1E62">
              <w:t xml:space="preserve">New </w:t>
            </w:r>
            <w:r w:rsidR="001B5C90">
              <w:t>c</w:t>
            </w:r>
            <w:r w:rsidRPr="003D1E62">
              <w:t xml:space="preserve">hemical </w:t>
            </w:r>
            <w:r w:rsidR="001B5C90">
              <w:t>e</w:t>
            </w:r>
            <w:r w:rsidR="00CE1AE0">
              <w:t>ntity</w:t>
            </w:r>
          </w:p>
        </w:tc>
      </w:tr>
      <w:tr w:rsidR="008E7846" w:rsidRPr="003D1E62" w:rsidTr="003735BC">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CE1AE0" w:rsidP="001B5C90">
            <w:r w:rsidRPr="00915AB2">
              <w:t>Approved</w:t>
            </w:r>
            <w:r>
              <w:t xml:space="preserve"> for provisional registration</w:t>
            </w:r>
          </w:p>
        </w:tc>
      </w:tr>
      <w:tr w:rsidR="00CE1AE0" w:rsidRPr="003D1E62" w:rsidTr="003735BC">
        <w:tc>
          <w:tcPr>
            <w:tcW w:w="2907" w:type="dxa"/>
          </w:tcPr>
          <w:p w:rsidR="00CE1AE0" w:rsidRPr="003D1E62" w:rsidRDefault="00CE1AE0" w:rsidP="00CE1AE0">
            <w:pPr>
              <w:rPr>
                <w:i/>
              </w:rPr>
            </w:pPr>
            <w:r w:rsidRPr="003D1E62">
              <w:rPr>
                <w:i/>
              </w:rPr>
              <w:t xml:space="preserve">Date of </w:t>
            </w:r>
            <w:r>
              <w:rPr>
                <w:i/>
              </w:rPr>
              <w:t>d</w:t>
            </w:r>
            <w:r w:rsidRPr="003D1E62">
              <w:rPr>
                <w:i/>
              </w:rPr>
              <w:t>ecision:</w:t>
            </w:r>
          </w:p>
        </w:tc>
        <w:tc>
          <w:tcPr>
            <w:tcW w:w="6307" w:type="dxa"/>
          </w:tcPr>
          <w:p w:rsidR="00CE1AE0" w:rsidRPr="00860771" w:rsidRDefault="00CE1AE0" w:rsidP="00CE1AE0">
            <w:r w:rsidRPr="00860771">
              <w:t>15 January 2020</w:t>
            </w:r>
          </w:p>
        </w:tc>
      </w:tr>
      <w:tr w:rsidR="00CE1AE0" w:rsidRPr="003D1E62" w:rsidTr="003735BC">
        <w:tc>
          <w:tcPr>
            <w:tcW w:w="2907" w:type="dxa"/>
          </w:tcPr>
          <w:p w:rsidR="00CE1AE0" w:rsidRPr="00441C3F" w:rsidRDefault="00CE1AE0" w:rsidP="00CE1AE0">
            <w:pPr>
              <w:rPr>
                <w:i/>
              </w:rPr>
            </w:pPr>
            <w:r w:rsidRPr="00441C3F">
              <w:rPr>
                <w:i/>
              </w:rPr>
              <w:t>Date of entry onto ARTG</w:t>
            </w:r>
            <w:r>
              <w:rPr>
                <w:i/>
              </w:rPr>
              <w:t>:</w:t>
            </w:r>
          </w:p>
        </w:tc>
        <w:tc>
          <w:tcPr>
            <w:tcW w:w="6307" w:type="dxa"/>
          </w:tcPr>
          <w:p w:rsidR="00CE1AE0" w:rsidRPr="00860771" w:rsidRDefault="00CE1AE0" w:rsidP="00CE1AE0">
            <w:r w:rsidRPr="00860771">
              <w:t>17 January 2020</w:t>
            </w:r>
          </w:p>
        </w:tc>
      </w:tr>
      <w:tr w:rsidR="00CE1AE0" w:rsidRPr="003D1E62" w:rsidTr="003735BC">
        <w:tc>
          <w:tcPr>
            <w:tcW w:w="2907" w:type="dxa"/>
          </w:tcPr>
          <w:p w:rsidR="00CE1AE0" w:rsidRPr="00441C3F" w:rsidRDefault="00CE1AE0" w:rsidP="00CE1AE0">
            <w:pPr>
              <w:rPr>
                <w:i/>
              </w:rPr>
            </w:pPr>
            <w:r>
              <w:rPr>
                <w:i/>
              </w:rPr>
              <w:t>ARTG numbers:</w:t>
            </w:r>
          </w:p>
        </w:tc>
        <w:tc>
          <w:tcPr>
            <w:tcW w:w="6307" w:type="dxa"/>
          </w:tcPr>
          <w:p w:rsidR="00CE1AE0" w:rsidRDefault="00CE1AE0" w:rsidP="00CE1AE0">
            <w:r w:rsidRPr="00860771">
              <w:t>311541, 311542</w:t>
            </w:r>
          </w:p>
        </w:tc>
      </w:tr>
      <w:tr w:rsidR="003735BC" w:rsidRPr="003D1E62" w:rsidTr="003735BC">
        <w:tc>
          <w:tcPr>
            <w:tcW w:w="2907" w:type="dxa"/>
          </w:tcPr>
          <w:p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rsidR="00CE1AE0" w:rsidRPr="008E4B66" w:rsidRDefault="00CE1AE0" w:rsidP="00CE1AE0">
            <w:pPr>
              <w:rPr>
                <w:i/>
              </w:rPr>
            </w:pPr>
            <w:r>
              <w:t>Yes</w:t>
            </w:r>
          </w:p>
          <w:p w:rsidR="003735BC" w:rsidRPr="00487162" w:rsidRDefault="003735BC" w:rsidP="003735BC">
            <w:r>
              <w:t>As a provisionally registered product, this medicine will remain in the Black Triangle Scheme for the duration of its provisional registration</w:t>
            </w:r>
          </w:p>
        </w:tc>
      </w:tr>
      <w:tr w:rsidR="008E7846" w:rsidRPr="00487162" w:rsidTr="00BF1190">
        <w:tc>
          <w:tcPr>
            <w:tcW w:w="2907" w:type="dxa"/>
          </w:tcPr>
          <w:p w:rsidR="008E7846" w:rsidRPr="00487162" w:rsidRDefault="00CE1AE0" w:rsidP="00E45619">
            <w:pPr>
              <w:rPr>
                <w:i/>
              </w:rPr>
            </w:pPr>
            <w:r>
              <w:rPr>
                <w:i/>
              </w:rPr>
              <w:t>Active ingredient</w:t>
            </w:r>
            <w:r w:rsidR="001B5C90">
              <w:rPr>
                <w:i/>
              </w:rPr>
              <w:t>:</w:t>
            </w:r>
          </w:p>
        </w:tc>
        <w:tc>
          <w:tcPr>
            <w:tcW w:w="6307" w:type="dxa"/>
          </w:tcPr>
          <w:p w:rsidR="008E7846" w:rsidRPr="00487162" w:rsidRDefault="00CE1AE0" w:rsidP="00E55CB0">
            <w:proofErr w:type="spellStart"/>
            <w:r>
              <w:t>E</w:t>
            </w:r>
            <w:r w:rsidRPr="00374640">
              <w:t>nasidenib</w:t>
            </w:r>
            <w:proofErr w:type="spellEnd"/>
          </w:p>
        </w:tc>
      </w:tr>
      <w:tr w:rsidR="008E7846" w:rsidRPr="00487162" w:rsidTr="00BF1190">
        <w:tc>
          <w:tcPr>
            <w:tcW w:w="2907" w:type="dxa"/>
          </w:tcPr>
          <w:p w:rsidR="008E7846" w:rsidRPr="00487162" w:rsidRDefault="008E7846" w:rsidP="001B5C90">
            <w:pPr>
              <w:rPr>
                <w:i/>
              </w:rPr>
            </w:pPr>
            <w:r w:rsidRPr="00487162">
              <w:rPr>
                <w:i/>
              </w:rPr>
              <w:t>Product</w:t>
            </w:r>
            <w:r w:rsidR="00CE1AE0">
              <w:rPr>
                <w:i/>
              </w:rPr>
              <w:t xml:space="preserve"> name</w:t>
            </w:r>
            <w:r w:rsidR="001B5C90">
              <w:rPr>
                <w:i/>
              </w:rPr>
              <w:t>:</w:t>
            </w:r>
          </w:p>
        </w:tc>
        <w:tc>
          <w:tcPr>
            <w:tcW w:w="6307" w:type="dxa"/>
          </w:tcPr>
          <w:p w:rsidR="008E7846" w:rsidRPr="00487162" w:rsidRDefault="00CE1AE0" w:rsidP="00E45619">
            <w:r w:rsidRPr="00374640">
              <w:t>Idhifa</w:t>
            </w:r>
          </w:p>
        </w:tc>
      </w:tr>
      <w:tr w:rsidR="008E7846" w:rsidRPr="00487162" w:rsidTr="00BF119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CE1AE0" w:rsidRPr="00374640" w:rsidRDefault="00CE1AE0" w:rsidP="00CE1AE0">
            <w:pPr>
              <w:rPr>
                <w:lang w:val="es-ES"/>
              </w:rPr>
            </w:pPr>
            <w:proofErr w:type="spellStart"/>
            <w:r w:rsidRPr="00374640">
              <w:rPr>
                <w:lang w:val="es-ES"/>
              </w:rPr>
              <w:t>Celgene</w:t>
            </w:r>
            <w:proofErr w:type="spellEnd"/>
            <w:r w:rsidRPr="00374640">
              <w:rPr>
                <w:lang w:val="es-ES"/>
              </w:rPr>
              <w:t xml:space="preserve"> </w:t>
            </w:r>
            <w:proofErr w:type="spellStart"/>
            <w:r w:rsidRPr="00374640">
              <w:rPr>
                <w:lang w:val="es-ES"/>
              </w:rPr>
              <w:t>Pty</w:t>
            </w:r>
            <w:proofErr w:type="spellEnd"/>
            <w:r w:rsidRPr="00374640">
              <w:rPr>
                <w:lang w:val="es-ES"/>
              </w:rPr>
              <w:t xml:space="preserve"> </w:t>
            </w:r>
            <w:proofErr w:type="spellStart"/>
            <w:r w:rsidRPr="00374640">
              <w:rPr>
                <w:lang w:val="es-ES"/>
              </w:rPr>
              <w:t>Ltd</w:t>
            </w:r>
            <w:proofErr w:type="spellEnd"/>
          </w:p>
          <w:p w:rsidR="00CE1AE0" w:rsidRDefault="00CE1AE0" w:rsidP="00CE1AE0">
            <w:pPr>
              <w:rPr>
                <w:lang w:val="es-ES"/>
              </w:rPr>
            </w:pPr>
            <w:proofErr w:type="spellStart"/>
            <w:r>
              <w:rPr>
                <w:lang w:val="es-ES"/>
              </w:rPr>
              <w:t>Level</w:t>
            </w:r>
            <w:proofErr w:type="spellEnd"/>
            <w:r>
              <w:rPr>
                <w:lang w:val="es-ES"/>
              </w:rPr>
              <w:t xml:space="preserve"> 15, 60 City Road</w:t>
            </w:r>
          </w:p>
          <w:p w:rsidR="008E7846" w:rsidRPr="00487162" w:rsidRDefault="00CE1AE0" w:rsidP="00CE1AE0">
            <w:proofErr w:type="spellStart"/>
            <w:r w:rsidRPr="00374640">
              <w:rPr>
                <w:lang w:val="es-ES"/>
              </w:rPr>
              <w:t>Southbank</w:t>
            </w:r>
            <w:proofErr w:type="spellEnd"/>
            <w:r w:rsidRPr="00374640">
              <w:rPr>
                <w:lang w:val="es-ES"/>
              </w:rPr>
              <w:t>, VIC 3006</w:t>
            </w:r>
          </w:p>
        </w:tc>
      </w:tr>
      <w:tr w:rsidR="00CE1AE0" w:rsidRPr="00487162" w:rsidTr="00BF1190">
        <w:tc>
          <w:tcPr>
            <w:tcW w:w="2907" w:type="dxa"/>
          </w:tcPr>
          <w:p w:rsidR="00CE1AE0" w:rsidRPr="00487162" w:rsidRDefault="00CE1AE0" w:rsidP="00CE1AE0">
            <w:pPr>
              <w:rPr>
                <w:i/>
              </w:rPr>
            </w:pPr>
            <w:r>
              <w:rPr>
                <w:i/>
              </w:rPr>
              <w:t>Dose form:</w:t>
            </w:r>
          </w:p>
        </w:tc>
        <w:tc>
          <w:tcPr>
            <w:tcW w:w="6307" w:type="dxa"/>
          </w:tcPr>
          <w:p w:rsidR="00CE1AE0" w:rsidRPr="009E3EEF" w:rsidRDefault="00CE1AE0" w:rsidP="00CE1AE0">
            <w:r w:rsidRPr="009E3EEF">
              <w:t>Film coated tablet</w:t>
            </w:r>
          </w:p>
        </w:tc>
      </w:tr>
      <w:tr w:rsidR="00CE1AE0" w:rsidRPr="00487162" w:rsidTr="00BF1190">
        <w:tc>
          <w:tcPr>
            <w:tcW w:w="2907" w:type="dxa"/>
          </w:tcPr>
          <w:p w:rsidR="00CE1AE0" w:rsidRPr="00487162" w:rsidRDefault="00CE1AE0" w:rsidP="00CE1AE0">
            <w:pPr>
              <w:rPr>
                <w:i/>
              </w:rPr>
            </w:pPr>
            <w:r>
              <w:rPr>
                <w:i/>
              </w:rPr>
              <w:t>Strengths</w:t>
            </w:r>
            <w:r w:rsidRPr="00487162">
              <w:rPr>
                <w:i/>
              </w:rPr>
              <w:t xml:space="preserve">: </w:t>
            </w:r>
          </w:p>
        </w:tc>
        <w:tc>
          <w:tcPr>
            <w:tcW w:w="6307" w:type="dxa"/>
          </w:tcPr>
          <w:p w:rsidR="00CE1AE0" w:rsidRDefault="00CE1AE0" w:rsidP="00CE1AE0">
            <w:r w:rsidRPr="009E3EEF">
              <w:t>50 mg and 100 mg</w:t>
            </w:r>
          </w:p>
        </w:tc>
      </w:tr>
      <w:tr w:rsidR="00CE1AE0" w:rsidRPr="00487162" w:rsidTr="00BF1190">
        <w:tc>
          <w:tcPr>
            <w:tcW w:w="2907" w:type="dxa"/>
          </w:tcPr>
          <w:p w:rsidR="00CE1AE0" w:rsidRPr="00487162" w:rsidRDefault="00CE1AE0" w:rsidP="00CE1AE0">
            <w:pPr>
              <w:rPr>
                <w:i/>
              </w:rPr>
            </w:pPr>
            <w:r>
              <w:rPr>
                <w:i/>
              </w:rPr>
              <w:t>Container</w:t>
            </w:r>
            <w:r w:rsidRPr="00487162">
              <w:rPr>
                <w:i/>
              </w:rPr>
              <w:t>:</w:t>
            </w:r>
          </w:p>
        </w:tc>
        <w:tc>
          <w:tcPr>
            <w:tcW w:w="6307" w:type="dxa"/>
          </w:tcPr>
          <w:p w:rsidR="00CE1AE0" w:rsidRPr="00576B47" w:rsidRDefault="00CE1AE0" w:rsidP="00CE1AE0">
            <w:r w:rsidRPr="00576B47">
              <w:t>Bottle</w:t>
            </w:r>
          </w:p>
        </w:tc>
      </w:tr>
      <w:tr w:rsidR="00CE1AE0" w:rsidRPr="00487162" w:rsidTr="00BF1190">
        <w:tc>
          <w:tcPr>
            <w:tcW w:w="2907" w:type="dxa"/>
          </w:tcPr>
          <w:p w:rsidR="00CE1AE0" w:rsidRPr="00487162" w:rsidRDefault="00CE1AE0" w:rsidP="00CE1AE0">
            <w:pPr>
              <w:rPr>
                <w:i/>
              </w:rPr>
            </w:pPr>
            <w:r>
              <w:rPr>
                <w:i/>
              </w:rPr>
              <w:t>Pack size</w:t>
            </w:r>
            <w:r w:rsidRPr="00487162">
              <w:rPr>
                <w:i/>
              </w:rPr>
              <w:t>:</w:t>
            </w:r>
          </w:p>
        </w:tc>
        <w:tc>
          <w:tcPr>
            <w:tcW w:w="6307" w:type="dxa"/>
          </w:tcPr>
          <w:p w:rsidR="00CE1AE0" w:rsidRDefault="00CE1AE0" w:rsidP="00CE1AE0">
            <w:r w:rsidRPr="00576B47">
              <w:t>30</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CE1AE0" w:rsidRPr="00CE1AE0" w:rsidRDefault="00CE1AE0" w:rsidP="00CE1AE0">
            <w:pPr>
              <w:rPr>
                <w:i/>
              </w:rPr>
            </w:pPr>
            <w:r w:rsidRPr="00CE1AE0">
              <w:rPr>
                <w:i/>
              </w:rPr>
              <w:t xml:space="preserve">This medicine has Provisional Approval in Australia for the treatment of adult patients with relapsed or refractory acute myeloid leukaemia who are ineligible for haematopoietic stem cell transplant, and who have an </w:t>
            </w:r>
            <w:proofErr w:type="spellStart"/>
            <w:r w:rsidRPr="00CE1AE0">
              <w:rPr>
                <w:i/>
              </w:rPr>
              <w:t>isocitrate</w:t>
            </w:r>
            <w:proofErr w:type="spellEnd"/>
            <w:r w:rsidRPr="00CE1AE0">
              <w:rPr>
                <w:i/>
              </w:rPr>
              <w:t xml:space="preserve"> dehydrogenase-2 (IDH2) mutation confirmed by a validated diagnostic test.</w:t>
            </w:r>
          </w:p>
          <w:p w:rsidR="008E7846" w:rsidRDefault="00CE1AE0" w:rsidP="00CE1AE0">
            <w:pPr>
              <w:rPr>
                <w:i/>
              </w:rPr>
            </w:pPr>
            <w:r w:rsidRPr="00CE1AE0">
              <w:rPr>
                <w:i/>
              </w:rPr>
              <w:t>The decision to approve this indication has been made on the basis of preliminary clinical data from a Phase 1/2 clinical trial with a primary endpoint of overall response rate. An improvement in OS or PFS has not been established. The sponsor is required to submit further clinical data to confirm the efficacy and safety of the medicine.</w:t>
            </w:r>
          </w:p>
          <w:p w:rsidR="00B954FE" w:rsidRPr="00B954FE" w:rsidRDefault="00B954FE" w:rsidP="00CE1AE0">
            <w:r>
              <w:t>The provisional registration period for the above medicine(s) is two years starting on the day specified in the ARTG certificate of registration.</w:t>
            </w:r>
          </w:p>
        </w:tc>
      </w:tr>
      <w:tr w:rsidR="00CE1AE0" w:rsidRPr="00487162" w:rsidTr="00BF1190">
        <w:tc>
          <w:tcPr>
            <w:tcW w:w="2907" w:type="dxa"/>
          </w:tcPr>
          <w:p w:rsidR="00CE1AE0" w:rsidRPr="00487162" w:rsidRDefault="00CE1AE0" w:rsidP="00CE1AE0">
            <w:pPr>
              <w:rPr>
                <w:i/>
              </w:rPr>
            </w:pPr>
            <w:r>
              <w:rPr>
                <w:i/>
              </w:rPr>
              <w:t>Route</w:t>
            </w:r>
            <w:r w:rsidRPr="00487162">
              <w:rPr>
                <w:i/>
              </w:rPr>
              <w:t xml:space="preserve"> of administration:</w:t>
            </w:r>
          </w:p>
        </w:tc>
        <w:tc>
          <w:tcPr>
            <w:tcW w:w="6307" w:type="dxa"/>
          </w:tcPr>
          <w:p w:rsidR="00CE1AE0" w:rsidRPr="00D75678" w:rsidRDefault="00CE1AE0" w:rsidP="00CE1AE0">
            <w:r w:rsidRPr="00374640">
              <w:t>Oral</w:t>
            </w:r>
          </w:p>
        </w:tc>
      </w:tr>
      <w:tr w:rsidR="00CE1AE0" w:rsidRPr="00487162" w:rsidTr="00BF1190">
        <w:tc>
          <w:tcPr>
            <w:tcW w:w="2907" w:type="dxa"/>
          </w:tcPr>
          <w:p w:rsidR="00CE1AE0" w:rsidRPr="00487162" w:rsidRDefault="00CE1AE0" w:rsidP="00CE1AE0">
            <w:pPr>
              <w:rPr>
                <w:i/>
              </w:rPr>
            </w:pPr>
            <w:r w:rsidRPr="00487162">
              <w:rPr>
                <w:i/>
              </w:rPr>
              <w:lastRenderedPageBreak/>
              <w:t>Dosage:</w:t>
            </w:r>
          </w:p>
        </w:tc>
        <w:tc>
          <w:tcPr>
            <w:tcW w:w="6307" w:type="dxa"/>
          </w:tcPr>
          <w:p w:rsidR="00CE1AE0" w:rsidRPr="00374640" w:rsidRDefault="00CE1AE0" w:rsidP="00CE1AE0">
            <w:r w:rsidRPr="00374640">
              <w:t>Treatment with Idhifa must be initiated and monitored under the supervision of a registered Specialist Physician experienced in the management of haematological and oncological malignancies.</w:t>
            </w:r>
          </w:p>
          <w:p w:rsidR="00CE1AE0" w:rsidRPr="00374640" w:rsidRDefault="00CE1AE0" w:rsidP="00CE1AE0">
            <w:r w:rsidRPr="00374640">
              <w:t>The recommended starting dose of Idhifa is 100 mg taken orally once daily. It is recommended to treat patients for a minimum of 6 months to allow time for clinical response and to continue treatment until disease progression or unacceptable toxicity.</w:t>
            </w:r>
          </w:p>
          <w:p w:rsidR="00CE1AE0" w:rsidRPr="00374640" w:rsidRDefault="00CE1AE0" w:rsidP="00CE1AE0">
            <w:r w:rsidRPr="00374640">
              <w:t>For further information refer to the Product Information.</w:t>
            </w:r>
          </w:p>
        </w:tc>
      </w:tr>
    </w:tbl>
    <w:p w:rsidR="008E7846" w:rsidRDefault="008E7846" w:rsidP="008E7846">
      <w:pPr>
        <w:pStyle w:val="Heading3"/>
      </w:pPr>
      <w:bookmarkStart w:id="13" w:name="_Toc247691503"/>
      <w:bookmarkStart w:id="14" w:name="_Toc314842484"/>
      <w:bookmarkStart w:id="15" w:name="_Toc40087026"/>
      <w:r>
        <w:t>Product background</w:t>
      </w:r>
      <w:bookmarkEnd w:id="13"/>
      <w:bookmarkEnd w:id="14"/>
      <w:bookmarkEnd w:id="15"/>
    </w:p>
    <w:p w:rsidR="008E7846" w:rsidRDefault="00940A89" w:rsidP="00940A89">
      <w:r w:rsidRPr="00940A89">
        <w:t xml:space="preserve">This AusPAR describes the application by </w:t>
      </w:r>
      <w:proofErr w:type="spellStart"/>
      <w:r w:rsidR="00CE1AE0" w:rsidRPr="00374640">
        <w:rPr>
          <w:lang w:val="es-ES"/>
        </w:rPr>
        <w:t>Celgene</w:t>
      </w:r>
      <w:proofErr w:type="spellEnd"/>
      <w:r w:rsidR="00CE1AE0" w:rsidRPr="00374640">
        <w:rPr>
          <w:lang w:val="es-ES"/>
        </w:rPr>
        <w:t xml:space="preserve"> </w:t>
      </w:r>
      <w:proofErr w:type="spellStart"/>
      <w:r w:rsidR="00CE1AE0" w:rsidRPr="00374640">
        <w:rPr>
          <w:lang w:val="es-ES"/>
        </w:rPr>
        <w:t>Pty</w:t>
      </w:r>
      <w:proofErr w:type="spellEnd"/>
      <w:r w:rsidR="00CE1AE0" w:rsidRPr="00374640">
        <w:rPr>
          <w:lang w:val="es-ES"/>
        </w:rPr>
        <w:t xml:space="preserve"> </w:t>
      </w:r>
      <w:proofErr w:type="spellStart"/>
      <w:r w:rsidR="00CE1AE0" w:rsidRPr="00374640">
        <w:rPr>
          <w:lang w:val="es-ES"/>
        </w:rPr>
        <w:t>Ltd</w:t>
      </w:r>
      <w:proofErr w:type="spellEnd"/>
      <w:r w:rsidR="00CE1AE0" w:rsidRPr="00940A89">
        <w:t xml:space="preserve"> </w:t>
      </w:r>
      <w:r w:rsidR="00CE1AE0">
        <w:t>(</w:t>
      </w:r>
      <w:r w:rsidRPr="00940A89">
        <w:t>the sponsor</w:t>
      </w:r>
      <w:r w:rsidR="00CE1AE0">
        <w:t>)</w:t>
      </w:r>
      <w:r w:rsidRPr="00940A89">
        <w:t xml:space="preserve"> to </w:t>
      </w:r>
      <w:r w:rsidR="00861DAE">
        <w:t xml:space="preserve">provisionally </w:t>
      </w:r>
      <w:r w:rsidRPr="00940A89">
        <w:t xml:space="preserve">register </w:t>
      </w:r>
      <w:r w:rsidR="00CE1AE0" w:rsidRPr="007B2A56">
        <w:rPr>
          <w:rFonts w:eastAsia="Calibri"/>
        </w:rPr>
        <w:t>Idhifa (</w:t>
      </w:r>
      <w:proofErr w:type="spellStart"/>
      <w:r w:rsidR="00CE1AE0" w:rsidRPr="007B2A56">
        <w:rPr>
          <w:rFonts w:eastAsia="Calibri"/>
        </w:rPr>
        <w:t>enasidenib</w:t>
      </w:r>
      <w:proofErr w:type="spellEnd"/>
      <w:r w:rsidR="00CE1AE0" w:rsidRPr="007B2A56">
        <w:rPr>
          <w:rFonts w:eastAsia="Calibri"/>
        </w:rPr>
        <w:t>)</w:t>
      </w:r>
      <w:r w:rsidRPr="00940A89">
        <w:t xml:space="preserve"> </w:t>
      </w:r>
      <w:r w:rsidR="00CE1AE0" w:rsidRPr="009E3EEF">
        <w:t>50 mg and 100 mg</w:t>
      </w:r>
      <w:r w:rsidR="00CE1AE0" w:rsidRPr="00940A89">
        <w:t xml:space="preserve"> </w:t>
      </w:r>
      <w:r w:rsidR="00CE1AE0">
        <w:t xml:space="preserve">film coated tablets </w:t>
      </w:r>
      <w:r w:rsidRPr="00940A89">
        <w:t>f</w:t>
      </w:r>
      <w:r w:rsidR="00CE1AE0">
        <w:t>or the following proposed indication:</w:t>
      </w:r>
    </w:p>
    <w:p w:rsidR="00ED2922" w:rsidRPr="00861DAE" w:rsidRDefault="00861DAE" w:rsidP="00861DAE">
      <w:pPr>
        <w:ind w:left="720"/>
        <w:rPr>
          <w:i/>
        </w:rPr>
      </w:pPr>
      <w:r w:rsidRPr="00861DAE">
        <w:rPr>
          <w:i/>
        </w:rPr>
        <w:t xml:space="preserve">Idhifa is indicated for the treatment of adult patients with relapsed or refractory acute myeloid leukaemia with an </w:t>
      </w:r>
      <w:proofErr w:type="spellStart"/>
      <w:r w:rsidRPr="00861DAE">
        <w:rPr>
          <w:i/>
        </w:rPr>
        <w:t>isocitrate</w:t>
      </w:r>
      <w:proofErr w:type="spellEnd"/>
      <w:r w:rsidRPr="00861DAE">
        <w:rPr>
          <w:i/>
        </w:rPr>
        <w:t xml:space="preserve"> dehydrogenase-2 (IDH2) mutation.</w:t>
      </w:r>
    </w:p>
    <w:p w:rsidR="00E474C8" w:rsidRDefault="005E2F1E" w:rsidP="00861DAE">
      <w:pPr>
        <w:rPr>
          <w:lang w:eastAsia="ja-JP"/>
        </w:rPr>
      </w:pPr>
      <w:r w:rsidRPr="00345C78">
        <w:t xml:space="preserve">Acute myeloid leukaemia (AML) is a heterogeneous </w:t>
      </w:r>
      <w:r w:rsidR="00861DAE">
        <w:t xml:space="preserve">condition affecting around 0.15 in </w:t>
      </w:r>
      <w:r w:rsidRPr="00345C78">
        <w:t>10</w:t>
      </w:r>
      <w:r w:rsidR="00861DAE">
        <w:t>,</w:t>
      </w:r>
      <w:r w:rsidRPr="00345C78">
        <w:t xml:space="preserve">000 persons in Australia. It may arise </w:t>
      </w:r>
      <w:r w:rsidRPr="00861DAE">
        <w:rPr>
          <w:i/>
        </w:rPr>
        <w:t>de novo</w:t>
      </w:r>
      <w:r w:rsidRPr="00345C78">
        <w:t>, be preceded by myelodysplastic syndrome</w:t>
      </w:r>
      <w:r w:rsidR="002D4D5A">
        <w:t xml:space="preserve"> (MDS)</w:t>
      </w:r>
      <w:r w:rsidRPr="00345C78">
        <w:t xml:space="preserve">, or be triggered by treatment with </w:t>
      </w:r>
      <w:r w:rsidR="00861DAE" w:rsidRPr="00345C78">
        <w:t xml:space="preserve">tumour necrosis factor </w:t>
      </w:r>
      <w:r w:rsidR="00861DAE">
        <w:t>(TNF</w:t>
      </w:r>
      <w:r w:rsidRPr="00345C78">
        <w:t xml:space="preserve">)-alpha inhibitors. </w:t>
      </w:r>
      <w:r w:rsidR="0033658A">
        <w:rPr>
          <w:lang w:eastAsia="ja-JP"/>
        </w:rPr>
        <w:t>The treatment of AML has not substantially improv</w:t>
      </w:r>
      <w:r w:rsidR="00861DAE">
        <w:rPr>
          <w:lang w:eastAsia="ja-JP"/>
        </w:rPr>
        <w:t xml:space="preserve">ed in the last 40 years, with 5 </w:t>
      </w:r>
      <w:r w:rsidR="0033658A">
        <w:rPr>
          <w:lang w:eastAsia="ja-JP"/>
        </w:rPr>
        <w:t>year survival of approximately 19% overall.</w:t>
      </w:r>
      <w:r w:rsidR="00E474C8">
        <w:rPr>
          <w:lang w:eastAsia="ja-JP"/>
        </w:rPr>
        <w:t xml:space="preserve"> </w:t>
      </w:r>
      <w:r w:rsidR="002227D5" w:rsidRPr="00345C78">
        <w:t xml:space="preserve">The disease is characterised by various chromosomal abnormalities and genetic defects that are used to classify the disease and are also used to determine prognosis and determine likely response to therapy. The European Leukaemia Net </w:t>
      </w:r>
      <w:r w:rsidR="002D4D5A">
        <w:t xml:space="preserve">(ELN) </w:t>
      </w:r>
      <w:r w:rsidR="002227D5" w:rsidRPr="00345C78">
        <w:t xml:space="preserve">has a three tier risk stratification for such abnormalities, classifying </w:t>
      </w:r>
      <w:r w:rsidR="005369D1">
        <w:t xml:space="preserve">the </w:t>
      </w:r>
      <w:r w:rsidR="002227D5" w:rsidRPr="00345C78">
        <w:t xml:space="preserve">disease </w:t>
      </w:r>
      <w:r w:rsidR="005369D1">
        <w:t>in to</w:t>
      </w:r>
      <w:r w:rsidR="002227D5" w:rsidRPr="00345C78">
        <w:t xml:space="preserve"> favourable, intermediate or adverse risk categories.</w:t>
      </w:r>
      <w:r w:rsidR="002227D5">
        <w:rPr>
          <w:rStyle w:val="FootnoteReference"/>
        </w:rPr>
        <w:footnoteReference w:id="1"/>
      </w:r>
    </w:p>
    <w:p w:rsidR="002227D5" w:rsidRDefault="002227D5" w:rsidP="00654858">
      <w:r w:rsidRPr="00345C78">
        <w:t>About 10% of A</w:t>
      </w:r>
      <w:r w:rsidR="00E474C8">
        <w:t xml:space="preserve">ML patients have </w:t>
      </w:r>
      <w:r w:rsidRPr="00345C78">
        <w:t>a</w:t>
      </w:r>
      <w:r w:rsidR="00E474C8">
        <w:t>n</w:t>
      </w:r>
      <w:r w:rsidRPr="00345C78">
        <w:t xml:space="preserve"> </w:t>
      </w:r>
      <w:proofErr w:type="spellStart"/>
      <w:r w:rsidRPr="00345C78">
        <w:t>isocitrate</w:t>
      </w:r>
      <w:proofErr w:type="spellEnd"/>
      <w:r w:rsidRPr="00345C78">
        <w:t xml:space="preserve"> dehydrogenase </w:t>
      </w:r>
      <w:r w:rsidR="00E474C8">
        <w:t>2</w:t>
      </w:r>
      <w:r w:rsidR="005369D1">
        <w:t xml:space="preserve"> </w:t>
      </w:r>
      <w:r w:rsidR="0052487B">
        <w:t>(IDH</w:t>
      </w:r>
      <w:r w:rsidRPr="00345C78">
        <w:t xml:space="preserve">2) mutation. Typically, this </w:t>
      </w:r>
      <w:r w:rsidR="00E474C8">
        <w:t xml:space="preserve">enzyme converts </w:t>
      </w:r>
      <w:proofErr w:type="spellStart"/>
      <w:r w:rsidR="00E474C8">
        <w:t>isocitrate</w:t>
      </w:r>
      <w:proofErr w:type="spellEnd"/>
      <w:r w:rsidR="00E474C8">
        <w:t xml:space="preserve"> to 2</w:t>
      </w:r>
      <w:r w:rsidR="00E474C8">
        <w:noBreakHyphen/>
      </w:r>
      <w:r w:rsidRPr="00345C78">
        <w:t xml:space="preserve">ketoglutarate in the cellular mitochondria. However, </w:t>
      </w:r>
      <w:r w:rsidR="00654858">
        <w:t xml:space="preserve">IDH2 mutations confer a gain of function, whereby the aberrant enzyme catalyses the production of the </w:t>
      </w:r>
      <w:proofErr w:type="spellStart"/>
      <w:r w:rsidR="00654858">
        <w:t>oncometabolite</w:t>
      </w:r>
      <w:proofErr w:type="spellEnd"/>
      <w:r w:rsidR="00654858">
        <w:t xml:space="preserve"> R(</w:t>
      </w:r>
      <w:r w:rsidR="00654858">
        <w:noBreakHyphen/>
      </w:r>
      <w:r w:rsidRPr="00345C78">
        <w:t>)</w:t>
      </w:r>
      <w:r w:rsidR="00E474C8">
        <w:t xml:space="preserve">2-hydroxyglutarate (2-HG). </w:t>
      </w:r>
      <w:r w:rsidRPr="00345C78">
        <w:t xml:space="preserve">2-HG competitively inhibits DNA and histone demethylases, which </w:t>
      </w:r>
      <w:r w:rsidR="00654858">
        <w:rPr>
          <w:rFonts w:eastAsiaTheme="minorHAnsi" w:cs="Cambria"/>
        </w:rPr>
        <w:t xml:space="preserve">induces a block of </w:t>
      </w:r>
      <w:r w:rsidR="00654858" w:rsidRPr="00345C78">
        <w:t>haematopoietic</w:t>
      </w:r>
      <w:r w:rsidR="00654858">
        <w:rPr>
          <w:rFonts w:eastAsiaTheme="minorHAnsi" w:cs="Cambria"/>
        </w:rPr>
        <w:t xml:space="preserve"> cell differentiation</w:t>
      </w:r>
      <w:r w:rsidRPr="00345C78">
        <w:t>. Hence</w:t>
      </w:r>
      <w:r>
        <w:t>,</w:t>
      </w:r>
      <w:r w:rsidRPr="00345C78">
        <w:t xml:space="preserve"> numbers of immature precursor cells are increased. While the mutant enzyme can contribute to malignant transformation, how they affect survival and </w:t>
      </w:r>
      <w:r>
        <w:t xml:space="preserve">the </w:t>
      </w:r>
      <w:r w:rsidRPr="00345C78">
        <w:t>pr</w:t>
      </w:r>
      <w:r>
        <w:t xml:space="preserve">oliferation of established </w:t>
      </w:r>
      <w:proofErr w:type="spellStart"/>
      <w:r>
        <w:t>leukae</w:t>
      </w:r>
      <w:r w:rsidRPr="00345C78">
        <w:t>mias</w:t>
      </w:r>
      <w:proofErr w:type="spellEnd"/>
      <w:r w:rsidRPr="00345C78">
        <w:t xml:space="preserve"> is not </w:t>
      </w:r>
      <w:r w:rsidR="00E474C8">
        <w:t xml:space="preserve">well </w:t>
      </w:r>
      <w:r w:rsidRPr="00345C78">
        <w:t>understood.</w:t>
      </w:r>
    </w:p>
    <w:p w:rsidR="002C2875" w:rsidRDefault="002C2875" w:rsidP="002C2875">
      <w:r>
        <w:t xml:space="preserve">Relapse in AML can be expected in nearly all patients who initially achieve complete remission (CR), unless post-remission therapy is given. The therapy that provides the best chance to cure a patient with relapsed or refractory </w:t>
      </w:r>
      <w:r w:rsidR="00646F0F">
        <w:t xml:space="preserve">(R/R) </w:t>
      </w:r>
      <w:r>
        <w:t>AML is allogeneic h</w:t>
      </w:r>
      <w:r w:rsidR="005369D1">
        <w:t>a</w:t>
      </w:r>
      <w:r>
        <w:t xml:space="preserve">ematopoietic </w:t>
      </w:r>
      <w:r w:rsidR="002227D5">
        <w:t xml:space="preserve">stem </w:t>
      </w:r>
      <w:r>
        <w:t>cell transplantation (H</w:t>
      </w:r>
      <w:r w:rsidR="002227D5">
        <w:t>S</w:t>
      </w:r>
      <w:r>
        <w:t xml:space="preserve">CT), and the best outcomes appear to be with </w:t>
      </w:r>
      <w:proofErr w:type="spellStart"/>
      <w:r>
        <w:t>myeloablative</w:t>
      </w:r>
      <w:proofErr w:type="spellEnd"/>
      <w:r>
        <w:t xml:space="preserve"> preparative regimens administered after attaining a CR. However, some patients may be cured with </w:t>
      </w:r>
      <w:proofErr w:type="spellStart"/>
      <w:r>
        <w:t>myeloablative</w:t>
      </w:r>
      <w:proofErr w:type="spellEnd"/>
      <w:r>
        <w:t xml:space="preserve"> H</w:t>
      </w:r>
      <w:r w:rsidR="00E474C8">
        <w:t>S</w:t>
      </w:r>
      <w:r>
        <w:t>CT despite residual disease at the time of H</w:t>
      </w:r>
      <w:r w:rsidR="00E474C8">
        <w:t>S</w:t>
      </w:r>
      <w:r>
        <w:t xml:space="preserve">CT. There is no consensus regarding the optimal regimen for achieving remission in patients with </w:t>
      </w:r>
      <w:r w:rsidR="002D4D5A">
        <w:t>R/R</w:t>
      </w:r>
      <w:r>
        <w:t xml:space="preserve"> AML. Some patien</w:t>
      </w:r>
      <w:r w:rsidR="00E474C8">
        <w:t>ts have AML with mutations (for example</w:t>
      </w:r>
      <w:r>
        <w:t xml:space="preserve">, </w:t>
      </w:r>
      <w:proofErr w:type="spellStart"/>
      <w:r w:rsidR="00E474C8" w:rsidRPr="00345C78">
        <w:t>isocitrate</w:t>
      </w:r>
      <w:proofErr w:type="spellEnd"/>
      <w:r w:rsidR="00E474C8" w:rsidRPr="00345C78">
        <w:t xml:space="preserve"> dehydrogenase </w:t>
      </w:r>
      <w:r w:rsidR="00E474C8">
        <w:t>1 (</w:t>
      </w:r>
      <w:r>
        <w:t>IDH1</w:t>
      </w:r>
      <w:r w:rsidR="00E474C8">
        <w:t>)</w:t>
      </w:r>
      <w:r>
        <w:t xml:space="preserve">, IDH2, </w:t>
      </w:r>
      <w:proofErr w:type="spellStart"/>
      <w:r w:rsidR="00E474C8" w:rsidRPr="00E474C8">
        <w:t>fms</w:t>
      </w:r>
      <w:proofErr w:type="spellEnd"/>
      <w:r w:rsidR="00E474C8" w:rsidRPr="00E474C8">
        <w:t xml:space="preserve"> like tyrosine kinase 3</w:t>
      </w:r>
      <w:r w:rsidR="00E474C8">
        <w:t xml:space="preserve"> (</w:t>
      </w:r>
      <w:r>
        <w:t>FLT3</w:t>
      </w:r>
      <w:r w:rsidR="00E474C8">
        <w:t>)</w:t>
      </w:r>
      <w:r>
        <w:t xml:space="preserve">) that are amenable to treatment with targeted agents, but no studies have directly compared targeted agents versus intensive chemotherapy as bridging therapies to transplantation in </w:t>
      </w:r>
      <w:r w:rsidR="00E474C8">
        <w:t>this setting</w:t>
      </w:r>
      <w:r>
        <w:t xml:space="preserve">. Chemotherapy for </w:t>
      </w:r>
      <w:r w:rsidR="002D4D5A">
        <w:t>R/R</w:t>
      </w:r>
      <w:r>
        <w:t xml:space="preserve"> AML is highly toxic, primarily to the h</w:t>
      </w:r>
      <w:r w:rsidR="005369D1">
        <w:t>a</w:t>
      </w:r>
      <w:r>
        <w:t xml:space="preserve">ematopoietic system, and </w:t>
      </w:r>
      <w:r>
        <w:lastRenderedPageBreak/>
        <w:t>most patients will have a prolonged hospital stay and will require blood product support.</w:t>
      </w:r>
      <w:r w:rsidR="00E474C8">
        <w:t xml:space="preserve"> </w:t>
      </w:r>
      <w:r w:rsidR="002227D5">
        <w:t>T</w:t>
      </w:r>
      <w:r w:rsidR="002227D5">
        <w:rPr>
          <w:lang w:eastAsia="ja-JP"/>
        </w:rPr>
        <w:t xml:space="preserve">here is a clear need for targeted, less toxic treatments in </w:t>
      </w:r>
      <w:r w:rsidR="005369D1">
        <w:rPr>
          <w:lang w:eastAsia="ja-JP"/>
        </w:rPr>
        <w:t xml:space="preserve">R/R </w:t>
      </w:r>
      <w:r w:rsidR="002227D5">
        <w:rPr>
          <w:lang w:eastAsia="ja-JP"/>
        </w:rPr>
        <w:t>AML</w:t>
      </w:r>
      <w:r w:rsidR="00E474C8">
        <w:rPr>
          <w:lang w:eastAsia="ja-JP"/>
        </w:rPr>
        <w:t>.</w:t>
      </w:r>
    </w:p>
    <w:p w:rsidR="002C2875" w:rsidRDefault="002C2875" w:rsidP="002C2875">
      <w:r>
        <w:t>Many of the newer agents recommended for specific mutations are not currently registered</w:t>
      </w:r>
      <w:r w:rsidR="00524DB1">
        <w:t>, at the time this submission was under consideration</w:t>
      </w:r>
      <w:r>
        <w:t xml:space="preserve">. These include </w:t>
      </w:r>
      <w:proofErr w:type="spellStart"/>
      <w:r>
        <w:t>gilteritinib</w:t>
      </w:r>
      <w:proofErr w:type="spellEnd"/>
      <w:r>
        <w:t xml:space="preserve"> for FLT3 mutation, </w:t>
      </w:r>
      <w:proofErr w:type="spellStart"/>
      <w:r>
        <w:t>ivosidenib</w:t>
      </w:r>
      <w:proofErr w:type="spellEnd"/>
      <w:r>
        <w:t xml:space="preserve"> for IDH1 mutation, and </w:t>
      </w:r>
      <w:proofErr w:type="spellStart"/>
      <w:r>
        <w:t>gemtuzumab</w:t>
      </w:r>
      <w:proofErr w:type="spellEnd"/>
      <w:r>
        <w:t xml:space="preserve"> ozogamicin for </w:t>
      </w:r>
      <w:r w:rsidR="00E474C8">
        <w:t>cluster of differentiation</w:t>
      </w:r>
      <w:r w:rsidR="005369D1">
        <w:t xml:space="preserve"> 33</w:t>
      </w:r>
      <w:r w:rsidR="00E474C8">
        <w:t xml:space="preserve"> (</w:t>
      </w:r>
      <w:r>
        <w:t>CD33</w:t>
      </w:r>
      <w:r w:rsidR="00E474C8">
        <w:t>)</w:t>
      </w:r>
      <w:r w:rsidR="002D4D5A">
        <w:t xml:space="preserve"> positive AML</w:t>
      </w:r>
      <w:r>
        <w:t>.</w:t>
      </w:r>
    </w:p>
    <w:p w:rsidR="00940A89" w:rsidRDefault="0081747D" w:rsidP="00735356">
      <w:pPr>
        <w:ind w:right="-1"/>
      </w:pPr>
      <w:proofErr w:type="spellStart"/>
      <w:r w:rsidRPr="0081747D">
        <w:rPr>
          <w:lang w:eastAsia="en-AU"/>
        </w:rPr>
        <w:t>Enasidenib</w:t>
      </w:r>
      <w:proofErr w:type="spellEnd"/>
      <w:r w:rsidRPr="0081747D">
        <w:rPr>
          <w:lang w:eastAsia="en-AU"/>
        </w:rPr>
        <w:t xml:space="preserve"> is a first-in-class small molecule selective inhibitor of a mutated form of </w:t>
      </w:r>
      <w:r w:rsidR="00E474C8">
        <w:rPr>
          <w:lang w:eastAsia="en-AU"/>
        </w:rPr>
        <w:t>IDH-2</w:t>
      </w:r>
      <w:r w:rsidR="00577FF8">
        <w:rPr>
          <w:lang w:eastAsia="en-AU"/>
        </w:rPr>
        <w:t xml:space="preserve"> (mIDH2)</w:t>
      </w:r>
      <w:r>
        <w:rPr>
          <w:lang w:eastAsia="en-AU"/>
        </w:rPr>
        <w:t xml:space="preserve">. </w:t>
      </w:r>
      <w:r w:rsidR="002C2875">
        <w:rPr>
          <w:lang w:eastAsia="en-AU"/>
        </w:rPr>
        <w:t xml:space="preserve">The proposed indication for </w:t>
      </w:r>
      <w:proofErr w:type="spellStart"/>
      <w:r w:rsidR="002C2875">
        <w:rPr>
          <w:lang w:eastAsia="ja-JP"/>
        </w:rPr>
        <w:t>enasidenib</w:t>
      </w:r>
      <w:proofErr w:type="spellEnd"/>
      <w:r w:rsidR="002C2875">
        <w:rPr>
          <w:lang w:eastAsia="ja-JP"/>
        </w:rPr>
        <w:t xml:space="preserve"> is for treatment of AML with a mutation in the gene that encodes </w:t>
      </w:r>
      <w:r w:rsidR="00E474C8">
        <w:rPr>
          <w:lang w:eastAsia="ja-JP"/>
        </w:rPr>
        <w:t>IDH-2</w:t>
      </w:r>
      <w:r w:rsidR="002C2875">
        <w:rPr>
          <w:lang w:eastAsia="ja-JP"/>
        </w:rPr>
        <w:t xml:space="preserve">. Because </w:t>
      </w:r>
      <w:proofErr w:type="spellStart"/>
      <w:r w:rsidR="002C2875">
        <w:rPr>
          <w:lang w:eastAsia="ja-JP"/>
        </w:rPr>
        <w:t>enasidenib</w:t>
      </w:r>
      <w:proofErr w:type="spellEnd"/>
      <w:r w:rsidR="002C2875">
        <w:rPr>
          <w:lang w:eastAsia="ja-JP"/>
        </w:rPr>
        <w:t xml:space="preserve"> inhibits the m</w:t>
      </w:r>
      <w:r w:rsidR="00577FF8">
        <w:rPr>
          <w:lang w:eastAsia="ja-JP"/>
        </w:rPr>
        <w:t>IDH</w:t>
      </w:r>
      <w:r w:rsidR="002C2875">
        <w:rPr>
          <w:lang w:eastAsia="ja-JP"/>
        </w:rPr>
        <w:t>2 protein, it reduces 2-HG production, which restores differentiation of leukemic cells into mature cells.</w:t>
      </w:r>
    </w:p>
    <w:p w:rsidR="008E7846" w:rsidRPr="003F31A2" w:rsidRDefault="00386150" w:rsidP="008E7846">
      <w:pPr>
        <w:pStyle w:val="Heading3"/>
      </w:pPr>
      <w:bookmarkStart w:id="16" w:name="_Toc314842485"/>
      <w:bookmarkStart w:id="17" w:name="_Toc247691504"/>
      <w:bookmarkStart w:id="18" w:name="_Toc40087027"/>
      <w:r>
        <w:t>Regulatory s</w:t>
      </w:r>
      <w:r w:rsidR="008E7846">
        <w:t>tatus</w:t>
      </w:r>
      <w:bookmarkEnd w:id="16"/>
      <w:bookmarkEnd w:id="17"/>
      <w:bookmarkEnd w:id="18"/>
    </w:p>
    <w:p w:rsidR="00940A89" w:rsidRDefault="005E2F1E" w:rsidP="00735356">
      <w:pPr>
        <w:ind w:right="-285"/>
      </w:pPr>
      <w:bookmarkStart w:id="19" w:name="_Toc247691505"/>
      <w:bookmarkStart w:id="20" w:name="_Toc314842486"/>
      <w:r w:rsidRPr="007B2A56">
        <w:rPr>
          <w:rFonts w:eastAsia="Calibri"/>
        </w:rPr>
        <w:t>Idhifa (</w:t>
      </w:r>
      <w:proofErr w:type="spellStart"/>
      <w:r w:rsidRPr="007B2A56">
        <w:rPr>
          <w:rFonts w:eastAsia="Calibri"/>
        </w:rPr>
        <w:t>enasidenib</w:t>
      </w:r>
      <w:proofErr w:type="spellEnd"/>
      <w:r w:rsidRPr="007B2A56">
        <w:rPr>
          <w:rFonts w:eastAsia="Calibri"/>
        </w:rPr>
        <w:t>)</w:t>
      </w:r>
      <w:r>
        <w:rPr>
          <w:rFonts w:eastAsia="Calibri"/>
        </w:rPr>
        <w:t xml:space="preserve"> is considered a new chemical entity for Australian regulatory purposes.</w:t>
      </w:r>
    </w:p>
    <w:p w:rsidR="0081747D" w:rsidRPr="0081747D" w:rsidRDefault="0081747D" w:rsidP="0081747D">
      <w:pPr>
        <w:rPr>
          <w:rFonts w:asciiTheme="minorHAnsi" w:hAnsiTheme="minorHAnsi"/>
        </w:rPr>
      </w:pPr>
      <w:proofErr w:type="spellStart"/>
      <w:r w:rsidRPr="0081747D">
        <w:rPr>
          <w:rFonts w:asciiTheme="minorHAnsi" w:hAnsiTheme="minorHAnsi"/>
        </w:rPr>
        <w:t>Enasidenib</w:t>
      </w:r>
      <w:proofErr w:type="spellEnd"/>
      <w:r w:rsidRPr="0081747D">
        <w:rPr>
          <w:rFonts w:asciiTheme="minorHAnsi" w:hAnsiTheme="minorHAnsi"/>
        </w:rPr>
        <w:t xml:space="preserve"> was approved by the </w:t>
      </w:r>
      <w:r w:rsidR="008E4B66">
        <w:rPr>
          <w:rFonts w:asciiTheme="minorHAnsi" w:hAnsiTheme="minorHAnsi"/>
        </w:rPr>
        <w:t>United States (US) Food and Drug Administration (</w:t>
      </w:r>
      <w:r w:rsidRPr="0081747D">
        <w:rPr>
          <w:rFonts w:asciiTheme="minorHAnsi" w:hAnsiTheme="minorHAnsi"/>
        </w:rPr>
        <w:t>FDA</w:t>
      </w:r>
      <w:r w:rsidR="008E4B66">
        <w:rPr>
          <w:rFonts w:asciiTheme="minorHAnsi" w:hAnsiTheme="minorHAnsi"/>
        </w:rPr>
        <w:t>)</w:t>
      </w:r>
      <w:r w:rsidRPr="0081747D">
        <w:rPr>
          <w:rFonts w:asciiTheme="minorHAnsi" w:hAnsiTheme="minorHAnsi"/>
        </w:rPr>
        <w:t xml:space="preserve"> on 1 August 2017</w:t>
      </w:r>
      <w:r>
        <w:rPr>
          <w:rFonts w:asciiTheme="minorHAnsi" w:hAnsiTheme="minorHAnsi"/>
        </w:rPr>
        <w:t xml:space="preserve"> for the following indication:</w:t>
      </w:r>
    </w:p>
    <w:p w:rsidR="0081747D" w:rsidRPr="0081747D" w:rsidRDefault="0081747D" w:rsidP="0081747D">
      <w:pPr>
        <w:ind w:left="720"/>
        <w:rPr>
          <w:rFonts w:asciiTheme="minorHAnsi" w:hAnsiTheme="minorHAnsi"/>
          <w:i/>
        </w:rPr>
      </w:pPr>
      <w:r w:rsidRPr="0081747D">
        <w:rPr>
          <w:rFonts w:asciiTheme="minorHAnsi" w:hAnsiTheme="minorHAnsi"/>
          <w:i/>
        </w:rPr>
        <w:t xml:space="preserve">Idhifa is indicated for the treatment of adult patients with relapsed or refractory acute myeloid leukaemia (AML) with an </w:t>
      </w:r>
      <w:proofErr w:type="spellStart"/>
      <w:r w:rsidRPr="0081747D">
        <w:rPr>
          <w:rFonts w:asciiTheme="minorHAnsi" w:hAnsiTheme="minorHAnsi"/>
          <w:i/>
        </w:rPr>
        <w:t>isocitrate</w:t>
      </w:r>
      <w:proofErr w:type="spellEnd"/>
      <w:r w:rsidRPr="0081747D">
        <w:rPr>
          <w:rFonts w:asciiTheme="minorHAnsi" w:hAnsiTheme="minorHAnsi"/>
          <w:i/>
        </w:rPr>
        <w:t xml:space="preserve"> dehydrogenase-2 (IDH2) mutation as detected by an FDA approved test.</w:t>
      </w:r>
    </w:p>
    <w:p w:rsidR="005E2F1E" w:rsidRDefault="0081747D" w:rsidP="00940A89">
      <w:r w:rsidRPr="00940A89">
        <w:t>At the time the TGA considered this application</w:t>
      </w:r>
      <w:r>
        <w:rPr>
          <w:rFonts w:asciiTheme="minorHAnsi" w:hAnsiTheme="minorHAnsi"/>
        </w:rPr>
        <w:t>, a</w:t>
      </w:r>
      <w:r w:rsidR="00470973">
        <w:rPr>
          <w:rFonts w:asciiTheme="minorHAnsi" w:hAnsiTheme="minorHAnsi"/>
        </w:rPr>
        <w:t>pplications were</w:t>
      </w:r>
      <w:r w:rsidR="005E2F1E" w:rsidRPr="00345C78">
        <w:rPr>
          <w:rFonts w:asciiTheme="minorHAnsi" w:hAnsiTheme="minorHAnsi"/>
        </w:rPr>
        <w:t xml:space="preserve"> under re</w:t>
      </w:r>
      <w:r w:rsidR="00470973">
        <w:rPr>
          <w:rFonts w:asciiTheme="minorHAnsi" w:hAnsiTheme="minorHAnsi"/>
        </w:rPr>
        <w:t xml:space="preserve">view in Canada and Switzerland. An </w:t>
      </w:r>
      <w:r w:rsidR="005E2F1E" w:rsidRPr="00345C78">
        <w:rPr>
          <w:rFonts w:asciiTheme="minorHAnsi" w:hAnsiTheme="minorHAnsi"/>
        </w:rPr>
        <w:t xml:space="preserve">application in the </w:t>
      </w:r>
      <w:r w:rsidR="008E4B66">
        <w:rPr>
          <w:rFonts w:asciiTheme="minorHAnsi" w:hAnsiTheme="minorHAnsi"/>
        </w:rPr>
        <w:t>European Union (</w:t>
      </w:r>
      <w:r w:rsidR="005E2F1E" w:rsidRPr="00345C78">
        <w:rPr>
          <w:rFonts w:asciiTheme="minorHAnsi" w:hAnsiTheme="minorHAnsi"/>
        </w:rPr>
        <w:t>EU</w:t>
      </w:r>
      <w:r w:rsidR="008E4B66">
        <w:rPr>
          <w:rFonts w:asciiTheme="minorHAnsi" w:hAnsiTheme="minorHAnsi"/>
        </w:rPr>
        <w:t>)</w:t>
      </w:r>
      <w:r w:rsidR="005E2F1E" w:rsidRPr="00345C78">
        <w:rPr>
          <w:rFonts w:asciiTheme="minorHAnsi" w:hAnsiTheme="minorHAnsi"/>
        </w:rPr>
        <w:t xml:space="preserve"> was withdrawn, </w:t>
      </w:r>
      <w:r w:rsidR="00654858">
        <w:rPr>
          <w:rFonts w:asciiTheme="minorHAnsi" w:hAnsiTheme="minorHAnsi"/>
        </w:rPr>
        <w:t>following</w:t>
      </w:r>
      <w:r w:rsidR="00470973">
        <w:rPr>
          <w:rFonts w:asciiTheme="minorHAnsi" w:hAnsiTheme="minorHAnsi"/>
        </w:rPr>
        <w:t xml:space="preserve"> the </w:t>
      </w:r>
      <w:r w:rsidR="00E474C8">
        <w:rPr>
          <w:rFonts w:asciiTheme="minorHAnsi" w:hAnsiTheme="minorHAnsi"/>
        </w:rPr>
        <w:t xml:space="preserve">provisional opinion of the </w:t>
      </w:r>
      <w:r w:rsidR="008E4B66">
        <w:rPr>
          <w:rFonts w:asciiTheme="minorHAnsi" w:hAnsiTheme="minorHAnsi"/>
        </w:rPr>
        <w:t>European Medicines Agency (</w:t>
      </w:r>
      <w:r w:rsidR="00470973">
        <w:rPr>
          <w:rFonts w:asciiTheme="minorHAnsi" w:hAnsiTheme="minorHAnsi"/>
        </w:rPr>
        <w:t>EMA</w:t>
      </w:r>
      <w:r w:rsidR="008E4B66">
        <w:rPr>
          <w:rFonts w:asciiTheme="minorHAnsi" w:hAnsiTheme="minorHAnsi"/>
        </w:rPr>
        <w:t>)</w:t>
      </w:r>
      <w:r w:rsidR="00470973" w:rsidRPr="00470973">
        <w:rPr>
          <w:rFonts w:asciiTheme="minorHAnsi" w:hAnsiTheme="minorHAnsi"/>
        </w:rPr>
        <w:t xml:space="preserve"> that the results of the study did not allow </w:t>
      </w:r>
      <w:r w:rsidR="00470973">
        <w:rPr>
          <w:rFonts w:asciiTheme="minorHAnsi" w:hAnsiTheme="minorHAnsi"/>
        </w:rPr>
        <w:t>the conclusion</w:t>
      </w:r>
      <w:r w:rsidR="00470973" w:rsidRPr="00470973">
        <w:rPr>
          <w:rFonts w:asciiTheme="minorHAnsi" w:hAnsiTheme="minorHAnsi"/>
        </w:rPr>
        <w:t xml:space="preserve"> that Idhifa was sufficiently effective in the treatment of </w:t>
      </w:r>
      <w:r w:rsidR="002D4D5A">
        <w:rPr>
          <w:rFonts w:asciiTheme="minorHAnsi" w:hAnsiTheme="minorHAnsi"/>
        </w:rPr>
        <w:t>R/R</w:t>
      </w:r>
      <w:r w:rsidR="005369D1">
        <w:rPr>
          <w:rFonts w:asciiTheme="minorHAnsi" w:hAnsiTheme="minorHAnsi"/>
        </w:rPr>
        <w:t> </w:t>
      </w:r>
      <w:r w:rsidR="00470973" w:rsidRPr="00470973">
        <w:rPr>
          <w:rFonts w:asciiTheme="minorHAnsi" w:hAnsiTheme="minorHAnsi"/>
        </w:rPr>
        <w:t>AML with an IDH2 mutation</w:t>
      </w:r>
      <w:r w:rsidR="005E2F1E" w:rsidRPr="00345C78">
        <w:rPr>
          <w:rFonts w:asciiTheme="minorHAnsi" w:hAnsiTheme="minorHAnsi"/>
        </w:rPr>
        <w:t>.</w:t>
      </w:r>
      <w:bookmarkStart w:id="21" w:name="_Ref36196231"/>
      <w:r w:rsidR="00470973">
        <w:rPr>
          <w:rStyle w:val="FootnoteReference"/>
          <w:rFonts w:asciiTheme="minorHAnsi" w:hAnsiTheme="minorHAnsi"/>
        </w:rPr>
        <w:footnoteReference w:id="2"/>
      </w:r>
      <w:bookmarkEnd w:id="21"/>
    </w:p>
    <w:p w:rsidR="008E7846" w:rsidRDefault="008E7846" w:rsidP="00940A89">
      <w:pPr>
        <w:pStyle w:val="Heading3"/>
      </w:pPr>
      <w:bookmarkStart w:id="22" w:name="_Toc40087028"/>
      <w:r>
        <w:t>Product Information</w:t>
      </w:r>
      <w:bookmarkEnd w:id="19"/>
      <w:bookmarkEnd w:id="20"/>
      <w:bookmarkEnd w:id="22"/>
    </w:p>
    <w:p w:rsidR="00940A89" w:rsidRDefault="006136D7" w:rsidP="00940A89">
      <w:bookmarkStart w:id="23" w:name="_Toc247691506"/>
      <w:bookmarkStart w:id="24"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rsidR="00500337" w:rsidRDefault="00B954FE" w:rsidP="00500337">
      <w:pPr>
        <w:pStyle w:val="Heading2"/>
      </w:pPr>
      <w:bookmarkStart w:id="25" w:name="_Toc504480011"/>
      <w:bookmarkStart w:id="26" w:name="_Toc40087029"/>
      <w:r>
        <w:t>II. Registration time</w:t>
      </w:r>
      <w:r w:rsidR="00500337">
        <w:t>line</w:t>
      </w:r>
      <w:bookmarkEnd w:id="25"/>
      <w:bookmarkEnd w:id="26"/>
    </w:p>
    <w:p w:rsidR="00500337" w:rsidRDefault="00470973" w:rsidP="00500337">
      <w:r>
        <w:fldChar w:fldCharType="begin"/>
      </w:r>
      <w:r>
        <w:instrText xml:space="preserve"> REF _Ref35937609 \h </w:instrText>
      </w:r>
      <w:r>
        <w:fldChar w:fldCharType="separate"/>
      </w:r>
      <w:r>
        <w:t xml:space="preserve">Table </w:t>
      </w:r>
      <w:r>
        <w:rPr>
          <w:noProof/>
        </w:rPr>
        <w:t>1</w:t>
      </w:r>
      <w:r>
        <w:fldChar w:fldCharType="end"/>
      </w:r>
      <w:r>
        <w:t xml:space="preserve"> </w:t>
      </w:r>
      <w:r w:rsidR="00500337">
        <w:t>captures the key steps and dates for this application and which are detailed and discussed</w:t>
      </w:r>
      <w:r w:rsidR="00B954FE">
        <w:t xml:space="preserve"> in this AusPAR</w:t>
      </w:r>
      <w:r w:rsidR="00500337">
        <w:t>.</w:t>
      </w:r>
    </w:p>
    <w:p w:rsidR="00500337" w:rsidRPr="00377BD4" w:rsidRDefault="00470973" w:rsidP="00470973">
      <w:pPr>
        <w:pStyle w:val="TableTitle"/>
      </w:pPr>
      <w:bookmarkStart w:id="27" w:name="_Ref35937609"/>
      <w:r>
        <w:t xml:space="preserve">Table </w:t>
      </w:r>
      <w:r w:rsidR="00735356">
        <w:fldChar w:fldCharType="begin"/>
      </w:r>
      <w:r w:rsidR="00735356">
        <w:instrText xml:space="preserve"> SEQ Table \* ARABIC </w:instrText>
      </w:r>
      <w:r w:rsidR="00735356">
        <w:fldChar w:fldCharType="separate"/>
      </w:r>
      <w:r w:rsidR="009B6128">
        <w:rPr>
          <w:noProof/>
        </w:rPr>
        <w:t>1</w:t>
      </w:r>
      <w:r w:rsidR="00735356">
        <w:rPr>
          <w:noProof/>
        </w:rPr>
        <w:fldChar w:fldCharType="end"/>
      </w:r>
      <w:bookmarkEnd w:id="27"/>
      <w:r>
        <w:t xml:space="preserve">: </w:t>
      </w:r>
      <w:r w:rsidR="006A58A8" w:rsidRPr="006A58A8">
        <w:t>Timeline f</w:t>
      </w:r>
      <w:r w:rsidR="00B954FE">
        <w:t xml:space="preserve">or Submission </w:t>
      </w:r>
      <w:r w:rsidR="00B954FE" w:rsidRPr="007F7A84">
        <w:t>PM-2018-04819-1-6</w:t>
      </w:r>
    </w:p>
    <w:tbl>
      <w:tblPr>
        <w:tblStyle w:val="TableTGAblue"/>
        <w:tblW w:w="0" w:type="auto"/>
        <w:tblLook w:val="04A0" w:firstRow="1" w:lastRow="0" w:firstColumn="1" w:lastColumn="0" w:noHBand="0" w:noVBand="1"/>
      </w:tblPr>
      <w:tblGrid>
        <w:gridCol w:w="5070"/>
        <w:gridCol w:w="3650"/>
      </w:tblGrid>
      <w:tr w:rsidR="00500337" w:rsidTr="00735356">
        <w:trPr>
          <w:cnfStyle w:val="100000000000" w:firstRow="1" w:lastRow="0" w:firstColumn="0" w:lastColumn="0" w:oddVBand="0" w:evenVBand="0" w:oddHBand="0" w:evenHBand="0" w:firstRowFirstColumn="0" w:firstRowLastColumn="0" w:lastRowFirstColumn="0" w:lastRowLastColumn="0"/>
        </w:trPr>
        <w:tc>
          <w:tcPr>
            <w:tcW w:w="5070" w:type="dxa"/>
          </w:tcPr>
          <w:p w:rsidR="00500337" w:rsidRDefault="00500337" w:rsidP="00DC5B6B">
            <w:pPr>
              <w:rPr>
                <w:b w:val="0"/>
                <w:color w:val="auto"/>
                <w:szCs w:val="22"/>
                <w:lang w:eastAsia="en-US"/>
              </w:rPr>
            </w:pPr>
            <w:r w:rsidRPr="005369D1">
              <w:t>Description</w:t>
            </w:r>
          </w:p>
        </w:tc>
        <w:tc>
          <w:tcPr>
            <w:tcW w:w="3650" w:type="dxa"/>
          </w:tcPr>
          <w:p w:rsidR="00500337" w:rsidRDefault="00500337" w:rsidP="00DC5B6B">
            <w:pPr>
              <w:rPr>
                <w:b w:val="0"/>
                <w:color w:val="auto"/>
                <w:szCs w:val="22"/>
                <w:lang w:eastAsia="en-US"/>
              </w:rPr>
            </w:pPr>
            <w:r w:rsidRPr="005369D1">
              <w:t>Date</w:t>
            </w:r>
          </w:p>
        </w:tc>
      </w:tr>
      <w:tr w:rsidR="00B954FE" w:rsidTr="00735356">
        <w:tc>
          <w:tcPr>
            <w:tcW w:w="5070" w:type="dxa"/>
          </w:tcPr>
          <w:p w:rsidR="00B954FE" w:rsidRPr="00D75678" w:rsidRDefault="00735356" w:rsidP="00654858">
            <w:r>
              <w:t>Positive Designation</w:t>
            </w:r>
          </w:p>
        </w:tc>
        <w:tc>
          <w:tcPr>
            <w:tcW w:w="3650" w:type="dxa"/>
          </w:tcPr>
          <w:p w:rsidR="00B954FE" w:rsidRPr="002D450A" w:rsidRDefault="00654858" w:rsidP="00735356">
            <w:r>
              <w:t xml:space="preserve">Orphan: </w:t>
            </w:r>
            <w:r w:rsidR="00B954FE">
              <w:t>30 April</w:t>
            </w:r>
            <w:r>
              <w:t xml:space="preserve"> 2018</w:t>
            </w:r>
            <w:r w:rsidR="005369D1">
              <w:t>;</w:t>
            </w:r>
            <w:r>
              <w:t xml:space="preserve"> extension</w:t>
            </w:r>
            <w:r w:rsidR="005369D1">
              <w:t>: </w:t>
            </w:r>
            <w:r>
              <w:t>8</w:t>
            </w:r>
            <w:r w:rsidR="005369D1">
              <w:t> </w:t>
            </w:r>
            <w:r>
              <w:t>October 2018</w:t>
            </w:r>
            <w:r w:rsidR="00735356">
              <w:t xml:space="preserve"> </w:t>
            </w:r>
            <w:r w:rsidR="00735356">
              <w:br/>
            </w:r>
            <w:r>
              <w:t xml:space="preserve">Provisional: </w:t>
            </w:r>
            <w:r w:rsidR="00B954FE">
              <w:t>27 September 2018</w:t>
            </w:r>
          </w:p>
        </w:tc>
      </w:tr>
      <w:tr w:rsidR="00B954FE" w:rsidTr="00735356">
        <w:trPr>
          <w:cantSplit/>
        </w:trPr>
        <w:tc>
          <w:tcPr>
            <w:tcW w:w="5070" w:type="dxa"/>
          </w:tcPr>
          <w:p w:rsidR="00B954FE" w:rsidRPr="00D75678" w:rsidRDefault="00B954FE" w:rsidP="00B954FE">
            <w:r w:rsidRPr="00D75678">
              <w:t>Submission dossier accepted and first round evaluation commenced</w:t>
            </w:r>
          </w:p>
        </w:tc>
        <w:tc>
          <w:tcPr>
            <w:tcW w:w="3650" w:type="dxa"/>
          </w:tcPr>
          <w:p w:rsidR="00B954FE" w:rsidRPr="002D450A" w:rsidRDefault="00B954FE" w:rsidP="00B954FE">
            <w:pPr>
              <w:rPr>
                <w:color w:val="auto"/>
              </w:rPr>
            </w:pPr>
            <w:r w:rsidRPr="002D450A">
              <w:rPr>
                <w:color w:val="auto"/>
              </w:rPr>
              <w:t>2 January 2019</w:t>
            </w:r>
          </w:p>
        </w:tc>
      </w:tr>
      <w:tr w:rsidR="00B954FE" w:rsidTr="00735356">
        <w:tc>
          <w:tcPr>
            <w:tcW w:w="5070" w:type="dxa"/>
          </w:tcPr>
          <w:p w:rsidR="00B954FE" w:rsidRPr="00D75678" w:rsidRDefault="00B954FE" w:rsidP="00B954FE">
            <w:r w:rsidRPr="00D75678">
              <w:lastRenderedPageBreak/>
              <w:t>First round evaluation completed</w:t>
            </w:r>
          </w:p>
        </w:tc>
        <w:tc>
          <w:tcPr>
            <w:tcW w:w="3650" w:type="dxa"/>
          </w:tcPr>
          <w:p w:rsidR="00B954FE" w:rsidRPr="002D450A" w:rsidRDefault="00B954FE" w:rsidP="00B954FE">
            <w:pPr>
              <w:rPr>
                <w:color w:val="auto"/>
              </w:rPr>
            </w:pPr>
            <w:r w:rsidRPr="002D450A">
              <w:rPr>
                <w:color w:val="auto"/>
              </w:rPr>
              <w:t>6 September 2019</w:t>
            </w:r>
          </w:p>
        </w:tc>
      </w:tr>
      <w:tr w:rsidR="00B954FE" w:rsidTr="00735356">
        <w:tc>
          <w:tcPr>
            <w:tcW w:w="5070" w:type="dxa"/>
          </w:tcPr>
          <w:p w:rsidR="00B954FE" w:rsidRPr="00D75678" w:rsidRDefault="00B954FE" w:rsidP="00B954FE">
            <w:r w:rsidRPr="00D75678">
              <w:t>Sponsor provides responses on questions raised in first round evaluation</w:t>
            </w:r>
          </w:p>
        </w:tc>
        <w:tc>
          <w:tcPr>
            <w:tcW w:w="3650" w:type="dxa"/>
          </w:tcPr>
          <w:p w:rsidR="00B954FE" w:rsidRPr="002D450A" w:rsidRDefault="00B954FE" w:rsidP="00B954FE">
            <w:pPr>
              <w:rPr>
                <w:color w:val="auto"/>
              </w:rPr>
            </w:pPr>
            <w:r w:rsidRPr="002D450A">
              <w:rPr>
                <w:color w:val="auto"/>
              </w:rPr>
              <w:t>30 October 2019</w:t>
            </w:r>
          </w:p>
        </w:tc>
      </w:tr>
      <w:tr w:rsidR="00B954FE" w:rsidTr="00735356">
        <w:tc>
          <w:tcPr>
            <w:tcW w:w="5070" w:type="dxa"/>
          </w:tcPr>
          <w:p w:rsidR="00B954FE" w:rsidRPr="00D75678" w:rsidRDefault="00B954FE" w:rsidP="00B954FE">
            <w:r w:rsidRPr="00D75678">
              <w:t>Second round evaluation completed</w:t>
            </w:r>
          </w:p>
        </w:tc>
        <w:tc>
          <w:tcPr>
            <w:tcW w:w="3650" w:type="dxa"/>
          </w:tcPr>
          <w:p w:rsidR="00B954FE" w:rsidRPr="002D450A" w:rsidRDefault="00B954FE" w:rsidP="00B954FE">
            <w:pPr>
              <w:rPr>
                <w:color w:val="auto"/>
              </w:rPr>
            </w:pPr>
            <w:r w:rsidRPr="002D450A">
              <w:rPr>
                <w:color w:val="auto"/>
              </w:rPr>
              <w:t>13 January 2020</w:t>
            </w:r>
          </w:p>
        </w:tc>
      </w:tr>
      <w:tr w:rsidR="00B954FE" w:rsidTr="00735356">
        <w:tc>
          <w:tcPr>
            <w:tcW w:w="5070" w:type="dxa"/>
          </w:tcPr>
          <w:p w:rsidR="00B954FE" w:rsidRPr="00D75678" w:rsidRDefault="00B954FE" w:rsidP="00B954FE">
            <w:r w:rsidRPr="00D75678">
              <w:t xml:space="preserve">Delegate’s </w:t>
            </w:r>
            <w:r>
              <w:t>Overall benefit-risk assessment</w:t>
            </w:r>
          </w:p>
        </w:tc>
        <w:tc>
          <w:tcPr>
            <w:tcW w:w="3650" w:type="dxa"/>
          </w:tcPr>
          <w:p w:rsidR="00B954FE" w:rsidRPr="002D450A" w:rsidRDefault="00B954FE" w:rsidP="00B954FE">
            <w:pPr>
              <w:rPr>
                <w:color w:val="auto"/>
              </w:rPr>
            </w:pPr>
            <w:r w:rsidRPr="002D450A">
              <w:rPr>
                <w:color w:val="auto"/>
              </w:rPr>
              <w:t>10 January 2020</w:t>
            </w:r>
          </w:p>
        </w:tc>
      </w:tr>
      <w:tr w:rsidR="00B954FE" w:rsidTr="00735356">
        <w:tc>
          <w:tcPr>
            <w:tcW w:w="5070" w:type="dxa"/>
          </w:tcPr>
          <w:p w:rsidR="00B954FE" w:rsidRPr="00D75678" w:rsidRDefault="00B954FE" w:rsidP="00B954FE">
            <w:r w:rsidRPr="00D75678">
              <w:t>Sponsor’s pre-Advisory Committee response</w:t>
            </w:r>
          </w:p>
        </w:tc>
        <w:tc>
          <w:tcPr>
            <w:tcW w:w="3650" w:type="dxa"/>
          </w:tcPr>
          <w:p w:rsidR="00B954FE" w:rsidRPr="002D450A" w:rsidRDefault="00B954FE" w:rsidP="00B954FE">
            <w:pPr>
              <w:rPr>
                <w:color w:val="auto"/>
              </w:rPr>
            </w:pPr>
            <w:r w:rsidRPr="002D450A">
              <w:rPr>
                <w:color w:val="auto"/>
              </w:rPr>
              <w:t>Not applicable</w:t>
            </w:r>
          </w:p>
        </w:tc>
      </w:tr>
      <w:tr w:rsidR="00B954FE" w:rsidTr="00735356">
        <w:tc>
          <w:tcPr>
            <w:tcW w:w="5070" w:type="dxa"/>
          </w:tcPr>
          <w:p w:rsidR="00B954FE" w:rsidRPr="00D75678" w:rsidRDefault="00B954FE" w:rsidP="00B954FE">
            <w:r w:rsidRPr="00D75678">
              <w:t>Advisory Committee meeting</w:t>
            </w:r>
          </w:p>
        </w:tc>
        <w:tc>
          <w:tcPr>
            <w:tcW w:w="3650" w:type="dxa"/>
          </w:tcPr>
          <w:p w:rsidR="00B954FE" w:rsidRPr="002D450A" w:rsidRDefault="00B954FE" w:rsidP="00B954FE">
            <w:pPr>
              <w:rPr>
                <w:color w:val="auto"/>
              </w:rPr>
            </w:pPr>
            <w:r w:rsidRPr="002D450A">
              <w:rPr>
                <w:color w:val="auto"/>
              </w:rPr>
              <w:t>Not applicable</w:t>
            </w:r>
          </w:p>
        </w:tc>
      </w:tr>
      <w:tr w:rsidR="00B954FE" w:rsidTr="00735356">
        <w:tc>
          <w:tcPr>
            <w:tcW w:w="5070" w:type="dxa"/>
          </w:tcPr>
          <w:p w:rsidR="00B954FE" w:rsidRPr="00D75678" w:rsidRDefault="00B954FE" w:rsidP="00B954FE">
            <w:r w:rsidRPr="00D75678">
              <w:t>Registration decision (Outcome)</w:t>
            </w:r>
          </w:p>
        </w:tc>
        <w:tc>
          <w:tcPr>
            <w:tcW w:w="3650" w:type="dxa"/>
          </w:tcPr>
          <w:p w:rsidR="00B954FE" w:rsidRPr="002D450A" w:rsidRDefault="00B954FE" w:rsidP="00B954FE">
            <w:pPr>
              <w:rPr>
                <w:color w:val="auto"/>
              </w:rPr>
            </w:pPr>
            <w:r w:rsidRPr="002D450A">
              <w:rPr>
                <w:color w:val="auto"/>
              </w:rPr>
              <w:t>15 January 2020</w:t>
            </w:r>
          </w:p>
        </w:tc>
      </w:tr>
      <w:tr w:rsidR="00B954FE" w:rsidTr="00735356">
        <w:tc>
          <w:tcPr>
            <w:tcW w:w="5070" w:type="dxa"/>
          </w:tcPr>
          <w:p w:rsidR="00B954FE" w:rsidRPr="00D75678" w:rsidRDefault="00B954FE" w:rsidP="00B954FE">
            <w:r w:rsidRPr="00D75678">
              <w:t xml:space="preserve">Completion of administrative activities and registration on </w:t>
            </w:r>
            <w:r w:rsidR="0046560C">
              <w:t xml:space="preserve">the </w:t>
            </w:r>
            <w:r w:rsidRPr="00D75678">
              <w:t>ARTG</w:t>
            </w:r>
          </w:p>
        </w:tc>
        <w:tc>
          <w:tcPr>
            <w:tcW w:w="3650" w:type="dxa"/>
          </w:tcPr>
          <w:p w:rsidR="00B954FE" w:rsidRPr="00495EDA" w:rsidRDefault="00B954FE" w:rsidP="00B954FE">
            <w:pPr>
              <w:rPr>
                <w:color w:val="auto"/>
              </w:rPr>
            </w:pPr>
            <w:r w:rsidRPr="00495EDA">
              <w:rPr>
                <w:color w:val="auto"/>
              </w:rPr>
              <w:t>17 January 2020</w:t>
            </w:r>
          </w:p>
        </w:tc>
      </w:tr>
      <w:tr w:rsidR="00B954FE" w:rsidTr="00735356">
        <w:tc>
          <w:tcPr>
            <w:tcW w:w="5070" w:type="dxa"/>
          </w:tcPr>
          <w:p w:rsidR="00B954FE" w:rsidRPr="00D75678" w:rsidRDefault="00B954FE" w:rsidP="00B954FE">
            <w:r w:rsidRPr="00D75678">
              <w:t>Number of working days from submission dossier acceptance to registration decision*</w:t>
            </w:r>
          </w:p>
        </w:tc>
        <w:tc>
          <w:tcPr>
            <w:tcW w:w="3650" w:type="dxa"/>
          </w:tcPr>
          <w:p w:rsidR="00B954FE" w:rsidRPr="002D450A" w:rsidRDefault="00B954FE" w:rsidP="00B954FE">
            <w:pPr>
              <w:rPr>
                <w:color w:val="auto"/>
              </w:rPr>
            </w:pPr>
            <w:r w:rsidRPr="002D450A">
              <w:rPr>
                <w:color w:val="auto"/>
              </w:rPr>
              <w:t>220</w:t>
            </w:r>
          </w:p>
        </w:tc>
      </w:tr>
    </w:tbl>
    <w:p w:rsidR="00500337" w:rsidRDefault="00500337" w:rsidP="00470973">
      <w:pPr>
        <w:pStyle w:val="TableDescription"/>
      </w:pPr>
      <w:r>
        <w:t>*</w:t>
      </w:r>
      <w:r w:rsidR="00BF3774" w:rsidRPr="00BF3774">
        <w:t xml:space="preserve">Statutory </w:t>
      </w:r>
      <w:r>
        <w:t>timeframe for standard applications is 2</w:t>
      </w:r>
      <w:r w:rsidR="00BF3774">
        <w:t>55</w:t>
      </w:r>
      <w:r>
        <w:t xml:space="preserve"> wor</w:t>
      </w:r>
      <w:r w:rsidR="00470973">
        <w:t>king days</w:t>
      </w:r>
    </w:p>
    <w:p w:rsidR="008E7846" w:rsidRPr="00792A32" w:rsidRDefault="00456765" w:rsidP="008E7846">
      <w:pPr>
        <w:pStyle w:val="Heading2"/>
      </w:pPr>
      <w:bookmarkStart w:id="28" w:name="_Toc196046504"/>
      <w:bookmarkStart w:id="29" w:name="_Toc247691527"/>
      <w:bookmarkStart w:id="30" w:name="_Toc314842510"/>
      <w:bookmarkStart w:id="31" w:name="_Toc163441390"/>
      <w:bookmarkStart w:id="32" w:name="_Toc40087030"/>
      <w:bookmarkEnd w:id="23"/>
      <w:bookmarkEnd w:id="24"/>
      <w:bookmarkEnd w:id="1"/>
      <w:r>
        <w:t>I</w:t>
      </w:r>
      <w:r w:rsidR="00DA64CB">
        <w:t>I</w:t>
      </w:r>
      <w:r w:rsidR="008E7846">
        <w:t xml:space="preserve">I. </w:t>
      </w:r>
      <w:r w:rsidR="0033658A">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2"/>
    </w:p>
    <w:p w:rsidR="008E7846" w:rsidRDefault="008E7846" w:rsidP="008E7846">
      <w:bookmarkStart w:id="33"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34" w:name="_Toc314842511"/>
      <w:bookmarkStart w:id="35" w:name="_Toc40087031"/>
      <w:r>
        <w:t>Quality</w:t>
      </w:r>
      <w:bookmarkEnd w:id="33"/>
      <w:bookmarkEnd w:id="34"/>
      <w:bookmarkEnd w:id="35"/>
    </w:p>
    <w:p w:rsidR="00654858" w:rsidRDefault="00654858" w:rsidP="00654858">
      <w:proofErr w:type="spellStart"/>
      <w:r>
        <w:t>Enasidenib</w:t>
      </w:r>
      <w:proofErr w:type="spellEnd"/>
      <w:r>
        <w:t xml:space="preserve"> (structure shown in </w:t>
      </w:r>
      <w:r>
        <w:fldChar w:fldCharType="begin"/>
      </w:r>
      <w:r>
        <w:instrText xml:space="preserve"> REF _Ref35939850 \h </w:instrText>
      </w:r>
      <w:r>
        <w:fldChar w:fldCharType="separate"/>
      </w:r>
      <w:r>
        <w:t xml:space="preserve">Figure </w:t>
      </w:r>
      <w:r>
        <w:rPr>
          <w:noProof/>
        </w:rPr>
        <w:t>1</w:t>
      </w:r>
      <w:r>
        <w:fldChar w:fldCharType="end"/>
      </w:r>
      <w:r>
        <w:t xml:space="preserve">, </w:t>
      </w:r>
      <w:r w:rsidR="006F38B3">
        <w:t xml:space="preserve">below), is a first in </w:t>
      </w:r>
      <w:r>
        <w:t>class small molecu</w:t>
      </w:r>
      <w:r w:rsidR="0052487B">
        <w:t>le oral inhibitor of mutant IDH</w:t>
      </w:r>
      <w:r>
        <w:t xml:space="preserve">2 variants. This compound belongs to the class of organic compounds known as 1,3,5‐triazine‐2,4‐diamines. It is presented as a </w:t>
      </w:r>
      <w:proofErr w:type="spellStart"/>
      <w:r>
        <w:t>mesylate</w:t>
      </w:r>
      <w:proofErr w:type="spellEnd"/>
      <w:r>
        <w:t xml:space="preserve"> salt (the 50 mg product contains 60 mg </w:t>
      </w:r>
      <w:proofErr w:type="spellStart"/>
      <w:r>
        <w:t>enasidenib</w:t>
      </w:r>
      <w:proofErr w:type="spellEnd"/>
      <w:r>
        <w:t xml:space="preserve"> </w:t>
      </w:r>
      <w:proofErr w:type="spellStart"/>
      <w:r>
        <w:t>mesylate</w:t>
      </w:r>
      <w:proofErr w:type="spellEnd"/>
      <w:r>
        <w:t xml:space="preserve">, and the 100 mg product contains 120 mg </w:t>
      </w:r>
      <w:proofErr w:type="spellStart"/>
      <w:r>
        <w:t>enasidenib</w:t>
      </w:r>
      <w:proofErr w:type="spellEnd"/>
      <w:r>
        <w:t xml:space="preserve"> </w:t>
      </w:r>
      <w:proofErr w:type="spellStart"/>
      <w:r>
        <w:t>mesylate</w:t>
      </w:r>
      <w:proofErr w:type="spellEnd"/>
      <w:r>
        <w:t>)</w:t>
      </w:r>
      <w:r w:rsidR="006F38B3">
        <w:t>.</w:t>
      </w:r>
    </w:p>
    <w:p w:rsidR="00654858" w:rsidRDefault="00654858" w:rsidP="00654858">
      <w:pPr>
        <w:pStyle w:val="FigureTitle"/>
      </w:pPr>
      <w:bookmarkStart w:id="36" w:name="_Ref35939850"/>
      <w:r>
        <w:t xml:space="preserve">Figure </w:t>
      </w:r>
      <w:r w:rsidR="00735356">
        <w:fldChar w:fldCharType="begin"/>
      </w:r>
      <w:r w:rsidR="00735356">
        <w:instrText xml:space="preserve"> SEQ Figure \* ARABIC </w:instrText>
      </w:r>
      <w:r w:rsidR="00735356">
        <w:fldChar w:fldCharType="separate"/>
      </w:r>
      <w:r w:rsidR="00C70808">
        <w:rPr>
          <w:noProof/>
        </w:rPr>
        <w:t>1</w:t>
      </w:r>
      <w:r w:rsidR="00735356">
        <w:rPr>
          <w:noProof/>
        </w:rPr>
        <w:fldChar w:fldCharType="end"/>
      </w:r>
      <w:bookmarkEnd w:id="36"/>
      <w:r>
        <w:t xml:space="preserve">: Structure of </w:t>
      </w:r>
      <w:proofErr w:type="spellStart"/>
      <w:r w:rsidR="006F38B3">
        <w:t>e</w:t>
      </w:r>
      <w:r w:rsidR="006F38B3" w:rsidRPr="006F38B3">
        <w:t>nasidenib</w:t>
      </w:r>
      <w:proofErr w:type="spellEnd"/>
      <w:r w:rsidR="006F38B3" w:rsidRPr="006F38B3">
        <w:t xml:space="preserve"> </w:t>
      </w:r>
      <w:proofErr w:type="spellStart"/>
      <w:r w:rsidR="006F38B3" w:rsidRPr="006F38B3">
        <w:t>mesylate</w:t>
      </w:r>
      <w:proofErr w:type="spellEnd"/>
    </w:p>
    <w:p w:rsidR="0046560C" w:rsidRPr="00935EC2" w:rsidRDefault="00654858" w:rsidP="00735356">
      <w:r w:rsidRPr="00654858">
        <w:rPr>
          <w:noProof/>
          <w:lang w:eastAsia="en-AU"/>
        </w:rPr>
        <w:drawing>
          <wp:inline distT="0" distB="0" distL="0" distR="0">
            <wp:extent cx="2845435" cy="1579880"/>
            <wp:effectExtent l="0" t="0" r="0" b="1270"/>
            <wp:docPr id="1" name="Picture 1" descr="Structure of enasidenib mesy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5435" cy="1579880"/>
                    </a:xfrm>
                    <a:prstGeom prst="rect">
                      <a:avLst/>
                    </a:prstGeom>
                    <a:noFill/>
                    <a:ln>
                      <a:noFill/>
                    </a:ln>
                  </pic:spPr>
                </pic:pic>
              </a:graphicData>
            </a:graphic>
          </wp:inline>
        </w:drawing>
      </w:r>
    </w:p>
    <w:p w:rsidR="005E2F1E" w:rsidRPr="00470973" w:rsidRDefault="005E2F1E" w:rsidP="00470973">
      <w:r w:rsidRPr="00470973">
        <w:t>The chemistry evaluator raised no outstand</w:t>
      </w:r>
      <w:r w:rsidR="00470973" w:rsidRPr="00470973">
        <w:t>ing issues to prevent approval.</w:t>
      </w:r>
    </w:p>
    <w:p w:rsidR="005E2F1E" w:rsidRPr="00935EC2" w:rsidRDefault="00935EC2" w:rsidP="00735356">
      <w:pPr>
        <w:pageBreakBefore/>
      </w:pPr>
      <w:r>
        <w:lastRenderedPageBreak/>
        <w:t>The following is a s</w:t>
      </w:r>
      <w:r w:rsidR="00470973" w:rsidRPr="00935EC2">
        <w:t>ummary from the quality evaluation</w:t>
      </w:r>
      <w:r>
        <w:t>:</w:t>
      </w:r>
    </w:p>
    <w:p w:rsidR="005E2F1E" w:rsidRPr="00227CA7" w:rsidRDefault="005E2F1E" w:rsidP="00470973">
      <w:pPr>
        <w:pStyle w:val="ListBullet"/>
      </w:pPr>
      <w:r w:rsidRPr="00227CA7">
        <w:t xml:space="preserve">The proposed trade name is acceptable from a </w:t>
      </w:r>
      <w:r w:rsidR="00654858">
        <w:t>quality and c</w:t>
      </w:r>
      <w:r w:rsidRPr="00227CA7">
        <w:t>linical</w:t>
      </w:r>
      <w:r w:rsidR="00470973">
        <w:t xml:space="preserve"> perspective.</w:t>
      </w:r>
    </w:p>
    <w:p w:rsidR="005E2F1E" w:rsidRPr="00227CA7" w:rsidRDefault="005E2F1E" w:rsidP="00470973">
      <w:pPr>
        <w:pStyle w:val="ListBullet"/>
      </w:pPr>
      <w:r w:rsidRPr="00227CA7">
        <w:t xml:space="preserve">The </w:t>
      </w:r>
      <w:r w:rsidR="00654858">
        <w:t>provisional Australian Register of Therapeutic Goods records (</w:t>
      </w:r>
      <w:r w:rsidRPr="00227CA7">
        <w:t>PARs</w:t>
      </w:r>
      <w:r w:rsidR="00654858">
        <w:t>)</w:t>
      </w:r>
      <w:r w:rsidRPr="00227CA7">
        <w:t xml:space="preserve"> for the proposed product have been reviewed and are acceptabl</w:t>
      </w:r>
      <w:r w:rsidR="00470973">
        <w:t>e from a quality perspective.</w:t>
      </w:r>
    </w:p>
    <w:p w:rsidR="005E2F1E" w:rsidRPr="00227CA7" w:rsidRDefault="005E2F1E" w:rsidP="00470973">
      <w:pPr>
        <w:pStyle w:val="ListBullet"/>
      </w:pPr>
      <w:r w:rsidRPr="00227CA7">
        <w:t xml:space="preserve">The proposed specification for </w:t>
      </w:r>
      <w:proofErr w:type="spellStart"/>
      <w:r w:rsidRPr="00227CA7">
        <w:t>enasidenib</w:t>
      </w:r>
      <w:proofErr w:type="spellEnd"/>
      <w:r w:rsidRPr="00227CA7">
        <w:t xml:space="preserve"> imposed by the f</w:t>
      </w:r>
      <w:r w:rsidR="002227D5">
        <w:t>inished product manufacturer is acceptable.</w:t>
      </w:r>
    </w:p>
    <w:p w:rsidR="005E2F1E" w:rsidRPr="00227CA7" w:rsidRDefault="005E2F1E" w:rsidP="00470973">
      <w:pPr>
        <w:pStyle w:val="ListBullet"/>
      </w:pPr>
      <w:r w:rsidRPr="00227CA7">
        <w:t xml:space="preserve">The finished product specifications for the product are </w:t>
      </w:r>
      <w:r w:rsidR="002227D5">
        <w:t>acceptable.</w:t>
      </w:r>
    </w:p>
    <w:p w:rsidR="005E2F1E" w:rsidRPr="00227CA7" w:rsidRDefault="0083160D" w:rsidP="0052487B">
      <w:pPr>
        <w:pStyle w:val="ListBullet"/>
      </w:pPr>
      <w:r>
        <w:t xml:space="preserve">A shelf </w:t>
      </w:r>
      <w:r w:rsidR="005E2F1E" w:rsidRPr="00227CA7">
        <w:t xml:space="preserve">life </w:t>
      </w:r>
      <w:r>
        <w:t>of 2 years when stored below 25°</w:t>
      </w:r>
      <w:r w:rsidR="005E2F1E" w:rsidRPr="00227CA7">
        <w:t xml:space="preserve">C is recommended for the proposed products when stored in 90 mL square white opaque </w:t>
      </w:r>
      <w:r w:rsidR="0052487B">
        <w:t>h</w:t>
      </w:r>
      <w:r w:rsidR="0052487B" w:rsidRPr="0052487B">
        <w:t xml:space="preserve">igh-density polyethylene </w:t>
      </w:r>
      <w:r w:rsidR="005E2F1E" w:rsidRPr="00227CA7">
        <w:t xml:space="preserve">bottles with white </w:t>
      </w:r>
      <w:r w:rsidR="0052487B">
        <w:t>polypropylene</w:t>
      </w:r>
      <w:r w:rsidR="005E2F1E" w:rsidRPr="00227CA7">
        <w:t xml:space="preserve"> child resistant closures with Safe-Gard induction seal liner (tamper evident) and 2 g silica gel desiccant canister containin</w:t>
      </w:r>
      <w:r w:rsidR="002227D5">
        <w:t>g 30 tablets (all strengths).</w:t>
      </w:r>
    </w:p>
    <w:p w:rsidR="005E2F1E" w:rsidRPr="00227CA7" w:rsidRDefault="00577FF8" w:rsidP="00470973">
      <w:pPr>
        <w:pStyle w:val="ListBullet"/>
      </w:pPr>
      <w:r>
        <w:t>T</w:t>
      </w:r>
      <w:r w:rsidR="005E2F1E" w:rsidRPr="00227CA7">
        <w:t>he manufacturing si</w:t>
      </w:r>
      <w:r w:rsidR="00A956FC">
        <w:t xml:space="preserve">tes </w:t>
      </w:r>
      <w:r>
        <w:t>have current Good Manufacturing Practice (</w:t>
      </w:r>
      <w:r w:rsidRPr="00227CA7">
        <w:t>GMP</w:t>
      </w:r>
      <w:r>
        <w:t>) clearance</w:t>
      </w:r>
      <w:r w:rsidR="002227D5">
        <w:t>.</w:t>
      </w:r>
    </w:p>
    <w:p w:rsidR="005E2F1E" w:rsidRPr="00227CA7" w:rsidRDefault="005E2F1E" w:rsidP="00470973">
      <w:pPr>
        <w:pStyle w:val="ListBullet"/>
      </w:pPr>
      <w:r w:rsidRPr="00227CA7">
        <w:t>The proposed PI is acceptabl</w:t>
      </w:r>
      <w:r w:rsidR="002227D5">
        <w:t>e from a quality perspective.</w:t>
      </w:r>
    </w:p>
    <w:p w:rsidR="009479F2" w:rsidRPr="00470973" w:rsidRDefault="005E2F1E" w:rsidP="00470973">
      <w:pPr>
        <w:pStyle w:val="ListBullet"/>
      </w:pPr>
      <w:r w:rsidRPr="00227CA7">
        <w:t>Final mock</w:t>
      </w:r>
      <w:r w:rsidR="002227D5">
        <w:t xml:space="preserve">-ups labels have been provided. </w:t>
      </w:r>
      <w:r w:rsidRPr="00227CA7">
        <w:t xml:space="preserve">The labels are acceptable from a </w:t>
      </w:r>
      <w:r w:rsidR="002227D5">
        <w:t>quality perspective.</w:t>
      </w:r>
    </w:p>
    <w:p w:rsidR="009479F2" w:rsidRDefault="009479F2" w:rsidP="009479F2">
      <w:r w:rsidRPr="00227CA7">
        <w:t>There are no outstanding issues with the chemistry and quality control aspects of the product.</w:t>
      </w:r>
    </w:p>
    <w:p w:rsidR="008E7846" w:rsidRDefault="008E7846" w:rsidP="008E7846">
      <w:pPr>
        <w:pStyle w:val="Heading3"/>
      </w:pPr>
      <w:bookmarkStart w:id="37" w:name="_Toc314842512"/>
      <w:bookmarkStart w:id="38" w:name="_Toc40087032"/>
      <w:r>
        <w:t>Nonclinical</w:t>
      </w:r>
      <w:bookmarkEnd w:id="37"/>
      <w:bookmarkEnd w:id="38"/>
    </w:p>
    <w:p w:rsidR="009479F2" w:rsidRPr="00345C78" w:rsidRDefault="009479F2" w:rsidP="002227D5">
      <w:r w:rsidRPr="00345C78">
        <w:t>The non-clinical evaluator raised no objections to approval beyond finalisation of recommended PI changes.</w:t>
      </w:r>
    </w:p>
    <w:p w:rsidR="009479F2" w:rsidRPr="002227D5" w:rsidRDefault="002227D5" w:rsidP="002227D5">
      <w:r w:rsidRPr="002227D5">
        <w:t>The following points were summarised in the nonclinical evaluation:</w:t>
      </w:r>
    </w:p>
    <w:p w:rsidR="009479F2" w:rsidRPr="00345C78" w:rsidRDefault="009479F2" w:rsidP="002227D5">
      <w:pPr>
        <w:pStyle w:val="ListBullet"/>
      </w:pPr>
      <w:proofErr w:type="spellStart"/>
      <w:r w:rsidRPr="00345C78">
        <w:t>Enasid</w:t>
      </w:r>
      <w:r w:rsidR="0052487B">
        <w:t>enib</w:t>
      </w:r>
      <w:proofErr w:type="spellEnd"/>
      <w:r w:rsidR="0052487B">
        <w:t xml:space="preserve"> was shown to inhibit R140Q, R172S and R172K </w:t>
      </w:r>
      <w:r w:rsidRPr="00345C78">
        <w:t xml:space="preserve">IDH2 mutants </w:t>
      </w:r>
      <w:r w:rsidRPr="00345C78">
        <w:rPr>
          <w:i/>
        </w:rPr>
        <w:t>in vitro</w:t>
      </w:r>
      <w:r w:rsidR="0052487B">
        <w:t xml:space="preserve">, acting with 44 to </w:t>
      </w:r>
      <w:r w:rsidRPr="00345C78">
        <w:t xml:space="preserve">220 times greater potency than against </w:t>
      </w:r>
      <w:r w:rsidR="0052487B" w:rsidRPr="00345C78">
        <w:t>wild type</w:t>
      </w:r>
      <w:r w:rsidRPr="00345C78">
        <w:t xml:space="preserve"> IDH2. Cell-based assays showed marked reductions in cellular </w:t>
      </w:r>
      <w:r w:rsidR="0052487B">
        <w:t>2</w:t>
      </w:r>
      <w:r w:rsidR="0052487B">
        <w:noBreakHyphen/>
        <w:t>HG</w:t>
      </w:r>
      <w:r w:rsidRPr="00345C78">
        <w:t xml:space="preserve">, reversal of histone </w:t>
      </w:r>
      <w:proofErr w:type="spellStart"/>
      <w:r w:rsidRPr="00345C78">
        <w:t>hypermethylation</w:t>
      </w:r>
      <w:proofErr w:type="spellEnd"/>
      <w:r w:rsidRPr="00345C78">
        <w:t xml:space="preserve">, and induction of cellular differentiation with </w:t>
      </w:r>
      <w:proofErr w:type="spellStart"/>
      <w:r w:rsidRPr="00345C78">
        <w:t>enasidenib</w:t>
      </w:r>
      <w:proofErr w:type="spellEnd"/>
      <w:r w:rsidRPr="00345C78">
        <w:t xml:space="preserve"> treatment. </w:t>
      </w:r>
      <w:r w:rsidRPr="00345C78">
        <w:rPr>
          <w:i/>
        </w:rPr>
        <w:t>In vivo</w:t>
      </w:r>
      <w:r w:rsidR="0052487B">
        <w:t xml:space="preserve"> in mice bearing human R140Q </w:t>
      </w:r>
      <w:r w:rsidRPr="00345C78">
        <w:t xml:space="preserve">IDH2 tumour xenografts, oral administration of </w:t>
      </w:r>
      <w:proofErr w:type="spellStart"/>
      <w:r w:rsidRPr="00345C78">
        <w:t>enasidenib</w:t>
      </w:r>
      <w:proofErr w:type="spellEnd"/>
      <w:r w:rsidRPr="00345C78">
        <w:t xml:space="preserve"> decreased serum and tumour 2</w:t>
      </w:r>
      <w:r w:rsidRPr="00345C78">
        <w:noBreakHyphen/>
        <w:t>HG levels, increased blast cell differentiation in the bone marrow, and prolonged survival of the animals. These data offer support for utility in the proposed indication.</w:t>
      </w:r>
    </w:p>
    <w:p w:rsidR="009479F2" w:rsidRPr="00345C78" w:rsidRDefault="009479F2" w:rsidP="002227D5">
      <w:pPr>
        <w:pStyle w:val="ListBullet"/>
      </w:pPr>
      <w:r w:rsidRPr="00345C78">
        <w:t xml:space="preserve">The major circulating metabolite of </w:t>
      </w:r>
      <w:proofErr w:type="spellStart"/>
      <w:r w:rsidRPr="00345C78">
        <w:t>enasidenib</w:t>
      </w:r>
      <w:proofErr w:type="spellEnd"/>
      <w:r w:rsidRPr="00345C78">
        <w:t>, AGI</w:t>
      </w:r>
      <w:r w:rsidRPr="00345C78">
        <w:noBreakHyphen/>
        <w:t xml:space="preserve">16903, is also pharmacologically active. Its contribution to efficacy </w:t>
      </w:r>
      <w:r w:rsidRPr="00345C78">
        <w:rPr>
          <w:i/>
        </w:rPr>
        <w:t>in vivo</w:t>
      </w:r>
      <w:r w:rsidRPr="00345C78">
        <w:t xml:space="preserve"> is seen to be low</w:t>
      </w:r>
      <w:r w:rsidR="0052487B">
        <w:t>, however</w:t>
      </w:r>
      <w:r w:rsidRPr="00345C78">
        <w:t>.</w:t>
      </w:r>
    </w:p>
    <w:p w:rsidR="009479F2" w:rsidRPr="00345C78" w:rsidRDefault="009479F2" w:rsidP="002227D5">
      <w:pPr>
        <w:pStyle w:val="ListBullet"/>
      </w:pPr>
      <w:r w:rsidRPr="00345C78">
        <w:t xml:space="preserve">Secondary pharmacodynamic </w:t>
      </w:r>
      <w:r w:rsidR="00F60DFD">
        <w:t xml:space="preserve">(PD) </w:t>
      </w:r>
      <w:r w:rsidRPr="00345C78">
        <w:t xml:space="preserve">studies revealed that </w:t>
      </w:r>
      <w:proofErr w:type="spellStart"/>
      <w:r w:rsidRPr="00345C78">
        <w:t>enasidenib</w:t>
      </w:r>
      <w:proofErr w:type="spellEnd"/>
      <w:r w:rsidRPr="00345C78">
        <w:t xml:space="preserve"> and AGI</w:t>
      </w:r>
      <w:r w:rsidRPr="00345C78">
        <w:noBreakHyphen/>
        <w:t>16903 also possess potent antagonist activity at the adenosine A</w:t>
      </w:r>
      <w:r w:rsidRPr="00345C78">
        <w:rPr>
          <w:vertAlign w:val="subscript"/>
        </w:rPr>
        <w:t>3</w:t>
      </w:r>
      <w:r w:rsidRPr="00345C78">
        <w:t xml:space="preserve"> receptor. Tachycardia and alterations in blood pressure were observed in </w:t>
      </w:r>
      <w:proofErr w:type="spellStart"/>
      <w:r w:rsidRPr="00345C78">
        <w:t>enasidenib</w:t>
      </w:r>
      <w:proofErr w:type="spellEnd"/>
      <w:r w:rsidRPr="00345C78">
        <w:t>-treated dogs; no effects on cardiovascular function were apparent in monkeys though, despite higher exposure than in dogs.</w:t>
      </w:r>
    </w:p>
    <w:p w:rsidR="009479F2" w:rsidRPr="00345C78" w:rsidRDefault="009479F2" w:rsidP="002227D5">
      <w:pPr>
        <w:pStyle w:val="ListBullet"/>
      </w:pPr>
      <w:r w:rsidRPr="00345C78">
        <w:t xml:space="preserve">Pharmacokinetic </w:t>
      </w:r>
      <w:r w:rsidR="00F60DFD">
        <w:t xml:space="preserve">(PK) </w:t>
      </w:r>
      <w:r w:rsidRPr="00345C78">
        <w:t xml:space="preserve">studies showed good oral bioavailability of </w:t>
      </w:r>
      <w:proofErr w:type="spellStart"/>
      <w:r w:rsidRPr="00345C78">
        <w:t>enasidenib</w:t>
      </w:r>
      <w:proofErr w:type="spellEnd"/>
      <w:r w:rsidRPr="00345C78">
        <w:t xml:space="preserve"> in laboratory animal species, like humans. The speed of oral absorption was variable across species, with prolonged absorption seen in rats, but similarly fast absorption in monkeys and humans. The plasma half-life of </w:t>
      </w:r>
      <w:proofErr w:type="spellStart"/>
      <w:r w:rsidRPr="00345C78">
        <w:t>enasidenib</w:t>
      </w:r>
      <w:proofErr w:type="spellEnd"/>
      <w:r w:rsidRPr="00345C78">
        <w:t xml:space="preserve"> was much shorter in all of the laboratory animal species examined </w:t>
      </w:r>
      <w:r w:rsidR="00F60DFD" w:rsidRPr="00F60DFD">
        <w:t>compared with</w:t>
      </w:r>
      <w:r w:rsidRPr="00345C78">
        <w:t xml:space="preserve"> humans. Appropriately to compensate, most of the toxicity studies employed twice daily dosing.</w:t>
      </w:r>
    </w:p>
    <w:p w:rsidR="009479F2" w:rsidRPr="00345C78" w:rsidRDefault="009479F2" w:rsidP="00735356">
      <w:pPr>
        <w:pStyle w:val="ListBullet"/>
        <w:pageBreakBefore/>
        <w:ind w:left="357" w:hanging="357"/>
      </w:pPr>
      <w:r w:rsidRPr="00345C78">
        <w:lastRenderedPageBreak/>
        <w:t xml:space="preserve">Plasma protein binding by </w:t>
      </w:r>
      <w:proofErr w:type="spellStart"/>
      <w:r w:rsidRPr="00345C78">
        <w:t>enasidenib</w:t>
      </w:r>
      <w:proofErr w:type="spellEnd"/>
      <w:r w:rsidRPr="00345C78">
        <w:t xml:space="preserve"> and AGI-16903 was high in humans and animals. Wide tissue distribution of </w:t>
      </w:r>
      <w:r w:rsidRPr="00345C78">
        <w:rPr>
          <w:vertAlign w:val="superscript"/>
        </w:rPr>
        <w:t>14</w:t>
      </w:r>
      <w:r w:rsidRPr="00345C78">
        <w:t>C</w:t>
      </w:r>
      <w:r w:rsidRPr="00345C78">
        <w:noBreakHyphen/>
        <w:t>enasidenib-derived radioactivity was seen following oral dosing in rats, with penetration of the blood-brain barrier and some melanin binding apparent.</w:t>
      </w:r>
    </w:p>
    <w:p w:rsidR="009479F2" w:rsidRPr="00345C78" w:rsidRDefault="009479F2" w:rsidP="00F60DFD">
      <w:pPr>
        <w:pStyle w:val="ListBullet"/>
      </w:pPr>
      <w:r w:rsidRPr="00345C78">
        <w:t xml:space="preserve">AGI-16903, formed by </w:t>
      </w:r>
      <w:r w:rsidRPr="00345C78">
        <w:rPr>
          <w:i/>
        </w:rPr>
        <w:t>N</w:t>
      </w:r>
      <w:r w:rsidRPr="00345C78">
        <w:t>-</w:t>
      </w:r>
      <w:proofErr w:type="spellStart"/>
      <w:r w:rsidRPr="00345C78">
        <w:t>dealkylation</w:t>
      </w:r>
      <w:proofErr w:type="spellEnd"/>
      <w:r w:rsidRPr="00345C78">
        <w:t xml:space="preserve">, was the sole major circulating metabolite of </w:t>
      </w:r>
      <w:proofErr w:type="spellStart"/>
      <w:r w:rsidRPr="00345C78">
        <w:t>enasidenib</w:t>
      </w:r>
      <w:proofErr w:type="spellEnd"/>
      <w:r w:rsidRPr="00345C78">
        <w:t xml:space="preserve"> in humans. While rats formed only very low levels of this metabolite, it was readily formed in monkeys. Multiple </w:t>
      </w:r>
      <w:r w:rsidR="00F60DFD">
        <w:t>c</w:t>
      </w:r>
      <w:r w:rsidR="00F60DFD" w:rsidRPr="00F60DFD">
        <w:t xml:space="preserve">ytochrome P450 </w:t>
      </w:r>
      <w:r w:rsidR="00F60DFD">
        <w:t>(</w:t>
      </w:r>
      <w:r w:rsidRPr="00345C78">
        <w:t>CYPs</w:t>
      </w:r>
      <w:r w:rsidR="00F60DFD">
        <w:t>)</w:t>
      </w:r>
      <w:r w:rsidR="00935EC2">
        <w:t xml:space="preserve"> enzymes</w:t>
      </w:r>
      <w:r w:rsidRPr="00345C78">
        <w:t xml:space="preserve"> and </w:t>
      </w:r>
      <w:r w:rsidR="00F60DFD">
        <w:t>u</w:t>
      </w:r>
      <w:r w:rsidR="00F60DFD" w:rsidRPr="00F60DFD">
        <w:t>ridine 5'-diphospho-glucuronosyltransferase</w:t>
      </w:r>
      <w:r w:rsidR="00F60DFD">
        <w:t>s</w:t>
      </w:r>
      <w:r w:rsidR="00F60DFD" w:rsidRPr="00F60DFD">
        <w:t xml:space="preserve"> </w:t>
      </w:r>
      <w:r w:rsidR="00F60DFD">
        <w:t>(</w:t>
      </w:r>
      <w:r w:rsidRPr="00345C78">
        <w:t>UGTs</w:t>
      </w:r>
      <w:r w:rsidR="00F60DFD">
        <w:t>)</w:t>
      </w:r>
      <w:r w:rsidRPr="00345C78">
        <w:t xml:space="preserve"> were shown to be involved in the metabolism of </w:t>
      </w:r>
      <w:proofErr w:type="spellStart"/>
      <w:r w:rsidRPr="00345C78">
        <w:t>enasidenib</w:t>
      </w:r>
      <w:proofErr w:type="spellEnd"/>
      <w:r w:rsidRPr="00345C78">
        <w:t xml:space="preserve"> </w:t>
      </w:r>
      <w:r w:rsidRPr="00345C78">
        <w:rPr>
          <w:i/>
        </w:rPr>
        <w:t>in vitro</w:t>
      </w:r>
      <w:r w:rsidRPr="00345C78">
        <w:t>. Excretion was mainly via the faeces in rats, as in humans, with biliary excretion demonstrated.</w:t>
      </w:r>
    </w:p>
    <w:p w:rsidR="009479F2" w:rsidRPr="00345C78" w:rsidRDefault="009479F2" w:rsidP="00F60DFD">
      <w:pPr>
        <w:pStyle w:val="ListBullet"/>
      </w:pPr>
      <w:proofErr w:type="spellStart"/>
      <w:r w:rsidRPr="00345C78">
        <w:t>Enasidenib</w:t>
      </w:r>
      <w:proofErr w:type="spellEnd"/>
      <w:r w:rsidRPr="00345C78">
        <w:t xml:space="preserve"> inhibited CYP2C8, 2C9, 2C19 and 2D6, UGT1A1, P</w:t>
      </w:r>
      <w:r w:rsidRPr="00345C78">
        <w:noBreakHyphen/>
        <w:t>glycoprotein</w:t>
      </w:r>
      <w:r w:rsidR="004825AF">
        <w:t xml:space="preserve"> (P-</w:t>
      </w:r>
      <w:proofErr w:type="spellStart"/>
      <w:r w:rsidR="004825AF">
        <w:t>gp</w:t>
      </w:r>
      <w:proofErr w:type="spellEnd"/>
      <w:r w:rsidR="004825AF">
        <w:t>)</w:t>
      </w:r>
      <w:r w:rsidRPr="00345C78">
        <w:t xml:space="preserve">, </w:t>
      </w:r>
      <w:r w:rsidR="00F60DFD" w:rsidRPr="00F60DFD">
        <w:t xml:space="preserve">breast cancer resistance protein </w:t>
      </w:r>
      <w:r w:rsidR="00F60DFD">
        <w:t>(</w:t>
      </w:r>
      <w:r w:rsidRPr="00345C78">
        <w:t>B</w:t>
      </w:r>
      <w:r w:rsidR="00F60DFD">
        <w:t xml:space="preserve">CRP), </w:t>
      </w:r>
      <w:r w:rsidR="00F60DFD" w:rsidRPr="00F60DFD">
        <w:t xml:space="preserve">organic anion transporter </w:t>
      </w:r>
      <w:r w:rsidR="00F60DFD">
        <w:t>1 (OAT1), o</w:t>
      </w:r>
      <w:r w:rsidR="00F60DFD" w:rsidRPr="00F60DFD">
        <w:t xml:space="preserve">rganic anion transporting polypeptide 1B1 </w:t>
      </w:r>
      <w:r w:rsidR="00F60DFD">
        <w:t>(OATP1B1) and OATP1B3,</w:t>
      </w:r>
      <w:r w:rsidRPr="00345C78">
        <w:t> and AGI-16903 inhi</w:t>
      </w:r>
      <w:r w:rsidR="00F60DFD">
        <w:t>bited CYP1A2, BCRP and OATP1B1,</w:t>
      </w:r>
      <w:r w:rsidRPr="00345C78">
        <w:t xml:space="preserve"> at clinically relevant concentrations </w:t>
      </w:r>
      <w:r w:rsidRPr="00345C78">
        <w:rPr>
          <w:i/>
        </w:rPr>
        <w:t>in vitro</w:t>
      </w:r>
      <w:r w:rsidRPr="00345C78">
        <w:t xml:space="preserve">, indicating significant potential for </w:t>
      </w:r>
      <w:r w:rsidRPr="00F60DFD">
        <w:t>Idhifa</w:t>
      </w:r>
      <w:r w:rsidRPr="00345C78">
        <w:t xml:space="preserve"> to affect the </w:t>
      </w:r>
      <w:r w:rsidR="00F60DFD">
        <w:t>PK</w:t>
      </w:r>
      <w:r w:rsidRPr="00345C78">
        <w:t xml:space="preserve"> of co</w:t>
      </w:r>
      <w:r w:rsidRPr="00345C78">
        <w:noBreakHyphen/>
        <w:t>administered drugs. Experiments with cultured human hepatocytes additionally showed induction of CYP3A4 by both compounds.</w:t>
      </w:r>
    </w:p>
    <w:p w:rsidR="009479F2" w:rsidRPr="00345C78" w:rsidRDefault="009479F2" w:rsidP="002227D5">
      <w:pPr>
        <w:pStyle w:val="ListBullet"/>
      </w:pPr>
      <w:proofErr w:type="spellStart"/>
      <w:r w:rsidRPr="00345C78">
        <w:t>Enasidenib</w:t>
      </w:r>
      <w:proofErr w:type="spellEnd"/>
      <w:r w:rsidRPr="00345C78">
        <w:t xml:space="preserve"> showed a low to moderate order of acute toxicity by the oral route in animals.</w:t>
      </w:r>
    </w:p>
    <w:p w:rsidR="009479F2" w:rsidRPr="00345C78" w:rsidRDefault="009479F2" w:rsidP="002227D5">
      <w:pPr>
        <w:pStyle w:val="ListBullet"/>
      </w:pPr>
      <w:r w:rsidRPr="00345C78">
        <w:t xml:space="preserve">Repeat-dose toxicity studies were performed with </w:t>
      </w:r>
      <w:proofErr w:type="spellStart"/>
      <w:r w:rsidRPr="00345C78">
        <w:t>enasidenib</w:t>
      </w:r>
      <w:proofErr w:type="spellEnd"/>
      <w:r w:rsidRPr="00345C78">
        <w:t xml:space="preserve"> in rats and </w:t>
      </w:r>
      <w:proofErr w:type="spellStart"/>
      <w:r w:rsidRPr="00345C78">
        <w:t>cynomolgus</w:t>
      </w:r>
      <w:proofErr w:type="spellEnd"/>
      <w:r w:rsidRPr="00345C78">
        <w:t xml:space="preserve"> monkeys; the p</w:t>
      </w:r>
      <w:r w:rsidR="00F60DFD">
        <w:t xml:space="preserve">ivotal studies were of 3 months duration. A 1 </w:t>
      </w:r>
      <w:r w:rsidRPr="00345C78">
        <w:t xml:space="preserve">week study conducted with an ester pro-drug form of </w:t>
      </w:r>
      <w:proofErr w:type="spellStart"/>
      <w:r w:rsidRPr="00345C78">
        <w:t>enasidenib</w:t>
      </w:r>
      <w:proofErr w:type="spellEnd"/>
      <w:r w:rsidRPr="00345C78">
        <w:t xml:space="preserve"> in dogs was also submitted. The key findings concerned elevated serum bilirubin (consistent with inhibition of UGT1A1), gastrointestinal toxicity, pancreatic acinar cells (atrophy and </w:t>
      </w:r>
      <w:proofErr w:type="spellStart"/>
      <w:r w:rsidRPr="00345C78">
        <w:t>vacuolation</w:t>
      </w:r>
      <w:proofErr w:type="spellEnd"/>
      <w:r w:rsidRPr="00345C78">
        <w:t>), reproductive tissues (histopathological changes suggesting impairment of male and female fertility), and the cardiovascular system. With these occurring at exposure levels below or comparable to that of patients, all findings are considered potentially clinically relevant.</w:t>
      </w:r>
    </w:p>
    <w:p w:rsidR="009479F2" w:rsidRPr="00345C78" w:rsidRDefault="009479F2" w:rsidP="002227D5">
      <w:pPr>
        <w:pStyle w:val="ListBullet"/>
      </w:pPr>
      <w:proofErr w:type="spellStart"/>
      <w:r w:rsidRPr="00345C78">
        <w:t>Enasidenib</w:t>
      </w:r>
      <w:proofErr w:type="spellEnd"/>
      <w:r w:rsidRPr="00345C78">
        <w:t xml:space="preserve"> was negative in the standard battery of tests for </w:t>
      </w:r>
      <w:proofErr w:type="spellStart"/>
      <w:r w:rsidRPr="00345C78">
        <w:t>genotoxicity</w:t>
      </w:r>
      <w:proofErr w:type="spellEnd"/>
      <w:r w:rsidRPr="00345C78">
        <w:t>. No carcinogenicity studies have been conducted; this is acceptable for a medicine indicated for the treatment of advanced cancer.</w:t>
      </w:r>
    </w:p>
    <w:p w:rsidR="009479F2" w:rsidRPr="00345C78" w:rsidRDefault="009479F2" w:rsidP="002227D5">
      <w:pPr>
        <w:pStyle w:val="ListBullet"/>
      </w:pPr>
      <w:proofErr w:type="spellStart"/>
      <w:r w:rsidRPr="00345C78">
        <w:t>Embryofetal</w:t>
      </w:r>
      <w:proofErr w:type="spellEnd"/>
      <w:r w:rsidRPr="00345C78">
        <w:t xml:space="preserve"> lethality was observed with </w:t>
      </w:r>
      <w:proofErr w:type="spellStart"/>
      <w:r w:rsidRPr="00345C78">
        <w:t>enasidenib</w:t>
      </w:r>
      <w:proofErr w:type="spellEnd"/>
      <w:r w:rsidRPr="00345C78">
        <w:t xml:space="preserve"> in rats at a low margin of the human exposure, justifying assignment to Pregnancy Category D</w:t>
      </w:r>
      <w:r w:rsidR="00F60DFD">
        <w:t>;</w:t>
      </w:r>
      <w:r w:rsidR="00F60DFD">
        <w:rPr>
          <w:rStyle w:val="FootnoteReference"/>
        </w:rPr>
        <w:footnoteReference w:id="3"/>
      </w:r>
      <w:r w:rsidRPr="00345C78">
        <w:t xml:space="preserve"> (as the sponsor proposes).</w:t>
      </w:r>
    </w:p>
    <w:p w:rsidR="008E7846" w:rsidRDefault="009479F2" w:rsidP="002227D5">
      <w:r w:rsidRPr="00345C78">
        <w:t xml:space="preserve">There are no nonclinical objections to the registration of </w:t>
      </w:r>
      <w:r w:rsidRPr="002227D5">
        <w:t>Idhifa</w:t>
      </w:r>
      <w:r w:rsidRPr="00345C78">
        <w:t xml:space="preserve"> provided that the draft </w:t>
      </w:r>
      <w:r w:rsidR="00A956FC">
        <w:t>PI</w:t>
      </w:r>
      <w:r w:rsidRPr="00345C78">
        <w:t xml:space="preserve"> document is amended as directed.</w:t>
      </w:r>
    </w:p>
    <w:p w:rsidR="008E7846" w:rsidRDefault="008E7846" w:rsidP="008E7846">
      <w:pPr>
        <w:pStyle w:val="Heading3"/>
      </w:pPr>
      <w:bookmarkStart w:id="39" w:name="_Toc247691530"/>
      <w:bookmarkStart w:id="40" w:name="_Toc314842513"/>
      <w:bookmarkStart w:id="41" w:name="_Toc40087033"/>
      <w:r>
        <w:t>Clinical</w:t>
      </w:r>
      <w:bookmarkEnd w:id="39"/>
      <w:bookmarkEnd w:id="40"/>
      <w:bookmarkEnd w:id="41"/>
    </w:p>
    <w:p w:rsidR="009479F2" w:rsidRDefault="00DF3646" w:rsidP="002227D5">
      <w:bookmarkStart w:id="42" w:name="_Toc314842514"/>
      <w:r>
        <w:rPr>
          <w:lang w:eastAsia="ja-JP"/>
        </w:rPr>
        <w:t xml:space="preserve">The dossier contains some, but not all, of the studies in the </w:t>
      </w:r>
      <w:proofErr w:type="spellStart"/>
      <w:r>
        <w:rPr>
          <w:lang w:eastAsia="ja-JP"/>
        </w:rPr>
        <w:t>enasidenib</w:t>
      </w:r>
      <w:proofErr w:type="spellEnd"/>
      <w:r>
        <w:rPr>
          <w:lang w:eastAsia="ja-JP"/>
        </w:rPr>
        <w:t xml:space="preserve"> clinical development program, in keeping with the provisional nature of this application. </w:t>
      </w:r>
      <w:r w:rsidR="009479F2" w:rsidRPr="00345C78">
        <w:t>The clinical development pro</w:t>
      </w:r>
      <w:r w:rsidR="002227D5">
        <w:t xml:space="preserve">gramme is summarised as follows in </w:t>
      </w:r>
      <w:r w:rsidR="002227D5">
        <w:fldChar w:fldCharType="begin"/>
      </w:r>
      <w:r w:rsidR="002227D5">
        <w:instrText xml:space="preserve"> REF _Ref35937932 \h </w:instrText>
      </w:r>
      <w:r w:rsidR="002227D5">
        <w:fldChar w:fldCharType="separate"/>
      </w:r>
      <w:r w:rsidR="002227D5">
        <w:t xml:space="preserve">Table </w:t>
      </w:r>
      <w:r w:rsidR="002227D5">
        <w:rPr>
          <w:noProof/>
        </w:rPr>
        <w:t>2</w:t>
      </w:r>
      <w:r w:rsidR="002227D5">
        <w:fldChar w:fldCharType="end"/>
      </w:r>
      <w:r w:rsidR="002227D5">
        <w:t>.</w:t>
      </w:r>
    </w:p>
    <w:p w:rsidR="002227D5" w:rsidRPr="00345C78" w:rsidRDefault="002227D5" w:rsidP="002227D5">
      <w:pPr>
        <w:pStyle w:val="TableTitle"/>
      </w:pPr>
      <w:bookmarkStart w:id="43" w:name="_Ref35937932"/>
      <w:r>
        <w:lastRenderedPageBreak/>
        <w:t xml:space="preserve">Table </w:t>
      </w:r>
      <w:r w:rsidR="00735356">
        <w:fldChar w:fldCharType="begin"/>
      </w:r>
      <w:r w:rsidR="00735356">
        <w:instrText xml:space="preserve"> SEQ Table \* ARABIC </w:instrText>
      </w:r>
      <w:r w:rsidR="00735356">
        <w:fldChar w:fldCharType="separate"/>
      </w:r>
      <w:r w:rsidR="009B6128">
        <w:rPr>
          <w:noProof/>
        </w:rPr>
        <w:t>2</w:t>
      </w:r>
      <w:r w:rsidR="00735356">
        <w:rPr>
          <w:noProof/>
        </w:rPr>
        <w:fldChar w:fldCharType="end"/>
      </w:r>
      <w:bookmarkEnd w:id="43"/>
      <w:r>
        <w:t xml:space="preserve">: Clinical development programme for </w:t>
      </w:r>
      <w:proofErr w:type="spellStart"/>
      <w:r w:rsidR="001D4DCC">
        <w:t>enasidenib</w:t>
      </w:r>
      <w:proofErr w:type="spellEnd"/>
    </w:p>
    <w:p w:rsidR="009479F2" w:rsidRPr="00345C78" w:rsidRDefault="009479F2" w:rsidP="009479F2">
      <w:pPr>
        <w:spacing w:before="0" w:after="0" w:line="240" w:lineRule="auto"/>
        <w:rPr>
          <w:rFonts w:asciiTheme="minorHAnsi" w:hAnsiTheme="minorHAnsi"/>
        </w:rPr>
      </w:pPr>
      <w:r w:rsidRPr="00345C78">
        <w:rPr>
          <w:rFonts w:asciiTheme="minorHAnsi" w:hAnsiTheme="minorHAnsi"/>
          <w:noProof/>
          <w:lang w:eastAsia="en-AU"/>
        </w:rPr>
        <w:drawing>
          <wp:inline distT="0" distB="0" distL="0" distR="0" wp14:anchorId="37C441C0" wp14:editId="7F1B3744">
            <wp:extent cx="5731510" cy="4062269"/>
            <wp:effectExtent l="0" t="0" r="2540" b="0"/>
            <wp:docPr id="35" name="Picture 35" descr="Clinical development programme for enasidenib; see the following table for further description of these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4062269"/>
                    </a:xfrm>
                    <a:prstGeom prst="rect">
                      <a:avLst/>
                    </a:prstGeom>
                  </pic:spPr>
                </pic:pic>
              </a:graphicData>
            </a:graphic>
          </wp:inline>
        </w:drawing>
      </w:r>
    </w:p>
    <w:p w:rsidR="00896C95" w:rsidRDefault="00896C95" w:rsidP="002227D5">
      <w:r>
        <w:t>Results of the following studies</w:t>
      </w:r>
      <w:r w:rsidR="00A956FC">
        <w:t>, outlined in</w:t>
      </w:r>
      <w:r w:rsidR="00463FCB">
        <w:t xml:space="preserve"> </w:t>
      </w:r>
      <w:r w:rsidR="00463FCB">
        <w:fldChar w:fldCharType="begin"/>
      </w:r>
      <w:r w:rsidR="00463FCB">
        <w:instrText xml:space="preserve"> REF _Ref36151202 \h </w:instrText>
      </w:r>
      <w:r w:rsidR="00463FCB">
        <w:fldChar w:fldCharType="separate"/>
      </w:r>
      <w:r w:rsidR="00463FCB">
        <w:t xml:space="preserve">Table </w:t>
      </w:r>
      <w:r w:rsidR="00463FCB">
        <w:rPr>
          <w:noProof/>
        </w:rPr>
        <w:t>3</w:t>
      </w:r>
      <w:r w:rsidR="00463FCB">
        <w:fldChar w:fldCharType="end"/>
      </w:r>
      <w:r w:rsidR="00463FCB">
        <w:t>,</w:t>
      </w:r>
      <w:r>
        <w:t xml:space="preserve"> were provided in the dossier</w:t>
      </w:r>
      <w:r w:rsidR="00463FCB">
        <w:t>.</w:t>
      </w:r>
    </w:p>
    <w:p w:rsidR="00463FCB" w:rsidRDefault="00463FCB" w:rsidP="00935EC2">
      <w:pPr>
        <w:pStyle w:val="TableTitle"/>
      </w:pPr>
      <w:bookmarkStart w:id="44" w:name="_Ref36151202"/>
      <w:r>
        <w:t xml:space="preserve">Table </w:t>
      </w:r>
      <w:r w:rsidR="00735356">
        <w:fldChar w:fldCharType="begin"/>
      </w:r>
      <w:r w:rsidR="00735356">
        <w:instrText xml:space="preserve"> SEQ Table \* ARABIC </w:instrText>
      </w:r>
      <w:r w:rsidR="00735356">
        <w:fldChar w:fldCharType="separate"/>
      </w:r>
      <w:r w:rsidR="009B6128">
        <w:rPr>
          <w:noProof/>
        </w:rPr>
        <w:t>3</w:t>
      </w:r>
      <w:r w:rsidR="00735356">
        <w:rPr>
          <w:noProof/>
        </w:rPr>
        <w:fldChar w:fldCharType="end"/>
      </w:r>
      <w:bookmarkEnd w:id="44"/>
      <w:r>
        <w:t>: Studies provided in the clinical dossier</w:t>
      </w:r>
    </w:p>
    <w:tbl>
      <w:tblPr>
        <w:tblStyle w:val="TableTGAblue"/>
        <w:tblW w:w="5000" w:type="pct"/>
        <w:tblLook w:val="04A0" w:firstRow="1" w:lastRow="0" w:firstColumn="1" w:lastColumn="0" w:noHBand="0" w:noVBand="1"/>
      </w:tblPr>
      <w:tblGrid>
        <w:gridCol w:w="1104"/>
        <w:gridCol w:w="1448"/>
        <w:gridCol w:w="1768"/>
        <w:gridCol w:w="4400"/>
      </w:tblGrid>
      <w:tr w:rsidR="00896C95" w:rsidRPr="00735356" w:rsidTr="00896C95">
        <w:trPr>
          <w:cnfStyle w:val="100000000000" w:firstRow="1" w:lastRow="0" w:firstColumn="0" w:lastColumn="0" w:oddVBand="0" w:evenVBand="0" w:oddHBand="0" w:evenHBand="0" w:firstRowFirstColumn="0" w:firstRowLastColumn="0" w:lastRowFirstColumn="0" w:lastRowLastColumn="0"/>
        </w:trPr>
        <w:tc>
          <w:tcPr>
            <w:tcW w:w="474" w:type="pct"/>
          </w:tcPr>
          <w:p w:rsidR="00896C95" w:rsidRPr="00735356" w:rsidRDefault="00896C95" w:rsidP="00735356">
            <w:pPr>
              <w:rPr>
                <w:b w:val="0"/>
                <w:sz w:val="20"/>
                <w:szCs w:val="20"/>
              </w:rPr>
            </w:pPr>
            <w:r w:rsidRPr="00735356">
              <w:rPr>
                <w:sz w:val="20"/>
                <w:szCs w:val="20"/>
              </w:rPr>
              <w:t>Phase</w:t>
            </w:r>
          </w:p>
        </w:tc>
        <w:tc>
          <w:tcPr>
            <w:tcW w:w="923" w:type="pct"/>
          </w:tcPr>
          <w:p w:rsidR="00896C95" w:rsidRPr="00735356" w:rsidRDefault="00896C95" w:rsidP="00735356">
            <w:pPr>
              <w:rPr>
                <w:b w:val="0"/>
                <w:color w:val="auto"/>
                <w:sz w:val="20"/>
                <w:szCs w:val="20"/>
                <w:lang w:eastAsia="en-US"/>
              </w:rPr>
            </w:pPr>
            <w:r w:rsidRPr="00735356">
              <w:rPr>
                <w:sz w:val="20"/>
                <w:szCs w:val="20"/>
              </w:rPr>
              <w:t>Study Name</w:t>
            </w:r>
          </w:p>
        </w:tc>
        <w:tc>
          <w:tcPr>
            <w:tcW w:w="837" w:type="pct"/>
          </w:tcPr>
          <w:p w:rsidR="00896C95" w:rsidRPr="00735356" w:rsidRDefault="00896C95" w:rsidP="00735356">
            <w:pPr>
              <w:rPr>
                <w:b w:val="0"/>
                <w:color w:val="auto"/>
                <w:sz w:val="20"/>
                <w:szCs w:val="20"/>
                <w:lang w:eastAsia="en-US"/>
              </w:rPr>
            </w:pPr>
            <w:r w:rsidRPr="00735356">
              <w:rPr>
                <w:sz w:val="20"/>
                <w:szCs w:val="20"/>
              </w:rPr>
              <w:t>Abbreviation used in this AusPAR</w:t>
            </w:r>
          </w:p>
        </w:tc>
        <w:tc>
          <w:tcPr>
            <w:tcW w:w="2766" w:type="pct"/>
          </w:tcPr>
          <w:p w:rsidR="00896C95" w:rsidRPr="00735356" w:rsidRDefault="00896C95" w:rsidP="00735356">
            <w:pPr>
              <w:rPr>
                <w:b w:val="0"/>
                <w:color w:val="auto"/>
                <w:sz w:val="20"/>
                <w:szCs w:val="20"/>
                <w:lang w:eastAsia="en-US"/>
              </w:rPr>
            </w:pPr>
            <w:r w:rsidRPr="00735356">
              <w:rPr>
                <w:sz w:val="20"/>
                <w:szCs w:val="20"/>
              </w:rPr>
              <w:t>Description</w:t>
            </w:r>
          </w:p>
        </w:tc>
      </w:tr>
      <w:tr w:rsidR="00896C95" w:rsidRPr="00735356" w:rsidTr="00896C95">
        <w:tc>
          <w:tcPr>
            <w:tcW w:w="474" w:type="pct"/>
          </w:tcPr>
          <w:p w:rsidR="00896C95" w:rsidRPr="00735356" w:rsidRDefault="00896C95" w:rsidP="00735356">
            <w:pPr>
              <w:rPr>
                <w:color w:val="auto"/>
                <w:sz w:val="20"/>
                <w:szCs w:val="20"/>
                <w:lang w:eastAsia="en-US"/>
              </w:rPr>
            </w:pPr>
            <w:r w:rsidRPr="00735356">
              <w:rPr>
                <w:sz w:val="20"/>
                <w:szCs w:val="20"/>
              </w:rPr>
              <w:t>I/II</w:t>
            </w:r>
          </w:p>
        </w:tc>
        <w:tc>
          <w:tcPr>
            <w:tcW w:w="923" w:type="pct"/>
          </w:tcPr>
          <w:p w:rsidR="00896C95" w:rsidRPr="00735356" w:rsidRDefault="00896C95" w:rsidP="00735356">
            <w:pPr>
              <w:rPr>
                <w:color w:val="auto"/>
                <w:sz w:val="20"/>
                <w:szCs w:val="20"/>
                <w:lang w:eastAsia="en-US"/>
              </w:rPr>
            </w:pPr>
            <w:r w:rsidRPr="00735356">
              <w:rPr>
                <w:sz w:val="20"/>
                <w:szCs w:val="20"/>
              </w:rPr>
              <w:t>AG221-C-001</w:t>
            </w:r>
          </w:p>
        </w:tc>
        <w:tc>
          <w:tcPr>
            <w:tcW w:w="837" w:type="pct"/>
          </w:tcPr>
          <w:p w:rsidR="00896C95" w:rsidRPr="00735356" w:rsidRDefault="00896C95" w:rsidP="00735356">
            <w:pPr>
              <w:rPr>
                <w:color w:val="auto"/>
                <w:sz w:val="20"/>
                <w:szCs w:val="20"/>
                <w:lang w:eastAsia="en-US"/>
              </w:rPr>
            </w:pPr>
            <w:r w:rsidRPr="00735356">
              <w:rPr>
                <w:sz w:val="20"/>
                <w:szCs w:val="20"/>
              </w:rPr>
              <w:t>-</w:t>
            </w:r>
          </w:p>
        </w:tc>
        <w:tc>
          <w:tcPr>
            <w:tcW w:w="2766" w:type="pct"/>
            <w:vMerge w:val="restart"/>
          </w:tcPr>
          <w:p w:rsidR="00896C95" w:rsidRPr="00735356" w:rsidRDefault="00896C95" w:rsidP="00735356">
            <w:pPr>
              <w:rPr>
                <w:color w:val="auto"/>
                <w:sz w:val="20"/>
                <w:szCs w:val="20"/>
                <w:lang w:eastAsia="en-US"/>
              </w:rPr>
            </w:pPr>
            <w:r w:rsidRPr="00735356">
              <w:rPr>
                <w:sz w:val="20"/>
                <w:szCs w:val="20"/>
              </w:rPr>
              <w:t xml:space="preserve">A Phase I/II multicentre, open-label study conducted in 3 parts (001DE, 001Ex and 001P2), of PK/PD, safety and efficacy of </w:t>
            </w:r>
            <w:proofErr w:type="spellStart"/>
            <w:r w:rsidRPr="00735356">
              <w:rPr>
                <w:sz w:val="20"/>
                <w:szCs w:val="20"/>
              </w:rPr>
              <w:t>enasidenib</w:t>
            </w:r>
            <w:proofErr w:type="spellEnd"/>
            <w:r w:rsidRPr="00735356">
              <w:rPr>
                <w:sz w:val="20"/>
                <w:szCs w:val="20"/>
              </w:rPr>
              <w:t xml:space="preserve"> in advanced </w:t>
            </w:r>
            <w:proofErr w:type="spellStart"/>
            <w:r w:rsidRPr="00735356">
              <w:rPr>
                <w:sz w:val="20"/>
                <w:szCs w:val="20"/>
              </w:rPr>
              <w:t>haematologic</w:t>
            </w:r>
            <w:proofErr w:type="spellEnd"/>
            <w:r w:rsidRPr="00735356">
              <w:rPr>
                <w:sz w:val="20"/>
                <w:szCs w:val="20"/>
              </w:rPr>
              <w:t xml:space="preserve"> malignancies including R/R AML with IDH2 mutations.</w:t>
            </w:r>
          </w:p>
          <w:p w:rsidR="00896C95" w:rsidRPr="00735356" w:rsidRDefault="00896C95" w:rsidP="00735356">
            <w:pPr>
              <w:rPr>
                <w:color w:val="auto"/>
                <w:sz w:val="20"/>
                <w:szCs w:val="20"/>
                <w:lang w:eastAsia="en-US"/>
              </w:rPr>
            </w:pPr>
            <w:r w:rsidRPr="00735356">
              <w:rPr>
                <w:sz w:val="20"/>
                <w:szCs w:val="20"/>
              </w:rPr>
              <w:t xml:space="preserve">Two final </w:t>
            </w:r>
            <w:r w:rsidR="00463FCB" w:rsidRPr="00735356">
              <w:rPr>
                <w:sz w:val="20"/>
                <w:szCs w:val="20"/>
              </w:rPr>
              <w:t>clinical study reports (</w:t>
            </w:r>
            <w:r w:rsidRPr="00735356">
              <w:rPr>
                <w:sz w:val="20"/>
                <w:szCs w:val="20"/>
              </w:rPr>
              <w:t>CSRs</w:t>
            </w:r>
            <w:r w:rsidR="00463FCB" w:rsidRPr="00735356">
              <w:rPr>
                <w:sz w:val="20"/>
                <w:szCs w:val="20"/>
              </w:rPr>
              <w:t>) have been provided: the Phase I</w:t>
            </w:r>
            <w:r w:rsidRPr="00735356">
              <w:rPr>
                <w:sz w:val="20"/>
                <w:szCs w:val="20"/>
              </w:rPr>
              <w:t xml:space="preserve"> CSR cov</w:t>
            </w:r>
            <w:r w:rsidR="00463FCB" w:rsidRPr="00735356">
              <w:rPr>
                <w:sz w:val="20"/>
                <w:szCs w:val="20"/>
              </w:rPr>
              <w:t>ers 001DE and 001</w:t>
            </w:r>
            <w:r w:rsidRPr="00735356">
              <w:rPr>
                <w:sz w:val="20"/>
                <w:szCs w:val="20"/>
              </w:rPr>
              <w:t>Ex and</w:t>
            </w:r>
            <w:r w:rsidR="00463FCB" w:rsidRPr="00735356">
              <w:rPr>
                <w:sz w:val="20"/>
                <w:szCs w:val="20"/>
              </w:rPr>
              <w:t xml:space="preserve"> the Phase II CSR covers 001P2.</w:t>
            </w:r>
          </w:p>
          <w:p w:rsidR="00896C95" w:rsidRPr="00735356" w:rsidRDefault="00896C95" w:rsidP="00735356">
            <w:pPr>
              <w:rPr>
                <w:color w:val="auto"/>
                <w:sz w:val="20"/>
                <w:szCs w:val="20"/>
                <w:lang w:eastAsia="en-US"/>
              </w:rPr>
            </w:pPr>
            <w:r w:rsidRPr="00735356">
              <w:rPr>
                <w:sz w:val="20"/>
                <w:szCs w:val="20"/>
              </w:rPr>
              <w:t xml:space="preserve">The sponsor has also conducted a combined analysis of all subjects with R/R AML in all three parts of the trial. </w:t>
            </w:r>
          </w:p>
        </w:tc>
      </w:tr>
      <w:tr w:rsidR="00896C95" w:rsidRPr="00735356" w:rsidTr="00896C95">
        <w:tc>
          <w:tcPr>
            <w:tcW w:w="474" w:type="pct"/>
            <w:vMerge w:val="restart"/>
          </w:tcPr>
          <w:p w:rsidR="00896C95" w:rsidRPr="00735356" w:rsidRDefault="00896C95" w:rsidP="00735356">
            <w:pPr>
              <w:rPr>
                <w:color w:val="auto"/>
                <w:sz w:val="20"/>
                <w:szCs w:val="20"/>
                <w:lang w:eastAsia="en-US"/>
              </w:rPr>
            </w:pPr>
            <w:r w:rsidRPr="00735356">
              <w:rPr>
                <w:sz w:val="20"/>
                <w:szCs w:val="20"/>
              </w:rPr>
              <w:t>I</w:t>
            </w:r>
          </w:p>
        </w:tc>
        <w:tc>
          <w:tcPr>
            <w:tcW w:w="923" w:type="pct"/>
          </w:tcPr>
          <w:p w:rsidR="00896C95" w:rsidRPr="00735356" w:rsidRDefault="00896C95" w:rsidP="00735356">
            <w:pPr>
              <w:rPr>
                <w:color w:val="auto"/>
                <w:sz w:val="20"/>
                <w:szCs w:val="20"/>
                <w:lang w:eastAsia="en-US"/>
              </w:rPr>
            </w:pPr>
            <w:r w:rsidRPr="00735356">
              <w:rPr>
                <w:sz w:val="20"/>
                <w:szCs w:val="20"/>
              </w:rPr>
              <w:t xml:space="preserve">AG221-C-001 Phase </w:t>
            </w:r>
            <w:r w:rsidR="00935EC2" w:rsidRPr="00735356">
              <w:rPr>
                <w:sz w:val="20"/>
                <w:szCs w:val="20"/>
              </w:rPr>
              <w:t>I</w:t>
            </w:r>
            <w:r w:rsidRPr="00735356">
              <w:rPr>
                <w:sz w:val="20"/>
                <w:szCs w:val="20"/>
              </w:rPr>
              <w:t xml:space="preserve"> Dose Escalation </w:t>
            </w:r>
          </w:p>
        </w:tc>
        <w:tc>
          <w:tcPr>
            <w:tcW w:w="837" w:type="pct"/>
          </w:tcPr>
          <w:p w:rsidR="00896C95" w:rsidRPr="00735356" w:rsidRDefault="00896C95" w:rsidP="00735356">
            <w:pPr>
              <w:rPr>
                <w:color w:val="auto"/>
                <w:sz w:val="20"/>
                <w:szCs w:val="20"/>
                <w:lang w:eastAsia="en-US"/>
              </w:rPr>
            </w:pPr>
            <w:r w:rsidRPr="00735356">
              <w:rPr>
                <w:sz w:val="20"/>
                <w:szCs w:val="20"/>
              </w:rPr>
              <w:t>001DE</w:t>
            </w:r>
          </w:p>
        </w:tc>
        <w:tc>
          <w:tcPr>
            <w:tcW w:w="2766" w:type="pct"/>
            <w:vMerge/>
          </w:tcPr>
          <w:p w:rsidR="00896C95" w:rsidRPr="00735356" w:rsidRDefault="00896C95" w:rsidP="00735356">
            <w:pPr>
              <w:rPr>
                <w:color w:val="auto"/>
                <w:sz w:val="20"/>
                <w:szCs w:val="20"/>
                <w:lang w:eastAsia="en-US"/>
              </w:rPr>
            </w:pPr>
          </w:p>
        </w:tc>
      </w:tr>
      <w:tr w:rsidR="00896C95" w:rsidRPr="00735356" w:rsidTr="00896C95">
        <w:tc>
          <w:tcPr>
            <w:tcW w:w="474" w:type="pct"/>
            <w:vMerge/>
          </w:tcPr>
          <w:p w:rsidR="00896C95" w:rsidRPr="00735356" w:rsidRDefault="00896C95" w:rsidP="00735356">
            <w:pPr>
              <w:rPr>
                <w:color w:val="auto"/>
                <w:sz w:val="20"/>
                <w:szCs w:val="20"/>
                <w:lang w:eastAsia="en-US"/>
              </w:rPr>
            </w:pPr>
          </w:p>
        </w:tc>
        <w:tc>
          <w:tcPr>
            <w:tcW w:w="923" w:type="pct"/>
          </w:tcPr>
          <w:p w:rsidR="00896C95" w:rsidRPr="00735356" w:rsidRDefault="00896C95" w:rsidP="00735356">
            <w:pPr>
              <w:rPr>
                <w:color w:val="auto"/>
                <w:sz w:val="20"/>
                <w:szCs w:val="20"/>
                <w:lang w:eastAsia="en-US"/>
              </w:rPr>
            </w:pPr>
            <w:r w:rsidRPr="00735356">
              <w:rPr>
                <w:sz w:val="20"/>
                <w:szCs w:val="20"/>
              </w:rPr>
              <w:t xml:space="preserve">AG221-C-001 Phase </w:t>
            </w:r>
            <w:r w:rsidR="00935EC2" w:rsidRPr="00735356">
              <w:rPr>
                <w:sz w:val="20"/>
                <w:szCs w:val="20"/>
              </w:rPr>
              <w:t>I</w:t>
            </w:r>
            <w:r w:rsidRPr="00735356">
              <w:rPr>
                <w:sz w:val="20"/>
                <w:szCs w:val="20"/>
              </w:rPr>
              <w:t xml:space="preserve"> Expansion</w:t>
            </w:r>
          </w:p>
        </w:tc>
        <w:tc>
          <w:tcPr>
            <w:tcW w:w="837" w:type="pct"/>
          </w:tcPr>
          <w:p w:rsidR="00896C95" w:rsidRPr="00735356" w:rsidRDefault="00896C95" w:rsidP="00735356">
            <w:pPr>
              <w:rPr>
                <w:color w:val="auto"/>
                <w:sz w:val="20"/>
                <w:szCs w:val="20"/>
                <w:lang w:eastAsia="en-US"/>
              </w:rPr>
            </w:pPr>
            <w:r w:rsidRPr="00735356">
              <w:rPr>
                <w:sz w:val="20"/>
                <w:szCs w:val="20"/>
              </w:rPr>
              <w:t>001Ex</w:t>
            </w:r>
          </w:p>
        </w:tc>
        <w:tc>
          <w:tcPr>
            <w:tcW w:w="2766" w:type="pct"/>
            <w:vMerge/>
          </w:tcPr>
          <w:p w:rsidR="00896C95" w:rsidRPr="00735356" w:rsidRDefault="00896C95" w:rsidP="00735356">
            <w:pPr>
              <w:rPr>
                <w:color w:val="auto"/>
                <w:sz w:val="20"/>
                <w:szCs w:val="20"/>
                <w:lang w:eastAsia="en-US"/>
              </w:rPr>
            </w:pPr>
          </w:p>
        </w:tc>
      </w:tr>
      <w:tr w:rsidR="00896C95" w:rsidRPr="00735356" w:rsidTr="00896C95">
        <w:tc>
          <w:tcPr>
            <w:tcW w:w="474" w:type="pct"/>
          </w:tcPr>
          <w:p w:rsidR="00896C95" w:rsidRPr="00735356" w:rsidRDefault="00896C95" w:rsidP="00735356">
            <w:pPr>
              <w:rPr>
                <w:color w:val="auto"/>
                <w:sz w:val="20"/>
                <w:szCs w:val="20"/>
                <w:lang w:eastAsia="en-US"/>
              </w:rPr>
            </w:pPr>
            <w:r w:rsidRPr="00735356">
              <w:rPr>
                <w:sz w:val="20"/>
                <w:szCs w:val="20"/>
              </w:rPr>
              <w:t>II</w:t>
            </w:r>
          </w:p>
        </w:tc>
        <w:tc>
          <w:tcPr>
            <w:tcW w:w="923" w:type="pct"/>
          </w:tcPr>
          <w:p w:rsidR="00896C95" w:rsidRPr="00735356" w:rsidRDefault="00896C95" w:rsidP="00735356">
            <w:pPr>
              <w:rPr>
                <w:color w:val="auto"/>
                <w:sz w:val="20"/>
                <w:szCs w:val="20"/>
                <w:lang w:eastAsia="en-US"/>
              </w:rPr>
            </w:pPr>
            <w:r w:rsidRPr="00735356">
              <w:rPr>
                <w:sz w:val="20"/>
                <w:szCs w:val="20"/>
              </w:rPr>
              <w:t xml:space="preserve">AG221-C-001 Phase </w:t>
            </w:r>
            <w:r w:rsidR="00935EC2" w:rsidRPr="00735356">
              <w:rPr>
                <w:sz w:val="20"/>
                <w:szCs w:val="20"/>
              </w:rPr>
              <w:t>II</w:t>
            </w:r>
          </w:p>
        </w:tc>
        <w:tc>
          <w:tcPr>
            <w:tcW w:w="837" w:type="pct"/>
          </w:tcPr>
          <w:p w:rsidR="00896C95" w:rsidRPr="00735356" w:rsidRDefault="00896C95" w:rsidP="00735356">
            <w:pPr>
              <w:rPr>
                <w:color w:val="auto"/>
                <w:sz w:val="20"/>
                <w:szCs w:val="20"/>
                <w:lang w:eastAsia="en-US"/>
              </w:rPr>
            </w:pPr>
            <w:r w:rsidRPr="00735356">
              <w:rPr>
                <w:sz w:val="20"/>
                <w:szCs w:val="20"/>
              </w:rPr>
              <w:t>001P2</w:t>
            </w:r>
          </w:p>
        </w:tc>
        <w:tc>
          <w:tcPr>
            <w:tcW w:w="2766" w:type="pct"/>
            <w:vMerge/>
          </w:tcPr>
          <w:p w:rsidR="00896C95" w:rsidRPr="00735356" w:rsidRDefault="00896C95" w:rsidP="00735356">
            <w:pPr>
              <w:rPr>
                <w:color w:val="auto"/>
                <w:sz w:val="20"/>
                <w:szCs w:val="20"/>
                <w:lang w:eastAsia="en-US"/>
              </w:rPr>
            </w:pPr>
          </w:p>
        </w:tc>
      </w:tr>
      <w:tr w:rsidR="00896C95" w:rsidRPr="00735356" w:rsidTr="00896C95">
        <w:tc>
          <w:tcPr>
            <w:tcW w:w="474" w:type="pct"/>
            <w:vMerge w:val="restart"/>
          </w:tcPr>
          <w:p w:rsidR="00896C95" w:rsidRPr="00735356" w:rsidRDefault="00896C95" w:rsidP="00735356">
            <w:pPr>
              <w:rPr>
                <w:color w:val="auto"/>
                <w:sz w:val="20"/>
                <w:szCs w:val="20"/>
                <w:lang w:eastAsia="en-US"/>
              </w:rPr>
            </w:pPr>
            <w:r w:rsidRPr="00735356">
              <w:rPr>
                <w:sz w:val="20"/>
                <w:szCs w:val="20"/>
              </w:rPr>
              <w:t>I</w:t>
            </w:r>
          </w:p>
        </w:tc>
        <w:tc>
          <w:tcPr>
            <w:tcW w:w="923" w:type="pct"/>
          </w:tcPr>
          <w:p w:rsidR="00896C95" w:rsidRPr="00735356" w:rsidRDefault="00896C95" w:rsidP="00735356">
            <w:pPr>
              <w:rPr>
                <w:color w:val="auto"/>
                <w:sz w:val="20"/>
                <w:szCs w:val="20"/>
                <w:lang w:eastAsia="en-US"/>
              </w:rPr>
            </w:pPr>
            <w:r w:rsidRPr="00735356">
              <w:rPr>
                <w:sz w:val="20"/>
                <w:szCs w:val="20"/>
              </w:rPr>
              <w:t>AG-221-CP-001</w:t>
            </w:r>
          </w:p>
        </w:tc>
        <w:tc>
          <w:tcPr>
            <w:tcW w:w="837" w:type="pct"/>
          </w:tcPr>
          <w:p w:rsidR="00896C95" w:rsidRPr="00735356" w:rsidRDefault="00896C95" w:rsidP="00735356">
            <w:pPr>
              <w:rPr>
                <w:color w:val="auto"/>
                <w:sz w:val="20"/>
                <w:szCs w:val="20"/>
                <w:lang w:eastAsia="en-US"/>
              </w:rPr>
            </w:pPr>
            <w:r w:rsidRPr="00735356">
              <w:rPr>
                <w:sz w:val="20"/>
                <w:szCs w:val="20"/>
              </w:rPr>
              <w:t>Study PK</w:t>
            </w:r>
          </w:p>
        </w:tc>
        <w:tc>
          <w:tcPr>
            <w:tcW w:w="2766" w:type="pct"/>
          </w:tcPr>
          <w:p w:rsidR="00896C95" w:rsidRPr="00735356" w:rsidRDefault="00896C95" w:rsidP="00735356">
            <w:pPr>
              <w:rPr>
                <w:color w:val="auto"/>
                <w:sz w:val="20"/>
                <w:szCs w:val="20"/>
                <w:lang w:eastAsia="en-US"/>
              </w:rPr>
            </w:pPr>
            <w:r w:rsidRPr="00735356">
              <w:rPr>
                <w:sz w:val="20"/>
                <w:szCs w:val="20"/>
              </w:rPr>
              <w:t xml:space="preserve">Single dose, open-label study to evaluate the PK and safety of </w:t>
            </w:r>
            <w:proofErr w:type="spellStart"/>
            <w:r w:rsidRPr="00735356">
              <w:rPr>
                <w:sz w:val="20"/>
                <w:szCs w:val="20"/>
              </w:rPr>
              <w:t>enasidenib</w:t>
            </w:r>
            <w:proofErr w:type="spellEnd"/>
            <w:r w:rsidRPr="00735356">
              <w:rPr>
                <w:sz w:val="20"/>
                <w:szCs w:val="20"/>
              </w:rPr>
              <w:t xml:space="preserve"> in healthy adult male Japanese subjects relative to healthy adult male Caucasian subjects. </w:t>
            </w:r>
          </w:p>
        </w:tc>
      </w:tr>
      <w:tr w:rsidR="00896C95" w:rsidRPr="00735356" w:rsidTr="00896C95">
        <w:tc>
          <w:tcPr>
            <w:tcW w:w="474" w:type="pct"/>
            <w:vMerge/>
          </w:tcPr>
          <w:p w:rsidR="00896C95" w:rsidRPr="00735356" w:rsidRDefault="00896C95" w:rsidP="00735356">
            <w:pPr>
              <w:rPr>
                <w:sz w:val="20"/>
                <w:szCs w:val="20"/>
              </w:rPr>
            </w:pPr>
          </w:p>
        </w:tc>
        <w:tc>
          <w:tcPr>
            <w:tcW w:w="923" w:type="pct"/>
          </w:tcPr>
          <w:p w:rsidR="00896C95" w:rsidRPr="00735356" w:rsidRDefault="00896C95" w:rsidP="00735356">
            <w:pPr>
              <w:rPr>
                <w:sz w:val="20"/>
                <w:szCs w:val="20"/>
              </w:rPr>
            </w:pPr>
            <w:r w:rsidRPr="00735356">
              <w:rPr>
                <w:sz w:val="20"/>
                <w:szCs w:val="20"/>
              </w:rPr>
              <w:t>AG-221-CP-002</w:t>
            </w:r>
          </w:p>
        </w:tc>
        <w:tc>
          <w:tcPr>
            <w:tcW w:w="837" w:type="pct"/>
          </w:tcPr>
          <w:p w:rsidR="00896C95" w:rsidRPr="00735356" w:rsidRDefault="00896C95" w:rsidP="00735356">
            <w:pPr>
              <w:rPr>
                <w:sz w:val="20"/>
                <w:szCs w:val="20"/>
              </w:rPr>
            </w:pPr>
            <w:r w:rsidRPr="00735356">
              <w:rPr>
                <w:sz w:val="20"/>
                <w:szCs w:val="20"/>
              </w:rPr>
              <w:t>Study ADME</w:t>
            </w:r>
          </w:p>
        </w:tc>
        <w:tc>
          <w:tcPr>
            <w:tcW w:w="2766" w:type="pct"/>
          </w:tcPr>
          <w:p w:rsidR="00896C95" w:rsidRPr="00735356" w:rsidRDefault="00896C95" w:rsidP="00735356">
            <w:pPr>
              <w:rPr>
                <w:sz w:val="20"/>
                <w:szCs w:val="20"/>
              </w:rPr>
            </w:pPr>
            <w:r w:rsidRPr="00735356">
              <w:rPr>
                <w:sz w:val="20"/>
                <w:szCs w:val="20"/>
              </w:rPr>
              <w:t xml:space="preserve">Open-label 2-part study to evaluate the metabolism and excretion and determine absolute bioavailability of </w:t>
            </w:r>
            <w:proofErr w:type="spellStart"/>
            <w:r w:rsidRPr="00735356">
              <w:rPr>
                <w:sz w:val="20"/>
                <w:szCs w:val="20"/>
              </w:rPr>
              <w:t>enasidenib</w:t>
            </w:r>
            <w:proofErr w:type="spellEnd"/>
            <w:r w:rsidRPr="00735356">
              <w:rPr>
                <w:sz w:val="20"/>
                <w:szCs w:val="20"/>
              </w:rPr>
              <w:t xml:space="preserve"> in healthy male adult subjects. </w:t>
            </w:r>
          </w:p>
        </w:tc>
      </w:tr>
      <w:tr w:rsidR="00896C95" w:rsidRPr="00735356" w:rsidTr="00896C95">
        <w:tc>
          <w:tcPr>
            <w:tcW w:w="474" w:type="pct"/>
            <w:vMerge/>
          </w:tcPr>
          <w:p w:rsidR="00896C95" w:rsidRPr="00735356" w:rsidRDefault="00896C95" w:rsidP="00735356">
            <w:pPr>
              <w:rPr>
                <w:sz w:val="20"/>
                <w:szCs w:val="20"/>
              </w:rPr>
            </w:pPr>
          </w:p>
        </w:tc>
        <w:tc>
          <w:tcPr>
            <w:tcW w:w="923" w:type="pct"/>
          </w:tcPr>
          <w:p w:rsidR="00896C95" w:rsidRPr="00735356" w:rsidRDefault="00896C95" w:rsidP="00735356">
            <w:pPr>
              <w:rPr>
                <w:sz w:val="20"/>
                <w:szCs w:val="20"/>
              </w:rPr>
            </w:pPr>
            <w:r w:rsidRPr="00735356">
              <w:rPr>
                <w:sz w:val="20"/>
                <w:szCs w:val="20"/>
              </w:rPr>
              <w:t>AG221-C-002</w:t>
            </w:r>
          </w:p>
        </w:tc>
        <w:tc>
          <w:tcPr>
            <w:tcW w:w="837" w:type="pct"/>
          </w:tcPr>
          <w:p w:rsidR="00896C95" w:rsidRPr="00735356" w:rsidRDefault="00896C95" w:rsidP="00735356">
            <w:pPr>
              <w:rPr>
                <w:sz w:val="20"/>
                <w:szCs w:val="20"/>
              </w:rPr>
            </w:pPr>
            <w:r w:rsidRPr="00735356">
              <w:rPr>
                <w:sz w:val="20"/>
                <w:szCs w:val="20"/>
              </w:rPr>
              <w:t>Study FE</w:t>
            </w:r>
          </w:p>
        </w:tc>
        <w:tc>
          <w:tcPr>
            <w:tcW w:w="2766" w:type="pct"/>
          </w:tcPr>
          <w:p w:rsidR="00896C95" w:rsidRPr="00735356" w:rsidRDefault="00896C95" w:rsidP="00735356">
            <w:pPr>
              <w:rPr>
                <w:sz w:val="20"/>
                <w:szCs w:val="20"/>
              </w:rPr>
            </w:pPr>
            <w:r w:rsidRPr="00735356">
              <w:rPr>
                <w:sz w:val="20"/>
                <w:szCs w:val="20"/>
              </w:rPr>
              <w:t xml:space="preserve">Two way crossover study to assess PK and safety of a single dose of </w:t>
            </w:r>
            <w:proofErr w:type="spellStart"/>
            <w:r w:rsidRPr="00735356">
              <w:rPr>
                <w:sz w:val="20"/>
                <w:szCs w:val="20"/>
              </w:rPr>
              <w:t>enasidenib</w:t>
            </w:r>
            <w:proofErr w:type="spellEnd"/>
            <w:r w:rsidRPr="00735356">
              <w:rPr>
                <w:sz w:val="20"/>
                <w:szCs w:val="20"/>
              </w:rPr>
              <w:t xml:space="preserve"> in healthy male subjects when administered under fed and fasted conditions. </w:t>
            </w:r>
          </w:p>
        </w:tc>
      </w:tr>
    </w:tbl>
    <w:p w:rsidR="009479F2" w:rsidRPr="00345C78" w:rsidRDefault="009479F2" w:rsidP="002227D5">
      <w:r w:rsidRPr="00345C78">
        <w:t>The o</w:t>
      </w:r>
      <w:r w:rsidR="00283CA4">
        <w:t>ngoing S</w:t>
      </w:r>
      <w:r w:rsidRPr="00345C78">
        <w:t xml:space="preserve">tudy AG221-C-001 had three parts or phases, namely </w:t>
      </w:r>
      <w:r w:rsidR="00577FF8">
        <w:t>a dose escalation phase (</w:t>
      </w:r>
      <w:r w:rsidRPr="00345C78">
        <w:t>001DE</w:t>
      </w:r>
      <w:r w:rsidR="00577FF8">
        <w:t>)</w:t>
      </w:r>
      <w:r w:rsidRPr="00345C78">
        <w:t xml:space="preserve">, </w:t>
      </w:r>
      <w:r w:rsidR="00577FF8">
        <w:t>a Phase I expansion (</w:t>
      </w:r>
      <w:r w:rsidRPr="00345C78">
        <w:t>001Ex</w:t>
      </w:r>
      <w:r w:rsidR="00577FF8">
        <w:t>)</w:t>
      </w:r>
      <w:r w:rsidRPr="00345C78">
        <w:t xml:space="preserve"> and </w:t>
      </w:r>
      <w:r w:rsidR="00577FF8">
        <w:t>a Phase II expansion (</w:t>
      </w:r>
      <w:r w:rsidRPr="00345C78">
        <w:t>001P2</w:t>
      </w:r>
      <w:r w:rsidR="00577FF8">
        <w:t>)</w:t>
      </w:r>
      <w:r w:rsidRPr="00345C78">
        <w:t xml:space="preserve">. One </w:t>
      </w:r>
      <w:r w:rsidR="00A956FC">
        <w:t>CSR</w:t>
      </w:r>
      <w:r w:rsidRPr="00345C78">
        <w:t xml:space="preserve"> covered the first two phases and a second </w:t>
      </w:r>
      <w:r w:rsidR="00935EC2">
        <w:t xml:space="preserve">CSR covered </w:t>
      </w:r>
      <w:r w:rsidRPr="00345C78">
        <w:t>the third phase. This single study gathered information on PK, PD, dose finding, safety and efficacy, and is the major data submitted for efficacy in th</w:t>
      </w:r>
      <w:r w:rsidR="00283CA4">
        <w:t>e dossier. The three completed P</w:t>
      </w:r>
      <w:r w:rsidRPr="00345C78">
        <w:t xml:space="preserve">hase I studies, namely </w:t>
      </w:r>
      <w:r w:rsidR="00283CA4">
        <w:t>Study</w:t>
      </w:r>
      <w:r w:rsidR="00935EC2">
        <w:t> </w:t>
      </w:r>
      <w:r w:rsidRPr="00345C78">
        <w:t>AG-221-CP-001</w:t>
      </w:r>
      <w:r w:rsidR="00896C95">
        <w:t xml:space="preserve"> (Study PK)</w:t>
      </w:r>
      <w:r w:rsidRPr="00345C78">
        <w:t xml:space="preserve">; </w:t>
      </w:r>
      <w:r w:rsidR="00283CA4">
        <w:t xml:space="preserve">Study </w:t>
      </w:r>
      <w:r w:rsidRPr="00345C78">
        <w:t>AG-221-CP-002</w:t>
      </w:r>
      <w:r w:rsidR="00896C95">
        <w:t xml:space="preserve"> (Study ADME)</w:t>
      </w:r>
      <w:r w:rsidRPr="00345C78">
        <w:t xml:space="preserve"> and </w:t>
      </w:r>
      <w:r w:rsidR="00283CA4">
        <w:t>Study</w:t>
      </w:r>
      <w:r w:rsidR="000F1877">
        <w:t> </w:t>
      </w:r>
      <w:r w:rsidRPr="00345C78">
        <w:t>AG221</w:t>
      </w:r>
      <w:r w:rsidR="000F1877">
        <w:noBreakHyphen/>
      </w:r>
      <w:r w:rsidRPr="00345C78">
        <w:t>C-002</w:t>
      </w:r>
      <w:r w:rsidR="00896C95">
        <w:t xml:space="preserve"> (Study FE)</w:t>
      </w:r>
      <w:r w:rsidR="00283CA4">
        <w:t>, studied</w:t>
      </w:r>
      <w:r w:rsidRPr="00345C78">
        <w:t xml:space="preserve"> PK, safety, </w:t>
      </w:r>
      <w:r w:rsidR="003233F7" w:rsidRPr="00345C78">
        <w:t xml:space="preserve">absorption, distribution, metabolism and </w:t>
      </w:r>
      <w:r w:rsidR="000F1877" w:rsidRPr="00345C78">
        <w:t>e</w:t>
      </w:r>
      <w:r w:rsidR="000F1877">
        <w:t>xcretion</w:t>
      </w:r>
      <w:r w:rsidR="000F1877" w:rsidRPr="00345C78">
        <w:t xml:space="preserve"> </w:t>
      </w:r>
      <w:r w:rsidR="003233F7">
        <w:t xml:space="preserve">(ADME) </w:t>
      </w:r>
      <w:r w:rsidR="003233F7" w:rsidRPr="00345C78">
        <w:t>as well as bi</w:t>
      </w:r>
      <w:r w:rsidR="003233F7">
        <w:t>oavailability</w:t>
      </w:r>
      <w:r w:rsidR="002227D5">
        <w:t xml:space="preserve"> and food effect.</w:t>
      </w:r>
    </w:p>
    <w:p w:rsidR="009479F2" w:rsidRDefault="009479F2" w:rsidP="002227D5">
      <w:r w:rsidRPr="00345C78">
        <w:t>Multiple ‘sub-studies’ as a collective term, in PK and PD were conducted from those st</w:t>
      </w:r>
      <w:r w:rsidR="002227D5">
        <w:t>udies completed above, chiefly S</w:t>
      </w:r>
      <w:r w:rsidRPr="00345C78">
        <w:t>tudy AG-221-C-001</w:t>
      </w:r>
      <w:r w:rsidR="00646F0F">
        <w:t xml:space="preserve">. They are described as follows in </w:t>
      </w:r>
      <w:r w:rsidR="00646F0F">
        <w:fldChar w:fldCharType="begin"/>
      </w:r>
      <w:r w:rsidR="00646F0F">
        <w:instrText xml:space="preserve"> REF _Ref36055657 \h </w:instrText>
      </w:r>
      <w:r w:rsidR="00646F0F">
        <w:fldChar w:fldCharType="separate"/>
      </w:r>
      <w:r w:rsidR="00A956FC">
        <w:t xml:space="preserve">Table </w:t>
      </w:r>
      <w:r w:rsidR="00A956FC">
        <w:rPr>
          <w:noProof/>
        </w:rPr>
        <w:t>4</w:t>
      </w:r>
      <w:r w:rsidR="00646F0F">
        <w:fldChar w:fldCharType="end"/>
      </w:r>
      <w:r w:rsidR="00646F0F">
        <w:t>.</w:t>
      </w:r>
    </w:p>
    <w:p w:rsidR="009479F2" w:rsidRPr="00345C78" w:rsidRDefault="001D4DCC" w:rsidP="000F1877">
      <w:pPr>
        <w:pStyle w:val="TableTitle"/>
      </w:pPr>
      <w:bookmarkStart w:id="45" w:name="_Ref36055657"/>
      <w:r>
        <w:t xml:space="preserve">Table </w:t>
      </w:r>
      <w:r w:rsidR="00735356">
        <w:fldChar w:fldCharType="begin"/>
      </w:r>
      <w:r w:rsidR="00735356">
        <w:instrText xml:space="preserve"> SEQ Table \* ARABIC </w:instrText>
      </w:r>
      <w:r w:rsidR="00735356">
        <w:fldChar w:fldCharType="separate"/>
      </w:r>
      <w:r w:rsidR="009B6128">
        <w:rPr>
          <w:noProof/>
        </w:rPr>
        <w:t>4</w:t>
      </w:r>
      <w:r w:rsidR="00735356">
        <w:rPr>
          <w:noProof/>
        </w:rPr>
        <w:fldChar w:fldCharType="end"/>
      </w:r>
      <w:bookmarkEnd w:id="45"/>
      <w:r>
        <w:t xml:space="preserve">: </w:t>
      </w:r>
      <w:r w:rsidR="00DF3646">
        <w:t>Pharmacokinetic/pharmacodynamic studies using subjects from other studies</w:t>
      </w:r>
    </w:p>
    <w:tbl>
      <w:tblPr>
        <w:tblStyle w:val="TableTGAblue"/>
        <w:tblW w:w="5000" w:type="pct"/>
        <w:tblLook w:val="04A0" w:firstRow="1" w:lastRow="0" w:firstColumn="1" w:lastColumn="0" w:noHBand="0" w:noVBand="1"/>
      </w:tblPr>
      <w:tblGrid>
        <w:gridCol w:w="1589"/>
        <w:gridCol w:w="1768"/>
        <w:gridCol w:w="1957"/>
        <w:gridCol w:w="3406"/>
      </w:tblGrid>
      <w:tr w:rsidR="009479F2" w:rsidRPr="00735356" w:rsidTr="00DF3646">
        <w:trPr>
          <w:cnfStyle w:val="100000000000" w:firstRow="1" w:lastRow="0" w:firstColumn="0" w:lastColumn="0" w:oddVBand="0" w:evenVBand="0" w:oddHBand="0" w:evenHBand="0" w:firstRowFirstColumn="0" w:firstRowLastColumn="0" w:lastRowFirstColumn="0" w:lastRowLastColumn="0"/>
          <w:trHeight w:val="1194"/>
        </w:trPr>
        <w:tc>
          <w:tcPr>
            <w:tcW w:w="970" w:type="pct"/>
          </w:tcPr>
          <w:p w:rsidR="009479F2" w:rsidRPr="00735356" w:rsidRDefault="009479F2" w:rsidP="00735356">
            <w:pPr>
              <w:rPr>
                <w:sz w:val="20"/>
                <w:szCs w:val="20"/>
              </w:rPr>
            </w:pPr>
            <w:r w:rsidRPr="00735356">
              <w:rPr>
                <w:sz w:val="20"/>
                <w:szCs w:val="20"/>
              </w:rPr>
              <w:t>Study Name</w:t>
            </w:r>
          </w:p>
        </w:tc>
        <w:tc>
          <w:tcPr>
            <w:tcW w:w="837" w:type="pct"/>
          </w:tcPr>
          <w:p w:rsidR="009479F2" w:rsidRPr="00735356" w:rsidRDefault="009479F2" w:rsidP="00735356">
            <w:pPr>
              <w:rPr>
                <w:sz w:val="20"/>
                <w:szCs w:val="20"/>
              </w:rPr>
            </w:pPr>
            <w:r w:rsidRPr="00735356">
              <w:rPr>
                <w:sz w:val="20"/>
                <w:szCs w:val="20"/>
              </w:rPr>
              <w:t xml:space="preserve">Abbreviation used in this </w:t>
            </w:r>
            <w:r w:rsidR="009353A1" w:rsidRPr="00735356">
              <w:rPr>
                <w:sz w:val="20"/>
                <w:szCs w:val="20"/>
              </w:rPr>
              <w:t>AusPAR</w:t>
            </w:r>
          </w:p>
        </w:tc>
        <w:tc>
          <w:tcPr>
            <w:tcW w:w="1181" w:type="pct"/>
          </w:tcPr>
          <w:p w:rsidR="009479F2" w:rsidRPr="00735356" w:rsidRDefault="009479F2" w:rsidP="00735356">
            <w:pPr>
              <w:rPr>
                <w:sz w:val="20"/>
                <w:szCs w:val="20"/>
              </w:rPr>
            </w:pPr>
            <w:r w:rsidRPr="00735356">
              <w:rPr>
                <w:sz w:val="20"/>
                <w:szCs w:val="20"/>
              </w:rPr>
              <w:t>Subjects taken from study</w:t>
            </w:r>
          </w:p>
        </w:tc>
        <w:tc>
          <w:tcPr>
            <w:tcW w:w="2012" w:type="pct"/>
          </w:tcPr>
          <w:p w:rsidR="009479F2" w:rsidRPr="00735356" w:rsidRDefault="009479F2" w:rsidP="00735356">
            <w:pPr>
              <w:rPr>
                <w:sz w:val="20"/>
                <w:szCs w:val="20"/>
              </w:rPr>
            </w:pPr>
            <w:r w:rsidRPr="00735356">
              <w:rPr>
                <w:sz w:val="20"/>
                <w:szCs w:val="20"/>
              </w:rPr>
              <w:t>Description</w:t>
            </w:r>
          </w:p>
        </w:tc>
      </w:tr>
      <w:tr w:rsidR="009479F2" w:rsidRPr="00735356" w:rsidTr="00DF3646">
        <w:trPr>
          <w:trHeight w:val="711"/>
        </w:trPr>
        <w:tc>
          <w:tcPr>
            <w:tcW w:w="970" w:type="pct"/>
          </w:tcPr>
          <w:p w:rsidR="009479F2" w:rsidRPr="00735356" w:rsidRDefault="009353A1" w:rsidP="00735356">
            <w:pPr>
              <w:rPr>
                <w:color w:val="auto"/>
                <w:sz w:val="20"/>
                <w:szCs w:val="20"/>
                <w:lang w:eastAsia="en-US"/>
              </w:rPr>
            </w:pPr>
            <w:r w:rsidRPr="00735356">
              <w:rPr>
                <w:sz w:val="20"/>
                <w:szCs w:val="20"/>
              </w:rPr>
              <w:t xml:space="preserve">Study </w:t>
            </w:r>
            <w:r w:rsidR="009479F2" w:rsidRPr="00735356">
              <w:rPr>
                <w:sz w:val="20"/>
                <w:szCs w:val="20"/>
              </w:rPr>
              <w:t>AG221-N-033-R1</w:t>
            </w:r>
          </w:p>
        </w:tc>
        <w:tc>
          <w:tcPr>
            <w:tcW w:w="837" w:type="pct"/>
          </w:tcPr>
          <w:p w:rsidR="009479F2" w:rsidRPr="00735356" w:rsidRDefault="009479F2" w:rsidP="00735356">
            <w:pPr>
              <w:rPr>
                <w:color w:val="auto"/>
                <w:sz w:val="20"/>
                <w:szCs w:val="20"/>
                <w:lang w:eastAsia="en-US"/>
              </w:rPr>
            </w:pPr>
            <w:r w:rsidRPr="00735356">
              <w:rPr>
                <w:sz w:val="20"/>
                <w:szCs w:val="20"/>
              </w:rPr>
              <w:t>Study R1</w:t>
            </w:r>
          </w:p>
        </w:tc>
        <w:tc>
          <w:tcPr>
            <w:tcW w:w="1181" w:type="pct"/>
          </w:tcPr>
          <w:p w:rsidR="009479F2" w:rsidRPr="00735356" w:rsidRDefault="000F1877" w:rsidP="00735356">
            <w:pPr>
              <w:rPr>
                <w:color w:val="auto"/>
                <w:sz w:val="20"/>
                <w:szCs w:val="20"/>
                <w:lang w:eastAsia="en-US"/>
              </w:rPr>
            </w:pPr>
            <w:r w:rsidRPr="00735356">
              <w:rPr>
                <w:sz w:val="20"/>
                <w:szCs w:val="20"/>
              </w:rPr>
              <w:t>Not applicable</w:t>
            </w:r>
            <w:r w:rsidR="009479F2" w:rsidRPr="00735356">
              <w:rPr>
                <w:sz w:val="20"/>
                <w:szCs w:val="20"/>
              </w:rPr>
              <w:t xml:space="preserve"> </w:t>
            </w:r>
          </w:p>
        </w:tc>
        <w:tc>
          <w:tcPr>
            <w:tcW w:w="2012" w:type="pct"/>
          </w:tcPr>
          <w:p w:rsidR="009479F2" w:rsidRPr="00735356" w:rsidRDefault="009479F2" w:rsidP="00735356">
            <w:pPr>
              <w:rPr>
                <w:color w:val="auto"/>
                <w:sz w:val="20"/>
                <w:szCs w:val="20"/>
                <w:lang w:eastAsia="en-US"/>
              </w:rPr>
            </w:pPr>
            <w:r w:rsidRPr="00735356">
              <w:rPr>
                <w:i/>
                <w:sz w:val="20"/>
                <w:szCs w:val="20"/>
              </w:rPr>
              <w:t>In-vitro</w:t>
            </w:r>
            <w:r w:rsidRPr="00735356">
              <w:rPr>
                <w:sz w:val="20"/>
                <w:szCs w:val="20"/>
              </w:rPr>
              <w:t xml:space="preserve"> study to determine plasma protein binding of </w:t>
            </w:r>
            <w:proofErr w:type="spellStart"/>
            <w:r w:rsidRPr="00735356">
              <w:rPr>
                <w:sz w:val="20"/>
                <w:szCs w:val="20"/>
              </w:rPr>
              <w:t>enasidenib</w:t>
            </w:r>
            <w:proofErr w:type="spellEnd"/>
            <w:r w:rsidRPr="00735356">
              <w:rPr>
                <w:sz w:val="20"/>
                <w:szCs w:val="20"/>
              </w:rPr>
              <w:t xml:space="preserve"> in human and animal plasma</w:t>
            </w:r>
          </w:p>
        </w:tc>
      </w:tr>
      <w:tr w:rsidR="009479F2" w:rsidRPr="00735356" w:rsidTr="00DF3646">
        <w:trPr>
          <w:trHeight w:val="470"/>
        </w:trPr>
        <w:tc>
          <w:tcPr>
            <w:tcW w:w="970" w:type="pct"/>
          </w:tcPr>
          <w:p w:rsidR="009479F2" w:rsidRPr="00735356" w:rsidRDefault="009353A1" w:rsidP="00735356">
            <w:pPr>
              <w:rPr>
                <w:color w:val="auto"/>
                <w:sz w:val="20"/>
                <w:szCs w:val="20"/>
                <w:lang w:eastAsia="en-US"/>
              </w:rPr>
            </w:pPr>
            <w:r w:rsidRPr="00735356">
              <w:rPr>
                <w:sz w:val="20"/>
                <w:szCs w:val="20"/>
              </w:rPr>
              <w:t xml:space="preserve">Study </w:t>
            </w:r>
            <w:r w:rsidR="009479F2" w:rsidRPr="00735356">
              <w:rPr>
                <w:sz w:val="20"/>
                <w:szCs w:val="20"/>
              </w:rPr>
              <w:t>AG221-C-001-QTCPK</w:t>
            </w:r>
          </w:p>
        </w:tc>
        <w:tc>
          <w:tcPr>
            <w:tcW w:w="837" w:type="pct"/>
          </w:tcPr>
          <w:p w:rsidR="009479F2" w:rsidRPr="00735356" w:rsidRDefault="009479F2" w:rsidP="00735356">
            <w:pPr>
              <w:rPr>
                <w:color w:val="auto"/>
                <w:sz w:val="20"/>
                <w:szCs w:val="20"/>
                <w:lang w:eastAsia="en-US"/>
              </w:rPr>
            </w:pPr>
            <w:r w:rsidRPr="00735356">
              <w:rPr>
                <w:sz w:val="20"/>
                <w:szCs w:val="20"/>
              </w:rPr>
              <w:t>Study QTC</w:t>
            </w:r>
          </w:p>
        </w:tc>
        <w:tc>
          <w:tcPr>
            <w:tcW w:w="1181" w:type="pct"/>
          </w:tcPr>
          <w:p w:rsidR="009479F2" w:rsidRPr="00735356" w:rsidRDefault="00646F0F" w:rsidP="00735356">
            <w:pPr>
              <w:rPr>
                <w:color w:val="auto"/>
                <w:sz w:val="20"/>
                <w:szCs w:val="20"/>
                <w:lang w:eastAsia="en-US"/>
              </w:rPr>
            </w:pPr>
            <w:r w:rsidRPr="00735356">
              <w:rPr>
                <w:sz w:val="20"/>
                <w:szCs w:val="20"/>
              </w:rPr>
              <w:t>Study AG221-C-</w:t>
            </w:r>
            <w:r w:rsidR="009479F2" w:rsidRPr="00735356">
              <w:rPr>
                <w:sz w:val="20"/>
                <w:szCs w:val="20"/>
              </w:rPr>
              <w:t>001</w:t>
            </w:r>
          </w:p>
        </w:tc>
        <w:tc>
          <w:tcPr>
            <w:tcW w:w="2012" w:type="pct"/>
          </w:tcPr>
          <w:p w:rsidR="009479F2" w:rsidRPr="00735356" w:rsidRDefault="009479F2" w:rsidP="00735356">
            <w:pPr>
              <w:rPr>
                <w:color w:val="auto"/>
                <w:sz w:val="20"/>
                <w:szCs w:val="20"/>
                <w:lang w:eastAsia="en-US"/>
              </w:rPr>
            </w:pPr>
            <w:r w:rsidRPr="00735356">
              <w:rPr>
                <w:sz w:val="20"/>
                <w:szCs w:val="20"/>
              </w:rPr>
              <w:t xml:space="preserve">This study assessed the relationship between </w:t>
            </w:r>
            <w:proofErr w:type="spellStart"/>
            <w:r w:rsidRPr="00735356">
              <w:rPr>
                <w:sz w:val="20"/>
                <w:szCs w:val="20"/>
              </w:rPr>
              <w:t>enasidenib</w:t>
            </w:r>
            <w:proofErr w:type="spellEnd"/>
            <w:r w:rsidRPr="00735356">
              <w:rPr>
                <w:sz w:val="20"/>
                <w:szCs w:val="20"/>
              </w:rPr>
              <w:t xml:space="preserve"> exposure (plasma </w:t>
            </w:r>
            <w:r w:rsidR="00A956FC" w:rsidRPr="00735356">
              <w:rPr>
                <w:sz w:val="20"/>
                <w:szCs w:val="20"/>
              </w:rPr>
              <w:t>concentration) and changes in QT</w:t>
            </w:r>
            <w:r w:rsidRPr="00735356">
              <w:rPr>
                <w:sz w:val="20"/>
                <w:szCs w:val="20"/>
              </w:rPr>
              <w:t>/</w:t>
            </w:r>
            <w:r w:rsidR="00A956FC" w:rsidRPr="00735356">
              <w:rPr>
                <w:sz w:val="20"/>
                <w:szCs w:val="20"/>
              </w:rPr>
              <w:t>corrected QT interval (</w:t>
            </w:r>
            <w:proofErr w:type="spellStart"/>
            <w:r w:rsidRPr="00735356">
              <w:rPr>
                <w:sz w:val="20"/>
                <w:szCs w:val="20"/>
              </w:rPr>
              <w:t>QTc</w:t>
            </w:r>
            <w:proofErr w:type="spellEnd"/>
            <w:r w:rsidR="00A956FC" w:rsidRPr="00735356">
              <w:rPr>
                <w:sz w:val="20"/>
                <w:szCs w:val="20"/>
              </w:rPr>
              <w:t>)</w:t>
            </w:r>
          </w:p>
        </w:tc>
      </w:tr>
      <w:tr w:rsidR="009479F2" w:rsidRPr="00735356" w:rsidTr="00DF3646">
        <w:trPr>
          <w:trHeight w:val="711"/>
        </w:trPr>
        <w:tc>
          <w:tcPr>
            <w:tcW w:w="970" w:type="pct"/>
          </w:tcPr>
          <w:p w:rsidR="009479F2" w:rsidRPr="00735356" w:rsidRDefault="009353A1" w:rsidP="00735356">
            <w:pPr>
              <w:rPr>
                <w:sz w:val="20"/>
                <w:szCs w:val="20"/>
              </w:rPr>
            </w:pPr>
            <w:r w:rsidRPr="00735356">
              <w:rPr>
                <w:sz w:val="20"/>
                <w:szCs w:val="20"/>
              </w:rPr>
              <w:t xml:space="preserve">Study </w:t>
            </w:r>
            <w:r w:rsidR="009479F2" w:rsidRPr="00735356">
              <w:rPr>
                <w:sz w:val="20"/>
                <w:szCs w:val="20"/>
              </w:rPr>
              <w:t>AG-221-MPK-002</w:t>
            </w:r>
          </w:p>
        </w:tc>
        <w:tc>
          <w:tcPr>
            <w:tcW w:w="837" w:type="pct"/>
          </w:tcPr>
          <w:p w:rsidR="009479F2" w:rsidRPr="00735356" w:rsidRDefault="009479F2" w:rsidP="00735356">
            <w:pPr>
              <w:rPr>
                <w:sz w:val="20"/>
                <w:szCs w:val="20"/>
              </w:rPr>
            </w:pPr>
            <w:r w:rsidRPr="00735356">
              <w:rPr>
                <w:sz w:val="20"/>
                <w:szCs w:val="20"/>
              </w:rPr>
              <w:t>Study MPK</w:t>
            </w:r>
          </w:p>
        </w:tc>
        <w:tc>
          <w:tcPr>
            <w:tcW w:w="1181" w:type="pct"/>
          </w:tcPr>
          <w:p w:rsidR="009479F2" w:rsidRPr="00735356" w:rsidRDefault="00DF3646" w:rsidP="00735356">
            <w:pPr>
              <w:rPr>
                <w:sz w:val="20"/>
                <w:szCs w:val="20"/>
              </w:rPr>
            </w:pPr>
            <w:r w:rsidRPr="00735356">
              <w:rPr>
                <w:sz w:val="20"/>
                <w:szCs w:val="20"/>
              </w:rPr>
              <w:t xml:space="preserve">Study </w:t>
            </w:r>
            <w:r w:rsidR="00896C95" w:rsidRPr="00735356">
              <w:rPr>
                <w:sz w:val="20"/>
                <w:szCs w:val="20"/>
              </w:rPr>
              <w:t>FE</w:t>
            </w:r>
            <w:r w:rsidR="009479F2" w:rsidRPr="00735356">
              <w:rPr>
                <w:sz w:val="20"/>
                <w:szCs w:val="20"/>
              </w:rPr>
              <w:t xml:space="preserve">, </w:t>
            </w:r>
            <w:r w:rsidRPr="00735356">
              <w:rPr>
                <w:sz w:val="20"/>
                <w:szCs w:val="20"/>
              </w:rPr>
              <w:t xml:space="preserve">Study </w:t>
            </w:r>
            <w:r w:rsidR="00896C95" w:rsidRPr="00735356">
              <w:rPr>
                <w:sz w:val="20"/>
                <w:szCs w:val="20"/>
              </w:rPr>
              <w:t>PK</w:t>
            </w:r>
            <w:r w:rsidR="009479F2" w:rsidRPr="00735356">
              <w:rPr>
                <w:sz w:val="20"/>
                <w:szCs w:val="20"/>
              </w:rPr>
              <w:t xml:space="preserve">, </w:t>
            </w:r>
            <w:r w:rsidR="00646F0F" w:rsidRPr="00735356">
              <w:rPr>
                <w:sz w:val="20"/>
                <w:szCs w:val="20"/>
              </w:rPr>
              <w:t>Study AG221-C-</w:t>
            </w:r>
            <w:r w:rsidR="009479F2" w:rsidRPr="00735356">
              <w:rPr>
                <w:sz w:val="20"/>
                <w:szCs w:val="20"/>
              </w:rPr>
              <w:t>001</w:t>
            </w:r>
          </w:p>
        </w:tc>
        <w:tc>
          <w:tcPr>
            <w:tcW w:w="2012" w:type="pct"/>
          </w:tcPr>
          <w:p w:rsidR="009479F2" w:rsidRPr="00735356" w:rsidRDefault="009479F2" w:rsidP="00735356">
            <w:pPr>
              <w:rPr>
                <w:sz w:val="20"/>
                <w:szCs w:val="20"/>
              </w:rPr>
            </w:pPr>
            <w:r w:rsidRPr="00735356">
              <w:rPr>
                <w:sz w:val="20"/>
                <w:szCs w:val="20"/>
              </w:rPr>
              <w:t xml:space="preserve">A PK comparison to assess the impact of different formulations on </w:t>
            </w:r>
            <w:proofErr w:type="spellStart"/>
            <w:r w:rsidRPr="00735356">
              <w:rPr>
                <w:sz w:val="20"/>
                <w:szCs w:val="20"/>
              </w:rPr>
              <w:t>enasidenib</w:t>
            </w:r>
            <w:proofErr w:type="spellEnd"/>
            <w:r w:rsidRPr="00735356">
              <w:rPr>
                <w:sz w:val="20"/>
                <w:szCs w:val="20"/>
              </w:rPr>
              <w:t xml:space="preserve"> PK exposure</w:t>
            </w:r>
          </w:p>
        </w:tc>
      </w:tr>
      <w:tr w:rsidR="009479F2" w:rsidRPr="00735356" w:rsidTr="00DF3646">
        <w:trPr>
          <w:trHeight w:val="711"/>
        </w:trPr>
        <w:tc>
          <w:tcPr>
            <w:tcW w:w="970" w:type="pct"/>
          </w:tcPr>
          <w:p w:rsidR="009479F2" w:rsidRPr="00735356" w:rsidRDefault="009353A1" w:rsidP="00735356">
            <w:pPr>
              <w:rPr>
                <w:sz w:val="20"/>
                <w:szCs w:val="20"/>
              </w:rPr>
            </w:pPr>
            <w:r w:rsidRPr="00735356">
              <w:rPr>
                <w:sz w:val="20"/>
                <w:szCs w:val="20"/>
              </w:rPr>
              <w:t xml:space="preserve">Study </w:t>
            </w:r>
            <w:r w:rsidR="009479F2" w:rsidRPr="00735356">
              <w:rPr>
                <w:sz w:val="20"/>
                <w:szCs w:val="20"/>
              </w:rPr>
              <w:t>AG-221-MPK-001</w:t>
            </w:r>
          </w:p>
        </w:tc>
        <w:tc>
          <w:tcPr>
            <w:tcW w:w="837" w:type="pct"/>
          </w:tcPr>
          <w:p w:rsidR="009479F2" w:rsidRPr="00735356" w:rsidRDefault="009479F2" w:rsidP="00735356">
            <w:pPr>
              <w:rPr>
                <w:sz w:val="20"/>
                <w:szCs w:val="20"/>
              </w:rPr>
            </w:pPr>
            <w:r w:rsidRPr="00735356">
              <w:rPr>
                <w:sz w:val="20"/>
                <w:szCs w:val="20"/>
              </w:rPr>
              <w:t>Study POP</w:t>
            </w:r>
          </w:p>
        </w:tc>
        <w:tc>
          <w:tcPr>
            <w:tcW w:w="1181" w:type="pct"/>
          </w:tcPr>
          <w:p w:rsidR="009479F2" w:rsidRPr="00735356" w:rsidRDefault="00646F0F" w:rsidP="00735356">
            <w:pPr>
              <w:rPr>
                <w:sz w:val="20"/>
                <w:szCs w:val="20"/>
              </w:rPr>
            </w:pPr>
            <w:r w:rsidRPr="00735356">
              <w:rPr>
                <w:sz w:val="20"/>
                <w:szCs w:val="20"/>
              </w:rPr>
              <w:t>Study AG221-C-</w:t>
            </w:r>
            <w:r w:rsidR="009479F2" w:rsidRPr="00735356">
              <w:rPr>
                <w:sz w:val="20"/>
                <w:szCs w:val="20"/>
              </w:rPr>
              <w:t xml:space="preserve">001, </w:t>
            </w:r>
            <w:r w:rsidR="00DF3646" w:rsidRPr="00735356">
              <w:rPr>
                <w:sz w:val="20"/>
                <w:szCs w:val="20"/>
              </w:rPr>
              <w:t xml:space="preserve">Study </w:t>
            </w:r>
            <w:r w:rsidR="00896C95" w:rsidRPr="00735356">
              <w:rPr>
                <w:sz w:val="20"/>
                <w:szCs w:val="20"/>
              </w:rPr>
              <w:t>PK</w:t>
            </w:r>
            <w:r w:rsidR="009479F2" w:rsidRPr="00735356">
              <w:rPr>
                <w:sz w:val="20"/>
                <w:szCs w:val="20"/>
              </w:rPr>
              <w:t xml:space="preserve">, </w:t>
            </w:r>
            <w:r w:rsidR="00896C95" w:rsidRPr="00735356">
              <w:rPr>
                <w:sz w:val="20"/>
                <w:szCs w:val="20"/>
              </w:rPr>
              <w:t>Study ADME</w:t>
            </w:r>
          </w:p>
        </w:tc>
        <w:tc>
          <w:tcPr>
            <w:tcW w:w="2012" w:type="pct"/>
          </w:tcPr>
          <w:p w:rsidR="009479F2" w:rsidRPr="00735356" w:rsidRDefault="009479F2" w:rsidP="00735356">
            <w:pPr>
              <w:rPr>
                <w:sz w:val="20"/>
                <w:szCs w:val="20"/>
              </w:rPr>
            </w:pPr>
            <w:r w:rsidRPr="00735356">
              <w:rPr>
                <w:sz w:val="20"/>
                <w:szCs w:val="20"/>
              </w:rPr>
              <w:t xml:space="preserve">Population PK and exposure response of </w:t>
            </w:r>
            <w:proofErr w:type="spellStart"/>
            <w:r w:rsidRPr="00735356">
              <w:rPr>
                <w:sz w:val="20"/>
                <w:szCs w:val="20"/>
              </w:rPr>
              <w:t>enasidenib</w:t>
            </w:r>
            <w:proofErr w:type="spellEnd"/>
          </w:p>
        </w:tc>
      </w:tr>
      <w:tr w:rsidR="009479F2" w:rsidRPr="00735356" w:rsidTr="00DF3646">
        <w:trPr>
          <w:trHeight w:val="953"/>
        </w:trPr>
        <w:tc>
          <w:tcPr>
            <w:tcW w:w="970" w:type="pct"/>
          </w:tcPr>
          <w:p w:rsidR="009479F2" w:rsidRPr="00735356" w:rsidRDefault="009353A1" w:rsidP="00735356">
            <w:pPr>
              <w:rPr>
                <w:sz w:val="20"/>
                <w:szCs w:val="20"/>
              </w:rPr>
            </w:pPr>
            <w:r w:rsidRPr="00735356">
              <w:rPr>
                <w:sz w:val="20"/>
                <w:szCs w:val="20"/>
              </w:rPr>
              <w:lastRenderedPageBreak/>
              <w:t xml:space="preserve">Study </w:t>
            </w:r>
            <w:r w:rsidR="009479F2" w:rsidRPr="00735356">
              <w:rPr>
                <w:sz w:val="20"/>
                <w:szCs w:val="20"/>
              </w:rPr>
              <w:t>AG-221-C-001-PKPD</w:t>
            </w:r>
          </w:p>
        </w:tc>
        <w:tc>
          <w:tcPr>
            <w:tcW w:w="837" w:type="pct"/>
          </w:tcPr>
          <w:p w:rsidR="009479F2" w:rsidRPr="00735356" w:rsidRDefault="009479F2" w:rsidP="00735356">
            <w:pPr>
              <w:rPr>
                <w:sz w:val="20"/>
                <w:szCs w:val="20"/>
              </w:rPr>
            </w:pPr>
            <w:r w:rsidRPr="00735356">
              <w:rPr>
                <w:sz w:val="20"/>
                <w:szCs w:val="20"/>
              </w:rPr>
              <w:t>Study PKPD</w:t>
            </w:r>
          </w:p>
        </w:tc>
        <w:tc>
          <w:tcPr>
            <w:tcW w:w="1181" w:type="pct"/>
          </w:tcPr>
          <w:p w:rsidR="009479F2" w:rsidRPr="00735356" w:rsidRDefault="00646F0F" w:rsidP="00735356">
            <w:pPr>
              <w:rPr>
                <w:sz w:val="20"/>
                <w:szCs w:val="20"/>
              </w:rPr>
            </w:pPr>
            <w:r w:rsidRPr="00735356">
              <w:rPr>
                <w:sz w:val="20"/>
                <w:szCs w:val="20"/>
              </w:rPr>
              <w:t>Study AG221-C-</w:t>
            </w:r>
            <w:r w:rsidR="009479F2" w:rsidRPr="00735356">
              <w:rPr>
                <w:sz w:val="20"/>
                <w:szCs w:val="20"/>
              </w:rPr>
              <w:t>001</w:t>
            </w:r>
          </w:p>
        </w:tc>
        <w:tc>
          <w:tcPr>
            <w:tcW w:w="2012" w:type="pct"/>
          </w:tcPr>
          <w:p w:rsidR="009479F2" w:rsidRPr="00735356" w:rsidRDefault="009479F2" w:rsidP="00735356">
            <w:pPr>
              <w:rPr>
                <w:sz w:val="20"/>
                <w:szCs w:val="20"/>
              </w:rPr>
            </w:pPr>
            <w:r w:rsidRPr="00735356">
              <w:rPr>
                <w:sz w:val="20"/>
                <w:szCs w:val="20"/>
              </w:rPr>
              <w:t xml:space="preserve">PK/PD analysis of </w:t>
            </w:r>
            <w:proofErr w:type="spellStart"/>
            <w:r w:rsidRPr="00735356">
              <w:rPr>
                <w:sz w:val="20"/>
                <w:szCs w:val="20"/>
              </w:rPr>
              <w:t>enasidenib</w:t>
            </w:r>
            <w:proofErr w:type="spellEnd"/>
            <w:r w:rsidRPr="00735356">
              <w:rPr>
                <w:sz w:val="20"/>
                <w:szCs w:val="20"/>
              </w:rPr>
              <w:t xml:space="preserve"> in subjects with advanced </w:t>
            </w:r>
            <w:proofErr w:type="spellStart"/>
            <w:r w:rsidRPr="00735356">
              <w:rPr>
                <w:sz w:val="20"/>
                <w:szCs w:val="20"/>
              </w:rPr>
              <w:t>haematologic</w:t>
            </w:r>
            <w:proofErr w:type="spellEnd"/>
            <w:r w:rsidRPr="00735356">
              <w:rPr>
                <w:sz w:val="20"/>
                <w:szCs w:val="20"/>
              </w:rPr>
              <w:t xml:space="preserve"> malignancies with an IDH2 mutation</w:t>
            </w:r>
          </w:p>
        </w:tc>
      </w:tr>
      <w:tr w:rsidR="009479F2" w:rsidRPr="00735356" w:rsidTr="00DF3646">
        <w:trPr>
          <w:trHeight w:val="723"/>
        </w:trPr>
        <w:tc>
          <w:tcPr>
            <w:tcW w:w="970" w:type="pct"/>
          </w:tcPr>
          <w:p w:rsidR="009479F2" w:rsidRPr="00735356" w:rsidRDefault="009353A1" w:rsidP="00735356">
            <w:pPr>
              <w:rPr>
                <w:sz w:val="20"/>
                <w:szCs w:val="20"/>
              </w:rPr>
            </w:pPr>
            <w:r w:rsidRPr="00735356">
              <w:rPr>
                <w:sz w:val="20"/>
                <w:szCs w:val="20"/>
              </w:rPr>
              <w:t xml:space="preserve">Study </w:t>
            </w:r>
            <w:r w:rsidR="009479F2" w:rsidRPr="00735356">
              <w:rPr>
                <w:sz w:val="20"/>
                <w:szCs w:val="20"/>
              </w:rPr>
              <w:t>AG221-C-001-TD-2HG-002</w:t>
            </w:r>
          </w:p>
        </w:tc>
        <w:tc>
          <w:tcPr>
            <w:tcW w:w="837" w:type="pct"/>
          </w:tcPr>
          <w:p w:rsidR="009479F2" w:rsidRPr="00735356" w:rsidRDefault="009479F2" w:rsidP="00735356">
            <w:pPr>
              <w:rPr>
                <w:sz w:val="20"/>
                <w:szCs w:val="20"/>
              </w:rPr>
            </w:pPr>
            <w:r w:rsidRPr="00735356">
              <w:rPr>
                <w:sz w:val="20"/>
                <w:szCs w:val="20"/>
              </w:rPr>
              <w:t>Study 2HG</w:t>
            </w:r>
          </w:p>
        </w:tc>
        <w:tc>
          <w:tcPr>
            <w:tcW w:w="1181" w:type="pct"/>
          </w:tcPr>
          <w:p w:rsidR="009479F2" w:rsidRPr="00735356" w:rsidRDefault="00646F0F" w:rsidP="00735356">
            <w:pPr>
              <w:rPr>
                <w:sz w:val="20"/>
                <w:szCs w:val="20"/>
              </w:rPr>
            </w:pPr>
            <w:r w:rsidRPr="00735356">
              <w:rPr>
                <w:sz w:val="20"/>
                <w:szCs w:val="20"/>
              </w:rPr>
              <w:t>Study AG221-C-</w:t>
            </w:r>
            <w:r w:rsidR="009479F2" w:rsidRPr="00735356">
              <w:rPr>
                <w:sz w:val="20"/>
                <w:szCs w:val="20"/>
              </w:rPr>
              <w:t>001</w:t>
            </w:r>
          </w:p>
        </w:tc>
        <w:tc>
          <w:tcPr>
            <w:tcW w:w="2012" w:type="pct"/>
          </w:tcPr>
          <w:p w:rsidR="009479F2" w:rsidRPr="00735356" w:rsidRDefault="009479F2" w:rsidP="00735356">
            <w:pPr>
              <w:rPr>
                <w:sz w:val="20"/>
                <w:szCs w:val="20"/>
              </w:rPr>
            </w:pPr>
            <w:r w:rsidRPr="00735356">
              <w:rPr>
                <w:sz w:val="20"/>
                <w:szCs w:val="20"/>
              </w:rPr>
              <w:t xml:space="preserve">Analysis of 2-HG levels in patients treated with </w:t>
            </w:r>
            <w:proofErr w:type="spellStart"/>
            <w:r w:rsidRPr="00735356">
              <w:rPr>
                <w:sz w:val="20"/>
                <w:szCs w:val="20"/>
              </w:rPr>
              <w:t>enasidenib</w:t>
            </w:r>
            <w:proofErr w:type="spellEnd"/>
          </w:p>
        </w:tc>
      </w:tr>
      <w:tr w:rsidR="009479F2" w:rsidRPr="00735356" w:rsidTr="00DF3646">
        <w:trPr>
          <w:trHeight w:val="953"/>
        </w:trPr>
        <w:tc>
          <w:tcPr>
            <w:tcW w:w="970" w:type="pct"/>
          </w:tcPr>
          <w:p w:rsidR="009479F2" w:rsidRPr="00735356" w:rsidRDefault="009353A1" w:rsidP="00735356">
            <w:pPr>
              <w:rPr>
                <w:sz w:val="20"/>
                <w:szCs w:val="20"/>
              </w:rPr>
            </w:pPr>
            <w:r w:rsidRPr="00735356">
              <w:rPr>
                <w:sz w:val="20"/>
                <w:szCs w:val="20"/>
              </w:rPr>
              <w:t xml:space="preserve">Study </w:t>
            </w:r>
            <w:r w:rsidR="009479F2" w:rsidRPr="00735356">
              <w:rPr>
                <w:sz w:val="20"/>
                <w:szCs w:val="20"/>
              </w:rPr>
              <w:t>AG221-C-001-TD-IDH2VAF-002</w:t>
            </w:r>
          </w:p>
        </w:tc>
        <w:tc>
          <w:tcPr>
            <w:tcW w:w="837" w:type="pct"/>
          </w:tcPr>
          <w:p w:rsidR="009479F2" w:rsidRPr="00735356" w:rsidRDefault="009479F2" w:rsidP="00735356">
            <w:pPr>
              <w:rPr>
                <w:sz w:val="20"/>
                <w:szCs w:val="20"/>
              </w:rPr>
            </w:pPr>
            <w:r w:rsidRPr="00735356">
              <w:rPr>
                <w:sz w:val="20"/>
                <w:szCs w:val="20"/>
              </w:rPr>
              <w:t>Study IDH2</w:t>
            </w:r>
          </w:p>
        </w:tc>
        <w:tc>
          <w:tcPr>
            <w:tcW w:w="1181" w:type="pct"/>
          </w:tcPr>
          <w:p w:rsidR="009479F2" w:rsidRPr="00735356" w:rsidRDefault="00646F0F" w:rsidP="00735356">
            <w:pPr>
              <w:rPr>
                <w:sz w:val="20"/>
                <w:szCs w:val="20"/>
              </w:rPr>
            </w:pPr>
            <w:r w:rsidRPr="00735356">
              <w:rPr>
                <w:sz w:val="20"/>
                <w:szCs w:val="20"/>
              </w:rPr>
              <w:t>Study AG221-C-</w:t>
            </w:r>
            <w:r w:rsidR="009479F2" w:rsidRPr="00735356">
              <w:rPr>
                <w:sz w:val="20"/>
                <w:szCs w:val="20"/>
              </w:rPr>
              <w:t>001</w:t>
            </w:r>
          </w:p>
        </w:tc>
        <w:tc>
          <w:tcPr>
            <w:tcW w:w="2012" w:type="pct"/>
          </w:tcPr>
          <w:p w:rsidR="009479F2" w:rsidRPr="00735356" w:rsidRDefault="009479F2" w:rsidP="00735356">
            <w:pPr>
              <w:rPr>
                <w:sz w:val="20"/>
                <w:szCs w:val="20"/>
              </w:rPr>
            </w:pPr>
            <w:r w:rsidRPr="00735356">
              <w:rPr>
                <w:sz w:val="20"/>
                <w:szCs w:val="20"/>
              </w:rPr>
              <w:t xml:space="preserve">Analysis of mIDH2 variant allele frequency in patients treated with </w:t>
            </w:r>
            <w:proofErr w:type="spellStart"/>
            <w:r w:rsidRPr="00735356">
              <w:rPr>
                <w:sz w:val="20"/>
                <w:szCs w:val="20"/>
              </w:rPr>
              <w:t>enasidenib</w:t>
            </w:r>
            <w:proofErr w:type="spellEnd"/>
          </w:p>
        </w:tc>
      </w:tr>
      <w:tr w:rsidR="009479F2" w:rsidRPr="00735356" w:rsidTr="00DF3646">
        <w:trPr>
          <w:trHeight w:val="711"/>
        </w:trPr>
        <w:tc>
          <w:tcPr>
            <w:tcW w:w="970" w:type="pct"/>
          </w:tcPr>
          <w:p w:rsidR="009479F2" w:rsidRPr="00735356" w:rsidRDefault="009353A1" w:rsidP="00735356">
            <w:pPr>
              <w:rPr>
                <w:sz w:val="20"/>
                <w:szCs w:val="20"/>
              </w:rPr>
            </w:pPr>
            <w:r w:rsidRPr="00735356">
              <w:rPr>
                <w:sz w:val="20"/>
                <w:szCs w:val="20"/>
              </w:rPr>
              <w:t xml:space="preserve">Study </w:t>
            </w:r>
            <w:r w:rsidR="009479F2" w:rsidRPr="00735356">
              <w:rPr>
                <w:sz w:val="20"/>
                <w:szCs w:val="20"/>
              </w:rPr>
              <w:t>AG221-C-001-TD-CoMut-002</w:t>
            </w:r>
          </w:p>
        </w:tc>
        <w:tc>
          <w:tcPr>
            <w:tcW w:w="837" w:type="pct"/>
          </w:tcPr>
          <w:p w:rsidR="009479F2" w:rsidRPr="00735356" w:rsidRDefault="009479F2" w:rsidP="00735356">
            <w:pPr>
              <w:rPr>
                <w:sz w:val="20"/>
                <w:szCs w:val="20"/>
              </w:rPr>
            </w:pPr>
            <w:r w:rsidRPr="00735356">
              <w:rPr>
                <w:sz w:val="20"/>
                <w:szCs w:val="20"/>
              </w:rPr>
              <w:t>Study TD</w:t>
            </w:r>
          </w:p>
        </w:tc>
        <w:tc>
          <w:tcPr>
            <w:tcW w:w="1181" w:type="pct"/>
          </w:tcPr>
          <w:p w:rsidR="009479F2" w:rsidRPr="00735356" w:rsidRDefault="00646F0F" w:rsidP="00735356">
            <w:pPr>
              <w:rPr>
                <w:sz w:val="20"/>
                <w:szCs w:val="20"/>
              </w:rPr>
            </w:pPr>
            <w:r w:rsidRPr="00735356">
              <w:rPr>
                <w:sz w:val="20"/>
                <w:szCs w:val="20"/>
              </w:rPr>
              <w:t>Study AG221-C-</w:t>
            </w:r>
            <w:r w:rsidR="009479F2" w:rsidRPr="00735356">
              <w:rPr>
                <w:sz w:val="20"/>
                <w:szCs w:val="20"/>
              </w:rPr>
              <w:t>001</w:t>
            </w:r>
          </w:p>
        </w:tc>
        <w:tc>
          <w:tcPr>
            <w:tcW w:w="2012" w:type="pct"/>
          </w:tcPr>
          <w:p w:rsidR="009479F2" w:rsidRPr="00735356" w:rsidRDefault="009479F2" w:rsidP="00735356">
            <w:pPr>
              <w:rPr>
                <w:sz w:val="20"/>
                <w:szCs w:val="20"/>
              </w:rPr>
            </w:pPr>
            <w:r w:rsidRPr="00735356">
              <w:rPr>
                <w:sz w:val="20"/>
                <w:szCs w:val="20"/>
              </w:rPr>
              <w:t xml:space="preserve">Analysis of co-occurring mutations, impact on cohort risk and response to </w:t>
            </w:r>
            <w:proofErr w:type="spellStart"/>
            <w:r w:rsidRPr="00735356">
              <w:rPr>
                <w:sz w:val="20"/>
                <w:szCs w:val="20"/>
              </w:rPr>
              <w:t>enasidenib</w:t>
            </w:r>
            <w:proofErr w:type="spellEnd"/>
          </w:p>
        </w:tc>
      </w:tr>
    </w:tbl>
    <w:p w:rsidR="009479F2" w:rsidRPr="00345C78" w:rsidRDefault="001D4DCC" w:rsidP="001D4DCC">
      <w:r>
        <w:t>Additional data include</w:t>
      </w:r>
      <w:r w:rsidR="007E49DD">
        <w:t>d</w:t>
      </w:r>
      <w:r>
        <w:t>:</w:t>
      </w:r>
    </w:p>
    <w:p w:rsidR="009479F2" w:rsidRPr="00345C78" w:rsidRDefault="009479F2" w:rsidP="001D4DCC">
      <w:pPr>
        <w:pStyle w:val="ListBullet"/>
      </w:pPr>
      <w:r w:rsidRPr="00345C78">
        <w:t>A statistical</w:t>
      </w:r>
      <w:r w:rsidR="00646F0F">
        <w:t xml:space="preserve"> report for comparison of S</w:t>
      </w:r>
      <w:r w:rsidR="00646F0F" w:rsidRPr="00345C78">
        <w:t>tudy AG221-C</w:t>
      </w:r>
      <w:r w:rsidR="00646F0F">
        <w:t>-</w:t>
      </w:r>
      <w:r w:rsidRPr="00345C78">
        <w:t>001 to historical data</w:t>
      </w:r>
      <w:r>
        <w:t>.</w:t>
      </w:r>
    </w:p>
    <w:p w:rsidR="009479F2" w:rsidRPr="00345C78" w:rsidRDefault="009479F2" w:rsidP="001D4DCC">
      <w:pPr>
        <w:pStyle w:val="ListBullet"/>
      </w:pPr>
      <w:r w:rsidRPr="00345C78">
        <w:t>Historical control analysis report for R/R AML historical data (</w:t>
      </w:r>
      <w:r w:rsidR="000F1877">
        <w:t>U</w:t>
      </w:r>
      <w:r w:rsidR="000F1877" w:rsidRPr="00345C78">
        <w:t xml:space="preserve">niversity </w:t>
      </w:r>
      <w:r w:rsidRPr="00345C78">
        <w:t>of Ulm 2018), this was supporting data to a published review paper.</w:t>
      </w:r>
      <w:r w:rsidR="00291C93">
        <w:rPr>
          <w:rStyle w:val="FootnoteReference"/>
        </w:rPr>
        <w:footnoteReference w:id="4"/>
      </w:r>
    </w:p>
    <w:p w:rsidR="009479F2" w:rsidRPr="00345C78" w:rsidRDefault="009479F2" w:rsidP="00587F74">
      <w:pPr>
        <w:pStyle w:val="ListBullet"/>
      </w:pPr>
      <w:r w:rsidRPr="00345C78">
        <w:t>Historical control analysis report for IDH2 R/R historical data (</w:t>
      </w:r>
      <w:proofErr w:type="spellStart"/>
      <w:r w:rsidR="00587F74" w:rsidRPr="00587F74">
        <w:t>Programa</w:t>
      </w:r>
      <w:proofErr w:type="spellEnd"/>
      <w:r w:rsidR="00587F74" w:rsidRPr="00587F74">
        <w:t xml:space="preserve"> </w:t>
      </w:r>
      <w:proofErr w:type="spellStart"/>
      <w:r w:rsidR="00587F74" w:rsidRPr="00587F74">
        <w:t>Español</w:t>
      </w:r>
      <w:proofErr w:type="spellEnd"/>
      <w:r w:rsidR="00587F74" w:rsidRPr="00587F74">
        <w:t xml:space="preserve"> </w:t>
      </w:r>
      <w:r w:rsidR="00587F74">
        <w:t xml:space="preserve">de </w:t>
      </w:r>
      <w:proofErr w:type="spellStart"/>
      <w:r w:rsidR="00587F74">
        <w:t>Tratamientos</w:t>
      </w:r>
      <w:proofErr w:type="spellEnd"/>
      <w:r w:rsidR="00587F74">
        <w:t xml:space="preserve"> </w:t>
      </w:r>
      <w:proofErr w:type="spellStart"/>
      <w:r w:rsidR="00587F74">
        <w:t>en</w:t>
      </w:r>
      <w:proofErr w:type="spellEnd"/>
      <w:r w:rsidR="00587F74">
        <w:t xml:space="preserve"> </w:t>
      </w:r>
      <w:proofErr w:type="spellStart"/>
      <w:r w:rsidR="00587F74">
        <w:t>Hematología</w:t>
      </w:r>
      <w:proofErr w:type="spellEnd"/>
      <w:r w:rsidR="00587F74">
        <w:t xml:space="preserve"> (PETHEMA)</w:t>
      </w:r>
      <w:r w:rsidR="00587F74" w:rsidRPr="00587F74">
        <w:t xml:space="preserve"> registry</w:t>
      </w:r>
      <w:r w:rsidRPr="00345C78">
        <w:t>)</w:t>
      </w:r>
      <w:r>
        <w:t>.</w:t>
      </w:r>
    </w:p>
    <w:p w:rsidR="009479F2" w:rsidRPr="00345C78" w:rsidRDefault="009479F2" w:rsidP="001D4DCC">
      <w:pPr>
        <w:pStyle w:val="ListBullet"/>
      </w:pPr>
      <w:r w:rsidRPr="00345C78">
        <w:t>Retrospective chart review of hospitalisation of adult patients with AML with IDH2 mutation in Fran</w:t>
      </w:r>
      <w:r w:rsidR="009B0352">
        <w:t>ce (interim report March 2018).</w:t>
      </w:r>
    </w:p>
    <w:p w:rsidR="009479F2" w:rsidRPr="00345C78" w:rsidRDefault="009479F2" w:rsidP="001D4DCC">
      <w:pPr>
        <w:pStyle w:val="ListBullet"/>
      </w:pPr>
      <w:r w:rsidRPr="00345C78">
        <w:t xml:space="preserve">Literature references were also included in </w:t>
      </w:r>
      <w:r w:rsidR="002227D5">
        <w:t>the clinical dossier.</w:t>
      </w:r>
    </w:p>
    <w:p w:rsidR="009479F2" w:rsidRPr="009939CC" w:rsidRDefault="009479F2" w:rsidP="009939CC">
      <w:pPr>
        <w:pStyle w:val="Heading4"/>
      </w:pPr>
      <w:r w:rsidRPr="00345C78">
        <w:t>Pharmacology</w:t>
      </w:r>
    </w:p>
    <w:p w:rsidR="009479F2" w:rsidRPr="00345C78" w:rsidRDefault="009939CC" w:rsidP="009939CC">
      <w:pPr>
        <w:pStyle w:val="Heading5"/>
      </w:pPr>
      <w:r>
        <w:t>Pharmacokinetics</w:t>
      </w:r>
    </w:p>
    <w:p w:rsidR="009479F2" w:rsidRPr="00345C78" w:rsidRDefault="009479F2" w:rsidP="009479F2">
      <w:pPr>
        <w:rPr>
          <w:rFonts w:asciiTheme="minorHAnsi" w:hAnsiTheme="minorHAnsi"/>
        </w:rPr>
      </w:pPr>
      <w:r w:rsidRPr="00345C78">
        <w:rPr>
          <w:rFonts w:asciiTheme="minorHAnsi" w:hAnsiTheme="minorHAnsi"/>
        </w:rPr>
        <w:t xml:space="preserve">Absorption is assumed to occur in the stomach and small intestine, based on the </w:t>
      </w:r>
      <w:r w:rsidR="00F84978">
        <w:rPr>
          <w:rFonts w:asciiTheme="minorHAnsi" w:hAnsiTheme="minorHAnsi"/>
        </w:rPr>
        <w:t>time of maximum plasma concentration (</w:t>
      </w:r>
      <w:proofErr w:type="spellStart"/>
      <w:r w:rsidRPr="00345C78">
        <w:rPr>
          <w:rFonts w:asciiTheme="minorHAnsi" w:hAnsiTheme="minorHAnsi"/>
        </w:rPr>
        <w:t>T</w:t>
      </w:r>
      <w:r w:rsidRPr="009B0352">
        <w:rPr>
          <w:rFonts w:asciiTheme="minorHAnsi" w:hAnsiTheme="minorHAnsi"/>
          <w:vertAlign w:val="subscript"/>
        </w:rPr>
        <w:t>max</w:t>
      </w:r>
      <w:proofErr w:type="spellEnd"/>
      <w:r w:rsidR="00F84978">
        <w:rPr>
          <w:rFonts w:asciiTheme="minorHAnsi" w:hAnsiTheme="minorHAnsi"/>
        </w:rPr>
        <w:t>)</w:t>
      </w:r>
      <w:r w:rsidR="00F17D97">
        <w:rPr>
          <w:rFonts w:asciiTheme="minorHAnsi" w:hAnsiTheme="minorHAnsi"/>
        </w:rPr>
        <w:t xml:space="preserve"> of 1 to 2 hours reported in S</w:t>
      </w:r>
      <w:r w:rsidRPr="00345C78">
        <w:rPr>
          <w:rFonts w:asciiTheme="minorHAnsi" w:hAnsiTheme="minorHAnsi"/>
        </w:rPr>
        <w:t xml:space="preserve">tudy ADME. In </w:t>
      </w:r>
      <w:r w:rsidR="00F17D97">
        <w:t>S</w:t>
      </w:r>
      <w:r w:rsidR="00A956FC">
        <w:t>tudy </w:t>
      </w:r>
      <w:r w:rsidR="00F17D97" w:rsidRPr="00345C78">
        <w:t>AG221-C</w:t>
      </w:r>
      <w:r w:rsidR="00F17D97">
        <w:t>-</w:t>
      </w:r>
      <w:r w:rsidR="00F17D97" w:rsidRPr="00345C78">
        <w:t>001</w:t>
      </w:r>
      <w:r w:rsidRPr="00345C78">
        <w:rPr>
          <w:rFonts w:asciiTheme="minorHAnsi" w:hAnsiTheme="minorHAnsi"/>
        </w:rPr>
        <w:t xml:space="preserve">, </w:t>
      </w:r>
      <w:r w:rsidR="00F17D97">
        <w:rPr>
          <w:rFonts w:asciiTheme="minorHAnsi" w:hAnsiTheme="minorHAnsi"/>
        </w:rPr>
        <w:t>maximum plasma concentration (</w:t>
      </w:r>
      <w:proofErr w:type="spellStart"/>
      <w:r w:rsidRPr="00345C78">
        <w:rPr>
          <w:rFonts w:asciiTheme="minorHAnsi" w:hAnsiTheme="minorHAnsi"/>
        </w:rPr>
        <w:t>C</w:t>
      </w:r>
      <w:r w:rsidRPr="009B0352">
        <w:rPr>
          <w:rFonts w:asciiTheme="minorHAnsi" w:hAnsiTheme="minorHAnsi"/>
          <w:vertAlign w:val="subscript"/>
        </w:rPr>
        <w:t>max</w:t>
      </w:r>
      <w:proofErr w:type="spellEnd"/>
      <w:r w:rsidR="00F17D97">
        <w:rPr>
          <w:rFonts w:asciiTheme="minorHAnsi" w:hAnsiTheme="minorHAnsi"/>
        </w:rPr>
        <w:t>)</w:t>
      </w:r>
      <w:r w:rsidRPr="00345C78">
        <w:rPr>
          <w:rFonts w:asciiTheme="minorHAnsi" w:hAnsiTheme="minorHAnsi"/>
        </w:rPr>
        <w:t xml:space="preserve"> and </w:t>
      </w:r>
      <w:r w:rsidR="00F17D97">
        <w:rPr>
          <w:rFonts w:asciiTheme="minorHAnsi" w:hAnsiTheme="minorHAnsi"/>
        </w:rPr>
        <w:t>area under the plasma concentration time curve (</w:t>
      </w:r>
      <w:r w:rsidRPr="00345C78">
        <w:rPr>
          <w:rFonts w:asciiTheme="minorHAnsi" w:hAnsiTheme="minorHAnsi"/>
        </w:rPr>
        <w:t>AUC</w:t>
      </w:r>
      <w:r w:rsidR="00F17D97">
        <w:rPr>
          <w:rFonts w:asciiTheme="minorHAnsi" w:hAnsiTheme="minorHAnsi"/>
        </w:rPr>
        <w:t>)</w:t>
      </w:r>
      <w:r w:rsidRPr="00345C78">
        <w:rPr>
          <w:rFonts w:asciiTheme="minorHAnsi" w:hAnsiTheme="minorHAnsi"/>
        </w:rPr>
        <w:t xml:space="preserve"> were 1272 ng/mL and 58381 ng*h/mL</w:t>
      </w:r>
      <w:r w:rsidR="00F17D97">
        <w:rPr>
          <w:rFonts w:asciiTheme="minorHAnsi" w:hAnsiTheme="minorHAnsi"/>
        </w:rPr>
        <w:t>,</w:t>
      </w:r>
      <w:r w:rsidRPr="00345C78">
        <w:rPr>
          <w:rFonts w:asciiTheme="minorHAnsi" w:hAnsiTheme="minorHAnsi"/>
        </w:rPr>
        <w:t xml:space="preserve"> respectively</w:t>
      </w:r>
      <w:r w:rsidR="00F17D97">
        <w:rPr>
          <w:rFonts w:asciiTheme="minorHAnsi" w:hAnsiTheme="minorHAnsi"/>
        </w:rPr>
        <w:t>,</w:t>
      </w:r>
      <w:r w:rsidRPr="00345C78">
        <w:rPr>
          <w:rFonts w:asciiTheme="minorHAnsi" w:hAnsiTheme="minorHAnsi"/>
        </w:rPr>
        <w:t xml:space="preserve"> after a single 100</w:t>
      </w:r>
      <w:r w:rsidR="00F17D97">
        <w:rPr>
          <w:rFonts w:asciiTheme="minorHAnsi" w:hAnsiTheme="minorHAnsi"/>
        </w:rPr>
        <w:t xml:space="preserve"> </w:t>
      </w:r>
      <w:r w:rsidRPr="00345C78">
        <w:rPr>
          <w:rFonts w:asciiTheme="minorHAnsi" w:hAnsiTheme="minorHAnsi"/>
        </w:rPr>
        <w:t xml:space="preserve">mg dose. In the PI, </w:t>
      </w:r>
      <w:proofErr w:type="spellStart"/>
      <w:r w:rsidRPr="00345C78">
        <w:rPr>
          <w:rFonts w:asciiTheme="minorHAnsi" w:hAnsiTheme="minorHAnsi"/>
        </w:rPr>
        <w:t>C</w:t>
      </w:r>
      <w:r w:rsidRPr="009B0352">
        <w:rPr>
          <w:rFonts w:asciiTheme="minorHAnsi" w:hAnsiTheme="minorHAnsi"/>
          <w:vertAlign w:val="subscript"/>
        </w:rPr>
        <w:t>max</w:t>
      </w:r>
      <w:proofErr w:type="spellEnd"/>
      <w:r w:rsidRPr="00345C78">
        <w:rPr>
          <w:rFonts w:asciiTheme="minorHAnsi" w:hAnsiTheme="minorHAnsi"/>
        </w:rPr>
        <w:t xml:space="preserve"> i</w:t>
      </w:r>
      <w:r w:rsidR="00F17D97">
        <w:rPr>
          <w:rFonts w:asciiTheme="minorHAnsi" w:hAnsiTheme="minorHAnsi"/>
        </w:rPr>
        <w:t>s reported as 1.3 µg/mL</w:t>
      </w:r>
      <w:r w:rsidRPr="00345C78">
        <w:rPr>
          <w:rFonts w:asciiTheme="minorHAnsi" w:hAnsiTheme="minorHAnsi"/>
        </w:rPr>
        <w:t xml:space="preserve"> after a single 100</w:t>
      </w:r>
      <w:r w:rsidR="009B0352">
        <w:rPr>
          <w:rFonts w:asciiTheme="minorHAnsi" w:hAnsiTheme="minorHAnsi"/>
        </w:rPr>
        <w:t xml:space="preserve"> </w:t>
      </w:r>
      <w:r w:rsidR="00F17D97">
        <w:rPr>
          <w:rFonts w:asciiTheme="minorHAnsi" w:hAnsiTheme="minorHAnsi"/>
        </w:rPr>
        <w:t xml:space="preserve">mg dose of </w:t>
      </w:r>
      <w:proofErr w:type="spellStart"/>
      <w:r w:rsidR="00F17D97">
        <w:rPr>
          <w:rFonts w:asciiTheme="minorHAnsi" w:hAnsiTheme="minorHAnsi"/>
        </w:rPr>
        <w:t>enasidenib</w:t>
      </w:r>
      <w:proofErr w:type="spellEnd"/>
      <w:r w:rsidR="00F17D97">
        <w:rPr>
          <w:rFonts w:asciiTheme="minorHAnsi" w:hAnsiTheme="minorHAnsi"/>
        </w:rPr>
        <w:t>, and 13 µg/mL</w:t>
      </w:r>
      <w:r w:rsidRPr="00345C78">
        <w:rPr>
          <w:rFonts w:asciiTheme="minorHAnsi" w:hAnsiTheme="minorHAnsi"/>
        </w:rPr>
        <w:t xml:space="preserve"> at steady state for 100</w:t>
      </w:r>
      <w:r w:rsidR="009B0352">
        <w:rPr>
          <w:rFonts w:asciiTheme="minorHAnsi" w:hAnsiTheme="minorHAnsi"/>
        </w:rPr>
        <w:t xml:space="preserve"> </w:t>
      </w:r>
      <w:r w:rsidRPr="00345C78">
        <w:rPr>
          <w:rFonts w:asciiTheme="minorHAnsi" w:hAnsiTheme="minorHAnsi"/>
        </w:rPr>
        <w:t xml:space="preserve">mg daily. Allowing for the change in units, these figures match the data reported in </w:t>
      </w:r>
      <w:r w:rsidR="00F17D97">
        <w:t>Study AG221-C-001</w:t>
      </w:r>
      <w:r w:rsidRPr="00345C78">
        <w:rPr>
          <w:rFonts w:asciiTheme="minorHAnsi" w:hAnsiTheme="minorHAnsi"/>
        </w:rPr>
        <w:t>.</w:t>
      </w:r>
    </w:p>
    <w:p w:rsidR="009479F2" w:rsidRPr="00345C78" w:rsidRDefault="009479F2" w:rsidP="009479F2">
      <w:pPr>
        <w:rPr>
          <w:rFonts w:asciiTheme="minorHAnsi" w:hAnsiTheme="minorHAnsi"/>
        </w:rPr>
      </w:pPr>
      <w:r w:rsidRPr="00345C78">
        <w:rPr>
          <w:rFonts w:asciiTheme="minorHAnsi" w:hAnsiTheme="minorHAnsi"/>
        </w:rPr>
        <w:t>Bioavailability of a single 100</w:t>
      </w:r>
      <w:r w:rsidR="00F17D97">
        <w:rPr>
          <w:rFonts w:asciiTheme="minorHAnsi" w:hAnsiTheme="minorHAnsi"/>
        </w:rPr>
        <w:t xml:space="preserve"> </w:t>
      </w:r>
      <w:r w:rsidRPr="00345C78">
        <w:rPr>
          <w:rFonts w:asciiTheme="minorHAnsi" w:hAnsiTheme="minorHAnsi"/>
        </w:rPr>
        <w:t xml:space="preserve">mg dose of oral </w:t>
      </w:r>
      <w:proofErr w:type="spellStart"/>
      <w:r w:rsidRPr="00345C78">
        <w:rPr>
          <w:rFonts w:asciiTheme="minorHAnsi" w:hAnsiTheme="minorHAnsi"/>
        </w:rPr>
        <w:t>enasidenib</w:t>
      </w:r>
      <w:proofErr w:type="spellEnd"/>
      <w:r w:rsidRPr="00345C78">
        <w:rPr>
          <w:rFonts w:asciiTheme="minorHAnsi" w:hAnsiTheme="minorHAnsi"/>
        </w:rPr>
        <w:t xml:space="preserve"> is 57.2%, </w:t>
      </w:r>
      <w:r w:rsidR="009B0352">
        <w:rPr>
          <w:rFonts w:asciiTheme="minorHAnsi" w:hAnsiTheme="minorHAnsi"/>
        </w:rPr>
        <w:t xml:space="preserve">as reported in the </w:t>
      </w:r>
      <w:r w:rsidR="00F17D97">
        <w:rPr>
          <w:rFonts w:asciiTheme="minorHAnsi" w:hAnsiTheme="minorHAnsi"/>
        </w:rPr>
        <w:t>Study ADME</w:t>
      </w:r>
      <w:r w:rsidR="009B0352">
        <w:rPr>
          <w:rFonts w:asciiTheme="minorHAnsi" w:hAnsiTheme="minorHAnsi"/>
        </w:rPr>
        <w:t>.</w:t>
      </w:r>
    </w:p>
    <w:p w:rsidR="009479F2" w:rsidRPr="00345C78" w:rsidRDefault="009479F2" w:rsidP="009479F2">
      <w:pPr>
        <w:rPr>
          <w:rFonts w:asciiTheme="minorHAnsi" w:hAnsiTheme="minorHAnsi"/>
        </w:rPr>
      </w:pPr>
      <w:r w:rsidRPr="00345C78">
        <w:rPr>
          <w:rFonts w:asciiTheme="minorHAnsi" w:hAnsiTheme="minorHAnsi"/>
        </w:rPr>
        <w:lastRenderedPageBreak/>
        <w:t xml:space="preserve">Dose proportionality was demonstrated for single dose </w:t>
      </w:r>
      <w:proofErr w:type="spellStart"/>
      <w:r w:rsidRPr="00345C78">
        <w:rPr>
          <w:rFonts w:asciiTheme="minorHAnsi" w:hAnsiTheme="minorHAnsi"/>
        </w:rPr>
        <w:t>enasidenib</w:t>
      </w:r>
      <w:proofErr w:type="spellEnd"/>
      <w:r w:rsidRPr="00345C78">
        <w:rPr>
          <w:rFonts w:asciiTheme="minorHAnsi" w:hAnsiTheme="minorHAnsi"/>
        </w:rPr>
        <w:t xml:space="preserve"> at 50 mg, 100 mg or 300 mg administration in healthy Japanese and Caucasian subjects. After single dose exposure of </w:t>
      </w:r>
      <w:proofErr w:type="spellStart"/>
      <w:r w:rsidRPr="00345C78">
        <w:rPr>
          <w:rFonts w:asciiTheme="minorHAnsi" w:hAnsiTheme="minorHAnsi"/>
        </w:rPr>
        <w:t>enasidenib</w:t>
      </w:r>
      <w:proofErr w:type="spellEnd"/>
      <w:r w:rsidRPr="00345C78">
        <w:rPr>
          <w:rFonts w:asciiTheme="minorHAnsi" w:hAnsiTheme="minorHAnsi"/>
        </w:rPr>
        <w:t xml:space="preserve"> at 50 mg, 100 mg or 300 mg, the point estimate of the ratios of </w:t>
      </w:r>
      <w:r w:rsidR="00CF7B22">
        <w:rPr>
          <w:rFonts w:asciiTheme="minorHAnsi" w:hAnsiTheme="minorHAnsi"/>
        </w:rPr>
        <w:t>a</w:t>
      </w:r>
      <w:r w:rsidR="00CF7B22" w:rsidRPr="00CF7B22">
        <w:rPr>
          <w:rFonts w:asciiTheme="minorHAnsi" w:hAnsiTheme="minorHAnsi"/>
        </w:rPr>
        <w:t xml:space="preserve">rea under the plasma concentration-time curve from time zero to </w:t>
      </w:r>
      <w:r w:rsidR="000F1877">
        <w:rPr>
          <w:rFonts w:asciiTheme="minorHAnsi" w:hAnsiTheme="minorHAnsi"/>
        </w:rPr>
        <w:t xml:space="preserve">the last measured concentration or </w:t>
      </w:r>
      <w:r w:rsidR="00CF7B22" w:rsidRPr="00CF7B22">
        <w:rPr>
          <w:rFonts w:asciiTheme="minorHAnsi" w:hAnsiTheme="minorHAnsi"/>
        </w:rPr>
        <w:t>time t</w:t>
      </w:r>
      <w:r w:rsidR="00CF7B22">
        <w:rPr>
          <w:rFonts w:asciiTheme="minorHAnsi" w:hAnsiTheme="minorHAnsi"/>
        </w:rPr>
        <w:t xml:space="preserve"> (</w:t>
      </w:r>
      <w:r w:rsidRPr="000F1877">
        <w:rPr>
          <w:rFonts w:asciiTheme="minorHAnsi" w:hAnsiTheme="minorHAnsi"/>
        </w:rPr>
        <w:t>AUC</w:t>
      </w:r>
      <w:r w:rsidR="000F1877">
        <w:rPr>
          <w:rFonts w:asciiTheme="minorHAnsi" w:hAnsiTheme="minorHAnsi"/>
          <w:vertAlign w:val="subscript"/>
        </w:rPr>
        <w:t>0-</w:t>
      </w:r>
      <w:r w:rsidRPr="000F1877">
        <w:rPr>
          <w:rFonts w:asciiTheme="minorHAnsi" w:hAnsiTheme="minorHAnsi"/>
          <w:vertAlign w:val="subscript"/>
        </w:rPr>
        <w:t>t</w:t>
      </w:r>
      <w:r w:rsidR="00CF7B22">
        <w:rPr>
          <w:rFonts w:asciiTheme="minorHAnsi" w:hAnsiTheme="minorHAnsi"/>
        </w:rPr>
        <w:t>)</w:t>
      </w:r>
      <w:r w:rsidRPr="00345C78">
        <w:rPr>
          <w:rFonts w:asciiTheme="minorHAnsi" w:hAnsiTheme="minorHAnsi"/>
        </w:rPr>
        <w:t xml:space="preserve">, </w:t>
      </w:r>
      <w:r w:rsidR="00A956FC">
        <w:rPr>
          <w:rFonts w:asciiTheme="minorHAnsi" w:hAnsiTheme="minorHAnsi"/>
        </w:rPr>
        <w:t xml:space="preserve">area under plasma concentration </w:t>
      </w:r>
      <w:r w:rsidR="00A956FC" w:rsidRPr="00CF7B22">
        <w:rPr>
          <w:rFonts w:asciiTheme="minorHAnsi" w:hAnsiTheme="minorHAnsi"/>
        </w:rPr>
        <w:t xml:space="preserve">time curve from time 0 </w:t>
      </w:r>
      <w:r w:rsidR="000F1877">
        <w:rPr>
          <w:rFonts w:asciiTheme="minorHAnsi" w:hAnsiTheme="minorHAnsi"/>
        </w:rPr>
        <w:t xml:space="preserve">extrapolated </w:t>
      </w:r>
      <w:r w:rsidR="00A956FC" w:rsidRPr="00CF7B22">
        <w:rPr>
          <w:rFonts w:asciiTheme="minorHAnsi" w:hAnsiTheme="minorHAnsi"/>
        </w:rPr>
        <w:t>to infinity</w:t>
      </w:r>
      <w:r w:rsidR="00A956FC" w:rsidRPr="00345C78">
        <w:rPr>
          <w:rFonts w:asciiTheme="minorHAnsi" w:hAnsiTheme="minorHAnsi"/>
        </w:rPr>
        <w:t xml:space="preserve"> </w:t>
      </w:r>
      <w:r w:rsidR="00A956FC">
        <w:rPr>
          <w:rFonts w:asciiTheme="minorHAnsi" w:hAnsiTheme="minorHAnsi"/>
        </w:rPr>
        <w:t>(</w:t>
      </w:r>
      <w:r w:rsidRPr="00345C78">
        <w:rPr>
          <w:rFonts w:asciiTheme="minorHAnsi" w:hAnsiTheme="minorHAnsi"/>
        </w:rPr>
        <w:t>AUC</w:t>
      </w:r>
      <w:r w:rsidR="000F1877" w:rsidRPr="00DC5B6B">
        <w:rPr>
          <w:rFonts w:asciiTheme="minorHAnsi" w:hAnsiTheme="minorHAnsi"/>
          <w:vertAlign w:val="subscript"/>
        </w:rPr>
        <w:t>0-</w:t>
      </w:r>
      <w:r w:rsidRPr="00CF7B22">
        <w:rPr>
          <w:rFonts w:asciiTheme="minorHAnsi" w:hAnsiTheme="minorHAnsi"/>
          <w:vertAlign w:val="subscript"/>
        </w:rPr>
        <w:t>∞</w:t>
      </w:r>
      <w:r w:rsidR="00A956FC">
        <w:rPr>
          <w:rFonts w:asciiTheme="minorHAnsi" w:hAnsiTheme="minorHAnsi"/>
        </w:rPr>
        <w:t>)</w:t>
      </w:r>
      <w:r w:rsidRPr="00345C78">
        <w:rPr>
          <w:rFonts w:asciiTheme="minorHAnsi" w:hAnsiTheme="minorHAnsi"/>
        </w:rPr>
        <w:t xml:space="preserve"> and </w:t>
      </w:r>
      <w:proofErr w:type="spellStart"/>
      <w:r w:rsidRPr="00345C78">
        <w:rPr>
          <w:rFonts w:asciiTheme="minorHAnsi" w:hAnsiTheme="minorHAnsi"/>
        </w:rPr>
        <w:t>C</w:t>
      </w:r>
      <w:r w:rsidRPr="009B0352">
        <w:rPr>
          <w:rFonts w:asciiTheme="minorHAnsi" w:hAnsiTheme="minorHAnsi"/>
          <w:vertAlign w:val="subscript"/>
        </w:rPr>
        <w:t>max</w:t>
      </w:r>
      <w:proofErr w:type="spellEnd"/>
      <w:r w:rsidRPr="00345C78">
        <w:rPr>
          <w:rFonts w:asciiTheme="minorHAnsi" w:hAnsiTheme="minorHAnsi"/>
        </w:rPr>
        <w:t xml:space="preserve"> were comparable between healthy Japanese and Caucasian subjects. The point estimate of the ratios of AUC</w:t>
      </w:r>
      <w:r w:rsidR="000F1877" w:rsidRPr="00DC5B6B">
        <w:rPr>
          <w:rFonts w:asciiTheme="minorHAnsi" w:hAnsiTheme="minorHAnsi"/>
          <w:vertAlign w:val="subscript"/>
        </w:rPr>
        <w:t>0-</w:t>
      </w:r>
      <w:r w:rsidRPr="00CF7B22">
        <w:rPr>
          <w:rFonts w:asciiTheme="minorHAnsi" w:hAnsiTheme="minorHAnsi"/>
          <w:vertAlign w:val="subscript"/>
        </w:rPr>
        <w:t>t</w:t>
      </w:r>
      <w:r w:rsidRPr="00345C78">
        <w:rPr>
          <w:rFonts w:asciiTheme="minorHAnsi" w:hAnsiTheme="minorHAnsi"/>
        </w:rPr>
        <w:t>, AUC</w:t>
      </w:r>
      <w:r w:rsidR="000F1877">
        <w:rPr>
          <w:rFonts w:asciiTheme="minorHAnsi" w:hAnsiTheme="minorHAnsi"/>
          <w:vertAlign w:val="subscript"/>
        </w:rPr>
        <w:t>0-</w:t>
      </w:r>
      <w:r w:rsidRPr="00CF7B22">
        <w:rPr>
          <w:rFonts w:asciiTheme="minorHAnsi" w:hAnsiTheme="minorHAnsi"/>
          <w:vertAlign w:val="subscript"/>
        </w:rPr>
        <w:t>∞</w:t>
      </w:r>
      <w:r w:rsidRPr="00345C78">
        <w:rPr>
          <w:rFonts w:asciiTheme="minorHAnsi" w:hAnsiTheme="minorHAnsi"/>
        </w:rPr>
        <w:t xml:space="preserve"> and </w:t>
      </w:r>
      <w:proofErr w:type="spellStart"/>
      <w:r w:rsidRPr="00345C78">
        <w:rPr>
          <w:rFonts w:asciiTheme="minorHAnsi" w:hAnsiTheme="minorHAnsi"/>
        </w:rPr>
        <w:t>C</w:t>
      </w:r>
      <w:r w:rsidRPr="009B0352">
        <w:rPr>
          <w:rFonts w:asciiTheme="minorHAnsi" w:hAnsiTheme="minorHAnsi"/>
          <w:vertAlign w:val="subscript"/>
        </w:rPr>
        <w:t>max</w:t>
      </w:r>
      <w:proofErr w:type="spellEnd"/>
      <w:r w:rsidRPr="00345C78">
        <w:rPr>
          <w:rFonts w:asciiTheme="minorHAnsi" w:hAnsiTheme="minorHAnsi"/>
        </w:rPr>
        <w:t xml:space="preserve"> of the metabolite AGI-16903 between Japanese and Caucasian subjects, following singl</w:t>
      </w:r>
      <w:r w:rsidR="009B0352">
        <w:rPr>
          <w:rFonts w:asciiTheme="minorHAnsi" w:hAnsiTheme="minorHAnsi"/>
        </w:rPr>
        <w:t xml:space="preserve">e-dose </w:t>
      </w:r>
      <w:proofErr w:type="spellStart"/>
      <w:r w:rsidR="009B0352">
        <w:rPr>
          <w:rFonts w:asciiTheme="minorHAnsi" w:hAnsiTheme="minorHAnsi"/>
        </w:rPr>
        <w:t>enasidenib</w:t>
      </w:r>
      <w:proofErr w:type="spellEnd"/>
      <w:r w:rsidR="009B0352">
        <w:rPr>
          <w:rFonts w:asciiTheme="minorHAnsi" w:hAnsiTheme="minorHAnsi"/>
        </w:rPr>
        <w:t xml:space="preserve"> at 50 mg, 100 </w:t>
      </w:r>
      <w:r w:rsidRPr="00345C78">
        <w:rPr>
          <w:rFonts w:asciiTheme="minorHAnsi" w:hAnsiTheme="minorHAnsi"/>
        </w:rPr>
        <w:t>mg or 300 mg, was inconsistent across dose exposures. Howev</w:t>
      </w:r>
      <w:r w:rsidR="00CF7B22">
        <w:rPr>
          <w:rFonts w:asciiTheme="minorHAnsi" w:hAnsiTheme="minorHAnsi"/>
        </w:rPr>
        <w:t>er, at the proposed dose of 100 </w:t>
      </w:r>
      <w:r w:rsidRPr="00345C78">
        <w:rPr>
          <w:rFonts w:asciiTheme="minorHAnsi" w:hAnsiTheme="minorHAnsi"/>
        </w:rPr>
        <w:t xml:space="preserve">mg, the point estimate of the ratio of </w:t>
      </w:r>
      <w:r w:rsidRPr="000F1877">
        <w:rPr>
          <w:rFonts w:asciiTheme="minorHAnsi" w:hAnsiTheme="minorHAnsi"/>
        </w:rPr>
        <w:t>AUC</w:t>
      </w:r>
      <w:r w:rsidR="000F1877" w:rsidRPr="00DC5B6B">
        <w:rPr>
          <w:rFonts w:asciiTheme="minorHAnsi" w:hAnsiTheme="minorHAnsi"/>
          <w:vertAlign w:val="subscript"/>
        </w:rPr>
        <w:t>0-</w:t>
      </w:r>
      <w:r w:rsidRPr="000F1877">
        <w:rPr>
          <w:rFonts w:asciiTheme="minorHAnsi" w:hAnsiTheme="minorHAnsi"/>
          <w:vertAlign w:val="subscript"/>
        </w:rPr>
        <w:t>t</w:t>
      </w:r>
      <w:r w:rsidRPr="00345C78">
        <w:rPr>
          <w:rFonts w:asciiTheme="minorHAnsi" w:hAnsiTheme="minorHAnsi"/>
        </w:rPr>
        <w:t>, AUC</w:t>
      </w:r>
      <w:r w:rsidR="000F1877" w:rsidRPr="00DC5B6B">
        <w:rPr>
          <w:rFonts w:asciiTheme="minorHAnsi" w:hAnsiTheme="minorHAnsi"/>
          <w:vertAlign w:val="subscript"/>
        </w:rPr>
        <w:t>0-</w:t>
      </w:r>
      <w:r w:rsidRPr="00CF7B22">
        <w:rPr>
          <w:rFonts w:asciiTheme="minorHAnsi" w:hAnsiTheme="minorHAnsi"/>
          <w:vertAlign w:val="subscript"/>
        </w:rPr>
        <w:t>∞</w:t>
      </w:r>
      <w:r w:rsidRPr="00345C78">
        <w:rPr>
          <w:rFonts w:asciiTheme="minorHAnsi" w:hAnsiTheme="minorHAnsi"/>
        </w:rPr>
        <w:t xml:space="preserve"> and </w:t>
      </w:r>
      <w:proofErr w:type="spellStart"/>
      <w:r w:rsidRPr="00345C78">
        <w:rPr>
          <w:rFonts w:asciiTheme="minorHAnsi" w:hAnsiTheme="minorHAnsi"/>
        </w:rPr>
        <w:t>C</w:t>
      </w:r>
      <w:r w:rsidRPr="00CF7B22">
        <w:rPr>
          <w:rFonts w:asciiTheme="minorHAnsi" w:hAnsiTheme="minorHAnsi"/>
          <w:vertAlign w:val="subscript"/>
        </w:rPr>
        <w:t>max</w:t>
      </w:r>
      <w:proofErr w:type="spellEnd"/>
      <w:r w:rsidRPr="00345C78">
        <w:rPr>
          <w:rFonts w:asciiTheme="minorHAnsi" w:hAnsiTheme="minorHAnsi"/>
        </w:rPr>
        <w:t xml:space="preserve"> showed comparability between healthy Japanese and Caucasian subjects. The efficacy of the primary metabolite (AGI-16903) has not been reported from the clinical studies in healthy subjects or patients.</w:t>
      </w:r>
    </w:p>
    <w:p w:rsidR="009479F2" w:rsidRPr="00345C78" w:rsidRDefault="009479F2" w:rsidP="009479F2">
      <w:pPr>
        <w:rPr>
          <w:rFonts w:asciiTheme="minorHAnsi" w:hAnsiTheme="minorHAnsi"/>
        </w:rPr>
      </w:pPr>
      <w:r w:rsidRPr="00345C78">
        <w:rPr>
          <w:rFonts w:asciiTheme="minorHAnsi" w:hAnsiTheme="minorHAnsi"/>
        </w:rPr>
        <w:t xml:space="preserve">There was an observed increase in </w:t>
      </w:r>
      <w:proofErr w:type="spellStart"/>
      <w:r w:rsidRPr="00345C78">
        <w:rPr>
          <w:rFonts w:asciiTheme="minorHAnsi" w:hAnsiTheme="minorHAnsi"/>
        </w:rPr>
        <w:t>C</w:t>
      </w:r>
      <w:r w:rsidRPr="00CF7B22">
        <w:rPr>
          <w:rFonts w:asciiTheme="minorHAnsi" w:hAnsiTheme="minorHAnsi"/>
          <w:vertAlign w:val="subscript"/>
        </w:rPr>
        <w:t>max</w:t>
      </w:r>
      <w:proofErr w:type="spellEnd"/>
      <w:r w:rsidRPr="00345C78">
        <w:rPr>
          <w:rFonts w:asciiTheme="minorHAnsi" w:hAnsiTheme="minorHAnsi"/>
        </w:rPr>
        <w:t xml:space="preserve"> and AUC</w:t>
      </w:r>
      <w:r w:rsidR="000F1877" w:rsidRPr="00524DB1">
        <w:rPr>
          <w:rFonts w:asciiTheme="minorHAnsi" w:hAnsiTheme="minorHAnsi"/>
          <w:vertAlign w:val="subscript"/>
        </w:rPr>
        <w:t>0-</w:t>
      </w:r>
      <w:r w:rsidRPr="00CF7B22">
        <w:rPr>
          <w:rFonts w:asciiTheme="minorHAnsi" w:hAnsiTheme="minorHAnsi"/>
          <w:vertAlign w:val="subscript"/>
        </w:rPr>
        <w:t>∞</w:t>
      </w:r>
      <w:r w:rsidR="00CF7B22">
        <w:rPr>
          <w:rFonts w:asciiTheme="minorHAnsi" w:hAnsiTheme="minorHAnsi"/>
        </w:rPr>
        <w:t xml:space="preserve"> in the fed state:</w:t>
      </w:r>
      <w:r w:rsidRPr="00345C78">
        <w:rPr>
          <w:rFonts w:asciiTheme="minorHAnsi" w:hAnsiTheme="minorHAnsi"/>
        </w:rPr>
        <w:t xml:space="preserve"> in fact</w:t>
      </w:r>
      <w:r w:rsidR="00CF7B22">
        <w:rPr>
          <w:rFonts w:asciiTheme="minorHAnsi" w:hAnsiTheme="minorHAnsi"/>
        </w:rPr>
        <w:t>,</w:t>
      </w:r>
      <w:r w:rsidRPr="00345C78">
        <w:rPr>
          <w:rFonts w:asciiTheme="minorHAnsi" w:hAnsiTheme="minorHAnsi"/>
        </w:rPr>
        <w:t xml:space="preserve"> approximately 50% of AUC</w:t>
      </w:r>
      <w:r w:rsidR="000F1877" w:rsidRPr="00F71F14">
        <w:rPr>
          <w:rFonts w:asciiTheme="minorHAnsi" w:hAnsiTheme="minorHAnsi"/>
          <w:vertAlign w:val="subscript"/>
        </w:rPr>
        <w:t>0-</w:t>
      </w:r>
      <w:r w:rsidRPr="00CF7B22">
        <w:rPr>
          <w:rFonts w:asciiTheme="minorHAnsi" w:hAnsiTheme="minorHAnsi"/>
          <w:vertAlign w:val="subscript"/>
        </w:rPr>
        <w:t>t</w:t>
      </w:r>
      <w:r w:rsidRPr="00345C78">
        <w:rPr>
          <w:rFonts w:asciiTheme="minorHAnsi" w:hAnsiTheme="minorHAnsi"/>
        </w:rPr>
        <w:t xml:space="preserve"> as one example</w:t>
      </w:r>
      <w:r w:rsidR="00CF7B22">
        <w:rPr>
          <w:rFonts w:asciiTheme="minorHAnsi" w:hAnsiTheme="minorHAnsi"/>
        </w:rPr>
        <w:t>,</w:t>
      </w:r>
      <w:r w:rsidRPr="00345C78">
        <w:rPr>
          <w:rFonts w:asciiTheme="minorHAnsi" w:hAnsiTheme="minorHAnsi"/>
        </w:rPr>
        <w:t xml:space="preserve"> with </w:t>
      </w:r>
      <w:proofErr w:type="spellStart"/>
      <w:r w:rsidRPr="00345C78">
        <w:rPr>
          <w:rFonts w:asciiTheme="minorHAnsi" w:hAnsiTheme="minorHAnsi"/>
        </w:rPr>
        <w:t>C</w:t>
      </w:r>
      <w:r w:rsidRPr="00CF7B22">
        <w:rPr>
          <w:rFonts w:asciiTheme="minorHAnsi" w:hAnsiTheme="minorHAnsi"/>
          <w:vertAlign w:val="subscript"/>
        </w:rPr>
        <w:t>max</w:t>
      </w:r>
      <w:proofErr w:type="spellEnd"/>
      <w:r w:rsidRPr="00345C78">
        <w:rPr>
          <w:rFonts w:asciiTheme="minorHAnsi" w:hAnsiTheme="minorHAnsi"/>
        </w:rPr>
        <w:t xml:space="preserve"> even higher. However, no specific recommendation in the PI was present that </w:t>
      </w:r>
      <w:proofErr w:type="spellStart"/>
      <w:r w:rsidRPr="00345C78">
        <w:rPr>
          <w:rFonts w:asciiTheme="minorHAnsi" w:hAnsiTheme="minorHAnsi"/>
        </w:rPr>
        <w:t>enasidenib</w:t>
      </w:r>
      <w:proofErr w:type="spellEnd"/>
      <w:r w:rsidRPr="00345C78">
        <w:rPr>
          <w:rFonts w:asciiTheme="minorHAnsi" w:hAnsiTheme="minorHAnsi"/>
        </w:rPr>
        <w:t xml:space="preserve"> should be taken with or without food. The sponsor was requested to justify the absence of such a recommendation and did so to the satisfaction of the clinical evaluator, noting statements regarding the effect of food on PK are present in the PI and the differences are not likely to be clinically relevant as it has no significant impact on steady-state.</w:t>
      </w:r>
    </w:p>
    <w:p w:rsidR="009479F2" w:rsidRPr="00345C78" w:rsidRDefault="009479F2" w:rsidP="009479F2">
      <w:pPr>
        <w:rPr>
          <w:rFonts w:asciiTheme="minorHAnsi" w:hAnsiTheme="minorHAnsi"/>
        </w:rPr>
      </w:pPr>
      <w:r w:rsidRPr="00345C78">
        <w:rPr>
          <w:rFonts w:asciiTheme="minorHAnsi" w:hAnsiTheme="minorHAnsi"/>
        </w:rPr>
        <w:t>Study POP estimated volume of distribution (</w:t>
      </w:r>
      <w:proofErr w:type="spellStart"/>
      <w:r w:rsidRPr="00345C78">
        <w:rPr>
          <w:rFonts w:asciiTheme="minorHAnsi" w:hAnsiTheme="minorHAnsi"/>
        </w:rPr>
        <w:t>V</w:t>
      </w:r>
      <w:r w:rsidRPr="00DC5B6B">
        <w:rPr>
          <w:rFonts w:asciiTheme="minorHAnsi" w:hAnsiTheme="minorHAnsi"/>
          <w:vertAlign w:val="subscript"/>
        </w:rPr>
        <w:t>d</w:t>
      </w:r>
      <w:proofErr w:type="spellEnd"/>
      <w:r w:rsidRPr="00345C78">
        <w:rPr>
          <w:rFonts w:asciiTheme="minorHAnsi" w:hAnsiTheme="minorHAnsi"/>
        </w:rPr>
        <w:t>) at 192</w:t>
      </w:r>
      <w:r w:rsidR="00CF7B22">
        <w:rPr>
          <w:rFonts w:asciiTheme="minorHAnsi" w:hAnsiTheme="minorHAnsi"/>
        </w:rPr>
        <w:t xml:space="preserve"> L. From S</w:t>
      </w:r>
      <w:r w:rsidRPr="00345C78">
        <w:rPr>
          <w:rFonts w:asciiTheme="minorHAnsi" w:hAnsiTheme="minorHAnsi"/>
        </w:rPr>
        <w:t>tudy</w:t>
      </w:r>
      <w:r w:rsidR="00CF7B22">
        <w:rPr>
          <w:rFonts w:asciiTheme="minorHAnsi" w:hAnsiTheme="minorHAnsi"/>
        </w:rPr>
        <w:t xml:space="preserve"> R1, protein binding was 98.5%.</w:t>
      </w:r>
    </w:p>
    <w:p w:rsidR="009479F2" w:rsidRPr="00345C78" w:rsidRDefault="009479F2" w:rsidP="009479F2">
      <w:pPr>
        <w:rPr>
          <w:rFonts w:asciiTheme="minorHAnsi" w:hAnsiTheme="minorHAnsi"/>
        </w:rPr>
      </w:pPr>
      <w:r w:rsidRPr="00345C78">
        <w:rPr>
          <w:rFonts w:asciiTheme="minorHAnsi" w:hAnsiTheme="minorHAnsi"/>
        </w:rPr>
        <w:t>Metabolism is by multiple CYP and UGT enzymes. The PK study that is ongoing will provide important missing data about</w:t>
      </w:r>
      <w:r w:rsidR="00CF7B22">
        <w:rPr>
          <w:rFonts w:asciiTheme="minorHAnsi" w:hAnsiTheme="minorHAnsi"/>
        </w:rPr>
        <w:t xml:space="preserve"> potential drug interactions. </w:t>
      </w:r>
      <w:proofErr w:type="spellStart"/>
      <w:r w:rsidRPr="00345C78">
        <w:rPr>
          <w:rFonts w:asciiTheme="minorHAnsi" w:hAnsiTheme="minorHAnsi"/>
        </w:rPr>
        <w:t>Enasidenib</w:t>
      </w:r>
      <w:proofErr w:type="spellEnd"/>
      <w:r w:rsidRPr="00345C78">
        <w:rPr>
          <w:rFonts w:asciiTheme="minorHAnsi" w:hAnsiTheme="minorHAnsi"/>
        </w:rPr>
        <w:t xml:space="preserve"> and its metabolite AGI-16903 accounted for 89% and 10% respectively of circulating total radioactivity (TRA) exposure in </w:t>
      </w:r>
      <w:r w:rsidRPr="00CF7B22">
        <w:rPr>
          <w:rFonts w:asciiTheme="minorHAnsi" w:hAnsiTheme="minorHAnsi"/>
          <w:i/>
        </w:rPr>
        <w:t>in-vitro</w:t>
      </w:r>
      <w:r w:rsidRPr="00345C78">
        <w:rPr>
          <w:rFonts w:asciiTheme="minorHAnsi" w:hAnsiTheme="minorHAnsi"/>
        </w:rPr>
        <w:t xml:space="preserve"> studies.</w:t>
      </w:r>
    </w:p>
    <w:p w:rsidR="009479F2" w:rsidRPr="00345C78" w:rsidRDefault="009479F2" w:rsidP="009479F2">
      <w:pPr>
        <w:rPr>
          <w:rFonts w:asciiTheme="minorHAnsi" w:hAnsiTheme="minorHAnsi"/>
        </w:rPr>
      </w:pPr>
      <w:r w:rsidRPr="00345C78">
        <w:rPr>
          <w:rFonts w:asciiTheme="minorHAnsi" w:hAnsiTheme="minorHAnsi"/>
        </w:rPr>
        <w:t>Study POP showed a terminal half-life of 190 hours, and mean total body clearance of 0.74</w:t>
      </w:r>
      <w:r w:rsidR="00CF7B22">
        <w:rPr>
          <w:rFonts w:asciiTheme="minorHAnsi" w:hAnsiTheme="minorHAnsi"/>
        </w:rPr>
        <w:t> </w:t>
      </w:r>
      <w:r w:rsidRPr="00345C78">
        <w:rPr>
          <w:rFonts w:asciiTheme="minorHAnsi" w:hAnsiTheme="minorHAnsi"/>
        </w:rPr>
        <w:t xml:space="preserve">L/hr. Study ADME demonstrated that faecal elimination of </w:t>
      </w:r>
      <w:proofErr w:type="spellStart"/>
      <w:r w:rsidRPr="00345C78">
        <w:rPr>
          <w:rFonts w:asciiTheme="minorHAnsi" w:hAnsiTheme="minorHAnsi"/>
        </w:rPr>
        <w:t>enasidenib</w:t>
      </w:r>
      <w:proofErr w:type="spellEnd"/>
      <w:r w:rsidRPr="00345C78">
        <w:rPr>
          <w:rFonts w:asciiTheme="minorHAnsi" w:hAnsiTheme="minorHAnsi"/>
        </w:rPr>
        <w:t xml:space="preserve"> is predominant: 89% of </w:t>
      </w:r>
      <w:proofErr w:type="spellStart"/>
      <w:r w:rsidRPr="00345C78">
        <w:rPr>
          <w:rFonts w:asciiTheme="minorHAnsi" w:hAnsiTheme="minorHAnsi"/>
        </w:rPr>
        <w:t>enasidenib</w:t>
      </w:r>
      <w:proofErr w:type="spellEnd"/>
      <w:r w:rsidRPr="00345C78">
        <w:rPr>
          <w:rFonts w:asciiTheme="minorHAnsi" w:hAnsiTheme="minorHAnsi"/>
        </w:rPr>
        <w:t xml:space="preserve"> is elimina</w:t>
      </w:r>
      <w:r w:rsidR="00CF7B22">
        <w:rPr>
          <w:rFonts w:asciiTheme="minorHAnsi" w:hAnsiTheme="minorHAnsi"/>
        </w:rPr>
        <w:t>ted in faeces and 11% in urine.</w:t>
      </w:r>
    </w:p>
    <w:p w:rsidR="009479F2" w:rsidRPr="00345C78" w:rsidRDefault="009479F2" w:rsidP="009479F2">
      <w:pPr>
        <w:rPr>
          <w:rFonts w:asciiTheme="minorHAnsi" w:hAnsiTheme="minorHAnsi"/>
        </w:rPr>
      </w:pPr>
      <w:r w:rsidRPr="00345C78">
        <w:rPr>
          <w:rFonts w:asciiTheme="minorHAnsi" w:hAnsiTheme="minorHAnsi"/>
        </w:rPr>
        <w:t xml:space="preserve">The </w:t>
      </w:r>
      <w:r w:rsidR="00CF7B22">
        <w:rPr>
          <w:rFonts w:asciiTheme="minorHAnsi" w:hAnsiTheme="minorHAnsi"/>
        </w:rPr>
        <w:t>ADME</w:t>
      </w:r>
      <w:r w:rsidRPr="00345C78">
        <w:rPr>
          <w:rFonts w:asciiTheme="minorHAnsi" w:hAnsiTheme="minorHAnsi"/>
        </w:rPr>
        <w:t xml:space="preserve"> values provided in the PI match the P</w:t>
      </w:r>
      <w:r w:rsidR="00CF7B22">
        <w:rPr>
          <w:rFonts w:asciiTheme="minorHAnsi" w:hAnsiTheme="minorHAnsi"/>
        </w:rPr>
        <w:t>K data provided in the dossier.</w:t>
      </w:r>
    </w:p>
    <w:p w:rsidR="009479F2" w:rsidRPr="00345C78" w:rsidRDefault="009479F2" w:rsidP="009479F2">
      <w:pPr>
        <w:rPr>
          <w:rFonts w:asciiTheme="minorHAnsi" w:hAnsiTheme="minorHAnsi"/>
        </w:rPr>
      </w:pPr>
      <w:r w:rsidRPr="00345C78">
        <w:rPr>
          <w:rFonts w:asciiTheme="minorHAnsi" w:hAnsiTheme="minorHAnsi"/>
        </w:rPr>
        <w:t xml:space="preserve">Evaluation of mIDH2 variant allele frequency throughout treatment may supplement monitoring of clinically-derived response end-points. However, the full prognostic and predictive value of mIDH2 testing to direct </w:t>
      </w:r>
      <w:proofErr w:type="spellStart"/>
      <w:r w:rsidRPr="00345C78">
        <w:rPr>
          <w:rFonts w:asciiTheme="minorHAnsi" w:hAnsiTheme="minorHAnsi"/>
        </w:rPr>
        <w:t>enasidenib</w:t>
      </w:r>
      <w:proofErr w:type="spellEnd"/>
      <w:r w:rsidRPr="00345C78">
        <w:rPr>
          <w:rFonts w:asciiTheme="minorHAnsi" w:hAnsiTheme="minorHAnsi"/>
        </w:rPr>
        <w:t xml:space="preserve"> treatment is yet to be fully determined.</w:t>
      </w:r>
    </w:p>
    <w:p w:rsidR="009479F2" w:rsidRPr="009939CC" w:rsidRDefault="009479F2" w:rsidP="009939CC">
      <w:pPr>
        <w:rPr>
          <w:rFonts w:asciiTheme="minorHAnsi" w:hAnsiTheme="minorHAnsi"/>
        </w:rPr>
      </w:pPr>
      <w:r w:rsidRPr="00345C78">
        <w:rPr>
          <w:rFonts w:asciiTheme="minorHAnsi" w:hAnsiTheme="minorHAnsi"/>
        </w:rPr>
        <w:t xml:space="preserve">The lack of PK data, and therefore recommendations for dosing, in patients with degrees of hepatic impairment, renal impairment, and elderly populations is appropriately reported in the PI. The PI also contains a statement indicating that the safety and efficacy of </w:t>
      </w:r>
      <w:proofErr w:type="spellStart"/>
      <w:r w:rsidRPr="00345C78">
        <w:rPr>
          <w:rFonts w:asciiTheme="minorHAnsi" w:hAnsiTheme="minorHAnsi"/>
        </w:rPr>
        <w:t>enasidenib</w:t>
      </w:r>
      <w:proofErr w:type="spellEnd"/>
      <w:r w:rsidRPr="00345C78">
        <w:rPr>
          <w:rFonts w:asciiTheme="minorHAnsi" w:hAnsiTheme="minorHAnsi"/>
        </w:rPr>
        <w:t xml:space="preserve"> has not been established for a paediatric </w:t>
      </w:r>
      <w:r w:rsidR="009939CC">
        <w:rPr>
          <w:rFonts w:asciiTheme="minorHAnsi" w:hAnsiTheme="minorHAnsi"/>
        </w:rPr>
        <w:t>popu</w:t>
      </w:r>
      <w:r w:rsidR="00CF7B22">
        <w:rPr>
          <w:rFonts w:asciiTheme="minorHAnsi" w:hAnsiTheme="minorHAnsi"/>
        </w:rPr>
        <w:t>lation.</w:t>
      </w:r>
    </w:p>
    <w:p w:rsidR="009479F2" w:rsidRPr="00345C78" w:rsidRDefault="009479F2" w:rsidP="009939CC">
      <w:pPr>
        <w:pStyle w:val="Heading5"/>
      </w:pPr>
      <w:r w:rsidRPr="00345C78">
        <w:t>Pharmacodynamics</w:t>
      </w:r>
    </w:p>
    <w:p w:rsidR="009479F2" w:rsidRPr="00345C78" w:rsidRDefault="009479F2" w:rsidP="009479F2">
      <w:pPr>
        <w:spacing w:before="0" w:after="0" w:line="240" w:lineRule="auto"/>
        <w:rPr>
          <w:rFonts w:asciiTheme="minorHAnsi" w:hAnsiTheme="minorHAnsi"/>
        </w:rPr>
      </w:pPr>
      <w:r w:rsidRPr="00345C78">
        <w:rPr>
          <w:rFonts w:asciiTheme="minorHAnsi" w:hAnsiTheme="minorHAnsi"/>
        </w:rPr>
        <w:t>Pharmacodynamic</w:t>
      </w:r>
      <w:r w:rsidR="00CF7B22">
        <w:rPr>
          <w:rFonts w:asciiTheme="minorHAnsi" w:hAnsiTheme="minorHAnsi"/>
        </w:rPr>
        <w:t xml:space="preserve"> studies examined the following, as shown in </w:t>
      </w:r>
      <w:r w:rsidR="00CF7B22">
        <w:rPr>
          <w:rFonts w:asciiTheme="minorHAnsi" w:hAnsiTheme="minorHAnsi"/>
        </w:rPr>
        <w:fldChar w:fldCharType="begin"/>
      </w:r>
      <w:r w:rsidR="00CF7B22">
        <w:rPr>
          <w:rFonts w:asciiTheme="minorHAnsi" w:hAnsiTheme="minorHAnsi"/>
        </w:rPr>
        <w:instrText xml:space="preserve"> REF _Ref36153477 \h </w:instrText>
      </w:r>
      <w:r w:rsidR="00CF7B22">
        <w:rPr>
          <w:rFonts w:asciiTheme="minorHAnsi" w:hAnsiTheme="minorHAnsi"/>
        </w:rPr>
      </w:r>
      <w:r w:rsidR="00CF7B22">
        <w:rPr>
          <w:rFonts w:asciiTheme="minorHAnsi" w:hAnsiTheme="minorHAnsi"/>
        </w:rPr>
        <w:fldChar w:fldCharType="separate"/>
      </w:r>
      <w:r w:rsidR="00CF7B22">
        <w:t xml:space="preserve">Table </w:t>
      </w:r>
      <w:r w:rsidR="00CF7B22">
        <w:rPr>
          <w:noProof/>
        </w:rPr>
        <w:t>5</w:t>
      </w:r>
      <w:r w:rsidR="00CF7B22">
        <w:rPr>
          <w:rFonts w:asciiTheme="minorHAnsi" w:hAnsiTheme="minorHAnsi"/>
        </w:rPr>
        <w:fldChar w:fldCharType="end"/>
      </w:r>
      <w:r w:rsidR="00CF7B22">
        <w:rPr>
          <w:rFonts w:asciiTheme="minorHAnsi" w:hAnsiTheme="minorHAnsi"/>
        </w:rPr>
        <w:t>.</w:t>
      </w:r>
    </w:p>
    <w:p w:rsidR="009479F2" w:rsidRPr="00345C78" w:rsidRDefault="00CF7B22" w:rsidP="00735356">
      <w:pPr>
        <w:pStyle w:val="TableTitle"/>
        <w:pageBreakBefore/>
      </w:pPr>
      <w:bookmarkStart w:id="46" w:name="_Ref36153477"/>
      <w:r>
        <w:lastRenderedPageBreak/>
        <w:t xml:space="preserve">Table </w:t>
      </w:r>
      <w:r w:rsidR="00735356">
        <w:fldChar w:fldCharType="begin"/>
      </w:r>
      <w:r w:rsidR="00735356">
        <w:instrText xml:space="preserve"> SEQ Table \* ARABIC </w:instrText>
      </w:r>
      <w:r w:rsidR="00735356">
        <w:fldChar w:fldCharType="separate"/>
      </w:r>
      <w:r w:rsidR="009B6128">
        <w:rPr>
          <w:noProof/>
        </w:rPr>
        <w:t>5</w:t>
      </w:r>
      <w:r w:rsidR="00735356">
        <w:rPr>
          <w:noProof/>
        </w:rPr>
        <w:fldChar w:fldCharType="end"/>
      </w:r>
      <w:bookmarkEnd w:id="46"/>
      <w:r>
        <w:t>: Overview of pharmacodynamic studies</w:t>
      </w:r>
    </w:p>
    <w:tbl>
      <w:tblPr>
        <w:tblStyle w:val="TableTGAblue"/>
        <w:tblW w:w="8755" w:type="dxa"/>
        <w:tblLayout w:type="fixed"/>
        <w:tblLook w:val="04A0" w:firstRow="1" w:lastRow="0" w:firstColumn="1" w:lastColumn="0" w:noHBand="0" w:noVBand="1"/>
      </w:tblPr>
      <w:tblGrid>
        <w:gridCol w:w="1668"/>
        <w:gridCol w:w="5244"/>
        <w:gridCol w:w="1843"/>
      </w:tblGrid>
      <w:tr w:rsidR="009479F2" w:rsidRPr="00735356" w:rsidTr="00735356">
        <w:trPr>
          <w:cnfStyle w:val="100000000000" w:firstRow="1" w:lastRow="0" w:firstColumn="0" w:lastColumn="0" w:oddVBand="0" w:evenVBand="0" w:oddHBand="0" w:evenHBand="0" w:firstRowFirstColumn="0" w:firstRowLastColumn="0" w:lastRowFirstColumn="0" w:lastRowLastColumn="0"/>
        </w:trPr>
        <w:tc>
          <w:tcPr>
            <w:tcW w:w="1668" w:type="dxa"/>
          </w:tcPr>
          <w:p w:rsidR="009479F2" w:rsidRPr="00735356" w:rsidRDefault="009479F2" w:rsidP="00735356">
            <w:pPr>
              <w:ind w:left="0"/>
              <w:rPr>
                <w:b w:val="0"/>
                <w:sz w:val="20"/>
                <w:szCs w:val="20"/>
              </w:rPr>
            </w:pPr>
            <w:r w:rsidRPr="00735356">
              <w:rPr>
                <w:sz w:val="20"/>
                <w:szCs w:val="20"/>
              </w:rPr>
              <w:t>PD Topic</w:t>
            </w:r>
          </w:p>
        </w:tc>
        <w:tc>
          <w:tcPr>
            <w:tcW w:w="5244" w:type="dxa"/>
          </w:tcPr>
          <w:p w:rsidR="009479F2" w:rsidRPr="00735356" w:rsidRDefault="009479F2" w:rsidP="00735356">
            <w:pPr>
              <w:ind w:left="41"/>
              <w:rPr>
                <w:b w:val="0"/>
                <w:sz w:val="20"/>
                <w:szCs w:val="20"/>
              </w:rPr>
            </w:pPr>
            <w:r w:rsidRPr="00735356">
              <w:rPr>
                <w:sz w:val="20"/>
                <w:szCs w:val="20"/>
              </w:rPr>
              <w:t>Subtopic</w:t>
            </w:r>
          </w:p>
        </w:tc>
        <w:tc>
          <w:tcPr>
            <w:tcW w:w="1843" w:type="dxa"/>
          </w:tcPr>
          <w:p w:rsidR="009479F2" w:rsidRPr="00735356" w:rsidRDefault="009479F2" w:rsidP="00735356">
            <w:pPr>
              <w:ind w:left="39"/>
              <w:rPr>
                <w:b w:val="0"/>
                <w:sz w:val="20"/>
                <w:szCs w:val="20"/>
              </w:rPr>
            </w:pPr>
            <w:r w:rsidRPr="00735356">
              <w:rPr>
                <w:sz w:val="20"/>
                <w:szCs w:val="20"/>
              </w:rPr>
              <w:t>Study ID</w:t>
            </w:r>
          </w:p>
        </w:tc>
      </w:tr>
      <w:tr w:rsidR="009479F2" w:rsidRPr="00735356" w:rsidTr="00735356">
        <w:tc>
          <w:tcPr>
            <w:tcW w:w="1668" w:type="dxa"/>
            <w:vMerge w:val="restart"/>
          </w:tcPr>
          <w:p w:rsidR="009479F2" w:rsidRPr="00735356" w:rsidRDefault="009479F2" w:rsidP="00735356">
            <w:pPr>
              <w:ind w:left="0"/>
              <w:rPr>
                <w:sz w:val="20"/>
                <w:szCs w:val="20"/>
              </w:rPr>
            </w:pPr>
            <w:r w:rsidRPr="00735356">
              <w:rPr>
                <w:sz w:val="20"/>
                <w:szCs w:val="20"/>
              </w:rPr>
              <w:t xml:space="preserve">Primary </w:t>
            </w:r>
            <w:r w:rsidR="000F1877" w:rsidRPr="00735356">
              <w:rPr>
                <w:sz w:val="20"/>
                <w:szCs w:val="20"/>
              </w:rPr>
              <w:t>pharmacology</w:t>
            </w:r>
          </w:p>
        </w:tc>
        <w:tc>
          <w:tcPr>
            <w:tcW w:w="5244" w:type="dxa"/>
          </w:tcPr>
          <w:p w:rsidR="009479F2" w:rsidRPr="00735356" w:rsidRDefault="009479F2" w:rsidP="00735356">
            <w:pPr>
              <w:ind w:left="41"/>
              <w:rPr>
                <w:sz w:val="20"/>
                <w:szCs w:val="20"/>
              </w:rPr>
            </w:pPr>
            <w:r w:rsidRPr="00735356">
              <w:rPr>
                <w:sz w:val="20"/>
                <w:szCs w:val="20"/>
              </w:rPr>
              <w:t>Effect on PD QT/</w:t>
            </w:r>
            <w:proofErr w:type="spellStart"/>
            <w:r w:rsidRPr="00735356">
              <w:rPr>
                <w:sz w:val="20"/>
                <w:szCs w:val="20"/>
              </w:rPr>
              <w:t>QTc</w:t>
            </w:r>
            <w:proofErr w:type="spellEnd"/>
            <w:r w:rsidRPr="00735356">
              <w:rPr>
                <w:sz w:val="20"/>
                <w:szCs w:val="20"/>
              </w:rPr>
              <w:t xml:space="preserve"> interval</w:t>
            </w:r>
          </w:p>
        </w:tc>
        <w:tc>
          <w:tcPr>
            <w:tcW w:w="1843" w:type="dxa"/>
          </w:tcPr>
          <w:p w:rsidR="009479F2" w:rsidRPr="00735356" w:rsidRDefault="009479F2" w:rsidP="00735356">
            <w:pPr>
              <w:ind w:left="39"/>
              <w:rPr>
                <w:sz w:val="20"/>
                <w:szCs w:val="20"/>
              </w:rPr>
            </w:pPr>
            <w:r w:rsidRPr="00735356">
              <w:rPr>
                <w:sz w:val="20"/>
                <w:szCs w:val="20"/>
              </w:rPr>
              <w:t>Study QTC</w:t>
            </w:r>
          </w:p>
        </w:tc>
      </w:tr>
      <w:tr w:rsidR="009479F2" w:rsidRPr="00735356" w:rsidTr="00735356">
        <w:tc>
          <w:tcPr>
            <w:tcW w:w="1668" w:type="dxa"/>
            <w:vMerge/>
          </w:tcPr>
          <w:p w:rsidR="009479F2" w:rsidRPr="00735356" w:rsidRDefault="009479F2" w:rsidP="00735356">
            <w:pPr>
              <w:ind w:left="0"/>
              <w:rPr>
                <w:sz w:val="20"/>
                <w:szCs w:val="20"/>
              </w:rPr>
            </w:pPr>
          </w:p>
        </w:tc>
        <w:tc>
          <w:tcPr>
            <w:tcW w:w="5244" w:type="dxa"/>
          </w:tcPr>
          <w:p w:rsidR="009479F2" w:rsidRPr="00735356" w:rsidRDefault="009479F2" w:rsidP="00735356">
            <w:pPr>
              <w:ind w:left="41"/>
              <w:rPr>
                <w:sz w:val="20"/>
                <w:szCs w:val="20"/>
              </w:rPr>
            </w:pPr>
            <w:r w:rsidRPr="00735356">
              <w:rPr>
                <w:sz w:val="20"/>
                <w:szCs w:val="20"/>
              </w:rPr>
              <w:t>Effect on 2-HG concentration</w:t>
            </w:r>
          </w:p>
        </w:tc>
        <w:tc>
          <w:tcPr>
            <w:tcW w:w="1843" w:type="dxa"/>
          </w:tcPr>
          <w:p w:rsidR="009479F2" w:rsidRPr="00735356" w:rsidRDefault="009479F2" w:rsidP="00735356">
            <w:pPr>
              <w:ind w:left="39"/>
              <w:rPr>
                <w:sz w:val="20"/>
                <w:szCs w:val="20"/>
              </w:rPr>
            </w:pPr>
            <w:r w:rsidRPr="00735356">
              <w:rPr>
                <w:sz w:val="20"/>
                <w:szCs w:val="20"/>
              </w:rPr>
              <w:t>Study 2HG</w:t>
            </w:r>
          </w:p>
        </w:tc>
      </w:tr>
      <w:tr w:rsidR="009479F2" w:rsidRPr="00735356" w:rsidTr="00735356">
        <w:tc>
          <w:tcPr>
            <w:tcW w:w="1668" w:type="dxa"/>
            <w:vMerge w:val="restart"/>
          </w:tcPr>
          <w:p w:rsidR="009479F2" w:rsidRPr="00735356" w:rsidRDefault="009479F2" w:rsidP="00735356">
            <w:pPr>
              <w:ind w:left="0"/>
              <w:rPr>
                <w:sz w:val="20"/>
                <w:szCs w:val="20"/>
              </w:rPr>
            </w:pPr>
            <w:r w:rsidRPr="00735356">
              <w:rPr>
                <w:sz w:val="20"/>
                <w:szCs w:val="20"/>
              </w:rPr>
              <w:t>Population PD and PK-PD analyses</w:t>
            </w:r>
          </w:p>
        </w:tc>
        <w:tc>
          <w:tcPr>
            <w:tcW w:w="5244" w:type="dxa"/>
          </w:tcPr>
          <w:p w:rsidR="009479F2" w:rsidRPr="00735356" w:rsidRDefault="00CF7B22" w:rsidP="00735356">
            <w:pPr>
              <w:ind w:left="41"/>
              <w:rPr>
                <w:sz w:val="20"/>
                <w:szCs w:val="20"/>
              </w:rPr>
            </w:pPr>
            <w:r w:rsidRPr="00735356">
              <w:rPr>
                <w:sz w:val="20"/>
                <w:szCs w:val="20"/>
              </w:rPr>
              <w:t>Healthy subjects and</w:t>
            </w:r>
            <w:r w:rsidR="009479F2" w:rsidRPr="00735356">
              <w:rPr>
                <w:sz w:val="20"/>
                <w:szCs w:val="20"/>
              </w:rPr>
              <w:t xml:space="preserve"> those with haematological malignancies</w:t>
            </w:r>
          </w:p>
        </w:tc>
        <w:tc>
          <w:tcPr>
            <w:tcW w:w="1843" w:type="dxa"/>
          </w:tcPr>
          <w:p w:rsidR="009479F2" w:rsidRPr="00735356" w:rsidRDefault="009479F2" w:rsidP="00735356">
            <w:pPr>
              <w:ind w:left="39"/>
              <w:rPr>
                <w:sz w:val="20"/>
                <w:szCs w:val="20"/>
              </w:rPr>
            </w:pPr>
            <w:r w:rsidRPr="00735356">
              <w:rPr>
                <w:sz w:val="20"/>
                <w:szCs w:val="20"/>
              </w:rPr>
              <w:t>Study POP</w:t>
            </w:r>
          </w:p>
        </w:tc>
      </w:tr>
      <w:tr w:rsidR="009479F2" w:rsidRPr="00735356" w:rsidTr="00735356">
        <w:tc>
          <w:tcPr>
            <w:tcW w:w="1668" w:type="dxa"/>
            <w:vMerge/>
          </w:tcPr>
          <w:p w:rsidR="009479F2" w:rsidRPr="00735356" w:rsidRDefault="009479F2" w:rsidP="00735356">
            <w:pPr>
              <w:ind w:left="0"/>
              <w:rPr>
                <w:sz w:val="20"/>
                <w:szCs w:val="20"/>
              </w:rPr>
            </w:pPr>
          </w:p>
        </w:tc>
        <w:tc>
          <w:tcPr>
            <w:tcW w:w="5244" w:type="dxa"/>
          </w:tcPr>
          <w:p w:rsidR="009479F2" w:rsidRPr="00735356" w:rsidRDefault="00CF7B22" w:rsidP="00735356">
            <w:pPr>
              <w:ind w:left="41"/>
              <w:rPr>
                <w:sz w:val="20"/>
                <w:szCs w:val="20"/>
              </w:rPr>
            </w:pPr>
            <w:r w:rsidRPr="00735356">
              <w:rPr>
                <w:sz w:val="20"/>
                <w:szCs w:val="20"/>
              </w:rPr>
              <w:t xml:space="preserve">Target population: </w:t>
            </w:r>
            <w:r w:rsidR="009479F2" w:rsidRPr="00735356">
              <w:rPr>
                <w:sz w:val="20"/>
                <w:szCs w:val="20"/>
              </w:rPr>
              <w:t>effect on 2-HG</w:t>
            </w:r>
          </w:p>
        </w:tc>
        <w:tc>
          <w:tcPr>
            <w:tcW w:w="1843" w:type="dxa"/>
          </w:tcPr>
          <w:p w:rsidR="009479F2" w:rsidRPr="00735356" w:rsidRDefault="009479F2" w:rsidP="00735356">
            <w:pPr>
              <w:ind w:left="39"/>
              <w:rPr>
                <w:sz w:val="20"/>
                <w:szCs w:val="20"/>
              </w:rPr>
            </w:pPr>
            <w:r w:rsidRPr="00735356">
              <w:rPr>
                <w:sz w:val="20"/>
                <w:szCs w:val="20"/>
              </w:rPr>
              <w:t>Study PKPD</w:t>
            </w:r>
            <w:r w:rsidR="00735356">
              <w:rPr>
                <w:sz w:val="20"/>
                <w:szCs w:val="20"/>
              </w:rPr>
              <w:t xml:space="preserve"> </w:t>
            </w:r>
            <w:r w:rsidRPr="00735356">
              <w:rPr>
                <w:sz w:val="20"/>
                <w:szCs w:val="20"/>
              </w:rPr>
              <w:t>Study 2HG</w:t>
            </w:r>
          </w:p>
        </w:tc>
      </w:tr>
    </w:tbl>
    <w:p w:rsidR="009479F2" w:rsidRPr="00345C78" w:rsidRDefault="009479F2" w:rsidP="00CF7B22">
      <w:r w:rsidRPr="00345C78">
        <w:t xml:space="preserve">Exposure to </w:t>
      </w:r>
      <w:proofErr w:type="spellStart"/>
      <w:r w:rsidRPr="00345C78">
        <w:t>enasidenib</w:t>
      </w:r>
      <w:proofErr w:type="spellEnd"/>
      <w:r w:rsidRPr="00345C78">
        <w:t xml:space="preserve"> did not result i</w:t>
      </w:r>
      <w:r w:rsidR="00CF7B22">
        <w:t>n QT/</w:t>
      </w:r>
      <w:proofErr w:type="spellStart"/>
      <w:r w:rsidR="00CF7B22">
        <w:t>QTc</w:t>
      </w:r>
      <w:proofErr w:type="spellEnd"/>
      <w:r w:rsidR="00CF7B22">
        <w:t xml:space="preserve"> interval prolongation.</w:t>
      </w:r>
      <w:r w:rsidR="000F1877">
        <w:rPr>
          <w:rStyle w:val="FootnoteReference"/>
        </w:rPr>
        <w:footnoteReference w:id="5"/>
      </w:r>
    </w:p>
    <w:p w:rsidR="009479F2" w:rsidRDefault="009479F2" w:rsidP="00CF7B22">
      <w:r w:rsidRPr="00345C78">
        <w:t xml:space="preserve">Study 2-HG was a sub-study of Study AG-221-C-001. Suppression of 2-HG production is variable according to </w:t>
      </w:r>
      <w:r w:rsidR="00CF7B22">
        <w:t>mutant IDH2 status. As outlined in the clinical evaluation report</w:t>
      </w:r>
      <w:r w:rsidRPr="00345C78">
        <w:t>, there ap</w:t>
      </w:r>
      <w:r w:rsidR="00CF7B22">
        <w:t>pears to be two major mutations;</w:t>
      </w:r>
      <w:r w:rsidRPr="00345C78">
        <w:t xml:space="preserve"> R172 and R140. Baseline 2-HG concentrations were higher in patients with R172 mutation rather than R140 mutation, but this concentration did not appear to predic</w:t>
      </w:r>
      <w:r w:rsidR="00CF7B22">
        <w:t>t response to treatment in the Phase I patients. In the P</w:t>
      </w:r>
      <w:r w:rsidRPr="00345C78">
        <w:t xml:space="preserve">hase I/II patients there was some correlation of clinical effect with baseline 2-HG measures. Essentially, </w:t>
      </w:r>
      <w:r w:rsidR="00D84D51">
        <w:t xml:space="preserve">the </w:t>
      </w:r>
      <w:r w:rsidRPr="00345C78">
        <w:t>PD effect on the suppression of levels of 2-HG is variable with current data and not predictable, nor able to be accurately modulated by</w:t>
      </w:r>
      <w:r>
        <w:t>,</w:t>
      </w:r>
      <w:r w:rsidRPr="00345C78">
        <w:t xml:space="preserve"> dose </w:t>
      </w:r>
      <w:r>
        <w:t xml:space="preserve">amount or </w:t>
      </w:r>
      <w:r w:rsidRPr="00345C78">
        <w:t>modification.</w:t>
      </w:r>
    </w:p>
    <w:p w:rsidR="005D20B0" w:rsidRPr="00345C78" w:rsidRDefault="005D20B0" w:rsidP="005D20B0">
      <w:pPr>
        <w:pStyle w:val="Heading5"/>
      </w:pPr>
      <w:r>
        <w:t>Dose selection</w:t>
      </w:r>
    </w:p>
    <w:p w:rsidR="009479F2" w:rsidRPr="00345C78" w:rsidRDefault="00C70808" w:rsidP="00CF7B22">
      <w:r>
        <w:t xml:space="preserve">The main study, Study AG-221-C-001, </w:t>
      </w:r>
      <w:r w:rsidR="009479F2" w:rsidRPr="00345C78">
        <w:t>had as a first part of the study</w:t>
      </w:r>
      <w:r w:rsidR="00A956FC">
        <w:t>; P</w:t>
      </w:r>
      <w:r w:rsidR="009479F2" w:rsidRPr="00345C78">
        <w:t>art 001</w:t>
      </w:r>
      <w:r>
        <w:t>DE (dose escalation). The full P</w:t>
      </w:r>
      <w:r w:rsidR="009479F2" w:rsidRPr="00345C78">
        <w:t xml:space="preserve">hase I layout of </w:t>
      </w:r>
      <w:r>
        <w:t xml:space="preserve">Study AG-221-C-001 is shown in </w:t>
      </w:r>
      <w:r>
        <w:fldChar w:fldCharType="begin"/>
      </w:r>
      <w:r>
        <w:instrText xml:space="preserve"> REF _Ref36153822 \h </w:instrText>
      </w:r>
      <w:r>
        <w:fldChar w:fldCharType="separate"/>
      </w:r>
      <w:r>
        <w:t xml:space="preserve">Figure </w:t>
      </w:r>
      <w:r>
        <w:rPr>
          <w:noProof/>
        </w:rPr>
        <w:t>2</w:t>
      </w:r>
      <w:r>
        <w:fldChar w:fldCharType="end"/>
      </w:r>
      <w:r>
        <w:t>.</w:t>
      </w:r>
    </w:p>
    <w:p w:rsidR="009479F2" w:rsidRPr="00345C78" w:rsidRDefault="00C70808" w:rsidP="00735356">
      <w:pPr>
        <w:pStyle w:val="FigureTitle"/>
      </w:pPr>
      <w:bookmarkStart w:id="47" w:name="_Ref36153822"/>
      <w:r>
        <w:lastRenderedPageBreak/>
        <w:t xml:space="preserve">Figure </w:t>
      </w:r>
      <w:r w:rsidR="00735356">
        <w:fldChar w:fldCharType="begin"/>
      </w:r>
      <w:r w:rsidR="00735356">
        <w:instrText xml:space="preserve"> SEQ Figure \* ARABIC </w:instrText>
      </w:r>
      <w:r w:rsidR="00735356">
        <w:fldChar w:fldCharType="separate"/>
      </w:r>
      <w:r>
        <w:rPr>
          <w:noProof/>
        </w:rPr>
        <w:t>2</w:t>
      </w:r>
      <w:r w:rsidR="00735356">
        <w:rPr>
          <w:noProof/>
        </w:rPr>
        <w:fldChar w:fldCharType="end"/>
      </w:r>
      <w:bookmarkEnd w:id="47"/>
      <w:r>
        <w:t>: Overview of Study AG-221-C-001 Phase I</w:t>
      </w:r>
    </w:p>
    <w:p w:rsidR="009479F2" w:rsidRPr="00175F7D" w:rsidRDefault="009479F2" w:rsidP="009479F2">
      <w:pPr>
        <w:spacing w:before="0" w:after="0" w:line="240" w:lineRule="auto"/>
      </w:pPr>
      <w:r w:rsidRPr="00345C78">
        <w:rPr>
          <w:rFonts w:asciiTheme="minorHAnsi" w:hAnsiTheme="minorHAnsi"/>
          <w:noProof/>
          <w:lang w:eastAsia="en-AU"/>
        </w:rPr>
        <w:drawing>
          <wp:inline distT="0" distB="0" distL="0" distR="0" wp14:anchorId="522427B5" wp14:editId="50143C45">
            <wp:extent cx="5253918" cy="6273579"/>
            <wp:effectExtent l="0" t="0" r="4445" b="0"/>
            <wp:docPr id="2" name="Picture 2" descr="Overview of Study AG-221-C-001 Phase I. The Phase I portion of Study AG-221-C-001 consisted of 3 parts: a dose escalation (n = 113), an expansion part 1 (n = 126) and a combined Phase I escalation and expansion (n =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93808" cy="6321211"/>
                    </a:xfrm>
                    <a:prstGeom prst="rect">
                      <a:avLst/>
                    </a:prstGeom>
                    <a:noFill/>
                    <a:ln>
                      <a:noFill/>
                    </a:ln>
                  </pic:spPr>
                </pic:pic>
              </a:graphicData>
            </a:graphic>
          </wp:inline>
        </w:drawing>
      </w:r>
    </w:p>
    <w:p w:rsidR="009479F2" w:rsidRPr="00345C78" w:rsidRDefault="009479F2" w:rsidP="00C70808">
      <w:r w:rsidRPr="00345C78">
        <w:t xml:space="preserve">One can see that those with </w:t>
      </w:r>
      <w:r w:rsidR="00C70808">
        <w:t>R/R</w:t>
      </w:r>
      <w:r w:rsidRPr="00345C78">
        <w:t xml:space="preserve"> AML in this </w:t>
      </w:r>
      <w:r w:rsidR="00A956FC">
        <w:t xml:space="preserve">dose escalation </w:t>
      </w:r>
      <w:r w:rsidRPr="00345C78">
        <w:t>part of the study numbered n</w:t>
      </w:r>
      <w:r w:rsidR="00A956FC">
        <w:t> </w:t>
      </w:r>
      <w:r w:rsidRPr="00345C78">
        <w:t>=</w:t>
      </w:r>
      <w:r w:rsidR="00C70808">
        <w:t xml:space="preserve"> </w:t>
      </w:r>
      <w:r w:rsidRPr="00345C78">
        <w:t>90. The study is ongoing, and at data cut</w:t>
      </w:r>
      <w:r w:rsidR="005D20B0">
        <w:t xml:space="preserve"> </w:t>
      </w:r>
      <w:r w:rsidRPr="00345C78">
        <w:t xml:space="preserve">off for this submission, all subjects had completed at </w:t>
      </w:r>
      <w:r w:rsidR="00B401D9">
        <w:t xml:space="preserve">least six 28 </w:t>
      </w:r>
      <w:r w:rsidRPr="00C70808">
        <w:t xml:space="preserve">day </w:t>
      </w:r>
      <w:r w:rsidRPr="00345C78">
        <w:t xml:space="preserve">cycles of treatment. The study examined subjects with advanced </w:t>
      </w:r>
      <w:proofErr w:type="spellStart"/>
      <w:r w:rsidRPr="00345C78">
        <w:t>haematologic</w:t>
      </w:r>
      <w:proofErr w:type="spellEnd"/>
      <w:r w:rsidRPr="00345C78">
        <w:t xml:space="preserve"> malignancies with an IDH2 mutation. </w:t>
      </w:r>
      <w:r>
        <w:t xml:space="preserve">It is unclear from the </w:t>
      </w:r>
      <w:r w:rsidR="00C70808">
        <w:t>clinical evaluation report</w:t>
      </w:r>
      <w:r>
        <w:t xml:space="preserve"> what portion of those in the Phase I arms transferred to Phase II. However, when data were collectively analysed, a figure of 214 subjects with </w:t>
      </w:r>
      <w:r w:rsidR="00C70808">
        <w:t>R/R</w:t>
      </w:r>
      <w:r>
        <w:t xml:space="preserve"> AML tr</w:t>
      </w:r>
      <w:r w:rsidR="004A74BA">
        <w:t xml:space="preserve">eated with </w:t>
      </w:r>
      <w:proofErr w:type="spellStart"/>
      <w:r w:rsidR="004A74BA">
        <w:t>enasidenib</w:t>
      </w:r>
      <w:proofErr w:type="spellEnd"/>
      <w:r w:rsidR="004A74BA">
        <w:t xml:space="preserve"> is given.</w:t>
      </w:r>
    </w:p>
    <w:p w:rsidR="009479F2" w:rsidRPr="00345C78" w:rsidRDefault="009479F2" w:rsidP="00175F7D">
      <w:pPr>
        <w:pageBreakBefore/>
      </w:pPr>
      <w:r w:rsidRPr="00345C78">
        <w:lastRenderedPageBreak/>
        <w:t>Dose escalation used a standard 3+3 design, each coh</w:t>
      </w:r>
      <w:r w:rsidR="00B401D9">
        <w:t>ort was to enrol a minimum of 3 </w:t>
      </w:r>
      <w:r w:rsidRPr="00345C78">
        <w:t>subjects. Daily doses ranging from 50</w:t>
      </w:r>
      <w:r w:rsidR="00C70808">
        <w:t xml:space="preserve"> </w:t>
      </w:r>
      <w:r w:rsidRPr="00345C78">
        <w:t>mg to 650</w:t>
      </w:r>
      <w:r w:rsidR="00C70808">
        <w:t xml:space="preserve"> </w:t>
      </w:r>
      <w:r w:rsidRPr="00345C78">
        <w:t xml:space="preserve">mg were assessed. The dose was doubled from one cohort to the next until </w:t>
      </w:r>
      <w:r w:rsidR="005D20B0" w:rsidRPr="005D20B0">
        <w:t xml:space="preserve">Common Terminology Criteria for Adverse Events </w:t>
      </w:r>
      <w:r w:rsidR="005D20B0">
        <w:t>(</w:t>
      </w:r>
      <w:r w:rsidRPr="00345C78">
        <w:t>CTCAE</w:t>
      </w:r>
      <w:r w:rsidR="005D20B0">
        <w:t>)</w:t>
      </w:r>
      <w:r w:rsidRPr="00345C78">
        <w:t xml:space="preserve"> Grade 2 or greater drug-related toxicity was observed in any subject in each cohort. Following assessment of the event(s), increases in dose were 50% or less until a maximum tolerated dose </w:t>
      </w:r>
      <w:r w:rsidR="005D20B0">
        <w:t xml:space="preserve">(MTD) </w:t>
      </w:r>
      <w:r w:rsidRPr="00345C78">
        <w:t>was then determined. MTD was defined as the highest dose that causes dose limiting toxicity</w:t>
      </w:r>
      <w:r w:rsidR="005D20B0">
        <w:t xml:space="preserve"> (</w:t>
      </w:r>
      <w:r w:rsidR="005D20B0" w:rsidRPr="00345C78">
        <w:t>DLT</w:t>
      </w:r>
      <w:r w:rsidRPr="00345C78">
        <w:t>) in &lt;</w:t>
      </w:r>
      <w:r w:rsidR="005D20B0">
        <w:t xml:space="preserve"> </w:t>
      </w:r>
      <w:r w:rsidRPr="00345C78">
        <w:t xml:space="preserve">2 of 6 subjects. DLTs were specifically defined for both </w:t>
      </w:r>
      <w:proofErr w:type="spellStart"/>
      <w:r w:rsidRPr="00345C78">
        <w:t>haematologic</w:t>
      </w:r>
      <w:proofErr w:type="spellEnd"/>
      <w:r w:rsidRPr="00345C78">
        <w:t xml:space="preserve"> and non-</w:t>
      </w:r>
      <w:proofErr w:type="spellStart"/>
      <w:r w:rsidRPr="00345C78">
        <w:t>haematologic</w:t>
      </w:r>
      <w:proofErr w:type="spellEnd"/>
      <w:r w:rsidRPr="00345C78">
        <w:t xml:space="preserve"> events. The evaluator was sat</w:t>
      </w:r>
      <w:r w:rsidR="00012260">
        <w:t>isfied with these definitions.</w:t>
      </w:r>
    </w:p>
    <w:p w:rsidR="009479F2" w:rsidRPr="00345C78" w:rsidRDefault="009479F2" w:rsidP="00C70808">
      <w:r w:rsidRPr="00345C78">
        <w:t>The MTD was in fact not reached, but an increasing proportion of subjects required dose modification or reduction to remain on treatment doses above 300</w:t>
      </w:r>
      <w:r w:rsidR="005D20B0">
        <w:t xml:space="preserve"> </w:t>
      </w:r>
      <w:r w:rsidRPr="00345C78">
        <w:t>mg, with 60.0% and 85.7% of those receiving 450</w:t>
      </w:r>
      <w:r w:rsidR="005D20B0">
        <w:t xml:space="preserve"> </w:t>
      </w:r>
      <w:r w:rsidRPr="00345C78">
        <w:t>mg and 650</w:t>
      </w:r>
      <w:r w:rsidR="005D20B0">
        <w:t xml:space="preserve"> </w:t>
      </w:r>
      <w:r w:rsidRPr="00345C78">
        <w:t>mg daily doses, respectively, requiring such dose reduction for treatment emergent adverse events</w:t>
      </w:r>
      <w:r w:rsidR="00012260">
        <w:t xml:space="preserve"> </w:t>
      </w:r>
      <w:r w:rsidR="005D20B0">
        <w:t xml:space="preserve">(TEAEs) </w:t>
      </w:r>
      <w:r w:rsidR="00012260">
        <w:t>that did not qualify as DLTs.</w:t>
      </w:r>
    </w:p>
    <w:p w:rsidR="009479F2" w:rsidRPr="00345C78" w:rsidRDefault="009479F2" w:rsidP="00C70808">
      <w:r w:rsidRPr="00345C78">
        <w:t>The selection of the 100</w:t>
      </w:r>
      <w:r w:rsidR="005D20B0">
        <w:t xml:space="preserve"> </w:t>
      </w:r>
      <w:r w:rsidRPr="00345C78">
        <w:t xml:space="preserve">mg daily dose was in fact based upon PK/PD and efficacy data rather than this dose </w:t>
      </w:r>
      <w:r w:rsidR="005D20B0">
        <w:t xml:space="preserve">escalation study, as a result. </w:t>
      </w:r>
      <w:r>
        <w:t>It appears the 100</w:t>
      </w:r>
      <w:r w:rsidR="00012260">
        <w:t xml:space="preserve"> </w:t>
      </w:r>
      <w:r>
        <w:t>mg daily was sizably below the dose level whereupon drug-induced toxicities became an issue.</w:t>
      </w:r>
    </w:p>
    <w:p w:rsidR="009479F2" w:rsidRPr="00345C78" w:rsidRDefault="009479F2" w:rsidP="00C70808">
      <w:pPr>
        <w:pStyle w:val="Heading4"/>
      </w:pPr>
      <w:r w:rsidRPr="00345C78">
        <w:t>Efficacy</w:t>
      </w:r>
    </w:p>
    <w:p w:rsidR="009479F2" w:rsidRDefault="005D20B0" w:rsidP="004A74BA">
      <w:pPr>
        <w:rPr>
          <w:rFonts w:asciiTheme="minorHAnsi" w:hAnsiTheme="minorHAnsi"/>
        </w:rPr>
      </w:pPr>
      <w:r>
        <w:rPr>
          <w:rFonts w:asciiTheme="minorHAnsi" w:hAnsiTheme="minorHAnsi"/>
        </w:rPr>
        <w:t xml:space="preserve">As previously </w:t>
      </w:r>
      <w:r w:rsidR="009479F2">
        <w:rPr>
          <w:rFonts w:asciiTheme="minorHAnsi" w:hAnsiTheme="minorHAnsi"/>
        </w:rPr>
        <w:t xml:space="preserve">described, the key </w:t>
      </w:r>
      <w:r>
        <w:t>Study AG-221-C-001</w:t>
      </w:r>
      <w:r w:rsidR="00B401D9">
        <w:rPr>
          <w:rFonts w:asciiTheme="minorHAnsi" w:hAnsiTheme="minorHAnsi"/>
        </w:rPr>
        <w:t xml:space="preserve"> had a</w:t>
      </w:r>
      <w:r w:rsidR="009479F2">
        <w:rPr>
          <w:rFonts w:asciiTheme="minorHAnsi" w:hAnsiTheme="minorHAnsi"/>
        </w:rPr>
        <w:t xml:space="preserve"> 001Ex part and a 001P2 part, both of which were used primarily for</w:t>
      </w:r>
      <w:r w:rsidR="004A74BA">
        <w:rPr>
          <w:rFonts w:asciiTheme="minorHAnsi" w:hAnsiTheme="minorHAnsi"/>
        </w:rPr>
        <w:t xml:space="preserve"> efficacy data in this dossier.</w:t>
      </w:r>
    </w:p>
    <w:p w:rsidR="009479F2" w:rsidRDefault="009479F2" w:rsidP="004A74BA">
      <w:pPr>
        <w:rPr>
          <w:rFonts w:asciiTheme="minorHAnsi" w:hAnsiTheme="minorHAnsi"/>
        </w:rPr>
      </w:pPr>
      <w:r>
        <w:rPr>
          <w:rFonts w:asciiTheme="minorHAnsi" w:hAnsiTheme="minorHAnsi"/>
        </w:rPr>
        <w:t>The 001Ex component had 4 arms:</w:t>
      </w:r>
    </w:p>
    <w:p w:rsidR="009479F2" w:rsidRDefault="009479F2" w:rsidP="004A74BA">
      <w:pPr>
        <w:pStyle w:val="ListBullet"/>
      </w:pPr>
      <w:r>
        <w:t>Arm 1: mIDH2 R/R AML and age</w:t>
      </w:r>
      <w:r w:rsidR="00D84D51">
        <w:t>d</w:t>
      </w:r>
      <w:r>
        <w:t xml:space="preserve"> ≥ 60 years, or any subject with AML regardless of age wh</w:t>
      </w:r>
      <w:r w:rsidR="005D20B0">
        <w:t>o has relapsed following a bone marrow transplant (BMT).</w:t>
      </w:r>
    </w:p>
    <w:p w:rsidR="009479F2" w:rsidRDefault="009479F2" w:rsidP="004A74BA">
      <w:pPr>
        <w:pStyle w:val="ListBullet"/>
      </w:pPr>
      <w:r>
        <w:t>Arm 2: mIDH2 R/R AML and age</w:t>
      </w:r>
      <w:r w:rsidR="00D84D51">
        <w:t>d</w:t>
      </w:r>
      <w:r>
        <w:t xml:space="preserve"> &lt; 60 years, excluding subjects with AML who have relapsed following a BMT</w:t>
      </w:r>
      <w:r w:rsidR="005D20B0">
        <w:t>.</w:t>
      </w:r>
    </w:p>
    <w:p w:rsidR="009479F2" w:rsidRDefault="009479F2" w:rsidP="004A74BA">
      <w:pPr>
        <w:pStyle w:val="ListBullet"/>
      </w:pPr>
      <w:r>
        <w:t>Arm 3: Untreated mIDH2 AML and age</w:t>
      </w:r>
      <w:r w:rsidR="00D84D51">
        <w:t>d</w:t>
      </w:r>
      <w:r>
        <w:t xml:space="preserve"> ≥ 60 years that decline</w:t>
      </w:r>
      <w:r w:rsidR="00D84D51">
        <w:t>d</w:t>
      </w:r>
      <w:r>
        <w:t xml:space="preserve"> standard of care chemotherapy</w:t>
      </w:r>
      <w:r w:rsidR="005D20B0">
        <w:t>.</w:t>
      </w:r>
    </w:p>
    <w:p w:rsidR="009479F2" w:rsidRDefault="009479F2" w:rsidP="004A74BA">
      <w:pPr>
        <w:pStyle w:val="ListBullet"/>
      </w:pPr>
      <w:r>
        <w:t xml:space="preserve">Arm 4: IDH2-mutated advanced </w:t>
      </w:r>
      <w:proofErr w:type="spellStart"/>
      <w:r>
        <w:t>h</w:t>
      </w:r>
      <w:r w:rsidR="00D84D51">
        <w:t>a</w:t>
      </w:r>
      <w:r>
        <w:t>ematologic</w:t>
      </w:r>
      <w:proofErr w:type="spellEnd"/>
      <w:r>
        <w:t xml:space="preserve"> malignancies not eligible for Arms 1 to 3</w:t>
      </w:r>
      <w:r w:rsidR="005D20B0">
        <w:t>.</w:t>
      </w:r>
    </w:p>
    <w:p w:rsidR="009479F2" w:rsidRDefault="005D20B0" w:rsidP="004A74BA">
      <w:r>
        <w:rPr>
          <w:rFonts w:asciiTheme="minorHAnsi" w:hAnsiTheme="minorHAnsi"/>
        </w:rPr>
        <w:t>Hence, A</w:t>
      </w:r>
      <w:r w:rsidR="009479F2">
        <w:rPr>
          <w:rFonts w:asciiTheme="minorHAnsi" w:hAnsiTheme="minorHAnsi"/>
        </w:rPr>
        <w:t xml:space="preserve">rms 1 and 2 are of key interest. </w:t>
      </w:r>
      <w:r w:rsidR="009479F2">
        <w:t xml:space="preserve">Relapsed AML was defined per </w:t>
      </w:r>
      <w:r w:rsidRPr="005D20B0">
        <w:t xml:space="preserve">International Working Group </w:t>
      </w:r>
      <w:r>
        <w:t>(</w:t>
      </w:r>
      <w:r w:rsidR="009479F2">
        <w:t>IWG</w:t>
      </w:r>
      <w:r>
        <w:t>)</w:t>
      </w:r>
      <w:r w:rsidR="009479F2">
        <w:t xml:space="preserve"> criteria,</w:t>
      </w:r>
      <w:bookmarkStart w:id="48" w:name="_Ref36157275"/>
      <w:r>
        <w:rPr>
          <w:rStyle w:val="FootnoteReference"/>
        </w:rPr>
        <w:footnoteReference w:id="6"/>
      </w:r>
      <w:bookmarkEnd w:id="48"/>
      <w:r w:rsidR="009479F2">
        <w:t xml:space="preserve"> as bone marrow blasts ≥ 5%, or reappearance of blasts in the blood, or development of </w:t>
      </w:r>
      <w:proofErr w:type="spellStart"/>
      <w:r w:rsidR="009479F2">
        <w:t>extramedullary</w:t>
      </w:r>
      <w:proofErr w:type="spellEnd"/>
      <w:r w:rsidR="009479F2">
        <w:t xml:space="preserve"> disease. Resistant AML was defined per IWG criteria as failure to achieve CR or </w:t>
      </w:r>
      <w:r>
        <w:t>c</w:t>
      </w:r>
      <w:r w:rsidRPr="005D20B0">
        <w:t xml:space="preserve">omplete remission with incomplete </w:t>
      </w:r>
      <w:proofErr w:type="spellStart"/>
      <w:r w:rsidRPr="005D20B0">
        <w:t>haematologic</w:t>
      </w:r>
      <w:proofErr w:type="spellEnd"/>
      <w:r w:rsidRPr="005D20B0">
        <w:t xml:space="preserve"> recovery </w:t>
      </w:r>
      <w:r>
        <w:t>(</w:t>
      </w:r>
      <w:proofErr w:type="spellStart"/>
      <w:r>
        <w:t>CRi</w:t>
      </w:r>
      <w:proofErr w:type="spellEnd"/>
      <w:r>
        <w:t>)</w:t>
      </w:r>
      <w:r w:rsidR="009479F2">
        <w:t xml:space="preserve"> following completion of initial treatment, with evidence of persistent leukaemia by blood and/or bone marrow examination.</w:t>
      </w:r>
    </w:p>
    <w:p w:rsidR="009479F2" w:rsidRDefault="009479F2" w:rsidP="004A74BA">
      <w:r>
        <w:t>Part 001P2 enrolled 105 subjects</w:t>
      </w:r>
      <w:r w:rsidR="00B401D9">
        <w:t>,</w:t>
      </w:r>
      <w:r>
        <w:t xml:space="preserve"> all with </w:t>
      </w:r>
      <w:r w:rsidR="00B401D9">
        <w:t>R/R</w:t>
      </w:r>
      <w:r>
        <w:t xml:space="preserve"> AML.</w:t>
      </w:r>
    </w:p>
    <w:p w:rsidR="009479F2" w:rsidRDefault="009479F2" w:rsidP="004A74BA">
      <w:pPr>
        <w:rPr>
          <w:rFonts w:asciiTheme="minorHAnsi" w:hAnsiTheme="minorHAnsi"/>
        </w:rPr>
      </w:pPr>
      <w:r>
        <w:t>Eligibility criteria were considered satisfact</w:t>
      </w:r>
      <w:r w:rsidR="005D20B0">
        <w:t xml:space="preserve">ory by the clinical evaluator. </w:t>
      </w:r>
      <w:r>
        <w:t>Subjects were given 100</w:t>
      </w:r>
      <w:r w:rsidR="00012260">
        <w:t xml:space="preserve"> </w:t>
      </w:r>
      <w:r>
        <w:t>mg once daily</w:t>
      </w:r>
      <w:r w:rsidR="005D20B0">
        <w:t>,</w:t>
      </w:r>
      <w:r>
        <w:t xml:space="preserve"> which could be escalated to 200</w:t>
      </w:r>
      <w:r w:rsidR="005D20B0">
        <w:t xml:space="preserve"> </w:t>
      </w:r>
      <w:r>
        <w:t>mg once daily if response was not optimal or evidence of relapse had occurred after a response</w:t>
      </w:r>
      <w:r w:rsidR="00F23DDD">
        <w:t>,</w:t>
      </w:r>
      <w:r>
        <w:t xml:space="preserve"> either in the peripheral blood or bone marrow. </w:t>
      </w:r>
      <w:r>
        <w:rPr>
          <w:rFonts w:asciiTheme="minorHAnsi" w:hAnsiTheme="minorHAnsi"/>
        </w:rPr>
        <w:t xml:space="preserve">Subject demographics were consistent with the AML disease population in </w:t>
      </w:r>
      <w:r w:rsidR="005D20B0">
        <w:t>Study AG-221-C-001</w:t>
      </w:r>
      <w:r>
        <w:rPr>
          <w:rFonts w:asciiTheme="minorHAnsi" w:hAnsiTheme="minorHAnsi"/>
        </w:rPr>
        <w:t xml:space="preserve"> as a whole.</w:t>
      </w:r>
    </w:p>
    <w:p w:rsidR="009479F2" w:rsidRDefault="009479F2" w:rsidP="004A74BA">
      <w:r>
        <w:t xml:space="preserve">Subjects in Part 001P2 had relapsed after allogeneic transplantation, were in second or later relapse, were refractory to initial or re-induction treatment, or had relapsed within </w:t>
      </w:r>
      <w:r>
        <w:lastRenderedPageBreak/>
        <w:t>1</w:t>
      </w:r>
      <w:r w:rsidR="00B401D9">
        <w:t> </w:t>
      </w:r>
      <w:r>
        <w:t xml:space="preserve">year of treatment and were not in the </w:t>
      </w:r>
      <w:r w:rsidR="0010358C">
        <w:t>National Comprehensive Cancer Network (</w:t>
      </w:r>
      <w:r>
        <w:t>NCCN</w:t>
      </w:r>
      <w:r w:rsidR="0010358C">
        <w:t>) guideline</w:t>
      </w:r>
      <w:r>
        <w:t xml:space="preserve"> ‘favourable risk’ category.</w:t>
      </w:r>
      <w:r w:rsidR="0010358C">
        <w:rPr>
          <w:rStyle w:val="FootnoteReference"/>
        </w:rPr>
        <w:footnoteReference w:id="7"/>
      </w:r>
    </w:p>
    <w:p w:rsidR="009479F2" w:rsidRDefault="009479F2" w:rsidP="004A74BA">
      <w:pPr>
        <w:rPr>
          <w:rFonts w:asciiTheme="minorHAnsi" w:hAnsiTheme="minorHAnsi"/>
        </w:rPr>
      </w:pPr>
      <w:r>
        <w:rPr>
          <w:rFonts w:asciiTheme="minorHAnsi" w:hAnsiTheme="minorHAnsi"/>
        </w:rPr>
        <w:t>Dosing occurred continuously with 100</w:t>
      </w:r>
      <w:r w:rsidR="00F23DDD">
        <w:rPr>
          <w:rFonts w:asciiTheme="minorHAnsi" w:hAnsiTheme="minorHAnsi"/>
        </w:rPr>
        <w:t xml:space="preserve"> </w:t>
      </w:r>
      <w:r>
        <w:rPr>
          <w:rFonts w:asciiTheme="minorHAnsi" w:hAnsiTheme="minorHAnsi"/>
        </w:rPr>
        <w:t>mg daily on 28 day cycles. The dose could be increased to 200</w:t>
      </w:r>
      <w:r w:rsidR="00F23DDD">
        <w:rPr>
          <w:rFonts w:asciiTheme="minorHAnsi" w:hAnsiTheme="minorHAnsi"/>
        </w:rPr>
        <w:t xml:space="preserve"> </w:t>
      </w:r>
      <w:r>
        <w:rPr>
          <w:rFonts w:asciiTheme="minorHAnsi" w:hAnsiTheme="minorHAnsi"/>
        </w:rPr>
        <w:t xml:space="preserve">mg daily based upon a reduced neutrophil count without any TEAEs of Grade 3 or higher, </w:t>
      </w:r>
      <w:r w:rsidR="00F23DDD" w:rsidRPr="00F23DDD">
        <w:rPr>
          <w:rFonts w:asciiTheme="minorHAnsi" w:hAnsiTheme="minorHAnsi"/>
          <w:i/>
        </w:rPr>
        <w:t>or</w:t>
      </w:r>
      <w:r>
        <w:rPr>
          <w:rFonts w:asciiTheme="minorHAnsi" w:hAnsiTheme="minorHAnsi"/>
        </w:rPr>
        <w:t xml:space="preserve"> no partial response being observed for at least 2 cycles of treatment and again, no suspected TEAEs of Grade 3 or higher, or there was evidence of </w:t>
      </w:r>
      <w:r w:rsidR="004A74BA">
        <w:rPr>
          <w:rFonts w:asciiTheme="minorHAnsi" w:hAnsiTheme="minorHAnsi"/>
        </w:rPr>
        <w:t>relapse or progressive disease.</w:t>
      </w:r>
    </w:p>
    <w:p w:rsidR="009479F2" w:rsidRDefault="009479F2" w:rsidP="004A74BA">
      <w:pPr>
        <w:rPr>
          <w:rFonts w:asciiTheme="minorHAnsi" w:hAnsiTheme="minorHAnsi"/>
        </w:rPr>
      </w:pPr>
      <w:r>
        <w:rPr>
          <w:rFonts w:asciiTheme="minorHAnsi" w:hAnsiTheme="minorHAnsi"/>
        </w:rPr>
        <w:t>The primary efficacy endpoint used was overall response rate (ORR), not a typical measure for a primary endpoint. It was also more liberal in that it included those with partial response as well as morphologic leukaemia-free state (MLFS). However, data clearly show the breakdown of each response category. For ease of comprehension of data, presented here are the collective data, not separate s</w:t>
      </w:r>
      <w:r w:rsidR="004A74BA">
        <w:rPr>
          <w:rFonts w:asciiTheme="minorHAnsi" w:hAnsiTheme="minorHAnsi"/>
        </w:rPr>
        <w:t>ets from Part 001P2 and 001Ex.</w:t>
      </w:r>
    </w:p>
    <w:p w:rsidR="009479F2" w:rsidRDefault="009479F2" w:rsidP="004A74BA">
      <w:r>
        <w:t>Some point</w:t>
      </w:r>
      <w:r w:rsidR="00B401D9">
        <w:t>s</w:t>
      </w:r>
      <w:r>
        <w:t xml:space="preserve"> from </w:t>
      </w:r>
      <w:r w:rsidR="00F23DDD">
        <w:t>Study AG-221-C-001 Part</w:t>
      </w:r>
      <w:r>
        <w:t xml:space="preserve"> 001P2 specifically are worthwhile based on the statistical planning of at least a 33.6% response in subjects. The lower bound of 95% </w:t>
      </w:r>
      <w:r w:rsidR="00F23DDD">
        <w:t>confidence interval (</w:t>
      </w:r>
      <w:r>
        <w:t>CI</w:t>
      </w:r>
      <w:r w:rsidR="00F23DDD">
        <w:t>)</w:t>
      </w:r>
      <w:r>
        <w:t xml:space="preserve"> is stated by the evaluat</w:t>
      </w:r>
      <w:r w:rsidR="00F23DDD">
        <w:t xml:space="preserve">or as being met, with ORR of 33 out of </w:t>
      </w:r>
      <w:r>
        <w:t xml:space="preserve">105 or 31.4% (95% CI 22.7, 41.2). Median </w:t>
      </w:r>
      <w:r w:rsidR="00F23DDD">
        <w:t>overall survival (</w:t>
      </w:r>
      <w:r>
        <w:t>OS</w:t>
      </w:r>
      <w:r w:rsidR="00F23DDD">
        <w:t>)</w:t>
      </w:r>
      <w:r>
        <w:t xml:space="preserve"> in the R/R AML group of n</w:t>
      </w:r>
      <w:r w:rsidR="00F23DDD">
        <w:t> </w:t>
      </w:r>
      <w:r>
        <w:t>=</w:t>
      </w:r>
      <w:r w:rsidR="00F23DDD">
        <w:t> </w:t>
      </w:r>
      <w:r>
        <w:t xml:space="preserve">105 was 7.0 months. Median duration of ORR was 5.6 </w:t>
      </w:r>
      <w:r w:rsidR="00F23DDD">
        <w:t>months, stated as based on best</w:t>
      </w:r>
      <w:r w:rsidR="00F23DDD">
        <w:noBreakHyphen/>
      </w:r>
      <w:r>
        <w:t xml:space="preserve">response data from 39 subjects. Median duration of </w:t>
      </w:r>
      <w:r w:rsidR="00F23DDD">
        <w:t>CR</w:t>
      </w:r>
      <w:r>
        <w:t xml:space="preserve"> (n</w:t>
      </w:r>
      <w:r w:rsidR="00F23DDD">
        <w:t xml:space="preserve"> </w:t>
      </w:r>
      <w:r>
        <w:t>=</w:t>
      </w:r>
      <w:r w:rsidR="00F23DDD">
        <w:t xml:space="preserve"> </w:t>
      </w:r>
      <w:r>
        <w:t>21) was 6.7 months. It is also noted some subjects were dosed with 200</w:t>
      </w:r>
      <w:r w:rsidR="00F23DDD">
        <w:t xml:space="preserve"> </w:t>
      </w:r>
      <w:r>
        <w:t>mg daily to achieve these results, but the evaluator notes such numbers were few.</w:t>
      </w:r>
    </w:p>
    <w:p w:rsidR="009479F2" w:rsidRDefault="009479F2" w:rsidP="004A74BA">
      <w:r>
        <w:t xml:space="preserve">One point to note here is that, for the 105 R/R AML subjects in </w:t>
      </w:r>
      <w:r w:rsidR="00F23DDD">
        <w:t>the Phase II 001P2, by data cut </w:t>
      </w:r>
      <w:r>
        <w:t xml:space="preserve">off 99 had ceased treatment, with the chief reasons being disease progression, an adverse event </w:t>
      </w:r>
      <w:r w:rsidR="00F23DDD">
        <w:t xml:space="preserve">(AE) </w:t>
      </w:r>
      <w:r>
        <w:t>or death. It is unclear from the evaluation what median trea</w:t>
      </w:r>
      <w:r w:rsidR="004A74BA">
        <w:t>tment duration this represents.</w:t>
      </w:r>
    </w:p>
    <w:p w:rsidR="009479F2" w:rsidRDefault="009479F2" w:rsidP="00BE33C1">
      <w:r>
        <w:t xml:space="preserve">The evaluator considered OS as the most meaningful efficacy variable, given that </w:t>
      </w:r>
      <w:proofErr w:type="spellStart"/>
      <w:r>
        <w:t>enasidenib</w:t>
      </w:r>
      <w:proofErr w:type="spellEnd"/>
      <w:r>
        <w:t xml:space="preserve"> </w:t>
      </w:r>
      <w:r w:rsidR="00F23DDD">
        <w:t>is not curative. The 7.0 months</w:t>
      </w:r>
      <w:r>
        <w:t xml:space="preserve"> median value for Part 001P2 was considered clinically significant.</w:t>
      </w:r>
    </w:p>
    <w:p w:rsidR="009479F2" w:rsidRPr="004A74BA" w:rsidRDefault="009479F2" w:rsidP="00C70808">
      <w:pPr>
        <w:pStyle w:val="Heading5"/>
      </w:pPr>
      <w:r>
        <w:t>Combined data</w:t>
      </w:r>
    </w:p>
    <w:p w:rsidR="009479F2" w:rsidRDefault="009479F2" w:rsidP="004A74BA">
      <w:r>
        <w:t>Sub</w:t>
      </w:r>
      <w:r w:rsidR="00DA0627">
        <w:t xml:space="preserve">ject disposition for the combined data was as follows in </w:t>
      </w:r>
      <w:r w:rsidR="00DA0627">
        <w:fldChar w:fldCharType="begin"/>
      </w:r>
      <w:r w:rsidR="00DA0627">
        <w:instrText xml:space="preserve"> REF _Ref36156187 \h </w:instrText>
      </w:r>
      <w:r w:rsidR="00DA0627">
        <w:fldChar w:fldCharType="separate"/>
      </w:r>
      <w:r w:rsidR="00DA0627">
        <w:t xml:space="preserve">Table </w:t>
      </w:r>
      <w:r w:rsidR="00DA0627">
        <w:rPr>
          <w:noProof/>
        </w:rPr>
        <w:t>6</w:t>
      </w:r>
      <w:r w:rsidR="00DA0627">
        <w:fldChar w:fldCharType="end"/>
      </w:r>
      <w:r w:rsidR="00DA0627">
        <w:t>.</w:t>
      </w:r>
    </w:p>
    <w:p w:rsidR="00F23DDD" w:rsidRDefault="00DA0627" w:rsidP="009353A1">
      <w:pPr>
        <w:pStyle w:val="TableTitle"/>
      </w:pPr>
      <w:bookmarkStart w:id="49" w:name="_Ref36156187"/>
      <w:r>
        <w:t xml:space="preserve">Table </w:t>
      </w:r>
      <w:r w:rsidR="00735356">
        <w:fldChar w:fldCharType="begin"/>
      </w:r>
      <w:r w:rsidR="00735356">
        <w:instrText xml:space="preserve"> SEQ Table \* ARABIC </w:instrText>
      </w:r>
      <w:r w:rsidR="00735356">
        <w:fldChar w:fldCharType="separate"/>
      </w:r>
      <w:r w:rsidR="009B6128">
        <w:rPr>
          <w:noProof/>
        </w:rPr>
        <w:t>6</w:t>
      </w:r>
      <w:r w:rsidR="00735356">
        <w:rPr>
          <w:noProof/>
        </w:rPr>
        <w:fldChar w:fldCharType="end"/>
      </w:r>
      <w:bookmarkEnd w:id="49"/>
      <w:r>
        <w:t xml:space="preserve">: </w:t>
      </w:r>
      <w:r w:rsidR="00F23DDD">
        <w:t xml:space="preserve">Subject disposition for combined </w:t>
      </w:r>
      <w:r>
        <w:t xml:space="preserve">efficacy </w:t>
      </w:r>
      <w:r w:rsidR="00F23DDD">
        <w:t>data</w:t>
      </w:r>
    </w:p>
    <w:tbl>
      <w:tblPr>
        <w:tblStyle w:val="TableTGAblue"/>
        <w:tblW w:w="0" w:type="auto"/>
        <w:tblLook w:val="04A0" w:firstRow="1" w:lastRow="0" w:firstColumn="1" w:lastColumn="0" w:noHBand="0" w:noVBand="1"/>
      </w:tblPr>
      <w:tblGrid>
        <w:gridCol w:w="2074"/>
        <w:gridCol w:w="2062"/>
        <w:gridCol w:w="2438"/>
        <w:gridCol w:w="2146"/>
      </w:tblGrid>
      <w:tr w:rsidR="00175F7D" w:rsidRPr="000B289A" w:rsidTr="003E6FFE">
        <w:trPr>
          <w:cnfStyle w:val="100000000000" w:firstRow="1" w:lastRow="0" w:firstColumn="0" w:lastColumn="0" w:oddVBand="0" w:evenVBand="0" w:oddHBand="0" w:evenHBand="0" w:firstRowFirstColumn="0" w:firstRowLastColumn="0" w:lastRowFirstColumn="0" w:lastRowLastColumn="0"/>
        </w:trPr>
        <w:tc>
          <w:tcPr>
            <w:tcW w:w="2117" w:type="dxa"/>
          </w:tcPr>
          <w:p w:rsidR="00175F7D" w:rsidRPr="000B289A" w:rsidRDefault="00175F7D" w:rsidP="003E6FFE">
            <w:pPr>
              <w:rPr>
                <w:sz w:val="20"/>
                <w:szCs w:val="20"/>
              </w:rPr>
            </w:pPr>
          </w:p>
        </w:tc>
        <w:tc>
          <w:tcPr>
            <w:tcW w:w="2126" w:type="dxa"/>
          </w:tcPr>
          <w:p w:rsidR="00175F7D" w:rsidRPr="000B289A" w:rsidRDefault="00175F7D" w:rsidP="003E6FFE">
            <w:pPr>
              <w:rPr>
                <w:sz w:val="20"/>
                <w:szCs w:val="20"/>
              </w:rPr>
            </w:pPr>
            <w:r w:rsidRPr="000B289A">
              <w:rPr>
                <w:sz w:val="20"/>
                <w:szCs w:val="20"/>
              </w:rPr>
              <w:t xml:space="preserve">Combined Phase I/II 100 mg </w:t>
            </w:r>
            <w:r>
              <w:rPr>
                <w:sz w:val="20"/>
                <w:szCs w:val="20"/>
              </w:rPr>
              <w:br/>
            </w:r>
            <w:r w:rsidRPr="000B289A">
              <w:rPr>
                <w:sz w:val="20"/>
                <w:szCs w:val="20"/>
              </w:rPr>
              <w:t>(N = 214) n (%)</w:t>
            </w:r>
          </w:p>
        </w:tc>
        <w:tc>
          <w:tcPr>
            <w:tcW w:w="2544" w:type="dxa"/>
          </w:tcPr>
          <w:p w:rsidR="00175F7D" w:rsidRPr="000B289A" w:rsidRDefault="00175F7D" w:rsidP="003E6FFE">
            <w:pPr>
              <w:rPr>
                <w:sz w:val="20"/>
                <w:szCs w:val="20"/>
              </w:rPr>
            </w:pPr>
            <w:r w:rsidRPr="00735356">
              <w:rPr>
                <w:sz w:val="20"/>
                <w:szCs w:val="20"/>
              </w:rPr>
              <w:t>Combined Phase I</w:t>
            </w:r>
            <w:r>
              <w:rPr>
                <w:sz w:val="20"/>
                <w:szCs w:val="20"/>
              </w:rPr>
              <w:t xml:space="preserve"> </w:t>
            </w:r>
            <w:r>
              <w:rPr>
                <w:sz w:val="20"/>
                <w:szCs w:val="20"/>
              </w:rPr>
              <w:br/>
            </w:r>
            <w:r w:rsidRPr="00735356">
              <w:rPr>
                <w:sz w:val="20"/>
                <w:szCs w:val="20"/>
              </w:rPr>
              <w:t>100 mg</w:t>
            </w:r>
            <w:r>
              <w:rPr>
                <w:sz w:val="20"/>
                <w:szCs w:val="20"/>
              </w:rPr>
              <w:br/>
            </w:r>
            <w:r w:rsidRPr="00735356">
              <w:rPr>
                <w:sz w:val="20"/>
                <w:szCs w:val="20"/>
              </w:rPr>
              <w:t>(N = 109) n (%)</w:t>
            </w:r>
          </w:p>
        </w:tc>
        <w:tc>
          <w:tcPr>
            <w:tcW w:w="2263" w:type="dxa"/>
          </w:tcPr>
          <w:p w:rsidR="00175F7D" w:rsidRPr="000B289A" w:rsidRDefault="00175F7D" w:rsidP="003E6FFE">
            <w:pPr>
              <w:rPr>
                <w:sz w:val="20"/>
                <w:szCs w:val="20"/>
              </w:rPr>
            </w:pPr>
            <w:r w:rsidRPr="00735356">
              <w:rPr>
                <w:sz w:val="20"/>
                <w:szCs w:val="20"/>
              </w:rPr>
              <w:t>Phase II</w:t>
            </w:r>
            <w:r>
              <w:rPr>
                <w:sz w:val="20"/>
                <w:szCs w:val="20"/>
              </w:rPr>
              <w:t xml:space="preserve"> </w:t>
            </w:r>
            <w:r>
              <w:rPr>
                <w:sz w:val="20"/>
                <w:szCs w:val="20"/>
              </w:rPr>
              <w:br/>
            </w:r>
            <w:r w:rsidRPr="00735356">
              <w:rPr>
                <w:sz w:val="20"/>
                <w:szCs w:val="20"/>
              </w:rPr>
              <w:t>100 mg</w:t>
            </w:r>
            <w:r>
              <w:rPr>
                <w:sz w:val="20"/>
                <w:szCs w:val="20"/>
              </w:rPr>
              <w:br/>
            </w:r>
            <w:r w:rsidRPr="00735356">
              <w:rPr>
                <w:sz w:val="20"/>
                <w:szCs w:val="20"/>
              </w:rPr>
              <w:t>(N = 105) n (%)</w:t>
            </w:r>
          </w:p>
        </w:tc>
      </w:tr>
      <w:tr w:rsidR="00175F7D" w:rsidRPr="000B289A" w:rsidTr="003E6FFE">
        <w:tc>
          <w:tcPr>
            <w:tcW w:w="9050" w:type="dxa"/>
            <w:gridSpan w:val="4"/>
          </w:tcPr>
          <w:p w:rsidR="00175F7D" w:rsidRPr="000B289A" w:rsidRDefault="00175F7D" w:rsidP="003E6FFE">
            <w:pPr>
              <w:rPr>
                <w:sz w:val="20"/>
                <w:szCs w:val="20"/>
              </w:rPr>
            </w:pPr>
            <w:r w:rsidRPr="00735356">
              <w:rPr>
                <w:b/>
                <w:bCs/>
                <w:sz w:val="20"/>
                <w:szCs w:val="20"/>
              </w:rPr>
              <w:t>Treatment status</w:t>
            </w:r>
          </w:p>
        </w:tc>
      </w:tr>
      <w:tr w:rsidR="00175F7D" w:rsidRPr="000B289A" w:rsidTr="003E6FFE">
        <w:tc>
          <w:tcPr>
            <w:tcW w:w="2117" w:type="dxa"/>
          </w:tcPr>
          <w:p w:rsidR="00175F7D" w:rsidRPr="00735356" w:rsidRDefault="00175F7D" w:rsidP="003E6FFE">
            <w:pPr>
              <w:rPr>
                <w:sz w:val="20"/>
                <w:szCs w:val="20"/>
              </w:rPr>
            </w:pPr>
            <w:r w:rsidRPr="00735356">
              <w:rPr>
                <w:sz w:val="20"/>
                <w:szCs w:val="20"/>
              </w:rPr>
              <w:t>Ongoing</w:t>
            </w:r>
          </w:p>
        </w:tc>
        <w:tc>
          <w:tcPr>
            <w:tcW w:w="2126" w:type="dxa"/>
          </w:tcPr>
          <w:p w:rsidR="00175F7D" w:rsidRPr="00735356" w:rsidRDefault="00175F7D" w:rsidP="003E6FFE">
            <w:pPr>
              <w:rPr>
                <w:sz w:val="20"/>
                <w:szCs w:val="20"/>
              </w:rPr>
            </w:pPr>
            <w:r w:rsidRPr="00735356">
              <w:rPr>
                <w:sz w:val="20"/>
                <w:szCs w:val="20"/>
              </w:rPr>
              <w:t>11 (5.1)</w:t>
            </w:r>
          </w:p>
        </w:tc>
        <w:tc>
          <w:tcPr>
            <w:tcW w:w="2544" w:type="dxa"/>
          </w:tcPr>
          <w:p w:rsidR="00175F7D" w:rsidRPr="00735356" w:rsidRDefault="00175F7D" w:rsidP="003E6FFE">
            <w:pPr>
              <w:rPr>
                <w:sz w:val="20"/>
                <w:szCs w:val="20"/>
              </w:rPr>
            </w:pPr>
            <w:r w:rsidRPr="00735356">
              <w:rPr>
                <w:sz w:val="20"/>
                <w:szCs w:val="20"/>
              </w:rPr>
              <w:t>5 (4.6)</w:t>
            </w:r>
          </w:p>
        </w:tc>
        <w:tc>
          <w:tcPr>
            <w:tcW w:w="2263" w:type="dxa"/>
          </w:tcPr>
          <w:p w:rsidR="00175F7D" w:rsidRPr="00735356" w:rsidRDefault="00175F7D" w:rsidP="003E6FFE">
            <w:pPr>
              <w:rPr>
                <w:sz w:val="20"/>
                <w:szCs w:val="20"/>
              </w:rPr>
            </w:pPr>
            <w:r w:rsidRPr="00735356">
              <w:rPr>
                <w:sz w:val="20"/>
                <w:szCs w:val="20"/>
              </w:rPr>
              <w:t>6 (5.7)</w:t>
            </w:r>
          </w:p>
        </w:tc>
      </w:tr>
      <w:tr w:rsidR="00175F7D" w:rsidRPr="000B289A" w:rsidTr="003E6FFE">
        <w:tc>
          <w:tcPr>
            <w:tcW w:w="2117" w:type="dxa"/>
          </w:tcPr>
          <w:p w:rsidR="00175F7D" w:rsidRPr="000B289A" w:rsidRDefault="00175F7D" w:rsidP="003E6FFE">
            <w:pPr>
              <w:rPr>
                <w:sz w:val="20"/>
                <w:szCs w:val="20"/>
              </w:rPr>
            </w:pPr>
            <w:r w:rsidRPr="000B289A">
              <w:rPr>
                <w:sz w:val="20"/>
                <w:szCs w:val="20"/>
              </w:rPr>
              <w:t>Discontinued</w:t>
            </w:r>
          </w:p>
        </w:tc>
        <w:tc>
          <w:tcPr>
            <w:tcW w:w="2126" w:type="dxa"/>
          </w:tcPr>
          <w:p w:rsidR="00175F7D" w:rsidRPr="00735356" w:rsidRDefault="00175F7D" w:rsidP="003E6FFE">
            <w:pPr>
              <w:rPr>
                <w:sz w:val="20"/>
                <w:szCs w:val="20"/>
              </w:rPr>
            </w:pPr>
            <w:r w:rsidRPr="00735356">
              <w:rPr>
                <w:sz w:val="20"/>
                <w:szCs w:val="20"/>
              </w:rPr>
              <w:t>203 (94.9)</w:t>
            </w:r>
          </w:p>
        </w:tc>
        <w:tc>
          <w:tcPr>
            <w:tcW w:w="2544" w:type="dxa"/>
          </w:tcPr>
          <w:p w:rsidR="00175F7D" w:rsidRPr="00735356" w:rsidRDefault="00175F7D" w:rsidP="003E6FFE">
            <w:pPr>
              <w:rPr>
                <w:sz w:val="20"/>
                <w:szCs w:val="20"/>
              </w:rPr>
            </w:pPr>
            <w:r w:rsidRPr="00735356">
              <w:rPr>
                <w:sz w:val="20"/>
                <w:szCs w:val="20"/>
              </w:rPr>
              <w:t>104 (95.4)</w:t>
            </w:r>
          </w:p>
        </w:tc>
        <w:tc>
          <w:tcPr>
            <w:tcW w:w="2263" w:type="dxa"/>
          </w:tcPr>
          <w:p w:rsidR="00175F7D" w:rsidRPr="00735356" w:rsidRDefault="00175F7D" w:rsidP="003E6FFE">
            <w:pPr>
              <w:rPr>
                <w:sz w:val="20"/>
                <w:szCs w:val="20"/>
              </w:rPr>
            </w:pPr>
            <w:r w:rsidRPr="00735356">
              <w:rPr>
                <w:sz w:val="20"/>
                <w:szCs w:val="20"/>
              </w:rPr>
              <w:t>99 (94.3)</w:t>
            </w:r>
          </w:p>
        </w:tc>
      </w:tr>
      <w:tr w:rsidR="00175F7D" w:rsidRPr="000B289A" w:rsidTr="003E6FFE">
        <w:tc>
          <w:tcPr>
            <w:tcW w:w="9050" w:type="dxa"/>
            <w:gridSpan w:val="4"/>
          </w:tcPr>
          <w:p w:rsidR="00175F7D" w:rsidRPr="00735356" w:rsidRDefault="00175F7D" w:rsidP="003E6FFE">
            <w:pPr>
              <w:rPr>
                <w:sz w:val="20"/>
                <w:szCs w:val="20"/>
              </w:rPr>
            </w:pPr>
            <w:r w:rsidRPr="000B289A">
              <w:rPr>
                <w:b/>
                <w:bCs/>
                <w:sz w:val="20"/>
                <w:szCs w:val="20"/>
              </w:rPr>
              <w:t>Study status</w:t>
            </w:r>
          </w:p>
        </w:tc>
      </w:tr>
      <w:tr w:rsidR="00175F7D" w:rsidRPr="000B289A" w:rsidTr="003E6FFE">
        <w:tc>
          <w:tcPr>
            <w:tcW w:w="2117" w:type="dxa"/>
          </w:tcPr>
          <w:p w:rsidR="00175F7D" w:rsidRPr="000B289A" w:rsidRDefault="00175F7D" w:rsidP="003E6FFE">
            <w:pPr>
              <w:rPr>
                <w:sz w:val="20"/>
                <w:szCs w:val="20"/>
              </w:rPr>
            </w:pPr>
            <w:r w:rsidRPr="000B289A">
              <w:rPr>
                <w:sz w:val="20"/>
                <w:szCs w:val="20"/>
              </w:rPr>
              <w:t>Ongoing</w:t>
            </w:r>
          </w:p>
        </w:tc>
        <w:tc>
          <w:tcPr>
            <w:tcW w:w="2126" w:type="dxa"/>
          </w:tcPr>
          <w:p w:rsidR="00175F7D" w:rsidRPr="000B289A" w:rsidRDefault="00175F7D" w:rsidP="003E6FFE">
            <w:pPr>
              <w:rPr>
                <w:sz w:val="20"/>
                <w:szCs w:val="20"/>
              </w:rPr>
            </w:pPr>
            <w:r w:rsidRPr="000B289A">
              <w:rPr>
                <w:sz w:val="20"/>
                <w:szCs w:val="20"/>
              </w:rPr>
              <w:t>32 (15.0)</w:t>
            </w:r>
          </w:p>
        </w:tc>
        <w:tc>
          <w:tcPr>
            <w:tcW w:w="2544" w:type="dxa"/>
          </w:tcPr>
          <w:p w:rsidR="00175F7D" w:rsidRPr="000B289A" w:rsidRDefault="00175F7D" w:rsidP="003E6FFE">
            <w:pPr>
              <w:rPr>
                <w:sz w:val="20"/>
                <w:szCs w:val="20"/>
              </w:rPr>
            </w:pPr>
            <w:r w:rsidRPr="000B289A">
              <w:rPr>
                <w:sz w:val="20"/>
                <w:szCs w:val="20"/>
              </w:rPr>
              <w:t>14 (12.8)</w:t>
            </w:r>
          </w:p>
        </w:tc>
        <w:tc>
          <w:tcPr>
            <w:tcW w:w="2263" w:type="dxa"/>
          </w:tcPr>
          <w:p w:rsidR="00175F7D" w:rsidRPr="000B289A" w:rsidRDefault="00175F7D" w:rsidP="003E6FFE">
            <w:pPr>
              <w:rPr>
                <w:sz w:val="20"/>
                <w:szCs w:val="20"/>
              </w:rPr>
            </w:pPr>
            <w:r w:rsidRPr="000B289A">
              <w:rPr>
                <w:sz w:val="20"/>
                <w:szCs w:val="20"/>
              </w:rPr>
              <w:t>18 (17.1)</w:t>
            </w:r>
          </w:p>
        </w:tc>
      </w:tr>
      <w:tr w:rsidR="00175F7D" w:rsidRPr="000B289A" w:rsidTr="003E6FFE">
        <w:tc>
          <w:tcPr>
            <w:tcW w:w="2117" w:type="dxa"/>
          </w:tcPr>
          <w:p w:rsidR="00175F7D" w:rsidRPr="000B289A" w:rsidRDefault="00175F7D" w:rsidP="003E6FFE">
            <w:pPr>
              <w:rPr>
                <w:sz w:val="20"/>
                <w:szCs w:val="20"/>
              </w:rPr>
            </w:pPr>
            <w:r w:rsidRPr="000B289A">
              <w:rPr>
                <w:sz w:val="20"/>
                <w:szCs w:val="20"/>
              </w:rPr>
              <w:t>Discontinued</w:t>
            </w:r>
          </w:p>
        </w:tc>
        <w:tc>
          <w:tcPr>
            <w:tcW w:w="2126" w:type="dxa"/>
          </w:tcPr>
          <w:p w:rsidR="00175F7D" w:rsidRPr="000B289A" w:rsidRDefault="00175F7D" w:rsidP="003E6FFE">
            <w:pPr>
              <w:rPr>
                <w:sz w:val="20"/>
                <w:szCs w:val="20"/>
              </w:rPr>
            </w:pPr>
            <w:r w:rsidRPr="000B289A">
              <w:rPr>
                <w:sz w:val="20"/>
                <w:szCs w:val="20"/>
              </w:rPr>
              <w:t>182 (85.0)</w:t>
            </w:r>
          </w:p>
        </w:tc>
        <w:tc>
          <w:tcPr>
            <w:tcW w:w="2544" w:type="dxa"/>
          </w:tcPr>
          <w:p w:rsidR="00175F7D" w:rsidRPr="000B289A" w:rsidRDefault="00175F7D" w:rsidP="003E6FFE">
            <w:pPr>
              <w:rPr>
                <w:sz w:val="20"/>
                <w:szCs w:val="20"/>
              </w:rPr>
            </w:pPr>
            <w:r w:rsidRPr="000B289A">
              <w:rPr>
                <w:sz w:val="20"/>
                <w:szCs w:val="20"/>
              </w:rPr>
              <w:t>95 (87.2)</w:t>
            </w:r>
          </w:p>
        </w:tc>
        <w:tc>
          <w:tcPr>
            <w:tcW w:w="2263" w:type="dxa"/>
          </w:tcPr>
          <w:p w:rsidR="00175F7D" w:rsidRPr="000B289A" w:rsidRDefault="00175F7D" w:rsidP="003E6FFE">
            <w:pPr>
              <w:rPr>
                <w:sz w:val="20"/>
                <w:szCs w:val="20"/>
              </w:rPr>
            </w:pPr>
            <w:r w:rsidRPr="000B289A">
              <w:rPr>
                <w:sz w:val="20"/>
                <w:szCs w:val="20"/>
              </w:rPr>
              <w:t>87 (82.9)</w:t>
            </w:r>
          </w:p>
        </w:tc>
      </w:tr>
    </w:tbl>
    <w:p w:rsidR="009479F2" w:rsidRDefault="009479F2" w:rsidP="006B3061">
      <w:r>
        <w:lastRenderedPageBreak/>
        <w:t>Of the 214 subjects in this combined analysis</w:t>
      </w:r>
      <w:r w:rsidR="00DA0627">
        <w:t xml:space="preserve">, median age was 68.0 years (range 19 to </w:t>
      </w:r>
      <w:r>
        <w:t>100) with 63 (29.4%) aged &lt;</w:t>
      </w:r>
      <w:r w:rsidR="00DA0627">
        <w:t xml:space="preserve"> </w:t>
      </w:r>
      <w:r>
        <w:t xml:space="preserve">60 years and 51 (23.8%) aged ≥ 75 years. 109 (50.9%) were male, and 76.6% were white. 49 (22.9%) had </w:t>
      </w:r>
      <w:r w:rsidR="00D84D51">
        <w:t>an Eastern Cooperative Oncology Group (</w:t>
      </w:r>
      <w:r>
        <w:t>ECOG</w:t>
      </w:r>
      <w:r w:rsidR="00D84D51">
        <w:t>) performance status</w:t>
      </w:r>
      <w:r>
        <w:t xml:space="preserve"> </w:t>
      </w:r>
      <w:r w:rsidR="00D84D51">
        <w:t>(</w:t>
      </w:r>
      <w:r>
        <w:t>PS</w:t>
      </w:r>
      <w:r w:rsidR="00D84D51">
        <w:t>)</w:t>
      </w:r>
      <w:r>
        <w:t xml:space="preserve"> of 0 and 132 (61.7%) had </w:t>
      </w:r>
      <w:r w:rsidR="00D84D51">
        <w:t xml:space="preserve">an </w:t>
      </w:r>
      <w:r w:rsidR="00DA0627">
        <w:t xml:space="preserve">ECOG </w:t>
      </w:r>
      <w:r>
        <w:t>PS</w:t>
      </w:r>
      <w:r w:rsidR="00DA0627">
        <w:t xml:space="preserve"> of 1. </w:t>
      </w:r>
      <w:r>
        <w:t xml:space="preserve">Baseline transfusion history was collected retrospectively and calculated using the period of the 4 weeks prior to and 4 weeks after the first dose of </w:t>
      </w:r>
      <w:proofErr w:type="spellStart"/>
      <w:r>
        <w:t>enasidenib</w:t>
      </w:r>
      <w:proofErr w:type="spellEnd"/>
      <w:r>
        <w:t xml:space="preserve"> for </w:t>
      </w:r>
      <w:r w:rsidR="00DA0627">
        <w:t xml:space="preserve">Parts </w:t>
      </w:r>
      <w:r>
        <w:t xml:space="preserve">001DE and </w:t>
      </w:r>
      <w:r w:rsidR="00DA0627">
        <w:t>001</w:t>
      </w:r>
      <w:r>
        <w:t>Ex, and 8 weeks prior to the first dose for 001P2. Overall</w:t>
      </w:r>
      <w:r w:rsidR="00DA0627">
        <w:t>,</w:t>
      </w:r>
      <w:r>
        <w:t xml:space="preserve"> in the combined 001DE/Ex/P2 population, 71.5% of the R/R AML subjects were </w:t>
      </w:r>
      <w:r w:rsidR="00DA0627">
        <w:t>red blood cell (</w:t>
      </w:r>
      <w:r>
        <w:t>RBC</w:t>
      </w:r>
      <w:r w:rsidR="00DA0627">
        <w:t>)</w:t>
      </w:r>
      <w:r>
        <w:t xml:space="preserve"> transfusion dependent with a median of 3 transfus</w:t>
      </w:r>
      <w:r w:rsidR="00DA0627">
        <w:t xml:space="preserve">ions (range 1 to 23). </w:t>
      </w:r>
      <w:r>
        <w:t xml:space="preserve">61.7% were platelet transfusion dependent at </w:t>
      </w:r>
      <w:r w:rsidR="00D84D51">
        <w:t>B</w:t>
      </w:r>
      <w:r>
        <w:t>aseline</w:t>
      </w:r>
      <w:r w:rsidR="00DA0627">
        <w:t xml:space="preserve"> with a median of 4.5 (range 1 to 32). Note that </w:t>
      </w:r>
      <w:r>
        <w:t>transfusion status is of interest</w:t>
      </w:r>
      <w:r w:rsidR="00DA0627">
        <w:t>,</w:t>
      </w:r>
      <w:r>
        <w:t xml:space="preserve"> mainly as it is used as an argument for benefit </w:t>
      </w:r>
      <w:r w:rsidR="00DA0627">
        <w:t>of the drug in the results, that is,</w:t>
      </w:r>
      <w:r>
        <w:t xml:space="preserve"> a reduction in the number of subjects</w:t>
      </w:r>
      <w:r w:rsidR="00DA0627">
        <w:t xml:space="preserve"> who were transfusion</w:t>
      </w:r>
      <w:r w:rsidR="00BE33C1">
        <w:noBreakHyphen/>
      </w:r>
      <w:r w:rsidR="00DA0627">
        <w:t>dependent</w:t>
      </w:r>
      <w:r>
        <w:t xml:space="preserve">. The median number of prior anticancer therapies </w:t>
      </w:r>
      <w:r w:rsidR="00DA0627">
        <w:t>received by the combined Phase I/II</w:t>
      </w:r>
      <w:r>
        <w:t xml:space="preserve"> R/R AML population was 2.0 (range: 1.0 to 5.0). Most subjects received 1 (47.2</w:t>
      </w:r>
      <w:r w:rsidR="00DA0627">
        <w:t>%) or 2 (30.4%) prior regimens.</w:t>
      </w:r>
    </w:p>
    <w:p w:rsidR="009479F2" w:rsidRPr="004A74BA" w:rsidRDefault="009479F2" w:rsidP="006B3061">
      <w:pPr>
        <w:rPr>
          <w:vanish/>
          <w:u w:val="single" w:color="F8F8F8"/>
        </w:rPr>
      </w:pPr>
      <w:r>
        <w:t xml:space="preserve">The most common systemic therapies for AML received by subjects prior to entering this study were antimetabolites (98.6%), specifically, </w:t>
      </w:r>
      <w:proofErr w:type="spellStart"/>
      <w:r>
        <w:t>cytarabine</w:t>
      </w:r>
      <w:proofErr w:type="spellEnd"/>
      <w:r>
        <w:t xml:space="preserve"> (73.8%), </w:t>
      </w:r>
      <w:proofErr w:type="spellStart"/>
      <w:r>
        <w:t>azacitidine</w:t>
      </w:r>
      <w:proofErr w:type="spellEnd"/>
      <w:r>
        <w:t xml:space="preserve"> (29.0%) and </w:t>
      </w:r>
      <w:proofErr w:type="spellStart"/>
      <w:r>
        <w:t>decitabine</w:t>
      </w:r>
      <w:proofErr w:type="spellEnd"/>
      <w:r>
        <w:t xml:space="preserve"> (27.1%), and cytotoxic antibiotics and related substances (68.7%), specifically, </w:t>
      </w:r>
      <w:proofErr w:type="spellStart"/>
      <w:r>
        <w:t>idarubicin</w:t>
      </w:r>
      <w:proofErr w:type="spellEnd"/>
      <w:r>
        <w:t xml:space="preserve"> (36.4%) and </w:t>
      </w:r>
      <w:proofErr w:type="spellStart"/>
      <w:r>
        <w:t>daunorubicin</w:t>
      </w:r>
      <w:proofErr w:type="spellEnd"/>
      <w:r>
        <w:t xml:space="preserve"> (31.3</w:t>
      </w:r>
      <w:r w:rsidR="00DA0627">
        <w:rPr>
          <w:u w:val="single" w:color="F8F8F8"/>
        </w:rPr>
        <w:t>%).</w:t>
      </w:r>
    </w:p>
    <w:p w:rsidR="009479F2" w:rsidRDefault="009479F2" w:rsidP="006B3061">
      <w:pPr>
        <w:rPr>
          <w:u w:color="F8F8F8"/>
        </w:rPr>
      </w:pPr>
      <w:r w:rsidRPr="003A6CDF">
        <w:rPr>
          <w:u w:color="F8F8F8"/>
        </w:rPr>
        <w:t xml:space="preserve">The key efficacy results in terms of ORR and both the ORR definition of this trial and the </w:t>
      </w:r>
      <w:r w:rsidR="00DA0627">
        <w:rPr>
          <w:u w:color="F8F8F8"/>
        </w:rPr>
        <w:t xml:space="preserve">more typical definition of </w:t>
      </w:r>
      <w:proofErr w:type="spellStart"/>
      <w:r w:rsidR="00DA0627">
        <w:rPr>
          <w:u w:color="F8F8F8"/>
        </w:rPr>
        <w:t>CR+CR</w:t>
      </w:r>
      <w:r w:rsidRPr="003A6CDF">
        <w:rPr>
          <w:u w:color="F8F8F8"/>
        </w:rPr>
        <w:t>i</w:t>
      </w:r>
      <w:proofErr w:type="spellEnd"/>
      <w:r w:rsidRPr="003A6CDF">
        <w:rPr>
          <w:u w:color="F8F8F8"/>
        </w:rPr>
        <w:t>/</w:t>
      </w:r>
      <w:r w:rsidR="00DA0627">
        <w:t>complete remission with incomplete platelet recovery</w:t>
      </w:r>
      <w:r w:rsidR="00DA0627" w:rsidRPr="003A6CDF">
        <w:rPr>
          <w:u w:color="F8F8F8"/>
        </w:rPr>
        <w:t xml:space="preserve"> </w:t>
      </w:r>
      <w:r w:rsidR="00DA0627">
        <w:rPr>
          <w:u w:color="F8F8F8"/>
        </w:rPr>
        <w:t>(</w:t>
      </w:r>
      <w:proofErr w:type="spellStart"/>
      <w:r w:rsidRPr="003A6CDF">
        <w:rPr>
          <w:u w:color="F8F8F8"/>
        </w:rPr>
        <w:t>CRp</w:t>
      </w:r>
      <w:proofErr w:type="spellEnd"/>
      <w:r w:rsidR="00DA0627">
        <w:rPr>
          <w:u w:color="F8F8F8"/>
        </w:rPr>
        <w:t>)</w:t>
      </w:r>
      <w:r w:rsidR="006B3061">
        <w:rPr>
          <w:u w:color="F8F8F8"/>
        </w:rPr>
        <w:t xml:space="preserve">, are given as follows in </w:t>
      </w:r>
      <w:r w:rsidR="006B3061">
        <w:rPr>
          <w:u w:color="F8F8F8"/>
        </w:rPr>
        <w:fldChar w:fldCharType="begin"/>
      </w:r>
      <w:r w:rsidR="006B3061">
        <w:rPr>
          <w:u w:color="F8F8F8"/>
        </w:rPr>
        <w:instrText xml:space="preserve"> REF _Ref36156911 \h </w:instrText>
      </w:r>
      <w:r w:rsidR="006B3061">
        <w:rPr>
          <w:u w:color="F8F8F8"/>
        </w:rPr>
      </w:r>
      <w:r w:rsidR="006B3061">
        <w:rPr>
          <w:u w:color="F8F8F8"/>
        </w:rPr>
        <w:fldChar w:fldCharType="separate"/>
      </w:r>
      <w:r w:rsidR="006B3061">
        <w:t xml:space="preserve">Table </w:t>
      </w:r>
      <w:r w:rsidR="006B3061">
        <w:rPr>
          <w:noProof/>
        </w:rPr>
        <w:t>7</w:t>
      </w:r>
      <w:r w:rsidR="006B3061">
        <w:rPr>
          <w:u w:color="F8F8F8"/>
        </w:rPr>
        <w:fldChar w:fldCharType="end"/>
      </w:r>
      <w:r w:rsidR="006B3061">
        <w:rPr>
          <w:u w:color="F8F8F8"/>
        </w:rPr>
        <w:t>.</w:t>
      </w:r>
    </w:p>
    <w:p w:rsidR="006B3061" w:rsidRPr="004A74BA" w:rsidRDefault="006B3061" w:rsidP="006B3061">
      <w:pPr>
        <w:pStyle w:val="TableTitle"/>
        <w:rPr>
          <w:u w:color="F8F8F8"/>
        </w:rPr>
      </w:pPr>
      <w:bookmarkStart w:id="50" w:name="_Ref36156911"/>
      <w:r>
        <w:lastRenderedPageBreak/>
        <w:t xml:space="preserve">Table </w:t>
      </w:r>
      <w:r w:rsidR="00735356">
        <w:fldChar w:fldCharType="begin"/>
      </w:r>
      <w:r w:rsidR="00735356">
        <w:instrText xml:space="preserve"> SEQ Table \* ARABIC </w:instrText>
      </w:r>
      <w:r w:rsidR="00735356">
        <w:fldChar w:fldCharType="separate"/>
      </w:r>
      <w:r w:rsidR="009B6128">
        <w:rPr>
          <w:noProof/>
        </w:rPr>
        <w:t>7</w:t>
      </w:r>
      <w:r w:rsidR="00735356">
        <w:rPr>
          <w:noProof/>
        </w:rPr>
        <w:fldChar w:fldCharType="end"/>
      </w:r>
      <w:bookmarkEnd w:id="50"/>
      <w:r>
        <w:t xml:space="preserve">: </w:t>
      </w:r>
      <w:r w:rsidRPr="00D71A62">
        <w:t>Key eff</w:t>
      </w:r>
      <w:r>
        <w:t>icacy results for the combined Study AG-221-C-001</w:t>
      </w:r>
      <w:r w:rsidR="009353A1">
        <w:t xml:space="preserve"> </w:t>
      </w:r>
      <w:r w:rsidR="00E93D0B">
        <w:t>(</w:t>
      </w:r>
      <w:r>
        <w:t>Parts</w:t>
      </w:r>
      <w:r w:rsidR="00E93D0B">
        <w:t> </w:t>
      </w:r>
      <w:r>
        <w:t>001DE</w:t>
      </w:r>
      <w:r w:rsidR="00E93D0B">
        <w:t xml:space="preserve">, </w:t>
      </w:r>
      <w:r>
        <w:t>Ex</w:t>
      </w:r>
      <w:r w:rsidR="00E93D0B">
        <w:t>, and</w:t>
      </w:r>
      <w:r w:rsidR="00DC5B6B">
        <w:t xml:space="preserve"> </w:t>
      </w:r>
      <w:r>
        <w:t>P2</w:t>
      </w:r>
      <w:r w:rsidR="00E93D0B">
        <w:t>)</w:t>
      </w:r>
      <w:r>
        <w:t xml:space="preserve"> </w:t>
      </w:r>
      <w:r w:rsidRPr="00D71A62">
        <w:t>by total daily dose of 100 mg</w:t>
      </w:r>
    </w:p>
    <w:p w:rsidR="006B3061" w:rsidRDefault="006B3061" w:rsidP="006B3061">
      <w:pPr>
        <w:rPr>
          <w:u w:color="F8F8F8"/>
        </w:rPr>
      </w:pPr>
      <w:r>
        <w:rPr>
          <w:noProof/>
          <w:lang w:eastAsia="en-AU"/>
        </w:rPr>
        <w:drawing>
          <wp:inline distT="0" distB="0" distL="0" distR="0">
            <wp:extent cx="4484370" cy="6661785"/>
            <wp:effectExtent l="0" t="0" r="0" b="5715"/>
            <wp:docPr id="3" name="Picture 3" descr="Key efficacy results for the combined Study AG-221-C-001Parts 001DE/Ex/P2 by total daily dose of 100 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484370" cy="6661785"/>
                    </a:xfrm>
                    <a:prstGeom prst="rect">
                      <a:avLst/>
                    </a:prstGeom>
                  </pic:spPr>
                </pic:pic>
              </a:graphicData>
            </a:graphic>
          </wp:inline>
        </w:drawing>
      </w:r>
    </w:p>
    <w:p w:rsidR="006B3061" w:rsidRDefault="006B3061" w:rsidP="006B3061">
      <w:pPr>
        <w:pStyle w:val="TableDescription"/>
        <w:rPr>
          <w:u w:color="F8F8F8"/>
        </w:rPr>
      </w:pPr>
      <w:r w:rsidRPr="006B3061">
        <w:rPr>
          <w:u w:color="F8F8F8"/>
        </w:rPr>
        <w:t>IRAC = Independent Re</w:t>
      </w:r>
      <w:r>
        <w:rPr>
          <w:u w:color="F8F8F8"/>
        </w:rPr>
        <w:t xml:space="preserve">sponse Adjudication Committee. KM = Kaplan Meier. </w:t>
      </w:r>
      <w:r w:rsidRPr="006B3061">
        <w:rPr>
          <w:u w:color="F8F8F8"/>
        </w:rPr>
        <w:t>Response was evaluated by the Investigator according to the 200</w:t>
      </w:r>
      <w:r>
        <w:rPr>
          <w:u w:color="F8F8F8"/>
        </w:rPr>
        <w:t>3 revised IWG criteria for AML.</w:t>
      </w:r>
      <w:r>
        <w:rPr>
          <w:u w:color="F8F8F8"/>
        </w:rPr>
        <w:fldChar w:fldCharType="begin"/>
      </w:r>
      <w:r>
        <w:rPr>
          <w:u w:color="F8F8F8"/>
        </w:rPr>
        <w:instrText xml:space="preserve"> NOTEREF _Ref36157275 \f \h </w:instrText>
      </w:r>
      <w:r>
        <w:rPr>
          <w:u w:color="F8F8F8"/>
        </w:rPr>
      </w:r>
      <w:r>
        <w:rPr>
          <w:u w:color="F8F8F8"/>
        </w:rPr>
        <w:fldChar w:fldCharType="separate"/>
      </w:r>
      <w:r w:rsidRPr="006B3061">
        <w:rPr>
          <w:rStyle w:val="FootnoteReference"/>
        </w:rPr>
        <w:t>5</w:t>
      </w:r>
      <w:r>
        <w:rPr>
          <w:u w:color="F8F8F8"/>
        </w:rPr>
        <w:fldChar w:fldCharType="end"/>
      </w:r>
      <w:r>
        <w:rPr>
          <w:u w:color="F8F8F8"/>
        </w:rPr>
        <w:t xml:space="preserve"> </w:t>
      </w:r>
      <w:r w:rsidRPr="006B3061">
        <w:rPr>
          <w:u w:color="F8F8F8"/>
        </w:rPr>
        <w:t>a Percentages are based on the number of subj</w:t>
      </w:r>
      <w:r>
        <w:rPr>
          <w:u w:color="F8F8F8"/>
        </w:rPr>
        <w:t xml:space="preserve">ects in each group. </w:t>
      </w:r>
      <w:r w:rsidRPr="006B3061">
        <w:rPr>
          <w:u w:color="F8F8F8"/>
        </w:rPr>
        <w:t>b</w:t>
      </w:r>
      <w:r>
        <w:rPr>
          <w:u w:color="F8F8F8"/>
        </w:rPr>
        <w:t xml:space="preserve"> 2-sided Exact Binomial 95% CI. </w:t>
      </w:r>
      <w:r w:rsidRPr="006B3061">
        <w:rPr>
          <w:u w:color="F8F8F8"/>
        </w:rPr>
        <w:t xml:space="preserve">c Duration of response is calculated as the date of the first documented response to the date of </w:t>
      </w:r>
      <w:r>
        <w:rPr>
          <w:u w:color="F8F8F8"/>
        </w:rPr>
        <w:t xml:space="preserve">the first documented disease </w:t>
      </w:r>
      <w:r w:rsidRPr="006B3061">
        <w:rPr>
          <w:u w:color="F8F8F8"/>
        </w:rPr>
        <w:t>relapse, progression or death due to any cause, whichever occurs first. Percentile was estim</w:t>
      </w:r>
      <w:r>
        <w:rPr>
          <w:u w:color="F8F8F8"/>
        </w:rPr>
        <w:t xml:space="preserve">ated using Kaplan-Meier method. </w:t>
      </w:r>
      <w:r w:rsidRPr="006B3061">
        <w:rPr>
          <w:u w:color="F8F8F8"/>
        </w:rPr>
        <w:t xml:space="preserve">d Subjects alive were censored at the last date known to be alive or a pre-specified data </w:t>
      </w:r>
      <w:proofErr w:type="spellStart"/>
      <w:r w:rsidRPr="006B3061">
        <w:rPr>
          <w:u w:color="F8F8F8"/>
        </w:rPr>
        <w:t>cut</w:t>
      </w:r>
      <w:r>
        <w:rPr>
          <w:u w:color="F8F8F8"/>
        </w:rPr>
        <w:t xml:space="preserve"> </w:t>
      </w:r>
      <w:r w:rsidRPr="006B3061">
        <w:rPr>
          <w:u w:color="F8F8F8"/>
        </w:rPr>
        <w:t>off</w:t>
      </w:r>
      <w:proofErr w:type="spellEnd"/>
      <w:r w:rsidRPr="006B3061">
        <w:rPr>
          <w:u w:color="F8F8F8"/>
        </w:rPr>
        <w:t xml:space="preserve"> date. </w:t>
      </w:r>
      <w:r>
        <w:rPr>
          <w:u w:color="F8F8F8"/>
        </w:rPr>
        <w:t xml:space="preserve">Subjects who only had a </w:t>
      </w:r>
      <w:r w:rsidRPr="006B3061">
        <w:rPr>
          <w:u w:color="F8F8F8"/>
        </w:rPr>
        <w:t>baseline record were c</w:t>
      </w:r>
      <w:r>
        <w:rPr>
          <w:u w:color="F8F8F8"/>
        </w:rPr>
        <w:t xml:space="preserve">ensored at the first dose date. </w:t>
      </w:r>
      <w:r w:rsidR="00B401D9">
        <w:rPr>
          <w:u w:color="F8F8F8"/>
        </w:rPr>
        <w:t>e Overall s</w:t>
      </w:r>
      <w:r w:rsidRPr="006B3061">
        <w:rPr>
          <w:u w:color="F8F8F8"/>
        </w:rPr>
        <w:t xml:space="preserve">urvival was calculated as the time from the first dose to the date of death due to any </w:t>
      </w:r>
      <w:r>
        <w:rPr>
          <w:u w:color="F8F8F8"/>
        </w:rPr>
        <w:t xml:space="preserve">cause. Percentile was estimated </w:t>
      </w:r>
      <w:r w:rsidRPr="006B3061">
        <w:rPr>
          <w:u w:color="F8F8F8"/>
        </w:rPr>
        <w:t>using Kaplan-Meier method.</w:t>
      </w:r>
      <w:r>
        <w:rPr>
          <w:u w:color="F8F8F8"/>
        </w:rPr>
        <w:t xml:space="preserve"> Data </w:t>
      </w:r>
      <w:proofErr w:type="spellStart"/>
      <w:r>
        <w:rPr>
          <w:u w:color="F8F8F8"/>
        </w:rPr>
        <w:t>cut</w:t>
      </w:r>
      <w:r w:rsidR="00B401D9">
        <w:rPr>
          <w:u w:color="F8F8F8"/>
        </w:rPr>
        <w:t xml:space="preserve"> </w:t>
      </w:r>
      <w:r>
        <w:rPr>
          <w:u w:color="F8F8F8"/>
        </w:rPr>
        <w:t>off</w:t>
      </w:r>
      <w:proofErr w:type="spellEnd"/>
      <w:r>
        <w:rPr>
          <w:u w:color="F8F8F8"/>
        </w:rPr>
        <w:t xml:space="preserve"> date: </w:t>
      </w:r>
      <w:r w:rsidRPr="006B3061">
        <w:rPr>
          <w:u w:color="F8F8F8"/>
        </w:rPr>
        <w:t>1 Sep</w:t>
      </w:r>
      <w:r>
        <w:rPr>
          <w:u w:color="F8F8F8"/>
        </w:rPr>
        <w:t>tember</w:t>
      </w:r>
      <w:r w:rsidRPr="006B3061">
        <w:rPr>
          <w:u w:color="F8F8F8"/>
        </w:rPr>
        <w:t xml:space="preserve"> 2017.</w:t>
      </w:r>
    </w:p>
    <w:p w:rsidR="009479F2" w:rsidRPr="003A6CDF" w:rsidRDefault="009479F2" w:rsidP="006B3061">
      <w:pPr>
        <w:rPr>
          <w:u w:color="F8F8F8"/>
        </w:rPr>
      </w:pPr>
      <w:r w:rsidRPr="003A6CDF">
        <w:rPr>
          <w:u w:color="F8F8F8"/>
        </w:rPr>
        <w:lastRenderedPageBreak/>
        <w:t>Hence</w:t>
      </w:r>
      <w:r w:rsidR="0068794A">
        <w:rPr>
          <w:u w:color="F8F8F8"/>
        </w:rPr>
        <w:t>,</w:t>
      </w:r>
      <w:r w:rsidRPr="003A6CDF">
        <w:rPr>
          <w:u w:color="F8F8F8"/>
        </w:rPr>
        <w:t xml:space="preserve"> </w:t>
      </w:r>
      <w:r w:rsidR="00B401D9">
        <w:rPr>
          <w:u w:color="F8F8F8"/>
        </w:rPr>
        <w:t xml:space="preserve">the </w:t>
      </w:r>
      <w:r w:rsidRPr="003A6CDF">
        <w:rPr>
          <w:u w:color="F8F8F8"/>
        </w:rPr>
        <w:t>ORR</w:t>
      </w:r>
      <w:r w:rsidR="0068794A">
        <w:rPr>
          <w:u w:color="F8F8F8"/>
        </w:rPr>
        <w:t>,</w:t>
      </w:r>
      <w:r w:rsidRPr="003A6CDF">
        <w:rPr>
          <w:u w:color="F8F8F8"/>
        </w:rPr>
        <w:t xml:space="preserve"> as defined</w:t>
      </w:r>
      <w:r w:rsidR="0068794A">
        <w:rPr>
          <w:u w:color="F8F8F8"/>
        </w:rPr>
        <w:t>,</w:t>
      </w:r>
      <w:r w:rsidR="00B401D9">
        <w:rPr>
          <w:u w:color="F8F8F8"/>
        </w:rPr>
        <w:t xml:space="preserve"> was in the high 30%. I</w:t>
      </w:r>
      <w:r w:rsidRPr="003A6CDF">
        <w:rPr>
          <w:u w:color="F8F8F8"/>
        </w:rPr>
        <w:t>n the case of investig</w:t>
      </w:r>
      <w:r w:rsidR="0068794A">
        <w:rPr>
          <w:u w:color="F8F8F8"/>
        </w:rPr>
        <w:t xml:space="preserve">ator assessed, it was 38.8% (83 out of </w:t>
      </w:r>
      <w:r w:rsidRPr="003A6CDF">
        <w:rPr>
          <w:u w:color="F8F8F8"/>
        </w:rPr>
        <w:t xml:space="preserve">214). A </w:t>
      </w:r>
      <w:r w:rsidR="0068794A">
        <w:rPr>
          <w:u w:color="F8F8F8"/>
        </w:rPr>
        <w:t>CR</w:t>
      </w:r>
      <w:r w:rsidRPr="003A6CDF">
        <w:rPr>
          <w:u w:color="F8F8F8"/>
        </w:rPr>
        <w:t xml:space="preserve"> occurred in around 1 in 5 subjects. Overall</w:t>
      </w:r>
      <w:r w:rsidR="0068794A">
        <w:rPr>
          <w:u w:color="F8F8F8"/>
        </w:rPr>
        <w:t>,</w:t>
      </w:r>
      <w:r w:rsidRPr="003A6CDF">
        <w:rPr>
          <w:u w:color="F8F8F8"/>
        </w:rPr>
        <w:t xml:space="preserve"> survival is given as a median of 8.8 months (95% CI 7.7., 9.6).</w:t>
      </w:r>
    </w:p>
    <w:p w:rsidR="009479F2" w:rsidRPr="004A74BA" w:rsidRDefault="009479F2" w:rsidP="006B3061">
      <w:pPr>
        <w:rPr>
          <w:u w:color="F8F8F8"/>
        </w:rPr>
      </w:pPr>
      <w:r w:rsidRPr="003A6CDF">
        <w:rPr>
          <w:u w:color="F8F8F8"/>
        </w:rPr>
        <w:t xml:space="preserve">Treatment </w:t>
      </w:r>
      <w:r w:rsidR="0068794A">
        <w:rPr>
          <w:u w:color="F8F8F8"/>
        </w:rPr>
        <w:t xml:space="preserve">was a median of 4.6 months, that is, just under 5 cycles (range 1.0 to 38.0). </w:t>
      </w:r>
      <w:r w:rsidRPr="003A6CDF">
        <w:rPr>
          <w:u w:color="F8F8F8"/>
        </w:rPr>
        <w:t>Interestingly, time to first response was a median of 1.9 months and time to best response a median of 3.7 months, suggesting 2 cycles of treatment are needed prior to knowing whether or</w:t>
      </w:r>
      <w:r w:rsidR="0068794A">
        <w:rPr>
          <w:u w:color="F8F8F8"/>
        </w:rPr>
        <w:t xml:space="preserve"> not the patient will respond.</w:t>
      </w:r>
    </w:p>
    <w:p w:rsidR="009479F2" w:rsidRDefault="009479F2" w:rsidP="006B3061">
      <w:r>
        <w:t>Of 153 patients who</w:t>
      </w:r>
      <w:r w:rsidR="0068794A">
        <w:t xml:space="preserve"> were transfusion dependent at B</w:t>
      </w:r>
      <w:r>
        <w:t>aseline, 66</w:t>
      </w:r>
      <w:r w:rsidR="0068794A">
        <w:t xml:space="preserve"> (</w:t>
      </w:r>
      <w:r>
        <w:t>43.1%</w:t>
      </w:r>
      <w:r w:rsidR="0068794A">
        <w:t>)</w:t>
      </w:r>
      <w:r>
        <w:t xml:space="preserve"> became transfusion independent with treatment, and 65.5% of those transfusion independent at baseline maintained this status during an</w:t>
      </w:r>
      <w:r w:rsidR="0068794A">
        <w:t>y 56 day post-baseline period.</w:t>
      </w:r>
    </w:p>
    <w:p w:rsidR="009479F2" w:rsidRPr="004A74BA" w:rsidRDefault="009479F2" w:rsidP="004A74BA">
      <w:r>
        <w:t>It appears that those with the R140 mutation showed so</w:t>
      </w:r>
      <w:r w:rsidR="0068794A">
        <w:t>me correlation with decreased 2</w:t>
      </w:r>
      <w:r w:rsidR="0068794A">
        <w:noBreakHyphen/>
      </w:r>
      <w:r>
        <w:t>HG concentration levels on treatment, but those with the R172 mutation were equivocal. As the evaluator concluded, nothing can be specifically claimed with regard to disease response and correlation with concentrations of 2-HG which is surprising given the described mechanism of action. Perhaps other paths are</w:t>
      </w:r>
      <w:r w:rsidR="0068794A">
        <w:t xml:space="preserve"> at play as well.</w:t>
      </w:r>
    </w:p>
    <w:p w:rsidR="009479F2" w:rsidRDefault="009479F2" w:rsidP="00C70808">
      <w:pPr>
        <w:pStyle w:val="Heading5"/>
      </w:pPr>
      <w:r>
        <w:t>Historical data</w:t>
      </w:r>
    </w:p>
    <w:p w:rsidR="009479F2" w:rsidRDefault="009479F2" w:rsidP="004A74BA">
      <w:r>
        <w:t xml:space="preserve">A report derived from European registries provided some historical data on those in comparable groups of patients who were not treated with </w:t>
      </w:r>
      <w:proofErr w:type="spellStart"/>
      <w:r>
        <w:t>enasid</w:t>
      </w:r>
      <w:r w:rsidR="004A74BA">
        <w:t>enib</w:t>
      </w:r>
      <w:proofErr w:type="spellEnd"/>
      <w:r w:rsidR="004A74BA">
        <w:t>. Compared information was:</w:t>
      </w:r>
    </w:p>
    <w:p w:rsidR="009479F2" w:rsidRDefault="009479F2" w:rsidP="004A74BA">
      <w:pPr>
        <w:pStyle w:val="ListBullet"/>
      </w:pPr>
      <w:r>
        <w:t>IDH2 mutation status of R/R AML patients,</w:t>
      </w:r>
    </w:p>
    <w:p w:rsidR="009479F2" w:rsidRDefault="009479F2" w:rsidP="004A74BA">
      <w:pPr>
        <w:pStyle w:val="ListBullet"/>
      </w:pPr>
      <w:r>
        <w:t xml:space="preserve">Patient characteristics aligned as much as possible with </w:t>
      </w:r>
      <w:r w:rsidR="009353A1">
        <w:t xml:space="preserve">Study AG-221-C-001 </w:t>
      </w:r>
      <w:r>
        <w:t>inclusion criteria,</w:t>
      </w:r>
    </w:p>
    <w:p w:rsidR="009479F2" w:rsidRDefault="009479F2" w:rsidP="004A74BA">
      <w:pPr>
        <w:pStyle w:val="ListBullet"/>
      </w:pPr>
      <w:r>
        <w:t>Prognostic factors known to have an</w:t>
      </w:r>
      <w:r w:rsidR="0068794A">
        <w:t xml:space="preserve"> impact on overall survival, for example</w:t>
      </w:r>
      <w:r>
        <w:t>, age, n</w:t>
      </w:r>
      <w:r w:rsidR="0068794A">
        <w:t>umber of prior AML therapies et cetera</w:t>
      </w:r>
      <w:r w:rsidR="009353A1">
        <w:t>,</w:t>
      </w:r>
    </w:p>
    <w:p w:rsidR="009479F2" w:rsidRDefault="009479F2" w:rsidP="004A74BA">
      <w:pPr>
        <w:pStyle w:val="ListBullet"/>
      </w:pPr>
      <w:r>
        <w:t>Other baseline characteristics that may help to describe the considered populations (sex and cytogenetic characteristics).</w:t>
      </w:r>
    </w:p>
    <w:p w:rsidR="009479F2" w:rsidRPr="009353A1" w:rsidRDefault="009479F2" w:rsidP="004A74BA">
      <w:r w:rsidRPr="009353A1">
        <w:t>The baseline for historical data was considered to be the date of last</w:t>
      </w:r>
      <w:r w:rsidR="004A74BA" w:rsidRPr="009353A1">
        <w:t xml:space="preserve"> relapse or refractory disease.</w:t>
      </w:r>
    </w:p>
    <w:p w:rsidR="009479F2" w:rsidRDefault="009479F2" w:rsidP="004A74BA">
      <w:r w:rsidRPr="009353A1">
        <w:t>Data for the Austrian AML Stu</w:t>
      </w:r>
      <w:r w:rsidR="004A74BA" w:rsidRPr="009353A1">
        <w:t xml:space="preserve">dy Group </w:t>
      </w:r>
      <w:r w:rsidR="009353A1">
        <w:t xml:space="preserve">(AMLSG) </w:t>
      </w:r>
      <w:r w:rsidR="00AF78AE">
        <w:t xml:space="preserve">cohort was as follows in </w:t>
      </w:r>
      <w:r w:rsidR="00AF78AE">
        <w:fldChar w:fldCharType="begin"/>
      </w:r>
      <w:r w:rsidR="00AF78AE">
        <w:instrText xml:space="preserve"> REF _Ref36191781 \h </w:instrText>
      </w:r>
      <w:r w:rsidR="00AF78AE">
        <w:fldChar w:fldCharType="separate"/>
      </w:r>
      <w:r w:rsidR="00AF78AE">
        <w:t xml:space="preserve">Table </w:t>
      </w:r>
      <w:r w:rsidR="00AF78AE">
        <w:rPr>
          <w:noProof/>
        </w:rPr>
        <w:t>8</w:t>
      </w:r>
      <w:r w:rsidR="00AF78AE">
        <w:fldChar w:fldCharType="end"/>
      </w:r>
      <w:r w:rsidR="00AF78AE">
        <w:t>.</w:t>
      </w:r>
    </w:p>
    <w:p w:rsidR="009353A1" w:rsidRDefault="009353A1" w:rsidP="009353A1">
      <w:pPr>
        <w:pStyle w:val="TableTitle"/>
      </w:pPr>
      <w:bookmarkStart w:id="51" w:name="_Ref36191781"/>
      <w:r>
        <w:t xml:space="preserve">Table </w:t>
      </w:r>
      <w:r w:rsidR="00735356">
        <w:fldChar w:fldCharType="begin"/>
      </w:r>
      <w:r w:rsidR="00735356">
        <w:instrText xml:space="preserve"> SEQ Table \* ARABIC </w:instrText>
      </w:r>
      <w:r w:rsidR="00735356">
        <w:fldChar w:fldCharType="separate"/>
      </w:r>
      <w:r w:rsidR="00B401D9">
        <w:rPr>
          <w:noProof/>
        </w:rPr>
        <w:t>8</w:t>
      </w:r>
      <w:r w:rsidR="00735356">
        <w:rPr>
          <w:noProof/>
        </w:rPr>
        <w:fldChar w:fldCharType="end"/>
      </w:r>
      <w:bookmarkEnd w:id="51"/>
      <w:r>
        <w:t>: Overall s</w:t>
      </w:r>
      <w:r w:rsidRPr="009353A1">
        <w:t xml:space="preserve">urvival Kaplan Meier analyses of the Austrian </w:t>
      </w:r>
      <w:r>
        <w:t>Acute Myeloid Leuk</w:t>
      </w:r>
      <w:r w:rsidR="00E93D0B">
        <w:t>a</w:t>
      </w:r>
      <w:r>
        <w:t>emia</w:t>
      </w:r>
      <w:r w:rsidRPr="009353A1">
        <w:t xml:space="preserve"> Study Group cohort and </w:t>
      </w:r>
      <w:r>
        <w:t>Study AG-221-C-001</w:t>
      </w:r>
    </w:p>
    <w:tbl>
      <w:tblPr>
        <w:tblStyle w:val="TableTGAblue"/>
        <w:tblW w:w="0" w:type="auto"/>
        <w:tblLook w:val="04A0" w:firstRow="1" w:lastRow="0" w:firstColumn="1" w:lastColumn="0" w:noHBand="0" w:noVBand="1"/>
      </w:tblPr>
      <w:tblGrid>
        <w:gridCol w:w="2180"/>
        <w:gridCol w:w="2180"/>
        <w:gridCol w:w="2180"/>
        <w:gridCol w:w="2180"/>
      </w:tblGrid>
      <w:tr w:rsidR="009353A1" w:rsidRPr="00175F7D" w:rsidTr="009353A1">
        <w:trPr>
          <w:cnfStyle w:val="100000000000" w:firstRow="1" w:lastRow="0" w:firstColumn="0" w:lastColumn="0" w:oddVBand="0" w:evenVBand="0" w:oddHBand="0" w:evenHBand="0" w:firstRowFirstColumn="0" w:firstRowLastColumn="0" w:lastRowFirstColumn="0" w:lastRowLastColumn="0"/>
        </w:trPr>
        <w:tc>
          <w:tcPr>
            <w:tcW w:w="2180" w:type="dxa"/>
          </w:tcPr>
          <w:p w:rsidR="009353A1" w:rsidRPr="00175F7D" w:rsidRDefault="009353A1" w:rsidP="00175F7D">
            <w:pPr>
              <w:rPr>
                <w:b w:val="0"/>
                <w:sz w:val="20"/>
                <w:szCs w:val="20"/>
              </w:rPr>
            </w:pPr>
            <w:r w:rsidRPr="00175F7D">
              <w:rPr>
                <w:sz w:val="20"/>
                <w:szCs w:val="20"/>
              </w:rPr>
              <w:t>Parameter</w:t>
            </w:r>
          </w:p>
        </w:tc>
        <w:tc>
          <w:tcPr>
            <w:tcW w:w="2180" w:type="dxa"/>
          </w:tcPr>
          <w:p w:rsidR="009353A1" w:rsidRPr="00175F7D" w:rsidRDefault="009353A1" w:rsidP="00175F7D">
            <w:pPr>
              <w:rPr>
                <w:b w:val="0"/>
                <w:sz w:val="20"/>
                <w:szCs w:val="20"/>
              </w:rPr>
            </w:pPr>
            <w:r w:rsidRPr="00175F7D">
              <w:rPr>
                <w:sz w:val="20"/>
                <w:szCs w:val="20"/>
              </w:rPr>
              <w:t>AMLSG (N = 207)</w:t>
            </w:r>
          </w:p>
        </w:tc>
        <w:tc>
          <w:tcPr>
            <w:tcW w:w="2180" w:type="dxa"/>
          </w:tcPr>
          <w:p w:rsidR="009353A1" w:rsidRPr="00175F7D" w:rsidRDefault="009353A1" w:rsidP="00175F7D">
            <w:pPr>
              <w:rPr>
                <w:b w:val="0"/>
                <w:sz w:val="20"/>
                <w:szCs w:val="20"/>
              </w:rPr>
            </w:pPr>
            <w:r w:rsidRPr="00175F7D">
              <w:rPr>
                <w:sz w:val="20"/>
                <w:szCs w:val="20"/>
              </w:rPr>
              <w:t>Unadjusted</w:t>
            </w:r>
          </w:p>
          <w:p w:rsidR="009353A1" w:rsidRPr="00175F7D" w:rsidRDefault="00AF78AE" w:rsidP="00175F7D">
            <w:pPr>
              <w:rPr>
                <w:b w:val="0"/>
                <w:sz w:val="20"/>
                <w:szCs w:val="20"/>
              </w:rPr>
            </w:pPr>
            <w:r w:rsidRPr="00175F7D">
              <w:rPr>
                <w:sz w:val="20"/>
                <w:szCs w:val="20"/>
              </w:rPr>
              <w:t xml:space="preserve">Study AG-221-C-001 </w:t>
            </w:r>
            <w:r w:rsidR="009353A1" w:rsidRPr="00175F7D">
              <w:rPr>
                <w:sz w:val="20"/>
                <w:szCs w:val="20"/>
              </w:rPr>
              <w:t>(N = 214)</w:t>
            </w:r>
          </w:p>
        </w:tc>
        <w:tc>
          <w:tcPr>
            <w:tcW w:w="2180" w:type="dxa"/>
          </w:tcPr>
          <w:p w:rsidR="009353A1" w:rsidRPr="00175F7D" w:rsidRDefault="009353A1" w:rsidP="00175F7D">
            <w:pPr>
              <w:rPr>
                <w:b w:val="0"/>
                <w:sz w:val="20"/>
                <w:szCs w:val="20"/>
              </w:rPr>
            </w:pPr>
            <w:r w:rsidRPr="00175F7D">
              <w:rPr>
                <w:sz w:val="20"/>
                <w:szCs w:val="20"/>
              </w:rPr>
              <w:t>Adjusted</w:t>
            </w:r>
          </w:p>
          <w:p w:rsidR="009353A1" w:rsidRPr="00175F7D" w:rsidRDefault="00AF78AE" w:rsidP="00175F7D">
            <w:pPr>
              <w:rPr>
                <w:b w:val="0"/>
                <w:sz w:val="20"/>
                <w:szCs w:val="20"/>
              </w:rPr>
            </w:pPr>
            <w:r w:rsidRPr="00175F7D">
              <w:rPr>
                <w:sz w:val="20"/>
                <w:szCs w:val="20"/>
              </w:rPr>
              <w:t xml:space="preserve">Study AG-221-C-001 </w:t>
            </w:r>
            <w:r w:rsidR="009353A1" w:rsidRPr="00175F7D">
              <w:rPr>
                <w:sz w:val="20"/>
                <w:szCs w:val="20"/>
              </w:rPr>
              <w:t>(N = 214)</w:t>
            </w:r>
          </w:p>
        </w:tc>
      </w:tr>
      <w:tr w:rsidR="009353A1" w:rsidRPr="00175F7D" w:rsidTr="009353A1">
        <w:tc>
          <w:tcPr>
            <w:tcW w:w="2180" w:type="dxa"/>
          </w:tcPr>
          <w:p w:rsidR="009353A1" w:rsidRPr="00175F7D" w:rsidRDefault="009353A1" w:rsidP="00175F7D">
            <w:pPr>
              <w:rPr>
                <w:sz w:val="20"/>
                <w:szCs w:val="20"/>
              </w:rPr>
            </w:pPr>
            <w:r w:rsidRPr="00175F7D">
              <w:rPr>
                <w:sz w:val="20"/>
                <w:szCs w:val="20"/>
              </w:rPr>
              <w:t>Number of deaths</w:t>
            </w:r>
          </w:p>
        </w:tc>
        <w:tc>
          <w:tcPr>
            <w:tcW w:w="2180" w:type="dxa"/>
          </w:tcPr>
          <w:p w:rsidR="009353A1" w:rsidRPr="00175F7D" w:rsidRDefault="009353A1" w:rsidP="00175F7D">
            <w:pPr>
              <w:rPr>
                <w:sz w:val="20"/>
                <w:szCs w:val="20"/>
              </w:rPr>
            </w:pPr>
            <w:r w:rsidRPr="00175F7D">
              <w:rPr>
                <w:sz w:val="20"/>
                <w:szCs w:val="20"/>
              </w:rPr>
              <w:t>159</w:t>
            </w:r>
          </w:p>
        </w:tc>
        <w:tc>
          <w:tcPr>
            <w:tcW w:w="2180" w:type="dxa"/>
          </w:tcPr>
          <w:p w:rsidR="009353A1" w:rsidRPr="00175F7D" w:rsidRDefault="009353A1" w:rsidP="00175F7D">
            <w:pPr>
              <w:rPr>
                <w:sz w:val="20"/>
                <w:szCs w:val="20"/>
              </w:rPr>
            </w:pPr>
            <w:r w:rsidRPr="00175F7D">
              <w:rPr>
                <w:sz w:val="20"/>
                <w:szCs w:val="20"/>
              </w:rPr>
              <w:t>157</w:t>
            </w:r>
          </w:p>
        </w:tc>
        <w:tc>
          <w:tcPr>
            <w:tcW w:w="2180" w:type="dxa"/>
          </w:tcPr>
          <w:p w:rsidR="009353A1" w:rsidRPr="00175F7D" w:rsidRDefault="009353A1" w:rsidP="00175F7D">
            <w:pPr>
              <w:rPr>
                <w:sz w:val="20"/>
                <w:szCs w:val="20"/>
              </w:rPr>
            </w:pPr>
            <w:r w:rsidRPr="00175F7D">
              <w:rPr>
                <w:sz w:val="20"/>
                <w:szCs w:val="20"/>
              </w:rPr>
              <w:t>134</w:t>
            </w:r>
          </w:p>
        </w:tc>
      </w:tr>
      <w:tr w:rsidR="009353A1" w:rsidRPr="00175F7D" w:rsidTr="009353A1">
        <w:tc>
          <w:tcPr>
            <w:tcW w:w="2180" w:type="dxa"/>
          </w:tcPr>
          <w:p w:rsidR="009353A1" w:rsidRPr="00175F7D" w:rsidRDefault="009353A1" w:rsidP="00175F7D">
            <w:pPr>
              <w:rPr>
                <w:sz w:val="20"/>
                <w:szCs w:val="20"/>
              </w:rPr>
            </w:pPr>
            <w:r w:rsidRPr="00175F7D">
              <w:rPr>
                <w:sz w:val="20"/>
                <w:szCs w:val="20"/>
              </w:rPr>
              <w:t>Median OS (months)</w:t>
            </w:r>
          </w:p>
        </w:tc>
        <w:tc>
          <w:tcPr>
            <w:tcW w:w="2180" w:type="dxa"/>
          </w:tcPr>
          <w:p w:rsidR="009353A1" w:rsidRPr="00175F7D" w:rsidRDefault="009353A1" w:rsidP="00175F7D">
            <w:pPr>
              <w:rPr>
                <w:sz w:val="20"/>
                <w:szCs w:val="20"/>
              </w:rPr>
            </w:pPr>
            <w:r w:rsidRPr="00175F7D">
              <w:rPr>
                <w:sz w:val="20"/>
                <w:szCs w:val="20"/>
              </w:rPr>
              <w:t>6.4</w:t>
            </w:r>
          </w:p>
        </w:tc>
        <w:tc>
          <w:tcPr>
            <w:tcW w:w="2180" w:type="dxa"/>
          </w:tcPr>
          <w:p w:rsidR="009353A1" w:rsidRPr="00175F7D" w:rsidRDefault="009353A1" w:rsidP="00175F7D">
            <w:pPr>
              <w:rPr>
                <w:sz w:val="20"/>
                <w:szCs w:val="20"/>
              </w:rPr>
            </w:pPr>
            <w:r w:rsidRPr="00175F7D">
              <w:rPr>
                <w:sz w:val="20"/>
                <w:szCs w:val="20"/>
              </w:rPr>
              <w:t>8.8</w:t>
            </w:r>
          </w:p>
        </w:tc>
        <w:tc>
          <w:tcPr>
            <w:tcW w:w="2180" w:type="dxa"/>
          </w:tcPr>
          <w:p w:rsidR="009353A1" w:rsidRPr="00175F7D" w:rsidRDefault="009353A1" w:rsidP="00175F7D">
            <w:pPr>
              <w:rPr>
                <w:sz w:val="20"/>
                <w:szCs w:val="20"/>
              </w:rPr>
            </w:pPr>
            <w:r w:rsidRPr="00175F7D">
              <w:rPr>
                <w:sz w:val="20"/>
                <w:szCs w:val="20"/>
              </w:rPr>
              <w:t>11.4</w:t>
            </w:r>
          </w:p>
        </w:tc>
      </w:tr>
      <w:tr w:rsidR="009353A1" w:rsidRPr="00175F7D" w:rsidTr="009353A1">
        <w:tc>
          <w:tcPr>
            <w:tcW w:w="2180" w:type="dxa"/>
          </w:tcPr>
          <w:p w:rsidR="009353A1" w:rsidRPr="00175F7D" w:rsidRDefault="009353A1" w:rsidP="00175F7D">
            <w:pPr>
              <w:rPr>
                <w:sz w:val="20"/>
                <w:szCs w:val="20"/>
              </w:rPr>
            </w:pPr>
            <w:r w:rsidRPr="00175F7D">
              <w:rPr>
                <w:sz w:val="20"/>
                <w:szCs w:val="20"/>
              </w:rPr>
              <w:t>95% CI</w:t>
            </w:r>
          </w:p>
        </w:tc>
        <w:tc>
          <w:tcPr>
            <w:tcW w:w="2180" w:type="dxa"/>
          </w:tcPr>
          <w:p w:rsidR="009353A1" w:rsidRPr="00175F7D" w:rsidRDefault="009353A1" w:rsidP="00175F7D">
            <w:pPr>
              <w:rPr>
                <w:sz w:val="20"/>
                <w:szCs w:val="20"/>
              </w:rPr>
            </w:pPr>
            <w:r w:rsidRPr="00175F7D">
              <w:rPr>
                <w:sz w:val="20"/>
                <w:szCs w:val="20"/>
              </w:rPr>
              <w:t>(5.7, 8.3)</w:t>
            </w:r>
          </w:p>
        </w:tc>
        <w:tc>
          <w:tcPr>
            <w:tcW w:w="2180" w:type="dxa"/>
          </w:tcPr>
          <w:p w:rsidR="009353A1" w:rsidRPr="00175F7D" w:rsidRDefault="009353A1" w:rsidP="00175F7D">
            <w:pPr>
              <w:rPr>
                <w:sz w:val="20"/>
                <w:szCs w:val="20"/>
              </w:rPr>
            </w:pPr>
            <w:r w:rsidRPr="00175F7D">
              <w:rPr>
                <w:sz w:val="20"/>
                <w:szCs w:val="20"/>
              </w:rPr>
              <w:t>(7.7, 9.6)</w:t>
            </w:r>
          </w:p>
        </w:tc>
        <w:tc>
          <w:tcPr>
            <w:tcW w:w="2180" w:type="dxa"/>
          </w:tcPr>
          <w:p w:rsidR="009353A1" w:rsidRPr="00175F7D" w:rsidRDefault="009353A1" w:rsidP="00175F7D">
            <w:pPr>
              <w:rPr>
                <w:sz w:val="20"/>
                <w:szCs w:val="20"/>
              </w:rPr>
            </w:pPr>
            <w:r w:rsidRPr="00175F7D">
              <w:rPr>
                <w:sz w:val="20"/>
                <w:szCs w:val="20"/>
              </w:rPr>
              <w:t>(9.3, 14.2)</w:t>
            </w:r>
          </w:p>
        </w:tc>
      </w:tr>
      <w:tr w:rsidR="009353A1" w:rsidRPr="00175F7D" w:rsidTr="009353A1">
        <w:tc>
          <w:tcPr>
            <w:tcW w:w="2180" w:type="dxa"/>
          </w:tcPr>
          <w:p w:rsidR="009353A1" w:rsidRPr="00175F7D" w:rsidRDefault="009353A1" w:rsidP="00175F7D">
            <w:pPr>
              <w:rPr>
                <w:sz w:val="20"/>
                <w:szCs w:val="20"/>
              </w:rPr>
            </w:pPr>
            <w:r w:rsidRPr="00175F7D">
              <w:rPr>
                <w:sz w:val="20"/>
                <w:szCs w:val="20"/>
              </w:rPr>
              <w:t>3 month survival rate (%)</w:t>
            </w:r>
          </w:p>
        </w:tc>
        <w:tc>
          <w:tcPr>
            <w:tcW w:w="2180" w:type="dxa"/>
          </w:tcPr>
          <w:p w:rsidR="009353A1" w:rsidRPr="00175F7D" w:rsidRDefault="009353A1" w:rsidP="00175F7D">
            <w:pPr>
              <w:rPr>
                <w:sz w:val="20"/>
                <w:szCs w:val="20"/>
              </w:rPr>
            </w:pPr>
            <w:r w:rsidRPr="00175F7D">
              <w:rPr>
                <w:sz w:val="20"/>
                <w:szCs w:val="20"/>
              </w:rPr>
              <w:t>70.9</w:t>
            </w:r>
          </w:p>
        </w:tc>
        <w:tc>
          <w:tcPr>
            <w:tcW w:w="2180" w:type="dxa"/>
          </w:tcPr>
          <w:p w:rsidR="009353A1" w:rsidRPr="00175F7D" w:rsidRDefault="009353A1" w:rsidP="00175F7D">
            <w:pPr>
              <w:rPr>
                <w:sz w:val="20"/>
                <w:szCs w:val="20"/>
              </w:rPr>
            </w:pPr>
            <w:r w:rsidRPr="00175F7D">
              <w:rPr>
                <w:sz w:val="20"/>
                <w:szCs w:val="20"/>
              </w:rPr>
              <w:t>79.6</w:t>
            </w:r>
          </w:p>
        </w:tc>
        <w:tc>
          <w:tcPr>
            <w:tcW w:w="2180" w:type="dxa"/>
          </w:tcPr>
          <w:p w:rsidR="009353A1" w:rsidRPr="00175F7D" w:rsidRDefault="009353A1" w:rsidP="00175F7D">
            <w:pPr>
              <w:rPr>
                <w:sz w:val="20"/>
                <w:szCs w:val="20"/>
              </w:rPr>
            </w:pPr>
            <w:r w:rsidRPr="00175F7D">
              <w:rPr>
                <w:sz w:val="20"/>
                <w:szCs w:val="20"/>
              </w:rPr>
              <w:t>82.8</w:t>
            </w:r>
          </w:p>
        </w:tc>
      </w:tr>
      <w:tr w:rsidR="009353A1" w:rsidRPr="00175F7D" w:rsidTr="009353A1">
        <w:tc>
          <w:tcPr>
            <w:tcW w:w="2180" w:type="dxa"/>
          </w:tcPr>
          <w:p w:rsidR="009353A1" w:rsidRPr="00175F7D" w:rsidRDefault="009353A1" w:rsidP="00175F7D">
            <w:pPr>
              <w:rPr>
                <w:sz w:val="20"/>
                <w:szCs w:val="20"/>
              </w:rPr>
            </w:pPr>
            <w:r w:rsidRPr="00175F7D">
              <w:rPr>
                <w:sz w:val="20"/>
                <w:szCs w:val="20"/>
              </w:rPr>
              <w:t>95% CI</w:t>
            </w:r>
          </w:p>
        </w:tc>
        <w:tc>
          <w:tcPr>
            <w:tcW w:w="2180" w:type="dxa"/>
          </w:tcPr>
          <w:p w:rsidR="009353A1" w:rsidRPr="00175F7D" w:rsidRDefault="009353A1" w:rsidP="00175F7D">
            <w:pPr>
              <w:rPr>
                <w:sz w:val="20"/>
                <w:szCs w:val="20"/>
              </w:rPr>
            </w:pPr>
            <w:r w:rsidRPr="00175F7D">
              <w:rPr>
                <w:sz w:val="20"/>
                <w:szCs w:val="20"/>
              </w:rPr>
              <w:t>(64.7, 77.1)</w:t>
            </w:r>
          </w:p>
        </w:tc>
        <w:tc>
          <w:tcPr>
            <w:tcW w:w="2180" w:type="dxa"/>
          </w:tcPr>
          <w:p w:rsidR="009353A1" w:rsidRPr="00175F7D" w:rsidRDefault="009353A1" w:rsidP="00175F7D">
            <w:pPr>
              <w:rPr>
                <w:sz w:val="20"/>
                <w:szCs w:val="20"/>
              </w:rPr>
            </w:pPr>
            <w:r w:rsidRPr="00175F7D">
              <w:rPr>
                <w:sz w:val="20"/>
                <w:szCs w:val="20"/>
              </w:rPr>
              <w:t>(74.2, 85.1)</w:t>
            </w:r>
          </w:p>
        </w:tc>
        <w:tc>
          <w:tcPr>
            <w:tcW w:w="2180" w:type="dxa"/>
          </w:tcPr>
          <w:p w:rsidR="009353A1" w:rsidRPr="00175F7D" w:rsidRDefault="009353A1" w:rsidP="00175F7D">
            <w:pPr>
              <w:rPr>
                <w:sz w:val="20"/>
                <w:szCs w:val="20"/>
              </w:rPr>
            </w:pPr>
            <w:r w:rsidRPr="00175F7D">
              <w:rPr>
                <w:sz w:val="20"/>
                <w:szCs w:val="20"/>
              </w:rPr>
              <w:t>(77.6, 87.9)</w:t>
            </w:r>
          </w:p>
        </w:tc>
      </w:tr>
      <w:tr w:rsidR="009353A1" w:rsidRPr="00175F7D" w:rsidTr="009353A1">
        <w:tc>
          <w:tcPr>
            <w:tcW w:w="2180" w:type="dxa"/>
          </w:tcPr>
          <w:p w:rsidR="009353A1" w:rsidRPr="00175F7D" w:rsidRDefault="009353A1" w:rsidP="00175F7D">
            <w:pPr>
              <w:rPr>
                <w:sz w:val="20"/>
                <w:szCs w:val="20"/>
              </w:rPr>
            </w:pPr>
            <w:r w:rsidRPr="00175F7D">
              <w:rPr>
                <w:sz w:val="20"/>
                <w:szCs w:val="20"/>
              </w:rPr>
              <w:lastRenderedPageBreak/>
              <w:t>12-month survival rate (%)</w:t>
            </w:r>
          </w:p>
        </w:tc>
        <w:tc>
          <w:tcPr>
            <w:tcW w:w="2180" w:type="dxa"/>
          </w:tcPr>
          <w:p w:rsidR="009353A1" w:rsidRPr="00175F7D" w:rsidRDefault="009353A1" w:rsidP="00175F7D">
            <w:pPr>
              <w:rPr>
                <w:sz w:val="20"/>
                <w:szCs w:val="20"/>
              </w:rPr>
            </w:pPr>
            <w:r w:rsidRPr="00175F7D">
              <w:rPr>
                <w:sz w:val="20"/>
                <w:szCs w:val="20"/>
              </w:rPr>
              <w:t>36.1</w:t>
            </w:r>
          </w:p>
        </w:tc>
        <w:tc>
          <w:tcPr>
            <w:tcW w:w="2180" w:type="dxa"/>
          </w:tcPr>
          <w:p w:rsidR="009353A1" w:rsidRPr="00175F7D" w:rsidRDefault="009353A1" w:rsidP="00175F7D">
            <w:pPr>
              <w:rPr>
                <w:sz w:val="20"/>
                <w:szCs w:val="20"/>
              </w:rPr>
            </w:pPr>
            <w:r w:rsidRPr="00175F7D">
              <w:rPr>
                <w:sz w:val="20"/>
                <w:szCs w:val="20"/>
              </w:rPr>
              <w:t>33.7</w:t>
            </w:r>
          </w:p>
        </w:tc>
        <w:tc>
          <w:tcPr>
            <w:tcW w:w="2180" w:type="dxa"/>
          </w:tcPr>
          <w:p w:rsidR="009353A1" w:rsidRPr="00175F7D" w:rsidRDefault="009353A1" w:rsidP="00175F7D">
            <w:pPr>
              <w:rPr>
                <w:sz w:val="20"/>
                <w:szCs w:val="20"/>
              </w:rPr>
            </w:pPr>
            <w:r w:rsidRPr="00175F7D">
              <w:rPr>
                <w:sz w:val="20"/>
                <w:szCs w:val="20"/>
              </w:rPr>
              <w:t>45.7</w:t>
            </w:r>
          </w:p>
        </w:tc>
      </w:tr>
      <w:tr w:rsidR="009353A1" w:rsidRPr="00175F7D" w:rsidTr="009353A1">
        <w:tc>
          <w:tcPr>
            <w:tcW w:w="2180" w:type="dxa"/>
          </w:tcPr>
          <w:p w:rsidR="009353A1" w:rsidRPr="00175F7D" w:rsidRDefault="009353A1" w:rsidP="00175F7D">
            <w:pPr>
              <w:rPr>
                <w:sz w:val="20"/>
                <w:szCs w:val="20"/>
              </w:rPr>
            </w:pPr>
            <w:r w:rsidRPr="00175F7D">
              <w:rPr>
                <w:sz w:val="20"/>
                <w:szCs w:val="20"/>
              </w:rPr>
              <w:t>95% CI</w:t>
            </w:r>
          </w:p>
        </w:tc>
        <w:tc>
          <w:tcPr>
            <w:tcW w:w="2180" w:type="dxa"/>
          </w:tcPr>
          <w:p w:rsidR="009353A1" w:rsidRPr="00175F7D" w:rsidRDefault="009353A1" w:rsidP="00175F7D">
            <w:pPr>
              <w:rPr>
                <w:sz w:val="20"/>
                <w:szCs w:val="20"/>
              </w:rPr>
            </w:pPr>
            <w:r w:rsidRPr="00175F7D">
              <w:rPr>
                <w:sz w:val="20"/>
                <w:szCs w:val="20"/>
              </w:rPr>
              <w:t>(29.4, 42.8)</w:t>
            </w:r>
          </w:p>
        </w:tc>
        <w:tc>
          <w:tcPr>
            <w:tcW w:w="2180" w:type="dxa"/>
          </w:tcPr>
          <w:p w:rsidR="009353A1" w:rsidRPr="00175F7D" w:rsidRDefault="009353A1" w:rsidP="00175F7D">
            <w:pPr>
              <w:rPr>
                <w:sz w:val="20"/>
                <w:szCs w:val="20"/>
              </w:rPr>
            </w:pPr>
            <w:r w:rsidRPr="00175F7D">
              <w:rPr>
                <w:sz w:val="20"/>
                <w:szCs w:val="20"/>
              </w:rPr>
              <w:t>(26.9, 40.4)</w:t>
            </w:r>
          </w:p>
        </w:tc>
        <w:tc>
          <w:tcPr>
            <w:tcW w:w="2180" w:type="dxa"/>
          </w:tcPr>
          <w:p w:rsidR="009353A1" w:rsidRPr="00175F7D" w:rsidRDefault="009353A1" w:rsidP="00175F7D">
            <w:pPr>
              <w:rPr>
                <w:sz w:val="20"/>
                <w:szCs w:val="20"/>
              </w:rPr>
            </w:pPr>
            <w:r w:rsidRPr="00175F7D">
              <w:rPr>
                <w:sz w:val="20"/>
                <w:szCs w:val="20"/>
              </w:rPr>
              <w:t>(38.5, 53.0)</w:t>
            </w:r>
          </w:p>
        </w:tc>
      </w:tr>
    </w:tbl>
    <w:p w:rsidR="009479F2" w:rsidRPr="009353A1" w:rsidRDefault="00B401D9" w:rsidP="00AF78AE">
      <w:r>
        <w:t>The data</w:t>
      </w:r>
      <w:r w:rsidR="009479F2" w:rsidRPr="009353A1">
        <w:t xml:space="preserve"> sugge</w:t>
      </w:r>
      <w:r w:rsidR="004A74BA" w:rsidRPr="009353A1">
        <w:t>st</w:t>
      </w:r>
      <w:r>
        <w:t>s</w:t>
      </w:r>
      <w:r w:rsidR="004A74BA" w:rsidRPr="009353A1">
        <w:t xml:space="preserve"> an OS benefit to </w:t>
      </w:r>
      <w:proofErr w:type="spellStart"/>
      <w:r w:rsidR="004A74BA" w:rsidRPr="009353A1">
        <w:t>enasidenib</w:t>
      </w:r>
      <w:proofErr w:type="spellEnd"/>
      <w:r w:rsidR="004A74BA" w:rsidRPr="009353A1">
        <w:t>.</w:t>
      </w:r>
    </w:p>
    <w:p w:rsidR="009479F2" w:rsidRDefault="009479F2" w:rsidP="00AF78AE">
      <w:r w:rsidRPr="009353A1">
        <w:t xml:space="preserve">A further database (PETHEMA) used similar key prognostic factors and the population seemed closely aligned with the </w:t>
      </w:r>
      <w:r w:rsidR="00AF78AE">
        <w:t xml:space="preserve">Study AG-221-C-001 </w:t>
      </w:r>
      <w:r w:rsidRPr="009353A1">
        <w:t>population. Not surprisingly then, the median OS was</w:t>
      </w:r>
      <w:r w:rsidR="004A74BA" w:rsidRPr="009353A1">
        <w:t xml:space="preserve"> 8.8 months (95% CI 7.8, 9.5).</w:t>
      </w:r>
    </w:p>
    <w:p w:rsidR="009479F2" w:rsidRDefault="009479F2" w:rsidP="00AF78AE">
      <w:r>
        <w:t xml:space="preserve">There were other analyses and literature, but it is not intended they be individually presented </w:t>
      </w:r>
      <w:r w:rsidR="00AF78AE">
        <w:t>in this document</w:t>
      </w:r>
      <w:r>
        <w:t xml:space="preserve">. </w:t>
      </w:r>
      <w:r w:rsidR="00AF78AE">
        <w:t>In summary</w:t>
      </w:r>
      <w:r>
        <w:t>, the historical comparison data mainly considers OS, not ORR. These historical data, with potential confounders one must admit, suggest an OS benefit over conventional treatments. Differences between patients and disease characteristics limit the robustness of such a comparison and thus the subsequent conclusions.</w:t>
      </w:r>
    </w:p>
    <w:p w:rsidR="009479F2" w:rsidRDefault="009479F2" w:rsidP="00AF78AE">
      <w:r>
        <w:t xml:space="preserve">There did seem to be a fairly consistent higher rate of CR with </w:t>
      </w:r>
      <w:proofErr w:type="spellStart"/>
      <w:r>
        <w:t>enasidenib</w:t>
      </w:r>
      <w:proofErr w:type="spellEnd"/>
      <w:r>
        <w:t xml:space="preserve"> use rather than that of conventional treatments with th</w:t>
      </w:r>
      <w:r w:rsidR="004A74BA">
        <w:t>e datasets that were compared.</w:t>
      </w:r>
    </w:p>
    <w:p w:rsidR="009479F2" w:rsidRPr="004A74BA" w:rsidRDefault="009479F2" w:rsidP="00AF78AE">
      <w:r>
        <w:t xml:space="preserve">Overall, considering pooled trial data and historical data, the evaluator was of the view that there was likely a few months’ advantage in OS with </w:t>
      </w:r>
      <w:proofErr w:type="spellStart"/>
      <w:r>
        <w:t>enasidenib</w:t>
      </w:r>
      <w:proofErr w:type="spellEnd"/>
      <w:r>
        <w:t xml:space="preserve"> use over conventional treatments, this is apart from considering the different safety profile of using conventional treatments or </w:t>
      </w:r>
      <w:proofErr w:type="spellStart"/>
      <w:r>
        <w:t>enasidenib</w:t>
      </w:r>
      <w:proofErr w:type="spellEnd"/>
      <w:r>
        <w:t>.</w:t>
      </w:r>
    </w:p>
    <w:p w:rsidR="009479F2" w:rsidRPr="00345C78" w:rsidRDefault="009479F2" w:rsidP="00C70808">
      <w:pPr>
        <w:pStyle w:val="Heading4"/>
      </w:pPr>
      <w:r w:rsidRPr="00345C78">
        <w:t>Safety</w:t>
      </w:r>
    </w:p>
    <w:p w:rsidR="009479F2" w:rsidRDefault="00AF78AE" w:rsidP="00AF78AE">
      <w:r>
        <w:t>Regarding e</w:t>
      </w:r>
      <w:r w:rsidR="009479F2" w:rsidRPr="00107C94">
        <w:t xml:space="preserve">xposure to </w:t>
      </w:r>
      <w:proofErr w:type="spellStart"/>
      <w:r w:rsidR="009479F2" w:rsidRPr="00107C94">
        <w:t>enasidenib</w:t>
      </w:r>
      <w:proofErr w:type="spellEnd"/>
      <w:r w:rsidR="009479F2" w:rsidRPr="00107C94">
        <w:t xml:space="preserve"> in the</w:t>
      </w:r>
      <w:r>
        <w:t xml:space="preserve"> clinical trial programme, e</w:t>
      </w:r>
      <w:r w:rsidR="009479F2">
        <w:t>ssentially 688 patients represent the cohort receiving any dose of drug. Of these, those with R/R AML numbered 396 across trials and compassionate use progr</w:t>
      </w:r>
      <w:r w:rsidR="004A74BA">
        <w:t>ammes.</w:t>
      </w:r>
    </w:p>
    <w:p w:rsidR="009479F2" w:rsidRDefault="009479F2" w:rsidP="00AF78AE">
      <w:r>
        <w:t>The evaluator concludes that single dose studies up to 300</w:t>
      </w:r>
      <w:r w:rsidR="00AF78AE">
        <w:t xml:space="preserve"> </w:t>
      </w:r>
      <w:r>
        <w:t xml:space="preserve">mg daily of </w:t>
      </w:r>
      <w:proofErr w:type="spellStart"/>
      <w:r>
        <w:t>enasidenib</w:t>
      </w:r>
      <w:proofErr w:type="spellEnd"/>
      <w:r>
        <w:t xml:space="preserve"> d</w:t>
      </w:r>
      <w:r w:rsidR="004A74BA">
        <w:t>id not reveal safety concerns.</w:t>
      </w:r>
    </w:p>
    <w:p w:rsidR="009479F2" w:rsidRDefault="009479F2" w:rsidP="00AF78AE">
      <w:r>
        <w:t>Only pivotal study data are presented here unless other data have specific concerns, in which case they will be cited along with thei</w:t>
      </w:r>
      <w:r w:rsidR="004A74BA">
        <w:t>r source.</w:t>
      </w:r>
    </w:p>
    <w:p w:rsidR="009479F2" w:rsidRDefault="009479F2" w:rsidP="00AF78AE">
      <w:r>
        <w:t xml:space="preserve">Treatment related </w:t>
      </w:r>
      <w:r w:rsidR="009B6128">
        <w:t>TEAEs</w:t>
      </w:r>
      <w:r>
        <w:t xml:space="preserve"> in 3% or greater of subjects </w:t>
      </w:r>
      <w:r w:rsidR="00B401D9">
        <w:t xml:space="preserve">in Study AG-221-C-001, </w:t>
      </w:r>
      <w:r>
        <w:t xml:space="preserve">by </w:t>
      </w:r>
      <w:r w:rsidR="00B401D9">
        <w:t>System Organ Class (</w:t>
      </w:r>
      <w:r w:rsidR="009B6128">
        <w:t>SOC</w:t>
      </w:r>
      <w:r w:rsidR="00B401D9">
        <w:t>)</w:t>
      </w:r>
      <w:r w:rsidR="009B6128">
        <w:t xml:space="preserve"> and </w:t>
      </w:r>
      <w:r w:rsidR="00B401D9">
        <w:t>Preferred Term (</w:t>
      </w:r>
      <w:r w:rsidR="009B6128">
        <w:t>PT</w:t>
      </w:r>
      <w:r w:rsidR="00B401D9">
        <w:t>),</w:t>
      </w:r>
      <w:r>
        <w:t xml:space="preserve"> are sh</w:t>
      </w:r>
      <w:r w:rsidR="004A74BA">
        <w:t>own as follows</w:t>
      </w:r>
      <w:r w:rsidR="00B401D9">
        <w:t xml:space="preserve"> in </w:t>
      </w:r>
      <w:r w:rsidR="00B401D9">
        <w:fldChar w:fldCharType="begin"/>
      </w:r>
      <w:r w:rsidR="00B401D9">
        <w:instrText xml:space="preserve"> REF _Ref36195942 \h </w:instrText>
      </w:r>
      <w:r w:rsidR="00B401D9">
        <w:fldChar w:fldCharType="separate"/>
      </w:r>
      <w:r w:rsidR="00B401D9">
        <w:t xml:space="preserve">Table </w:t>
      </w:r>
      <w:r w:rsidR="00B401D9">
        <w:rPr>
          <w:noProof/>
        </w:rPr>
        <w:t>9</w:t>
      </w:r>
      <w:r w:rsidR="00B401D9">
        <w:fldChar w:fldCharType="end"/>
      </w:r>
      <w:r w:rsidR="00B401D9">
        <w:t>.</w:t>
      </w:r>
    </w:p>
    <w:p w:rsidR="009B6128" w:rsidRDefault="009B6128" w:rsidP="009B6128">
      <w:pPr>
        <w:pStyle w:val="TableTitle"/>
      </w:pPr>
      <w:bookmarkStart w:id="52" w:name="_Ref36195942"/>
      <w:r>
        <w:t xml:space="preserve">Table </w:t>
      </w:r>
      <w:r w:rsidR="00735356">
        <w:fldChar w:fldCharType="begin"/>
      </w:r>
      <w:r w:rsidR="00735356">
        <w:instrText xml:space="preserve"> SEQ Table \* ARABIC </w:instrText>
      </w:r>
      <w:r w:rsidR="00735356">
        <w:fldChar w:fldCharType="separate"/>
      </w:r>
      <w:r>
        <w:rPr>
          <w:noProof/>
        </w:rPr>
        <w:t>9</w:t>
      </w:r>
      <w:r w:rsidR="00735356">
        <w:rPr>
          <w:noProof/>
        </w:rPr>
        <w:fldChar w:fldCharType="end"/>
      </w:r>
      <w:bookmarkEnd w:id="52"/>
      <w:r>
        <w:t>: Study AG-221-C-001 treatment related treatment emergent adverse events in 3% or greater of subjects by System Organ Class and Preferred Term</w:t>
      </w:r>
    </w:p>
    <w:tbl>
      <w:tblPr>
        <w:tblStyle w:val="TableTGAblue"/>
        <w:tblW w:w="0" w:type="auto"/>
        <w:tblLook w:val="04A0" w:firstRow="1" w:lastRow="0" w:firstColumn="1" w:lastColumn="0" w:noHBand="0" w:noVBand="1"/>
      </w:tblPr>
      <w:tblGrid>
        <w:gridCol w:w="3227"/>
        <w:gridCol w:w="1984"/>
        <w:gridCol w:w="1843"/>
        <w:gridCol w:w="1666"/>
      </w:tblGrid>
      <w:tr w:rsidR="00AF78AE" w:rsidRPr="00175F7D" w:rsidTr="001A572A">
        <w:trPr>
          <w:cnfStyle w:val="100000000000" w:firstRow="1" w:lastRow="0" w:firstColumn="0" w:lastColumn="0" w:oddVBand="0" w:evenVBand="0" w:oddHBand="0" w:evenHBand="0" w:firstRowFirstColumn="0" w:firstRowLastColumn="0" w:lastRowFirstColumn="0" w:lastRowLastColumn="0"/>
        </w:trPr>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System Organ Class / Preferred Term</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R/R AML</w:t>
            </w:r>
          </w:p>
          <w:p w:rsidR="00AF78AE" w:rsidRPr="00175F7D" w:rsidRDefault="009B6128" w:rsidP="00175F7D">
            <w:pPr>
              <w:rPr>
                <w:rFonts w:asciiTheme="minorHAnsi" w:hAnsiTheme="minorHAnsi"/>
                <w:sz w:val="20"/>
                <w:szCs w:val="20"/>
              </w:rPr>
            </w:pPr>
            <w:r w:rsidRPr="00175F7D">
              <w:rPr>
                <w:rFonts w:asciiTheme="minorHAnsi" w:hAnsiTheme="minorHAnsi"/>
                <w:sz w:val="20"/>
                <w:szCs w:val="20"/>
              </w:rPr>
              <w:t>100 mg d</w:t>
            </w:r>
            <w:r w:rsidR="00AF78AE" w:rsidRPr="00175F7D">
              <w:rPr>
                <w:rFonts w:asciiTheme="minorHAnsi" w:hAnsiTheme="minorHAnsi"/>
                <w:sz w:val="20"/>
                <w:szCs w:val="20"/>
              </w:rPr>
              <w:t>ose</w:t>
            </w:r>
          </w:p>
          <w:p w:rsidR="00AF78AE" w:rsidRPr="00175F7D" w:rsidRDefault="00AF78AE" w:rsidP="00175F7D">
            <w:pPr>
              <w:rPr>
                <w:rFonts w:asciiTheme="minorHAnsi" w:hAnsiTheme="minorHAnsi"/>
                <w:sz w:val="20"/>
                <w:szCs w:val="20"/>
              </w:rPr>
            </w:pPr>
            <w:r w:rsidRPr="00175F7D">
              <w:rPr>
                <w:rFonts w:asciiTheme="minorHAnsi" w:hAnsiTheme="minorHAnsi"/>
                <w:sz w:val="20"/>
                <w:szCs w:val="20"/>
              </w:rPr>
              <w:t>(n = 214)</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All R/R AML</w:t>
            </w:r>
          </w:p>
          <w:p w:rsidR="00AF78AE" w:rsidRPr="00175F7D" w:rsidRDefault="00AF78AE" w:rsidP="00175F7D">
            <w:pPr>
              <w:rPr>
                <w:rFonts w:asciiTheme="minorHAnsi" w:hAnsiTheme="minorHAnsi"/>
                <w:sz w:val="20"/>
                <w:szCs w:val="20"/>
              </w:rPr>
            </w:pPr>
            <w:r w:rsidRPr="00175F7D">
              <w:rPr>
                <w:rFonts w:asciiTheme="minorHAnsi" w:hAnsiTheme="minorHAnsi"/>
                <w:sz w:val="20"/>
                <w:szCs w:val="20"/>
              </w:rPr>
              <w:t>(n = 280)</w:t>
            </w:r>
          </w:p>
        </w:tc>
        <w:tc>
          <w:tcPr>
            <w:tcW w:w="1666" w:type="dxa"/>
          </w:tcPr>
          <w:p w:rsidR="00AF78AE" w:rsidRPr="00175F7D" w:rsidRDefault="009B6128" w:rsidP="00175F7D">
            <w:pPr>
              <w:rPr>
                <w:rFonts w:asciiTheme="minorHAnsi" w:hAnsiTheme="minorHAnsi"/>
                <w:sz w:val="20"/>
                <w:szCs w:val="20"/>
              </w:rPr>
            </w:pPr>
            <w:r w:rsidRPr="00175F7D">
              <w:rPr>
                <w:rFonts w:asciiTheme="minorHAnsi" w:hAnsiTheme="minorHAnsi"/>
                <w:sz w:val="20"/>
                <w:szCs w:val="20"/>
              </w:rPr>
              <w:t>All s</w:t>
            </w:r>
            <w:r w:rsidR="00AF78AE" w:rsidRPr="00175F7D">
              <w:rPr>
                <w:rFonts w:asciiTheme="minorHAnsi" w:hAnsiTheme="minorHAnsi"/>
                <w:sz w:val="20"/>
                <w:szCs w:val="20"/>
              </w:rPr>
              <w:t>ubjects</w:t>
            </w:r>
          </w:p>
          <w:p w:rsidR="00AF78AE" w:rsidRPr="00175F7D" w:rsidRDefault="00AF78AE" w:rsidP="00175F7D">
            <w:pPr>
              <w:rPr>
                <w:rFonts w:asciiTheme="minorHAnsi" w:hAnsiTheme="minorHAnsi"/>
                <w:sz w:val="20"/>
                <w:szCs w:val="20"/>
              </w:rPr>
            </w:pPr>
            <w:r w:rsidRPr="00175F7D">
              <w:rPr>
                <w:rFonts w:asciiTheme="minorHAnsi" w:hAnsiTheme="minorHAnsi"/>
                <w:sz w:val="20"/>
                <w:szCs w:val="20"/>
              </w:rPr>
              <w:t>(n = 345)</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Subject With at Least 1 TEAE reported as treatment-related</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178 (83.2)</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227 (81.1)</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284 (82.3)</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Blood and lymphatic system disorders</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47 (22.0)</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57 (20.4)</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70 (20.3)</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lastRenderedPageBreak/>
              <w:t>Anaemia</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14 (6.5)</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18 (6.4)</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25 (7.2)</w:t>
            </w:r>
          </w:p>
        </w:tc>
      </w:tr>
      <w:tr w:rsidR="00AF78AE" w:rsidRPr="00175F7D" w:rsidTr="001A572A">
        <w:tc>
          <w:tcPr>
            <w:tcW w:w="3227" w:type="dxa"/>
          </w:tcPr>
          <w:p w:rsidR="00AF78AE" w:rsidRPr="00175F7D" w:rsidRDefault="00AF78AE" w:rsidP="00175F7D">
            <w:pPr>
              <w:rPr>
                <w:rFonts w:asciiTheme="minorHAnsi" w:hAnsiTheme="minorHAnsi"/>
                <w:sz w:val="20"/>
                <w:szCs w:val="20"/>
              </w:rPr>
            </w:pPr>
            <w:proofErr w:type="spellStart"/>
            <w:r w:rsidRPr="00175F7D">
              <w:rPr>
                <w:rFonts w:asciiTheme="minorHAnsi" w:hAnsiTheme="minorHAnsi"/>
                <w:sz w:val="20"/>
                <w:szCs w:val="20"/>
              </w:rPr>
              <w:t>Leukocytosis</w:t>
            </w:r>
            <w:proofErr w:type="spellEnd"/>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16 (7.5)</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22 (7.9)</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25 (7.2)</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Thrombocytopenia</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7 (3.3)</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11 (3.9)</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15 (4.3)</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Gastrointestinal disorders</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96 (44.9)</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121 (43.2)</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151 (43.8)</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Constipation</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7 (3.3)</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10 (3.6)</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12 (3.5)</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Diarrhoea</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33 (15.4)</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45 (16.1)</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52 (15.1)</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Nausea</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59 (27.6)</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76 (27.1)</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95 (27.5)</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Vomiting</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37 (17.3)</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46 (16.4)</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52 (15.1)</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General disorders and administration site conditions</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57 (26.6)</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73 (26.1)</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90 (26.1)</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Asthenia</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10 (4.7)</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14 (5.0)</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16 (4.6)</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Fatigue</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31 (14.5)</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41 (14.6)</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51 (14.8)</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Oedema Peripheral</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9 (4.2)</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13 (4.6)</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17 (4.9)</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Pyrexia</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13 (6.1)</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14 (5.0)</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15 (4.3)</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Hepatobiliary Disorders</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22 (10.3)</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29 (10.4)</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33 (9.6)</w:t>
            </w:r>
          </w:p>
        </w:tc>
      </w:tr>
      <w:tr w:rsidR="00AF78AE" w:rsidRPr="00175F7D" w:rsidTr="001A572A">
        <w:tc>
          <w:tcPr>
            <w:tcW w:w="3227" w:type="dxa"/>
          </w:tcPr>
          <w:p w:rsidR="00AF78AE" w:rsidRPr="00175F7D" w:rsidRDefault="00AF78AE" w:rsidP="00175F7D">
            <w:pPr>
              <w:rPr>
                <w:rFonts w:asciiTheme="minorHAnsi" w:hAnsiTheme="minorHAnsi"/>
                <w:sz w:val="20"/>
                <w:szCs w:val="20"/>
              </w:rPr>
            </w:pPr>
            <w:proofErr w:type="spellStart"/>
            <w:r w:rsidRPr="00175F7D">
              <w:rPr>
                <w:rFonts w:asciiTheme="minorHAnsi" w:hAnsiTheme="minorHAnsi"/>
                <w:sz w:val="20"/>
                <w:szCs w:val="20"/>
              </w:rPr>
              <w:t>Hyperbilirubinaemia</w:t>
            </w:r>
            <w:proofErr w:type="spellEnd"/>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16 (7.5)</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21 (7.5)</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24 (7.0)</w:t>
            </w:r>
          </w:p>
        </w:tc>
      </w:tr>
      <w:tr w:rsidR="00AF78AE" w:rsidRPr="00175F7D" w:rsidTr="001A572A">
        <w:tc>
          <w:tcPr>
            <w:tcW w:w="3227"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Investigations</w:t>
            </w:r>
          </w:p>
        </w:tc>
        <w:tc>
          <w:tcPr>
            <w:tcW w:w="1984"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95 (44.4)</w:t>
            </w:r>
          </w:p>
        </w:tc>
        <w:tc>
          <w:tcPr>
            <w:tcW w:w="1843"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127 (45.4)</w:t>
            </w:r>
          </w:p>
        </w:tc>
        <w:tc>
          <w:tcPr>
            <w:tcW w:w="1666" w:type="dxa"/>
          </w:tcPr>
          <w:p w:rsidR="00AF78AE" w:rsidRPr="00175F7D" w:rsidRDefault="00AF78AE" w:rsidP="00175F7D">
            <w:pPr>
              <w:rPr>
                <w:rFonts w:asciiTheme="minorHAnsi" w:hAnsiTheme="minorHAnsi"/>
                <w:sz w:val="20"/>
                <w:szCs w:val="20"/>
              </w:rPr>
            </w:pPr>
            <w:r w:rsidRPr="00175F7D">
              <w:rPr>
                <w:rFonts w:asciiTheme="minorHAnsi" w:hAnsiTheme="minorHAnsi"/>
                <w:sz w:val="20"/>
                <w:szCs w:val="20"/>
              </w:rPr>
              <w:t>157 (45.5)</w:t>
            </w:r>
          </w:p>
        </w:tc>
      </w:tr>
    </w:tbl>
    <w:p w:rsidR="009479F2" w:rsidRPr="00BB60BC" w:rsidRDefault="009479F2" w:rsidP="00AF78AE">
      <w:pPr>
        <w:pStyle w:val="TableDescription"/>
      </w:pPr>
      <w:r w:rsidRPr="00BB60BC">
        <w:t xml:space="preserve">MedDRA = Medical Dictionary for Regulatory Activities, PT = </w:t>
      </w:r>
      <w:r w:rsidR="00AF78AE" w:rsidRPr="00BB60BC">
        <w:t>Preferred Term</w:t>
      </w:r>
      <w:r w:rsidRPr="00BB60BC">
        <w:t xml:space="preserve">, SOC = </w:t>
      </w:r>
      <w:r w:rsidR="00AF78AE" w:rsidRPr="00BB60BC">
        <w:t>System Organ Class</w:t>
      </w:r>
      <w:r w:rsidRPr="00BB60BC">
        <w:t>.</w:t>
      </w:r>
      <w:r w:rsidR="009B6128">
        <w:t xml:space="preserve"> </w:t>
      </w:r>
      <w:r w:rsidRPr="00BB60BC">
        <w:t>Data represent number (%) of subjects. SOC and PT were coded using the MedDRA dictionary version 20.0. SOC and PT are sorted by alphabetic order. If a subject experienced multiple AEs under the same PT (SOC), then the subject was counted only once for that PT. TEAEs were defined as any AEs that began or worsened on or after the start of study drug through 28 days after the last dose of study drug. Related = suspected (possibly or probably) by the in</w:t>
      </w:r>
      <w:r w:rsidR="009B6128">
        <w:t xml:space="preserve">vestigator to be related. Data as of the </w:t>
      </w:r>
      <w:r w:rsidRPr="00BB60BC">
        <w:t>1 Sep</w:t>
      </w:r>
      <w:r w:rsidR="009B6128">
        <w:t>tember</w:t>
      </w:r>
      <w:r w:rsidRPr="00BB60BC">
        <w:t xml:space="preserve"> 2017 cut</w:t>
      </w:r>
      <w:r w:rsidR="00AF78AE">
        <w:t xml:space="preserve"> </w:t>
      </w:r>
      <w:r w:rsidRPr="00BB60BC">
        <w:t>off.</w:t>
      </w:r>
    </w:p>
    <w:p w:rsidR="009479F2" w:rsidRDefault="009479F2" w:rsidP="009B6128">
      <w:r>
        <w:t>There we</w:t>
      </w:r>
      <w:r w:rsidR="00B401D9">
        <w:t xml:space="preserve">re 121 (35.1%) on </w:t>
      </w:r>
      <w:r w:rsidR="009B6128">
        <w:t xml:space="preserve">treatment, all </w:t>
      </w:r>
      <w:r>
        <w:t>cause deaths. Those causes reported in 1% or more of subjects were disease progression, AML and underlying complications of the malignancy, such as infection, multiple organ dysfunction syndrome, and sepsis, as well as respiratory failure. One hundred and twenty-six (36.5%) post-treatment deaths were recorded, with those causes greater than 1% being disease progression, death not otherwise specified, AML and pneumonia and respiratory failure. These types of events are mirrored in other tr</w:t>
      </w:r>
      <w:r w:rsidR="004A74BA">
        <w:t>ial and compassionate use data.</w:t>
      </w:r>
    </w:p>
    <w:p w:rsidR="009479F2" w:rsidRDefault="009479F2" w:rsidP="009B6128">
      <w:r>
        <w:t>Sixty-five subjects (18.8%) had at least one TEAE that led to permanent discontinuation. Most frequent were sepsis, leucocytosis and respiratory failure. Infection and sepsis were primarily those TEAEs leading to permanent discontinuation in other studies.</w:t>
      </w:r>
    </w:p>
    <w:p w:rsidR="009479F2" w:rsidRDefault="009479F2" w:rsidP="009B6128">
      <w:r>
        <w:lastRenderedPageBreak/>
        <w:t xml:space="preserve">A total of 65 (18.8%) subjects had at least 1 TEAE that led to permanent study drug discontinuation. The SOCs for which most subjects experienced an event were Infections and Infestations (4.3%), Respiratory, Thoracic and Mediastinal Disorders (3.8%), and Blood and Lymphatic System Disorders (3.5%). The most frequently reported TEAEs that led to discontinuation (occurring in ≥ 1.0% of subjects overall) were sepsis (2.6%), </w:t>
      </w:r>
      <w:proofErr w:type="spellStart"/>
      <w:r>
        <w:t>leukocytosis</w:t>
      </w:r>
      <w:proofErr w:type="spellEnd"/>
      <w:r>
        <w:t xml:space="preserve"> (2.0%), and respiratory failure (1.7%).</w:t>
      </w:r>
    </w:p>
    <w:p w:rsidR="009479F2" w:rsidRDefault="009B6128" w:rsidP="009B6128">
      <w:r>
        <w:t>Sixteen</w:t>
      </w:r>
      <w:r w:rsidR="009479F2">
        <w:t xml:space="preserve"> (4.6%) subjects had at least 1 treatment-related TEAE that led to permanent study drug discontinuation, and no specific event occurred in more than 2 sub</w:t>
      </w:r>
      <w:r w:rsidR="004A74BA">
        <w:t>jects.</w:t>
      </w:r>
    </w:p>
    <w:p w:rsidR="009479F2" w:rsidRDefault="009479F2" w:rsidP="009B6128">
      <w:r>
        <w:t>A number of possible specific issues were examined with respect to regulatory impact. However, few of these were identified as relevant. Prolonged QT/</w:t>
      </w:r>
      <w:proofErr w:type="spellStart"/>
      <w:r>
        <w:t>QTc</w:t>
      </w:r>
      <w:proofErr w:type="spellEnd"/>
      <w:r>
        <w:t xml:space="preserve"> was not an issue with this drug. </w:t>
      </w:r>
      <w:r w:rsidRPr="009B6128">
        <w:rPr>
          <w:i/>
        </w:rPr>
        <w:t>In</w:t>
      </w:r>
      <w:r w:rsidR="00E93D0B">
        <w:rPr>
          <w:i/>
        </w:rPr>
        <w:t xml:space="preserve"> </w:t>
      </w:r>
      <w:r w:rsidRPr="009B6128">
        <w:rPr>
          <w:i/>
        </w:rPr>
        <w:t>vitro</w:t>
      </w:r>
      <w:r>
        <w:t xml:space="preserve"> studies showed </w:t>
      </w:r>
      <w:proofErr w:type="spellStart"/>
      <w:r>
        <w:t>enasidenib</w:t>
      </w:r>
      <w:proofErr w:type="spellEnd"/>
      <w:r>
        <w:t xml:space="preserve"> inhibits </w:t>
      </w:r>
      <w:r w:rsidR="008E4B66">
        <w:t>u</w:t>
      </w:r>
      <w:r w:rsidR="008E4B66" w:rsidRPr="008E4B66">
        <w:t>ridine 5'-diphospho</w:t>
      </w:r>
      <w:r w:rsidR="008E4B66">
        <w:t xml:space="preserve"> glucuronosyltransferase family 1 m</w:t>
      </w:r>
      <w:r w:rsidR="009B6128" w:rsidRPr="009B6128">
        <w:t>ember A1</w:t>
      </w:r>
      <w:r w:rsidR="009B6128">
        <w:t xml:space="preserve"> (</w:t>
      </w:r>
      <w:r>
        <w:t>UGT1A1</w:t>
      </w:r>
      <w:r w:rsidR="009B6128">
        <w:t>)</w:t>
      </w:r>
      <w:r>
        <w:t>, the enzyme that metabolises bilirubin, thus adverse events with associated bilirubin rise were common. The relationship w</w:t>
      </w:r>
      <w:r w:rsidR="009B6128">
        <w:t xml:space="preserve">as essentially dose dependent. </w:t>
      </w:r>
      <w:r>
        <w:t>Major TEAEs associated with the drug are bilirubinaemia and differentiation syndrome. Significant treatment disruption was not caused by either, although early recognition and treatment of differen</w:t>
      </w:r>
      <w:r w:rsidR="004A74BA">
        <w:t>tiation syndrome was required.</w:t>
      </w:r>
    </w:p>
    <w:p w:rsidR="00456765" w:rsidRPr="00456765" w:rsidRDefault="009479F2" w:rsidP="009B6128">
      <w:r>
        <w:t>Overall</w:t>
      </w:r>
      <w:r w:rsidR="008E4B66">
        <w:t>,</w:t>
      </w:r>
      <w:r>
        <w:t xml:space="preserve"> the evaluator did not raise any significant safety issues with the drug and the safety profile is consistent with the drug’s mechanism of action. Safety was not an aspect of the drug that worked to deteri</w:t>
      </w:r>
      <w:r w:rsidR="004A74BA">
        <w:t>orate its risk/benefit profile.</w:t>
      </w:r>
    </w:p>
    <w:p w:rsidR="008E7846" w:rsidRDefault="00386150" w:rsidP="007B6132">
      <w:pPr>
        <w:pStyle w:val="Heading3"/>
        <w:rPr>
          <w:lang w:eastAsia="en-AU"/>
        </w:rPr>
      </w:pPr>
      <w:bookmarkStart w:id="53" w:name="_Toc40087034"/>
      <w:r>
        <w:rPr>
          <w:lang w:eastAsia="en-AU"/>
        </w:rPr>
        <w:t>Risk m</w:t>
      </w:r>
      <w:r w:rsidR="008E7846">
        <w:rPr>
          <w:lang w:eastAsia="en-AU"/>
        </w:rPr>
        <w:t xml:space="preserve">anagement </w:t>
      </w:r>
      <w:r>
        <w:rPr>
          <w:lang w:eastAsia="en-AU"/>
        </w:rPr>
        <w:t>p</w:t>
      </w:r>
      <w:r w:rsidR="008E7846">
        <w:rPr>
          <w:lang w:eastAsia="en-AU"/>
        </w:rPr>
        <w:t>lan</w:t>
      </w:r>
      <w:bookmarkEnd w:id="42"/>
      <w:bookmarkEnd w:id="53"/>
    </w:p>
    <w:p w:rsidR="008C0373" w:rsidRPr="00F30515" w:rsidRDefault="008E4B66" w:rsidP="004A74BA">
      <w:pPr>
        <w:pStyle w:val="ListBullet"/>
        <w:rPr>
          <w:kern w:val="16"/>
        </w:rPr>
      </w:pPr>
      <w:r>
        <w:t>The sponsor</w:t>
      </w:r>
      <w:r w:rsidR="008C0373" w:rsidRPr="00BF086A">
        <w:t xml:space="preserve"> has submitted </w:t>
      </w:r>
      <w:r>
        <w:t>European Union-risk management plan (</w:t>
      </w:r>
      <w:r w:rsidR="008C0373" w:rsidRPr="00BF086A">
        <w:t>EU-RMP</w:t>
      </w:r>
      <w:r>
        <w:t>)</w:t>
      </w:r>
      <w:r w:rsidR="008C0373" w:rsidRPr="00BF086A">
        <w:t xml:space="preserve"> version 0.1 (4 May 2018; </w:t>
      </w:r>
      <w:r>
        <w:t>data lock point (</w:t>
      </w:r>
      <w:r w:rsidR="008C0373" w:rsidRPr="00BF086A">
        <w:t>DLP</w:t>
      </w:r>
      <w:r>
        <w:t>)</w:t>
      </w:r>
      <w:r w:rsidR="008C0373" w:rsidRPr="00BF086A">
        <w:t xml:space="preserve"> 1 September 2017) </w:t>
      </w:r>
      <w:r w:rsidR="008C0373" w:rsidRPr="006B2109">
        <w:t xml:space="preserve">and </w:t>
      </w:r>
      <w:r>
        <w:t>Australian specific Annex (</w:t>
      </w:r>
      <w:r w:rsidR="008C0373" w:rsidRPr="006B2109">
        <w:t>ASA</w:t>
      </w:r>
      <w:r>
        <w:t>)</w:t>
      </w:r>
      <w:r w:rsidR="008C0373" w:rsidRPr="006B2109">
        <w:t xml:space="preserve"> version 1.1 (30 November 2018) in support of this application. In </w:t>
      </w:r>
      <w:r>
        <w:t>response to TGA questions,</w:t>
      </w:r>
      <w:r w:rsidR="008C0373" w:rsidRPr="006B2109">
        <w:t xml:space="preserve"> the sponsor has submitted updated </w:t>
      </w:r>
      <w:r>
        <w:rPr>
          <w:kern w:val="16"/>
        </w:rPr>
        <w:t>EU-RMP version 0.2 (8 </w:t>
      </w:r>
      <w:r w:rsidR="008C0373" w:rsidRPr="006B2109">
        <w:rPr>
          <w:kern w:val="16"/>
        </w:rPr>
        <w:t>January 2019; DLP 1 September 2017) and ASA version 1.2 (8 January 2019).</w:t>
      </w:r>
    </w:p>
    <w:p w:rsidR="008C0373" w:rsidRDefault="008C0373" w:rsidP="004A74BA">
      <w:pPr>
        <w:pStyle w:val="ListBullet"/>
      </w:pPr>
      <w:r w:rsidRPr="00BF086A">
        <w:t xml:space="preserve">The proposed summary of safety concerns and their associated risk monitoring and mitigation </w:t>
      </w:r>
      <w:r w:rsidR="008E4B66">
        <w:t xml:space="preserve">strategies are summarised below in </w:t>
      </w:r>
      <w:r w:rsidR="008E4B66">
        <w:fldChar w:fldCharType="begin"/>
      </w:r>
      <w:r w:rsidR="008E4B66">
        <w:instrText xml:space="preserve"> REF _Ref36193186 \h </w:instrText>
      </w:r>
      <w:r w:rsidR="008E4B66">
        <w:fldChar w:fldCharType="separate"/>
      </w:r>
      <w:r w:rsidR="008E4B66">
        <w:t xml:space="preserve">Table </w:t>
      </w:r>
      <w:r w:rsidR="008E4B66">
        <w:rPr>
          <w:noProof/>
        </w:rPr>
        <w:t>10</w:t>
      </w:r>
      <w:r w:rsidR="008E4B66">
        <w:fldChar w:fldCharType="end"/>
      </w:r>
      <w:r w:rsidR="008E4B66">
        <w:rPr>
          <w:rStyle w:val="FootnoteReference"/>
          <w:lang w:eastAsia="en-AU"/>
        </w:rPr>
        <w:t>.</w:t>
      </w:r>
      <w:r w:rsidR="0033658A">
        <w:rPr>
          <w:rStyle w:val="FootnoteReference"/>
          <w:lang w:eastAsia="en-AU"/>
        </w:rPr>
        <w:footnoteReference w:id="8"/>
      </w:r>
    </w:p>
    <w:p w:rsidR="0030637E" w:rsidRPr="00BF086A" w:rsidRDefault="00DF3646" w:rsidP="00DF3646">
      <w:pPr>
        <w:pStyle w:val="TableTitle"/>
      </w:pPr>
      <w:bookmarkStart w:id="54" w:name="_Ref36193186"/>
      <w:r>
        <w:t xml:space="preserve">Table </w:t>
      </w:r>
      <w:r w:rsidR="00735356">
        <w:fldChar w:fldCharType="begin"/>
      </w:r>
      <w:r w:rsidR="00735356">
        <w:instrText xml:space="preserve"> SEQ Table \* ARABIC </w:instrText>
      </w:r>
      <w:r w:rsidR="00735356">
        <w:fldChar w:fldCharType="separate"/>
      </w:r>
      <w:r w:rsidR="009B6128">
        <w:rPr>
          <w:noProof/>
        </w:rPr>
        <w:t>10</w:t>
      </w:r>
      <w:r w:rsidR="00735356">
        <w:rPr>
          <w:noProof/>
        </w:rPr>
        <w:fldChar w:fldCharType="end"/>
      </w:r>
      <w:bookmarkEnd w:id="54"/>
      <w:r>
        <w:t xml:space="preserve">: </w:t>
      </w:r>
      <w:r w:rsidR="0030637E">
        <w:t xml:space="preserve">Summary of safety concerns for </w:t>
      </w:r>
      <w:proofErr w:type="spellStart"/>
      <w:r w:rsidR="0030637E">
        <w:t>enasidenib</w:t>
      </w:r>
      <w:proofErr w:type="spellEnd"/>
    </w:p>
    <w:tbl>
      <w:tblPr>
        <w:tblStyle w:val="TableTGAblue"/>
        <w:tblW w:w="5000" w:type="pct"/>
        <w:tblLook w:val="04A0" w:firstRow="1" w:lastRow="0" w:firstColumn="1" w:lastColumn="0" w:noHBand="0" w:noVBand="1"/>
      </w:tblPr>
      <w:tblGrid>
        <w:gridCol w:w="1327"/>
        <w:gridCol w:w="3127"/>
        <w:gridCol w:w="945"/>
        <w:gridCol w:w="1188"/>
        <w:gridCol w:w="945"/>
        <w:gridCol w:w="1188"/>
      </w:tblGrid>
      <w:tr w:rsidR="008C0373" w:rsidRPr="0030637E" w:rsidTr="001A572A">
        <w:trPr>
          <w:cnfStyle w:val="100000000000" w:firstRow="1" w:lastRow="0" w:firstColumn="0" w:lastColumn="0" w:oddVBand="0" w:evenVBand="0" w:oddHBand="0" w:evenHBand="0" w:firstRowFirstColumn="0" w:firstRowLastColumn="0" w:lastRowFirstColumn="0" w:lastRowLastColumn="0"/>
          <w:cantSplit/>
          <w:trHeight w:val="131"/>
        </w:trPr>
        <w:tc>
          <w:tcPr>
            <w:tcW w:w="3024" w:type="pct"/>
            <w:gridSpan w:val="2"/>
            <w:vMerge w:val="restart"/>
          </w:tcPr>
          <w:p w:rsidR="008C0373" w:rsidRPr="00DC5B6B" w:rsidRDefault="008C0373" w:rsidP="0030637E">
            <w:pPr>
              <w:pStyle w:val="Tabletext"/>
              <w:keepNext w:val="0"/>
              <w:ind w:left="0" w:right="0"/>
              <w:rPr>
                <w:sz w:val="20"/>
                <w:szCs w:val="20"/>
              </w:rPr>
            </w:pPr>
            <w:r w:rsidRPr="00E93D0B">
              <w:rPr>
                <w:sz w:val="20"/>
                <w:szCs w:val="20"/>
              </w:rPr>
              <w:t>Summary of safety concerns</w:t>
            </w:r>
          </w:p>
        </w:tc>
        <w:tc>
          <w:tcPr>
            <w:tcW w:w="988" w:type="pct"/>
            <w:gridSpan w:val="2"/>
          </w:tcPr>
          <w:p w:rsidR="008C0373" w:rsidRPr="00DC5B6B" w:rsidRDefault="008C0373" w:rsidP="0030637E">
            <w:pPr>
              <w:pStyle w:val="Tabletext"/>
              <w:keepNext w:val="0"/>
              <w:ind w:left="0" w:right="0"/>
              <w:rPr>
                <w:sz w:val="20"/>
                <w:szCs w:val="20"/>
              </w:rPr>
            </w:pPr>
            <w:r w:rsidRPr="00E93D0B">
              <w:rPr>
                <w:sz w:val="20"/>
                <w:szCs w:val="20"/>
              </w:rPr>
              <w:t>Pharmacovigilance</w:t>
            </w:r>
          </w:p>
        </w:tc>
        <w:tc>
          <w:tcPr>
            <w:tcW w:w="988" w:type="pct"/>
            <w:gridSpan w:val="2"/>
          </w:tcPr>
          <w:p w:rsidR="008C0373" w:rsidRPr="00DC5B6B" w:rsidRDefault="008C0373" w:rsidP="0030637E">
            <w:pPr>
              <w:pStyle w:val="Tabletext"/>
              <w:keepNext w:val="0"/>
              <w:ind w:left="0" w:right="0"/>
              <w:rPr>
                <w:sz w:val="20"/>
                <w:szCs w:val="20"/>
              </w:rPr>
            </w:pPr>
            <w:r w:rsidRPr="00E93D0B">
              <w:rPr>
                <w:sz w:val="20"/>
                <w:szCs w:val="20"/>
              </w:rPr>
              <w:t>Risk Minimisation</w:t>
            </w:r>
          </w:p>
        </w:tc>
      </w:tr>
      <w:tr w:rsidR="008C0373" w:rsidRPr="0030637E" w:rsidTr="001A572A">
        <w:trPr>
          <w:cnfStyle w:val="100000000000" w:firstRow="1" w:lastRow="0" w:firstColumn="0" w:lastColumn="0" w:oddVBand="0" w:evenVBand="0" w:oddHBand="0" w:evenHBand="0" w:firstRowFirstColumn="0" w:firstRowLastColumn="0" w:lastRowFirstColumn="0" w:lastRowLastColumn="0"/>
          <w:cantSplit/>
          <w:trHeight w:val="150"/>
        </w:trPr>
        <w:tc>
          <w:tcPr>
            <w:tcW w:w="3024" w:type="pct"/>
            <w:gridSpan w:val="2"/>
            <w:vMerge/>
          </w:tcPr>
          <w:p w:rsidR="008C0373" w:rsidRPr="0030637E" w:rsidRDefault="008C0373" w:rsidP="0030637E">
            <w:pPr>
              <w:pStyle w:val="Tabletext"/>
              <w:ind w:left="0" w:right="0"/>
              <w:rPr>
                <w:b w:val="0"/>
                <w:sz w:val="20"/>
                <w:szCs w:val="20"/>
              </w:rPr>
            </w:pPr>
          </w:p>
        </w:tc>
        <w:tc>
          <w:tcPr>
            <w:tcW w:w="449" w:type="pct"/>
          </w:tcPr>
          <w:p w:rsidR="008C0373" w:rsidRPr="0030637E" w:rsidRDefault="008C0373" w:rsidP="0030637E">
            <w:pPr>
              <w:pStyle w:val="Tabletext"/>
              <w:ind w:left="0" w:right="0"/>
              <w:rPr>
                <w:sz w:val="20"/>
                <w:szCs w:val="20"/>
              </w:rPr>
            </w:pPr>
            <w:r w:rsidRPr="0030637E">
              <w:rPr>
                <w:sz w:val="20"/>
                <w:szCs w:val="20"/>
              </w:rPr>
              <w:t>Routine</w:t>
            </w:r>
          </w:p>
        </w:tc>
        <w:tc>
          <w:tcPr>
            <w:tcW w:w="539" w:type="pct"/>
          </w:tcPr>
          <w:p w:rsidR="008C0373" w:rsidRPr="0030637E" w:rsidRDefault="008C0373" w:rsidP="0030637E">
            <w:pPr>
              <w:pStyle w:val="Tabletext"/>
              <w:ind w:left="0" w:right="0"/>
              <w:rPr>
                <w:sz w:val="20"/>
                <w:szCs w:val="20"/>
              </w:rPr>
            </w:pPr>
            <w:r w:rsidRPr="0030637E">
              <w:rPr>
                <w:sz w:val="20"/>
                <w:szCs w:val="20"/>
              </w:rPr>
              <w:t>Additional</w:t>
            </w:r>
          </w:p>
        </w:tc>
        <w:tc>
          <w:tcPr>
            <w:tcW w:w="435" w:type="pct"/>
          </w:tcPr>
          <w:p w:rsidR="008C0373" w:rsidRPr="0030637E" w:rsidRDefault="008C0373" w:rsidP="0030637E">
            <w:pPr>
              <w:pStyle w:val="Tabletext"/>
              <w:ind w:left="0" w:right="0"/>
              <w:rPr>
                <w:sz w:val="20"/>
                <w:szCs w:val="20"/>
              </w:rPr>
            </w:pPr>
            <w:r w:rsidRPr="0030637E">
              <w:rPr>
                <w:sz w:val="20"/>
                <w:szCs w:val="20"/>
              </w:rPr>
              <w:t>Routine</w:t>
            </w:r>
          </w:p>
        </w:tc>
        <w:tc>
          <w:tcPr>
            <w:tcW w:w="553" w:type="pct"/>
          </w:tcPr>
          <w:p w:rsidR="008C0373" w:rsidRPr="0030637E" w:rsidRDefault="008C0373" w:rsidP="0030637E">
            <w:pPr>
              <w:pStyle w:val="Tabletext"/>
              <w:ind w:left="0" w:right="0"/>
              <w:rPr>
                <w:sz w:val="20"/>
                <w:szCs w:val="20"/>
              </w:rPr>
            </w:pPr>
            <w:r w:rsidRPr="0030637E">
              <w:rPr>
                <w:sz w:val="20"/>
                <w:szCs w:val="20"/>
              </w:rPr>
              <w:t>Additional</w:t>
            </w:r>
          </w:p>
        </w:tc>
      </w:tr>
      <w:tr w:rsidR="008C0373" w:rsidRPr="0030637E" w:rsidTr="0030637E">
        <w:trPr>
          <w:trHeight w:val="137"/>
        </w:trPr>
        <w:tc>
          <w:tcPr>
            <w:tcW w:w="701" w:type="pct"/>
            <w:vMerge w:val="restart"/>
          </w:tcPr>
          <w:p w:rsidR="008C0373" w:rsidRPr="0030637E" w:rsidRDefault="008C0373" w:rsidP="0030637E">
            <w:pPr>
              <w:pStyle w:val="Tabletext"/>
              <w:ind w:left="0" w:right="0"/>
              <w:rPr>
                <w:b/>
                <w:sz w:val="20"/>
                <w:szCs w:val="20"/>
              </w:rPr>
            </w:pPr>
            <w:r w:rsidRPr="0030637E">
              <w:rPr>
                <w:b/>
                <w:sz w:val="20"/>
                <w:szCs w:val="20"/>
              </w:rPr>
              <w:t>Important identified risks</w:t>
            </w:r>
          </w:p>
        </w:tc>
        <w:tc>
          <w:tcPr>
            <w:tcW w:w="2323" w:type="pct"/>
          </w:tcPr>
          <w:p w:rsidR="008C0373" w:rsidRPr="0030637E" w:rsidRDefault="008C0373" w:rsidP="0030637E">
            <w:pPr>
              <w:ind w:left="0" w:right="0"/>
              <w:rPr>
                <w:sz w:val="20"/>
                <w:szCs w:val="20"/>
              </w:rPr>
            </w:pPr>
            <w:r w:rsidRPr="0030637E">
              <w:rPr>
                <w:sz w:val="20"/>
                <w:szCs w:val="20"/>
              </w:rPr>
              <w:t>Differentiation syndrome</w:t>
            </w:r>
          </w:p>
        </w:tc>
        <w:tc>
          <w:tcPr>
            <w:tcW w:w="449" w:type="pct"/>
          </w:tcPr>
          <w:p w:rsidR="008C0373" w:rsidRPr="0030637E" w:rsidRDefault="008C0373" w:rsidP="0030637E">
            <w:pPr>
              <w:pStyle w:val="Tabletext"/>
              <w:ind w:left="0" w:right="0"/>
              <w:jc w:val="center"/>
              <w:rPr>
                <w:sz w:val="20"/>
                <w:szCs w:val="20"/>
              </w:rPr>
            </w:pPr>
            <w:r w:rsidRPr="0030637E">
              <w:rPr>
                <w:sz w:val="20"/>
                <w:szCs w:val="20"/>
              </w:rPr>
              <w:sym w:font="Wingdings" w:char="F0FC"/>
            </w:r>
            <w:r w:rsidRPr="0030637E">
              <w:rPr>
                <w:sz w:val="20"/>
                <w:szCs w:val="20"/>
              </w:rPr>
              <w:t>*</w:t>
            </w:r>
          </w:p>
        </w:tc>
        <w:tc>
          <w:tcPr>
            <w:tcW w:w="539" w:type="pct"/>
          </w:tcPr>
          <w:p w:rsidR="008C0373" w:rsidRPr="0030637E" w:rsidRDefault="008C0373" w:rsidP="0030637E">
            <w:pPr>
              <w:pStyle w:val="Tabletext"/>
              <w:ind w:left="0" w:right="0"/>
              <w:jc w:val="center"/>
              <w:rPr>
                <w:sz w:val="20"/>
                <w:szCs w:val="20"/>
              </w:rPr>
            </w:pPr>
            <w:r w:rsidRPr="0030637E">
              <w:rPr>
                <w:sz w:val="20"/>
                <w:szCs w:val="20"/>
              </w:rPr>
              <w:sym w:font="Wingdings" w:char="F0FC"/>
            </w:r>
            <w:r w:rsidRPr="0030637E">
              <w:rPr>
                <w:sz w:val="20"/>
                <w:szCs w:val="20"/>
              </w:rPr>
              <w:t>†</w:t>
            </w:r>
          </w:p>
        </w:tc>
        <w:tc>
          <w:tcPr>
            <w:tcW w:w="435" w:type="pct"/>
          </w:tcPr>
          <w:p w:rsidR="008C0373" w:rsidRPr="0030637E" w:rsidRDefault="008C0373" w:rsidP="0030637E">
            <w:pPr>
              <w:pStyle w:val="Tabletext"/>
              <w:ind w:left="0" w:right="0"/>
              <w:jc w:val="center"/>
              <w:rPr>
                <w:sz w:val="20"/>
                <w:szCs w:val="20"/>
              </w:rPr>
            </w:pPr>
            <w:r w:rsidRPr="0030637E">
              <w:rPr>
                <w:sz w:val="20"/>
                <w:szCs w:val="20"/>
              </w:rPr>
              <w:sym w:font="Wingdings" w:char="F0FC"/>
            </w:r>
            <w:r w:rsidRPr="0030637E">
              <w:rPr>
                <w:sz w:val="20"/>
                <w:szCs w:val="20"/>
              </w:rPr>
              <w:t>‡</w:t>
            </w:r>
          </w:p>
        </w:tc>
        <w:tc>
          <w:tcPr>
            <w:tcW w:w="553" w:type="pct"/>
          </w:tcPr>
          <w:p w:rsidR="008C0373" w:rsidRPr="0030637E" w:rsidRDefault="008C0373" w:rsidP="0030637E">
            <w:pPr>
              <w:pStyle w:val="Tabletext"/>
              <w:ind w:left="0" w:right="0"/>
              <w:jc w:val="center"/>
              <w:rPr>
                <w:sz w:val="20"/>
                <w:szCs w:val="20"/>
              </w:rPr>
            </w:pPr>
            <w:r w:rsidRPr="0030637E">
              <w:rPr>
                <w:sz w:val="20"/>
                <w:szCs w:val="20"/>
              </w:rPr>
              <w:sym w:font="Wingdings" w:char="F0FC"/>
            </w:r>
            <w:r w:rsidRPr="0030637E">
              <w:rPr>
                <w:sz w:val="20"/>
                <w:szCs w:val="20"/>
              </w:rPr>
              <w:t>ǁ</w:t>
            </w:r>
          </w:p>
        </w:tc>
      </w:tr>
      <w:tr w:rsidR="008C0373" w:rsidRPr="0030637E" w:rsidTr="0030637E">
        <w:trPr>
          <w:trHeight w:val="187"/>
        </w:trPr>
        <w:tc>
          <w:tcPr>
            <w:tcW w:w="701" w:type="pct"/>
            <w:vMerge/>
          </w:tcPr>
          <w:p w:rsidR="008C0373" w:rsidRPr="0030637E" w:rsidRDefault="008C0373" w:rsidP="0030637E">
            <w:pPr>
              <w:pStyle w:val="Tabletext"/>
              <w:ind w:left="0" w:right="0"/>
              <w:rPr>
                <w:b/>
                <w:sz w:val="20"/>
                <w:szCs w:val="20"/>
              </w:rPr>
            </w:pPr>
          </w:p>
        </w:tc>
        <w:tc>
          <w:tcPr>
            <w:tcW w:w="2323" w:type="pct"/>
          </w:tcPr>
          <w:p w:rsidR="008C0373" w:rsidRPr="0030637E" w:rsidRDefault="008C0373" w:rsidP="0030637E">
            <w:pPr>
              <w:ind w:left="0" w:right="0"/>
              <w:rPr>
                <w:sz w:val="20"/>
                <w:szCs w:val="20"/>
              </w:rPr>
            </w:pPr>
            <w:r w:rsidRPr="0030637E">
              <w:rPr>
                <w:sz w:val="20"/>
                <w:szCs w:val="20"/>
              </w:rPr>
              <w:t>Tumour lysis syndrome</w:t>
            </w:r>
          </w:p>
        </w:tc>
        <w:tc>
          <w:tcPr>
            <w:tcW w:w="449" w:type="pct"/>
          </w:tcPr>
          <w:p w:rsidR="008C0373" w:rsidRPr="0030637E" w:rsidRDefault="008C0373" w:rsidP="0030637E">
            <w:pPr>
              <w:pStyle w:val="Tabletext"/>
              <w:ind w:left="0" w:right="0"/>
              <w:jc w:val="center"/>
              <w:rPr>
                <w:sz w:val="20"/>
                <w:szCs w:val="20"/>
              </w:rPr>
            </w:pPr>
            <w:r w:rsidRPr="0030637E">
              <w:rPr>
                <w:sz w:val="20"/>
                <w:szCs w:val="20"/>
              </w:rPr>
              <w:sym w:font="Wingdings" w:char="F0FC"/>
            </w:r>
            <w:r w:rsidRPr="0030637E">
              <w:rPr>
                <w:sz w:val="20"/>
                <w:szCs w:val="20"/>
              </w:rPr>
              <w:t>*</w:t>
            </w:r>
          </w:p>
        </w:tc>
        <w:tc>
          <w:tcPr>
            <w:tcW w:w="539" w:type="pct"/>
          </w:tcPr>
          <w:p w:rsidR="008C0373" w:rsidRPr="0030637E" w:rsidRDefault="008C0373" w:rsidP="0030637E">
            <w:pPr>
              <w:pStyle w:val="Tabletext"/>
              <w:ind w:left="0" w:right="0"/>
              <w:jc w:val="center"/>
              <w:rPr>
                <w:sz w:val="20"/>
                <w:szCs w:val="20"/>
              </w:rPr>
            </w:pPr>
            <w:r w:rsidRPr="0030637E">
              <w:rPr>
                <w:sz w:val="20"/>
                <w:szCs w:val="20"/>
              </w:rPr>
              <w:t>–</w:t>
            </w:r>
          </w:p>
        </w:tc>
        <w:tc>
          <w:tcPr>
            <w:tcW w:w="435" w:type="pct"/>
          </w:tcPr>
          <w:p w:rsidR="008C0373" w:rsidRPr="0030637E" w:rsidRDefault="008C0373" w:rsidP="0030637E">
            <w:pPr>
              <w:pStyle w:val="Tabletext"/>
              <w:ind w:left="0" w:right="0"/>
              <w:jc w:val="center"/>
              <w:rPr>
                <w:sz w:val="20"/>
                <w:szCs w:val="20"/>
              </w:rPr>
            </w:pPr>
            <w:r w:rsidRPr="0030637E">
              <w:rPr>
                <w:sz w:val="20"/>
                <w:szCs w:val="20"/>
              </w:rPr>
              <w:sym w:font="Wingdings" w:char="F0FC"/>
            </w:r>
          </w:p>
        </w:tc>
        <w:tc>
          <w:tcPr>
            <w:tcW w:w="553" w:type="pct"/>
          </w:tcPr>
          <w:p w:rsidR="008C0373" w:rsidRPr="0030637E" w:rsidRDefault="008C0373" w:rsidP="0030637E">
            <w:pPr>
              <w:pStyle w:val="Tabletext"/>
              <w:ind w:left="0" w:right="0"/>
              <w:jc w:val="center"/>
              <w:rPr>
                <w:sz w:val="20"/>
                <w:szCs w:val="20"/>
              </w:rPr>
            </w:pPr>
            <w:r w:rsidRPr="0030637E">
              <w:rPr>
                <w:sz w:val="20"/>
                <w:szCs w:val="20"/>
              </w:rPr>
              <w:t>–</w:t>
            </w:r>
          </w:p>
        </w:tc>
      </w:tr>
      <w:tr w:rsidR="008C0373" w:rsidRPr="0030637E" w:rsidTr="0030637E">
        <w:trPr>
          <w:trHeight w:val="159"/>
        </w:trPr>
        <w:tc>
          <w:tcPr>
            <w:tcW w:w="701" w:type="pct"/>
            <w:vMerge w:val="restart"/>
          </w:tcPr>
          <w:p w:rsidR="008C0373" w:rsidRPr="0030637E" w:rsidRDefault="008C0373" w:rsidP="0030637E">
            <w:pPr>
              <w:pStyle w:val="Tabletext"/>
              <w:ind w:left="0" w:right="0"/>
              <w:rPr>
                <w:b/>
                <w:sz w:val="20"/>
                <w:szCs w:val="20"/>
              </w:rPr>
            </w:pPr>
            <w:r w:rsidRPr="0030637E">
              <w:rPr>
                <w:b/>
                <w:sz w:val="20"/>
                <w:szCs w:val="20"/>
              </w:rPr>
              <w:t xml:space="preserve">Important </w:t>
            </w:r>
            <w:r w:rsidRPr="0030637E">
              <w:rPr>
                <w:b/>
                <w:sz w:val="20"/>
                <w:szCs w:val="20"/>
              </w:rPr>
              <w:lastRenderedPageBreak/>
              <w:t>potential risks</w:t>
            </w:r>
          </w:p>
        </w:tc>
        <w:tc>
          <w:tcPr>
            <w:tcW w:w="2323" w:type="pct"/>
          </w:tcPr>
          <w:p w:rsidR="008C0373" w:rsidRPr="0030637E" w:rsidRDefault="008C0373" w:rsidP="0030637E">
            <w:pPr>
              <w:ind w:left="0" w:right="0"/>
              <w:rPr>
                <w:sz w:val="20"/>
                <w:szCs w:val="20"/>
              </w:rPr>
            </w:pPr>
            <w:proofErr w:type="spellStart"/>
            <w:r w:rsidRPr="0030637E">
              <w:rPr>
                <w:sz w:val="20"/>
                <w:szCs w:val="20"/>
              </w:rPr>
              <w:lastRenderedPageBreak/>
              <w:t>Fetal</w:t>
            </w:r>
            <w:proofErr w:type="spellEnd"/>
            <w:r w:rsidRPr="0030637E">
              <w:rPr>
                <w:sz w:val="20"/>
                <w:szCs w:val="20"/>
              </w:rPr>
              <w:t xml:space="preserve"> toxicity</w:t>
            </w:r>
          </w:p>
        </w:tc>
        <w:tc>
          <w:tcPr>
            <w:tcW w:w="449" w:type="pct"/>
          </w:tcPr>
          <w:p w:rsidR="008C0373" w:rsidRPr="0030637E" w:rsidRDefault="008C0373" w:rsidP="0030637E">
            <w:pPr>
              <w:pStyle w:val="Tabletext"/>
              <w:ind w:left="0" w:right="0"/>
              <w:jc w:val="center"/>
              <w:rPr>
                <w:sz w:val="20"/>
                <w:szCs w:val="20"/>
              </w:rPr>
            </w:pPr>
            <w:r w:rsidRPr="0030637E">
              <w:rPr>
                <w:sz w:val="20"/>
                <w:szCs w:val="20"/>
              </w:rPr>
              <w:sym w:font="Wingdings" w:char="F0FC"/>
            </w:r>
            <w:r w:rsidRPr="0030637E">
              <w:rPr>
                <w:sz w:val="20"/>
                <w:szCs w:val="20"/>
              </w:rPr>
              <w:t>*</w:t>
            </w:r>
          </w:p>
        </w:tc>
        <w:tc>
          <w:tcPr>
            <w:tcW w:w="539" w:type="pct"/>
          </w:tcPr>
          <w:p w:rsidR="008C0373" w:rsidRPr="0030637E" w:rsidRDefault="008C0373" w:rsidP="0030637E">
            <w:pPr>
              <w:pStyle w:val="Tabletext"/>
              <w:ind w:left="0" w:right="0"/>
              <w:jc w:val="center"/>
              <w:rPr>
                <w:sz w:val="20"/>
                <w:szCs w:val="20"/>
              </w:rPr>
            </w:pPr>
            <w:r w:rsidRPr="0030637E">
              <w:rPr>
                <w:sz w:val="20"/>
                <w:szCs w:val="20"/>
              </w:rPr>
              <w:t>–</w:t>
            </w:r>
          </w:p>
        </w:tc>
        <w:tc>
          <w:tcPr>
            <w:tcW w:w="435" w:type="pct"/>
          </w:tcPr>
          <w:p w:rsidR="008C0373" w:rsidRPr="0030637E" w:rsidRDefault="008C0373" w:rsidP="0030637E">
            <w:pPr>
              <w:pStyle w:val="Tabletext"/>
              <w:ind w:left="0" w:right="0"/>
              <w:jc w:val="center"/>
              <w:rPr>
                <w:sz w:val="20"/>
                <w:szCs w:val="20"/>
              </w:rPr>
            </w:pPr>
            <w:r w:rsidRPr="0030637E">
              <w:rPr>
                <w:sz w:val="20"/>
                <w:szCs w:val="20"/>
              </w:rPr>
              <w:sym w:font="Wingdings" w:char="F0FC"/>
            </w:r>
          </w:p>
        </w:tc>
        <w:tc>
          <w:tcPr>
            <w:tcW w:w="553" w:type="pct"/>
          </w:tcPr>
          <w:p w:rsidR="008C0373" w:rsidRPr="0030637E" w:rsidRDefault="008C0373" w:rsidP="0030637E">
            <w:pPr>
              <w:pStyle w:val="Tabletext"/>
              <w:ind w:left="0" w:right="0"/>
              <w:jc w:val="center"/>
              <w:rPr>
                <w:sz w:val="20"/>
                <w:szCs w:val="20"/>
              </w:rPr>
            </w:pPr>
            <w:r w:rsidRPr="0030637E">
              <w:rPr>
                <w:sz w:val="20"/>
                <w:szCs w:val="20"/>
              </w:rPr>
              <w:t>–</w:t>
            </w:r>
          </w:p>
        </w:tc>
      </w:tr>
      <w:tr w:rsidR="008C0373" w:rsidRPr="0030637E" w:rsidTr="0030637E">
        <w:trPr>
          <w:trHeight w:val="122"/>
        </w:trPr>
        <w:tc>
          <w:tcPr>
            <w:tcW w:w="701" w:type="pct"/>
            <w:vMerge/>
          </w:tcPr>
          <w:p w:rsidR="008C0373" w:rsidRPr="0030637E" w:rsidRDefault="008C0373" w:rsidP="0030637E">
            <w:pPr>
              <w:pStyle w:val="Tabletext"/>
              <w:ind w:left="0" w:right="0"/>
              <w:rPr>
                <w:b/>
                <w:sz w:val="20"/>
                <w:szCs w:val="20"/>
              </w:rPr>
            </w:pPr>
          </w:p>
        </w:tc>
        <w:tc>
          <w:tcPr>
            <w:tcW w:w="2323" w:type="pct"/>
          </w:tcPr>
          <w:p w:rsidR="008C0373" w:rsidRPr="0030637E" w:rsidRDefault="008C0373" w:rsidP="0030637E">
            <w:pPr>
              <w:ind w:left="0" w:right="0"/>
              <w:rPr>
                <w:sz w:val="20"/>
                <w:szCs w:val="20"/>
              </w:rPr>
            </w:pPr>
            <w:r w:rsidRPr="0030637E">
              <w:rPr>
                <w:sz w:val="20"/>
                <w:szCs w:val="20"/>
              </w:rPr>
              <w:t>QT interval prolongation</w:t>
            </w:r>
          </w:p>
        </w:tc>
        <w:tc>
          <w:tcPr>
            <w:tcW w:w="449" w:type="pct"/>
          </w:tcPr>
          <w:p w:rsidR="008C0373" w:rsidRPr="0030637E" w:rsidRDefault="008C0373" w:rsidP="0030637E">
            <w:pPr>
              <w:pStyle w:val="Tabletext"/>
              <w:ind w:left="0" w:right="0"/>
              <w:jc w:val="center"/>
              <w:rPr>
                <w:sz w:val="20"/>
                <w:szCs w:val="20"/>
              </w:rPr>
            </w:pPr>
            <w:r w:rsidRPr="0030637E">
              <w:rPr>
                <w:sz w:val="20"/>
                <w:szCs w:val="20"/>
              </w:rPr>
              <w:sym w:font="Wingdings" w:char="F0FC"/>
            </w:r>
          </w:p>
        </w:tc>
        <w:tc>
          <w:tcPr>
            <w:tcW w:w="539" w:type="pct"/>
          </w:tcPr>
          <w:p w:rsidR="008C0373" w:rsidRPr="0030637E" w:rsidRDefault="008C0373" w:rsidP="0030637E">
            <w:pPr>
              <w:pStyle w:val="Tabletext"/>
              <w:ind w:left="0" w:right="0"/>
              <w:jc w:val="center"/>
              <w:rPr>
                <w:sz w:val="20"/>
                <w:szCs w:val="20"/>
              </w:rPr>
            </w:pPr>
            <w:r w:rsidRPr="0030637E">
              <w:rPr>
                <w:sz w:val="20"/>
                <w:szCs w:val="20"/>
              </w:rPr>
              <w:t>–</w:t>
            </w:r>
          </w:p>
        </w:tc>
        <w:tc>
          <w:tcPr>
            <w:tcW w:w="435" w:type="pct"/>
          </w:tcPr>
          <w:p w:rsidR="008C0373" w:rsidRPr="0030637E" w:rsidRDefault="008C0373" w:rsidP="0030637E">
            <w:pPr>
              <w:pStyle w:val="Tabletext"/>
              <w:ind w:left="0" w:right="0"/>
              <w:jc w:val="center"/>
              <w:rPr>
                <w:sz w:val="20"/>
                <w:szCs w:val="20"/>
              </w:rPr>
            </w:pPr>
            <w:r w:rsidRPr="0030637E">
              <w:rPr>
                <w:sz w:val="20"/>
                <w:szCs w:val="20"/>
              </w:rPr>
              <w:sym w:font="Wingdings" w:char="F0FC"/>
            </w:r>
          </w:p>
        </w:tc>
        <w:tc>
          <w:tcPr>
            <w:tcW w:w="553" w:type="pct"/>
          </w:tcPr>
          <w:p w:rsidR="008C0373" w:rsidRPr="0030637E" w:rsidRDefault="008C0373" w:rsidP="0030637E">
            <w:pPr>
              <w:pStyle w:val="Tabletext"/>
              <w:ind w:left="0" w:right="0"/>
              <w:jc w:val="center"/>
              <w:rPr>
                <w:sz w:val="20"/>
                <w:szCs w:val="20"/>
              </w:rPr>
            </w:pPr>
            <w:r w:rsidRPr="0030637E">
              <w:rPr>
                <w:sz w:val="20"/>
                <w:szCs w:val="20"/>
              </w:rPr>
              <w:t>–</w:t>
            </w:r>
          </w:p>
        </w:tc>
      </w:tr>
      <w:tr w:rsidR="008C0373" w:rsidRPr="0030637E" w:rsidTr="0030637E">
        <w:trPr>
          <w:trHeight w:val="178"/>
        </w:trPr>
        <w:tc>
          <w:tcPr>
            <w:tcW w:w="701" w:type="pct"/>
            <w:vMerge w:val="restart"/>
          </w:tcPr>
          <w:p w:rsidR="008C0373" w:rsidRPr="0030637E" w:rsidRDefault="008C0373" w:rsidP="0030637E">
            <w:pPr>
              <w:pStyle w:val="Tabletext"/>
              <w:ind w:left="0" w:right="0"/>
              <w:rPr>
                <w:b/>
                <w:sz w:val="20"/>
                <w:szCs w:val="20"/>
              </w:rPr>
            </w:pPr>
            <w:r w:rsidRPr="0030637E">
              <w:rPr>
                <w:b/>
                <w:sz w:val="20"/>
                <w:szCs w:val="20"/>
              </w:rPr>
              <w:t>Missing information</w:t>
            </w:r>
          </w:p>
        </w:tc>
        <w:tc>
          <w:tcPr>
            <w:tcW w:w="2323" w:type="pct"/>
          </w:tcPr>
          <w:p w:rsidR="008C0373" w:rsidRPr="0030637E" w:rsidRDefault="008C0373" w:rsidP="0030637E">
            <w:pPr>
              <w:pStyle w:val="Tabletext"/>
              <w:ind w:left="0" w:right="0"/>
              <w:rPr>
                <w:sz w:val="20"/>
                <w:szCs w:val="20"/>
              </w:rPr>
            </w:pPr>
            <w:r w:rsidRPr="0030637E">
              <w:rPr>
                <w:sz w:val="20"/>
                <w:szCs w:val="20"/>
              </w:rPr>
              <w:t>Safety in patients with moderate to severe hepatic impairment</w:t>
            </w:r>
          </w:p>
        </w:tc>
        <w:tc>
          <w:tcPr>
            <w:tcW w:w="449" w:type="pct"/>
          </w:tcPr>
          <w:p w:rsidR="008C0373" w:rsidRPr="0030637E" w:rsidRDefault="008C0373" w:rsidP="0030637E">
            <w:pPr>
              <w:pStyle w:val="Tabletext"/>
              <w:ind w:left="0" w:right="0"/>
              <w:jc w:val="center"/>
              <w:rPr>
                <w:sz w:val="20"/>
                <w:szCs w:val="20"/>
              </w:rPr>
            </w:pPr>
            <w:r w:rsidRPr="0030637E">
              <w:rPr>
                <w:sz w:val="20"/>
                <w:szCs w:val="20"/>
              </w:rPr>
              <w:sym w:font="Wingdings" w:char="F0FC"/>
            </w:r>
          </w:p>
        </w:tc>
        <w:tc>
          <w:tcPr>
            <w:tcW w:w="539" w:type="pct"/>
          </w:tcPr>
          <w:p w:rsidR="008C0373" w:rsidRPr="0030637E" w:rsidRDefault="008C0373" w:rsidP="0030637E">
            <w:pPr>
              <w:pStyle w:val="Tabletext"/>
              <w:ind w:left="0" w:right="0"/>
              <w:jc w:val="center"/>
              <w:rPr>
                <w:sz w:val="20"/>
                <w:szCs w:val="20"/>
              </w:rPr>
            </w:pPr>
            <w:r w:rsidRPr="0030637E">
              <w:rPr>
                <w:sz w:val="20"/>
                <w:szCs w:val="20"/>
              </w:rPr>
              <w:sym w:font="Wingdings" w:char="F0FC"/>
            </w:r>
            <w:r w:rsidRPr="0030637E">
              <w:rPr>
                <w:sz w:val="20"/>
                <w:szCs w:val="20"/>
              </w:rPr>
              <w:t>§</w:t>
            </w:r>
          </w:p>
        </w:tc>
        <w:tc>
          <w:tcPr>
            <w:tcW w:w="435" w:type="pct"/>
          </w:tcPr>
          <w:p w:rsidR="008C0373" w:rsidRPr="0030637E" w:rsidRDefault="008C0373" w:rsidP="0030637E">
            <w:pPr>
              <w:pStyle w:val="Tabletext"/>
              <w:ind w:left="0" w:right="0"/>
              <w:jc w:val="center"/>
              <w:rPr>
                <w:sz w:val="20"/>
                <w:szCs w:val="20"/>
              </w:rPr>
            </w:pPr>
            <w:r w:rsidRPr="0030637E">
              <w:rPr>
                <w:sz w:val="20"/>
                <w:szCs w:val="20"/>
              </w:rPr>
              <w:sym w:font="Wingdings" w:char="F0FC"/>
            </w:r>
          </w:p>
        </w:tc>
        <w:tc>
          <w:tcPr>
            <w:tcW w:w="553" w:type="pct"/>
          </w:tcPr>
          <w:p w:rsidR="008C0373" w:rsidRPr="0030637E" w:rsidRDefault="008C0373" w:rsidP="0030637E">
            <w:pPr>
              <w:pStyle w:val="Tabletext"/>
              <w:ind w:left="0" w:right="0"/>
              <w:jc w:val="center"/>
              <w:rPr>
                <w:sz w:val="20"/>
                <w:szCs w:val="20"/>
              </w:rPr>
            </w:pPr>
            <w:r w:rsidRPr="0030637E">
              <w:rPr>
                <w:sz w:val="20"/>
                <w:szCs w:val="20"/>
              </w:rPr>
              <w:t>–</w:t>
            </w:r>
          </w:p>
        </w:tc>
      </w:tr>
      <w:tr w:rsidR="008C0373" w:rsidRPr="0030637E" w:rsidTr="0030637E">
        <w:trPr>
          <w:trHeight w:val="178"/>
        </w:trPr>
        <w:tc>
          <w:tcPr>
            <w:tcW w:w="701" w:type="pct"/>
            <w:vMerge/>
          </w:tcPr>
          <w:p w:rsidR="008C0373" w:rsidRPr="0030637E" w:rsidRDefault="008C0373" w:rsidP="0030637E">
            <w:pPr>
              <w:pStyle w:val="Tabletext"/>
              <w:ind w:left="0" w:right="0"/>
              <w:rPr>
                <w:b/>
                <w:sz w:val="20"/>
                <w:szCs w:val="20"/>
              </w:rPr>
            </w:pPr>
          </w:p>
        </w:tc>
        <w:tc>
          <w:tcPr>
            <w:tcW w:w="2323" w:type="pct"/>
          </w:tcPr>
          <w:p w:rsidR="008C0373" w:rsidRPr="0030637E" w:rsidRDefault="008C0373" w:rsidP="0030637E">
            <w:pPr>
              <w:pStyle w:val="Tabletext"/>
              <w:ind w:left="0" w:right="0"/>
              <w:rPr>
                <w:sz w:val="20"/>
                <w:szCs w:val="20"/>
              </w:rPr>
            </w:pPr>
            <w:r w:rsidRPr="0030637E">
              <w:rPr>
                <w:sz w:val="20"/>
                <w:szCs w:val="20"/>
              </w:rPr>
              <w:t>Safety in elderly patients (≥ 85 years of age)</w:t>
            </w:r>
          </w:p>
        </w:tc>
        <w:tc>
          <w:tcPr>
            <w:tcW w:w="449" w:type="pct"/>
          </w:tcPr>
          <w:p w:rsidR="008C0373" w:rsidRPr="0030637E" w:rsidRDefault="008C0373" w:rsidP="0030637E">
            <w:pPr>
              <w:pStyle w:val="Tabletext"/>
              <w:ind w:left="0" w:right="0"/>
              <w:jc w:val="center"/>
              <w:rPr>
                <w:sz w:val="20"/>
                <w:szCs w:val="20"/>
              </w:rPr>
            </w:pPr>
            <w:r w:rsidRPr="0030637E">
              <w:rPr>
                <w:sz w:val="20"/>
                <w:szCs w:val="20"/>
              </w:rPr>
              <w:sym w:font="Wingdings" w:char="F0FC"/>
            </w:r>
          </w:p>
        </w:tc>
        <w:tc>
          <w:tcPr>
            <w:tcW w:w="539" w:type="pct"/>
          </w:tcPr>
          <w:p w:rsidR="008C0373" w:rsidRPr="0030637E" w:rsidRDefault="008C0373" w:rsidP="0030637E">
            <w:pPr>
              <w:pStyle w:val="Tabletext"/>
              <w:ind w:left="0" w:right="0"/>
              <w:jc w:val="center"/>
              <w:rPr>
                <w:sz w:val="20"/>
                <w:szCs w:val="20"/>
              </w:rPr>
            </w:pPr>
            <w:r w:rsidRPr="0030637E">
              <w:rPr>
                <w:sz w:val="20"/>
                <w:szCs w:val="20"/>
              </w:rPr>
              <w:sym w:font="Wingdings" w:char="F0FC"/>
            </w:r>
            <w:r w:rsidRPr="0030637E">
              <w:rPr>
                <w:sz w:val="20"/>
                <w:szCs w:val="20"/>
              </w:rPr>
              <w:t>§</w:t>
            </w:r>
          </w:p>
        </w:tc>
        <w:tc>
          <w:tcPr>
            <w:tcW w:w="435" w:type="pct"/>
          </w:tcPr>
          <w:p w:rsidR="008C0373" w:rsidRPr="0030637E" w:rsidRDefault="008C0373" w:rsidP="0030637E">
            <w:pPr>
              <w:pStyle w:val="Tabletext"/>
              <w:ind w:left="0" w:right="0"/>
              <w:jc w:val="center"/>
              <w:rPr>
                <w:sz w:val="20"/>
                <w:szCs w:val="20"/>
              </w:rPr>
            </w:pPr>
            <w:r w:rsidRPr="0030637E">
              <w:rPr>
                <w:sz w:val="20"/>
                <w:szCs w:val="20"/>
              </w:rPr>
              <w:sym w:font="Wingdings" w:char="F0FC"/>
            </w:r>
          </w:p>
        </w:tc>
        <w:tc>
          <w:tcPr>
            <w:tcW w:w="553" w:type="pct"/>
          </w:tcPr>
          <w:p w:rsidR="008C0373" w:rsidRPr="0030637E" w:rsidRDefault="008C0373" w:rsidP="0030637E">
            <w:pPr>
              <w:pStyle w:val="Tabletext"/>
              <w:ind w:left="0" w:right="0"/>
              <w:jc w:val="center"/>
              <w:rPr>
                <w:sz w:val="20"/>
                <w:szCs w:val="20"/>
              </w:rPr>
            </w:pPr>
            <w:r w:rsidRPr="0030637E">
              <w:rPr>
                <w:sz w:val="20"/>
                <w:szCs w:val="20"/>
              </w:rPr>
              <w:t>–</w:t>
            </w:r>
          </w:p>
        </w:tc>
      </w:tr>
      <w:tr w:rsidR="008C0373" w:rsidRPr="0030637E" w:rsidTr="0030637E">
        <w:trPr>
          <w:trHeight w:val="178"/>
        </w:trPr>
        <w:tc>
          <w:tcPr>
            <w:tcW w:w="701" w:type="pct"/>
            <w:vMerge/>
          </w:tcPr>
          <w:p w:rsidR="008C0373" w:rsidRPr="0030637E" w:rsidRDefault="008C0373" w:rsidP="0030637E">
            <w:pPr>
              <w:pStyle w:val="Tabletext"/>
              <w:ind w:left="0" w:right="0"/>
              <w:rPr>
                <w:b/>
                <w:sz w:val="20"/>
                <w:szCs w:val="20"/>
              </w:rPr>
            </w:pPr>
          </w:p>
        </w:tc>
        <w:tc>
          <w:tcPr>
            <w:tcW w:w="2323" w:type="pct"/>
          </w:tcPr>
          <w:p w:rsidR="008C0373" w:rsidRPr="0030637E" w:rsidRDefault="008C0373" w:rsidP="0030637E">
            <w:pPr>
              <w:pStyle w:val="Tabletext"/>
              <w:ind w:left="0" w:right="0"/>
              <w:rPr>
                <w:sz w:val="20"/>
                <w:szCs w:val="20"/>
              </w:rPr>
            </w:pPr>
            <w:r w:rsidRPr="0030637E">
              <w:rPr>
                <w:sz w:val="20"/>
                <w:szCs w:val="20"/>
              </w:rPr>
              <w:t>Long term safety</w:t>
            </w:r>
          </w:p>
        </w:tc>
        <w:tc>
          <w:tcPr>
            <w:tcW w:w="449" w:type="pct"/>
          </w:tcPr>
          <w:p w:rsidR="008C0373" w:rsidRPr="0030637E" w:rsidRDefault="008C0373" w:rsidP="0030637E">
            <w:pPr>
              <w:pStyle w:val="Tabletext"/>
              <w:ind w:left="0" w:right="0"/>
              <w:jc w:val="center"/>
              <w:rPr>
                <w:sz w:val="20"/>
                <w:szCs w:val="20"/>
              </w:rPr>
            </w:pPr>
            <w:r w:rsidRPr="0030637E">
              <w:rPr>
                <w:sz w:val="20"/>
                <w:szCs w:val="20"/>
              </w:rPr>
              <w:sym w:font="Wingdings" w:char="F0FC"/>
            </w:r>
          </w:p>
        </w:tc>
        <w:tc>
          <w:tcPr>
            <w:tcW w:w="539" w:type="pct"/>
          </w:tcPr>
          <w:p w:rsidR="008C0373" w:rsidRPr="0030637E" w:rsidRDefault="008C0373" w:rsidP="0030637E">
            <w:pPr>
              <w:pStyle w:val="Tabletext"/>
              <w:ind w:left="0" w:right="0"/>
              <w:jc w:val="center"/>
              <w:rPr>
                <w:sz w:val="20"/>
                <w:szCs w:val="20"/>
              </w:rPr>
            </w:pPr>
            <w:r w:rsidRPr="0030637E">
              <w:rPr>
                <w:sz w:val="20"/>
                <w:szCs w:val="20"/>
              </w:rPr>
              <w:sym w:font="Wingdings" w:char="F0FC"/>
            </w:r>
            <w:r w:rsidRPr="0030637E">
              <w:rPr>
                <w:sz w:val="20"/>
                <w:szCs w:val="20"/>
              </w:rPr>
              <w:t>§</w:t>
            </w:r>
          </w:p>
        </w:tc>
        <w:tc>
          <w:tcPr>
            <w:tcW w:w="435" w:type="pct"/>
          </w:tcPr>
          <w:p w:rsidR="008C0373" w:rsidRPr="0030637E" w:rsidRDefault="008C0373" w:rsidP="0030637E">
            <w:pPr>
              <w:pStyle w:val="Tabletext"/>
              <w:ind w:left="0" w:right="0"/>
              <w:jc w:val="center"/>
              <w:rPr>
                <w:sz w:val="20"/>
                <w:szCs w:val="20"/>
              </w:rPr>
            </w:pPr>
            <w:r w:rsidRPr="0030637E">
              <w:rPr>
                <w:sz w:val="20"/>
                <w:szCs w:val="20"/>
              </w:rPr>
              <w:sym w:font="Wingdings" w:char="F0FC"/>
            </w:r>
          </w:p>
        </w:tc>
        <w:tc>
          <w:tcPr>
            <w:tcW w:w="553" w:type="pct"/>
          </w:tcPr>
          <w:p w:rsidR="008C0373" w:rsidRPr="0030637E" w:rsidRDefault="008C0373" w:rsidP="0030637E">
            <w:pPr>
              <w:pStyle w:val="Tabletext"/>
              <w:ind w:left="0" w:right="0"/>
              <w:jc w:val="center"/>
              <w:rPr>
                <w:sz w:val="20"/>
                <w:szCs w:val="20"/>
              </w:rPr>
            </w:pPr>
            <w:r w:rsidRPr="0030637E">
              <w:rPr>
                <w:sz w:val="20"/>
                <w:szCs w:val="20"/>
              </w:rPr>
              <w:t>–</w:t>
            </w:r>
          </w:p>
        </w:tc>
      </w:tr>
    </w:tbl>
    <w:p w:rsidR="008C0373" w:rsidRPr="006B2109" w:rsidRDefault="008C0373" w:rsidP="00DF17B0">
      <w:pPr>
        <w:pStyle w:val="TableDescription"/>
      </w:pPr>
      <w:r w:rsidRPr="008677AD">
        <w:t>* Specific adverse drug reaction follow</w:t>
      </w:r>
      <w:r>
        <w:t>-</w:t>
      </w:r>
      <w:r w:rsidR="00DF17B0">
        <w:t xml:space="preserve">up form. </w:t>
      </w:r>
      <w:r w:rsidRPr="008677AD">
        <w:t>† Meta-</w:t>
      </w:r>
      <w:r w:rsidR="00DF17B0">
        <w:t xml:space="preserve">analysis study. ‡ Boxed warning in PI and </w:t>
      </w:r>
      <w:r w:rsidR="008E4B66">
        <w:rPr>
          <w:rFonts w:asciiTheme="minorHAnsi" w:hAnsiTheme="minorHAnsi"/>
        </w:rPr>
        <w:t>Consumer Medicines Information</w:t>
      </w:r>
      <w:r w:rsidR="008E4B66">
        <w:t xml:space="preserve"> (</w:t>
      </w:r>
      <w:r w:rsidR="00DF17B0">
        <w:t>CMI</w:t>
      </w:r>
      <w:r w:rsidR="008E4B66">
        <w:t>)</w:t>
      </w:r>
      <w:r w:rsidR="00DF17B0">
        <w:t xml:space="preserve">. </w:t>
      </w:r>
      <w:r w:rsidRPr="006B2109">
        <w:t>ǁ Patien</w:t>
      </w:r>
      <w:r w:rsidR="00DF17B0">
        <w:t>t alert card in product package. § Clinical studies</w:t>
      </w:r>
    </w:p>
    <w:p w:rsidR="0030637E" w:rsidRPr="00345C78" w:rsidRDefault="009479F2" w:rsidP="0030637E">
      <w:r w:rsidRPr="00345C78">
        <w:t xml:space="preserve">The RMP was considered satisfactory by the RMP evaluator. </w:t>
      </w:r>
      <w:r w:rsidR="0030637E" w:rsidRPr="00345C78">
        <w:t>There are no outstanding recommendations for the sponsor.</w:t>
      </w:r>
    </w:p>
    <w:p w:rsidR="009479F2" w:rsidRPr="00345C78" w:rsidRDefault="0030637E" w:rsidP="0030637E">
      <w:r>
        <w:t>The</w:t>
      </w:r>
      <w:r w:rsidR="009479F2" w:rsidRPr="00345C78">
        <w:t xml:space="preserve"> r</w:t>
      </w:r>
      <w:r>
        <w:t>ecommendations to the D</w:t>
      </w:r>
      <w:r w:rsidR="009479F2" w:rsidRPr="00345C78">
        <w:t>elegate were made as follows</w:t>
      </w:r>
      <w:r>
        <w:t>.</w:t>
      </w:r>
    </w:p>
    <w:p w:rsidR="009479F2" w:rsidRPr="00345C78" w:rsidRDefault="009479F2" w:rsidP="0030637E">
      <w:r w:rsidRPr="00345C78">
        <w:t xml:space="preserve">There were two recommendations addressed to the Delegate for consideration at </w:t>
      </w:r>
      <w:r w:rsidR="0030637E">
        <w:t>the second round evaluation</w:t>
      </w:r>
      <w:r w:rsidRPr="00345C78">
        <w:t>:</w:t>
      </w:r>
    </w:p>
    <w:p w:rsidR="009479F2" w:rsidRPr="0030637E" w:rsidRDefault="0030637E" w:rsidP="0030637E">
      <w:pPr>
        <w:pStyle w:val="ListBullet"/>
      </w:pPr>
      <w:r>
        <w:t xml:space="preserve">Recommendation 14: </w:t>
      </w:r>
      <w:r w:rsidR="009479F2" w:rsidRPr="00345C78">
        <w:t>Given the addition of ‘long-term safety’ as missing information, it is recommended tha</w:t>
      </w:r>
      <w:r w:rsidR="008E4B66">
        <w:t>t the D</w:t>
      </w:r>
      <w:r w:rsidR="009479F2" w:rsidRPr="00345C78">
        <w:t>elegate consider including a statement in the PI that data on long-term follow-up of up to 3 years is limited, along the lines of the following information provided in the RMP:</w:t>
      </w:r>
    </w:p>
    <w:p w:rsidR="009479F2" w:rsidRPr="00345C78" w:rsidRDefault="0030637E" w:rsidP="0030637E">
      <w:pPr>
        <w:pStyle w:val="ListBullet2"/>
      </w:pPr>
      <w:r>
        <w:t>‘</w:t>
      </w:r>
      <w:r w:rsidR="009479F2" w:rsidRPr="00345C78">
        <w:t>In Study AG221-C-001, 46% of patients received 6 or more, and 19% received 12 or more 28-day cycles of treatment. Long-term follow-up of up to 3 years in the clinical development programme is limited; however, follow-up of 3 years is being conducted in Study AG221-C-001 and long-term safety is also being a</w:t>
      </w:r>
      <w:r>
        <w:t>ssessed in Study AG-221-AML-004’</w:t>
      </w:r>
      <w:r w:rsidR="009479F2" w:rsidRPr="00345C78">
        <w:t>.</w:t>
      </w:r>
    </w:p>
    <w:p w:rsidR="009479F2" w:rsidRPr="008E4B66" w:rsidRDefault="0030637E" w:rsidP="0030637E">
      <w:pPr>
        <w:pStyle w:val="ListBullet"/>
      </w:pPr>
      <w:r>
        <w:t xml:space="preserve">Recommendation 15: </w:t>
      </w:r>
      <w:r w:rsidR="009479F2" w:rsidRPr="00345C78">
        <w:t>Given the addition of ‘safety in elderly patients (≥ 85 years of age)’ as missing informati</w:t>
      </w:r>
      <w:r w:rsidR="008E4B66">
        <w:t>on, it is recommended that the D</w:t>
      </w:r>
      <w:r w:rsidR="009479F2" w:rsidRPr="00345C78">
        <w:t>elegate consider including a statement in the PI that data on safety in elderly patients (≥ 85 years of age) is limited.</w:t>
      </w:r>
    </w:p>
    <w:p w:rsidR="009479F2" w:rsidRPr="00345C78" w:rsidRDefault="0030637E" w:rsidP="00DF17B0">
      <w:pPr>
        <w:pStyle w:val="Heading4"/>
      </w:pPr>
      <w:bookmarkStart w:id="55" w:name="_Toc19020014"/>
      <w:r>
        <w:t>Proposed w</w:t>
      </w:r>
      <w:r w:rsidR="009479F2" w:rsidRPr="00345C78">
        <w:t>ording for conditions of registration</w:t>
      </w:r>
      <w:bookmarkEnd w:id="55"/>
    </w:p>
    <w:p w:rsidR="009479F2" w:rsidRPr="00345C78" w:rsidRDefault="009479F2" w:rsidP="00DF17B0">
      <w:r w:rsidRPr="00345C78">
        <w:t>Any changes to which the sponsor has agreed should be included in a revised RMP and ASA. However, irrespective of whether or not they are included in the currently available version of the RMP document, the agreed changes become part</w:t>
      </w:r>
      <w:r w:rsidR="0030637E">
        <w:t xml:space="preserve"> of the risk management system.</w:t>
      </w:r>
    </w:p>
    <w:p w:rsidR="009479F2" w:rsidRPr="00345C78" w:rsidRDefault="0030637E" w:rsidP="00DF17B0">
      <w:r>
        <w:t>The suggested wording is:</w:t>
      </w:r>
    </w:p>
    <w:p w:rsidR="009479F2" w:rsidRPr="00DF17B0" w:rsidRDefault="009479F2" w:rsidP="0030637E">
      <w:pPr>
        <w:ind w:left="720"/>
      </w:pPr>
      <w:r w:rsidRPr="00DF17B0">
        <w:t xml:space="preserve">The </w:t>
      </w:r>
      <w:r w:rsidR="0030637E" w:rsidRPr="00DF17B0">
        <w:t>Idhifa</w:t>
      </w:r>
      <w:r w:rsidRPr="00DF17B0">
        <w:t xml:space="preserve"> EU-Risk Management Plan (RMP) (version 0.2, dated 8 January 2019, data lock point 1 September 2017), with Australian Specific Annex (version 1.2, dated 8 January 2019), included with submission PM-2018-04819-1-6, and any subsequent revisions, as agreed with the TGA will be implemented in Australia.</w:t>
      </w:r>
    </w:p>
    <w:p w:rsidR="009479F2" w:rsidRPr="00345C78" w:rsidRDefault="009479F2" w:rsidP="001A572A">
      <w:pPr>
        <w:pageBreakBefore/>
      </w:pPr>
      <w:r w:rsidRPr="00345C78">
        <w:lastRenderedPageBreak/>
        <w:t xml:space="preserve">The following wording is recommended for the </w:t>
      </w:r>
      <w:r w:rsidR="00BE33C1">
        <w:t>periodic safety update report (</w:t>
      </w:r>
      <w:r w:rsidRPr="00345C78">
        <w:t>PSUR</w:t>
      </w:r>
      <w:r w:rsidR="00BE33C1">
        <w:t>)</w:t>
      </w:r>
      <w:r w:rsidRPr="00345C78">
        <w:t xml:space="preserve"> requirement:</w:t>
      </w:r>
    </w:p>
    <w:p w:rsidR="009479F2" w:rsidRPr="00DF17B0" w:rsidRDefault="009479F2" w:rsidP="0030637E">
      <w:pPr>
        <w:ind w:left="720"/>
      </w:pPr>
      <w:r w:rsidRPr="00DF17B0">
        <w:t>An obligatory component of risk management plans is routine pharmacovigilance. Routine pharmacovigilance includes the submission of periodic safety update reports (PSURs).</w:t>
      </w:r>
    </w:p>
    <w:p w:rsidR="009479F2" w:rsidRPr="00DF17B0" w:rsidRDefault="009479F2" w:rsidP="0030637E">
      <w:pPr>
        <w:ind w:left="720"/>
      </w:pPr>
      <w:r w:rsidRPr="00DF17B0">
        <w:t xml:space="preserve">Reports are to be provided in line with the current published list of EU reference dates and frequency of submission of PSURs until the period covered by such reports is not less than three years from the date of this approval letter. </w:t>
      </w:r>
    </w:p>
    <w:p w:rsidR="009479F2" w:rsidRPr="00DF17B0" w:rsidRDefault="009479F2" w:rsidP="0030637E">
      <w:pPr>
        <w:ind w:left="720"/>
      </w:pPr>
      <w:r w:rsidRPr="00DF17B0">
        <w:t xml:space="preserve">The reports are to at least meet the requirements for PSURs as described in the European Medicines Agency’s Guideline on </w:t>
      </w:r>
      <w:r w:rsidR="00416FF1" w:rsidRPr="00DF17B0">
        <w:t xml:space="preserve">Good Pharmacovigilance Practices </w:t>
      </w:r>
      <w:r w:rsidRPr="00DF17B0">
        <w:t>(GVP) Module VII-periodic safety update report (Rev 1), Part VII.B Structures and processes. Note that submission of a PSUR does not constitute an applic</w:t>
      </w:r>
      <w:r w:rsidR="0030637E">
        <w:t>ation to vary the registration.</w:t>
      </w:r>
    </w:p>
    <w:p w:rsidR="009479F2" w:rsidRPr="00345C78" w:rsidRDefault="009479F2" w:rsidP="00DF17B0">
      <w:pPr>
        <w:rPr>
          <w:szCs w:val="23"/>
        </w:rPr>
      </w:pPr>
      <w:r w:rsidRPr="00345C78">
        <w:t xml:space="preserve">As </w:t>
      </w:r>
      <w:r w:rsidR="00DF17B0" w:rsidRPr="00345C78">
        <w:t>Idhifa</w:t>
      </w:r>
      <w:r w:rsidRPr="00345C78">
        <w:t xml:space="preserve"> is being considered for a provisional registration it should be included in the Black Triangle Scheme </w:t>
      </w:r>
      <w:r w:rsidRPr="00345C78">
        <w:rPr>
          <w:szCs w:val="23"/>
        </w:rPr>
        <w:t>as a condition of registration. The following wording is recommended for the condition of registration:</w:t>
      </w:r>
    </w:p>
    <w:p w:rsidR="009479F2" w:rsidRPr="00DF17B0" w:rsidRDefault="00DF17B0" w:rsidP="0030637E">
      <w:pPr>
        <w:ind w:left="720"/>
      </w:pPr>
      <w:r w:rsidRPr="00DF17B0">
        <w:t>Idhifa</w:t>
      </w:r>
      <w:r w:rsidR="009479F2" w:rsidRPr="00DF17B0">
        <w:t xml:space="preserve"> (</w:t>
      </w:r>
      <w:proofErr w:type="spellStart"/>
      <w:r w:rsidR="009479F2" w:rsidRPr="00DF17B0">
        <w:t>enasidenib</w:t>
      </w:r>
      <w:proofErr w:type="spellEnd"/>
      <w:r w:rsidR="009479F2" w:rsidRPr="00DF17B0">
        <w:t xml:space="preserve">) is to be included in the Black Triangle Scheme. The PI and CMI for </w:t>
      </w:r>
      <w:r w:rsidRPr="00DF17B0">
        <w:t>Idhifa</w:t>
      </w:r>
      <w:r w:rsidR="009479F2" w:rsidRPr="00DF17B0">
        <w:t xml:space="preserve"> must include the black triangle symbol and mandatory accompanying text for the products entire period of provisional registration.</w:t>
      </w:r>
    </w:p>
    <w:p w:rsidR="009479F2" w:rsidRPr="00345C78" w:rsidRDefault="009479F2" w:rsidP="00DF17B0">
      <w:r w:rsidRPr="00345C78">
        <w:t xml:space="preserve">As </w:t>
      </w:r>
      <w:r w:rsidR="00DF17B0" w:rsidRPr="00345C78">
        <w:t>Idhifa</w:t>
      </w:r>
      <w:r w:rsidRPr="00345C78">
        <w:t xml:space="preserve"> is being considered for a provisional registration the following wording regarding confirmatory trial data is recommended for the condition of registration subject to the Delegate’s review of the Clinical Study Plan:</w:t>
      </w:r>
    </w:p>
    <w:p w:rsidR="009479F2" w:rsidRPr="0030637E" w:rsidRDefault="009479F2" w:rsidP="00DF17B0">
      <w:pPr>
        <w:ind w:left="720"/>
      </w:pPr>
      <w:r w:rsidRPr="0030637E">
        <w:t>Confirmatory trial data (as identified in the sponsor’s plan to submit comprehensive clinical data on the safety and efficacy of the medicine before the end of the 6 years that would start on the day that registration would commence) must be provided.</w:t>
      </w:r>
    </w:p>
    <w:p w:rsidR="009479F2" w:rsidRPr="0030637E" w:rsidRDefault="009479F2" w:rsidP="00DF17B0">
      <w:pPr>
        <w:ind w:left="720"/>
      </w:pPr>
      <w:r w:rsidRPr="0030637E">
        <w:t>Specifically the sponsor must conduct studies as described in the clinical study plan in version 0.2 (date 8 January 2019) of the Australia-Specific Annex. The following study report should be subm</w:t>
      </w:r>
      <w:r w:rsidR="00DF17B0" w:rsidRPr="0030637E">
        <w:t>itted to TGA:</w:t>
      </w:r>
    </w:p>
    <w:p w:rsidR="009479F2" w:rsidRPr="0030637E" w:rsidRDefault="00E93D0B" w:rsidP="00DF17B0">
      <w:pPr>
        <w:pStyle w:val="ListBullet"/>
        <w:ind w:left="1080"/>
      </w:pPr>
      <w:r>
        <w:t xml:space="preserve">Study </w:t>
      </w:r>
      <w:r w:rsidR="009479F2" w:rsidRPr="0030637E">
        <w:t xml:space="preserve">AG-221-AML-004, by </w:t>
      </w:r>
      <w:r>
        <w:t xml:space="preserve">the second quarter of </w:t>
      </w:r>
      <w:r w:rsidR="009479F2" w:rsidRPr="0030637E">
        <w:t>2021</w:t>
      </w:r>
      <w:r>
        <w:t>.</w:t>
      </w:r>
    </w:p>
    <w:p w:rsidR="009479F2" w:rsidRDefault="009479F2" w:rsidP="00DF17B0">
      <w:r w:rsidRPr="00345C78">
        <w:t>It is recommended that inclusion of the Patient Alert Card in the product package be considered by the Delegate as a condition of registration. This has already been agreed by the sponsor.</w:t>
      </w:r>
    </w:p>
    <w:p w:rsidR="008E7846" w:rsidRDefault="00AA0ED0" w:rsidP="008E7846">
      <w:pPr>
        <w:pStyle w:val="Heading3"/>
      </w:pPr>
      <w:bookmarkStart w:id="56" w:name="_Toc247691531"/>
      <w:bookmarkStart w:id="57" w:name="_Toc314842515"/>
      <w:bookmarkStart w:id="58" w:name="_Toc196046505"/>
      <w:bookmarkStart w:id="59" w:name="_Toc196046949"/>
      <w:bookmarkStart w:id="60" w:name="_Toc40087035"/>
      <w:r>
        <w:t>Risk-benefit a</w:t>
      </w:r>
      <w:r w:rsidR="008E7846">
        <w:t>nalysis</w:t>
      </w:r>
      <w:bookmarkEnd w:id="56"/>
      <w:bookmarkEnd w:id="57"/>
      <w:bookmarkEnd w:id="60"/>
    </w:p>
    <w:p w:rsidR="00D23139" w:rsidRDefault="0033658A" w:rsidP="00D23139">
      <w:pPr>
        <w:pStyle w:val="Heading4"/>
      </w:pPr>
      <w:r>
        <w:t>Delegate’s considerations</w:t>
      </w:r>
    </w:p>
    <w:p w:rsidR="0033658A" w:rsidRDefault="0033658A" w:rsidP="00DF17B0">
      <w:r w:rsidRPr="00345C78">
        <w:t xml:space="preserve">The drug has been given both orphan status and provisional designation in Australia. </w:t>
      </w:r>
      <w:r>
        <w:t>It</w:t>
      </w:r>
      <w:r w:rsidR="0030637E">
        <w:t xml:space="preserve"> was therefore considered by a D</w:t>
      </w:r>
      <w:r>
        <w:t xml:space="preserve">elegate to be a potentially major therapeutic advance. </w:t>
      </w:r>
      <w:r w:rsidRPr="00345C78">
        <w:t xml:space="preserve">It was approved for use by the FDA on 1 August 2017 for an essentially similar indication. There are multiple requirements of the company related to the approval in the USA, including several post-market studies looking into </w:t>
      </w:r>
      <w:proofErr w:type="spellStart"/>
      <w:r w:rsidRPr="00345C78">
        <w:t>enasidenib</w:t>
      </w:r>
      <w:proofErr w:type="spellEnd"/>
      <w:r w:rsidRPr="00345C78">
        <w:t xml:space="preserve"> differentiation syndrome, long-term safety, efficacy in comparison to conventional treatment regimens, effects of multiple dosing on PK and metabolic enzyme systems and potential adjustment of dosing in hepatic impairment.</w:t>
      </w:r>
      <w:r>
        <w:t xml:space="preserve"> Of particular note</w:t>
      </w:r>
      <w:r w:rsidR="0030637E">
        <w:t>,</w:t>
      </w:r>
      <w:r>
        <w:t xml:space="preserve"> is data versus conventional treatments, as this was absent in the dossier apart from an attempt to compare to historical control data cropped from registries and literature.</w:t>
      </w:r>
    </w:p>
    <w:p w:rsidR="008C0373" w:rsidRDefault="008C0373" w:rsidP="00DF17B0">
      <w:r>
        <w:lastRenderedPageBreak/>
        <w:t>The drug has a specific mechanism of action</w:t>
      </w:r>
      <w:r w:rsidR="008E4B66">
        <w:t>,</w:t>
      </w:r>
      <w:r>
        <w:t xml:space="preserve"> which in theory provides a more targeted therapy to help a specific group of AML patients without the toxicity profile of other chemotherapeutic agents. It has been found to be appropriate for both orphan designation and provisional</w:t>
      </w:r>
      <w:r w:rsidR="0030637E">
        <w:t xml:space="preserve"> designation by a TGA D</w:t>
      </w:r>
      <w:r w:rsidR="00DF17B0">
        <w:t>elegate.</w:t>
      </w:r>
    </w:p>
    <w:p w:rsidR="008C0373" w:rsidRDefault="008C0373" w:rsidP="00DF17B0">
      <w:r>
        <w:t>The US FDA has approved the drug for this indication essentially, with requirements for considerable post-marketing tria</w:t>
      </w:r>
      <w:r w:rsidR="00DF17B0">
        <w:t>ls and data to be generated.</w:t>
      </w:r>
    </w:p>
    <w:p w:rsidR="008C0373" w:rsidRDefault="008C0373" w:rsidP="00DF17B0">
      <w:r>
        <w:t>It was withdrawn in the EU, because the EU evaluators required head-to-head efficacy outcomes against conventional treatments and</w:t>
      </w:r>
      <w:r w:rsidR="00DF17B0">
        <w:t xml:space="preserve"> these data have yet to exist.</w:t>
      </w:r>
      <w:r w:rsidR="00F62510">
        <w:fldChar w:fldCharType="begin"/>
      </w:r>
      <w:r w:rsidR="00F62510">
        <w:instrText xml:space="preserve"> NOTEREF _Ref36196231 \f \h </w:instrText>
      </w:r>
      <w:r w:rsidR="00F62510">
        <w:fldChar w:fldCharType="separate"/>
      </w:r>
      <w:r w:rsidR="00F62510" w:rsidRPr="00F62510">
        <w:rPr>
          <w:rStyle w:val="FootnoteReference"/>
        </w:rPr>
        <w:t>2</w:t>
      </w:r>
      <w:r w:rsidR="00F62510">
        <w:fldChar w:fldCharType="end"/>
      </w:r>
    </w:p>
    <w:p w:rsidR="008C0373" w:rsidRDefault="008C0373" w:rsidP="00DF17B0">
      <w:r>
        <w:t>Clearly</w:t>
      </w:r>
      <w:r w:rsidR="008E4B66">
        <w:t>,</w:t>
      </w:r>
      <w:r>
        <w:t xml:space="preserve"> the drug is for a subset of the adult AML population with the specific mutation described and laboratory testing</w:t>
      </w:r>
      <w:r w:rsidR="00DF17B0">
        <w:t xml:space="preserve"> is required to establish this.</w:t>
      </w:r>
    </w:p>
    <w:p w:rsidR="008C0373" w:rsidRDefault="008C0373" w:rsidP="00DF17B0">
      <w:r>
        <w:t>The ‘Phase II Part’</w:t>
      </w:r>
      <w:r w:rsidR="00A956FC">
        <w:t xml:space="preserve"> (</w:t>
      </w:r>
      <w:r w:rsidR="00A956FC" w:rsidRPr="00A956FC">
        <w:t>001P2</w:t>
      </w:r>
      <w:r w:rsidR="00A956FC">
        <w:t>)</w:t>
      </w:r>
      <w:r>
        <w:t xml:space="preserve"> of </w:t>
      </w:r>
      <w:r w:rsidR="00416FF1">
        <w:t xml:space="preserve">Study AG-221-C-001 </w:t>
      </w:r>
      <w:r>
        <w:t>was the primary data to support</w:t>
      </w:r>
      <w:r w:rsidR="00416FF1">
        <w:t xml:space="preserve"> efficacy, and was pooled with P</w:t>
      </w:r>
      <w:r>
        <w:t xml:space="preserve">art 001Ex also for greater subject numbers to be </w:t>
      </w:r>
      <w:r w:rsidR="00DF17B0">
        <w:t>examined.</w:t>
      </w:r>
    </w:p>
    <w:p w:rsidR="008C0373" w:rsidRDefault="008C0373" w:rsidP="00DF17B0">
      <w:r>
        <w:t>The ORR parameter, not a typical primary endpoint in such a trial, demonstrates what appears to be a few months’ advantage over conventional treatments, although this is based upon comparison with historical controls and the inherent shortcomings of those data, not a head-to-he</w:t>
      </w:r>
      <w:r w:rsidR="00DF17B0">
        <w:t>ad randomised controlled trial.</w:t>
      </w:r>
    </w:p>
    <w:p w:rsidR="008C0373" w:rsidRDefault="008C0373" w:rsidP="00DF17B0">
      <w:r>
        <w:t>OS also appears to have a favourable couple of months’ advantage when examining the data in comparison to that achieved by other treatments</w:t>
      </w:r>
      <w:r w:rsidR="00DF17B0">
        <w:t xml:space="preserve"> in the view of the </w:t>
      </w:r>
      <w:r w:rsidR="0030637E">
        <w:t xml:space="preserve">clinical </w:t>
      </w:r>
      <w:r w:rsidR="00DF17B0">
        <w:t>evaluator.</w:t>
      </w:r>
    </w:p>
    <w:p w:rsidR="008C0373" w:rsidRDefault="008C0373" w:rsidP="00DF17B0">
      <w:r>
        <w:t xml:space="preserve">There is a characteristic set of adverse events for </w:t>
      </w:r>
      <w:proofErr w:type="spellStart"/>
      <w:r>
        <w:t>enasidenib</w:t>
      </w:r>
      <w:proofErr w:type="spellEnd"/>
      <w:r>
        <w:t>, however</w:t>
      </w:r>
      <w:r w:rsidR="00BE33C1">
        <w:t>,</w:t>
      </w:r>
      <w:r>
        <w:t xml:space="preserve"> the drug appears to be reasonably well tolerated, with many adverse effects able to be dealt with by careful monitoring. High grade adverse effects were rare, but the PI specifically addresses some specific adverse reactions. The adverse reactions are not such that they result in a negative risk/benefit profile in the opinion of the clinic</w:t>
      </w:r>
      <w:r w:rsidR="00416FF1">
        <w:t>al evaluator or the D</w:t>
      </w:r>
      <w:r w:rsidR="00DF17B0">
        <w:t>elegate.</w:t>
      </w:r>
    </w:p>
    <w:p w:rsidR="008C0373" w:rsidRDefault="008C0373" w:rsidP="00DF17B0">
      <w:r>
        <w:t xml:space="preserve">Objections were not raised by the </w:t>
      </w:r>
      <w:r w:rsidR="0030637E">
        <w:t xml:space="preserve">quality or nonclinical </w:t>
      </w:r>
      <w:r>
        <w:t>evaluators, once desired PI charges had been agreed to. The clinical evaluator’s final PI edits were addressed in correspondence from the sp</w:t>
      </w:r>
      <w:r w:rsidR="00DF17B0">
        <w:t>onsor dated 16 September 2019.</w:t>
      </w:r>
    </w:p>
    <w:p w:rsidR="008C0373" w:rsidRDefault="008C0373" w:rsidP="00DF17B0">
      <w:r>
        <w:t>The RMP evaluator is in favour of approval, with some co</w:t>
      </w:r>
      <w:r w:rsidR="00DF17B0">
        <w:t>nditions of registration cited.</w:t>
      </w:r>
    </w:p>
    <w:p w:rsidR="008C0373" w:rsidRDefault="008C0373" w:rsidP="00DF17B0">
      <w:r>
        <w:t>The clinical evaluator also has listed the conditions that s</w:t>
      </w:r>
      <w:r w:rsidR="00DF17B0">
        <w:t>hould be imposed with approval:</w:t>
      </w:r>
    </w:p>
    <w:p w:rsidR="008C0373" w:rsidRDefault="008C0373" w:rsidP="00DF17B0">
      <w:pPr>
        <w:pStyle w:val="ListBullet"/>
      </w:pPr>
      <w:r>
        <w:t>The sponsor will provide the full clinical study report of the AG-221-AML-004 study as soon as it becomes available in 2020.</w:t>
      </w:r>
    </w:p>
    <w:p w:rsidR="008C0373" w:rsidRDefault="008C0373" w:rsidP="00DF17B0">
      <w:pPr>
        <w:pStyle w:val="ListBullet"/>
      </w:pPr>
      <w:r>
        <w:t>The sponsor will provide the full clinical study reports of the following post-market studies required by the FDA, as soon as available:</w:t>
      </w:r>
    </w:p>
    <w:p w:rsidR="008C0373" w:rsidRDefault="008C0373" w:rsidP="00DF17B0">
      <w:pPr>
        <w:pStyle w:val="ListBullet2"/>
      </w:pPr>
      <w:r>
        <w:t xml:space="preserve">Meta-analysis to characterise </w:t>
      </w:r>
      <w:proofErr w:type="spellStart"/>
      <w:r>
        <w:t>enasidenib</w:t>
      </w:r>
      <w:proofErr w:type="spellEnd"/>
      <w:r>
        <w:t xml:space="preserve"> related differe</w:t>
      </w:r>
      <w:r w:rsidR="004825AF">
        <w:t>ntiation syndrome (PMR 3240-1).</w:t>
      </w:r>
    </w:p>
    <w:p w:rsidR="008C0373" w:rsidRDefault="008C0373" w:rsidP="00DF17B0">
      <w:pPr>
        <w:pStyle w:val="ListBullet2"/>
      </w:pPr>
      <w:r>
        <w:t xml:space="preserve">To characterise the long-term safety of </w:t>
      </w:r>
      <w:proofErr w:type="spellStart"/>
      <w:r>
        <w:t>enasidenib</w:t>
      </w:r>
      <w:proofErr w:type="spellEnd"/>
      <w:r>
        <w:t xml:space="preserve"> in R/R AML, submit the final study report with 3 years of follow-up data of the AG221-C-001 trial. Include data from approximately 280 patients with R/R AML (PMR 3240-2).</w:t>
      </w:r>
    </w:p>
    <w:p w:rsidR="008C0373" w:rsidRDefault="008C0373" w:rsidP="00DF17B0">
      <w:pPr>
        <w:pStyle w:val="ListBullet2"/>
      </w:pPr>
      <w:r>
        <w:t xml:space="preserve">A study sufficient to characterise the long-term safety of </w:t>
      </w:r>
      <w:proofErr w:type="spellStart"/>
      <w:r>
        <w:t>enasidenib</w:t>
      </w:r>
      <w:proofErr w:type="spellEnd"/>
      <w:r>
        <w:t xml:space="preserve"> compared to conventional care regimens in patients with AML (PMR 3240-3).</w:t>
      </w:r>
    </w:p>
    <w:p w:rsidR="008C0373" w:rsidRDefault="008C0373" w:rsidP="004825AF">
      <w:pPr>
        <w:pStyle w:val="ListBullet2"/>
      </w:pPr>
      <w:r>
        <w:t xml:space="preserve">Pharmacokinetic trials to evaluate the effect of multiple doses of </w:t>
      </w:r>
      <w:proofErr w:type="spellStart"/>
      <w:r>
        <w:t>enasidenib</w:t>
      </w:r>
      <w:proofErr w:type="spellEnd"/>
      <w:r>
        <w:t xml:space="preserve"> on the single dose pharmacokinetics of sensitive substrates of CYP3A4, CYP2D6, CYP2C19, CYP2C9, UGTs, </w:t>
      </w:r>
      <w:r w:rsidR="004825AF">
        <w:t>P-</w:t>
      </w:r>
      <w:proofErr w:type="spellStart"/>
      <w:r w:rsidR="004825AF">
        <w:t>gp</w:t>
      </w:r>
      <w:proofErr w:type="spellEnd"/>
      <w:r>
        <w:t xml:space="preserve"> and BCRP to address the potential for excessive drug toxicity (PMR3240-4).</w:t>
      </w:r>
    </w:p>
    <w:p w:rsidR="008C0373" w:rsidRPr="00FE06B3" w:rsidRDefault="008C0373" w:rsidP="00DF17B0">
      <w:pPr>
        <w:pStyle w:val="ListBullet2"/>
      </w:pPr>
      <w:r>
        <w:t xml:space="preserve">A clinical pharmacokinetic trial to determine the appropriate dose of </w:t>
      </w:r>
      <w:proofErr w:type="spellStart"/>
      <w:r>
        <w:t>enasidenib</w:t>
      </w:r>
      <w:proofErr w:type="spellEnd"/>
      <w:r>
        <w:t xml:space="preserve"> in patients with hepatic impairment.</w:t>
      </w:r>
    </w:p>
    <w:p w:rsidR="00456765" w:rsidRPr="00456765" w:rsidRDefault="008C0373" w:rsidP="0030637E">
      <w:r>
        <w:lastRenderedPageBreak/>
        <w:t>The above conditions are in addition to thos</w:t>
      </w:r>
      <w:r w:rsidR="0030637E">
        <w:t>e provided by the RMP evaluator, as outline</w:t>
      </w:r>
      <w:r w:rsidR="00DF3646">
        <w:t>d</w:t>
      </w:r>
      <w:r w:rsidR="0030637E">
        <w:t xml:space="preserve"> in </w:t>
      </w:r>
      <w:r w:rsidR="004825AF">
        <w:t xml:space="preserve">the </w:t>
      </w:r>
      <w:r w:rsidR="0030637E">
        <w:t>Section ‘</w:t>
      </w:r>
      <w:r w:rsidR="0030637E" w:rsidRPr="004825AF">
        <w:rPr>
          <w:i/>
        </w:rPr>
        <w:t>Proposed wording for conditions of registration</w:t>
      </w:r>
      <w:r w:rsidR="0030637E">
        <w:t>’, above.</w:t>
      </w:r>
    </w:p>
    <w:p w:rsidR="00D23139" w:rsidRDefault="00D23139" w:rsidP="00D23139">
      <w:pPr>
        <w:pStyle w:val="Heading4"/>
      </w:pPr>
      <w:r w:rsidRPr="00D23139">
        <w:t>Proposed action</w:t>
      </w:r>
    </w:p>
    <w:p w:rsidR="00456765" w:rsidRPr="00456765" w:rsidRDefault="008C0373" w:rsidP="00456765">
      <w:r>
        <w:t>Based on the limited data set available for this product</w:t>
      </w:r>
      <w:r w:rsidR="0030637E">
        <w:t>,</w:t>
      </w:r>
      <w:r>
        <w:t xml:space="preserve"> given its provisional status and the reasonable currently known safety profile, it is considered acceptable to provisionally register this product for the indication described until supplementary clinical data outlined in the conditions of registration are provided.</w:t>
      </w:r>
    </w:p>
    <w:p w:rsidR="008E7846" w:rsidRDefault="008E7846" w:rsidP="008E7846">
      <w:pPr>
        <w:pStyle w:val="Heading4"/>
      </w:pPr>
      <w:r>
        <w:t>Advisory Committee Considerations</w:t>
      </w:r>
      <w:r w:rsidR="00456765">
        <w:rPr>
          <w:rStyle w:val="FootnoteReference"/>
        </w:rPr>
        <w:footnoteReference w:id="9"/>
      </w:r>
    </w:p>
    <w:p w:rsidR="00456765" w:rsidRPr="00A322B3" w:rsidRDefault="00456765" w:rsidP="008E7846">
      <w:r>
        <w:rPr>
          <w:bCs/>
        </w:rPr>
        <w:t>The Delegate did not refer this application to the Advisory Committee on Medicines (ACM) for advice.</w:t>
      </w:r>
    </w:p>
    <w:p w:rsidR="008E7846" w:rsidRPr="002E238E" w:rsidRDefault="008E7846" w:rsidP="008E7846">
      <w:pPr>
        <w:pStyle w:val="Heading3"/>
      </w:pPr>
      <w:bookmarkStart w:id="61" w:name="_Toc247691532"/>
      <w:bookmarkStart w:id="62" w:name="_Toc314842516"/>
      <w:bookmarkStart w:id="63" w:name="_Toc40087036"/>
      <w:bookmarkEnd w:id="31"/>
      <w:bookmarkEnd w:id="58"/>
      <w:bookmarkEnd w:id="59"/>
      <w:r>
        <w:t>Outcome</w:t>
      </w:r>
      <w:bookmarkEnd w:id="61"/>
      <w:bookmarkEnd w:id="62"/>
      <w:bookmarkEnd w:id="63"/>
    </w:p>
    <w:p w:rsidR="00D23139" w:rsidRPr="00D23139" w:rsidRDefault="00D23139" w:rsidP="00D23139">
      <w:bookmarkStart w:id="64" w:name="_Toc247691533"/>
      <w:bookmarkStart w:id="65" w:name="_Toc314842517"/>
      <w:r w:rsidRPr="00D23139">
        <w:t xml:space="preserve">Based on a review of quality, safety and efficacy, </w:t>
      </w:r>
      <w:r w:rsidR="00E93D0B">
        <w:t xml:space="preserve">the </w:t>
      </w:r>
      <w:r w:rsidRPr="00D23139">
        <w:t xml:space="preserve">TGA approved the </w:t>
      </w:r>
      <w:r w:rsidR="00F62510">
        <w:t xml:space="preserve">provisional </w:t>
      </w:r>
      <w:r w:rsidRPr="00D23139">
        <w:t xml:space="preserve">registration of </w:t>
      </w:r>
      <w:r w:rsidR="00B954FE" w:rsidRPr="007B2A56">
        <w:rPr>
          <w:rFonts w:eastAsia="Calibri"/>
        </w:rPr>
        <w:t>Idhifa (</w:t>
      </w:r>
      <w:proofErr w:type="spellStart"/>
      <w:r w:rsidR="00B954FE" w:rsidRPr="007B2A56">
        <w:rPr>
          <w:rFonts w:eastAsia="Calibri"/>
        </w:rPr>
        <w:t>enasidenib</w:t>
      </w:r>
      <w:proofErr w:type="spellEnd"/>
      <w:r w:rsidR="00B954FE" w:rsidRPr="007B2A56">
        <w:rPr>
          <w:rFonts w:eastAsia="Calibri"/>
        </w:rPr>
        <w:t>)</w:t>
      </w:r>
      <w:r w:rsidR="00B954FE" w:rsidRPr="00940A89">
        <w:t xml:space="preserve"> </w:t>
      </w:r>
      <w:r w:rsidR="00B954FE" w:rsidRPr="009E3EEF">
        <w:t>50 mg and 100 mg</w:t>
      </w:r>
      <w:r w:rsidR="00B954FE" w:rsidRPr="00940A89">
        <w:t xml:space="preserve"> </w:t>
      </w:r>
      <w:r w:rsidR="00B954FE">
        <w:t>film coated tablets</w:t>
      </w:r>
      <w:r w:rsidRPr="00D23139">
        <w:t>, indicated for:</w:t>
      </w:r>
    </w:p>
    <w:p w:rsidR="00B954FE" w:rsidRPr="007B2A56" w:rsidRDefault="00B954FE" w:rsidP="00B954FE">
      <w:pPr>
        <w:ind w:left="720"/>
        <w:rPr>
          <w:i/>
        </w:rPr>
      </w:pPr>
      <w:r w:rsidRPr="007B2A56">
        <w:rPr>
          <w:i/>
        </w:rPr>
        <w:t xml:space="preserve">This medicine has Provisional Approval in Australia for the treatment of adult patients with relapsed or refractory acute myeloid leukaemia who are ineligible for haematopoietic stem cell transplant, and who have an </w:t>
      </w:r>
      <w:proofErr w:type="spellStart"/>
      <w:r w:rsidRPr="007B2A56">
        <w:rPr>
          <w:i/>
        </w:rPr>
        <w:t>isocitrate</w:t>
      </w:r>
      <w:proofErr w:type="spellEnd"/>
      <w:r w:rsidRPr="007B2A56">
        <w:rPr>
          <w:i/>
        </w:rPr>
        <w:t xml:space="preserve"> dehydrogenase-2 (IDH2) mutation confirmed by a validated diagnostic test.</w:t>
      </w:r>
    </w:p>
    <w:p w:rsidR="00B954FE" w:rsidRDefault="00B954FE" w:rsidP="00B954FE">
      <w:pPr>
        <w:ind w:left="720"/>
        <w:rPr>
          <w:i/>
        </w:rPr>
      </w:pPr>
      <w:r w:rsidRPr="007B2A56">
        <w:rPr>
          <w:i/>
        </w:rPr>
        <w:t>The decision to approve this indication has been made on the basis of preliminary clinical data from a Phase 1/2 clinical trial with a primary endpoint of overall response rate. An improvement in OS or PFS has not been established. The sponsor is required to submit further clinical data to confirm the efficacy and safety of the medicine.</w:t>
      </w:r>
    </w:p>
    <w:p w:rsidR="00D23139" w:rsidRPr="00D23139" w:rsidRDefault="00B954FE" w:rsidP="00D23139">
      <w:r>
        <w:t>The provisional registration period for the above medicine(s) is two years starting on the day specified in the ARTG certificate of registration.</w:t>
      </w:r>
    </w:p>
    <w:p w:rsidR="00D23139" w:rsidRPr="00D23139" w:rsidRDefault="00D23139" w:rsidP="00D23139">
      <w:pPr>
        <w:pStyle w:val="Heading4"/>
      </w:pPr>
      <w:r w:rsidRPr="00D23139">
        <w:t>Specific conditions of registration applying to these goods</w:t>
      </w:r>
    </w:p>
    <w:p w:rsidR="0033658A" w:rsidRPr="002D450A" w:rsidRDefault="0033658A" w:rsidP="0033658A">
      <w:pPr>
        <w:pStyle w:val="ListBullet"/>
      </w:pPr>
      <w:r w:rsidRPr="002D450A">
        <w:t>Idhifa (</w:t>
      </w:r>
      <w:proofErr w:type="spellStart"/>
      <w:r w:rsidRPr="002D450A">
        <w:t>enasidenib</w:t>
      </w:r>
      <w:proofErr w:type="spellEnd"/>
      <w:r w:rsidRPr="002D450A">
        <w:t>) is to be included in the Black Tria</w:t>
      </w:r>
      <w:r>
        <w:t xml:space="preserve">ngle Scheme. The </w:t>
      </w:r>
      <w:r w:rsidR="00416FF1">
        <w:t>PI</w:t>
      </w:r>
      <w:r>
        <w:t xml:space="preserve"> and </w:t>
      </w:r>
      <w:r w:rsidR="00416FF1">
        <w:t>CMI</w:t>
      </w:r>
      <w:r>
        <w:t xml:space="preserve"> for </w:t>
      </w:r>
      <w:r w:rsidRPr="002D450A">
        <w:t xml:space="preserve">Idhifa must include the black triangle symbol and </w:t>
      </w:r>
      <w:r>
        <w:t>mandatory accompanying text for</w:t>
      </w:r>
      <w:r w:rsidRPr="002D450A">
        <w:t xml:space="preserve"> the products entire peri</w:t>
      </w:r>
      <w:r>
        <w:t>od of provisional registration.</w:t>
      </w:r>
    </w:p>
    <w:p w:rsidR="0033658A" w:rsidRPr="002D450A" w:rsidRDefault="0033658A" w:rsidP="0033658A">
      <w:pPr>
        <w:pStyle w:val="ListBullet"/>
      </w:pPr>
      <w:r w:rsidRPr="002D450A">
        <w:t>Confirmatory trial data (as identified in the sponsor</w:t>
      </w:r>
      <w:r>
        <w:t xml:space="preserve">’s plan to submit comprehensive </w:t>
      </w:r>
      <w:r w:rsidRPr="002D450A">
        <w:t>clinical data on the safety and efficacy of the medicine bef</w:t>
      </w:r>
      <w:r>
        <w:t xml:space="preserve">ore the end of the 6 years that </w:t>
      </w:r>
      <w:r w:rsidRPr="002D450A">
        <w:t>would start on the day that registration would commence) must be provided.</w:t>
      </w:r>
    </w:p>
    <w:p w:rsidR="0033658A" w:rsidRPr="002D450A" w:rsidRDefault="0033658A" w:rsidP="0033658A">
      <w:pPr>
        <w:pStyle w:val="ListBullet"/>
        <w:numPr>
          <w:ilvl w:val="0"/>
          <w:numId w:val="0"/>
        </w:numPr>
        <w:ind w:left="360"/>
      </w:pPr>
      <w:r w:rsidRPr="002D450A">
        <w:t>Specifically the sponsor must conduct studies as described in the clinical study plan in</w:t>
      </w:r>
      <w:r>
        <w:t xml:space="preserve"> </w:t>
      </w:r>
      <w:r w:rsidRPr="002D450A">
        <w:t>version 0.2 (date 8 January 2019) of the Australia-spec</w:t>
      </w:r>
      <w:r>
        <w:t xml:space="preserve">ific Annex. The following study </w:t>
      </w:r>
      <w:r w:rsidRPr="002D450A">
        <w:t>report(s) should be submitted to TGA.</w:t>
      </w:r>
    </w:p>
    <w:p w:rsidR="0033658A" w:rsidRDefault="0033658A" w:rsidP="0033658A">
      <w:pPr>
        <w:pStyle w:val="ListBullet2"/>
      </w:pPr>
      <w:r w:rsidRPr="002D450A">
        <w:lastRenderedPageBreak/>
        <w:t>AG-221-AML-004 study as soon as it becomes available in 2020</w:t>
      </w:r>
      <w:r>
        <w:t>.</w:t>
      </w:r>
    </w:p>
    <w:p w:rsidR="0033658A" w:rsidRDefault="0033658A" w:rsidP="0033658A">
      <w:pPr>
        <w:pStyle w:val="ListBullet"/>
        <w:numPr>
          <w:ilvl w:val="0"/>
          <w:numId w:val="0"/>
        </w:numPr>
        <w:ind w:left="360"/>
      </w:pPr>
      <w:r>
        <w:t xml:space="preserve">The sponsor will provide the full clinical study reports of the following post-market studies required by the </w:t>
      </w:r>
      <w:r w:rsidR="00416FF1">
        <w:t>FDA</w:t>
      </w:r>
      <w:r>
        <w:t>, as soon as available:</w:t>
      </w:r>
    </w:p>
    <w:p w:rsidR="0033658A" w:rsidRDefault="0033658A" w:rsidP="0033658A">
      <w:pPr>
        <w:pStyle w:val="ListBullet2"/>
      </w:pPr>
      <w:r>
        <w:t xml:space="preserve">Meta-analysis to characterise </w:t>
      </w:r>
      <w:proofErr w:type="spellStart"/>
      <w:r>
        <w:t>enasidenib</w:t>
      </w:r>
      <w:proofErr w:type="spellEnd"/>
      <w:r>
        <w:t xml:space="preserve"> related differentiation syndrome (PMR 3240-1).</w:t>
      </w:r>
    </w:p>
    <w:p w:rsidR="0033658A" w:rsidRDefault="0033658A" w:rsidP="0033658A">
      <w:pPr>
        <w:pStyle w:val="ListBullet2"/>
      </w:pPr>
      <w:r>
        <w:t xml:space="preserve">To characterise the long-term safety of </w:t>
      </w:r>
      <w:proofErr w:type="spellStart"/>
      <w:r>
        <w:t>enasidenib</w:t>
      </w:r>
      <w:proofErr w:type="spellEnd"/>
      <w:r>
        <w:t xml:space="preserve"> in R/R AML, submit the final study report with 3 years of follow-up data of the AG221-C-001 trial. Include data from approximately 280 patients with R/R AML (PMR 3240-2).</w:t>
      </w:r>
    </w:p>
    <w:p w:rsidR="0033658A" w:rsidRDefault="0033658A" w:rsidP="0033658A">
      <w:pPr>
        <w:pStyle w:val="ListBullet2"/>
      </w:pPr>
      <w:r>
        <w:t xml:space="preserve">A study sufficient to characterise the long-term safety of </w:t>
      </w:r>
      <w:proofErr w:type="spellStart"/>
      <w:r>
        <w:t>enasidenib</w:t>
      </w:r>
      <w:proofErr w:type="spellEnd"/>
      <w:r>
        <w:t xml:space="preserve"> compared to conventional care regimens in patients with AML (PMR 3240-3).</w:t>
      </w:r>
    </w:p>
    <w:p w:rsidR="0033658A" w:rsidRDefault="0033658A" w:rsidP="0033658A">
      <w:pPr>
        <w:pStyle w:val="ListBullet2"/>
      </w:pPr>
      <w:r>
        <w:t xml:space="preserve">Pharmacokinetic trials to evaluate the effect of multiple doses of </w:t>
      </w:r>
      <w:proofErr w:type="spellStart"/>
      <w:r>
        <w:t>enasidenib</w:t>
      </w:r>
      <w:proofErr w:type="spellEnd"/>
      <w:r>
        <w:t xml:space="preserve"> on the single dose pharmacokinetics of sensitive substrates of CYP3A4, CYP2D6, CYP2C19, CYP2C9, UGTs, P-</w:t>
      </w:r>
      <w:proofErr w:type="spellStart"/>
      <w:r>
        <w:t>pg</w:t>
      </w:r>
      <w:proofErr w:type="spellEnd"/>
      <w:r>
        <w:t xml:space="preserve"> and BCRP to address the potential for excessive drug toxicity (PMR3240-4).</w:t>
      </w:r>
    </w:p>
    <w:p w:rsidR="0033658A" w:rsidRDefault="0033658A" w:rsidP="0033658A">
      <w:pPr>
        <w:pStyle w:val="ListBullet2"/>
      </w:pPr>
      <w:r>
        <w:t xml:space="preserve">A clinical pharmacokinetic trial to determine the appropriate dose of </w:t>
      </w:r>
      <w:proofErr w:type="spellStart"/>
      <w:r>
        <w:t>enasidenib</w:t>
      </w:r>
      <w:proofErr w:type="spellEnd"/>
      <w:r>
        <w:t xml:space="preserve"> in patients with hepatic impairment.</w:t>
      </w:r>
    </w:p>
    <w:p w:rsidR="0033658A" w:rsidRDefault="0033658A" w:rsidP="0033658A">
      <w:pPr>
        <w:pStyle w:val="ListBullet"/>
        <w:numPr>
          <w:ilvl w:val="0"/>
          <w:numId w:val="0"/>
        </w:numPr>
        <w:ind w:left="360"/>
      </w:pPr>
      <w:r>
        <w:t>Further guidance for sponsors is available on the TGA website.</w:t>
      </w:r>
    </w:p>
    <w:p w:rsidR="0033658A" w:rsidRDefault="0033658A" w:rsidP="0033658A">
      <w:pPr>
        <w:pStyle w:val="ListBullet"/>
      </w:pPr>
      <w:r>
        <w:t xml:space="preserve">The Idhifa </w:t>
      </w:r>
      <w:r w:rsidR="00416FF1">
        <w:t xml:space="preserve">EU-RMP </w:t>
      </w:r>
      <w:r>
        <w:t xml:space="preserve">(version 0.2, dated 8 January 2019, </w:t>
      </w:r>
      <w:r w:rsidR="00416FF1">
        <w:t>DLP</w:t>
      </w:r>
      <w:r>
        <w:t xml:space="preserve"> 1 September 2017), with </w:t>
      </w:r>
      <w:r w:rsidR="00416FF1">
        <w:t>ASA</w:t>
      </w:r>
      <w:r>
        <w:t xml:space="preserve"> (version 1.2, dated 8 January 2019), included with submission PM-2018-04819-1-6, and any subsequent revisions, as agreed with the TGA will be implemented in Australia.</w:t>
      </w:r>
    </w:p>
    <w:p w:rsidR="0033658A" w:rsidRDefault="0033658A" w:rsidP="0033658A">
      <w:pPr>
        <w:pStyle w:val="ListBullet"/>
        <w:numPr>
          <w:ilvl w:val="0"/>
          <w:numId w:val="0"/>
        </w:numPr>
        <w:ind w:left="360"/>
      </w:pPr>
      <w:r>
        <w:t>An obligatory component of risk management plans is routine pharmacovigilance. Routine pharmacovigilance includes the submission of periodic safety update reports (PSURs).</w:t>
      </w:r>
    </w:p>
    <w:p w:rsidR="0033658A" w:rsidRDefault="0033658A" w:rsidP="0033658A">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the approval letter.</w:t>
      </w:r>
    </w:p>
    <w:p w:rsidR="009752A5" w:rsidRDefault="0033658A" w:rsidP="0033658A">
      <w:pPr>
        <w:pStyle w:val="ListBullet"/>
        <w:numPr>
          <w:ilvl w:val="0"/>
          <w:numId w:val="0"/>
        </w:numPr>
        <w:ind w:left="360"/>
      </w:pPr>
      <w:r>
        <w:t xml:space="preserve">The reports are to at least meet the requirements for PSURs as described in the European Medicines Agency’s Guideline on </w:t>
      </w:r>
      <w:r w:rsidR="00416FF1">
        <w:t>GVP</w:t>
      </w:r>
      <w:r>
        <w:t xml:space="preserve"> Module VII-periodic safety update report (Rev 1), Part VII.B Structures and processes. Note that submission of a PSUR does not constitute an application to vary the registration.</w:t>
      </w:r>
    </w:p>
    <w:p w:rsidR="008E7846" w:rsidRDefault="00A80B5B" w:rsidP="00D23139">
      <w:pPr>
        <w:pStyle w:val="Heading2"/>
      </w:pPr>
      <w:bookmarkStart w:id="66" w:name="_Toc40087037"/>
      <w:r>
        <w:t xml:space="preserve">Attachment 1. </w:t>
      </w:r>
      <w:r w:rsidR="008E7846">
        <w:t xml:space="preserve">Product </w:t>
      </w:r>
      <w:r w:rsidR="00AA0ED0">
        <w:t>I</w:t>
      </w:r>
      <w:r w:rsidR="008E7846">
        <w:t>nformation</w:t>
      </w:r>
      <w:bookmarkEnd w:id="64"/>
      <w:bookmarkEnd w:id="65"/>
      <w:bookmarkEnd w:id="66"/>
    </w:p>
    <w:p w:rsidR="00C80137" w:rsidRDefault="006136D7" w:rsidP="00C80137">
      <w:pPr>
        <w:rPr>
          <w:color w:val="000000"/>
          <w:lang w:eastAsia="en-AU"/>
        </w:rPr>
      </w:pPr>
      <w:r w:rsidRPr="002B3624">
        <w:t xml:space="preserve">The </w:t>
      </w:r>
      <w:r>
        <w:t>PI</w:t>
      </w:r>
      <w:r w:rsidRPr="002B3624">
        <w:t xml:space="preserve"> for </w:t>
      </w:r>
      <w:r w:rsidR="0033658A">
        <w:t>Idhifa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1" w:history="1">
        <w:r w:rsidR="007C6B9B" w:rsidRPr="007C6B9B">
          <w:rPr>
            <w:rStyle w:val="Hyperlink"/>
          </w:rPr>
          <w:t>https://www.tga.gov.au/product-information-pi</w:t>
        </w:r>
      </w:hyperlink>
      <w:r w:rsidR="0033658A">
        <w:t>&gt;.</w:t>
      </w:r>
    </w:p>
    <w:p w:rsidR="00291957" w:rsidRDefault="00291957" w:rsidP="0033658A">
      <w:pPr>
        <w:autoSpaceDE w:val="0"/>
        <w:autoSpaceDN w:val="0"/>
        <w:adjustRightInd w:val="0"/>
        <w:spacing w:after="0"/>
        <w:rPr>
          <w:lang w:eastAsia="ja-JP"/>
        </w:rPr>
      </w:pPr>
    </w:p>
    <w:p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6" w:history="1">
              <w:r w:rsidRPr="004C239D">
                <w:rPr>
                  <w:rStyle w:val="Hyperlink"/>
                </w:rPr>
                <w:t>info@tga.gov.au</w:t>
              </w:r>
            </w:hyperlink>
            <w:r w:rsidRPr="00487162">
              <w:t xml:space="preserve">  Phone: 1800 020 653  Fax: 02 6232 8605</w:t>
            </w:r>
          </w:p>
          <w:p w:rsidR="001C32CD" w:rsidRPr="004C239D" w:rsidRDefault="00735356"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356" w:rsidRDefault="00735356" w:rsidP="00C40A36">
      <w:pPr>
        <w:spacing w:after="0"/>
      </w:pPr>
      <w:r>
        <w:separator/>
      </w:r>
    </w:p>
  </w:endnote>
  <w:endnote w:type="continuationSeparator" w:id="0">
    <w:p w:rsidR="00735356" w:rsidRDefault="0073535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6" w:rsidRDefault="00735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735356" w:rsidRPr="00487162" w:rsidTr="00DB750B">
      <w:trPr>
        <w:trHeight w:val="269"/>
      </w:trPr>
      <w:tc>
        <w:tcPr>
          <w:tcW w:w="7371" w:type="dxa"/>
          <w:tcMar>
            <w:top w:w="142" w:type="dxa"/>
            <w:bottom w:w="0" w:type="dxa"/>
          </w:tcMar>
        </w:tcPr>
        <w:p w:rsidR="00735356" w:rsidRPr="00487162" w:rsidRDefault="00735356" w:rsidP="00DC5B6B">
          <w:pPr>
            <w:pStyle w:val="Footer"/>
          </w:pPr>
          <w:r w:rsidRPr="00487162">
            <w:t>AusPA</w:t>
          </w:r>
          <w:r>
            <w:t xml:space="preserve">R - </w:t>
          </w:r>
          <w:r w:rsidRPr="007F7A84">
            <w:t xml:space="preserve">IDHIFA - </w:t>
          </w:r>
          <w:proofErr w:type="spellStart"/>
          <w:r w:rsidRPr="007F7A84">
            <w:t>enasidenib</w:t>
          </w:r>
          <w:proofErr w:type="spellEnd"/>
          <w:r w:rsidRPr="007F7A84">
            <w:t xml:space="preserve"> - Celgene Pty Ltd - PM-2018-04819-1-6</w:t>
          </w:r>
          <w:r>
            <w:br/>
            <w:t>FINAL 24 April 2020</w:t>
          </w:r>
        </w:p>
      </w:tc>
      <w:tc>
        <w:tcPr>
          <w:tcW w:w="1490" w:type="dxa"/>
          <w:tcMar>
            <w:top w:w="142" w:type="dxa"/>
            <w:bottom w:w="0" w:type="dxa"/>
          </w:tcMar>
        </w:tcPr>
        <w:p w:rsidR="00735356" w:rsidRPr="00487162" w:rsidRDefault="00735356" w:rsidP="00DB750B">
          <w:pPr>
            <w:pStyle w:val="Footer"/>
            <w:jc w:val="right"/>
          </w:pPr>
          <w:r w:rsidRPr="00487162">
            <w:t xml:space="preserve">Page </w:t>
          </w:r>
          <w:r>
            <w:fldChar w:fldCharType="begin"/>
          </w:r>
          <w:r>
            <w:instrText xml:space="preserve"> PAGE  \* Arabic </w:instrText>
          </w:r>
          <w:r>
            <w:fldChar w:fldCharType="separate"/>
          </w:r>
          <w:r w:rsidR="001A572A">
            <w:rPr>
              <w:noProof/>
            </w:rPr>
            <w:t>21</w:t>
          </w:r>
          <w:r>
            <w:fldChar w:fldCharType="end"/>
          </w:r>
          <w:r w:rsidRPr="00487162">
            <w:t xml:space="preserve"> of </w:t>
          </w:r>
          <w:r>
            <w:fldChar w:fldCharType="begin"/>
          </w:r>
          <w:r>
            <w:instrText xml:space="preserve"> NUMPAGES  \* Arabic </w:instrText>
          </w:r>
          <w:r>
            <w:fldChar w:fldCharType="separate"/>
          </w:r>
          <w:r w:rsidR="001A572A">
            <w:rPr>
              <w:noProof/>
            </w:rPr>
            <w:t>32</w:t>
          </w:r>
          <w:r>
            <w:rPr>
              <w:noProof/>
            </w:rPr>
            <w:fldChar w:fldCharType="end"/>
          </w:r>
        </w:p>
      </w:tc>
    </w:tr>
  </w:tbl>
  <w:p w:rsidR="00735356" w:rsidRDefault="00735356"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6" w:rsidRDefault="007353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35356" w:rsidRPr="00487162" w:rsidTr="00E45619">
      <w:trPr>
        <w:trHeight w:val="269"/>
      </w:trPr>
      <w:tc>
        <w:tcPr>
          <w:tcW w:w="4519" w:type="dxa"/>
          <w:tcBorders>
            <w:top w:val="single" w:sz="4" w:space="0" w:color="auto"/>
          </w:tcBorders>
          <w:tcMar>
            <w:top w:w="142" w:type="dxa"/>
            <w:bottom w:w="0" w:type="dxa"/>
          </w:tcMar>
        </w:tcPr>
        <w:p w:rsidR="00735356" w:rsidRPr="00487162" w:rsidRDefault="00735356" w:rsidP="00FE1DEE">
          <w:pPr>
            <w:pStyle w:val="Footer"/>
          </w:pPr>
          <w:r w:rsidRPr="00487162">
            <w:t>Document title, Part #, Section # - Section title</w:t>
          </w:r>
        </w:p>
        <w:p w:rsidR="00735356" w:rsidRPr="00487162" w:rsidRDefault="00735356" w:rsidP="00FE1DEE">
          <w:pPr>
            <w:pStyle w:val="Footer"/>
          </w:pPr>
          <w:r w:rsidRPr="00487162">
            <w:t>V1.0 October 2010</w:t>
          </w:r>
        </w:p>
      </w:tc>
      <w:tc>
        <w:tcPr>
          <w:tcW w:w="4342" w:type="dxa"/>
          <w:tcBorders>
            <w:top w:val="single" w:sz="4" w:space="0" w:color="auto"/>
          </w:tcBorders>
          <w:tcMar>
            <w:top w:w="142" w:type="dxa"/>
            <w:bottom w:w="0" w:type="dxa"/>
          </w:tcMar>
        </w:tcPr>
        <w:p w:rsidR="00735356" w:rsidRPr="00487162" w:rsidRDefault="0073535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3</w:t>
          </w:r>
          <w:r>
            <w:rPr>
              <w:noProof/>
            </w:rPr>
            <w:fldChar w:fldCharType="end"/>
          </w:r>
        </w:p>
      </w:tc>
    </w:tr>
  </w:tbl>
  <w:p w:rsidR="00735356" w:rsidRDefault="007353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6" w:rsidRPr="001C32CD" w:rsidRDefault="00735356"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35356" w:rsidTr="0010601F">
      <w:trPr>
        <w:trHeight w:val="108"/>
      </w:trPr>
      <w:tc>
        <w:tcPr>
          <w:tcW w:w="8875" w:type="dxa"/>
          <w:gridSpan w:val="2"/>
          <w:tcBorders>
            <w:bottom w:val="single" w:sz="4" w:space="0" w:color="auto"/>
          </w:tcBorders>
          <w:tcMar>
            <w:right w:w="284" w:type="dxa"/>
          </w:tcMar>
        </w:tcPr>
        <w:p w:rsidR="00735356" w:rsidRDefault="00735356" w:rsidP="006E08B3">
          <w:pPr>
            <w:pStyle w:val="Heading3"/>
          </w:pPr>
          <w:r>
            <w:t>Copyright</w:t>
          </w:r>
        </w:p>
        <w:p w:rsidR="00735356" w:rsidRDefault="00735356" w:rsidP="006E08B3">
          <w:r>
            <w:rPr>
              <w:rFonts w:cs="Arial"/>
            </w:rPr>
            <w:t>©</w:t>
          </w:r>
          <w:r>
            <w:t xml:space="preserve"> Commonwealth of Australia [add year]</w:t>
          </w:r>
        </w:p>
        <w:p w:rsidR="00735356" w:rsidRDefault="00735356" w:rsidP="006E08B3"/>
        <w:p w:rsidR="00735356" w:rsidRDefault="0073535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735356" w:rsidRDefault="00735356" w:rsidP="006E08B3"/>
        <w:p w:rsidR="00735356" w:rsidRDefault="00735356" w:rsidP="006E08B3">
          <w:pPr>
            <w:pStyle w:val="Heading3"/>
          </w:pPr>
          <w:r>
            <w:t>Confidentiality</w:t>
          </w:r>
        </w:p>
        <w:p w:rsidR="00735356" w:rsidRDefault="0073535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735356" w:rsidRDefault="00735356" w:rsidP="006E08B3"/>
        <w:p w:rsidR="00735356" w:rsidRDefault="00735356" w:rsidP="006E08B3">
          <w:r>
            <w:t>For submission made by individuals, all personal details, other than your name, will be removed from your submission before it is published on the TGA’s Internet site.</w:t>
          </w:r>
        </w:p>
        <w:p w:rsidR="00735356" w:rsidRDefault="00735356" w:rsidP="006E08B3"/>
        <w:p w:rsidR="00735356" w:rsidRDefault="0073535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735356" w:rsidTr="0010601F">
      <w:trPr>
        <w:trHeight w:val="417"/>
      </w:trPr>
      <w:tc>
        <w:tcPr>
          <w:tcW w:w="4519" w:type="dxa"/>
          <w:tcBorders>
            <w:top w:val="single" w:sz="4" w:space="0" w:color="auto"/>
          </w:tcBorders>
          <w:tcMar>
            <w:top w:w="142" w:type="dxa"/>
            <w:bottom w:w="0" w:type="dxa"/>
          </w:tcMar>
        </w:tcPr>
        <w:p w:rsidR="00735356" w:rsidRDefault="00735356" w:rsidP="006E08B3">
          <w:r>
            <w:t>Document title, Part #, Section # - Section title</w:t>
          </w:r>
        </w:p>
        <w:p w:rsidR="00735356" w:rsidRDefault="00735356" w:rsidP="006E08B3">
          <w:r>
            <w:t>V1.0 October 2010</w:t>
          </w:r>
        </w:p>
      </w:tc>
      <w:tc>
        <w:tcPr>
          <w:tcW w:w="4356" w:type="dxa"/>
          <w:tcBorders>
            <w:top w:val="single" w:sz="4" w:space="0" w:color="auto"/>
          </w:tcBorders>
          <w:tcMar>
            <w:top w:w="142" w:type="dxa"/>
            <w:bottom w:w="0" w:type="dxa"/>
          </w:tcMar>
        </w:tcPr>
        <w:p w:rsidR="00735356" w:rsidRDefault="0073535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3</w:t>
          </w:r>
          <w:r>
            <w:rPr>
              <w:noProof/>
            </w:rPr>
            <w:fldChar w:fldCharType="end"/>
          </w:r>
          <w:r>
            <w:t xml:space="preserve">  </w:t>
          </w:r>
        </w:p>
      </w:tc>
    </w:tr>
  </w:tbl>
  <w:p w:rsidR="00735356" w:rsidRDefault="007353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356" w:rsidRDefault="00735356" w:rsidP="00C40A36">
      <w:pPr>
        <w:spacing w:after="0"/>
      </w:pPr>
      <w:r>
        <w:separator/>
      </w:r>
    </w:p>
  </w:footnote>
  <w:footnote w:type="continuationSeparator" w:id="0">
    <w:p w:rsidR="00735356" w:rsidRDefault="00735356" w:rsidP="00C40A36">
      <w:pPr>
        <w:spacing w:after="0"/>
      </w:pPr>
      <w:r>
        <w:continuationSeparator/>
      </w:r>
    </w:p>
  </w:footnote>
  <w:footnote w:id="1">
    <w:p w:rsidR="00735356" w:rsidRDefault="00735356" w:rsidP="002227D5">
      <w:pPr>
        <w:pStyle w:val="FootnoteText"/>
      </w:pPr>
      <w:r>
        <w:rPr>
          <w:rStyle w:val="FootnoteReference"/>
        </w:rPr>
        <w:footnoteRef/>
      </w:r>
      <w:r>
        <w:t xml:space="preserve"> </w:t>
      </w:r>
      <w:proofErr w:type="spellStart"/>
      <w:r>
        <w:t>Döhner</w:t>
      </w:r>
      <w:proofErr w:type="spellEnd"/>
      <w:r>
        <w:t xml:space="preserve">, H. et al. Diagnosis and management of AML in adults: 2017 ELN recommendations from an international expert panel. </w:t>
      </w:r>
      <w:r w:rsidRPr="00861DAE">
        <w:rPr>
          <w:i/>
        </w:rPr>
        <w:t>Blood</w:t>
      </w:r>
      <w:r>
        <w:t>. 2017; 129(4): 424-447.</w:t>
      </w:r>
    </w:p>
  </w:footnote>
  <w:footnote w:id="2">
    <w:p w:rsidR="00735356" w:rsidRDefault="00735356">
      <w:pPr>
        <w:pStyle w:val="FootnoteText"/>
      </w:pPr>
      <w:r>
        <w:rPr>
          <w:rStyle w:val="FootnoteReference"/>
        </w:rPr>
        <w:footnoteRef/>
      </w:r>
      <w:r>
        <w:t xml:space="preserve"> European Medicines Agency (EMA), </w:t>
      </w:r>
      <w:r w:rsidRPr="00470973">
        <w:t>Withdrawal of application for the marketing authorisation of Idhifa (</w:t>
      </w:r>
      <w:proofErr w:type="spellStart"/>
      <w:r w:rsidRPr="00470973">
        <w:t>enasidenib</w:t>
      </w:r>
      <w:proofErr w:type="spellEnd"/>
      <w:r w:rsidRPr="00470973">
        <w:t>)</w:t>
      </w:r>
      <w:r>
        <w:t xml:space="preserve">, 31 January 2020, </w:t>
      </w:r>
      <w:r w:rsidRPr="00470973">
        <w:t>EMA/47029/2020</w:t>
      </w:r>
      <w:r>
        <w:t>, accessed from the EMA website.</w:t>
      </w:r>
    </w:p>
  </w:footnote>
  <w:footnote w:id="3">
    <w:p w:rsidR="00735356" w:rsidRDefault="00735356">
      <w:pPr>
        <w:pStyle w:val="FootnoteText"/>
      </w:pPr>
      <w:r>
        <w:rPr>
          <w:rStyle w:val="FootnoteReference"/>
        </w:rPr>
        <w:footnoteRef/>
      </w:r>
      <w:r>
        <w:t xml:space="preserve"> Australian Pregnancy Category D: </w:t>
      </w:r>
      <w:r w:rsidRPr="00F60DFD">
        <w:t xml:space="preserve">Drugs which have caused, are suspected to have caused or may be expected to cause, an increased incidence of human </w:t>
      </w:r>
      <w:proofErr w:type="spellStart"/>
      <w:r w:rsidRPr="00F60DFD">
        <w:t>fetal</w:t>
      </w:r>
      <w:proofErr w:type="spellEnd"/>
      <w:r w:rsidRPr="00F60DFD">
        <w:t xml:space="preserve"> malformations or irreversible damage. These drugs may also have adverse pharmacological effects. Accompanying texts should be consulted for further details.</w:t>
      </w:r>
    </w:p>
  </w:footnote>
  <w:footnote w:id="4">
    <w:p w:rsidR="00735356" w:rsidRDefault="00735356">
      <w:pPr>
        <w:pStyle w:val="FootnoteText"/>
      </w:pPr>
      <w:r>
        <w:rPr>
          <w:rStyle w:val="FootnoteReference"/>
        </w:rPr>
        <w:footnoteRef/>
      </w:r>
      <w:r>
        <w:t xml:space="preserve"> </w:t>
      </w:r>
      <w:proofErr w:type="spellStart"/>
      <w:r>
        <w:t>Dohner</w:t>
      </w:r>
      <w:proofErr w:type="spellEnd"/>
      <w:r>
        <w:t xml:space="preserve"> et al. </w:t>
      </w:r>
      <w:r w:rsidRPr="00587F74">
        <w:t xml:space="preserve">Acute Myeloid </w:t>
      </w:r>
      <w:proofErr w:type="spellStart"/>
      <w:r w:rsidRPr="00587F74">
        <w:t>Leukemia</w:t>
      </w:r>
      <w:proofErr w:type="spellEnd"/>
      <w:r>
        <w:t xml:space="preserve">, </w:t>
      </w:r>
      <w:r w:rsidRPr="00587F74">
        <w:rPr>
          <w:i/>
        </w:rPr>
        <w:t xml:space="preserve">N </w:t>
      </w:r>
      <w:proofErr w:type="spellStart"/>
      <w:r w:rsidRPr="00587F74">
        <w:rPr>
          <w:i/>
        </w:rPr>
        <w:t>Engl</w:t>
      </w:r>
      <w:proofErr w:type="spellEnd"/>
      <w:r w:rsidRPr="00587F74">
        <w:rPr>
          <w:i/>
        </w:rPr>
        <w:t xml:space="preserve"> J Med</w:t>
      </w:r>
      <w:r>
        <w:t>,</w:t>
      </w:r>
      <w:r w:rsidRPr="00587F74">
        <w:t xml:space="preserve"> 2015;</w:t>
      </w:r>
      <w:r>
        <w:t xml:space="preserve"> </w:t>
      </w:r>
      <w:r w:rsidRPr="00587F74">
        <w:t>373:</w:t>
      </w:r>
      <w:r>
        <w:t xml:space="preserve"> </w:t>
      </w:r>
      <w:r w:rsidRPr="00587F74">
        <w:t>1136-</w:t>
      </w:r>
      <w:r>
        <w:t>11</w:t>
      </w:r>
      <w:r w:rsidRPr="00587F74">
        <w:t>52.</w:t>
      </w:r>
    </w:p>
  </w:footnote>
  <w:footnote w:id="5">
    <w:p w:rsidR="00735356" w:rsidRPr="00DC5B6B" w:rsidRDefault="00735356">
      <w:pPr>
        <w:pStyle w:val="FootnoteText"/>
        <w:rPr>
          <w:lang w:val="en-GB"/>
        </w:rPr>
      </w:pPr>
      <w:r>
        <w:rPr>
          <w:rStyle w:val="FootnoteReference"/>
        </w:rPr>
        <w:footnoteRef/>
      </w:r>
      <w:r>
        <w:t xml:space="preserve"> </w:t>
      </w:r>
      <w:r w:rsidRPr="000F1877">
        <w:t>The QT interval is the time from the start of the Q</w:t>
      </w:r>
      <w:r>
        <w:t>RS</w:t>
      </w:r>
      <w:r w:rsidRPr="000F1877">
        <w:t xml:space="preserve"> wave</w:t>
      </w:r>
      <w:r>
        <w:t xml:space="preserve"> complex</w:t>
      </w:r>
      <w:r w:rsidRPr="000F1877">
        <w:t xml:space="preserve"> to the end of the</w:t>
      </w:r>
      <w:r>
        <w:t xml:space="preserve"> corresponding</w:t>
      </w:r>
      <w:r w:rsidRPr="000F1877">
        <w:t xml:space="preserve"> T wave. It </w:t>
      </w:r>
      <w:r>
        <w:t xml:space="preserve">approximates to </w:t>
      </w:r>
      <w:r w:rsidRPr="000F1877">
        <w:t xml:space="preserve">the time taken for ventricular depolarisation and repolarisation, </w:t>
      </w:r>
      <w:r>
        <w:t>that is to say, the</w:t>
      </w:r>
      <w:r w:rsidRPr="000F1877">
        <w:t xml:space="preserve"> period of ventricular systole from ventricular </w:t>
      </w:r>
      <w:proofErr w:type="spellStart"/>
      <w:r w:rsidRPr="000F1877">
        <w:t>isovolumetric</w:t>
      </w:r>
      <w:proofErr w:type="spellEnd"/>
      <w:r w:rsidRPr="000F1877">
        <w:t xml:space="preserve"> contraction to </w:t>
      </w:r>
      <w:proofErr w:type="spellStart"/>
      <w:r w:rsidRPr="000F1877">
        <w:t>isovolumetric</w:t>
      </w:r>
      <w:proofErr w:type="spellEnd"/>
      <w:r w:rsidRPr="000F1877">
        <w:t xml:space="preserve"> relaxation.</w:t>
      </w:r>
      <w:r>
        <w:t xml:space="preserve"> The </w:t>
      </w:r>
      <w:proofErr w:type="spellStart"/>
      <w:r>
        <w:t>QTc</w:t>
      </w:r>
      <w:proofErr w:type="spellEnd"/>
      <w:r>
        <w:t xml:space="preserve"> is the QT interval corrected for heart rate.</w:t>
      </w:r>
    </w:p>
  </w:footnote>
  <w:footnote w:id="6">
    <w:p w:rsidR="00735356" w:rsidRDefault="00735356">
      <w:pPr>
        <w:pStyle w:val="FootnoteText"/>
      </w:pPr>
      <w:r>
        <w:rPr>
          <w:rStyle w:val="FootnoteReference"/>
        </w:rPr>
        <w:footnoteRef/>
      </w:r>
      <w:r>
        <w:t xml:space="preserve"> </w:t>
      </w:r>
      <w:proofErr w:type="spellStart"/>
      <w:r>
        <w:t>Cheson</w:t>
      </w:r>
      <w:proofErr w:type="spellEnd"/>
      <w:r>
        <w:t xml:space="preserve">, B.D. et al. </w:t>
      </w:r>
      <w:r w:rsidRPr="005D20B0">
        <w:t xml:space="preserve">Revised recommendations of the International Working Group for Diagnosis, Standardization of Response Criteria, Treatment Outcomes, and Reporting Standards for Therapeutic Trials in Acute Myeloid </w:t>
      </w:r>
      <w:proofErr w:type="spellStart"/>
      <w:r w:rsidRPr="005D20B0">
        <w:t>Leukemia</w:t>
      </w:r>
      <w:proofErr w:type="spellEnd"/>
      <w:r>
        <w:t xml:space="preserve">, </w:t>
      </w:r>
      <w:r w:rsidRPr="005D20B0">
        <w:rPr>
          <w:i/>
        </w:rPr>
        <w:t xml:space="preserve">J </w:t>
      </w:r>
      <w:proofErr w:type="spellStart"/>
      <w:r w:rsidRPr="005D20B0">
        <w:rPr>
          <w:i/>
        </w:rPr>
        <w:t>Clin</w:t>
      </w:r>
      <w:proofErr w:type="spellEnd"/>
      <w:r w:rsidRPr="005D20B0">
        <w:rPr>
          <w:i/>
        </w:rPr>
        <w:t xml:space="preserve"> </w:t>
      </w:r>
      <w:proofErr w:type="spellStart"/>
      <w:r w:rsidRPr="005D20B0">
        <w:rPr>
          <w:i/>
        </w:rPr>
        <w:t>Oncol</w:t>
      </w:r>
      <w:proofErr w:type="spellEnd"/>
      <w:r>
        <w:t>. 2003</w:t>
      </w:r>
      <w:r w:rsidRPr="005D20B0">
        <w:t>;</w:t>
      </w:r>
      <w:r>
        <w:t xml:space="preserve"> </w:t>
      </w:r>
      <w:r w:rsidRPr="005D20B0">
        <w:t>21(24):</w:t>
      </w:r>
      <w:r>
        <w:t xml:space="preserve"> </w:t>
      </w:r>
      <w:r w:rsidRPr="005D20B0">
        <w:t>4642-</w:t>
      </w:r>
      <w:r>
        <w:t>464</w:t>
      </w:r>
      <w:r w:rsidRPr="005D20B0">
        <w:t>9.</w:t>
      </w:r>
    </w:p>
  </w:footnote>
  <w:footnote w:id="7">
    <w:p w:rsidR="00735356" w:rsidRDefault="00735356">
      <w:pPr>
        <w:pStyle w:val="FootnoteText"/>
      </w:pPr>
      <w:r>
        <w:rPr>
          <w:rStyle w:val="FootnoteReference"/>
        </w:rPr>
        <w:footnoteRef/>
      </w:r>
      <w:r>
        <w:t xml:space="preserve"> National Comprehensive Cancer Network (NCCN), Clinical Practice Guidelines in Oncology, Acute Myeloid </w:t>
      </w:r>
      <w:proofErr w:type="spellStart"/>
      <w:r>
        <w:t>Leukemia</w:t>
      </w:r>
      <w:proofErr w:type="spellEnd"/>
      <w:r>
        <w:t>, 2015.</w:t>
      </w:r>
    </w:p>
  </w:footnote>
  <w:footnote w:id="8">
    <w:p w:rsidR="00735356" w:rsidRDefault="00735356" w:rsidP="0033658A">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rsidR="00735356" w:rsidRDefault="00735356" w:rsidP="0033658A">
      <w:pPr>
        <w:pStyle w:val="FootnoteText"/>
      </w:pPr>
      <w:r w:rsidRPr="00F12492">
        <w:rPr>
          <w:i/>
        </w:rPr>
        <w:t>Routine pharmacovigilance</w:t>
      </w:r>
      <w:r>
        <w:t xml:space="preserve"> practices involve the following activities:</w:t>
      </w:r>
    </w:p>
    <w:p w:rsidR="00735356" w:rsidRDefault="00735356" w:rsidP="0033658A">
      <w:pPr>
        <w:pStyle w:val="FootnoteText"/>
        <w:numPr>
          <w:ilvl w:val="0"/>
          <w:numId w:val="28"/>
        </w:numPr>
      </w:pPr>
      <w:r>
        <w:t>All suspected adverse reactions that are reported to the personnel of the company are collected and collated in an accessible manner;</w:t>
      </w:r>
    </w:p>
    <w:p w:rsidR="00735356" w:rsidRDefault="00735356" w:rsidP="0033658A">
      <w:pPr>
        <w:pStyle w:val="FootnoteText"/>
        <w:numPr>
          <w:ilvl w:val="0"/>
          <w:numId w:val="28"/>
        </w:numPr>
      </w:pPr>
      <w:r>
        <w:t>Reporting to regulatory authorities;</w:t>
      </w:r>
    </w:p>
    <w:p w:rsidR="00735356" w:rsidRDefault="00735356" w:rsidP="0033658A">
      <w:pPr>
        <w:pStyle w:val="FootnoteText"/>
        <w:numPr>
          <w:ilvl w:val="0"/>
          <w:numId w:val="28"/>
        </w:numPr>
      </w:pPr>
      <w:r>
        <w:t>Continuous monitoring of the safety profiles of approved products including signal detection and updating of labelling;</w:t>
      </w:r>
    </w:p>
    <w:p w:rsidR="00735356" w:rsidRDefault="00735356" w:rsidP="0033658A">
      <w:pPr>
        <w:pStyle w:val="FootnoteText"/>
        <w:numPr>
          <w:ilvl w:val="0"/>
          <w:numId w:val="28"/>
        </w:numPr>
      </w:pPr>
      <w:r>
        <w:t>Submission of PSURs;</w:t>
      </w:r>
    </w:p>
    <w:p w:rsidR="00735356" w:rsidRPr="00F12492" w:rsidRDefault="00735356" w:rsidP="0033658A">
      <w:pPr>
        <w:pStyle w:val="FootnoteText"/>
        <w:numPr>
          <w:ilvl w:val="0"/>
          <w:numId w:val="28"/>
        </w:numPr>
        <w:rPr>
          <w:lang w:val="en-US"/>
        </w:rPr>
      </w:pPr>
      <w:r>
        <w:t>Meeting other local regulatory agency requirements.</w:t>
      </w:r>
    </w:p>
  </w:footnote>
  <w:footnote w:id="9">
    <w:p w:rsidR="00735356" w:rsidRDefault="00735356"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rsidR="00735356" w:rsidRPr="00456765" w:rsidRDefault="00735356"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6" w:rsidRDefault="00735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6" w:rsidRDefault="00735356"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6" w:rsidRDefault="00735356">
    <w:pPr>
      <w:rPr>
        <w:noProof/>
        <w:lang w:eastAsia="en-AU"/>
      </w:rPr>
    </w:pPr>
    <w:r w:rsidRPr="00347824">
      <w:rPr>
        <w:noProof/>
        <w:lang w:eastAsia="en-AU"/>
      </w:rPr>
      <w:drawing>
        <wp:anchor distT="0" distB="0" distL="114300" distR="114300" simplePos="0" relativeHeight="251659264" behindDoc="1" locked="0" layoutInCell="1" allowOverlap="1" wp14:anchorId="7ED9F9D0" wp14:editId="0B51929B">
          <wp:simplePos x="0" y="0"/>
          <wp:positionH relativeFrom="column">
            <wp:posOffset>-1089660</wp:posOffset>
          </wp:positionH>
          <wp:positionV relativeFrom="paragraph">
            <wp:posOffset>-585470</wp:posOffset>
          </wp:positionV>
          <wp:extent cx="7572375" cy="10706100"/>
          <wp:effectExtent l="19050" t="0" r="0" b="0"/>
          <wp:wrapNone/>
          <wp:docPr id="1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735356" w:rsidRDefault="00735356" w:rsidP="00593AD1">
    <w:pPr>
      <w:pStyle w:val="HeaderNoLine"/>
    </w:pPr>
    <w:r>
      <w:rPr>
        <w:noProof/>
        <w:lang w:eastAsia="en-AU"/>
      </w:rPr>
      <w:drawing>
        <wp:inline distT="0" distB="0" distL="0" distR="0" wp14:anchorId="53720951" wp14:editId="58DC4D6E">
          <wp:extent cx="5400675" cy="7639050"/>
          <wp:effectExtent l="0" t="0" r="9525" b="0"/>
          <wp:docPr id="13" name="Picture 13"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6" w:rsidRDefault="007353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6" w:rsidRDefault="00735356">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6" w:rsidRDefault="00735356">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6" w:rsidRDefault="007353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6" w:rsidRDefault="00735356"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56" w:rsidRDefault="00735356" w:rsidP="006E08B3">
    <w:r>
      <w:t>Therapeutic Goods Administration</w:t>
    </w:r>
  </w:p>
  <w:p w:rsidR="00735356" w:rsidRDefault="00735356"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B86D03"/>
    <w:multiLevelType w:val="multilevel"/>
    <w:tmpl w:val="9ACAB898"/>
    <w:lvl w:ilvl="0">
      <w:start w:val="14"/>
      <w:numFmt w:val="decimal"/>
      <w:suff w:val="space"/>
      <w:lvlText w:val="Recommendation %1."/>
      <w:lvlJc w:val="left"/>
      <w:pPr>
        <w:ind w:left="360" w:hanging="360"/>
      </w:pPr>
      <w:rPr>
        <w:rFonts w:ascii="Cambria" w:hAnsi="Cambria" w:hint="default"/>
        <w:b w:val="0"/>
        <w:color w:val="auto"/>
        <w:sz w:val="23"/>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68F13E9"/>
    <w:multiLevelType w:val="multilevel"/>
    <w:tmpl w:val="016A77A4"/>
    <w:styleLink w:val="ListBullets"/>
    <w:lvl w:ilvl="0">
      <w:start w:val="1"/>
      <w:numFmt w:val="bullet"/>
      <w:pStyle w:val="ListBullet"/>
      <w:lvlText w:val="•"/>
      <w:lvlJc w:val="left"/>
      <w:pPr>
        <w:ind w:left="360" w:hanging="360"/>
      </w:pPr>
      <w:rPr>
        <w:rFonts w:ascii="Cambria" w:hAnsi="Cambria" w:hint="default"/>
        <w:color w:val="auto"/>
        <w:sz w:val="20"/>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1DA0565"/>
    <w:multiLevelType w:val="hybridMultilevel"/>
    <w:tmpl w:val="224C0ED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10" w15:restartNumberingAfterBreak="0">
    <w:nsid w:val="42847A08"/>
    <w:multiLevelType w:val="hybridMultilevel"/>
    <w:tmpl w:val="8E6A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853CE7"/>
    <w:multiLevelType w:val="hybridMultilevel"/>
    <w:tmpl w:val="60F4E1AE"/>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4" w15:restartNumberingAfterBreak="0">
    <w:nsid w:val="63882407"/>
    <w:multiLevelType w:val="hybridMultilevel"/>
    <w:tmpl w:val="C7DE0A9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F72664"/>
    <w:multiLevelType w:val="hybridMultilevel"/>
    <w:tmpl w:val="23A6F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6"/>
  </w:num>
  <w:num w:numId="17">
    <w:abstractNumId w:val="6"/>
  </w:num>
  <w:num w:numId="18">
    <w:abstractNumId w:val="6"/>
  </w:num>
  <w:num w:numId="19">
    <w:abstractNumId w:val="7"/>
  </w:num>
  <w:num w:numId="20">
    <w:abstractNumId w:val="7"/>
  </w:num>
  <w:num w:numId="21">
    <w:abstractNumId w:val="7"/>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16"/>
  </w:num>
  <w:num w:numId="29">
    <w:abstractNumId w:val="13"/>
  </w:num>
  <w:num w:numId="30">
    <w:abstractNumId w:val="11"/>
  </w:num>
  <w:num w:numId="31">
    <w:abstractNumId w:val="10"/>
  </w:num>
  <w:num w:numId="32">
    <w:abstractNumId w:val="15"/>
  </w:num>
  <w:num w:numId="33">
    <w:abstractNumId w:val="9"/>
  </w:num>
  <w:num w:numId="34">
    <w:abstractNumId w:val="5"/>
  </w:num>
  <w:num w:numId="35">
    <w:abstractNumId w:val="4"/>
  </w:num>
  <w:num w:numId="36">
    <w:abstractNumId w:val="14"/>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2D"/>
    <w:rsid w:val="00002031"/>
    <w:rsid w:val="00004734"/>
    <w:rsid w:val="00006B22"/>
    <w:rsid w:val="00012260"/>
    <w:rsid w:val="0001276A"/>
    <w:rsid w:val="000246AE"/>
    <w:rsid w:val="00025C67"/>
    <w:rsid w:val="00044772"/>
    <w:rsid w:val="0004541C"/>
    <w:rsid w:val="0005559E"/>
    <w:rsid w:val="000604D6"/>
    <w:rsid w:val="000734D8"/>
    <w:rsid w:val="00077775"/>
    <w:rsid w:val="00090471"/>
    <w:rsid w:val="00096AA7"/>
    <w:rsid w:val="000A3AED"/>
    <w:rsid w:val="000B3532"/>
    <w:rsid w:val="000B3A75"/>
    <w:rsid w:val="000C00C2"/>
    <w:rsid w:val="000C690F"/>
    <w:rsid w:val="000D1295"/>
    <w:rsid w:val="000D391B"/>
    <w:rsid w:val="000D3D6D"/>
    <w:rsid w:val="000D4FC7"/>
    <w:rsid w:val="000E6196"/>
    <w:rsid w:val="000F1877"/>
    <w:rsid w:val="000F4869"/>
    <w:rsid w:val="000F5B42"/>
    <w:rsid w:val="000F6E6F"/>
    <w:rsid w:val="0010358C"/>
    <w:rsid w:val="0010601F"/>
    <w:rsid w:val="0010788A"/>
    <w:rsid w:val="00107A31"/>
    <w:rsid w:val="00110EA5"/>
    <w:rsid w:val="00112F56"/>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5F7D"/>
    <w:rsid w:val="0017693F"/>
    <w:rsid w:val="0018110E"/>
    <w:rsid w:val="00181684"/>
    <w:rsid w:val="001843C6"/>
    <w:rsid w:val="001850E0"/>
    <w:rsid w:val="001A03AF"/>
    <w:rsid w:val="001A2158"/>
    <w:rsid w:val="001A525F"/>
    <w:rsid w:val="001A572A"/>
    <w:rsid w:val="001B09F9"/>
    <w:rsid w:val="001B5C90"/>
    <w:rsid w:val="001B6448"/>
    <w:rsid w:val="001C32CD"/>
    <w:rsid w:val="001D2984"/>
    <w:rsid w:val="001D4DCC"/>
    <w:rsid w:val="001E07CF"/>
    <w:rsid w:val="001E59F1"/>
    <w:rsid w:val="001F2CEE"/>
    <w:rsid w:val="001F49EB"/>
    <w:rsid w:val="001F6CBA"/>
    <w:rsid w:val="00201D4E"/>
    <w:rsid w:val="002076C9"/>
    <w:rsid w:val="00220B8A"/>
    <w:rsid w:val="002227D5"/>
    <w:rsid w:val="002257F3"/>
    <w:rsid w:val="00233456"/>
    <w:rsid w:val="002339A5"/>
    <w:rsid w:val="00257848"/>
    <w:rsid w:val="002578E8"/>
    <w:rsid w:val="0027084A"/>
    <w:rsid w:val="00280265"/>
    <w:rsid w:val="00283CA4"/>
    <w:rsid w:val="00286434"/>
    <w:rsid w:val="00286C59"/>
    <w:rsid w:val="00291957"/>
    <w:rsid w:val="00291C93"/>
    <w:rsid w:val="002942D1"/>
    <w:rsid w:val="0029501A"/>
    <w:rsid w:val="002A3721"/>
    <w:rsid w:val="002B1638"/>
    <w:rsid w:val="002B3624"/>
    <w:rsid w:val="002C2875"/>
    <w:rsid w:val="002D0952"/>
    <w:rsid w:val="002D4D5A"/>
    <w:rsid w:val="002E40B3"/>
    <w:rsid w:val="002E4C9A"/>
    <w:rsid w:val="002F11F8"/>
    <w:rsid w:val="002F3F56"/>
    <w:rsid w:val="002F44B5"/>
    <w:rsid w:val="002F5122"/>
    <w:rsid w:val="0030637E"/>
    <w:rsid w:val="00311AC0"/>
    <w:rsid w:val="003176FC"/>
    <w:rsid w:val="003233F7"/>
    <w:rsid w:val="0032583B"/>
    <w:rsid w:val="00327883"/>
    <w:rsid w:val="00335504"/>
    <w:rsid w:val="0033658A"/>
    <w:rsid w:val="00340C18"/>
    <w:rsid w:val="003442FD"/>
    <w:rsid w:val="00347824"/>
    <w:rsid w:val="00350567"/>
    <w:rsid w:val="003521E8"/>
    <w:rsid w:val="00370CE3"/>
    <w:rsid w:val="003728F3"/>
    <w:rsid w:val="003735BC"/>
    <w:rsid w:val="0037496E"/>
    <w:rsid w:val="00383221"/>
    <w:rsid w:val="00386150"/>
    <w:rsid w:val="003874CE"/>
    <w:rsid w:val="00390900"/>
    <w:rsid w:val="003A7F6C"/>
    <w:rsid w:val="003B4D60"/>
    <w:rsid w:val="003B7E39"/>
    <w:rsid w:val="003C58DC"/>
    <w:rsid w:val="003D1E62"/>
    <w:rsid w:val="003E0B99"/>
    <w:rsid w:val="003E2486"/>
    <w:rsid w:val="003E3208"/>
    <w:rsid w:val="003F0B04"/>
    <w:rsid w:val="0040134E"/>
    <w:rsid w:val="00416FF1"/>
    <w:rsid w:val="004334C7"/>
    <w:rsid w:val="00440A2D"/>
    <w:rsid w:val="00441C3F"/>
    <w:rsid w:val="00444D1A"/>
    <w:rsid w:val="0045186A"/>
    <w:rsid w:val="004564A7"/>
    <w:rsid w:val="00456765"/>
    <w:rsid w:val="004617BF"/>
    <w:rsid w:val="00463658"/>
    <w:rsid w:val="004637A0"/>
    <w:rsid w:val="00463FCB"/>
    <w:rsid w:val="0046560C"/>
    <w:rsid w:val="00470973"/>
    <w:rsid w:val="004722CC"/>
    <w:rsid w:val="004825AF"/>
    <w:rsid w:val="00486858"/>
    <w:rsid w:val="00490483"/>
    <w:rsid w:val="004936E4"/>
    <w:rsid w:val="00494E60"/>
    <w:rsid w:val="00497487"/>
    <w:rsid w:val="004A2771"/>
    <w:rsid w:val="004A6189"/>
    <w:rsid w:val="004A7390"/>
    <w:rsid w:val="004A74BA"/>
    <w:rsid w:val="004B7B76"/>
    <w:rsid w:val="004C239D"/>
    <w:rsid w:val="004C2DCA"/>
    <w:rsid w:val="004C61D2"/>
    <w:rsid w:val="004F0C4A"/>
    <w:rsid w:val="004F0F38"/>
    <w:rsid w:val="004F47D6"/>
    <w:rsid w:val="00500337"/>
    <w:rsid w:val="00501921"/>
    <w:rsid w:val="0052487B"/>
    <w:rsid w:val="00524DB1"/>
    <w:rsid w:val="00530354"/>
    <w:rsid w:val="0053625B"/>
    <w:rsid w:val="005369D1"/>
    <w:rsid w:val="005434C6"/>
    <w:rsid w:val="00543B39"/>
    <w:rsid w:val="00546154"/>
    <w:rsid w:val="00550096"/>
    <w:rsid w:val="00555280"/>
    <w:rsid w:val="00557FF9"/>
    <w:rsid w:val="00562327"/>
    <w:rsid w:val="005711D5"/>
    <w:rsid w:val="00576378"/>
    <w:rsid w:val="00577130"/>
    <w:rsid w:val="00577945"/>
    <w:rsid w:val="00577E38"/>
    <w:rsid w:val="00577FF8"/>
    <w:rsid w:val="00585322"/>
    <w:rsid w:val="005857C6"/>
    <w:rsid w:val="00587F74"/>
    <w:rsid w:val="00592F6E"/>
    <w:rsid w:val="00593AD1"/>
    <w:rsid w:val="005A68B6"/>
    <w:rsid w:val="005C5570"/>
    <w:rsid w:val="005C79A4"/>
    <w:rsid w:val="005D20B0"/>
    <w:rsid w:val="005D5442"/>
    <w:rsid w:val="005E2F1E"/>
    <w:rsid w:val="005F27B8"/>
    <w:rsid w:val="00603F32"/>
    <w:rsid w:val="00605AD4"/>
    <w:rsid w:val="006136D7"/>
    <w:rsid w:val="00625A6E"/>
    <w:rsid w:val="00632398"/>
    <w:rsid w:val="00640FC3"/>
    <w:rsid w:val="00642020"/>
    <w:rsid w:val="006430EE"/>
    <w:rsid w:val="00646F0F"/>
    <w:rsid w:val="006503E5"/>
    <w:rsid w:val="0065337B"/>
    <w:rsid w:val="0065419D"/>
    <w:rsid w:val="00654858"/>
    <w:rsid w:val="006603BC"/>
    <w:rsid w:val="006604D8"/>
    <w:rsid w:val="00664A5B"/>
    <w:rsid w:val="0066735C"/>
    <w:rsid w:val="006763D2"/>
    <w:rsid w:val="00680C08"/>
    <w:rsid w:val="0068794A"/>
    <w:rsid w:val="006916A0"/>
    <w:rsid w:val="006931B1"/>
    <w:rsid w:val="006A15C0"/>
    <w:rsid w:val="006A58A8"/>
    <w:rsid w:val="006B3061"/>
    <w:rsid w:val="006C3E2A"/>
    <w:rsid w:val="006C642F"/>
    <w:rsid w:val="006D03E5"/>
    <w:rsid w:val="006D5D3E"/>
    <w:rsid w:val="006E08B3"/>
    <w:rsid w:val="006F17AC"/>
    <w:rsid w:val="006F25B8"/>
    <w:rsid w:val="006F38B3"/>
    <w:rsid w:val="006F572E"/>
    <w:rsid w:val="007046D6"/>
    <w:rsid w:val="00705DB0"/>
    <w:rsid w:val="00722B57"/>
    <w:rsid w:val="00730F8A"/>
    <w:rsid w:val="00735356"/>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46F5"/>
    <w:rsid w:val="007A6505"/>
    <w:rsid w:val="007B6132"/>
    <w:rsid w:val="007B6E9F"/>
    <w:rsid w:val="007C1216"/>
    <w:rsid w:val="007C1AF7"/>
    <w:rsid w:val="007C6B9B"/>
    <w:rsid w:val="007E49DD"/>
    <w:rsid w:val="007F7A84"/>
    <w:rsid w:val="00805D27"/>
    <w:rsid w:val="00806DCB"/>
    <w:rsid w:val="0081747D"/>
    <w:rsid w:val="00821776"/>
    <w:rsid w:val="0083160D"/>
    <w:rsid w:val="008321F5"/>
    <w:rsid w:val="00832369"/>
    <w:rsid w:val="00834660"/>
    <w:rsid w:val="00836BC2"/>
    <w:rsid w:val="0085156D"/>
    <w:rsid w:val="00852B28"/>
    <w:rsid w:val="0085641B"/>
    <w:rsid w:val="00857136"/>
    <w:rsid w:val="00861DAE"/>
    <w:rsid w:val="00875A6B"/>
    <w:rsid w:val="00885B11"/>
    <w:rsid w:val="00886D15"/>
    <w:rsid w:val="00887DD8"/>
    <w:rsid w:val="00891BA9"/>
    <w:rsid w:val="00896018"/>
    <w:rsid w:val="008960DD"/>
    <w:rsid w:val="0089635C"/>
    <w:rsid w:val="00896C95"/>
    <w:rsid w:val="008A2B9D"/>
    <w:rsid w:val="008A3D9F"/>
    <w:rsid w:val="008A5E0B"/>
    <w:rsid w:val="008A6D59"/>
    <w:rsid w:val="008B4B03"/>
    <w:rsid w:val="008B596F"/>
    <w:rsid w:val="008C0373"/>
    <w:rsid w:val="008C159F"/>
    <w:rsid w:val="008C1623"/>
    <w:rsid w:val="008C1850"/>
    <w:rsid w:val="008C51A9"/>
    <w:rsid w:val="008E3CA8"/>
    <w:rsid w:val="008E4B66"/>
    <w:rsid w:val="008E7846"/>
    <w:rsid w:val="008F02E5"/>
    <w:rsid w:val="008F1CCC"/>
    <w:rsid w:val="008F2967"/>
    <w:rsid w:val="008F6943"/>
    <w:rsid w:val="00902A21"/>
    <w:rsid w:val="0091523F"/>
    <w:rsid w:val="00920330"/>
    <w:rsid w:val="009219D7"/>
    <w:rsid w:val="00922D53"/>
    <w:rsid w:val="00923B70"/>
    <w:rsid w:val="00924482"/>
    <w:rsid w:val="009247D3"/>
    <w:rsid w:val="00930237"/>
    <w:rsid w:val="009353A1"/>
    <w:rsid w:val="00935EC2"/>
    <w:rsid w:val="00937C17"/>
    <w:rsid w:val="00940A89"/>
    <w:rsid w:val="00941F77"/>
    <w:rsid w:val="00946EA5"/>
    <w:rsid w:val="009479F2"/>
    <w:rsid w:val="00960520"/>
    <w:rsid w:val="00963C08"/>
    <w:rsid w:val="009752A5"/>
    <w:rsid w:val="0098585A"/>
    <w:rsid w:val="009939CC"/>
    <w:rsid w:val="009A4CED"/>
    <w:rsid w:val="009A690D"/>
    <w:rsid w:val="009B0352"/>
    <w:rsid w:val="009B1D12"/>
    <w:rsid w:val="009B416B"/>
    <w:rsid w:val="009B6128"/>
    <w:rsid w:val="009C4BD5"/>
    <w:rsid w:val="009D7B77"/>
    <w:rsid w:val="009E0BB0"/>
    <w:rsid w:val="009E3FBB"/>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60BAD"/>
    <w:rsid w:val="00A77F87"/>
    <w:rsid w:val="00A80B5B"/>
    <w:rsid w:val="00A84E36"/>
    <w:rsid w:val="00A956FC"/>
    <w:rsid w:val="00A964D1"/>
    <w:rsid w:val="00AA0ED0"/>
    <w:rsid w:val="00AC2B40"/>
    <w:rsid w:val="00AC2BB2"/>
    <w:rsid w:val="00AC2C3C"/>
    <w:rsid w:val="00AC512D"/>
    <w:rsid w:val="00AD0083"/>
    <w:rsid w:val="00AD3935"/>
    <w:rsid w:val="00AE65EB"/>
    <w:rsid w:val="00AE67A7"/>
    <w:rsid w:val="00AF1D94"/>
    <w:rsid w:val="00AF60C5"/>
    <w:rsid w:val="00AF78AE"/>
    <w:rsid w:val="00B009C6"/>
    <w:rsid w:val="00B01548"/>
    <w:rsid w:val="00B130C5"/>
    <w:rsid w:val="00B13EBD"/>
    <w:rsid w:val="00B145A9"/>
    <w:rsid w:val="00B21D29"/>
    <w:rsid w:val="00B25034"/>
    <w:rsid w:val="00B33588"/>
    <w:rsid w:val="00B33863"/>
    <w:rsid w:val="00B37D17"/>
    <w:rsid w:val="00B401D9"/>
    <w:rsid w:val="00B4175E"/>
    <w:rsid w:val="00B41C85"/>
    <w:rsid w:val="00B452CE"/>
    <w:rsid w:val="00B54C25"/>
    <w:rsid w:val="00B76B91"/>
    <w:rsid w:val="00B77EB1"/>
    <w:rsid w:val="00B811C6"/>
    <w:rsid w:val="00B855B0"/>
    <w:rsid w:val="00B92E08"/>
    <w:rsid w:val="00B954FE"/>
    <w:rsid w:val="00BC622A"/>
    <w:rsid w:val="00BE0A78"/>
    <w:rsid w:val="00BE33C1"/>
    <w:rsid w:val="00BE79F0"/>
    <w:rsid w:val="00BF046D"/>
    <w:rsid w:val="00BF1190"/>
    <w:rsid w:val="00BF3774"/>
    <w:rsid w:val="00BF5D04"/>
    <w:rsid w:val="00C009AA"/>
    <w:rsid w:val="00C1164D"/>
    <w:rsid w:val="00C16861"/>
    <w:rsid w:val="00C346AB"/>
    <w:rsid w:val="00C404A6"/>
    <w:rsid w:val="00C40A36"/>
    <w:rsid w:val="00C44419"/>
    <w:rsid w:val="00C45E7B"/>
    <w:rsid w:val="00C471B1"/>
    <w:rsid w:val="00C52E24"/>
    <w:rsid w:val="00C6316B"/>
    <w:rsid w:val="00C634A9"/>
    <w:rsid w:val="00C64586"/>
    <w:rsid w:val="00C70808"/>
    <w:rsid w:val="00C70D53"/>
    <w:rsid w:val="00C73D0B"/>
    <w:rsid w:val="00C74F5C"/>
    <w:rsid w:val="00C772FF"/>
    <w:rsid w:val="00C80137"/>
    <w:rsid w:val="00C801AF"/>
    <w:rsid w:val="00C80256"/>
    <w:rsid w:val="00C94CD4"/>
    <w:rsid w:val="00C973E5"/>
    <w:rsid w:val="00C9747E"/>
    <w:rsid w:val="00CB6BC0"/>
    <w:rsid w:val="00CC1B7C"/>
    <w:rsid w:val="00CC727F"/>
    <w:rsid w:val="00CE1AE0"/>
    <w:rsid w:val="00CF15C3"/>
    <w:rsid w:val="00CF2B6F"/>
    <w:rsid w:val="00CF2F3E"/>
    <w:rsid w:val="00CF58B6"/>
    <w:rsid w:val="00CF7B22"/>
    <w:rsid w:val="00D0062D"/>
    <w:rsid w:val="00D017ED"/>
    <w:rsid w:val="00D040D3"/>
    <w:rsid w:val="00D04C65"/>
    <w:rsid w:val="00D153D8"/>
    <w:rsid w:val="00D201D2"/>
    <w:rsid w:val="00D224FE"/>
    <w:rsid w:val="00D23139"/>
    <w:rsid w:val="00D425BB"/>
    <w:rsid w:val="00D453FA"/>
    <w:rsid w:val="00D6493E"/>
    <w:rsid w:val="00D7195D"/>
    <w:rsid w:val="00D7301E"/>
    <w:rsid w:val="00D83AE1"/>
    <w:rsid w:val="00D84D51"/>
    <w:rsid w:val="00D855D4"/>
    <w:rsid w:val="00D902C9"/>
    <w:rsid w:val="00D93466"/>
    <w:rsid w:val="00DA0627"/>
    <w:rsid w:val="00DA1124"/>
    <w:rsid w:val="00DA64CB"/>
    <w:rsid w:val="00DB06B8"/>
    <w:rsid w:val="00DB6124"/>
    <w:rsid w:val="00DB750B"/>
    <w:rsid w:val="00DB75B7"/>
    <w:rsid w:val="00DC0A2F"/>
    <w:rsid w:val="00DC1948"/>
    <w:rsid w:val="00DC5B6B"/>
    <w:rsid w:val="00DC6E02"/>
    <w:rsid w:val="00DD28CD"/>
    <w:rsid w:val="00DE02AE"/>
    <w:rsid w:val="00DE39D1"/>
    <w:rsid w:val="00DF17B0"/>
    <w:rsid w:val="00DF1D7F"/>
    <w:rsid w:val="00DF3646"/>
    <w:rsid w:val="00DF4BE4"/>
    <w:rsid w:val="00E02382"/>
    <w:rsid w:val="00E02FB4"/>
    <w:rsid w:val="00E13FC7"/>
    <w:rsid w:val="00E20571"/>
    <w:rsid w:val="00E235F7"/>
    <w:rsid w:val="00E23659"/>
    <w:rsid w:val="00E239D4"/>
    <w:rsid w:val="00E26130"/>
    <w:rsid w:val="00E40B22"/>
    <w:rsid w:val="00E44ED1"/>
    <w:rsid w:val="00E45619"/>
    <w:rsid w:val="00E4588F"/>
    <w:rsid w:val="00E4612D"/>
    <w:rsid w:val="00E46DA3"/>
    <w:rsid w:val="00E474C8"/>
    <w:rsid w:val="00E51BB1"/>
    <w:rsid w:val="00E55CB0"/>
    <w:rsid w:val="00E624A5"/>
    <w:rsid w:val="00E64BA4"/>
    <w:rsid w:val="00E7344E"/>
    <w:rsid w:val="00E82665"/>
    <w:rsid w:val="00E93D0B"/>
    <w:rsid w:val="00EB0798"/>
    <w:rsid w:val="00EB40AD"/>
    <w:rsid w:val="00EB586E"/>
    <w:rsid w:val="00EB5FC8"/>
    <w:rsid w:val="00EC463D"/>
    <w:rsid w:val="00EC7A85"/>
    <w:rsid w:val="00ED2922"/>
    <w:rsid w:val="00ED3CAD"/>
    <w:rsid w:val="00ED5A41"/>
    <w:rsid w:val="00EE1DE8"/>
    <w:rsid w:val="00EE27C2"/>
    <w:rsid w:val="00EF4BAD"/>
    <w:rsid w:val="00EF5489"/>
    <w:rsid w:val="00EF59DC"/>
    <w:rsid w:val="00F033EC"/>
    <w:rsid w:val="00F04F68"/>
    <w:rsid w:val="00F12670"/>
    <w:rsid w:val="00F14B27"/>
    <w:rsid w:val="00F17D97"/>
    <w:rsid w:val="00F23DDD"/>
    <w:rsid w:val="00F3148D"/>
    <w:rsid w:val="00F325C5"/>
    <w:rsid w:val="00F32FE0"/>
    <w:rsid w:val="00F35298"/>
    <w:rsid w:val="00F47333"/>
    <w:rsid w:val="00F47E37"/>
    <w:rsid w:val="00F53C07"/>
    <w:rsid w:val="00F54B65"/>
    <w:rsid w:val="00F60DFD"/>
    <w:rsid w:val="00F62510"/>
    <w:rsid w:val="00F640B6"/>
    <w:rsid w:val="00F66DF2"/>
    <w:rsid w:val="00F80E40"/>
    <w:rsid w:val="00F848D9"/>
    <w:rsid w:val="00F84978"/>
    <w:rsid w:val="00FA5069"/>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62E5B4"/>
  <w15:docId w15:val="{10B98A66-3E23-4043-8A19-375AA223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54FE"/>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735356"/>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A-Head1">
    <w:name w:val="A-Head 1"/>
    <w:basedOn w:val="Normal"/>
    <w:rsid w:val="005E2F1E"/>
    <w:pPr>
      <w:tabs>
        <w:tab w:val="left" w:pos="567"/>
      </w:tabs>
      <w:spacing w:before="60" w:after="240" w:line="240" w:lineRule="auto"/>
      <w:ind w:left="567" w:hanging="567"/>
    </w:pPr>
    <w:rPr>
      <w:rFonts w:ascii="Arial" w:eastAsia="Times New Roman" w:hAnsi="Arial" w:cs="Arial"/>
      <w:b/>
      <w:bCs/>
      <w:sz w:val="36"/>
      <w:szCs w:val="36"/>
    </w:rPr>
  </w:style>
  <w:style w:type="paragraph" w:customStyle="1" w:styleId="Bulletpoint">
    <w:name w:val="Bullet point"/>
    <w:basedOn w:val="Normal"/>
    <w:rsid w:val="009479F2"/>
    <w:pPr>
      <w:numPr>
        <w:numId w:val="30"/>
      </w:numPr>
      <w:tabs>
        <w:tab w:val="clear" w:pos="369"/>
        <w:tab w:val="left" w:pos="397"/>
        <w:tab w:val="num" w:pos="511"/>
      </w:tabs>
      <w:spacing w:before="0" w:after="180" w:line="252" w:lineRule="auto"/>
    </w:pPr>
    <w:rPr>
      <w:rFonts w:eastAsia="Times New Roman"/>
      <w:snapToGrid w:val="0"/>
      <w:kern w:val="16"/>
      <w:szCs w:val="24"/>
    </w:rPr>
  </w:style>
  <w:style w:type="paragraph" w:styleId="ListParagraph">
    <w:name w:val="List Paragraph"/>
    <w:basedOn w:val="Normal"/>
    <w:uiPriority w:val="34"/>
    <w:qFormat/>
    <w:rsid w:val="009479F2"/>
    <w:pPr>
      <w:adjustRightInd w:val="0"/>
      <w:snapToGrid w:val="0"/>
      <w:spacing w:before="180" w:after="180"/>
      <w:ind w:left="720"/>
      <w:contextualSpacing/>
    </w:pPr>
    <w:rPr>
      <w:rFonts w:eastAsia="MS Mincho"/>
      <w:szCs w:val="20"/>
      <w:lang w:eastAsia="ja-JP"/>
    </w:rPr>
  </w:style>
  <w:style w:type="paragraph" w:customStyle="1" w:styleId="Standard">
    <w:name w:val="Standard"/>
    <w:basedOn w:val="Normal"/>
    <w:link w:val="StandardChar"/>
    <w:qFormat/>
    <w:rsid w:val="009479F2"/>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9479F2"/>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8C0373"/>
    <w:pPr>
      <w:numPr>
        <w:numId w:val="35"/>
      </w:numPr>
      <w:spacing w:after="180"/>
      <w:ind w:left="426" w:hanging="284"/>
    </w:pPr>
    <w:rPr>
      <w:kern w:val="2"/>
    </w:rPr>
  </w:style>
  <w:style w:type="character" w:customStyle="1" w:styleId="TabletextChar">
    <w:name w:val="Table text Char"/>
    <w:basedOn w:val="StandardChar"/>
    <w:link w:val="Tabletext"/>
    <w:rsid w:val="008C0373"/>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8C0373"/>
    <w:rPr>
      <w:rFonts w:ascii="Cambria" w:eastAsia="Times New Roman" w:hAnsi="Cambria" w:cs="Times New Roman"/>
      <w:snapToGrid w:val="0"/>
      <w:kern w:val="2"/>
      <w:sz w:val="23"/>
      <w:szCs w:val="24"/>
    </w:rPr>
  </w:style>
  <w:style w:type="paragraph" w:customStyle="1" w:styleId="Bullet2">
    <w:name w:val="Bullet 2"/>
    <w:basedOn w:val="Normal"/>
    <w:rsid w:val="002C2875"/>
    <w:pPr>
      <w:numPr>
        <w:numId w:val="37"/>
      </w:numPr>
      <w:spacing w:after="0" w:line="240" w:lineRule="auto"/>
    </w:pPr>
    <w:rPr>
      <w:rFonts w:eastAsia="Times New Roman"/>
      <w:kern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6.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hyperlink" Target="https://www.tga.gov.au"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6796\t0QPSBFK.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3242-F9FD-46E9-A083-A5704931C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t0QPSBFK</Template>
  <TotalTime>27</TotalTime>
  <Pages>32</Pages>
  <Words>9382</Words>
  <Characters>53478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Australian public assessment report for Enasidenib</vt:lpstr>
    </vt:vector>
  </TitlesOfParts>
  <Company>Department of Health Therapeutic Goods Administration</Company>
  <LinksUpToDate>false</LinksUpToDate>
  <CharactersWithSpaces>62735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Enasidenib</dc:title>
  <dc:subject>prescription medicines</dc:subject>
  <dc:creator>Therapeutic Goods Administration</dc:creator>
  <cp:lastPrinted>2019-08-14T04:30:00Z</cp:lastPrinted>
  <dcterms:created xsi:type="dcterms:W3CDTF">2020-05-11T00:25:00Z</dcterms:created>
  <dcterms:modified xsi:type="dcterms:W3CDTF">2020-05-11T00:56:00Z</dcterms:modified>
</cp:coreProperties>
</file>