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0668E" w14:textId="0BAC1D66" w:rsidR="009D056A" w:rsidRPr="00E42A49" w:rsidRDefault="00A14C05" w:rsidP="009D056A">
      <w:pPr>
        <w:tabs>
          <w:tab w:val="left" w:pos="284"/>
        </w:tabs>
        <w:spacing w:after="480"/>
      </w:pPr>
      <w:r>
        <w:rPr>
          <w:noProof/>
          <w:lang w:eastAsia="en-AU"/>
        </w:rPr>
        <mc:AlternateContent>
          <mc:Choice Requires="wps">
            <w:drawing>
              <wp:inline distT="0" distB="0" distL="0" distR="0" wp14:anchorId="1716761B" wp14:editId="0D5EDF60">
                <wp:extent cx="252095" cy="252095"/>
                <wp:effectExtent l="0" t="1905" r="0" b="317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60253" w14:textId="77777777" w:rsidR="0042631F" w:rsidRPr="00BE2A26" w:rsidRDefault="0042631F" w:rsidP="009D056A">
                            <w:pPr>
                              <w:rPr>
                                <w:rFonts w:ascii="Wingdings 3" w:hAnsi="Wingdings 3"/>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1716761B"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" stroked="f">
                <v:textbox inset="0,0,0,0">
                  <w:txbxContent>
                    <w:p w14:paraId="59A60253" w14:textId="77777777" w:rsidR="0042631F" w:rsidRPr="00BE2A26" w:rsidRDefault="0042631F" w:rsidP="009D056A">
                      <w:pPr>
                        <w:rPr>
                          <w:rFonts w:ascii="Wingdings 3" w:hAnsi="Wingdings 3"/>
                        </w:rPr>
                      </w:pPr>
                      <w:r w:rsidRPr="00BE2A26">
                        <w:rPr>
                          <w:rFonts w:ascii="SimSun" w:eastAsia="SimSun" w:hAnsi="SimSun" w:hint="eastAsia"/>
                          <w:sz w:val="40"/>
                        </w:rPr>
                        <w:t>▼</w:t>
                      </w:r>
                    </w:p>
                  </w:txbxContent>
                </v:textbox>
                <w10:anchorlock/>
              </v:shape>
            </w:pict>
          </mc:Fallback>
        </mc:AlternateContent>
      </w:r>
      <w:r w:rsidR="009D056A" w:rsidRPr="00E42A49">
        <w:t xml:space="preserve">This medicinal product is subject to additional monitoring in Australia. </w:t>
      </w:r>
      <w:r w:rsidR="00782F18" w:rsidRPr="00E42A49">
        <w:t xml:space="preserve"> </w:t>
      </w:r>
      <w:r w:rsidR="009D056A" w:rsidRPr="00E42A49">
        <w:t>This will allow quick identification of new safety information.</w:t>
      </w:r>
      <w:r w:rsidR="00782F18" w:rsidRPr="00E42A49">
        <w:t xml:space="preserve"> </w:t>
      </w:r>
      <w:r w:rsidR="009D056A" w:rsidRPr="00E42A49">
        <w:t xml:space="preserve"> Healthcare professionals are asked to report any suspected adverse events at </w:t>
      </w:r>
      <w:hyperlink r:id="rId8" w:history="1">
        <w:r w:rsidR="009D056A" w:rsidRPr="00E42A49">
          <w:rPr>
            <w:rStyle w:val="Hyperlink"/>
          </w:rPr>
          <w:t>https://www.tga.gov.au/reporting-problems</w:t>
        </w:r>
      </w:hyperlink>
      <w:r w:rsidR="009D056A" w:rsidRPr="00E42A49">
        <w:t>.</w:t>
      </w:r>
    </w:p>
    <w:p w14:paraId="25FB0AF0" w14:textId="77777777" w:rsidR="009D056A" w:rsidRPr="00E42A49" w:rsidRDefault="009D056A" w:rsidP="009D056A">
      <w:pPr>
        <w:pStyle w:val="Heading1"/>
        <w:tabs>
          <w:tab w:val="clear" w:pos="360"/>
        </w:tabs>
        <w:spacing w:after="0"/>
        <w:jc w:val="center"/>
        <w:rPr>
          <w:rFonts w:eastAsia="SimSun"/>
        </w:rPr>
      </w:pPr>
      <w:r w:rsidRPr="00E42A49">
        <w:rPr>
          <w:rFonts w:eastAsia="SimSun"/>
        </w:rPr>
        <w:t>Australian Product Information</w:t>
      </w:r>
    </w:p>
    <w:p w14:paraId="2ADF5941" w14:textId="77777777" w:rsidR="009D056A" w:rsidRPr="00E42A49" w:rsidRDefault="009D056A" w:rsidP="00AF7E1B">
      <w:pPr>
        <w:spacing w:line="240" w:lineRule="auto"/>
      </w:pPr>
      <w:bookmarkStart w:id="0" w:name="_Hlk31197644"/>
    </w:p>
    <w:bookmarkEnd w:id="0"/>
    <w:p w14:paraId="556FD1B4" w14:textId="0F3D2D01" w:rsidR="009D056A" w:rsidRPr="00E42A49" w:rsidRDefault="009D056A" w:rsidP="00FD1A78">
      <w:pPr>
        <w:spacing w:after="0"/>
        <w:jc w:val="center"/>
        <w:rPr>
          <w:b/>
          <w:sz w:val="28"/>
          <w:szCs w:val="28"/>
        </w:rPr>
      </w:pPr>
      <w:r w:rsidRPr="00E42A49">
        <w:rPr>
          <w:b/>
          <w:sz w:val="28"/>
          <w:szCs w:val="28"/>
        </w:rPr>
        <w:t>IDHIFA (</w:t>
      </w:r>
      <w:proofErr w:type="spellStart"/>
      <w:r w:rsidRPr="00E42A49">
        <w:rPr>
          <w:b/>
          <w:sz w:val="28"/>
          <w:szCs w:val="28"/>
        </w:rPr>
        <w:t>enasidenib</w:t>
      </w:r>
      <w:proofErr w:type="spellEnd"/>
      <w:r w:rsidRPr="00E42A49">
        <w:rPr>
          <w:b/>
          <w:sz w:val="28"/>
          <w:szCs w:val="28"/>
        </w:rPr>
        <w:t xml:space="preserve">) </w:t>
      </w:r>
      <w:r w:rsidR="00A7258C" w:rsidRPr="00E42A49">
        <w:rPr>
          <w:b/>
          <w:sz w:val="28"/>
          <w:szCs w:val="28"/>
        </w:rPr>
        <w:t xml:space="preserve">film-coated </w:t>
      </w:r>
      <w:r w:rsidRPr="00E42A49">
        <w:rPr>
          <w:b/>
          <w:sz w:val="28"/>
          <w:szCs w:val="28"/>
        </w:rPr>
        <w:t>tablets</w:t>
      </w:r>
    </w:p>
    <w:p w14:paraId="3DCCBDFB" w14:textId="77777777" w:rsidR="00200C52" w:rsidRPr="00E42A49" w:rsidRDefault="00200C52" w:rsidP="009D056A">
      <w:pPr>
        <w:jc w:val="center"/>
        <w:rPr>
          <w:b/>
          <w:sz w:val="28"/>
          <w:szCs w:val="28"/>
        </w:rPr>
      </w:pPr>
    </w:p>
    <w:p w14:paraId="72A12CFC" w14:textId="77777777" w:rsidR="00200C52" w:rsidRPr="00E42A49" w:rsidRDefault="00200C52" w:rsidP="00317A34">
      <w:pPr>
        <w:pBdr>
          <w:top w:val="single" w:sz="4" w:space="1" w:color="auto"/>
          <w:left w:val="single" w:sz="4" w:space="4" w:color="auto"/>
          <w:bottom w:val="single" w:sz="4" w:space="1" w:color="auto"/>
          <w:right w:val="single" w:sz="4" w:space="4" w:color="auto"/>
        </w:pBdr>
        <w:spacing w:after="0"/>
        <w:rPr>
          <w:b/>
        </w:rPr>
      </w:pPr>
      <w:r w:rsidRPr="00E42A49">
        <w:rPr>
          <w:b/>
        </w:rPr>
        <w:t>WARNING: DIFFERENTIATION SYNDROME</w:t>
      </w:r>
    </w:p>
    <w:p w14:paraId="2C47A17B" w14:textId="188F1FF0" w:rsidR="00200C52" w:rsidRPr="00E42A49" w:rsidRDefault="00200C52" w:rsidP="00200C52">
      <w:pPr>
        <w:pBdr>
          <w:top w:val="single" w:sz="4" w:space="1" w:color="auto"/>
          <w:left w:val="single" w:sz="4" w:space="4" w:color="auto"/>
          <w:bottom w:val="single" w:sz="4" w:space="1" w:color="auto"/>
          <w:right w:val="single" w:sz="4" w:space="4" w:color="auto"/>
        </w:pBdr>
        <w:rPr>
          <w:b/>
        </w:rPr>
      </w:pPr>
      <w:r w:rsidRPr="00E42A49">
        <w:rPr>
          <w:b/>
        </w:rPr>
        <w:t>Patients treated with IDHIFA have experienced symptoms of differentiation syndrome, which can be fatal if not treated.  Symptoms may include fever, dyspn</w:t>
      </w:r>
      <w:r w:rsidR="00873502" w:rsidRPr="00E42A49">
        <w:rPr>
          <w:b/>
        </w:rPr>
        <w:t>o</w:t>
      </w:r>
      <w:r w:rsidRPr="00E42A49">
        <w:rPr>
          <w:b/>
        </w:rPr>
        <w:t xml:space="preserve">ea, acute respiratory distress, pulmonary infiltrates, pleural or pericardial effusions, rapid weight gain or peripheral </w:t>
      </w:r>
      <w:r w:rsidR="00873502" w:rsidRPr="00E42A49">
        <w:rPr>
          <w:b/>
        </w:rPr>
        <w:t>o</w:t>
      </w:r>
      <w:r w:rsidRPr="00E42A49">
        <w:rPr>
          <w:b/>
        </w:rPr>
        <w:t>edema, lymphadenopathy, bone pain, and hepatic, renal, or multi-organ dysfunction.  If differentiation syndrome is suspected, initiate corticosteroid therapy and h</w:t>
      </w:r>
      <w:r w:rsidR="00873502" w:rsidRPr="00E42A49">
        <w:rPr>
          <w:b/>
        </w:rPr>
        <w:t>a</w:t>
      </w:r>
      <w:r w:rsidRPr="00E42A49">
        <w:rPr>
          <w:b/>
        </w:rPr>
        <w:t>emodynamic monitoring until symptom resolution.</w:t>
      </w:r>
      <w:r w:rsidR="004313C3" w:rsidRPr="00E42A49">
        <w:rPr>
          <w:b/>
        </w:rPr>
        <w:t xml:space="preserve">  Please see section 4.2.3 for dose adjustment and</w:t>
      </w:r>
      <w:r w:rsidR="00633D61" w:rsidRPr="00E42A49">
        <w:rPr>
          <w:b/>
        </w:rPr>
        <w:t xml:space="preserve"> section</w:t>
      </w:r>
      <w:r w:rsidR="004313C3" w:rsidRPr="00E42A49">
        <w:rPr>
          <w:b/>
        </w:rPr>
        <w:t xml:space="preserve"> 4.4.1 for treatment information relating to differentiation syndrome.</w:t>
      </w:r>
    </w:p>
    <w:p w14:paraId="530AAEBE" w14:textId="48D1D45C" w:rsidR="009D056A" w:rsidRDefault="009D056A" w:rsidP="00C434D9">
      <w:pPr>
        <w:pStyle w:val="C-Heading1nopagebreak"/>
        <w:tabs>
          <w:tab w:val="clear" w:pos="1080"/>
          <w:tab w:val="num" w:pos="567"/>
        </w:tabs>
      </w:pPr>
      <w:r w:rsidRPr="00E42A49">
        <w:t>Name of the medicine</w:t>
      </w:r>
    </w:p>
    <w:p w14:paraId="34CCA3F7" w14:textId="7B6AF3D8" w:rsidR="00A92BA5" w:rsidRPr="00A92BA5" w:rsidRDefault="00A92BA5" w:rsidP="00A92BA5">
      <w:pPr>
        <w:pStyle w:val="C-BodyText"/>
      </w:pPr>
      <w:r>
        <w:t>Australian approved name:</w:t>
      </w:r>
      <w:r>
        <w:tab/>
      </w:r>
      <w:r>
        <w:tab/>
      </w:r>
      <w:r>
        <w:tab/>
      </w:r>
      <w:r>
        <w:tab/>
      </w:r>
      <w:proofErr w:type="spellStart"/>
      <w:r>
        <w:t>enasidenib</w:t>
      </w:r>
      <w:proofErr w:type="spellEnd"/>
    </w:p>
    <w:p w14:paraId="46570360" w14:textId="77777777" w:rsidR="009D056A" w:rsidRPr="00E42A49" w:rsidRDefault="009D056A" w:rsidP="000A6372">
      <w:pPr>
        <w:pStyle w:val="C-Heading1nopagebreak"/>
        <w:tabs>
          <w:tab w:val="clear" w:pos="1080"/>
          <w:tab w:val="num" w:pos="567"/>
        </w:tabs>
      </w:pPr>
      <w:r w:rsidRPr="00E42A49">
        <w:t>Qualitative and quantitative composition</w:t>
      </w:r>
    </w:p>
    <w:p w14:paraId="132962DA" w14:textId="5C22D6C8" w:rsidR="009D056A" w:rsidRPr="00E42A49" w:rsidRDefault="009D056A" w:rsidP="00C85A54">
      <w:pPr>
        <w:pStyle w:val="C-BodyText"/>
        <w:spacing w:before="0" w:after="0" w:line="240" w:lineRule="auto"/>
        <w:rPr>
          <w:sz w:val="22"/>
          <w:szCs w:val="22"/>
          <w:lang w:val="en-GB" w:eastAsia="en-GB"/>
        </w:rPr>
      </w:pPr>
      <w:r w:rsidRPr="00E42A49">
        <w:rPr>
          <w:sz w:val="22"/>
          <w:szCs w:val="22"/>
        </w:rPr>
        <w:t xml:space="preserve">Each 50 mg film-coated tablet contains </w:t>
      </w:r>
      <w:r w:rsidRPr="00E42A49">
        <w:rPr>
          <w:sz w:val="22"/>
          <w:szCs w:val="22"/>
          <w:lang w:val="en-GB" w:eastAsia="en-GB"/>
        </w:rPr>
        <w:t>50</w:t>
      </w:r>
      <w:r w:rsidRPr="00E42A49">
        <w:rPr>
          <w:sz w:val="22"/>
          <w:szCs w:val="22"/>
          <w:lang w:val="en-GB"/>
        </w:rPr>
        <w:t> </w:t>
      </w:r>
      <w:r w:rsidRPr="00E42A49">
        <w:rPr>
          <w:sz w:val="22"/>
          <w:szCs w:val="22"/>
          <w:lang w:val="en-GB" w:eastAsia="en-GB"/>
        </w:rPr>
        <w:t xml:space="preserve">mg of </w:t>
      </w:r>
      <w:proofErr w:type="spellStart"/>
      <w:r w:rsidRPr="00E42A49">
        <w:rPr>
          <w:sz w:val="22"/>
          <w:szCs w:val="22"/>
          <w:lang w:val="en-GB" w:eastAsia="en-GB"/>
        </w:rPr>
        <w:t>enasidenib</w:t>
      </w:r>
      <w:proofErr w:type="spellEnd"/>
      <w:r w:rsidRPr="00E42A49">
        <w:rPr>
          <w:sz w:val="22"/>
          <w:szCs w:val="22"/>
          <w:lang w:val="en-GB" w:eastAsia="en-GB"/>
        </w:rPr>
        <w:t>, equivalent to 60</w:t>
      </w:r>
      <w:r w:rsidRPr="00E42A49">
        <w:rPr>
          <w:sz w:val="22"/>
          <w:szCs w:val="22"/>
          <w:lang w:val="en-GB"/>
        </w:rPr>
        <w:t> </w:t>
      </w:r>
      <w:r w:rsidRPr="00E42A49">
        <w:rPr>
          <w:sz w:val="22"/>
          <w:szCs w:val="22"/>
          <w:lang w:val="en-GB" w:eastAsia="en-GB"/>
        </w:rPr>
        <w:t xml:space="preserve">mg </w:t>
      </w:r>
      <w:proofErr w:type="spellStart"/>
      <w:r w:rsidRPr="00E42A49">
        <w:rPr>
          <w:sz w:val="22"/>
          <w:szCs w:val="22"/>
          <w:lang w:val="en-GB" w:eastAsia="en-GB"/>
        </w:rPr>
        <w:t>enasidenib</w:t>
      </w:r>
      <w:proofErr w:type="spellEnd"/>
      <w:r w:rsidRPr="00E42A49">
        <w:rPr>
          <w:sz w:val="22"/>
          <w:szCs w:val="22"/>
          <w:lang w:val="en-GB" w:eastAsia="en-GB"/>
        </w:rPr>
        <w:t xml:space="preserve"> </w:t>
      </w:r>
      <w:r w:rsidR="00AC7919" w:rsidRPr="00E42A49">
        <w:rPr>
          <w:sz w:val="22"/>
          <w:szCs w:val="22"/>
          <w:lang w:val="en-GB" w:eastAsia="en-GB"/>
        </w:rPr>
        <w:t>mesilate</w:t>
      </w:r>
      <w:r w:rsidRPr="00E42A49">
        <w:rPr>
          <w:sz w:val="22"/>
          <w:szCs w:val="22"/>
          <w:lang w:val="en-GB" w:eastAsia="en-GB"/>
        </w:rPr>
        <w:t>.</w:t>
      </w:r>
    </w:p>
    <w:p w14:paraId="35C20B08" w14:textId="3F9698AA" w:rsidR="009D056A" w:rsidRPr="00E42A49" w:rsidRDefault="009D056A" w:rsidP="00C85A54">
      <w:pPr>
        <w:pStyle w:val="C-BodyText"/>
        <w:spacing w:before="0" w:after="0" w:line="240" w:lineRule="auto"/>
        <w:rPr>
          <w:sz w:val="22"/>
          <w:szCs w:val="22"/>
          <w:lang w:val="en-GB" w:eastAsia="en-GB"/>
        </w:rPr>
      </w:pPr>
      <w:r w:rsidRPr="00E42A49">
        <w:rPr>
          <w:sz w:val="22"/>
          <w:szCs w:val="22"/>
          <w:lang w:val="en-GB" w:eastAsia="en-GB"/>
        </w:rPr>
        <w:t>Each 100 mg film</w:t>
      </w:r>
      <w:r w:rsidRPr="00E42A49">
        <w:rPr>
          <w:sz w:val="22"/>
          <w:szCs w:val="22"/>
          <w:lang w:val="en-GB" w:eastAsia="en-GB"/>
        </w:rPr>
        <w:noBreakHyphen/>
        <w:t>coated tablet contains 100</w:t>
      </w:r>
      <w:r w:rsidRPr="00E42A49">
        <w:rPr>
          <w:sz w:val="22"/>
          <w:szCs w:val="22"/>
          <w:lang w:val="en-GB"/>
        </w:rPr>
        <w:t> </w:t>
      </w:r>
      <w:r w:rsidRPr="00E42A49">
        <w:rPr>
          <w:sz w:val="22"/>
          <w:szCs w:val="22"/>
          <w:lang w:val="en-GB" w:eastAsia="en-GB"/>
        </w:rPr>
        <w:t xml:space="preserve">mg of </w:t>
      </w:r>
      <w:proofErr w:type="spellStart"/>
      <w:r w:rsidRPr="00E42A49">
        <w:rPr>
          <w:sz w:val="22"/>
          <w:szCs w:val="22"/>
          <w:lang w:val="en-GB" w:eastAsia="en-GB"/>
        </w:rPr>
        <w:t>enasidenib</w:t>
      </w:r>
      <w:proofErr w:type="spellEnd"/>
      <w:r w:rsidRPr="00E42A49">
        <w:rPr>
          <w:sz w:val="22"/>
          <w:szCs w:val="22"/>
          <w:lang w:val="en-GB" w:eastAsia="en-GB"/>
        </w:rPr>
        <w:t>, equivalent to 120</w:t>
      </w:r>
      <w:r w:rsidRPr="00E42A49">
        <w:rPr>
          <w:sz w:val="22"/>
          <w:szCs w:val="22"/>
          <w:lang w:val="en-GB"/>
        </w:rPr>
        <w:t> </w:t>
      </w:r>
      <w:r w:rsidRPr="00E42A49">
        <w:rPr>
          <w:sz w:val="22"/>
          <w:szCs w:val="22"/>
          <w:lang w:val="en-GB" w:eastAsia="en-GB"/>
        </w:rPr>
        <w:t xml:space="preserve">mg </w:t>
      </w:r>
      <w:proofErr w:type="spellStart"/>
      <w:r w:rsidRPr="00E42A49">
        <w:rPr>
          <w:sz w:val="22"/>
          <w:szCs w:val="22"/>
          <w:lang w:val="en-GB" w:eastAsia="en-GB"/>
        </w:rPr>
        <w:t>enasidenib</w:t>
      </w:r>
      <w:proofErr w:type="spellEnd"/>
      <w:r w:rsidRPr="00E42A49">
        <w:rPr>
          <w:sz w:val="22"/>
          <w:szCs w:val="22"/>
          <w:lang w:val="en-GB" w:eastAsia="en-GB"/>
        </w:rPr>
        <w:t xml:space="preserve"> </w:t>
      </w:r>
      <w:r w:rsidR="00AC7919" w:rsidRPr="00E42A49">
        <w:rPr>
          <w:sz w:val="22"/>
          <w:szCs w:val="22"/>
          <w:lang w:val="en-GB" w:eastAsia="en-GB"/>
        </w:rPr>
        <w:t>mesilate</w:t>
      </w:r>
      <w:r w:rsidRPr="00E42A49">
        <w:rPr>
          <w:sz w:val="22"/>
          <w:szCs w:val="22"/>
          <w:lang w:val="en-GB" w:eastAsia="en-GB"/>
        </w:rPr>
        <w:t>.</w:t>
      </w:r>
    </w:p>
    <w:p w14:paraId="0536008F" w14:textId="77777777" w:rsidR="00AF7E1B" w:rsidRPr="00E42A49" w:rsidRDefault="00AF7E1B" w:rsidP="00FD1A78">
      <w:pPr>
        <w:spacing w:after="0" w:line="240" w:lineRule="auto"/>
      </w:pPr>
    </w:p>
    <w:p w14:paraId="2D6F1F22" w14:textId="77777777" w:rsidR="009D056A" w:rsidRPr="00E42A49" w:rsidRDefault="009D056A" w:rsidP="00FD1A78">
      <w:pPr>
        <w:spacing w:after="0"/>
      </w:pPr>
      <w:r w:rsidRPr="00E42A49">
        <w:t>For the full list of excipients, see Section 6.1 (List of excipients).</w:t>
      </w:r>
    </w:p>
    <w:p w14:paraId="03C018E3" w14:textId="77777777" w:rsidR="00AF7E1B" w:rsidRPr="00E42A49" w:rsidRDefault="00AF7E1B" w:rsidP="00FD1A78">
      <w:pPr>
        <w:spacing w:after="0" w:line="240" w:lineRule="auto"/>
      </w:pPr>
    </w:p>
    <w:p w14:paraId="72316443" w14:textId="77777777" w:rsidR="009D056A" w:rsidRPr="00E42A49" w:rsidRDefault="009D056A" w:rsidP="009D056A">
      <w:pPr>
        <w:pStyle w:val="C-BodyText"/>
        <w:spacing w:before="0" w:after="0" w:line="240" w:lineRule="atLeast"/>
        <w:rPr>
          <w:sz w:val="22"/>
          <w:szCs w:val="22"/>
          <w:lang w:val="en-GB" w:eastAsia="en-GB"/>
        </w:rPr>
      </w:pPr>
      <w:r w:rsidRPr="00E42A49">
        <w:rPr>
          <w:sz w:val="22"/>
          <w:szCs w:val="22"/>
          <w:lang w:val="en-GB" w:eastAsia="en-GB"/>
        </w:rPr>
        <w:t>Description</w:t>
      </w:r>
    </w:p>
    <w:p w14:paraId="18A0975E" w14:textId="1D450579" w:rsidR="00C434D9" w:rsidRPr="00E42A49" w:rsidRDefault="009E2210" w:rsidP="00FD1A78">
      <w:pPr>
        <w:spacing w:after="0"/>
        <w:rPr>
          <w:lang w:eastAsia="en-GB"/>
        </w:rPr>
      </w:pPr>
      <w:proofErr w:type="spellStart"/>
      <w:r w:rsidRPr="00E42A49">
        <w:rPr>
          <w:lang w:eastAsia="en-GB"/>
        </w:rPr>
        <w:t>Enasidenib</w:t>
      </w:r>
      <w:proofErr w:type="spellEnd"/>
      <w:r w:rsidRPr="00E42A49">
        <w:rPr>
          <w:lang w:eastAsia="en-GB"/>
        </w:rPr>
        <w:t xml:space="preserve"> is available as the </w:t>
      </w:r>
      <w:r w:rsidR="00AC7919" w:rsidRPr="00E42A49">
        <w:rPr>
          <w:lang w:val="en-GB" w:eastAsia="en-GB"/>
        </w:rPr>
        <w:t>mesilate</w:t>
      </w:r>
      <w:r w:rsidRPr="00E42A49">
        <w:rPr>
          <w:lang w:eastAsia="en-GB"/>
        </w:rPr>
        <w:t xml:space="preserve"> salt and is practically insoluble (solubility </w:t>
      </w:r>
      <w:r w:rsidR="0042631F">
        <w:rPr>
          <w:lang w:eastAsia="en-GB"/>
        </w:rPr>
        <w:sym w:font="Symbol" w:char="F0A3"/>
      </w:r>
      <w:r w:rsidR="00AE33BF" w:rsidRPr="00E42A49">
        <w:rPr>
          <w:lang w:eastAsia="en-GB"/>
        </w:rPr>
        <w:t xml:space="preserve"> </w:t>
      </w:r>
      <w:r w:rsidRPr="00E42A49">
        <w:rPr>
          <w:lang w:eastAsia="en-GB"/>
        </w:rPr>
        <w:t xml:space="preserve">74 </w:t>
      </w:r>
      <w:r w:rsidR="00AC7919" w:rsidRPr="00E42A49">
        <w:rPr>
          <w:lang w:eastAsia="en-GB"/>
        </w:rPr>
        <w:t xml:space="preserve">µg </w:t>
      </w:r>
      <w:r w:rsidRPr="00E42A49">
        <w:rPr>
          <w:lang w:eastAsia="en-GB"/>
        </w:rPr>
        <w:t>/</w:t>
      </w:r>
      <w:r w:rsidR="00AE33BF" w:rsidRPr="00E42A49">
        <w:rPr>
          <w:lang w:eastAsia="en-GB"/>
        </w:rPr>
        <w:t xml:space="preserve"> </w:t>
      </w:r>
      <w:r w:rsidRPr="00E42A49">
        <w:rPr>
          <w:lang w:eastAsia="en-GB"/>
        </w:rPr>
        <w:t>mL) in aqueous solutions across physiological pH range (pH 1.2 and 7.4).</w:t>
      </w:r>
    </w:p>
    <w:p w14:paraId="63DBB45B" w14:textId="77777777" w:rsidR="009D056A" w:rsidRPr="00E42A49" w:rsidRDefault="009D056A" w:rsidP="004F1ED1">
      <w:pPr>
        <w:pStyle w:val="C-Heading1nopagebreak"/>
        <w:pageBreakBefore/>
        <w:tabs>
          <w:tab w:val="clear" w:pos="1080"/>
          <w:tab w:val="num" w:pos="567"/>
        </w:tabs>
        <w:ind w:left="1077" w:hanging="1077"/>
      </w:pPr>
      <w:r w:rsidRPr="00E42A49">
        <w:lastRenderedPageBreak/>
        <w:t>Pharmaceutical form</w:t>
      </w:r>
    </w:p>
    <w:p w14:paraId="7EA304A3" w14:textId="46F0F0E4" w:rsidR="009D056A" w:rsidRPr="00E42A49" w:rsidRDefault="00A7258C" w:rsidP="00C85A54">
      <w:pPr>
        <w:pStyle w:val="C-BodyText"/>
        <w:spacing w:before="0" w:after="0" w:line="240" w:lineRule="auto"/>
        <w:rPr>
          <w:sz w:val="22"/>
          <w:szCs w:val="22"/>
          <w:lang w:val="en-GB" w:eastAsia="en-GB"/>
        </w:rPr>
      </w:pPr>
      <w:r w:rsidRPr="00E42A49">
        <w:rPr>
          <w:sz w:val="22"/>
          <w:szCs w:val="22"/>
          <w:lang w:val="en-GB" w:eastAsia="en-GB"/>
        </w:rPr>
        <w:t>Film-coated tablet</w:t>
      </w:r>
      <w:r w:rsidR="009D056A" w:rsidRPr="00E42A49">
        <w:rPr>
          <w:sz w:val="22"/>
          <w:szCs w:val="22"/>
          <w:lang w:val="en-GB" w:eastAsia="en-GB"/>
        </w:rPr>
        <w:t>.</w:t>
      </w:r>
    </w:p>
    <w:p w14:paraId="4EF5CB8A" w14:textId="77777777" w:rsidR="009D056A" w:rsidRPr="00E42A49" w:rsidRDefault="009D056A" w:rsidP="00C85A54">
      <w:pPr>
        <w:pStyle w:val="C-BodyText"/>
        <w:spacing w:before="0" w:after="0" w:line="240" w:lineRule="auto"/>
        <w:rPr>
          <w:sz w:val="22"/>
          <w:szCs w:val="22"/>
          <w:lang w:val="en-GB" w:eastAsia="en-GB"/>
        </w:rPr>
      </w:pPr>
    </w:p>
    <w:p w14:paraId="468E3D62" w14:textId="77777777" w:rsidR="009D056A" w:rsidRPr="00E42A49" w:rsidRDefault="009D056A" w:rsidP="00C85A54">
      <w:pPr>
        <w:pStyle w:val="C-BodyText"/>
        <w:spacing w:before="0" w:after="0" w:line="240" w:lineRule="auto"/>
        <w:rPr>
          <w:sz w:val="22"/>
          <w:szCs w:val="22"/>
          <w:lang w:val="en-GB"/>
        </w:rPr>
      </w:pPr>
      <w:r w:rsidRPr="00E42A49">
        <w:rPr>
          <w:sz w:val="22"/>
          <w:szCs w:val="22"/>
          <w:lang w:val="en-GB"/>
        </w:rPr>
        <w:t>Idhifa 50 mg film</w:t>
      </w:r>
      <w:r w:rsidRPr="00E42A49">
        <w:rPr>
          <w:sz w:val="22"/>
          <w:szCs w:val="22"/>
          <w:lang w:val="en-GB"/>
        </w:rPr>
        <w:noBreakHyphen/>
        <w:t>coated tablets</w:t>
      </w:r>
    </w:p>
    <w:p w14:paraId="59D5A0AE" w14:textId="77777777" w:rsidR="009D056A" w:rsidRPr="00E42A49" w:rsidRDefault="009D056A" w:rsidP="00C85A54">
      <w:pPr>
        <w:pStyle w:val="C-BodyText"/>
        <w:spacing w:before="0" w:after="0" w:line="240" w:lineRule="auto"/>
        <w:rPr>
          <w:sz w:val="22"/>
          <w:szCs w:val="22"/>
          <w:lang w:val="en-GB" w:eastAsia="en-GB"/>
        </w:rPr>
      </w:pPr>
      <w:r w:rsidRPr="00E42A49">
        <w:rPr>
          <w:sz w:val="22"/>
          <w:szCs w:val="22"/>
          <w:lang w:val="en-GB" w:eastAsia="en-GB"/>
        </w:rPr>
        <w:t>Pale yellow to yellow oval-shaped film-coated tablet, 11.8</w:t>
      </w:r>
      <w:r w:rsidRPr="00E42A49">
        <w:rPr>
          <w:sz w:val="22"/>
          <w:szCs w:val="22"/>
          <w:lang w:val="en-GB"/>
        </w:rPr>
        <w:t> </w:t>
      </w:r>
      <w:r w:rsidRPr="00E42A49">
        <w:rPr>
          <w:sz w:val="22"/>
          <w:szCs w:val="22"/>
          <w:lang w:val="en-GB" w:eastAsia="en-GB"/>
        </w:rPr>
        <w:t>mm, engraved with “ENA” on one side and “50” on the other side.</w:t>
      </w:r>
    </w:p>
    <w:p w14:paraId="7382295F" w14:textId="77777777" w:rsidR="009D056A" w:rsidRPr="00E42A49" w:rsidRDefault="009D056A" w:rsidP="00C85A54">
      <w:pPr>
        <w:pStyle w:val="C-BodyText"/>
        <w:spacing w:before="0" w:after="0" w:line="240" w:lineRule="auto"/>
        <w:rPr>
          <w:sz w:val="22"/>
          <w:szCs w:val="22"/>
          <w:lang w:val="en-GB" w:eastAsia="en-GB"/>
        </w:rPr>
      </w:pPr>
    </w:p>
    <w:p w14:paraId="637A0C82" w14:textId="77777777" w:rsidR="009D056A" w:rsidRPr="00E42A49" w:rsidRDefault="009D056A" w:rsidP="00C85A54">
      <w:pPr>
        <w:pStyle w:val="C-BodyText"/>
        <w:spacing w:before="0" w:after="0" w:line="240" w:lineRule="auto"/>
        <w:rPr>
          <w:sz w:val="22"/>
          <w:szCs w:val="22"/>
          <w:lang w:val="en-GB"/>
        </w:rPr>
      </w:pPr>
      <w:r w:rsidRPr="00E42A49">
        <w:rPr>
          <w:sz w:val="22"/>
          <w:szCs w:val="22"/>
          <w:lang w:val="en-GB"/>
        </w:rPr>
        <w:t>Idhifa 100 mg film</w:t>
      </w:r>
      <w:r w:rsidRPr="00E42A49">
        <w:rPr>
          <w:sz w:val="22"/>
          <w:szCs w:val="22"/>
          <w:lang w:val="en-GB"/>
        </w:rPr>
        <w:noBreakHyphen/>
        <w:t>coated tablets</w:t>
      </w:r>
    </w:p>
    <w:p w14:paraId="5C3EBFC0" w14:textId="77777777" w:rsidR="009D056A" w:rsidRPr="00E42A49" w:rsidRDefault="009D056A" w:rsidP="00317A34">
      <w:pPr>
        <w:spacing w:after="0"/>
        <w:rPr>
          <w:lang w:val="en-GB" w:eastAsia="en-GB"/>
        </w:rPr>
      </w:pPr>
      <w:r w:rsidRPr="00E42A49">
        <w:rPr>
          <w:lang w:val="en-GB" w:eastAsia="en-GB"/>
        </w:rPr>
        <w:t>Pale yellow to yellow capsule-shaped film-coated tablet,</w:t>
      </w:r>
      <w:r w:rsidRPr="00E42A49">
        <w:rPr>
          <w:color w:val="5B9BD5"/>
          <w:lang w:val="en-GB" w:eastAsia="en-GB"/>
        </w:rPr>
        <w:t xml:space="preserve"> </w:t>
      </w:r>
      <w:r w:rsidRPr="00E42A49">
        <w:rPr>
          <w:lang w:val="en-GB" w:eastAsia="en-GB"/>
        </w:rPr>
        <w:t>15.2 mm,</w:t>
      </w:r>
      <w:r w:rsidRPr="00E42A49">
        <w:rPr>
          <w:color w:val="5B9BD5"/>
          <w:lang w:val="en-GB" w:eastAsia="en-GB"/>
        </w:rPr>
        <w:t xml:space="preserve"> </w:t>
      </w:r>
      <w:r w:rsidRPr="00E42A49">
        <w:rPr>
          <w:lang w:val="en-GB" w:eastAsia="en-GB"/>
        </w:rPr>
        <w:t>engraved with “ENA” on one side and “100” on the other side.</w:t>
      </w:r>
    </w:p>
    <w:p w14:paraId="5C314731" w14:textId="77777777" w:rsidR="00AF7E1B" w:rsidRPr="00E42A49" w:rsidRDefault="00AF7E1B" w:rsidP="00AF7E1B">
      <w:pPr>
        <w:spacing w:line="240" w:lineRule="auto"/>
      </w:pPr>
    </w:p>
    <w:p w14:paraId="612C60BF" w14:textId="77777777" w:rsidR="009D056A" w:rsidRPr="00E42A49" w:rsidRDefault="009D056A" w:rsidP="00C434D9">
      <w:pPr>
        <w:pStyle w:val="C-Heading1nopagebreak"/>
        <w:tabs>
          <w:tab w:val="clear" w:pos="1080"/>
          <w:tab w:val="num" w:pos="567"/>
        </w:tabs>
        <w:spacing w:before="0"/>
      </w:pPr>
      <w:r w:rsidRPr="00E42A49">
        <w:t>Clinical particulars</w:t>
      </w:r>
    </w:p>
    <w:p w14:paraId="342BAD51" w14:textId="6DFA01AC" w:rsidR="00706402" w:rsidRPr="00E42A49" w:rsidRDefault="009D056A" w:rsidP="00706402">
      <w:pPr>
        <w:pStyle w:val="C-Heading2"/>
        <w:rPr>
          <w:caps/>
          <w:sz w:val="24"/>
          <w:szCs w:val="24"/>
        </w:rPr>
      </w:pPr>
      <w:r w:rsidRPr="00E42A49">
        <w:rPr>
          <w:caps/>
          <w:sz w:val="24"/>
          <w:szCs w:val="24"/>
        </w:rPr>
        <w:t xml:space="preserve">Therapeutic indications </w:t>
      </w:r>
    </w:p>
    <w:p w14:paraId="1EB73109" w14:textId="283F129B" w:rsidR="004313C3" w:rsidRPr="00FD1A78" w:rsidRDefault="00706402" w:rsidP="00D14FA7">
      <w:pPr>
        <w:pStyle w:val="C-BodyText"/>
        <w:spacing w:after="0" w:line="240" w:lineRule="auto"/>
        <w:rPr>
          <w:sz w:val="22"/>
          <w:szCs w:val="22"/>
        </w:rPr>
      </w:pPr>
      <w:r w:rsidRPr="00FD1A78">
        <w:rPr>
          <w:sz w:val="22"/>
          <w:szCs w:val="22"/>
        </w:rPr>
        <w:t xml:space="preserve">This medicine has </w:t>
      </w:r>
      <w:r w:rsidRPr="00FD1A78">
        <w:rPr>
          <w:b/>
          <w:sz w:val="22"/>
          <w:szCs w:val="22"/>
        </w:rPr>
        <w:t>Provisional Approval</w:t>
      </w:r>
      <w:r w:rsidRPr="00FD1A78">
        <w:rPr>
          <w:sz w:val="22"/>
          <w:szCs w:val="22"/>
        </w:rPr>
        <w:t xml:space="preserve"> in Australia for the treatment of adult patients with relapsed or refractory acute myeloid </w:t>
      </w:r>
      <w:proofErr w:type="spellStart"/>
      <w:r w:rsidRPr="00FD1A78">
        <w:rPr>
          <w:sz w:val="22"/>
          <w:szCs w:val="22"/>
        </w:rPr>
        <w:t>leukaemia</w:t>
      </w:r>
      <w:proofErr w:type="spellEnd"/>
      <w:r w:rsidRPr="00FD1A78">
        <w:rPr>
          <w:sz w:val="22"/>
          <w:szCs w:val="22"/>
        </w:rPr>
        <w:t xml:space="preserve"> </w:t>
      </w:r>
      <w:r w:rsidR="006E24C4" w:rsidRPr="00FD1A78">
        <w:rPr>
          <w:iCs/>
          <w:sz w:val="22"/>
          <w:szCs w:val="22"/>
        </w:rPr>
        <w:t xml:space="preserve">who are ineligible for </w:t>
      </w:r>
      <w:proofErr w:type="spellStart"/>
      <w:r w:rsidR="006E24C4" w:rsidRPr="00FD1A78">
        <w:rPr>
          <w:iCs/>
          <w:sz w:val="22"/>
          <w:szCs w:val="22"/>
        </w:rPr>
        <w:t>haematopoietic</w:t>
      </w:r>
      <w:proofErr w:type="spellEnd"/>
      <w:r w:rsidR="006E24C4" w:rsidRPr="00FD1A78">
        <w:rPr>
          <w:iCs/>
          <w:sz w:val="22"/>
          <w:szCs w:val="22"/>
        </w:rPr>
        <w:t xml:space="preserve"> stem cell transplant, and who have</w:t>
      </w:r>
      <w:r w:rsidRPr="00FD1A78">
        <w:rPr>
          <w:sz w:val="22"/>
          <w:szCs w:val="22"/>
        </w:rPr>
        <w:t xml:space="preserve"> an </w:t>
      </w:r>
      <w:proofErr w:type="spellStart"/>
      <w:r w:rsidRPr="00FD1A78">
        <w:rPr>
          <w:sz w:val="22"/>
          <w:szCs w:val="22"/>
        </w:rPr>
        <w:t>isocitrate</w:t>
      </w:r>
      <w:proofErr w:type="spellEnd"/>
      <w:r w:rsidRPr="00FD1A78">
        <w:rPr>
          <w:sz w:val="22"/>
          <w:szCs w:val="22"/>
        </w:rPr>
        <w:t xml:space="preserve"> dehydrogenase-2 (IDH2) mutation</w:t>
      </w:r>
      <w:r w:rsidR="006E24C4" w:rsidRPr="00FD1A78">
        <w:rPr>
          <w:sz w:val="22"/>
          <w:szCs w:val="22"/>
        </w:rPr>
        <w:t xml:space="preserve"> </w:t>
      </w:r>
      <w:r w:rsidR="006E24C4" w:rsidRPr="00FD1A78">
        <w:rPr>
          <w:iCs/>
          <w:sz w:val="22"/>
          <w:szCs w:val="22"/>
        </w:rPr>
        <w:t>confirmed by a validated diagnostic test</w:t>
      </w:r>
      <w:r w:rsidRPr="00FD1A78">
        <w:rPr>
          <w:sz w:val="22"/>
          <w:szCs w:val="22"/>
        </w:rPr>
        <w:t xml:space="preserve">.  </w:t>
      </w:r>
    </w:p>
    <w:p w14:paraId="7A5699AF" w14:textId="77777777" w:rsidR="00A06E4F" w:rsidRPr="00FD1A78" w:rsidRDefault="00A06E4F" w:rsidP="00D14FA7">
      <w:pPr>
        <w:pStyle w:val="C-BodyText"/>
        <w:spacing w:before="0" w:after="0" w:line="240" w:lineRule="auto"/>
        <w:rPr>
          <w:sz w:val="22"/>
          <w:szCs w:val="22"/>
        </w:rPr>
      </w:pPr>
    </w:p>
    <w:p w14:paraId="2B1071EE" w14:textId="6F030D38" w:rsidR="002C36B9" w:rsidRPr="00E42A49" w:rsidRDefault="00706402" w:rsidP="000A6372">
      <w:pPr>
        <w:pStyle w:val="C-BodyText"/>
        <w:spacing w:before="0" w:after="0" w:line="240" w:lineRule="auto"/>
      </w:pPr>
      <w:r w:rsidRPr="00E42A49">
        <w:rPr>
          <w:sz w:val="22"/>
          <w:szCs w:val="22"/>
        </w:rPr>
        <w:t>The decision to approve t</w:t>
      </w:r>
      <w:r w:rsidR="00633D61" w:rsidRPr="00E42A49">
        <w:rPr>
          <w:sz w:val="22"/>
          <w:szCs w:val="22"/>
        </w:rPr>
        <w:t>h</w:t>
      </w:r>
      <w:r w:rsidRPr="00E42A49">
        <w:rPr>
          <w:sz w:val="22"/>
          <w:szCs w:val="22"/>
        </w:rPr>
        <w:t xml:space="preserve">is indication has been made on the basis of preliminary clinical data </w:t>
      </w:r>
      <w:r w:rsidR="006E24C4" w:rsidRPr="00E42A49">
        <w:rPr>
          <w:iCs/>
          <w:sz w:val="22"/>
          <w:szCs w:val="22"/>
        </w:rPr>
        <w:t xml:space="preserve">from a Phase 1/2 clinical trial with a primary endpoint of overall response rate. </w:t>
      </w:r>
      <w:r w:rsidR="00BF0354" w:rsidRPr="00E42A49">
        <w:rPr>
          <w:iCs/>
          <w:sz w:val="22"/>
          <w:szCs w:val="22"/>
        </w:rPr>
        <w:t xml:space="preserve"> </w:t>
      </w:r>
      <w:r w:rsidR="006E24C4" w:rsidRPr="00E42A49">
        <w:rPr>
          <w:iCs/>
          <w:sz w:val="22"/>
          <w:szCs w:val="22"/>
        </w:rPr>
        <w:t xml:space="preserve">An improvement in OS or PFS has not been established. </w:t>
      </w:r>
      <w:r w:rsidR="00BF0354" w:rsidRPr="00E42A49">
        <w:rPr>
          <w:iCs/>
          <w:sz w:val="22"/>
          <w:szCs w:val="22"/>
        </w:rPr>
        <w:t xml:space="preserve"> </w:t>
      </w:r>
      <w:r w:rsidR="006E24C4" w:rsidRPr="00E42A49">
        <w:rPr>
          <w:iCs/>
          <w:sz w:val="22"/>
          <w:szCs w:val="22"/>
        </w:rPr>
        <w:t xml:space="preserve">The sponsor is required to submit further clinical data to confirm the efficacy and safety of the medicine. </w:t>
      </w:r>
    </w:p>
    <w:p w14:paraId="66D49174" w14:textId="51D6E42E" w:rsidR="009D056A" w:rsidRPr="00E42A49" w:rsidRDefault="009D056A" w:rsidP="000A6372">
      <w:pPr>
        <w:pStyle w:val="C-Heading2"/>
        <w:rPr>
          <w:smallCaps/>
          <w:sz w:val="24"/>
          <w:szCs w:val="24"/>
        </w:rPr>
      </w:pPr>
      <w:r w:rsidRPr="00E42A49">
        <w:rPr>
          <w:smallCaps/>
          <w:sz w:val="24"/>
          <w:szCs w:val="24"/>
        </w:rPr>
        <w:t>Dose and method of administration</w:t>
      </w:r>
    </w:p>
    <w:p w14:paraId="03DD0EF9" w14:textId="77777777" w:rsidR="009D056A" w:rsidRPr="00E42A49" w:rsidRDefault="009D056A" w:rsidP="00FD1A78">
      <w:pPr>
        <w:spacing w:before="120" w:after="0"/>
      </w:pPr>
      <w:bookmarkStart w:id="1" w:name="_Hlk11935698"/>
      <w:r w:rsidRPr="00E42A49">
        <w:rPr>
          <w:lang w:val="en-GB"/>
        </w:rPr>
        <w:t xml:space="preserve">Treatment with Idhifa </w:t>
      </w:r>
      <w:r w:rsidRPr="00E42A49">
        <w:t>must be initiated and monitored under the supervision of a registered Specialist Physician experienced in the management of haematological and oncological malignancies.</w:t>
      </w:r>
    </w:p>
    <w:bookmarkEnd w:id="1"/>
    <w:p w14:paraId="6DDA745B" w14:textId="16B97B62" w:rsidR="002C36B9" w:rsidRPr="00E42A49" w:rsidRDefault="002C36B9" w:rsidP="00FD1A78">
      <w:pPr>
        <w:spacing w:after="0"/>
      </w:pPr>
    </w:p>
    <w:p w14:paraId="5285B74E" w14:textId="77777777" w:rsidR="009D056A" w:rsidRPr="00E42A49" w:rsidRDefault="00485C0D" w:rsidP="002C36B9">
      <w:pPr>
        <w:pStyle w:val="C-Heading3"/>
        <w:spacing w:before="0"/>
        <w:rPr>
          <w:sz w:val="22"/>
          <w:szCs w:val="22"/>
        </w:rPr>
      </w:pPr>
      <w:r w:rsidRPr="00E42A49">
        <w:rPr>
          <w:sz w:val="22"/>
          <w:szCs w:val="22"/>
        </w:rPr>
        <w:t>Dosage</w:t>
      </w:r>
    </w:p>
    <w:p w14:paraId="31596353" w14:textId="77777777" w:rsidR="00EF6312" w:rsidRPr="00E42A49" w:rsidRDefault="00485C0D" w:rsidP="00FD1A78">
      <w:pPr>
        <w:spacing w:before="120" w:after="0"/>
        <w:rPr>
          <w:lang w:val="en-GB"/>
        </w:rPr>
      </w:pPr>
      <w:bookmarkStart w:id="2" w:name="_Hlk11940425"/>
      <w:r w:rsidRPr="00E42A49">
        <w:rPr>
          <w:lang w:val="en-GB"/>
        </w:rPr>
        <w:t xml:space="preserve">The recommended </w:t>
      </w:r>
      <w:r w:rsidR="00BF0354" w:rsidRPr="00E42A49">
        <w:rPr>
          <w:lang w:val="en-GB"/>
        </w:rPr>
        <w:t xml:space="preserve">starting </w:t>
      </w:r>
      <w:r w:rsidRPr="00E42A49">
        <w:rPr>
          <w:lang w:val="en-GB"/>
        </w:rPr>
        <w:t xml:space="preserve">dose of </w:t>
      </w:r>
      <w:r w:rsidR="00ED0E97" w:rsidRPr="00E42A49">
        <w:rPr>
          <w:lang w:val="en-GB"/>
        </w:rPr>
        <w:t xml:space="preserve">Idhifa </w:t>
      </w:r>
      <w:r w:rsidRPr="00E42A49">
        <w:rPr>
          <w:lang w:val="en-GB"/>
        </w:rPr>
        <w:t>is 100 mg taken orally once daily</w:t>
      </w:r>
      <w:r w:rsidR="0057518A" w:rsidRPr="00E42A49">
        <w:rPr>
          <w:lang w:val="en-GB"/>
        </w:rPr>
        <w:t xml:space="preserve">.  </w:t>
      </w:r>
      <w:r w:rsidR="0057518A" w:rsidRPr="00E42A49">
        <w:t xml:space="preserve">It is recommended to treat patients for a minimum of 6 months to allow time for clinical response and to continue treatment </w:t>
      </w:r>
      <w:r w:rsidR="0057518A" w:rsidRPr="00E42A49">
        <w:rPr>
          <w:lang w:val="en-GB"/>
        </w:rPr>
        <w:t xml:space="preserve">until disease progression or unacceptable toxicity. </w:t>
      </w:r>
    </w:p>
    <w:p w14:paraId="6ED608B2" w14:textId="488A60FA" w:rsidR="00485C0D" w:rsidRPr="00E42A49" w:rsidRDefault="00485C0D" w:rsidP="00FD1A78">
      <w:pPr>
        <w:spacing w:after="0"/>
        <w:rPr>
          <w:lang w:val="en-GB"/>
        </w:rPr>
      </w:pPr>
    </w:p>
    <w:p w14:paraId="2F8316E2" w14:textId="47378EAA" w:rsidR="00F43CAD" w:rsidRPr="00FD1A78" w:rsidRDefault="00F43CAD" w:rsidP="00C85A54">
      <w:pPr>
        <w:pStyle w:val="C-Heading3"/>
        <w:spacing w:before="0"/>
        <w:rPr>
          <w:sz w:val="22"/>
          <w:szCs w:val="22"/>
          <w:lang w:val="en-GB"/>
        </w:rPr>
      </w:pPr>
      <w:bookmarkStart w:id="3" w:name="_Hlk11940837"/>
      <w:bookmarkEnd w:id="2"/>
      <w:r w:rsidRPr="00E42A49">
        <w:rPr>
          <w:sz w:val="22"/>
          <w:szCs w:val="22"/>
          <w:u w:color="000000"/>
        </w:rPr>
        <w:t>Method of administration</w:t>
      </w:r>
    </w:p>
    <w:p w14:paraId="531197AB" w14:textId="77777777" w:rsidR="00F43CAD" w:rsidRPr="00E42A49" w:rsidRDefault="00F43CAD" w:rsidP="00FD1A78">
      <w:pPr>
        <w:pStyle w:val="CommentText"/>
        <w:spacing w:before="120" w:after="0"/>
        <w:rPr>
          <w:sz w:val="22"/>
          <w:lang w:val="en-GB"/>
        </w:rPr>
      </w:pPr>
      <w:r w:rsidRPr="00E42A49">
        <w:rPr>
          <w:sz w:val="22"/>
          <w:lang w:val="en-GB"/>
        </w:rPr>
        <w:t>Idhifa film-coated tablets should be swallowed whole with a glass of water, and should not be chewed, split or crushed.</w:t>
      </w:r>
    </w:p>
    <w:p w14:paraId="64BE786C" w14:textId="77777777" w:rsidR="00AF7E1B" w:rsidRPr="00E42A49" w:rsidRDefault="00AF7E1B" w:rsidP="00FD1A78">
      <w:pPr>
        <w:spacing w:after="0" w:line="240" w:lineRule="auto"/>
      </w:pPr>
    </w:p>
    <w:p w14:paraId="0EBF3846" w14:textId="77777777" w:rsidR="00282520" w:rsidRPr="00E42A49" w:rsidRDefault="00F43CAD" w:rsidP="00FD1A78">
      <w:pPr>
        <w:pStyle w:val="CommentText"/>
        <w:spacing w:after="0"/>
        <w:rPr>
          <w:sz w:val="22"/>
          <w:lang w:val="en-GB"/>
        </w:rPr>
      </w:pPr>
      <w:r w:rsidRPr="00E42A49">
        <w:rPr>
          <w:sz w:val="22"/>
          <w:lang w:val="en-GB"/>
        </w:rPr>
        <w:t xml:space="preserve">Administer </w:t>
      </w:r>
      <w:r w:rsidR="00ED0E97" w:rsidRPr="00E42A49">
        <w:rPr>
          <w:sz w:val="22"/>
          <w:lang w:val="en-GB"/>
        </w:rPr>
        <w:t>Idhifa</w:t>
      </w:r>
      <w:r w:rsidRPr="00E42A49">
        <w:rPr>
          <w:sz w:val="22"/>
          <w:lang w:val="en-GB"/>
        </w:rPr>
        <w:t xml:space="preserve"> film-coated tablets orally </w:t>
      </w:r>
      <w:r w:rsidRPr="00E42A49">
        <w:rPr>
          <w:sz w:val="22"/>
          <w:lang w:val="en-GB" w:eastAsia="en-GB"/>
        </w:rPr>
        <w:t xml:space="preserve">with or without food </w:t>
      </w:r>
      <w:r w:rsidRPr="00E42A49">
        <w:rPr>
          <w:sz w:val="22"/>
          <w:lang w:val="en-GB"/>
        </w:rPr>
        <w:t>about the same time each day.</w:t>
      </w:r>
      <w:bookmarkStart w:id="4" w:name="_Hlk524441855"/>
      <w:r w:rsidR="00ED0E97" w:rsidRPr="00E42A49">
        <w:rPr>
          <w:sz w:val="22"/>
          <w:lang w:val="en-GB"/>
        </w:rPr>
        <w:t xml:space="preserve">  </w:t>
      </w:r>
      <w:r w:rsidR="00282520" w:rsidRPr="00E42A49">
        <w:rPr>
          <w:sz w:val="22"/>
          <w:lang w:val="en-GB"/>
        </w:rPr>
        <w:t xml:space="preserve">If a dose of </w:t>
      </w:r>
      <w:r w:rsidR="00ED0E97" w:rsidRPr="00E42A49">
        <w:rPr>
          <w:sz w:val="22"/>
          <w:lang w:val="en-GB"/>
        </w:rPr>
        <w:t>Idhifa</w:t>
      </w:r>
      <w:r w:rsidR="00282520" w:rsidRPr="00E42A49">
        <w:rPr>
          <w:sz w:val="22"/>
          <w:lang w:val="en-GB"/>
        </w:rPr>
        <w:t xml:space="preserve"> is vomited, missed, or not taken at the usual time, administer the dose as soon as possible on the same day, and return to the normal schedule the following day.</w:t>
      </w:r>
    </w:p>
    <w:bookmarkEnd w:id="3"/>
    <w:bookmarkEnd w:id="4"/>
    <w:p w14:paraId="58DE7F63" w14:textId="77777777" w:rsidR="00282520" w:rsidRPr="00E42A49" w:rsidRDefault="00282520" w:rsidP="00FD1A78">
      <w:pPr>
        <w:spacing w:after="0"/>
        <w:rPr>
          <w:rFonts w:eastAsia="TimesNewRoman"/>
          <w:lang w:eastAsia="zh-CN"/>
        </w:rPr>
      </w:pPr>
    </w:p>
    <w:p w14:paraId="6AC9EE60" w14:textId="77777777" w:rsidR="00485C0D" w:rsidRPr="00E42A49" w:rsidRDefault="00282520" w:rsidP="002C36B9">
      <w:pPr>
        <w:pStyle w:val="C-Heading3"/>
        <w:spacing w:before="0"/>
        <w:rPr>
          <w:sz w:val="22"/>
          <w:szCs w:val="22"/>
        </w:rPr>
      </w:pPr>
      <w:r w:rsidRPr="00E42A49">
        <w:rPr>
          <w:sz w:val="22"/>
          <w:szCs w:val="22"/>
        </w:rPr>
        <w:lastRenderedPageBreak/>
        <w:t>Dosage Adjustments</w:t>
      </w:r>
    </w:p>
    <w:p w14:paraId="5FCACAEA" w14:textId="77777777" w:rsidR="00282520" w:rsidRPr="00E42A49" w:rsidRDefault="00282520" w:rsidP="00FD1A78">
      <w:pPr>
        <w:spacing w:before="120" w:after="0"/>
        <w:rPr>
          <w:lang w:val="en-GB"/>
        </w:rPr>
      </w:pPr>
      <w:r w:rsidRPr="00E42A49">
        <w:rPr>
          <w:lang w:val="en-GB"/>
        </w:rPr>
        <w:t xml:space="preserve">Assess blood counts, including differential distribution, and blood chemistries for </w:t>
      </w:r>
      <w:proofErr w:type="spellStart"/>
      <w:r w:rsidRPr="00E42A49">
        <w:rPr>
          <w:lang w:val="en-GB"/>
        </w:rPr>
        <w:t>leukocytosis</w:t>
      </w:r>
      <w:proofErr w:type="spellEnd"/>
      <w:r w:rsidRPr="00E42A49">
        <w:rPr>
          <w:lang w:val="en-GB"/>
        </w:rPr>
        <w:t xml:space="preserve"> and tumour lysis syndrome prior to the initiation of </w:t>
      </w:r>
      <w:r w:rsidR="00ED0E97" w:rsidRPr="00E42A49">
        <w:rPr>
          <w:lang w:val="en-GB"/>
        </w:rPr>
        <w:t>Idhifa</w:t>
      </w:r>
      <w:r w:rsidRPr="00E42A49">
        <w:rPr>
          <w:lang w:val="en-GB"/>
        </w:rPr>
        <w:t xml:space="preserve"> and monitor at a minimum of every 2 weeks for at least the first 3 months during treatment. Manage any abnormalities promptly.</w:t>
      </w:r>
    </w:p>
    <w:p w14:paraId="1FF0B6A7" w14:textId="77777777" w:rsidR="00AF7E1B" w:rsidRPr="00E42A49" w:rsidRDefault="00AF7E1B" w:rsidP="00FD1A78">
      <w:pPr>
        <w:spacing w:after="0" w:line="240" w:lineRule="auto"/>
      </w:pPr>
    </w:p>
    <w:p w14:paraId="3E5253FC" w14:textId="67E55DEF" w:rsidR="00282520" w:rsidRPr="00E42A49" w:rsidRDefault="00282520" w:rsidP="00C85A54">
      <w:pPr>
        <w:rPr>
          <w:lang w:val="en-GB"/>
        </w:rPr>
      </w:pPr>
      <w:r w:rsidRPr="00E42A49">
        <w:rPr>
          <w:lang w:val="en-GB"/>
        </w:rPr>
        <w:t>Interrupt dosing or reduce dose for to</w:t>
      </w:r>
      <w:r w:rsidR="00873502" w:rsidRPr="00E42A49">
        <w:rPr>
          <w:lang w:val="en-GB"/>
        </w:rPr>
        <w:t>xicities. See Table 1 for dose</w:t>
      </w:r>
      <w:r w:rsidRPr="00E42A49">
        <w:rPr>
          <w:lang w:val="en-GB"/>
        </w:rPr>
        <w:t xml:space="preserve"> modification guidelines.</w:t>
      </w:r>
    </w:p>
    <w:p w14:paraId="776CB673" w14:textId="7DA2EB2F" w:rsidR="00282520" w:rsidRPr="00E42A49" w:rsidRDefault="00C85970" w:rsidP="00C85970">
      <w:pPr>
        <w:pStyle w:val="Caption"/>
      </w:pPr>
      <w:bookmarkStart w:id="5" w:name="_Hlk11941298"/>
      <w:r w:rsidRPr="00E42A49">
        <w:t>Table </w:t>
      </w:r>
      <w:r w:rsidR="00633D61" w:rsidRPr="00E42A49">
        <w:rPr>
          <w:noProof/>
        </w:rPr>
        <w:fldChar w:fldCharType="begin"/>
      </w:r>
      <w:r w:rsidR="00633D61" w:rsidRPr="00E42A49">
        <w:rPr>
          <w:noProof/>
        </w:rPr>
        <w:instrText xml:space="preserve"> SEQ Table \* ARABIC \* MERGEFORMAT </w:instrText>
      </w:r>
      <w:r w:rsidR="00633D61" w:rsidRPr="00E42A49">
        <w:rPr>
          <w:noProof/>
        </w:rPr>
        <w:fldChar w:fldCharType="separate"/>
      </w:r>
      <w:r w:rsidR="0036648D">
        <w:rPr>
          <w:noProof/>
        </w:rPr>
        <w:t>1</w:t>
      </w:r>
      <w:r w:rsidR="00633D61" w:rsidRPr="00E42A49">
        <w:rPr>
          <w:noProof/>
        </w:rPr>
        <w:fldChar w:fldCharType="end"/>
      </w:r>
      <w:r w:rsidRPr="00E42A49">
        <w:t>:</w:t>
      </w:r>
      <w:r w:rsidRPr="00E42A49">
        <w:tab/>
        <w:t>Dose Modif</w:t>
      </w:r>
      <w:r w:rsidR="00181B77" w:rsidRPr="00E42A49">
        <w:t>ication Instructions for Idhifa-</w:t>
      </w:r>
      <w:r w:rsidRPr="00E42A49">
        <w:t>Related Toxicities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7200"/>
      </w:tblGrid>
      <w:tr w:rsidR="00C85970" w:rsidRPr="00E42A49" w14:paraId="7F55001F" w14:textId="77777777" w:rsidTr="00B16169">
        <w:trPr>
          <w:cantSplit/>
          <w:tblHeader/>
          <w:jc w:val="center"/>
        </w:trPr>
        <w:tc>
          <w:tcPr>
            <w:tcW w:w="2376" w:type="dxa"/>
            <w:shd w:val="clear" w:color="auto" w:fill="D9D9D9" w:themeFill="background1" w:themeFillShade="D9"/>
          </w:tcPr>
          <w:p w14:paraId="20A04AB2" w14:textId="77777777" w:rsidR="00C85970" w:rsidRPr="00E42A49" w:rsidRDefault="00C85970" w:rsidP="00D14FA7">
            <w:pPr>
              <w:pStyle w:val="C-TableHeader"/>
              <w:spacing w:before="40" w:after="40"/>
              <w:rPr>
                <w:szCs w:val="22"/>
              </w:rPr>
            </w:pPr>
            <w:r w:rsidRPr="00E42A49">
              <w:rPr>
                <w:szCs w:val="22"/>
              </w:rPr>
              <w:t>Adverse Reaction</w:t>
            </w:r>
          </w:p>
        </w:tc>
        <w:tc>
          <w:tcPr>
            <w:tcW w:w="7200" w:type="dxa"/>
            <w:shd w:val="clear" w:color="auto" w:fill="D9D9D9" w:themeFill="background1" w:themeFillShade="D9"/>
          </w:tcPr>
          <w:p w14:paraId="405E5E50" w14:textId="77777777" w:rsidR="00C85970" w:rsidRPr="00E42A49" w:rsidRDefault="00C85970" w:rsidP="00D14FA7">
            <w:pPr>
              <w:pStyle w:val="C-TableHeader"/>
              <w:spacing w:before="40" w:after="40"/>
              <w:rPr>
                <w:szCs w:val="22"/>
              </w:rPr>
            </w:pPr>
            <w:r w:rsidRPr="00E42A49">
              <w:rPr>
                <w:szCs w:val="22"/>
              </w:rPr>
              <w:t>Recommended Action</w:t>
            </w:r>
          </w:p>
        </w:tc>
      </w:tr>
      <w:tr w:rsidR="00C85970" w:rsidRPr="00E42A49" w14:paraId="4F85B1EE" w14:textId="7AB08272" w:rsidTr="00B16169">
        <w:trPr>
          <w:jc w:val="center"/>
        </w:trPr>
        <w:tc>
          <w:tcPr>
            <w:tcW w:w="2376" w:type="dxa"/>
            <w:shd w:val="clear" w:color="auto" w:fill="auto"/>
          </w:tcPr>
          <w:p w14:paraId="7AF29607" w14:textId="77777777" w:rsidR="00C85970" w:rsidRPr="00E42A49" w:rsidRDefault="00C85970" w:rsidP="00D14FA7">
            <w:pPr>
              <w:pStyle w:val="C-TableText"/>
              <w:spacing w:before="40" w:after="40"/>
              <w:rPr>
                <w:szCs w:val="22"/>
              </w:rPr>
            </w:pPr>
            <w:r w:rsidRPr="00E42A49">
              <w:rPr>
                <w:bCs/>
                <w:szCs w:val="22"/>
                <w:lang w:val="en-GB"/>
              </w:rPr>
              <w:t>Differentiation syndrome</w:t>
            </w:r>
          </w:p>
        </w:tc>
        <w:tc>
          <w:tcPr>
            <w:tcW w:w="7200" w:type="dxa"/>
            <w:shd w:val="clear" w:color="auto" w:fill="auto"/>
          </w:tcPr>
          <w:p w14:paraId="4772729E" w14:textId="77777777" w:rsidR="00C85970" w:rsidRPr="00E42A49" w:rsidRDefault="00C85970" w:rsidP="00D14FA7">
            <w:pPr>
              <w:pStyle w:val="ListParagraph"/>
              <w:numPr>
                <w:ilvl w:val="0"/>
                <w:numId w:val="40"/>
              </w:numPr>
              <w:spacing w:before="40" w:after="40"/>
              <w:rPr>
                <w:rFonts w:eastAsia="TimesNewRoman"/>
                <w:bCs/>
                <w:lang w:val="en-GB"/>
              </w:rPr>
            </w:pPr>
            <w:r w:rsidRPr="00E42A49">
              <w:rPr>
                <w:rFonts w:eastAsia="TimesNewRoman"/>
                <w:bCs/>
                <w:lang w:val="en-GB"/>
              </w:rPr>
              <w:t>If differentiation syndrome is suspected, administer systemic corticosteroids and initiate haemodynamic monitoring (see section 4.4).</w:t>
            </w:r>
          </w:p>
          <w:p w14:paraId="0CA3FCC8" w14:textId="5E19239C" w:rsidR="00C85970" w:rsidRPr="00E42A49" w:rsidRDefault="00C85970" w:rsidP="00D14FA7">
            <w:pPr>
              <w:pStyle w:val="ListParagraph"/>
              <w:numPr>
                <w:ilvl w:val="0"/>
                <w:numId w:val="40"/>
              </w:numPr>
              <w:spacing w:before="40" w:after="40"/>
              <w:rPr>
                <w:rFonts w:eastAsia="TimesNewRoman"/>
                <w:bCs/>
                <w:lang w:val="en-GB"/>
              </w:rPr>
            </w:pPr>
            <w:r w:rsidRPr="00E42A49">
              <w:rPr>
                <w:lang w:val="en-GB"/>
              </w:rPr>
              <w:t xml:space="preserve">Interrupt </w:t>
            </w:r>
            <w:r w:rsidR="00ED0E97" w:rsidRPr="00E42A49">
              <w:rPr>
                <w:lang w:val="en-GB"/>
              </w:rPr>
              <w:t>Idhifa</w:t>
            </w:r>
            <w:r w:rsidRPr="00E42A49">
              <w:rPr>
                <w:lang w:val="en-GB"/>
              </w:rPr>
              <w:t xml:space="preserve"> if severe pulmonary symptoms requiring intubation or ventilator support, and</w:t>
            </w:r>
            <w:r w:rsidR="00AE33BF" w:rsidRPr="00E42A49">
              <w:rPr>
                <w:lang w:val="en-GB"/>
              </w:rPr>
              <w:t xml:space="preserve"> </w:t>
            </w:r>
            <w:r w:rsidRPr="00E42A49">
              <w:rPr>
                <w:lang w:val="en-GB"/>
              </w:rPr>
              <w:t>/</w:t>
            </w:r>
            <w:r w:rsidR="00AE33BF" w:rsidRPr="00E42A49">
              <w:rPr>
                <w:lang w:val="en-GB"/>
              </w:rPr>
              <w:t xml:space="preserve"> </w:t>
            </w:r>
            <w:r w:rsidRPr="00E42A49">
              <w:rPr>
                <w:lang w:val="en-GB"/>
              </w:rPr>
              <w:t>or renal dysfunction persist for more than 48 hours after initiation of corticosteroids (see section 4.4).</w:t>
            </w:r>
          </w:p>
          <w:p w14:paraId="0A252EEB" w14:textId="6A6C2CF6" w:rsidR="00C85970" w:rsidRPr="00E42A49" w:rsidRDefault="00C85970" w:rsidP="00D14FA7">
            <w:pPr>
              <w:pStyle w:val="C-Bullet"/>
              <w:numPr>
                <w:ilvl w:val="0"/>
                <w:numId w:val="40"/>
              </w:numPr>
              <w:spacing w:before="40" w:after="40" w:line="240" w:lineRule="auto"/>
              <w:rPr>
                <w:sz w:val="22"/>
                <w:szCs w:val="22"/>
              </w:rPr>
            </w:pPr>
            <w:r w:rsidRPr="00E42A49">
              <w:rPr>
                <w:sz w:val="22"/>
                <w:szCs w:val="22"/>
              </w:rPr>
              <w:t xml:space="preserve">Resume </w:t>
            </w:r>
            <w:r w:rsidR="00ED0E97" w:rsidRPr="00E42A49">
              <w:rPr>
                <w:sz w:val="22"/>
                <w:szCs w:val="22"/>
                <w:lang w:val="en-GB"/>
              </w:rPr>
              <w:t>Idhifa</w:t>
            </w:r>
            <w:r w:rsidRPr="00E42A49">
              <w:rPr>
                <w:sz w:val="22"/>
                <w:szCs w:val="22"/>
              </w:rPr>
              <w:t xml:space="preserve"> at the original dose when signs and symptoms improve to Grade 2* or </w:t>
            </w:r>
            <w:r w:rsidR="00116628" w:rsidRPr="00E42A49">
              <w:rPr>
                <w:sz w:val="22"/>
                <w:szCs w:val="22"/>
              </w:rPr>
              <w:t>lower</w:t>
            </w:r>
            <w:r w:rsidRPr="00E42A49">
              <w:rPr>
                <w:sz w:val="22"/>
                <w:szCs w:val="22"/>
              </w:rPr>
              <w:t>.</w:t>
            </w:r>
          </w:p>
        </w:tc>
      </w:tr>
      <w:bookmarkEnd w:id="5"/>
      <w:tr w:rsidR="00C85970" w:rsidRPr="00E42A49" w14:paraId="1703BEFE" w14:textId="77777777" w:rsidTr="00B16169">
        <w:trPr>
          <w:jc w:val="center"/>
        </w:trPr>
        <w:tc>
          <w:tcPr>
            <w:tcW w:w="2376" w:type="dxa"/>
            <w:shd w:val="clear" w:color="auto" w:fill="auto"/>
          </w:tcPr>
          <w:p w14:paraId="5707D904" w14:textId="0585DF33" w:rsidR="00C85970" w:rsidRPr="00E42A49" w:rsidRDefault="004F2272" w:rsidP="00D14FA7">
            <w:pPr>
              <w:spacing w:before="40" w:after="40"/>
              <w:rPr>
                <w:bCs/>
                <w:lang w:val="en-GB"/>
              </w:rPr>
            </w:pPr>
            <w:r w:rsidRPr="00E42A49">
              <w:rPr>
                <w:bCs/>
                <w:lang w:val="en-GB"/>
              </w:rPr>
              <w:t>Non</w:t>
            </w:r>
            <w:r w:rsidRPr="00E42A49">
              <w:rPr>
                <w:bCs/>
                <w:lang w:val="en-GB"/>
              </w:rPr>
              <w:noBreakHyphen/>
              <w:t xml:space="preserve">infectious </w:t>
            </w:r>
            <w:proofErr w:type="spellStart"/>
            <w:r w:rsidRPr="00E42A49">
              <w:rPr>
                <w:bCs/>
                <w:lang w:val="en-GB"/>
              </w:rPr>
              <w:t>leukocytosis</w:t>
            </w:r>
            <w:proofErr w:type="spellEnd"/>
            <w:r w:rsidRPr="00E42A49">
              <w:rPr>
                <w:bCs/>
                <w:lang w:val="en-GB"/>
              </w:rPr>
              <w:t xml:space="preserve"> [</w:t>
            </w:r>
            <w:r w:rsidR="00C85970" w:rsidRPr="00E42A49">
              <w:rPr>
                <w:bCs/>
                <w:lang w:val="en-GB"/>
              </w:rPr>
              <w:t>whi</w:t>
            </w:r>
            <w:r w:rsidRPr="00E42A49">
              <w:rPr>
                <w:bCs/>
                <w:lang w:val="en-GB"/>
              </w:rPr>
              <w:t>te blood cell (WBC)</w:t>
            </w:r>
            <w:r w:rsidR="00C85970" w:rsidRPr="00E42A49">
              <w:rPr>
                <w:bCs/>
                <w:lang w:val="en-GB"/>
              </w:rPr>
              <w:t xml:space="preserve"> count </w:t>
            </w:r>
            <w:r w:rsidRPr="00E42A49">
              <w:rPr>
                <w:bCs/>
                <w:lang w:val="en-GB"/>
              </w:rPr>
              <w:t>&gt;</w:t>
            </w:r>
            <w:r w:rsidR="00C85970" w:rsidRPr="00E42A49">
              <w:rPr>
                <w:bCs/>
                <w:lang w:val="en-GB"/>
              </w:rPr>
              <w:t xml:space="preserve"> 30 x 10</w:t>
            </w:r>
            <w:r w:rsidR="00C85970" w:rsidRPr="00E42A49">
              <w:rPr>
                <w:bCs/>
                <w:vertAlign w:val="superscript"/>
                <w:lang w:val="en-GB"/>
              </w:rPr>
              <w:t>9</w:t>
            </w:r>
            <w:r w:rsidR="00654573" w:rsidRPr="00E42A49">
              <w:rPr>
                <w:bCs/>
                <w:vertAlign w:val="superscript"/>
                <w:lang w:val="en-GB"/>
              </w:rPr>
              <w:t xml:space="preserve"> </w:t>
            </w:r>
            <w:r w:rsidR="00C85970" w:rsidRPr="00E42A49">
              <w:rPr>
                <w:bCs/>
                <w:lang w:val="en-GB"/>
              </w:rPr>
              <w:t>/</w:t>
            </w:r>
            <w:r w:rsidR="00654573" w:rsidRPr="00E42A49">
              <w:rPr>
                <w:bCs/>
                <w:lang w:val="en-GB"/>
              </w:rPr>
              <w:t xml:space="preserve"> </w:t>
            </w:r>
            <w:r w:rsidR="00C85970" w:rsidRPr="00E42A49">
              <w:rPr>
                <w:bCs/>
                <w:lang w:val="en-GB"/>
              </w:rPr>
              <w:t>L</w:t>
            </w:r>
            <w:r w:rsidR="00444CB9" w:rsidRPr="00E42A49">
              <w:rPr>
                <w:bCs/>
                <w:lang w:val="en-GB"/>
              </w:rPr>
              <w:t>]</w:t>
            </w:r>
          </w:p>
        </w:tc>
        <w:tc>
          <w:tcPr>
            <w:tcW w:w="7200" w:type="dxa"/>
            <w:shd w:val="clear" w:color="auto" w:fill="auto"/>
          </w:tcPr>
          <w:p w14:paraId="631D5B52" w14:textId="77777777" w:rsidR="00C85970" w:rsidRPr="00E42A49" w:rsidRDefault="00C85970" w:rsidP="00D14FA7">
            <w:pPr>
              <w:pStyle w:val="C-TableText"/>
              <w:numPr>
                <w:ilvl w:val="0"/>
                <w:numId w:val="41"/>
              </w:numPr>
              <w:spacing w:before="40" w:after="40"/>
              <w:rPr>
                <w:bCs/>
                <w:szCs w:val="22"/>
                <w:lang w:val="en-GB"/>
              </w:rPr>
            </w:pPr>
            <w:r w:rsidRPr="00E42A49">
              <w:rPr>
                <w:bCs/>
                <w:szCs w:val="22"/>
                <w:lang w:val="en-GB"/>
              </w:rPr>
              <w:t xml:space="preserve">Initiate treatment with </w:t>
            </w:r>
            <w:proofErr w:type="spellStart"/>
            <w:r w:rsidRPr="00E42A49">
              <w:rPr>
                <w:bCs/>
                <w:szCs w:val="22"/>
                <w:lang w:val="en-GB"/>
              </w:rPr>
              <w:t>hydroxyurea</w:t>
            </w:r>
            <w:proofErr w:type="spellEnd"/>
            <w:r w:rsidRPr="00E42A49">
              <w:rPr>
                <w:bCs/>
                <w:szCs w:val="22"/>
                <w:lang w:val="en-GB"/>
              </w:rPr>
              <w:t>, as per standard institutional practices.</w:t>
            </w:r>
          </w:p>
          <w:p w14:paraId="78455611" w14:textId="68C33A5E" w:rsidR="00C85970" w:rsidRPr="00E42A49" w:rsidRDefault="00C85970" w:rsidP="00D14FA7">
            <w:pPr>
              <w:pStyle w:val="C-TableText"/>
              <w:numPr>
                <w:ilvl w:val="0"/>
                <w:numId w:val="41"/>
              </w:numPr>
              <w:spacing w:before="40" w:after="40"/>
              <w:rPr>
                <w:szCs w:val="22"/>
              </w:rPr>
            </w:pPr>
            <w:r w:rsidRPr="00E42A49">
              <w:rPr>
                <w:bCs/>
                <w:szCs w:val="22"/>
                <w:lang w:val="en-GB"/>
              </w:rPr>
              <w:t xml:space="preserve">Interrupt </w:t>
            </w:r>
            <w:r w:rsidR="00ED0E97" w:rsidRPr="00E42A49">
              <w:rPr>
                <w:szCs w:val="22"/>
                <w:lang w:val="en-GB"/>
              </w:rPr>
              <w:t>Idhifa</w:t>
            </w:r>
            <w:r w:rsidRPr="00E42A49">
              <w:rPr>
                <w:bCs/>
                <w:szCs w:val="22"/>
                <w:lang w:val="en-GB"/>
              </w:rPr>
              <w:t xml:space="preserve"> if </w:t>
            </w:r>
            <w:proofErr w:type="spellStart"/>
            <w:r w:rsidRPr="00E42A49">
              <w:rPr>
                <w:bCs/>
                <w:szCs w:val="22"/>
                <w:lang w:val="en-GB"/>
              </w:rPr>
              <w:t>leukocytosis</w:t>
            </w:r>
            <w:proofErr w:type="spellEnd"/>
            <w:r w:rsidRPr="00E42A49">
              <w:rPr>
                <w:bCs/>
                <w:szCs w:val="22"/>
                <w:lang w:val="en-GB"/>
              </w:rPr>
              <w:t xml:space="preserve"> is not improved with </w:t>
            </w:r>
            <w:proofErr w:type="spellStart"/>
            <w:r w:rsidRPr="00E42A49">
              <w:rPr>
                <w:bCs/>
                <w:szCs w:val="22"/>
                <w:lang w:val="en-GB"/>
              </w:rPr>
              <w:t>hydroxyurea</w:t>
            </w:r>
            <w:proofErr w:type="spellEnd"/>
            <w:r w:rsidRPr="00E42A49">
              <w:rPr>
                <w:bCs/>
                <w:szCs w:val="22"/>
                <w:lang w:val="en-GB"/>
              </w:rPr>
              <w:t xml:space="preserve">, and then resume </w:t>
            </w:r>
            <w:r w:rsidR="00ED0E97" w:rsidRPr="00E42A49">
              <w:rPr>
                <w:szCs w:val="22"/>
                <w:lang w:val="en-GB"/>
              </w:rPr>
              <w:t>Idhifa</w:t>
            </w:r>
            <w:r w:rsidRPr="00E42A49">
              <w:rPr>
                <w:bCs/>
                <w:szCs w:val="22"/>
                <w:lang w:val="en-GB"/>
              </w:rPr>
              <w:t xml:space="preserve"> at 10</w:t>
            </w:r>
            <w:r w:rsidR="004F2272" w:rsidRPr="00E42A49">
              <w:rPr>
                <w:bCs/>
                <w:szCs w:val="22"/>
                <w:lang w:val="en-GB"/>
              </w:rPr>
              <w:t>0 mg daily when WBC is &lt;</w:t>
            </w:r>
            <w:r w:rsidRPr="00E42A49">
              <w:rPr>
                <w:bCs/>
                <w:szCs w:val="22"/>
                <w:lang w:val="en-GB"/>
              </w:rPr>
              <w:t xml:space="preserve"> 30 x 10</w:t>
            </w:r>
            <w:r w:rsidRPr="00E42A49">
              <w:rPr>
                <w:bCs/>
                <w:szCs w:val="22"/>
                <w:vertAlign w:val="superscript"/>
                <w:lang w:val="en-GB"/>
              </w:rPr>
              <w:t>9</w:t>
            </w:r>
            <w:r w:rsidR="00AE33BF" w:rsidRPr="00E42A49">
              <w:rPr>
                <w:bCs/>
                <w:szCs w:val="22"/>
                <w:vertAlign w:val="superscript"/>
                <w:lang w:val="en-GB"/>
              </w:rPr>
              <w:t xml:space="preserve"> </w:t>
            </w:r>
            <w:r w:rsidRPr="00E42A49">
              <w:rPr>
                <w:bCs/>
                <w:szCs w:val="22"/>
                <w:lang w:val="en-GB"/>
              </w:rPr>
              <w:t>/</w:t>
            </w:r>
            <w:r w:rsidR="00AE33BF" w:rsidRPr="00E42A49">
              <w:rPr>
                <w:bCs/>
                <w:szCs w:val="22"/>
                <w:lang w:val="en-GB"/>
              </w:rPr>
              <w:t xml:space="preserve"> </w:t>
            </w:r>
            <w:r w:rsidRPr="00E42A49">
              <w:rPr>
                <w:bCs/>
                <w:szCs w:val="22"/>
                <w:lang w:val="en-GB"/>
              </w:rPr>
              <w:t>L.</w:t>
            </w:r>
          </w:p>
        </w:tc>
      </w:tr>
      <w:tr w:rsidR="00C85970" w:rsidRPr="00E42A49" w14:paraId="1945FF02" w14:textId="77777777" w:rsidTr="00B16169">
        <w:trPr>
          <w:jc w:val="center"/>
        </w:trPr>
        <w:tc>
          <w:tcPr>
            <w:tcW w:w="2376" w:type="dxa"/>
            <w:shd w:val="clear" w:color="auto" w:fill="auto"/>
          </w:tcPr>
          <w:p w14:paraId="05C2D0A5" w14:textId="0EC592CB" w:rsidR="00C85970" w:rsidRPr="00E42A49" w:rsidRDefault="002F2106" w:rsidP="00A92BA5">
            <w:pPr>
              <w:pStyle w:val="C-TableText"/>
              <w:spacing w:before="40" w:after="40"/>
              <w:rPr>
                <w:szCs w:val="22"/>
              </w:rPr>
            </w:pPr>
            <w:r w:rsidRPr="00E42A49">
              <w:rPr>
                <w:szCs w:val="22"/>
              </w:rPr>
              <w:t>Isolated hyperbilirubinemia</w:t>
            </w:r>
            <w:r w:rsidR="004F2272" w:rsidRPr="00E42A49">
              <w:rPr>
                <w:szCs w:val="22"/>
              </w:rPr>
              <w:t>&gt;</w:t>
            </w:r>
            <w:r w:rsidR="00C85970" w:rsidRPr="00E42A49">
              <w:rPr>
                <w:szCs w:val="22"/>
              </w:rPr>
              <w:t xml:space="preserve"> 3 times the upper limit of normal (ULN) sustained for </w:t>
            </w:r>
            <w:r w:rsidR="00A92BA5">
              <w:rPr>
                <w:rFonts w:ascii="Symbol" w:hAnsi="Symbol"/>
              </w:rPr>
              <w:sym w:font="Symbol" w:char="F0B3"/>
            </w:r>
            <w:r w:rsidR="004F2272" w:rsidRPr="00E42A49">
              <w:rPr>
                <w:szCs w:val="22"/>
              </w:rPr>
              <w:t xml:space="preserve"> </w:t>
            </w:r>
            <w:r w:rsidR="00C85970" w:rsidRPr="00E42A49">
              <w:rPr>
                <w:szCs w:val="22"/>
              </w:rPr>
              <w:t xml:space="preserve">2 weeks </w:t>
            </w:r>
          </w:p>
        </w:tc>
        <w:tc>
          <w:tcPr>
            <w:tcW w:w="7200" w:type="dxa"/>
            <w:shd w:val="clear" w:color="auto" w:fill="auto"/>
          </w:tcPr>
          <w:p w14:paraId="1DCB1087" w14:textId="592733FD" w:rsidR="00C85970" w:rsidRPr="00E42A49" w:rsidRDefault="00C85970" w:rsidP="00D14FA7">
            <w:pPr>
              <w:pStyle w:val="C-TableText"/>
              <w:numPr>
                <w:ilvl w:val="0"/>
                <w:numId w:val="42"/>
              </w:numPr>
              <w:spacing w:before="40" w:after="40"/>
              <w:rPr>
                <w:szCs w:val="22"/>
              </w:rPr>
            </w:pPr>
            <w:r w:rsidRPr="00E42A49">
              <w:rPr>
                <w:szCs w:val="22"/>
              </w:rPr>
              <w:t xml:space="preserve">Reduce </w:t>
            </w:r>
            <w:r w:rsidR="00ED0E97" w:rsidRPr="00E42A49">
              <w:rPr>
                <w:szCs w:val="22"/>
                <w:lang w:val="en-GB"/>
              </w:rPr>
              <w:t>Idhifa</w:t>
            </w:r>
            <w:r w:rsidRPr="00E42A49">
              <w:rPr>
                <w:szCs w:val="22"/>
              </w:rPr>
              <w:t xml:space="preserve"> dose to 50 mg daily.</w:t>
            </w:r>
          </w:p>
          <w:p w14:paraId="1245C291" w14:textId="4BFA1032" w:rsidR="00C85970" w:rsidRPr="00E42A49" w:rsidRDefault="00C85970" w:rsidP="00D14FA7">
            <w:pPr>
              <w:pStyle w:val="C-TableText"/>
              <w:numPr>
                <w:ilvl w:val="0"/>
                <w:numId w:val="42"/>
              </w:numPr>
              <w:spacing w:before="40" w:after="40"/>
              <w:rPr>
                <w:szCs w:val="22"/>
              </w:rPr>
            </w:pPr>
            <w:r w:rsidRPr="00E42A49">
              <w:rPr>
                <w:szCs w:val="22"/>
              </w:rPr>
              <w:t xml:space="preserve">Resume </w:t>
            </w:r>
            <w:r w:rsidR="00ED0E97" w:rsidRPr="00E42A49">
              <w:rPr>
                <w:szCs w:val="22"/>
                <w:lang w:val="en-GB"/>
              </w:rPr>
              <w:t>Idhifa</w:t>
            </w:r>
            <w:r w:rsidRPr="00E42A49">
              <w:rPr>
                <w:szCs w:val="22"/>
              </w:rPr>
              <w:t xml:space="preserve"> at 100 mg daily if bilirubin </w:t>
            </w:r>
            <w:r w:rsidR="004F2272" w:rsidRPr="00E42A49">
              <w:rPr>
                <w:szCs w:val="22"/>
              </w:rPr>
              <w:t xml:space="preserve">elevation resolves to &lt; </w:t>
            </w:r>
            <w:r w:rsidRPr="00E42A49">
              <w:rPr>
                <w:szCs w:val="22"/>
              </w:rPr>
              <w:t>2 x ULN.</w:t>
            </w:r>
          </w:p>
        </w:tc>
      </w:tr>
      <w:tr w:rsidR="00C85970" w:rsidRPr="00E42A49" w14:paraId="0CE83B94" w14:textId="77777777" w:rsidTr="00B16169">
        <w:trPr>
          <w:jc w:val="center"/>
        </w:trPr>
        <w:tc>
          <w:tcPr>
            <w:tcW w:w="2376" w:type="dxa"/>
            <w:shd w:val="clear" w:color="auto" w:fill="auto"/>
          </w:tcPr>
          <w:p w14:paraId="2D54AA66" w14:textId="77777777" w:rsidR="00C85970" w:rsidRPr="00E42A49" w:rsidRDefault="00C85970" w:rsidP="00D14FA7">
            <w:pPr>
              <w:pStyle w:val="C-TableText"/>
              <w:spacing w:before="40" w:after="40"/>
              <w:rPr>
                <w:szCs w:val="22"/>
              </w:rPr>
            </w:pPr>
            <w:r w:rsidRPr="00E42A49">
              <w:rPr>
                <w:bCs/>
                <w:szCs w:val="22"/>
                <w:lang w:val="en-GB"/>
              </w:rPr>
              <w:t>Other Grade 3* or higher toxicity considered related to treatment</w:t>
            </w:r>
            <w:r w:rsidRPr="00E42A49" w:rsidDel="000543C6">
              <w:rPr>
                <w:bCs/>
                <w:szCs w:val="22"/>
                <w:lang w:val="en-GB"/>
              </w:rPr>
              <w:t xml:space="preserve"> </w:t>
            </w:r>
            <w:r w:rsidRPr="00E42A49">
              <w:rPr>
                <w:bCs/>
                <w:szCs w:val="22"/>
                <w:lang w:val="en-GB"/>
              </w:rPr>
              <w:t>including tumour lysis syndrome</w:t>
            </w:r>
          </w:p>
        </w:tc>
        <w:tc>
          <w:tcPr>
            <w:tcW w:w="7200" w:type="dxa"/>
            <w:shd w:val="clear" w:color="auto" w:fill="auto"/>
          </w:tcPr>
          <w:p w14:paraId="2419C726" w14:textId="1B2B626B" w:rsidR="00C85970" w:rsidRPr="00E42A49" w:rsidRDefault="00C85970" w:rsidP="00D14FA7">
            <w:pPr>
              <w:pStyle w:val="C-TableText"/>
              <w:numPr>
                <w:ilvl w:val="0"/>
                <w:numId w:val="43"/>
              </w:numPr>
              <w:spacing w:before="40" w:after="40"/>
              <w:rPr>
                <w:szCs w:val="22"/>
              </w:rPr>
            </w:pPr>
            <w:r w:rsidRPr="00E42A49">
              <w:rPr>
                <w:szCs w:val="22"/>
              </w:rPr>
              <w:t xml:space="preserve">Interrupt </w:t>
            </w:r>
            <w:r w:rsidR="00ED0E97" w:rsidRPr="00E42A49">
              <w:rPr>
                <w:szCs w:val="22"/>
                <w:lang w:val="en-GB"/>
              </w:rPr>
              <w:t>Idhifa</w:t>
            </w:r>
            <w:r w:rsidR="00ED0E97" w:rsidRPr="00E42A49">
              <w:rPr>
                <w:szCs w:val="22"/>
              </w:rPr>
              <w:t xml:space="preserve"> </w:t>
            </w:r>
            <w:r w:rsidRPr="00E42A49">
              <w:rPr>
                <w:szCs w:val="22"/>
              </w:rPr>
              <w:t>until toxicity resolves to Grade 2* or lower.</w:t>
            </w:r>
          </w:p>
          <w:p w14:paraId="0BF9CA36" w14:textId="126DB78D" w:rsidR="00C85970" w:rsidRPr="00E42A49" w:rsidRDefault="00C85970" w:rsidP="00D14FA7">
            <w:pPr>
              <w:pStyle w:val="C-TableText"/>
              <w:numPr>
                <w:ilvl w:val="0"/>
                <w:numId w:val="43"/>
              </w:numPr>
              <w:spacing w:before="40" w:after="40"/>
              <w:rPr>
                <w:szCs w:val="22"/>
              </w:rPr>
            </w:pPr>
            <w:r w:rsidRPr="00E42A49">
              <w:rPr>
                <w:szCs w:val="22"/>
              </w:rPr>
              <w:t xml:space="preserve">Resume </w:t>
            </w:r>
            <w:r w:rsidR="00ED0E97" w:rsidRPr="00E42A49">
              <w:rPr>
                <w:szCs w:val="22"/>
                <w:lang w:val="en-GB"/>
              </w:rPr>
              <w:t>Idhifa</w:t>
            </w:r>
            <w:r w:rsidRPr="00E42A49">
              <w:rPr>
                <w:szCs w:val="22"/>
              </w:rPr>
              <w:t xml:space="preserve"> at 50 mg daily; may increase to 100 mg daily if toxicities resolve to Grade 1* or lower.</w:t>
            </w:r>
          </w:p>
          <w:p w14:paraId="08CF1F16" w14:textId="23FD828F" w:rsidR="00C85970" w:rsidRPr="00E42A49" w:rsidRDefault="00C85970" w:rsidP="00D14FA7">
            <w:pPr>
              <w:pStyle w:val="C-TableText"/>
              <w:numPr>
                <w:ilvl w:val="0"/>
                <w:numId w:val="43"/>
              </w:numPr>
              <w:spacing w:before="40" w:after="40"/>
              <w:rPr>
                <w:szCs w:val="22"/>
              </w:rPr>
            </w:pPr>
            <w:r w:rsidRPr="00E42A49">
              <w:rPr>
                <w:szCs w:val="22"/>
              </w:rPr>
              <w:t xml:space="preserve">If Grade 3* or higher toxicity recurs, discontinue </w:t>
            </w:r>
            <w:r w:rsidR="00ED0E97" w:rsidRPr="00E42A49">
              <w:rPr>
                <w:szCs w:val="22"/>
                <w:lang w:val="en-GB"/>
              </w:rPr>
              <w:t>Idhifa</w:t>
            </w:r>
            <w:r w:rsidRPr="00E42A49">
              <w:rPr>
                <w:szCs w:val="22"/>
              </w:rPr>
              <w:t>.</w:t>
            </w:r>
          </w:p>
        </w:tc>
      </w:tr>
    </w:tbl>
    <w:p w14:paraId="4442532A" w14:textId="77777777" w:rsidR="00485C0D" w:rsidRPr="00E42A49" w:rsidRDefault="005B0907" w:rsidP="00FD1A78">
      <w:pPr>
        <w:spacing w:after="0"/>
        <w:rPr>
          <w:lang w:val="en-GB"/>
        </w:rPr>
      </w:pPr>
      <w:r w:rsidRPr="00E42A49">
        <w:rPr>
          <w:sz w:val="18"/>
          <w:szCs w:val="18"/>
          <w:lang w:val="en-GB"/>
        </w:rPr>
        <w:t>* Grade 1 is mild, Grade 2 is moderate, Grade 3 is serious, Grade 4 is life threatening</w:t>
      </w:r>
      <w:r w:rsidRPr="00E42A49">
        <w:rPr>
          <w:lang w:val="en-GB"/>
        </w:rPr>
        <w:t>.</w:t>
      </w:r>
    </w:p>
    <w:p w14:paraId="709BD79E" w14:textId="77777777" w:rsidR="00AF7E1B" w:rsidRPr="00E42A49" w:rsidRDefault="00AF7E1B" w:rsidP="00FD1A78">
      <w:pPr>
        <w:spacing w:after="0" w:line="240" w:lineRule="auto"/>
      </w:pPr>
    </w:p>
    <w:p w14:paraId="441F754A" w14:textId="77777777" w:rsidR="006F2777" w:rsidRPr="00E42A49" w:rsidRDefault="006F2777" w:rsidP="006F2777">
      <w:pPr>
        <w:pStyle w:val="C-BodyText"/>
        <w:spacing w:before="0" w:after="0"/>
        <w:rPr>
          <w:sz w:val="22"/>
          <w:szCs w:val="22"/>
          <w:u w:val="single"/>
        </w:rPr>
      </w:pPr>
      <w:r w:rsidRPr="00E42A49">
        <w:rPr>
          <w:sz w:val="22"/>
          <w:szCs w:val="22"/>
          <w:u w:val="single"/>
        </w:rPr>
        <w:t>Special populations</w:t>
      </w:r>
    </w:p>
    <w:p w14:paraId="25ABB605" w14:textId="77777777" w:rsidR="00AF7E1B" w:rsidRPr="00E42A49" w:rsidRDefault="00AF7E1B" w:rsidP="00FD1A78">
      <w:pPr>
        <w:spacing w:after="0" w:line="240" w:lineRule="auto"/>
      </w:pPr>
    </w:p>
    <w:p w14:paraId="020192B6" w14:textId="77777777" w:rsidR="006F2777" w:rsidRPr="00E42A49" w:rsidRDefault="006F2777" w:rsidP="00C85A54">
      <w:pPr>
        <w:pStyle w:val="C-BodyText"/>
        <w:spacing w:before="0" w:line="240" w:lineRule="auto"/>
        <w:rPr>
          <w:i/>
          <w:sz w:val="22"/>
          <w:szCs w:val="22"/>
        </w:rPr>
      </w:pPr>
      <w:r w:rsidRPr="00E42A49">
        <w:rPr>
          <w:i/>
          <w:sz w:val="22"/>
          <w:szCs w:val="22"/>
        </w:rPr>
        <w:t>Elderly</w:t>
      </w:r>
    </w:p>
    <w:p w14:paraId="1165F7C2" w14:textId="756A447A" w:rsidR="006F2777" w:rsidRPr="00E42A49" w:rsidRDefault="006F2777" w:rsidP="00707461">
      <w:pPr>
        <w:pStyle w:val="C-BodyText"/>
        <w:spacing w:before="0" w:after="0" w:line="240" w:lineRule="auto"/>
        <w:rPr>
          <w:sz w:val="22"/>
          <w:szCs w:val="22"/>
        </w:rPr>
      </w:pPr>
      <w:r w:rsidRPr="00E42A49">
        <w:rPr>
          <w:sz w:val="22"/>
          <w:szCs w:val="22"/>
        </w:rPr>
        <w:t xml:space="preserve">No dosage adjustment is required for </w:t>
      </w:r>
      <w:r w:rsidR="00ED0E97" w:rsidRPr="00E42A49">
        <w:rPr>
          <w:sz w:val="22"/>
          <w:szCs w:val="22"/>
          <w:lang w:val="en-GB"/>
        </w:rPr>
        <w:t>Idhifa</w:t>
      </w:r>
      <w:r w:rsidR="008B623F" w:rsidRPr="00E42A49">
        <w:rPr>
          <w:sz w:val="22"/>
          <w:szCs w:val="22"/>
        </w:rPr>
        <w:t xml:space="preserve"> based on age</w:t>
      </w:r>
      <w:r w:rsidRPr="00E42A49">
        <w:rPr>
          <w:sz w:val="22"/>
          <w:szCs w:val="22"/>
        </w:rPr>
        <w:t>.  In the clinical study AG221-C-001, 60.3 % of 214 patients with relapsed or refractory AML with an IDH2 mutation were 65 years of age or older, while 23.8 % were 75 years of age or older.  No overall differences in efficacy or safety were observed between patients aged 75 years or older, aged 65 years or older or younger patients.</w:t>
      </w:r>
    </w:p>
    <w:p w14:paraId="4772ADC4" w14:textId="77777777" w:rsidR="00AF7E1B" w:rsidRPr="00E42A49" w:rsidRDefault="00AF7E1B" w:rsidP="00FD1A78">
      <w:pPr>
        <w:spacing w:after="0" w:line="240" w:lineRule="auto"/>
      </w:pPr>
    </w:p>
    <w:p w14:paraId="6687537E" w14:textId="15810AC7" w:rsidR="006F2777" w:rsidRPr="00E42A49" w:rsidRDefault="006F2777" w:rsidP="004F1ED1">
      <w:pPr>
        <w:pStyle w:val="C-BodyText"/>
        <w:pageBreakBefore/>
        <w:spacing w:before="0" w:after="0"/>
        <w:rPr>
          <w:i/>
          <w:sz w:val="22"/>
          <w:szCs w:val="22"/>
        </w:rPr>
      </w:pPr>
      <w:r w:rsidRPr="00E42A49">
        <w:rPr>
          <w:i/>
          <w:sz w:val="22"/>
          <w:szCs w:val="22"/>
        </w:rPr>
        <w:lastRenderedPageBreak/>
        <w:t>Hepatic impairment</w:t>
      </w:r>
    </w:p>
    <w:p w14:paraId="063B75ED" w14:textId="790AD4B2" w:rsidR="006F2777" w:rsidRPr="00E42A49" w:rsidRDefault="00707461" w:rsidP="00707461">
      <w:pPr>
        <w:pStyle w:val="C-BodyText"/>
        <w:spacing w:after="0" w:line="240" w:lineRule="auto"/>
        <w:rPr>
          <w:sz w:val="22"/>
          <w:szCs w:val="22"/>
          <w:lang w:val="en-AU"/>
        </w:rPr>
      </w:pPr>
      <w:r w:rsidRPr="00E42A49">
        <w:rPr>
          <w:sz w:val="22"/>
          <w:szCs w:val="22"/>
          <w:lang w:val="en-AU"/>
        </w:rPr>
        <w:t>Idhifa</w:t>
      </w:r>
      <w:r w:rsidR="00332D05" w:rsidRPr="00E42A49">
        <w:rPr>
          <w:sz w:val="22"/>
          <w:szCs w:val="22"/>
          <w:lang w:val="en-AU"/>
        </w:rPr>
        <w:t xml:space="preserve"> has not been formally studied in patients with moderately or severely impaired hepatic function and there are no specific dose recommendations.</w:t>
      </w:r>
    </w:p>
    <w:p w14:paraId="6704B71D" w14:textId="77777777" w:rsidR="00AF7E1B" w:rsidRPr="00E42A49" w:rsidRDefault="00AF7E1B" w:rsidP="00FD1A78">
      <w:pPr>
        <w:spacing w:after="0" w:line="240" w:lineRule="auto"/>
      </w:pPr>
    </w:p>
    <w:p w14:paraId="3227CBC2" w14:textId="77777777" w:rsidR="006F2777" w:rsidRPr="00E42A49" w:rsidRDefault="006F2777" w:rsidP="00C85A54">
      <w:pPr>
        <w:pStyle w:val="C-BodyText"/>
        <w:spacing w:before="0" w:after="0"/>
        <w:rPr>
          <w:i/>
          <w:sz w:val="22"/>
          <w:szCs w:val="22"/>
        </w:rPr>
      </w:pPr>
      <w:r w:rsidRPr="00E42A49">
        <w:rPr>
          <w:i/>
          <w:sz w:val="22"/>
          <w:szCs w:val="22"/>
        </w:rPr>
        <w:t>Renal impairment</w:t>
      </w:r>
    </w:p>
    <w:p w14:paraId="3BC08FF8" w14:textId="73D51EC5" w:rsidR="006F2777" w:rsidRPr="00E42A49" w:rsidRDefault="00181B77" w:rsidP="00C85A54">
      <w:pPr>
        <w:pStyle w:val="C-BodyText"/>
        <w:spacing w:after="0"/>
        <w:rPr>
          <w:sz w:val="22"/>
          <w:szCs w:val="22"/>
        </w:rPr>
      </w:pPr>
      <w:r w:rsidRPr="00E42A49">
        <w:rPr>
          <w:sz w:val="22"/>
          <w:szCs w:val="22"/>
          <w:lang w:val="en-GB"/>
        </w:rPr>
        <w:t>Idhifa</w:t>
      </w:r>
      <w:r w:rsidRPr="00E42A49">
        <w:rPr>
          <w:sz w:val="22"/>
          <w:szCs w:val="22"/>
        </w:rPr>
        <w:t xml:space="preserve"> has not been studied in patients with renal impairment</w:t>
      </w:r>
      <w:r w:rsidR="006F2777" w:rsidRPr="00E42A49">
        <w:rPr>
          <w:sz w:val="22"/>
          <w:szCs w:val="22"/>
        </w:rPr>
        <w:t xml:space="preserve">.  Based on a population pharmacokinetic analysis, no dose adjustments are required for </w:t>
      </w:r>
      <w:r w:rsidR="00EF6A9C" w:rsidRPr="00E42A49">
        <w:rPr>
          <w:sz w:val="22"/>
          <w:szCs w:val="22"/>
        </w:rPr>
        <w:t>patients with renal impairment [creatinine clearance (</w:t>
      </w:r>
      <w:proofErr w:type="spellStart"/>
      <w:r w:rsidR="00EF6A9C" w:rsidRPr="00E42A49">
        <w:rPr>
          <w:sz w:val="22"/>
          <w:szCs w:val="22"/>
        </w:rPr>
        <w:t>CrCl</w:t>
      </w:r>
      <w:proofErr w:type="spellEnd"/>
      <w:r w:rsidR="00EF6A9C" w:rsidRPr="00E42A49">
        <w:rPr>
          <w:sz w:val="22"/>
          <w:szCs w:val="22"/>
        </w:rPr>
        <w:t>) &gt; 30 ml</w:t>
      </w:r>
      <w:r w:rsidR="00654573" w:rsidRPr="00E42A49">
        <w:rPr>
          <w:sz w:val="22"/>
          <w:szCs w:val="22"/>
        </w:rPr>
        <w:t xml:space="preserve"> </w:t>
      </w:r>
      <w:r w:rsidR="00EF6A9C" w:rsidRPr="00E42A49">
        <w:rPr>
          <w:sz w:val="22"/>
          <w:szCs w:val="22"/>
        </w:rPr>
        <w:t>/</w:t>
      </w:r>
      <w:r w:rsidR="00654573" w:rsidRPr="00E42A49">
        <w:rPr>
          <w:sz w:val="22"/>
          <w:szCs w:val="22"/>
        </w:rPr>
        <w:t xml:space="preserve"> </w:t>
      </w:r>
      <w:r w:rsidR="00EF6A9C" w:rsidRPr="00E42A49">
        <w:rPr>
          <w:sz w:val="22"/>
          <w:szCs w:val="22"/>
        </w:rPr>
        <w:t>min]</w:t>
      </w:r>
      <w:r w:rsidR="006F2777" w:rsidRPr="00E42A49">
        <w:rPr>
          <w:sz w:val="22"/>
          <w:szCs w:val="22"/>
        </w:rPr>
        <w:t xml:space="preserve">.  There is not enough data to draw a conclusion for patients with </w:t>
      </w:r>
      <w:proofErr w:type="spellStart"/>
      <w:r w:rsidR="006F2777" w:rsidRPr="00E42A49">
        <w:rPr>
          <w:sz w:val="22"/>
          <w:szCs w:val="22"/>
        </w:rPr>
        <w:t>CrCl</w:t>
      </w:r>
      <w:proofErr w:type="spellEnd"/>
      <w:r w:rsidR="006F2777" w:rsidRPr="00E42A49">
        <w:rPr>
          <w:sz w:val="22"/>
          <w:szCs w:val="22"/>
        </w:rPr>
        <w:t xml:space="preserve"> b</w:t>
      </w:r>
      <w:r w:rsidR="00EF6A9C" w:rsidRPr="00E42A49">
        <w:rPr>
          <w:sz w:val="22"/>
          <w:szCs w:val="22"/>
        </w:rPr>
        <w:t>elow 30 ml</w:t>
      </w:r>
      <w:r w:rsidR="00AE33BF" w:rsidRPr="00E42A49">
        <w:rPr>
          <w:sz w:val="22"/>
          <w:szCs w:val="22"/>
        </w:rPr>
        <w:t xml:space="preserve"> </w:t>
      </w:r>
      <w:r w:rsidR="00EF6A9C" w:rsidRPr="00E42A49">
        <w:rPr>
          <w:sz w:val="22"/>
          <w:szCs w:val="22"/>
        </w:rPr>
        <w:t>/</w:t>
      </w:r>
      <w:r w:rsidR="00AE33BF" w:rsidRPr="00E42A49">
        <w:rPr>
          <w:sz w:val="22"/>
          <w:szCs w:val="22"/>
        </w:rPr>
        <w:t xml:space="preserve"> </w:t>
      </w:r>
      <w:r w:rsidR="00EF6A9C" w:rsidRPr="00E42A49">
        <w:rPr>
          <w:sz w:val="22"/>
          <w:szCs w:val="22"/>
        </w:rPr>
        <w:t>min</w:t>
      </w:r>
      <w:r w:rsidR="006F2777" w:rsidRPr="00E42A49">
        <w:rPr>
          <w:sz w:val="22"/>
          <w:szCs w:val="22"/>
        </w:rPr>
        <w:t>.</w:t>
      </w:r>
    </w:p>
    <w:p w14:paraId="3AF1CA26" w14:textId="77777777" w:rsidR="00AF7E1B" w:rsidRPr="00E42A49" w:rsidRDefault="00AF7E1B" w:rsidP="00FD1A78">
      <w:pPr>
        <w:spacing w:after="0" w:line="240" w:lineRule="auto"/>
      </w:pPr>
    </w:p>
    <w:p w14:paraId="2A9FE262" w14:textId="77777777" w:rsidR="006F2777" w:rsidRPr="00E42A49" w:rsidRDefault="006F2777" w:rsidP="00C85A54">
      <w:pPr>
        <w:pStyle w:val="C-BodyText"/>
        <w:spacing w:before="0" w:after="0"/>
        <w:rPr>
          <w:i/>
          <w:sz w:val="22"/>
          <w:szCs w:val="22"/>
        </w:rPr>
      </w:pPr>
      <w:proofErr w:type="spellStart"/>
      <w:r w:rsidRPr="00E42A49">
        <w:rPr>
          <w:i/>
          <w:sz w:val="22"/>
          <w:szCs w:val="22"/>
        </w:rPr>
        <w:t>Paediatric</w:t>
      </w:r>
      <w:proofErr w:type="spellEnd"/>
      <w:r w:rsidRPr="00E42A49">
        <w:rPr>
          <w:i/>
          <w:sz w:val="22"/>
          <w:szCs w:val="22"/>
        </w:rPr>
        <w:t xml:space="preserve"> population</w:t>
      </w:r>
    </w:p>
    <w:p w14:paraId="24DAB125" w14:textId="631F03B2" w:rsidR="00EB3673" w:rsidRPr="00E42A49" w:rsidRDefault="006F2777" w:rsidP="000A6372">
      <w:pPr>
        <w:pStyle w:val="C-BodyText"/>
        <w:spacing w:after="0"/>
        <w:rPr>
          <w:sz w:val="22"/>
          <w:szCs w:val="22"/>
        </w:rPr>
      </w:pPr>
      <w:r w:rsidRPr="00E42A49">
        <w:rPr>
          <w:sz w:val="22"/>
          <w:szCs w:val="22"/>
        </w:rPr>
        <w:t xml:space="preserve">The safety and efficacy of </w:t>
      </w:r>
      <w:r w:rsidR="00ED0E97" w:rsidRPr="00E42A49">
        <w:rPr>
          <w:sz w:val="22"/>
          <w:szCs w:val="22"/>
          <w:lang w:val="en-GB"/>
        </w:rPr>
        <w:t>Idhifa</w:t>
      </w:r>
      <w:r w:rsidRPr="00E42A49">
        <w:rPr>
          <w:sz w:val="22"/>
          <w:szCs w:val="22"/>
        </w:rPr>
        <w:t xml:space="preserve"> in </w:t>
      </w:r>
      <w:r w:rsidR="00EF6A9C" w:rsidRPr="00E42A49">
        <w:rPr>
          <w:sz w:val="22"/>
          <w:szCs w:val="22"/>
        </w:rPr>
        <w:t>patients under</w:t>
      </w:r>
      <w:r w:rsidRPr="00E42A49">
        <w:rPr>
          <w:sz w:val="22"/>
          <w:szCs w:val="22"/>
        </w:rPr>
        <w:t xml:space="preserve"> 18 </w:t>
      </w:r>
      <w:r w:rsidR="00EF6A9C" w:rsidRPr="00E42A49">
        <w:rPr>
          <w:sz w:val="22"/>
          <w:szCs w:val="22"/>
        </w:rPr>
        <w:t>years of age has</w:t>
      </w:r>
      <w:r w:rsidRPr="00E42A49">
        <w:rPr>
          <w:sz w:val="22"/>
          <w:szCs w:val="22"/>
        </w:rPr>
        <w:t xml:space="preserve"> not been established. </w:t>
      </w:r>
    </w:p>
    <w:p w14:paraId="74CAA624" w14:textId="77777777" w:rsidR="009D056A" w:rsidRPr="00E42A49" w:rsidRDefault="009D056A" w:rsidP="000A6372">
      <w:pPr>
        <w:pStyle w:val="C-Heading2"/>
        <w:rPr>
          <w:caps/>
          <w:sz w:val="24"/>
          <w:szCs w:val="24"/>
        </w:rPr>
      </w:pPr>
      <w:r w:rsidRPr="00E42A49">
        <w:rPr>
          <w:caps/>
          <w:sz w:val="24"/>
          <w:szCs w:val="24"/>
        </w:rPr>
        <w:t>Contraindications</w:t>
      </w:r>
    </w:p>
    <w:p w14:paraId="51C2AD1E" w14:textId="37DDA24D" w:rsidR="006F2777" w:rsidRPr="00E42A49" w:rsidRDefault="006F2777" w:rsidP="000A6372">
      <w:pPr>
        <w:pStyle w:val="C-BodyText"/>
        <w:spacing w:after="0"/>
      </w:pPr>
      <w:r w:rsidRPr="00E42A49">
        <w:rPr>
          <w:color w:val="000000"/>
          <w:sz w:val="22"/>
          <w:szCs w:val="22"/>
          <w:lang w:val="en-GB"/>
        </w:rPr>
        <w:t xml:space="preserve">Hypersensitivity to </w:t>
      </w:r>
      <w:proofErr w:type="spellStart"/>
      <w:r w:rsidRPr="00E42A49">
        <w:rPr>
          <w:color w:val="000000"/>
          <w:sz w:val="22"/>
          <w:szCs w:val="22"/>
          <w:lang w:val="en-GB"/>
        </w:rPr>
        <w:t>enasidenib</w:t>
      </w:r>
      <w:proofErr w:type="spellEnd"/>
      <w:r w:rsidRPr="00E42A49">
        <w:rPr>
          <w:color w:val="000000"/>
          <w:sz w:val="22"/>
          <w:szCs w:val="22"/>
          <w:lang w:val="en-GB"/>
        </w:rPr>
        <w:t xml:space="preserve"> or to any of the excipients listed in section 6.1</w:t>
      </w:r>
    </w:p>
    <w:p w14:paraId="34783629" w14:textId="77777777" w:rsidR="006F2777" w:rsidRPr="00E42A49" w:rsidRDefault="006F2777" w:rsidP="000A6372">
      <w:pPr>
        <w:pStyle w:val="C-Heading2"/>
        <w:rPr>
          <w:caps/>
          <w:sz w:val="24"/>
          <w:szCs w:val="24"/>
        </w:rPr>
      </w:pPr>
      <w:r w:rsidRPr="00E42A49">
        <w:rPr>
          <w:caps/>
          <w:sz w:val="24"/>
          <w:szCs w:val="24"/>
        </w:rPr>
        <w:t>Special warnings and precautions for use</w:t>
      </w:r>
    </w:p>
    <w:p w14:paraId="02C289B5" w14:textId="77777777" w:rsidR="006F2777" w:rsidRPr="00E42A49" w:rsidRDefault="006F2777" w:rsidP="006F2777">
      <w:pPr>
        <w:pStyle w:val="C-Heading3"/>
        <w:rPr>
          <w:color w:val="000000"/>
          <w:sz w:val="22"/>
          <w:szCs w:val="22"/>
          <w:lang w:val="en-GB"/>
        </w:rPr>
      </w:pPr>
      <w:r w:rsidRPr="00E42A49">
        <w:rPr>
          <w:color w:val="000000"/>
          <w:sz w:val="22"/>
          <w:szCs w:val="22"/>
          <w:lang w:val="en-GB"/>
        </w:rPr>
        <w:t>Differentiation Syndrome</w:t>
      </w:r>
    </w:p>
    <w:p w14:paraId="7C298AD0" w14:textId="49D752DE" w:rsidR="006F2777" w:rsidRPr="00E42A49" w:rsidRDefault="006F2777" w:rsidP="00FD1A78">
      <w:pPr>
        <w:spacing w:before="120" w:after="0"/>
        <w:rPr>
          <w:lang w:val="en-GB"/>
        </w:rPr>
      </w:pPr>
      <w:r w:rsidRPr="00E42A49">
        <w:rPr>
          <w:lang w:val="en-GB"/>
        </w:rPr>
        <w:t xml:space="preserve">In the clinical trial AG221-C-001, 12.6 % of patients treated with </w:t>
      </w:r>
      <w:r w:rsidR="00ED0E97" w:rsidRPr="00E42A49">
        <w:rPr>
          <w:lang w:val="en-GB"/>
        </w:rPr>
        <w:t>Idhifa</w:t>
      </w:r>
      <w:r w:rsidRPr="00E42A49">
        <w:rPr>
          <w:lang w:val="en-GB"/>
        </w:rPr>
        <w:t xml:space="preserve"> experienced differentiation syndrome, which may be life</w:t>
      </w:r>
      <w:r w:rsidRPr="00E42A49">
        <w:rPr>
          <w:lang w:val="en-GB"/>
        </w:rPr>
        <w:noBreakHyphen/>
        <w:t xml:space="preserve">threatening or fatal if not treated. </w:t>
      </w:r>
      <w:r w:rsidR="00685C37" w:rsidRPr="00E42A49">
        <w:rPr>
          <w:lang w:val="en-GB"/>
        </w:rPr>
        <w:t xml:space="preserve"> </w:t>
      </w:r>
      <w:r w:rsidRPr="00E42A49">
        <w:rPr>
          <w:lang w:val="en-GB"/>
        </w:rPr>
        <w:t xml:space="preserve">Differentiation syndrome is associated with rapid proliferation and differentiation of myeloid cells. </w:t>
      </w:r>
      <w:r w:rsidR="00685C37" w:rsidRPr="00E42A49">
        <w:rPr>
          <w:lang w:val="en-GB"/>
        </w:rPr>
        <w:t xml:space="preserve"> </w:t>
      </w:r>
      <w:r w:rsidRPr="00E42A49">
        <w:rPr>
          <w:lang w:val="en-GB"/>
        </w:rPr>
        <w:t>While there is no diagnostic test for differentiation syndrome, symptoms reported by more than 50 % of patients included acute respiratory distress represented by dyspnoea and</w:t>
      </w:r>
      <w:r w:rsidR="00AE33BF" w:rsidRPr="00E42A49">
        <w:rPr>
          <w:lang w:val="en-GB"/>
        </w:rPr>
        <w:t xml:space="preserve"> </w:t>
      </w:r>
      <w:r w:rsidRPr="00E42A49">
        <w:rPr>
          <w:lang w:val="en-GB"/>
        </w:rPr>
        <w:t>/</w:t>
      </w:r>
      <w:r w:rsidR="00AE33BF" w:rsidRPr="00E42A49">
        <w:rPr>
          <w:lang w:val="en-GB"/>
        </w:rPr>
        <w:t xml:space="preserve"> </w:t>
      </w:r>
      <w:r w:rsidRPr="00E42A49">
        <w:rPr>
          <w:lang w:val="en-GB"/>
        </w:rPr>
        <w:t xml:space="preserve">or hypoxia and need for supplemental oxygen, fever, pulmonary infiltrates, and renal impairment. </w:t>
      </w:r>
      <w:r w:rsidR="00685C37" w:rsidRPr="00E42A49">
        <w:rPr>
          <w:lang w:val="en-GB"/>
        </w:rPr>
        <w:t xml:space="preserve"> </w:t>
      </w:r>
      <w:r w:rsidRPr="00E42A49">
        <w:rPr>
          <w:lang w:val="en-GB"/>
        </w:rPr>
        <w:t xml:space="preserve">Less common symptoms may include pleural effusion, lymphadenopathy, bone pain, peripheral oedema with rapid weight gain, and pericardial effusion. </w:t>
      </w:r>
      <w:r w:rsidR="00685C37" w:rsidRPr="00E42A49">
        <w:rPr>
          <w:lang w:val="en-GB"/>
        </w:rPr>
        <w:t xml:space="preserve"> </w:t>
      </w:r>
      <w:r w:rsidR="000537E2" w:rsidRPr="00E42A49">
        <w:rPr>
          <w:lang w:val="en-GB"/>
        </w:rPr>
        <w:t>Alanine</w:t>
      </w:r>
      <w:r w:rsidR="004F2272" w:rsidRPr="00E42A49">
        <w:rPr>
          <w:lang w:val="en-GB"/>
        </w:rPr>
        <w:t xml:space="preserve"> aminotransferase</w:t>
      </w:r>
      <w:r w:rsidRPr="00E42A49">
        <w:rPr>
          <w:lang w:val="en-GB"/>
        </w:rPr>
        <w:t xml:space="preserve"> </w:t>
      </w:r>
      <w:r w:rsidR="004F2272" w:rsidRPr="00E42A49">
        <w:rPr>
          <w:lang w:val="en-GB"/>
        </w:rPr>
        <w:t>(</w:t>
      </w:r>
      <w:r w:rsidR="000537E2" w:rsidRPr="00E42A49">
        <w:rPr>
          <w:lang w:val="en-GB"/>
        </w:rPr>
        <w:t>ALT)</w:t>
      </w:r>
      <w:r w:rsidR="004F2272" w:rsidRPr="00E42A49">
        <w:rPr>
          <w:lang w:val="en-GB"/>
        </w:rPr>
        <w:t xml:space="preserve"> </w:t>
      </w:r>
      <w:r w:rsidRPr="00E42A49">
        <w:rPr>
          <w:lang w:val="en-GB"/>
        </w:rPr>
        <w:t xml:space="preserve">or </w:t>
      </w:r>
      <w:r w:rsidR="004F2272" w:rsidRPr="00E42A49">
        <w:rPr>
          <w:lang w:val="en-GB"/>
        </w:rPr>
        <w:t>aspartate aminotransferase (</w:t>
      </w:r>
      <w:r w:rsidRPr="00E42A49">
        <w:rPr>
          <w:lang w:val="en-GB"/>
        </w:rPr>
        <w:t>AST</w:t>
      </w:r>
      <w:r w:rsidR="004F2272" w:rsidRPr="00E42A49">
        <w:rPr>
          <w:lang w:val="en-GB"/>
        </w:rPr>
        <w:t>)</w:t>
      </w:r>
      <w:r w:rsidRPr="00E42A49">
        <w:rPr>
          <w:lang w:val="en-GB"/>
        </w:rPr>
        <w:t xml:space="preserve"> elevation has been observed.</w:t>
      </w:r>
    </w:p>
    <w:p w14:paraId="19E3B330" w14:textId="77777777" w:rsidR="00AF7E1B" w:rsidRPr="00E42A49" w:rsidRDefault="00AF7E1B" w:rsidP="00FD1A78">
      <w:pPr>
        <w:spacing w:after="0" w:line="240" w:lineRule="auto"/>
      </w:pPr>
      <w:bookmarkStart w:id="6" w:name="_Hlk19020382"/>
    </w:p>
    <w:p w14:paraId="27A9AEC6" w14:textId="3BD67269" w:rsidR="006F2777" w:rsidRPr="00E42A49" w:rsidRDefault="006F2777" w:rsidP="00FD1A78">
      <w:pPr>
        <w:spacing w:after="0"/>
      </w:pPr>
      <w:r w:rsidRPr="00E42A49">
        <w:t>Differentiation syndrome</w:t>
      </w:r>
      <w:r w:rsidRPr="00E42A49" w:rsidDel="000744E7">
        <w:t xml:space="preserve"> </w:t>
      </w:r>
      <w:r w:rsidRPr="00E42A49">
        <w:t xml:space="preserve">has been observed with and without concomitant </w:t>
      </w:r>
      <w:proofErr w:type="spellStart"/>
      <w:r w:rsidRPr="00E42A49">
        <w:t>hyperleukocytosis</w:t>
      </w:r>
      <w:proofErr w:type="spellEnd"/>
      <w:r w:rsidRPr="00E42A49">
        <w:t xml:space="preserve">, and as early as 1 day and up to 5 months after </w:t>
      </w:r>
      <w:r w:rsidR="00ED0E97" w:rsidRPr="00E42A49">
        <w:rPr>
          <w:lang w:val="en-GB"/>
        </w:rPr>
        <w:t>Idhifa</w:t>
      </w:r>
      <w:r w:rsidRPr="00E42A49">
        <w:t xml:space="preserve"> initiation.</w:t>
      </w:r>
    </w:p>
    <w:bookmarkEnd w:id="6"/>
    <w:p w14:paraId="4F5DE971" w14:textId="77777777" w:rsidR="00AF7E1B" w:rsidRPr="00E42A49" w:rsidRDefault="00AF7E1B" w:rsidP="00FD1A78">
      <w:pPr>
        <w:spacing w:after="0" w:line="240" w:lineRule="auto"/>
      </w:pPr>
    </w:p>
    <w:p w14:paraId="0363B941" w14:textId="1A2A7D60" w:rsidR="006F2777" w:rsidRPr="00E42A49" w:rsidRDefault="006F2777" w:rsidP="00FD1A78">
      <w:pPr>
        <w:spacing w:after="0"/>
      </w:pPr>
      <w:r w:rsidRPr="00E42A49">
        <w:t>If differentiation syndrome is suspected, promptly initiate oral or intravenous corticosteroids (e.g., dexamethasone 10 mg every 12 hours) and haemodynamic monitoring until improvement</w:t>
      </w:r>
      <w:r w:rsidR="004A43CC" w:rsidRPr="00E42A49">
        <w:t xml:space="preserve"> (see section 4.2.3 Dose Adjustments)</w:t>
      </w:r>
      <w:r w:rsidRPr="00E42A49">
        <w:t xml:space="preserve">. </w:t>
      </w:r>
      <w:r w:rsidR="00685C37" w:rsidRPr="00E42A49">
        <w:t xml:space="preserve"> </w:t>
      </w:r>
      <w:r w:rsidRPr="00E42A49">
        <w:t>Taper corticosteroids only after resolution of symptoms.</w:t>
      </w:r>
      <w:r w:rsidR="00685C37" w:rsidRPr="00E42A49">
        <w:t xml:space="preserve"> </w:t>
      </w:r>
      <w:r w:rsidRPr="00E42A49">
        <w:t xml:space="preserve"> Symptoms of differentiation syndrome may recur with premature discontinuation of corticosteroid treatment.</w:t>
      </w:r>
      <w:r w:rsidR="00685C37" w:rsidRPr="00E42A49">
        <w:t xml:space="preserve"> </w:t>
      </w:r>
      <w:r w:rsidRPr="00E42A49">
        <w:t xml:space="preserve"> If severe pulmonary symptoms requiring intubation or ventilator support, and</w:t>
      </w:r>
      <w:r w:rsidR="00AE33BF" w:rsidRPr="00E42A49">
        <w:t xml:space="preserve"> </w:t>
      </w:r>
      <w:r w:rsidRPr="00E42A49">
        <w:t>/</w:t>
      </w:r>
      <w:r w:rsidR="00AE33BF" w:rsidRPr="00E42A49">
        <w:t xml:space="preserve"> </w:t>
      </w:r>
      <w:r w:rsidRPr="00E42A49">
        <w:t xml:space="preserve">or renal dysfunction persist for more than 48 hours after initiation of corticosteroids, interrupt </w:t>
      </w:r>
      <w:r w:rsidR="00ED0E97" w:rsidRPr="00E42A49">
        <w:rPr>
          <w:lang w:val="en-GB"/>
        </w:rPr>
        <w:t>Idhifa</w:t>
      </w:r>
      <w:r w:rsidRPr="00E42A49">
        <w:t xml:space="preserve"> treatment until signs an</w:t>
      </w:r>
      <w:r w:rsidR="008B623F" w:rsidRPr="00E42A49">
        <w:t>d symptoms are no longer severe</w:t>
      </w:r>
      <w:r w:rsidRPr="00E42A49">
        <w:t>.</w:t>
      </w:r>
      <w:r w:rsidR="00685C37" w:rsidRPr="00E42A49">
        <w:t xml:space="preserve"> </w:t>
      </w:r>
      <w:r w:rsidRPr="00E42A49">
        <w:t xml:space="preserve"> Hospitalisation for close observation and monitoring of patients with pulmonary and</w:t>
      </w:r>
      <w:r w:rsidR="00AE33BF" w:rsidRPr="00E42A49">
        <w:t xml:space="preserve"> </w:t>
      </w:r>
      <w:r w:rsidRPr="00E42A49">
        <w:t>/</w:t>
      </w:r>
      <w:r w:rsidR="00AE33BF" w:rsidRPr="00E42A49">
        <w:t xml:space="preserve"> </w:t>
      </w:r>
      <w:r w:rsidRPr="00E42A49">
        <w:t>or renal manifestation is recommended.</w:t>
      </w:r>
    </w:p>
    <w:p w14:paraId="47047BF1" w14:textId="12139A68" w:rsidR="003A39C8" w:rsidRPr="00E42A49" w:rsidRDefault="003A39C8" w:rsidP="00FD1A78">
      <w:pPr>
        <w:spacing w:after="0"/>
      </w:pPr>
    </w:p>
    <w:p w14:paraId="417283F2" w14:textId="77777777" w:rsidR="004A43CC" w:rsidRPr="00E42A49" w:rsidRDefault="004A43CC" w:rsidP="002F2106">
      <w:pPr>
        <w:pStyle w:val="C-Heading3"/>
        <w:spacing w:before="0"/>
      </w:pPr>
      <w:r w:rsidRPr="00E42A49">
        <w:lastRenderedPageBreak/>
        <w:t>Noninfectious Leukocytosis</w:t>
      </w:r>
    </w:p>
    <w:p w14:paraId="613CA4F1" w14:textId="2B3243CE" w:rsidR="004A43CC" w:rsidRPr="00E42A49" w:rsidRDefault="004A43CC" w:rsidP="00FD1A78">
      <w:pPr>
        <w:pStyle w:val="C-BodyText"/>
        <w:spacing w:after="0" w:line="240" w:lineRule="auto"/>
        <w:rPr>
          <w:sz w:val="22"/>
          <w:szCs w:val="22"/>
        </w:rPr>
      </w:pPr>
      <w:r w:rsidRPr="00E42A49">
        <w:rPr>
          <w:sz w:val="22"/>
          <w:szCs w:val="22"/>
        </w:rPr>
        <w:t>IDHIFA can induce myeloid proliferation resulting in a rapid increase in white blood cell count without evidence of infection or clinical signs of differentiation syndrome.  In the pooled Phase 1/2 clinical trial, 13.6% of patients were reported with a treatment emergent adverse event</w:t>
      </w:r>
      <w:r w:rsidR="00EC1F98" w:rsidRPr="00E42A49">
        <w:rPr>
          <w:sz w:val="22"/>
          <w:szCs w:val="22"/>
        </w:rPr>
        <w:t xml:space="preserve"> of noninfectious leukocytosis</w:t>
      </w:r>
      <w:r w:rsidRPr="00E42A49">
        <w:rPr>
          <w:sz w:val="22"/>
          <w:szCs w:val="22"/>
        </w:rPr>
        <w:t xml:space="preserve">.  The majority of cases occurred within the first 3 months of treatment.  </w:t>
      </w:r>
    </w:p>
    <w:p w14:paraId="425FF3CD" w14:textId="0466709B" w:rsidR="0043077B" w:rsidRPr="00E42A49" w:rsidRDefault="0043077B" w:rsidP="00FD1A78">
      <w:pPr>
        <w:spacing w:before="120" w:after="0"/>
      </w:pPr>
      <w:r w:rsidRPr="00E42A49">
        <w:t xml:space="preserve">Non-infectious </w:t>
      </w:r>
      <w:proofErr w:type="spellStart"/>
      <w:r w:rsidRPr="00E42A49">
        <w:t>leukocytosis</w:t>
      </w:r>
      <w:proofErr w:type="spellEnd"/>
      <w:r w:rsidRPr="00E42A49">
        <w:t xml:space="preserve"> led to </w:t>
      </w:r>
      <w:r w:rsidR="005920B9" w:rsidRPr="00E42A49">
        <w:t>treatment</w:t>
      </w:r>
      <w:r w:rsidRPr="00E42A49">
        <w:t xml:space="preserve"> interruption in 1.9 % and treatment discontinuation in 0.9 % of patients.</w:t>
      </w:r>
      <w:r w:rsidR="005920B9" w:rsidRPr="00E42A49">
        <w:t xml:space="preserve">  No patients required dose reduction due to non-infectious </w:t>
      </w:r>
      <w:proofErr w:type="spellStart"/>
      <w:r w:rsidR="005920B9" w:rsidRPr="00E42A49">
        <w:t>leukocytosis</w:t>
      </w:r>
      <w:proofErr w:type="spellEnd"/>
      <w:r w:rsidR="005920B9" w:rsidRPr="00E42A49">
        <w:t>.</w:t>
      </w:r>
    </w:p>
    <w:p w14:paraId="6812B1EF" w14:textId="5D4C0C0B" w:rsidR="00B26857" w:rsidRPr="00E42A49" w:rsidRDefault="00A508A2" w:rsidP="00FD1A78">
      <w:pPr>
        <w:spacing w:before="120" w:after="0"/>
      </w:pPr>
      <w:r w:rsidRPr="00E42A49">
        <w:rPr>
          <w:lang w:val="en-GB"/>
        </w:rPr>
        <w:t>Monitor blood count levels at baseline and at a minimum of every 2 weeks for at least the first 3 months during treatment</w:t>
      </w:r>
      <w:r w:rsidR="00E61BAB" w:rsidRPr="00E42A49">
        <w:rPr>
          <w:lang w:val="en-GB"/>
        </w:rPr>
        <w:t xml:space="preserve">. </w:t>
      </w:r>
      <w:r w:rsidRPr="00E42A49">
        <w:rPr>
          <w:lang w:val="en-GB"/>
        </w:rPr>
        <w:t xml:space="preserve"> </w:t>
      </w:r>
      <w:r w:rsidR="004A43CC" w:rsidRPr="00E42A49">
        <w:t xml:space="preserve">If </w:t>
      </w:r>
      <w:proofErr w:type="spellStart"/>
      <w:r w:rsidR="004A43CC" w:rsidRPr="00E42A49">
        <w:t>noninfectious</w:t>
      </w:r>
      <w:proofErr w:type="spellEnd"/>
      <w:r w:rsidR="004A43CC" w:rsidRPr="00E42A49">
        <w:t xml:space="preserve"> </w:t>
      </w:r>
      <w:proofErr w:type="spellStart"/>
      <w:r w:rsidR="004A43CC" w:rsidRPr="00E42A49">
        <w:t>leukocytosis</w:t>
      </w:r>
      <w:proofErr w:type="spellEnd"/>
      <w:r w:rsidR="004A43CC" w:rsidRPr="00E42A49">
        <w:t xml:space="preserve"> is suspected, </w:t>
      </w:r>
      <w:r w:rsidR="004A43CC" w:rsidRPr="00E42A49">
        <w:rPr>
          <w:bCs/>
          <w:lang w:val="en-GB"/>
        </w:rPr>
        <w:t xml:space="preserve">initiate treatment with </w:t>
      </w:r>
      <w:proofErr w:type="spellStart"/>
      <w:r w:rsidR="004A43CC" w:rsidRPr="00E42A49">
        <w:rPr>
          <w:bCs/>
          <w:lang w:val="en-GB"/>
        </w:rPr>
        <w:t>hydroxyurea</w:t>
      </w:r>
      <w:proofErr w:type="spellEnd"/>
      <w:r w:rsidR="004A43CC" w:rsidRPr="00E42A49">
        <w:rPr>
          <w:bCs/>
          <w:lang w:val="en-GB"/>
        </w:rPr>
        <w:t>, as per standard institutional practices</w:t>
      </w:r>
      <w:r w:rsidR="00E61BAB" w:rsidRPr="00E42A49">
        <w:rPr>
          <w:bCs/>
          <w:lang w:val="en-GB"/>
        </w:rPr>
        <w:t xml:space="preserve"> </w:t>
      </w:r>
      <w:r w:rsidR="004A43CC" w:rsidRPr="00E42A49">
        <w:t>(see section 4.2.3 Dose Adjustments).</w:t>
      </w:r>
    </w:p>
    <w:p w14:paraId="4976F250" w14:textId="77777777" w:rsidR="00196C4A" w:rsidRPr="00E42A49" w:rsidRDefault="00196C4A" w:rsidP="00FD1A78">
      <w:pPr>
        <w:spacing w:after="0"/>
      </w:pPr>
    </w:p>
    <w:p w14:paraId="15488086" w14:textId="77777777" w:rsidR="002F2106" w:rsidRPr="00E42A49" w:rsidRDefault="002F2106" w:rsidP="002F2106">
      <w:pPr>
        <w:pStyle w:val="C-Heading3"/>
        <w:spacing w:before="0"/>
      </w:pPr>
      <w:r w:rsidRPr="00E42A49">
        <w:t>Tumor Lysis Syndrome</w:t>
      </w:r>
    </w:p>
    <w:p w14:paraId="6659D02C" w14:textId="0C2A3FFB" w:rsidR="00A508A2" w:rsidRPr="00E42A49" w:rsidRDefault="00E61BAB" w:rsidP="00FD1A78">
      <w:pPr>
        <w:pStyle w:val="C-BodyText"/>
        <w:spacing w:after="0" w:line="240" w:lineRule="auto"/>
        <w:rPr>
          <w:sz w:val="22"/>
          <w:szCs w:val="22"/>
        </w:rPr>
      </w:pPr>
      <w:r w:rsidRPr="00E42A49">
        <w:rPr>
          <w:sz w:val="22"/>
          <w:szCs w:val="22"/>
        </w:rPr>
        <w:t xml:space="preserve">Tumor lysis syndrome </w:t>
      </w:r>
      <w:r w:rsidR="005920B9" w:rsidRPr="00E42A49">
        <w:rPr>
          <w:sz w:val="22"/>
          <w:szCs w:val="22"/>
        </w:rPr>
        <w:t xml:space="preserve">(TLS) </w:t>
      </w:r>
      <w:r w:rsidRPr="00E42A49">
        <w:rPr>
          <w:sz w:val="22"/>
          <w:szCs w:val="22"/>
        </w:rPr>
        <w:t xml:space="preserve">can co-occur with differentiation syndrome.  Six percent (6%) of patients treated with Idhifa experienced tumor lysis syndrome, usually occurring within the first 3 months of treatment.  Signs and symptoms of tumor lysis included hyperuricemia and electrolyte abnormalities with or without serum creatinine elevation.  </w:t>
      </w:r>
    </w:p>
    <w:p w14:paraId="69AE4E94" w14:textId="5EEB8F81" w:rsidR="0043077B" w:rsidRPr="00E42A49" w:rsidRDefault="0043077B" w:rsidP="00FD1A78">
      <w:pPr>
        <w:spacing w:before="120" w:after="0"/>
      </w:pPr>
      <w:r w:rsidRPr="00E42A49">
        <w:t>TLS led to treatment discontinuation in 0.9% of patient</w:t>
      </w:r>
      <w:r w:rsidR="00F323E9" w:rsidRPr="00E42A49">
        <w:t>s</w:t>
      </w:r>
      <w:r w:rsidR="005920B9" w:rsidRPr="00E42A49">
        <w:t xml:space="preserve"> and treatment interruption in 0.5 %.  No patients required dose reduction due to TLS.</w:t>
      </w:r>
    </w:p>
    <w:p w14:paraId="112ECBA9" w14:textId="2244FB4A" w:rsidR="002F2106" w:rsidRPr="00E42A49" w:rsidRDefault="00A508A2" w:rsidP="00BF0354">
      <w:pPr>
        <w:pStyle w:val="C-BodyText"/>
        <w:spacing w:after="0" w:line="240" w:lineRule="auto"/>
        <w:rPr>
          <w:sz w:val="22"/>
          <w:szCs w:val="22"/>
        </w:rPr>
      </w:pPr>
      <w:r w:rsidRPr="00E42A49">
        <w:rPr>
          <w:sz w:val="22"/>
          <w:szCs w:val="22"/>
          <w:lang w:val="en-GB"/>
        </w:rPr>
        <w:t xml:space="preserve">Monitor blood count levels at baseline and at a minimum of every 2 weeks for at least the first 3 months during treatment.  </w:t>
      </w:r>
      <w:r w:rsidR="00E61BAB" w:rsidRPr="00E42A49">
        <w:rPr>
          <w:sz w:val="22"/>
          <w:szCs w:val="22"/>
        </w:rPr>
        <w:t xml:space="preserve">Signs and symptoms should be managed with adequate hydration and the use of </w:t>
      </w:r>
      <w:proofErr w:type="spellStart"/>
      <w:r w:rsidR="00E61BAB" w:rsidRPr="00E42A49">
        <w:rPr>
          <w:sz w:val="22"/>
          <w:szCs w:val="22"/>
        </w:rPr>
        <w:t>hypouricemic</w:t>
      </w:r>
      <w:proofErr w:type="spellEnd"/>
      <w:r w:rsidR="00E61BAB" w:rsidRPr="00E42A49">
        <w:rPr>
          <w:sz w:val="22"/>
          <w:szCs w:val="22"/>
        </w:rPr>
        <w:t xml:space="preserve"> agents (see section 4.2.3 Dose Adjustments).</w:t>
      </w:r>
    </w:p>
    <w:p w14:paraId="643EB3E4" w14:textId="319FE6B3" w:rsidR="002F2106" w:rsidRPr="00E42A49" w:rsidRDefault="002F2106" w:rsidP="00AF7E1B">
      <w:pPr>
        <w:pStyle w:val="C-BodyText"/>
        <w:spacing w:before="0" w:after="0" w:line="240" w:lineRule="auto"/>
      </w:pPr>
    </w:p>
    <w:p w14:paraId="64EB19E8" w14:textId="455559C5" w:rsidR="002F2106" w:rsidRPr="00E42A49" w:rsidRDefault="002F2106" w:rsidP="00BF0354">
      <w:pPr>
        <w:pStyle w:val="C-Heading3"/>
        <w:spacing w:before="0"/>
        <w:rPr>
          <w:sz w:val="22"/>
          <w:szCs w:val="22"/>
        </w:rPr>
      </w:pPr>
      <w:r w:rsidRPr="00E42A49">
        <w:rPr>
          <w:sz w:val="22"/>
          <w:szCs w:val="22"/>
        </w:rPr>
        <w:t>Hyperbilirubinemia</w:t>
      </w:r>
    </w:p>
    <w:p w14:paraId="3A66ECC8" w14:textId="6B7D2A72" w:rsidR="00A508A2" w:rsidRPr="00E42A49" w:rsidRDefault="00E61BAB" w:rsidP="004D2071">
      <w:pPr>
        <w:pStyle w:val="C-BodyText"/>
        <w:spacing w:line="240" w:lineRule="auto"/>
        <w:rPr>
          <w:sz w:val="22"/>
          <w:szCs w:val="22"/>
        </w:rPr>
      </w:pPr>
      <w:r w:rsidRPr="00E42A49">
        <w:rPr>
          <w:sz w:val="22"/>
          <w:szCs w:val="22"/>
        </w:rPr>
        <w:t xml:space="preserve">Through inhibition of UGT1A1 enzyme involved with bilirubin metabolism, blood bilirubin elevation </w:t>
      </w:r>
      <w:r w:rsidR="00A508A2" w:rsidRPr="00E42A49">
        <w:rPr>
          <w:sz w:val="22"/>
          <w:szCs w:val="22"/>
        </w:rPr>
        <w:t>w</w:t>
      </w:r>
      <w:r w:rsidRPr="00E42A49">
        <w:rPr>
          <w:sz w:val="22"/>
          <w:szCs w:val="22"/>
        </w:rPr>
        <w:t xml:space="preserve">as very common, observed in 37.4% of </w:t>
      </w:r>
      <w:proofErr w:type="spellStart"/>
      <w:r w:rsidRPr="00E42A49">
        <w:rPr>
          <w:sz w:val="22"/>
          <w:szCs w:val="22"/>
        </w:rPr>
        <w:t>enasidenib</w:t>
      </w:r>
      <w:proofErr w:type="spellEnd"/>
      <w:r w:rsidRPr="00E42A49">
        <w:rPr>
          <w:sz w:val="22"/>
          <w:szCs w:val="22"/>
        </w:rPr>
        <w:t xml:space="preserve"> treated patients.  </w:t>
      </w:r>
      <w:proofErr w:type="spellStart"/>
      <w:r w:rsidR="009F00DF" w:rsidRPr="00E42A49">
        <w:rPr>
          <w:sz w:val="22"/>
          <w:szCs w:val="22"/>
        </w:rPr>
        <w:t>Enasidenib</w:t>
      </w:r>
      <w:proofErr w:type="spellEnd"/>
      <w:r w:rsidR="009F00DF" w:rsidRPr="00E42A49">
        <w:rPr>
          <w:sz w:val="22"/>
          <w:szCs w:val="22"/>
        </w:rPr>
        <w:t xml:space="preserve"> caused dose dependent bilirubin elevation </w:t>
      </w:r>
      <w:r w:rsidR="005920B9" w:rsidRPr="00E42A49">
        <w:rPr>
          <w:sz w:val="22"/>
          <w:szCs w:val="22"/>
        </w:rPr>
        <w:t xml:space="preserve">observed following start of treatment </w:t>
      </w:r>
      <w:r w:rsidR="009F00DF" w:rsidRPr="00E42A49">
        <w:rPr>
          <w:sz w:val="22"/>
          <w:szCs w:val="22"/>
        </w:rPr>
        <w:t xml:space="preserve">beginning from the first on treatment assessment and stabilizing </w:t>
      </w:r>
      <w:r w:rsidR="005920B9" w:rsidRPr="00E42A49">
        <w:rPr>
          <w:sz w:val="22"/>
          <w:szCs w:val="22"/>
        </w:rPr>
        <w:t>after about 1</w:t>
      </w:r>
      <w:r w:rsidR="009F00DF" w:rsidRPr="00E42A49">
        <w:rPr>
          <w:sz w:val="22"/>
          <w:szCs w:val="22"/>
        </w:rPr>
        <w:t xml:space="preserve"> month of treatment.</w:t>
      </w:r>
      <w:r w:rsidR="0043077B" w:rsidRPr="00E42A49">
        <w:rPr>
          <w:sz w:val="22"/>
          <w:szCs w:val="22"/>
        </w:rPr>
        <w:t xml:space="preserve">  </w:t>
      </w:r>
      <w:r w:rsidR="005920B9" w:rsidRPr="00E42A49">
        <w:rPr>
          <w:sz w:val="22"/>
          <w:szCs w:val="22"/>
        </w:rPr>
        <w:t>B</w:t>
      </w:r>
      <w:r w:rsidR="0043077B" w:rsidRPr="00E42A49">
        <w:rPr>
          <w:sz w:val="22"/>
          <w:szCs w:val="22"/>
        </w:rPr>
        <w:t xml:space="preserve">ilirubin </w:t>
      </w:r>
      <w:r w:rsidR="005920B9" w:rsidRPr="00E42A49">
        <w:rPr>
          <w:sz w:val="22"/>
          <w:szCs w:val="22"/>
        </w:rPr>
        <w:t>elevation</w:t>
      </w:r>
      <w:r w:rsidR="0043077B" w:rsidRPr="00E42A49">
        <w:rPr>
          <w:sz w:val="22"/>
          <w:szCs w:val="22"/>
        </w:rPr>
        <w:t xml:space="preserve"> led to</w:t>
      </w:r>
      <w:r w:rsidR="005920B9" w:rsidRPr="00E42A49">
        <w:rPr>
          <w:sz w:val="22"/>
          <w:szCs w:val="22"/>
        </w:rPr>
        <w:t xml:space="preserve"> treatment interruption in 4.2</w:t>
      </w:r>
      <w:r w:rsidR="005920B9" w:rsidRPr="00E42A49">
        <w:t> </w:t>
      </w:r>
      <w:r w:rsidR="005920B9" w:rsidRPr="00E42A49">
        <w:rPr>
          <w:sz w:val="22"/>
          <w:szCs w:val="22"/>
        </w:rPr>
        <w:t>%, treatment discontinuation in 1.4%, and</w:t>
      </w:r>
      <w:r w:rsidR="0043077B" w:rsidRPr="00E42A49">
        <w:rPr>
          <w:sz w:val="22"/>
          <w:szCs w:val="22"/>
        </w:rPr>
        <w:t xml:space="preserve"> dose modification or reduction in 0.5 % of patients.</w:t>
      </w:r>
    </w:p>
    <w:p w14:paraId="12F3A22D" w14:textId="706D3CCE" w:rsidR="00E61BAB" w:rsidRPr="00E42A49" w:rsidRDefault="00A508A2" w:rsidP="004D2071">
      <w:pPr>
        <w:pStyle w:val="C-BodyText"/>
        <w:spacing w:line="240" w:lineRule="auto"/>
        <w:rPr>
          <w:sz w:val="22"/>
          <w:szCs w:val="22"/>
        </w:rPr>
      </w:pPr>
      <w:r w:rsidRPr="00E42A49">
        <w:rPr>
          <w:sz w:val="22"/>
          <w:szCs w:val="22"/>
        </w:rPr>
        <w:t xml:space="preserve">Monitor liver function for bilirubin changes at baseline and in regular intervals.  </w:t>
      </w:r>
      <w:r w:rsidR="00E61BAB" w:rsidRPr="00E42A49">
        <w:rPr>
          <w:sz w:val="22"/>
          <w:szCs w:val="22"/>
        </w:rPr>
        <w:t>Blood bilirubin elevation was usually managed by treatment interruption or dose reduction (see section 4.2.3 Dose Adjustments).</w:t>
      </w:r>
    </w:p>
    <w:p w14:paraId="6EF40A6F" w14:textId="77777777" w:rsidR="002F2106" w:rsidRPr="00E42A49" w:rsidRDefault="002F2106" w:rsidP="002F2106">
      <w:pPr>
        <w:pStyle w:val="C-BodyText"/>
      </w:pPr>
    </w:p>
    <w:p w14:paraId="1599C0A5" w14:textId="77777777" w:rsidR="00685C37" w:rsidRPr="00E42A49" w:rsidRDefault="00685C37" w:rsidP="000A6372">
      <w:pPr>
        <w:pStyle w:val="C-Heading2"/>
        <w:rPr>
          <w:caps/>
          <w:sz w:val="24"/>
          <w:szCs w:val="24"/>
        </w:rPr>
      </w:pPr>
      <w:r w:rsidRPr="00E42A49">
        <w:rPr>
          <w:caps/>
          <w:sz w:val="24"/>
          <w:szCs w:val="24"/>
        </w:rPr>
        <w:t>Interactions with other medicines and other forms of interactions</w:t>
      </w:r>
    </w:p>
    <w:p w14:paraId="4680324A" w14:textId="1682CD65" w:rsidR="00685C37" w:rsidRPr="00E42A49" w:rsidRDefault="00685C37" w:rsidP="00EB3673">
      <w:pPr>
        <w:pStyle w:val="ListParagraph"/>
        <w:tabs>
          <w:tab w:val="left" w:pos="0"/>
        </w:tabs>
        <w:spacing w:before="120"/>
        <w:ind w:left="0"/>
        <w:rPr>
          <w:lang w:val="en-GB"/>
        </w:rPr>
      </w:pPr>
      <w:r w:rsidRPr="00E42A49">
        <w:rPr>
          <w:lang w:val="en-GB"/>
        </w:rPr>
        <w:t>No formal clinical drug interact</w:t>
      </w:r>
      <w:r w:rsidR="00EF6A9C" w:rsidRPr="00E42A49">
        <w:rPr>
          <w:lang w:val="en-GB"/>
        </w:rPr>
        <w:t>ion studies have been performed with Idhifa.</w:t>
      </w:r>
      <w:r w:rsidR="009D10AF" w:rsidRPr="00E42A49">
        <w:rPr>
          <w:lang w:val="en-GB"/>
        </w:rPr>
        <w:t xml:space="preserve">  </w:t>
      </w:r>
      <w:r w:rsidR="009D10AF" w:rsidRPr="00E42A49">
        <w:rPr>
          <w:i/>
          <w:iCs/>
        </w:rPr>
        <w:t xml:space="preserve">In vitro </w:t>
      </w:r>
      <w:r w:rsidR="009D10AF" w:rsidRPr="00E42A49">
        <w:t>data indicate potential inhibition of multiple CYPs (1A2, 2C8, 2C9, 2C19 and 2D6), UGT1A1, and transporters (P-glycoprotein, BCRP, OAT1, OATP1B1 and OATP1B3), as well as induction of CYP3A4, in patients.</w:t>
      </w:r>
    </w:p>
    <w:p w14:paraId="3F160B23" w14:textId="77777777" w:rsidR="00685C37" w:rsidRPr="00E42A49" w:rsidRDefault="00685C37" w:rsidP="00C85A54">
      <w:pPr>
        <w:pStyle w:val="ListParagraph"/>
        <w:tabs>
          <w:tab w:val="left" w:pos="720"/>
        </w:tabs>
        <w:rPr>
          <w:lang w:val="en-GB"/>
        </w:rPr>
      </w:pPr>
    </w:p>
    <w:p w14:paraId="4BB617C7" w14:textId="77777777" w:rsidR="00685C37" w:rsidRPr="00E42A49" w:rsidRDefault="00685C37" w:rsidP="00C85A54">
      <w:pPr>
        <w:pStyle w:val="ListParagraph"/>
        <w:tabs>
          <w:tab w:val="left" w:pos="0"/>
        </w:tabs>
        <w:ind w:left="0"/>
        <w:rPr>
          <w:lang w:val="en-GB"/>
        </w:rPr>
      </w:pPr>
      <w:r w:rsidRPr="00E42A49">
        <w:rPr>
          <w:lang w:val="en-GB"/>
        </w:rPr>
        <w:t xml:space="preserve">Upon initiation or discontinuation of </w:t>
      </w:r>
      <w:r w:rsidR="00ED0E97" w:rsidRPr="00E42A49">
        <w:rPr>
          <w:lang w:val="en-GB"/>
        </w:rPr>
        <w:t>Idhifa</w:t>
      </w:r>
      <w:r w:rsidRPr="00E42A49">
        <w:rPr>
          <w:lang w:val="en-GB"/>
        </w:rPr>
        <w:t xml:space="preserve"> in patients being treated with other medicinal products that are substrates of CYP enzymes, UGT1A1 (uridine diphosphate </w:t>
      </w:r>
      <w:r w:rsidRPr="00E42A49">
        <w:rPr>
          <w:lang w:val="en-GB"/>
        </w:rPr>
        <w:lastRenderedPageBreak/>
        <w:t>glucuronosyltransferase) or transporters and have narrow therapeutic index, monitoring of the expected effect or drug concentration (if warranted) of the other medicinal product is recommended and the individual dose may be adjusted as needed (see section 5.2).</w:t>
      </w:r>
    </w:p>
    <w:p w14:paraId="23BB13DF" w14:textId="77777777" w:rsidR="00685C37" w:rsidRPr="00E42A49" w:rsidRDefault="00685C37" w:rsidP="00C85A54">
      <w:pPr>
        <w:pStyle w:val="ListParagraph"/>
        <w:tabs>
          <w:tab w:val="left" w:pos="720"/>
        </w:tabs>
        <w:rPr>
          <w:lang w:val="en-GB"/>
        </w:rPr>
      </w:pPr>
    </w:p>
    <w:p w14:paraId="2F1191FC" w14:textId="4CA82742" w:rsidR="00EB3673" w:rsidRPr="00E42A49" w:rsidRDefault="00685C37" w:rsidP="000A6372">
      <w:pPr>
        <w:pStyle w:val="ListParagraph"/>
        <w:tabs>
          <w:tab w:val="left" w:pos="0"/>
        </w:tabs>
        <w:ind w:left="0"/>
        <w:rPr>
          <w:lang w:val="en-GB"/>
        </w:rPr>
      </w:pPr>
      <w:r w:rsidRPr="00E42A49">
        <w:rPr>
          <w:lang w:val="en-GB"/>
        </w:rPr>
        <w:t xml:space="preserve">Co administration of </w:t>
      </w:r>
      <w:r w:rsidR="00ED0E97" w:rsidRPr="00E42A49">
        <w:rPr>
          <w:lang w:val="en-GB"/>
        </w:rPr>
        <w:t>Idhifa</w:t>
      </w:r>
      <w:r w:rsidRPr="00E42A49">
        <w:rPr>
          <w:lang w:val="en-GB"/>
        </w:rPr>
        <w:t xml:space="preserve"> may decrease the concentrations of combined hormonal contraceptives. The clinical significance of this potential drug interaction is unknown at this time.</w:t>
      </w:r>
    </w:p>
    <w:p w14:paraId="501A31BC" w14:textId="77777777" w:rsidR="009D056A" w:rsidRPr="00E42A49" w:rsidRDefault="009D056A" w:rsidP="000A6372">
      <w:pPr>
        <w:pStyle w:val="C-Heading2"/>
        <w:rPr>
          <w:caps/>
          <w:sz w:val="24"/>
          <w:szCs w:val="24"/>
        </w:rPr>
      </w:pPr>
      <w:r w:rsidRPr="00E42A49">
        <w:rPr>
          <w:caps/>
          <w:sz w:val="24"/>
          <w:szCs w:val="24"/>
        </w:rPr>
        <w:t xml:space="preserve">Fertility, pregnancy and lactation </w:t>
      </w:r>
    </w:p>
    <w:p w14:paraId="17F2D430" w14:textId="77777777" w:rsidR="00685C37" w:rsidRPr="00E42A49" w:rsidRDefault="00685C37" w:rsidP="00FD1A78">
      <w:pPr>
        <w:spacing w:after="0"/>
      </w:pPr>
    </w:p>
    <w:p w14:paraId="425CDF7C" w14:textId="5A431356" w:rsidR="00267EC2" w:rsidRPr="00E42A49" w:rsidRDefault="009D056A" w:rsidP="00C936A6">
      <w:pPr>
        <w:pStyle w:val="Heading3"/>
        <w:spacing w:after="0"/>
      </w:pPr>
      <w:r w:rsidRPr="00E42A49">
        <w:t>Effects on fertility</w:t>
      </w:r>
    </w:p>
    <w:p w14:paraId="5AAD3F82" w14:textId="441FF824" w:rsidR="005522D0" w:rsidRPr="00E42A49" w:rsidRDefault="00267EC2" w:rsidP="00E46BAE">
      <w:pPr>
        <w:spacing w:before="120" w:after="0"/>
        <w:rPr>
          <w:lang w:val="en-GB"/>
        </w:rPr>
      </w:pPr>
      <w:r w:rsidRPr="00E42A49">
        <w:t xml:space="preserve">No </w:t>
      </w:r>
      <w:r w:rsidR="00C82E53" w:rsidRPr="00E42A49">
        <w:t xml:space="preserve">fertility </w:t>
      </w:r>
      <w:r w:rsidRPr="00E42A49">
        <w:t xml:space="preserve">studies </w:t>
      </w:r>
      <w:r w:rsidR="00C82E53" w:rsidRPr="00E42A49">
        <w:t xml:space="preserve">have been performed with </w:t>
      </w:r>
      <w:proofErr w:type="spellStart"/>
      <w:r w:rsidR="00C82E53" w:rsidRPr="00E42A49">
        <w:t>enasidenib</w:t>
      </w:r>
      <w:proofErr w:type="spellEnd"/>
      <w:r w:rsidR="00C82E53" w:rsidRPr="00E42A49">
        <w:t>.</w:t>
      </w:r>
      <w:r w:rsidRPr="00E42A49">
        <w:t xml:space="preserve">  </w:t>
      </w:r>
      <w:r w:rsidR="00C82E53" w:rsidRPr="00E42A49">
        <w:t xml:space="preserve">Impairment of male and female fertility in patients is suggested by findings in general repeat-dose toxicity studies in rats, with seminiferous tubular degeneration in the testes, </w:t>
      </w:r>
      <w:proofErr w:type="spellStart"/>
      <w:r w:rsidR="00C82E53" w:rsidRPr="00E42A49">
        <w:t>hypospermia</w:t>
      </w:r>
      <w:proofErr w:type="spellEnd"/>
      <w:r w:rsidR="00C82E53" w:rsidRPr="00E42A49">
        <w:t xml:space="preserve">, </w:t>
      </w:r>
      <w:proofErr w:type="spellStart"/>
      <w:r w:rsidR="00C82E53" w:rsidRPr="00E42A49">
        <w:t>epididymal</w:t>
      </w:r>
      <w:proofErr w:type="spellEnd"/>
      <w:r w:rsidR="00C82E53" w:rsidRPr="00E42A49">
        <w:t xml:space="preserve"> luminal debris, decreased corpora </w:t>
      </w:r>
      <w:proofErr w:type="spellStart"/>
      <w:r w:rsidR="00C82E53" w:rsidRPr="00E42A49">
        <w:t>lutea</w:t>
      </w:r>
      <w:proofErr w:type="spellEnd"/>
      <w:r w:rsidR="00C82E53" w:rsidRPr="00E42A49">
        <w:t xml:space="preserve">, increased </w:t>
      </w:r>
      <w:proofErr w:type="spellStart"/>
      <w:r w:rsidR="00C82E53" w:rsidRPr="00E42A49">
        <w:t>atretic</w:t>
      </w:r>
      <w:proofErr w:type="spellEnd"/>
      <w:r w:rsidR="00C82E53" w:rsidRPr="00E42A49">
        <w:t xml:space="preserve"> follicles in the ovaries, and disruption of oestrus cycling observed at exposure levels (plasma AUC) comparable to that of patients at the maximum recommended human dose.  </w:t>
      </w:r>
      <w:r w:rsidR="005522D0" w:rsidRPr="00E42A49">
        <w:rPr>
          <w:rStyle w:val="underline"/>
          <w:color w:val="222222"/>
          <w:bdr w:val="none" w:sz="0" w:space="0" w:color="auto" w:frame="1"/>
          <w:lang w:val="en-GB"/>
        </w:rPr>
        <w:t>It is not known whether these effects on fertility are reversible</w:t>
      </w:r>
      <w:r w:rsidR="005522D0" w:rsidRPr="00E42A49">
        <w:rPr>
          <w:lang w:val="en-GB"/>
        </w:rPr>
        <w:t>.</w:t>
      </w:r>
    </w:p>
    <w:p w14:paraId="2D0AAC0F" w14:textId="0D778C3A" w:rsidR="005522D0" w:rsidRPr="00E42A49" w:rsidRDefault="005522D0" w:rsidP="00E46BAE">
      <w:pPr>
        <w:spacing w:after="0" w:line="240" w:lineRule="auto"/>
        <w:rPr>
          <w:lang w:val="en-GB"/>
        </w:rPr>
      </w:pPr>
    </w:p>
    <w:p w14:paraId="5926A69B" w14:textId="671373AD" w:rsidR="00685C37" w:rsidRPr="00E42A49" w:rsidRDefault="00685C37" w:rsidP="00685C37">
      <w:pPr>
        <w:pStyle w:val="Heading3"/>
      </w:pPr>
      <w:r w:rsidRPr="00E42A49">
        <w:t xml:space="preserve">Use in pregnancy </w:t>
      </w:r>
      <w:r w:rsidR="00FF2E55" w:rsidRPr="00E42A49">
        <w:t>(Category D)</w:t>
      </w:r>
    </w:p>
    <w:p w14:paraId="0760F3F9" w14:textId="30539025" w:rsidR="00C936A6" w:rsidRPr="00E42A49" w:rsidRDefault="00C936A6" w:rsidP="00E46BAE">
      <w:pPr>
        <w:spacing w:after="0"/>
      </w:pPr>
      <w:r w:rsidRPr="00E42A49">
        <w:t xml:space="preserve">There are no adequate and well controlled studies of </w:t>
      </w:r>
      <w:r w:rsidR="004D6AFD" w:rsidRPr="00E42A49">
        <w:t>Idhifa</w:t>
      </w:r>
      <w:r w:rsidRPr="00E42A49">
        <w:t xml:space="preserve"> in pregnant women.  </w:t>
      </w:r>
      <w:proofErr w:type="spellStart"/>
      <w:r w:rsidRPr="00E42A49">
        <w:t>Enasidenib</w:t>
      </w:r>
      <w:proofErr w:type="spellEnd"/>
      <w:r w:rsidRPr="00E42A49">
        <w:t xml:space="preserve"> can cause </w:t>
      </w:r>
      <w:proofErr w:type="spellStart"/>
      <w:r w:rsidR="00C82E53" w:rsidRPr="00E42A49">
        <w:t>embryofetal</w:t>
      </w:r>
      <w:proofErr w:type="spellEnd"/>
      <w:r w:rsidRPr="00E42A49">
        <w:t xml:space="preserve"> harm when administered to a pregnant woman based on </w:t>
      </w:r>
      <w:r w:rsidR="00C82E53" w:rsidRPr="00E42A49">
        <w:t>adverse findings in animal studies</w:t>
      </w:r>
      <w:r w:rsidRPr="00E42A49">
        <w:t>.</w:t>
      </w:r>
    </w:p>
    <w:p w14:paraId="123CDC8E" w14:textId="0BA307B7" w:rsidR="00C936A6" w:rsidRPr="00E42A49" w:rsidRDefault="00C936A6" w:rsidP="00E46BAE">
      <w:pPr>
        <w:spacing w:after="0" w:line="240" w:lineRule="auto"/>
      </w:pPr>
    </w:p>
    <w:p w14:paraId="086BBCCB" w14:textId="63996C77" w:rsidR="00C82E53" w:rsidRPr="00E42A49" w:rsidRDefault="00C82E53" w:rsidP="00E46BAE">
      <w:pPr>
        <w:spacing w:after="0"/>
      </w:pPr>
      <w:r w:rsidRPr="00E42A49">
        <w:t xml:space="preserve">Placental transfer of </w:t>
      </w:r>
      <w:proofErr w:type="spellStart"/>
      <w:r w:rsidRPr="00E42A49">
        <w:t>enasidenib</w:t>
      </w:r>
      <w:proofErr w:type="spellEnd"/>
      <w:r w:rsidRPr="00E42A49">
        <w:t xml:space="preserve"> and its major circulating metabolite (AGI-16903) was demonstrated in rats and rabbits. Administration of </w:t>
      </w:r>
      <w:proofErr w:type="spellStart"/>
      <w:r w:rsidRPr="00E42A49">
        <w:t>enasidenib</w:t>
      </w:r>
      <w:proofErr w:type="spellEnd"/>
      <w:r w:rsidRPr="00E42A49">
        <w:t xml:space="preserve"> during the period of organogenesis caused </w:t>
      </w:r>
      <w:proofErr w:type="spellStart"/>
      <w:r w:rsidRPr="00E42A49">
        <w:t>embryofetal</w:t>
      </w:r>
      <w:proofErr w:type="spellEnd"/>
      <w:r w:rsidRPr="00E42A49">
        <w:t xml:space="preserve"> lethality (increased post-implantation loss and decreased live litter size), reduced </w:t>
      </w:r>
      <w:proofErr w:type="spellStart"/>
      <w:r w:rsidRPr="00E42A49">
        <w:t>fetal</w:t>
      </w:r>
      <w:proofErr w:type="spellEnd"/>
      <w:r w:rsidRPr="00E42A49">
        <w:t xml:space="preserve"> weight and impaired </w:t>
      </w:r>
      <w:proofErr w:type="spellStart"/>
      <w:r w:rsidRPr="00E42A49">
        <w:t>fetal</w:t>
      </w:r>
      <w:proofErr w:type="spellEnd"/>
      <w:r w:rsidRPr="00E42A49">
        <w:t xml:space="preserve"> ossification in rats at an oral dose of 30 mg/kg twice daily, and abortions in rabbits at </w:t>
      </w:r>
      <w:r w:rsidR="00A92BA5">
        <w:rPr>
          <w:rFonts w:ascii="Symbol" w:hAnsi="Symbol"/>
        </w:rPr>
        <w:sym w:font="Symbol" w:char="F0B3"/>
      </w:r>
      <w:r w:rsidRPr="00E42A49">
        <w:t>5 mg/kg/day. These doses were matern</w:t>
      </w:r>
      <w:r w:rsidR="00E5267D" w:rsidRPr="00E42A49">
        <w:t xml:space="preserve">ally </w:t>
      </w:r>
      <w:r w:rsidRPr="00E42A49">
        <w:t>toxic, but associated with exposure levels in animals that were only marginally above (1.6-times higher in rats) or well below (~15-times lower) the plasma AUC in patients at the maximum recommended human dose.</w:t>
      </w:r>
    </w:p>
    <w:p w14:paraId="35CF43FA" w14:textId="77777777" w:rsidR="00E5267D" w:rsidRPr="00E42A49" w:rsidRDefault="00E5267D" w:rsidP="00E46BAE">
      <w:pPr>
        <w:spacing w:after="0" w:line="240" w:lineRule="auto"/>
      </w:pPr>
    </w:p>
    <w:p w14:paraId="44D6FCE5" w14:textId="3EECBA1D" w:rsidR="00C936A6" w:rsidRPr="00E42A49" w:rsidRDefault="00C936A6" w:rsidP="00E46BAE">
      <w:pPr>
        <w:spacing w:after="0"/>
      </w:pPr>
      <w:r w:rsidRPr="00E42A49">
        <w:t xml:space="preserve">Use </w:t>
      </w:r>
      <w:r w:rsidR="004D6AFD" w:rsidRPr="00E42A49">
        <w:t>Idhifa</w:t>
      </w:r>
      <w:r w:rsidRPr="00E42A49">
        <w:t xml:space="preserve"> during pregnancy only if the potential benefit to the patient justifies the potential risk to the </w:t>
      </w:r>
      <w:proofErr w:type="spellStart"/>
      <w:r w:rsidR="00C82E53" w:rsidRPr="00E42A49">
        <w:t>fetus</w:t>
      </w:r>
      <w:proofErr w:type="spellEnd"/>
      <w:r w:rsidRPr="00E42A49">
        <w:t xml:space="preserve">.  If a patient or partner becomes pregnant while taking </w:t>
      </w:r>
      <w:r w:rsidR="004D6AFD" w:rsidRPr="00E42A49">
        <w:t>Idhifa</w:t>
      </w:r>
      <w:r w:rsidRPr="00E42A49">
        <w:t xml:space="preserve">, advise the patient of the potential risk to a </w:t>
      </w:r>
      <w:proofErr w:type="spellStart"/>
      <w:r w:rsidR="00C82E53" w:rsidRPr="00E42A49">
        <w:t>fetus</w:t>
      </w:r>
      <w:proofErr w:type="spellEnd"/>
      <w:r w:rsidRPr="00E42A49">
        <w:t>.</w:t>
      </w:r>
    </w:p>
    <w:p w14:paraId="47222048" w14:textId="77777777" w:rsidR="00C936A6" w:rsidRPr="00E42A49" w:rsidRDefault="00C936A6" w:rsidP="00E46BAE">
      <w:pPr>
        <w:spacing w:after="0" w:line="240" w:lineRule="auto"/>
      </w:pPr>
    </w:p>
    <w:p w14:paraId="4F4394AD" w14:textId="4E0B2033" w:rsidR="004D6AFD" w:rsidRPr="00E42A49" w:rsidRDefault="004D6AFD" w:rsidP="00E46BAE">
      <w:pPr>
        <w:spacing w:after="0"/>
      </w:pPr>
      <w:r w:rsidRPr="00E42A49">
        <w:t xml:space="preserve">Females of reproductive potential are advised to use effective contraception during treatment with Idhifa and for at least </w:t>
      </w:r>
      <w:r w:rsidR="00132AFF" w:rsidRPr="00E42A49">
        <w:t xml:space="preserve">2 monthly cycles </w:t>
      </w:r>
      <w:r w:rsidRPr="00E42A49">
        <w:t xml:space="preserve">after the last dose of Idhifa.  Males with female partners of reproductive potential are advised to use effective contraception during treatment </w:t>
      </w:r>
      <w:r w:rsidRPr="00E42A49">
        <w:lastRenderedPageBreak/>
        <w:t xml:space="preserve">with Idhifa and for at least </w:t>
      </w:r>
      <w:r w:rsidR="00132AFF" w:rsidRPr="00E42A49">
        <w:t xml:space="preserve">2 monthly cycles </w:t>
      </w:r>
      <w:r w:rsidRPr="00E42A49">
        <w:t xml:space="preserve">after the last dose of the medicine.  </w:t>
      </w:r>
      <w:r w:rsidR="00444CB9" w:rsidRPr="00E42A49">
        <w:t xml:space="preserve">Idhifa may affect the effectiveness of combined hormonal contraceptives (see section 4.5).  </w:t>
      </w:r>
    </w:p>
    <w:p w14:paraId="66D33D72" w14:textId="77777777" w:rsidR="004D6AFD" w:rsidRPr="00E42A49" w:rsidRDefault="004D6AFD" w:rsidP="00E46BAE">
      <w:pPr>
        <w:spacing w:after="0" w:line="240" w:lineRule="auto"/>
      </w:pPr>
    </w:p>
    <w:p w14:paraId="343CFB47" w14:textId="6DFCF891" w:rsidR="00685C37" w:rsidRPr="00E42A49" w:rsidRDefault="004D6AFD" w:rsidP="000A6372">
      <w:pPr>
        <w:spacing w:after="0"/>
      </w:pPr>
      <w:r w:rsidRPr="00E42A49">
        <w:t>A pregnancy test should be conducted for females of reproductive potential prior to starting treatment with Idhifa.</w:t>
      </w:r>
    </w:p>
    <w:p w14:paraId="7CD32B97" w14:textId="77777777" w:rsidR="00685C37" w:rsidRPr="00E42A49" w:rsidRDefault="00685C37" w:rsidP="000A6372">
      <w:pPr>
        <w:spacing w:after="0" w:line="240" w:lineRule="auto"/>
      </w:pPr>
    </w:p>
    <w:p w14:paraId="4C3C4095" w14:textId="06624732" w:rsidR="00685C37" w:rsidRPr="00E42A49" w:rsidRDefault="00575DD7" w:rsidP="00685C37">
      <w:pPr>
        <w:pStyle w:val="Heading3"/>
      </w:pPr>
      <w:r w:rsidRPr="00E42A49">
        <w:t>Use in lactation</w:t>
      </w:r>
      <w:r w:rsidR="00685C37" w:rsidRPr="00E42A49">
        <w:t xml:space="preserve"> </w:t>
      </w:r>
    </w:p>
    <w:p w14:paraId="469190A1" w14:textId="69F6ED29" w:rsidR="00685C37" w:rsidRPr="000A6372" w:rsidRDefault="00685C37" w:rsidP="000A6372">
      <w:pPr>
        <w:spacing w:beforeLines="1" w:before="2" w:afterLines="1" w:after="2"/>
        <w:rPr>
          <w:lang w:val="en-GB"/>
        </w:rPr>
      </w:pPr>
      <w:bookmarkStart w:id="7" w:name="_Hlk524446017"/>
      <w:r w:rsidRPr="00E42A49">
        <w:rPr>
          <w:lang w:val="en-GB"/>
        </w:rPr>
        <w:t xml:space="preserve">It is unknown whether </w:t>
      </w:r>
      <w:proofErr w:type="spellStart"/>
      <w:r w:rsidRPr="00E42A49">
        <w:rPr>
          <w:lang w:val="en-GB"/>
        </w:rPr>
        <w:t>enasidenib</w:t>
      </w:r>
      <w:proofErr w:type="spellEnd"/>
      <w:r w:rsidRPr="00E42A49">
        <w:rPr>
          <w:lang w:val="en-GB"/>
        </w:rPr>
        <w:t xml:space="preserve"> or its metabolites are excreted in human milk.  Because of the potential for adverse reactions in breastfed infants, women should be advised not to breastfeed during treatment with </w:t>
      </w:r>
      <w:r w:rsidR="00ED0E97" w:rsidRPr="00E42A49">
        <w:rPr>
          <w:lang w:val="en-GB"/>
        </w:rPr>
        <w:t xml:space="preserve">Idhifa </w:t>
      </w:r>
      <w:r w:rsidRPr="00E42A49">
        <w:rPr>
          <w:lang w:val="en-GB"/>
        </w:rPr>
        <w:t xml:space="preserve">and for at least </w:t>
      </w:r>
      <w:r w:rsidR="00132AFF" w:rsidRPr="00E42A49">
        <w:rPr>
          <w:lang w:val="en-GB"/>
        </w:rPr>
        <w:t xml:space="preserve">2 monthly cycles </w:t>
      </w:r>
      <w:r w:rsidRPr="00E42A49">
        <w:rPr>
          <w:lang w:val="en-GB"/>
        </w:rPr>
        <w:t>after the last dose.</w:t>
      </w:r>
      <w:bookmarkEnd w:id="7"/>
    </w:p>
    <w:p w14:paraId="59663918" w14:textId="77777777" w:rsidR="00685C37" w:rsidRPr="00E42A49" w:rsidRDefault="00685C37" w:rsidP="000A6372">
      <w:pPr>
        <w:pStyle w:val="C-Heading2"/>
        <w:rPr>
          <w:caps/>
          <w:sz w:val="24"/>
          <w:szCs w:val="24"/>
        </w:rPr>
      </w:pPr>
      <w:r w:rsidRPr="00E42A49">
        <w:rPr>
          <w:caps/>
          <w:sz w:val="24"/>
          <w:szCs w:val="24"/>
        </w:rPr>
        <w:t xml:space="preserve">Effects on ability to drive and use machines </w:t>
      </w:r>
    </w:p>
    <w:p w14:paraId="116DC9FA" w14:textId="15A543BB" w:rsidR="00EB3673" w:rsidRPr="00E42A49" w:rsidRDefault="004D6AFD" w:rsidP="000A6372">
      <w:pPr>
        <w:spacing w:before="120" w:after="0"/>
        <w:rPr>
          <w:lang w:val="en-GB"/>
        </w:rPr>
      </w:pPr>
      <w:r w:rsidRPr="00E42A49">
        <w:rPr>
          <w:lang w:val="en-GB"/>
        </w:rPr>
        <w:t xml:space="preserve">No studies on the effects of </w:t>
      </w:r>
      <w:proofErr w:type="spellStart"/>
      <w:r w:rsidRPr="00E42A49">
        <w:rPr>
          <w:lang w:val="en-GB"/>
        </w:rPr>
        <w:t>enasidenib</w:t>
      </w:r>
      <w:proofErr w:type="spellEnd"/>
      <w:r w:rsidRPr="00E42A49">
        <w:rPr>
          <w:lang w:val="en-GB"/>
        </w:rPr>
        <w:t xml:space="preserve"> on the ability to drive and the use of machines have been performed. </w:t>
      </w:r>
      <w:r w:rsidR="00712AF8" w:rsidRPr="00E42A49">
        <w:rPr>
          <w:lang w:val="en-GB"/>
        </w:rPr>
        <w:t xml:space="preserve"> </w:t>
      </w:r>
    </w:p>
    <w:p w14:paraId="3BEA409B" w14:textId="77777777" w:rsidR="00685C37" w:rsidRPr="00E42A49" w:rsidRDefault="00685C37" w:rsidP="000A6372">
      <w:pPr>
        <w:pStyle w:val="C-Heading2"/>
        <w:rPr>
          <w:caps/>
          <w:sz w:val="24"/>
          <w:szCs w:val="24"/>
        </w:rPr>
      </w:pPr>
      <w:r w:rsidRPr="00E42A49">
        <w:rPr>
          <w:caps/>
          <w:sz w:val="24"/>
          <w:szCs w:val="24"/>
        </w:rPr>
        <w:t>Adverse effects (Undesirable effects)</w:t>
      </w:r>
    </w:p>
    <w:p w14:paraId="24BD4A69" w14:textId="77777777" w:rsidR="00784DDD" w:rsidRPr="00E42A49" w:rsidRDefault="00784DDD" w:rsidP="00E46BAE">
      <w:pPr>
        <w:autoSpaceDE w:val="0"/>
        <w:autoSpaceDN w:val="0"/>
        <w:adjustRightInd w:val="0"/>
        <w:spacing w:before="120" w:after="0"/>
        <w:rPr>
          <w:lang w:val="en-GB"/>
        </w:rPr>
      </w:pPr>
      <w:r w:rsidRPr="00E42A49">
        <w:rPr>
          <w:lang w:val="en-GB"/>
        </w:rPr>
        <w:t xml:space="preserve">The safety evaluation of single-agent </w:t>
      </w:r>
      <w:r w:rsidR="00254813" w:rsidRPr="00E42A49">
        <w:rPr>
          <w:lang w:val="en-GB"/>
        </w:rPr>
        <w:t>Idhifa</w:t>
      </w:r>
      <w:r w:rsidRPr="00E42A49" w:rsidDel="00AF0FBF">
        <w:rPr>
          <w:lang w:val="en-GB"/>
        </w:rPr>
        <w:t xml:space="preserve"> </w:t>
      </w:r>
      <w:r w:rsidRPr="00E42A49">
        <w:rPr>
          <w:lang w:val="en-GB"/>
        </w:rPr>
        <w:t>is based on the clinical study AG221-C-001, in which 214 patients with relapsed or refractory AML with an IDH2 mutation were assigned to receive 100 mg daily</w:t>
      </w:r>
      <w:r w:rsidRPr="00E42A49">
        <w:rPr>
          <w:iCs/>
          <w:lang w:val="en-GB"/>
        </w:rPr>
        <w:t xml:space="preserve">.  </w:t>
      </w:r>
      <w:r w:rsidRPr="00E42A49">
        <w:rPr>
          <w:lang w:val="en-GB"/>
        </w:rPr>
        <w:t xml:space="preserve">The median duration of exposure to </w:t>
      </w:r>
      <w:proofErr w:type="spellStart"/>
      <w:r w:rsidRPr="00E42A49">
        <w:rPr>
          <w:lang w:val="en-GB"/>
        </w:rPr>
        <w:t>enasidenib</w:t>
      </w:r>
      <w:proofErr w:type="spellEnd"/>
      <w:r w:rsidRPr="00E42A49">
        <w:rPr>
          <w:lang w:val="en-GB"/>
        </w:rPr>
        <w:t xml:space="preserve"> was 5.4 months (range 0.4 to 34.2).</w:t>
      </w:r>
    </w:p>
    <w:p w14:paraId="0CDC584B" w14:textId="2D9C3279" w:rsidR="00784DDD" w:rsidRPr="00E42A49" w:rsidRDefault="00784DDD" w:rsidP="00E46BAE">
      <w:pPr>
        <w:autoSpaceDE w:val="0"/>
        <w:autoSpaceDN w:val="0"/>
        <w:adjustRightInd w:val="0"/>
        <w:spacing w:after="0" w:line="240" w:lineRule="auto"/>
        <w:rPr>
          <w:lang w:val="en-GB"/>
        </w:rPr>
      </w:pPr>
    </w:p>
    <w:p w14:paraId="5C491589" w14:textId="076AAF2E" w:rsidR="00624F38" w:rsidRPr="00E42A49" w:rsidRDefault="00624F38" w:rsidP="00317826">
      <w:pPr>
        <w:pStyle w:val="C-Heading3"/>
        <w:spacing w:before="0"/>
        <w:rPr>
          <w:lang w:val="en-GB"/>
        </w:rPr>
      </w:pPr>
      <w:r w:rsidRPr="00E42A49">
        <w:t>Tabulated Summary of Adverse Events</w:t>
      </w:r>
    </w:p>
    <w:p w14:paraId="295823D5" w14:textId="4A50AA5B" w:rsidR="00870F19" w:rsidRPr="00E42A49" w:rsidRDefault="00870F19" w:rsidP="00E46BAE">
      <w:pPr>
        <w:autoSpaceDE w:val="0"/>
        <w:autoSpaceDN w:val="0"/>
        <w:adjustRightInd w:val="0"/>
        <w:spacing w:before="120" w:after="0"/>
      </w:pPr>
      <w:r w:rsidRPr="00E42A49">
        <w:t xml:space="preserve">Among the Treatment-Emergent Adverse Events (TEAEs) that were reported for </w:t>
      </w:r>
      <w:r w:rsidR="00A92BA5">
        <w:rPr>
          <w:rFonts w:ascii="Symbol" w:hAnsi="Symbol"/>
        </w:rPr>
        <w:sym w:font="Symbol" w:char="F0B3"/>
      </w:r>
      <w:r w:rsidRPr="00E42A49">
        <w:t xml:space="preserve"> 20% of subjects were disorders commonly observed in patients with AML and other hematologic malignancies such as </w:t>
      </w:r>
      <w:proofErr w:type="spellStart"/>
      <w:r w:rsidRPr="00E42A49">
        <w:t>anemia</w:t>
      </w:r>
      <w:proofErr w:type="spellEnd"/>
      <w:r w:rsidRPr="00E42A49">
        <w:t xml:space="preserve">, febrile neutropenia, and thrombocytopenia; associated infections and respiratory disorders, including pneumonia with </w:t>
      </w:r>
      <w:proofErr w:type="spellStart"/>
      <w:r w:rsidRPr="00E42A49">
        <w:t>dyspnea</w:t>
      </w:r>
      <w:proofErr w:type="spellEnd"/>
      <w:r w:rsidRPr="00E42A49">
        <w:t xml:space="preserve"> and cough; and general disorders, including fatigue, peripheral oedema, pyrexia; and also </w:t>
      </w:r>
      <w:proofErr w:type="spellStart"/>
      <w:r w:rsidRPr="00E42A49">
        <w:t>hypokalemia</w:t>
      </w:r>
      <w:proofErr w:type="spellEnd"/>
      <w:r w:rsidRPr="00E42A49">
        <w:t>, and headache.  Constipation was a common TEAE that occurred at a rate expected in this age group.</w:t>
      </w:r>
    </w:p>
    <w:p w14:paraId="5F43065E" w14:textId="5EDC1428" w:rsidR="00870F19" w:rsidRPr="00E42A49" w:rsidRDefault="00870F19" w:rsidP="00E46BAE">
      <w:pPr>
        <w:autoSpaceDE w:val="0"/>
        <w:autoSpaceDN w:val="0"/>
        <w:adjustRightInd w:val="0"/>
        <w:spacing w:after="0" w:line="240" w:lineRule="auto"/>
        <w:rPr>
          <w:lang w:val="en-GB"/>
        </w:rPr>
      </w:pPr>
    </w:p>
    <w:p w14:paraId="64AE0D32" w14:textId="0F41F499" w:rsidR="00EF6312" w:rsidRPr="00E42A49" w:rsidRDefault="00624F38" w:rsidP="004F2126">
      <w:pPr>
        <w:pStyle w:val="Caption"/>
        <w:rPr>
          <w:lang w:val="en-GB"/>
        </w:rPr>
      </w:pPr>
      <w:r w:rsidRPr="00E42A49">
        <w:rPr>
          <w:lang w:val="en-GB"/>
        </w:rPr>
        <w:t>Table </w:t>
      </w:r>
      <w:r w:rsidRPr="00E42A49">
        <w:rPr>
          <w:lang w:val="en-GB"/>
        </w:rPr>
        <w:fldChar w:fldCharType="begin"/>
      </w:r>
      <w:r w:rsidRPr="00E42A49">
        <w:rPr>
          <w:lang w:val="en-GB"/>
        </w:rPr>
        <w:instrText xml:space="preserve"> SEQ Table \* ARABIC \* MERGEFORMAT </w:instrText>
      </w:r>
      <w:r w:rsidRPr="00E42A49">
        <w:rPr>
          <w:lang w:val="en-GB"/>
        </w:rPr>
        <w:fldChar w:fldCharType="separate"/>
      </w:r>
      <w:r w:rsidR="0036648D">
        <w:rPr>
          <w:noProof/>
          <w:lang w:val="en-GB"/>
        </w:rPr>
        <w:t>2</w:t>
      </w:r>
      <w:r w:rsidRPr="00E42A49">
        <w:rPr>
          <w:lang w:val="en-GB"/>
        </w:rPr>
        <w:fldChar w:fldCharType="end"/>
      </w:r>
      <w:r w:rsidRPr="00E42A49">
        <w:rPr>
          <w:lang w:val="en-GB"/>
        </w:rPr>
        <w:t>:</w:t>
      </w:r>
      <w:r w:rsidRPr="00E42A49">
        <w:rPr>
          <w:lang w:val="en-GB"/>
        </w:rPr>
        <w:tab/>
        <w:t>Treatment-emergent Adverse Events</w:t>
      </w:r>
      <w:r w:rsidR="004D49DC" w:rsidRPr="00E42A49">
        <w:rPr>
          <w:lang w:val="en-GB"/>
        </w:rPr>
        <w:t xml:space="preserve"> (grad</w:t>
      </w:r>
      <w:r w:rsidR="004F2126" w:rsidRPr="00E42A49">
        <w:rPr>
          <w:lang w:val="en-GB"/>
        </w:rPr>
        <w:t>es</w:t>
      </w:r>
      <w:r w:rsidR="004D49DC" w:rsidRPr="00E42A49">
        <w:rPr>
          <w:lang w:val="en-GB"/>
        </w:rPr>
        <w:t xml:space="preserve"> 1-5)</w:t>
      </w:r>
      <w:r w:rsidRPr="00E42A49">
        <w:rPr>
          <w:lang w:val="en-GB"/>
        </w:rPr>
        <w:t xml:space="preserve"> Reported in </w:t>
      </w:r>
      <w:r w:rsidR="00A92BA5">
        <w:rPr>
          <w:rFonts w:ascii="Symbol" w:hAnsi="Symbol"/>
        </w:rPr>
        <w:sym w:font="Symbol" w:char="F0B3"/>
      </w:r>
      <w:r w:rsidRPr="00E42A49">
        <w:rPr>
          <w:lang w:val="en-GB"/>
        </w:rPr>
        <w:t xml:space="preserve"> 20% of Subjects with R</w:t>
      </w:r>
      <w:r w:rsidR="00BD69C0" w:rsidRPr="00E42A49">
        <w:rPr>
          <w:lang w:val="en-GB"/>
        </w:rPr>
        <w:t> </w:t>
      </w:r>
      <w:r w:rsidRPr="00E42A49">
        <w:rPr>
          <w:lang w:val="en-GB"/>
        </w:rPr>
        <w:t>/</w:t>
      </w:r>
      <w:r w:rsidR="00BD69C0" w:rsidRPr="00E42A49">
        <w:rPr>
          <w:lang w:val="en-GB"/>
        </w:rPr>
        <w:t> </w:t>
      </w:r>
      <w:r w:rsidRPr="00E42A49">
        <w:rPr>
          <w:lang w:val="en-GB"/>
        </w:rPr>
        <w:t>R AML who received a Total Daily Dose of 100 mg in Phase 1/2 of Study AG221-C-001.</w:t>
      </w:r>
    </w:p>
    <w:tbl>
      <w:tblPr>
        <w:tblW w:w="9364" w:type="dxa"/>
        <w:tblInd w:w="96" w:type="dxa"/>
        <w:tblCellMar>
          <w:left w:w="0" w:type="dxa"/>
          <w:right w:w="0" w:type="dxa"/>
        </w:tblCellMar>
        <w:tblLook w:val="04A0" w:firstRow="1" w:lastRow="0" w:firstColumn="1" w:lastColumn="0" w:noHBand="0" w:noVBand="1"/>
      </w:tblPr>
      <w:tblGrid>
        <w:gridCol w:w="2074"/>
        <w:gridCol w:w="1458"/>
        <w:gridCol w:w="1458"/>
        <w:gridCol w:w="1458"/>
        <w:gridCol w:w="1458"/>
        <w:gridCol w:w="1458"/>
      </w:tblGrid>
      <w:tr w:rsidR="004D49DC" w:rsidRPr="00E42A49" w14:paraId="52964F0A" w14:textId="77777777" w:rsidTr="00D14FA7">
        <w:trPr>
          <w:trHeight w:val="463"/>
          <w:tblHeader/>
        </w:trPr>
        <w:tc>
          <w:tcPr>
            <w:tcW w:w="2074" w:type="dxa"/>
            <w:vMerge w:val="restart"/>
            <w:tcBorders>
              <w:top w:val="single" w:sz="8" w:space="0" w:color="000000"/>
              <w:left w:val="single" w:sz="8" w:space="0" w:color="000000"/>
              <w:right w:val="single" w:sz="8" w:space="0" w:color="000000"/>
            </w:tcBorders>
            <w:shd w:val="clear" w:color="auto" w:fill="D9D9D9"/>
            <w:hideMark/>
          </w:tcPr>
          <w:p w14:paraId="5013091B" w14:textId="77777777" w:rsidR="004D49DC" w:rsidRPr="00E42A49" w:rsidRDefault="004D49DC" w:rsidP="00D14FA7">
            <w:pPr>
              <w:spacing w:before="40" w:after="40"/>
              <w:ind w:left="100" w:right="-20"/>
              <w:rPr>
                <w:sz w:val="20"/>
              </w:rPr>
            </w:pPr>
            <w:bookmarkStart w:id="8" w:name="_Hlk19018728"/>
            <w:r w:rsidRPr="00E42A49">
              <w:rPr>
                <w:b/>
                <w:bCs/>
                <w:spacing w:val="-1"/>
                <w:sz w:val="20"/>
              </w:rPr>
              <w:t>Syste</w:t>
            </w:r>
            <w:r w:rsidRPr="00E42A49">
              <w:rPr>
                <w:b/>
                <w:bCs/>
                <w:sz w:val="20"/>
              </w:rPr>
              <w:t>m</w:t>
            </w:r>
            <w:r w:rsidRPr="00E42A49">
              <w:rPr>
                <w:b/>
                <w:bCs/>
                <w:spacing w:val="-1"/>
                <w:sz w:val="20"/>
              </w:rPr>
              <w:t xml:space="preserve"> Orga</w:t>
            </w:r>
            <w:r w:rsidRPr="00E42A49">
              <w:rPr>
                <w:b/>
                <w:bCs/>
                <w:sz w:val="20"/>
              </w:rPr>
              <w:t>n</w:t>
            </w:r>
            <w:r w:rsidRPr="00E42A49">
              <w:rPr>
                <w:b/>
                <w:bCs/>
                <w:spacing w:val="-1"/>
                <w:sz w:val="20"/>
              </w:rPr>
              <w:t xml:space="preserve"> Class</w:t>
            </w:r>
          </w:p>
          <w:p w14:paraId="511F938C" w14:textId="05512196" w:rsidR="004D49DC" w:rsidRPr="00E42A49" w:rsidRDefault="004D49DC" w:rsidP="00D14FA7">
            <w:pPr>
              <w:spacing w:before="40" w:after="40"/>
              <w:ind w:left="-144" w:right="-144"/>
              <w:jc w:val="center"/>
              <w:rPr>
                <w:b/>
                <w:bCs/>
                <w:spacing w:val="-3"/>
                <w:sz w:val="20"/>
              </w:rPr>
            </w:pPr>
            <w:r w:rsidRPr="00E42A49">
              <w:rPr>
                <w:b/>
                <w:bCs/>
                <w:spacing w:val="-1"/>
                <w:sz w:val="20"/>
              </w:rPr>
              <w:t>Preferre</w:t>
            </w:r>
            <w:r w:rsidRPr="00E42A49">
              <w:rPr>
                <w:b/>
                <w:bCs/>
                <w:sz w:val="20"/>
              </w:rPr>
              <w:t>d</w:t>
            </w:r>
            <w:r w:rsidRPr="00E42A49">
              <w:rPr>
                <w:b/>
                <w:bCs/>
                <w:spacing w:val="-1"/>
                <w:sz w:val="20"/>
              </w:rPr>
              <w:t xml:space="preserve"> Term</w:t>
            </w:r>
          </w:p>
        </w:tc>
        <w:tc>
          <w:tcPr>
            <w:tcW w:w="729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A8CA27" w14:textId="104451BF" w:rsidR="004D49DC" w:rsidRPr="00E42A49" w:rsidRDefault="004D49DC" w:rsidP="00D14FA7">
            <w:pPr>
              <w:spacing w:before="40" w:after="40"/>
              <w:ind w:left="-144" w:right="-144"/>
              <w:jc w:val="center"/>
              <w:rPr>
                <w:b/>
                <w:bCs/>
                <w:sz w:val="20"/>
              </w:rPr>
            </w:pPr>
            <w:r w:rsidRPr="00E42A49">
              <w:rPr>
                <w:b/>
                <w:bCs/>
                <w:spacing w:val="-1"/>
                <w:sz w:val="20"/>
              </w:rPr>
              <w:t>R / </w:t>
            </w:r>
            <w:r w:rsidRPr="00E42A49">
              <w:rPr>
                <w:b/>
                <w:bCs/>
                <w:sz w:val="20"/>
              </w:rPr>
              <w:t>R</w:t>
            </w:r>
            <w:r w:rsidRPr="00E42A49">
              <w:rPr>
                <w:b/>
                <w:bCs/>
                <w:spacing w:val="-1"/>
                <w:sz w:val="20"/>
              </w:rPr>
              <w:t xml:space="preserve"> AML </w:t>
            </w:r>
            <w:r w:rsidRPr="00E42A49">
              <w:rPr>
                <w:b/>
                <w:bCs/>
                <w:sz w:val="20"/>
              </w:rPr>
              <w:t>100</w:t>
            </w:r>
            <w:r w:rsidRPr="00E42A49">
              <w:rPr>
                <w:b/>
                <w:bCs/>
                <w:spacing w:val="3"/>
                <w:sz w:val="20"/>
              </w:rPr>
              <w:t xml:space="preserve"> </w:t>
            </w:r>
            <w:r w:rsidRPr="00E42A49">
              <w:rPr>
                <w:b/>
                <w:bCs/>
                <w:spacing w:val="-5"/>
                <w:sz w:val="20"/>
              </w:rPr>
              <w:t>m</w:t>
            </w:r>
            <w:r w:rsidRPr="00E42A49">
              <w:rPr>
                <w:b/>
                <w:bCs/>
                <w:sz w:val="20"/>
              </w:rPr>
              <w:t>g</w:t>
            </w:r>
            <w:r w:rsidRPr="00E42A49">
              <w:rPr>
                <w:b/>
                <w:bCs/>
                <w:spacing w:val="3"/>
                <w:sz w:val="20"/>
              </w:rPr>
              <w:t xml:space="preserve"> </w:t>
            </w:r>
            <w:r w:rsidRPr="00E42A49">
              <w:rPr>
                <w:b/>
                <w:bCs/>
                <w:spacing w:val="-3"/>
                <w:sz w:val="20"/>
              </w:rPr>
              <w:t>Daily</w:t>
            </w:r>
            <w:r w:rsidRPr="00E42A49">
              <w:rPr>
                <w:b/>
                <w:bCs/>
                <w:sz w:val="20"/>
              </w:rPr>
              <w:t xml:space="preserve"> (N = 214)</w:t>
            </w:r>
          </w:p>
          <w:p w14:paraId="1CBE21B6" w14:textId="0990232A" w:rsidR="004D49DC" w:rsidRPr="00E42A49" w:rsidRDefault="004D49DC" w:rsidP="00D14FA7">
            <w:pPr>
              <w:spacing w:before="40" w:after="40"/>
              <w:ind w:left="-144" w:right="-144"/>
              <w:jc w:val="center"/>
              <w:rPr>
                <w:b/>
                <w:bCs/>
                <w:spacing w:val="-1"/>
                <w:sz w:val="20"/>
              </w:rPr>
            </w:pPr>
          </w:p>
        </w:tc>
      </w:tr>
      <w:tr w:rsidR="004D49DC" w:rsidRPr="00E42A49" w14:paraId="5F8C6E54" w14:textId="77777777" w:rsidTr="00D14FA7">
        <w:trPr>
          <w:trHeight w:val="723"/>
          <w:tblHeader/>
        </w:trPr>
        <w:tc>
          <w:tcPr>
            <w:tcW w:w="2074" w:type="dxa"/>
            <w:vMerge/>
            <w:tcBorders>
              <w:left w:val="single" w:sz="8" w:space="0" w:color="000000"/>
              <w:bottom w:val="single" w:sz="8" w:space="0" w:color="000000"/>
              <w:right w:val="single" w:sz="8" w:space="0" w:color="000000"/>
            </w:tcBorders>
            <w:shd w:val="clear" w:color="auto" w:fill="D9D9D9"/>
            <w:hideMark/>
          </w:tcPr>
          <w:p w14:paraId="5091FEC2" w14:textId="0685A4E1" w:rsidR="004D49DC" w:rsidRPr="00E42A49" w:rsidRDefault="004D49DC" w:rsidP="00D14FA7">
            <w:pPr>
              <w:spacing w:before="40" w:after="40"/>
              <w:ind w:left="153" w:right="-20"/>
              <w:rPr>
                <w:sz w:val="20"/>
              </w:rPr>
            </w:pPr>
          </w:p>
        </w:tc>
        <w:tc>
          <w:tcPr>
            <w:tcW w:w="1458" w:type="dxa"/>
            <w:tcBorders>
              <w:top w:val="nil"/>
              <w:left w:val="nil"/>
              <w:bottom w:val="single" w:sz="8" w:space="0" w:color="000000"/>
              <w:right w:val="single" w:sz="8" w:space="0" w:color="000000"/>
            </w:tcBorders>
            <w:shd w:val="clear" w:color="auto" w:fill="D9D9D9"/>
            <w:hideMark/>
          </w:tcPr>
          <w:p w14:paraId="49617A84" w14:textId="77777777" w:rsidR="004D49DC" w:rsidRPr="00E42A49" w:rsidRDefault="004D49DC" w:rsidP="00D14FA7">
            <w:pPr>
              <w:spacing w:before="40" w:after="40"/>
              <w:ind w:left="-144" w:right="-144"/>
              <w:jc w:val="center"/>
              <w:rPr>
                <w:b/>
                <w:bCs/>
                <w:spacing w:val="-1"/>
                <w:sz w:val="20"/>
              </w:rPr>
            </w:pPr>
            <w:r w:rsidRPr="00E42A49">
              <w:rPr>
                <w:b/>
                <w:bCs/>
                <w:spacing w:val="-1"/>
                <w:sz w:val="20"/>
              </w:rPr>
              <w:t>Grade 1</w:t>
            </w:r>
          </w:p>
          <w:p w14:paraId="0BE747C0" w14:textId="3BA5EED9" w:rsidR="004D49DC" w:rsidRPr="00E42A49" w:rsidRDefault="004D49DC" w:rsidP="00D14FA7">
            <w:pPr>
              <w:spacing w:before="40" w:after="40"/>
              <w:ind w:left="-144" w:right="-144"/>
              <w:jc w:val="center"/>
              <w:rPr>
                <w:b/>
                <w:bCs/>
                <w:spacing w:val="-1"/>
                <w:sz w:val="20"/>
              </w:rPr>
            </w:pPr>
            <w:r w:rsidRPr="00E42A49">
              <w:rPr>
                <w:b/>
                <w:bCs/>
                <w:spacing w:val="-1"/>
                <w:sz w:val="20"/>
              </w:rPr>
              <w:t>n (%)</w:t>
            </w:r>
          </w:p>
        </w:tc>
        <w:tc>
          <w:tcPr>
            <w:tcW w:w="1458" w:type="dxa"/>
            <w:tcBorders>
              <w:top w:val="nil"/>
              <w:left w:val="nil"/>
              <w:bottom w:val="single" w:sz="8" w:space="0" w:color="000000"/>
              <w:right w:val="single" w:sz="8" w:space="0" w:color="000000"/>
            </w:tcBorders>
            <w:shd w:val="clear" w:color="auto" w:fill="D9D9D9"/>
            <w:hideMark/>
          </w:tcPr>
          <w:p w14:paraId="1D6B897B" w14:textId="77777777" w:rsidR="004D49DC" w:rsidRPr="00E42A49" w:rsidRDefault="004D49DC" w:rsidP="00D14FA7">
            <w:pPr>
              <w:spacing w:before="40" w:after="40"/>
              <w:ind w:left="-144" w:right="-144"/>
              <w:jc w:val="center"/>
              <w:rPr>
                <w:b/>
                <w:bCs/>
                <w:spacing w:val="-1"/>
                <w:sz w:val="20"/>
              </w:rPr>
            </w:pPr>
            <w:r w:rsidRPr="00E42A49">
              <w:rPr>
                <w:b/>
                <w:bCs/>
                <w:spacing w:val="-1"/>
                <w:sz w:val="20"/>
              </w:rPr>
              <w:t>Grade 2</w:t>
            </w:r>
          </w:p>
          <w:p w14:paraId="42B83A1C" w14:textId="4185E92F" w:rsidR="004D49DC" w:rsidRPr="00E42A49" w:rsidRDefault="004D49DC" w:rsidP="00D14FA7">
            <w:pPr>
              <w:spacing w:before="40" w:after="40"/>
              <w:ind w:left="-144" w:right="-144"/>
              <w:jc w:val="center"/>
              <w:rPr>
                <w:b/>
                <w:bCs/>
                <w:spacing w:val="-1"/>
                <w:sz w:val="20"/>
              </w:rPr>
            </w:pPr>
            <w:r w:rsidRPr="00E42A49">
              <w:rPr>
                <w:b/>
                <w:bCs/>
                <w:spacing w:val="-1"/>
                <w:sz w:val="20"/>
              </w:rPr>
              <w:t>n (%)</w:t>
            </w:r>
          </w:p>
        </w:tc>
        <w:tc>
          <w:tcPr>
            <w:tcW w:w="1458" w:type="dxa"/>
            <w:tcBorders>
              <w:top w:val="nil"/>
              <w:left w:val="nil"/>
              <w:bottom w:val="single" w:sz="8" w:space="0" w:color="000000"/>
              <w:right w:val="single" w:sz="8" w:space="0" w:color="000000"/>
            </w:tcBorders>
            <w:shd w:val="clear" w:color="auto" w:fill="D9D9D9"/>
            <w:hideMark/>
          </w:tcPr>
          <w:p w14:paraId="09A47C1E" w14:textId="77777777" w:rsidR="004D49DC" w:rsidRPr="00E42A49" w:rsidRDefault="004D49DC" w:rsidP="00D14FA7">
            <w:pPr>
              <w:spacing w:before="40" w:after="40"/>
              <w:ind w:left="-144" w:right="-144"/>
              <w:jc w:val="center"/>
              <w:rPr>
                <w:b/>
                <w:bCs/>
                <w:spacing w:val="-1"/>
                <w:sz w:val="20"/>
              </w:rPr>
            </w:pPr>
            <w:r w:rsidRPr="00E42A49">
              <w:rPr>
                <w:b/>
                <w:bCs/>
                <w:spacing w:val="-1"/>
                <w:sz w:val="20"/>
              </w:rPr>
              <w:t>Grade 3</w:t>
            </w:r>
          </w:p>
          <w:p w14:paraId="309A2834" w14:textId="063A3CE1" w:rsidR="004D49DC" w:rsidRPr="00E42A49" w:rsidRDefault="004D49DC" w:rsidP="00D14FA7">
            <w:pPr>
              <w:spacing w:before="40" w:after="40"/>
              <w:ind w:left="-144" w:right="-144"/>
              <w:jc w:val="center"/>
              <w:rPr>
                <w:b/>
                <w:bCs/>
                <w:spacing w:val="-1"/>
                <w:sz w:val="20"/>
              </w:rPr>
            </w:pPr>
            <w:r w:rsidRPr="00E42A49">
              <w:rPr>
                <w:b/>
                <w:bCs/>
                <w:spacing w:val="-1"/>
                <w:sz w:val="20"/>
              </w:rPr>
              <w:t>n (%)</w:t>
            </w:r>
          </w:p>
        </w:tc>
        <w:tc>
          <w:tcPr>
            <w:tcW w:w="1458" w:type="dxa"/>
            <w:tcBorders>
              <w:top w:val="nil"/>
              <w:left w:val="nil"/>
              <w:bottom w:val="single" w:sz="8" w:space="0" w:color="000000"/>
              <w:right w:val="single" w:sz="8" w:space="0" w:color="000000"/>
            </w:tcBorders>
            <w:shd w:val="clear" w:color="auto" w:fill="D9D9D9"/>
            <w:hideMark/>
          </w:tcPr>
          <w:p w14:paraId="05BC2070" w14:textId="77777777" w:rsidR="004D49DC" w:rsidRPr="00E42A49" w:rsidRDefault="004D49DC" w:rsidP="00D14FA7">
            <w:pPr>
              <w:spacing w:before="40" w:after="40"/>
              <w:ind w:left="-144" w:right="-144"/>
              <w:jc w:val="center"/>
              <w:rPr>
                <w:b/>
                <w:bCs/>
                <w:spacing w:val="-1"/>
                <w:sz w:val="20"/>
              </w:rPr>
            </w:pPr>
            <w:r w:rsidRPr="00E42A49">
              <w:rPr>
                <w:b/>
                <w:bCs/>
                <w:spacing w:val="-1"/>
                <w:sz w:val="20"/>
              </w:rPr>
              <w:t>Grade 4</w:t>
            </w:r>
          </w:p>
          <w:p w14:paraId="2505192D" w14:textId="1D352F6D" w:rsidR="004D49DC" w:rsidRPr="00E42A49" w:rsidRDefault="004D49DC" w:rsidP="00D14FA7">
            <w:pPr>
              <w:spacing w:before="40" w:after="40"/>
              <w:ind w:left="-144" w:right="-144"/>
              <w:jc w:val="center"/>
              <w:rPr>
                <w:b/>
                <w:bCs/>
                <w:spacing w:val="-1"/>
                <w:sz w:val="20"/>
              </w:rPr>
            </w:pPr>
            <w:r w:rsidRPr="00E42A49">
              <w:rPr>
                <w:b/>
                <w:bCs/>
                <w:spacing w:val="-1"/>
                <w:sz w:val="20"/>
              </w:rPr>
              <w:t>n (%)</w:t>
            </w:r>
          </w:p>
        </w:tc>
        <w:tc>
          <w:tcPr>
            <w:tcW w:w="1458" w:type="dxa"/>
            <w:tcBorders>
              <w:top w:val="nil"/>
              <w:left w:val="nil"/>
              <w:bottom w:val="single" w:sz="8" w:space="0" w:color="000000"/>
              <w:right w:val="single" w:sz="8" w:space="0" w:color="000000"/>
            </w:tcBorders>
            <w:shd w:val="clear" w:color="auto" w:fill="D9D9D9"/>
            <w:hideMark/>
          </w:tcPr>
          <w:p w14:paraId="07CB1614" w14:textId="77777777" w:rsidR="004D49DC" w:rsidRPr="00E42A49" w:rsidRDefault="004D49DC" w:rsidP="00D14FA7">
            <w:pPr>
              <w:spacing w:before="40" w:after="40"/>
              <w:ind w:left="-144" w:right="-144"/>
              <w:jc w:val="center"/>
              <w:rPr>
                <w:b/>
                <w:bCs/>
                <w:spacing w:val="-1"/>
                <w:sz w:val="20"/>
              </w:rPr>
            </w:pPr>
            <w:r w:rsidRPr="00E42A49">
              <w:rPr>
                <w:b/>
                <w:bCs/>
                <w:spacing w:val="-1"/>
                <w:sz w:val="20"/>
              </w:rPr>
              <w:t>Grade 5</w:t>
            </w:r>
          </w:p>
          <w:p w14:paraId="19DE6AC6" w14:textId="151AA7B7" w:rsidR="004D49DC" w:rsidRPr="00E42A49" w:rsidRDefault="004D49DC" w:rsidP="00D14FA7">
            <w:pPr>
              <w:spacing w:before="40" w:after="40"/>
              <w:ind w:left="-144" w:right="-144"/>
              <w:jc w:val="center"/>
              <w:rPr>
                <w:sz w:val="20"/>
              </w:rPr>
            </w:pPr>
            <w:r w:rsidRPr="00E42A49">
              <w:rPr>
                <w:b/>
                <w:bCs/>
                <w:spacing w:val="-1"/>
                <w:sz w:val="20"/>
              </w:rPr>
              <w:t>n (%)</w:t>
            </w:r>
          </w:p>
        </w:tc>
      </w:tr>
      <w:tr w:rsidR="004D49DC" w:rsidRPr="00E42A49" w14:paraId="01D77B8C"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415B5A88" w14:textId="5664A791" w:rsidR="004D49DC" w:rsidRPr="00E42A49" w:rsidRDefault="004D49DC" w:rsidP="00D14FA7">
            <w:pPr>
              <w:spacing w:before="40" w:after="40"/>
              <w:ind w:right="-20"/>
              <w:rPr>
                <w:sz w:val="20"/>
              </w:rPr>
            </w:pPr>
            <w:r w:rsidRPr="00E42A49">
              <w:rPr>
                <w:b/>
                <w:bCs/>
                <w:spacing w:val="-1"/>
                <w:sz w:val="20"/>
              </w:rPr>
              <w:t>Bloo</w:t>
            </w:r>
            <w:r w:rsidRPr="00E42A49">
              <w:rPr>
                <w:b/>
                <w:bCs/>
                <w:sz w:val="20"/>
              </w:rPr>
              <w:t>d</w:t>
            </w:r>
            <w:r w:rsidRPr="00E42A49">
              <w:rPr>
                <w:b/>
                <w:bCs/>
                <w:spacing w:val="-1"/>
                <w:sz w:val="20"/>
              </w:rPr>
              <w:t xml:space="preserve"> an</w:t>
            </w:r>
            <w:r w:rsidRPr="00E42A49">
              <w:rPr>
                <w:b/>
                <w:bCs/>
                <w:sz w:val="20"/>
              </w:rPr>
              <w:t>d</w:t>
            </w:r>
            <w:r w:rsidRPr="00E42A49">
              <w:rPr>
                <w:b/>
                <w:bCs/>
                <w:spacing w:val="-1"/>
                <w:sz w:val="20"/>
              </w:rPr>
              <w:t xml:space="preserve"> Lymphati</w:t>
            </w:r>
            <w:r w:rsidRPr="00E42A49">
              <w:rPr>
                <w:b/>
                <w:bCs/>
                <w:sz w:val="20"/>
              </w:rPr>
              <w:t>c</w:t>
            </w:r>
            <w:r w:rsidRPr="00E42A49">
              <w:rPr>
                <w:b/>
                <w:bCs/>
                <w:spacing w:val="-1"/>
                <w:sz w:val="20"/>
              </w:rPr>
              <w:t xml:space="preserve"> Syste</w:t>
            </w:r>
            <w:r w:rsidRPr="00E42A49">
              <w:rPr>
                <w:b/>
                <w:bCs/>
                <w:sz w:val="20"/>
              </w:rPr>
              <w:t>m</w:t>
            </w:r>
            <w:r w:rsidRPr="00E42A49">
              <w:rPr>
                <w:b/>
                <w:bCs/>
                <w:spacing w:val="-1"/>
                <w:sz w:val="20"/>
              </w:rPr>
              <w:t xml:space="preserve"> Disorders</w:t>
            </w:r>
          </w:p>
        </w:tc>
      </w:tr>
      <w:tr w:rsidR="004D49DC" w:rsidRPr="00E42A49" w14:paraId="703B572D"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42AB6E32" w14:textId="77777777" w:rsidR="004D49DC" w:rsidRPr="00E42A49" w:rsidRDefault="004D49DC" w:rsidP="00D14FA7">
            <w:pPr>
              <w:spacing w:before="40" w:after="40"/>
              <w:ind w:left="287" w:right="-20"/>
              <w:rPr>
                <w:sz w:val="20"/>
              </w:rPr>
            </w:pPr>
            <w:r w:rsidRPr="00E42A49">
              <w:rPr>
                <w:spacing w:val="-1"/>
                <w:sz w:val="20"/>
              </w:rPr>
              <w:t>Anaemia</w:t>
            </w:r>
          </w:p>
        </w:tc>
        <w:tc>
          <w:tcPr>
            <w:tcW w:w="1458" w:type="dxa"/>
            <w:tcBorders>
              <w:top w:val="nil"/>
              <w:left w:val="nil"/>
              <w:bottom w:val="single" w:sz="8" w:space="0" w:color="000000"/>
              <w:right w:val="single" w:sz="8" w:space="0" w:color="000000"/>
            </w:tcBorders>
            <w:hideMark/>
          </w:tcPr>
          <w:p w14:paraId="45AF40D1" w14:textId="77777777" w:rsidR="004D49DC" w:rsidRPr="00E42A49" w:rsidRDefault="004D49DC" w:rsidP="00D14FA7">
            <w:pPr>
              <w:spacing w:before="40" w:after="40"/>
              <w:jc w:val="center"/>
              <w:rPr>
                <w:sz w:val="20"/>
              </w:rPr>
            </w:pPr>
            <w:r w:rsidRPr="00E42A49">
              <w:rPr>
                <w:sz w:val="20"/>
              </w:rPr>
              <w:t>2 (0.9)</w:t>
            </w:r>
          </w:p>
        </w:tc>
        <w:tc>
          <w:tcPr>
            <w:tcW w:w="1458" w:type="dxa"/>
            <w:tcBorders>
              <w:top w:val="nil"/>
              <w:left w:val="nil"/>
              <w:bottom w:val="single" w:sz="8" w:space="0" w:color="000000"/>
              <w:right w:val="single" w:sz="8" w:space="0" w:color="000000"/>
            </w:tcBorders>
            <w:hideMark/>
          </w:tcPr>
          <w:p w14:paraId="6F567BCC" w14:textId="77777777" w:rsidR="004D49DC" w:rsidRPr="00E42A49" w:rsidRDefault="004D49DC" w:rsidP="00D14FA7">
            <w:pPr>
              <w:spacing w:before="40" w:after="40"/>
              <w:jc w:val="center"/>
              <w:rPr>
                <w:sz w:val="20"/>
              </w:rPr>
            </w:pPr>
            <w:r w:rsidRPr="00E42A49">
              <w:rPr>
                <w:sz w:val="20"/>
              </w:rPr>
              <w:t>15 (7.0)</w:t>
            </w:r>
          </w:p>
        </w:tc>
        <w:tc>
          <w:tcPr>
            <w:tcW w:w="1458" w:type="dxa"/>
            <w:tcBorders>
              <w:top w:val="nil"/>
              <w:left w:val="nil"/>
              <w:bottom w:val="single" w:sz="8" w:space="0" w:color="000000"/>
              <w:right w:val="single" w:sz="8" w:space="0" w:color="000000"/>
            </w:tcBorders>
            <w:hideMark/>
          </w:tcPr>
          <w:p w14:paraId="63D83433" w14:textId="77777777" w:rsidR="004D49DC" w:rsidRPr="00E42A49" w:rsidRDefault="004D49DC" w:rsidP="00D14FA7">
            <w:pPr>
              <w:spacing w:before="40" w:after="40"/>
              <w:jc w:val="center"/>
              <w:rPr>
                <w:sz w:val="20"/>
              </w:rPr>
            </w:pPr>
            <w:r w:rsidRPr="00E42A49">
              <w:rPr>
                <w:sz w:val="20"/>
              </w:rPr>
              <w:t>53 (24.8)</w:t>
            </w:r>
          </w:p>
        </w:tc>
        <w:tc>
          <w:tcPr>
            <w:tcW w:w="1458" w:type="dxa"/>
            <w:tcBorders>
              <w:top w:val="nil"/>
              <w:left w:val="nil"/>
              <w:bottom w:val="single" w:sz="8" w:space="0" w:color="000000"/>
              <w:right w:val="single" w:sz="8" w:space="0" w:color="000000"/>
            </w:tcBorders>
            <w:hideMark/>
          </w:tcPr>
          <w:p w14:paraId="7857625D" w14:textId="77777777" w:rsidR="004D49DC" w:rsidRPr="00E42A49" w:rsidRDefault="004D49DC" w:rsidP="00D14FA7">
            <w:pPr>
              <w:spacing w:before="40" w:after="40"/>
              <w:jc w:val="center"/>
              <w:rPr>
                <w:sz w:val="20"/>
              </w:rPr>
            </w:pPr>
            <w:r w:rsidRPr="00E42A49">
              <w:rPr>
                <w:sz w:val="20"/>
              </w:rPr>
              <w:t>3 (1.4)</w:t>
            </w:r>
          </w:p>
        </w:tc>
        <w:tc>
          <w:tcPr>
            <w:tcW w:w="1458" w:type="dxa"/>
            <w:tcBorders>
              <w:top w:val="nil"/>
              <w:left w:val="nil"/>
              <w:bottom w:val="single" w:sz="8" w:space="0" w:color="000000"/>
              <w:right w:val="single" w:sz="8" w:space="0" w:color="000000"/>
            </w:tcBorders>
            <w:hideMark/>
          </w:tcPr>
          <w:p w14:paraId="4B6581D2" w14:textId="77777777" w:rsidR="004D49DC" w:rsidRPr="00E42A49" w:rsidRDefault="004D49DC" w:rsidP="00D14FA7">
            <w:pPr>
              <w:spacing w:before="40" w:after="40"/>
              <w:jc w:val="center"/>
              <w:rPr>
                <w:sz w:val="20"/>
              </w:rPr>
            </w:pPr>
            <w:r w:rsidRPr="00E42A49">
              <w:rPr>
                <w:sz w:val="20"/>
              </w:rPr>
              <w:t>0</w:t>
            </w:r>
          </w:p>
        </w:tc>
      </w:tr>
      <w:tr w:rsidR="004D49DC" w:rsidRPr="00E42A49" w14:paraId="77FE3822"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2F8C4339" w14:textId="77777777" w:rsidR="004D49DC" w:rsidRPr="00E42A49" w:rsidRDefault="004D49DC" w:rsidP="00D14FA7">
            <w:pPr>
              <w:spacing w:before="40" w:after="40"/>
              <w:ind w:left="287" w:right="-20"/>
              <w:rPr>
                <w:sz w:val="20"/>
              </w:rPr>
            </w:pPr>
            <w:r w:rsidRPr="00E42A49">
              <w:rPr>
                <w:spacing w:val="-1"/>
                <w:sz w:val="20"/>
              </w:rPr>
              <w:lastRenderedPageBreak/>
              <w:t>Febril</w:t>
            </w:r>
            <w:r w:rsidRPr="00E42A49">
              <w:rPr>
                <w:sz w:val="20"/>
              </w:rPr>
              <w:t>e</w:t>
            </w:r>
            <w:r w:rsidRPr="00E42A49">
              <w:rPr>
                <w:spacing w:val="-1"/>
                <w:sz w:val="20"/>
              </w:rPr>
              <w:t xml:space="preserve"> Neutropenia</w:t>
            </w:r>
          </w:p>
        </w:tc>
        <w:tc>
          <w:tcPr>
            <w:tcW w:w="1458" w:type="dxa"/>
            <w:tcBorders>
              <w:top w:val="nil"/>
              <w:left w:val="nil"/>
              <w:bottom w:val="single" w:sz="8" w:space="0" w:color="000000"/>
              <w:right w:val="single" w:sz="8" w:space="0" w:color="000000"/>
            </w:tcBorders>
            <w:hideMark/>
          </w:tcPr>
          <w:p w14:paraId="32FBAE82" w14:textId="77777777" w:rsidR="004D49DC" w:rsidRPr="00E42A49" w:rsidRDefault="004D49DC" w:rsidP="00D14FA7">
            <w:pPr>
              <w:spacing w:before="40" w:after="40"/>
              <w:jc w:val="center"/>
              <w:rPr>
                <w:sz w:val="20"/>
              </w:rPr>
            </w:pPr>
            <w:r w:rsidRPr="00E42A49">
              <w:rPr>
                <w:sz w:val="20"/>
              </w:rPr>
              <w:t>2 (0.9)</w:t>
            </w:r>
          </w:p>
        </w:tc>
        <w:tc>
          <w:tcPr>
            <w:tcW w:w="1458" w:type="dxa"/>
            <w:tcBorders>
              <w:top w:val="nil"/>
              <w:left w:val="nil"/>
              <w:bottom w:val="single" w:sz="8" w:space="0" w:color="000000"/>
              <w:right w:val="single" w:sz="8" w:space="0" w:color="000000"/>
            </w:tcBorders>
            <w:hideMark/>
          </w:tcPr>
          <w:p w14:paraId="7C629208" w14:textId="77777777" w:rsidR="004D49DC" w:rsidRPr="00E42A49" w:rsidRDefault="004D49DC" w:rsidP="00D14FA7">
            <w:pPr>
              <w:spacing w:before="40" w:after="40"/>
              <w:jc w:val="center"/>
              <w:rPr>
                <w:sz w:val="20"/>
              </w:rPr>
            </w:pPr>
            <w:r w:rsidRPr="00E42A49">
              <w:rPr>
                <w:sz w:val="20"/>
              </w:rPr>
              <w:t>1 (0.5)</w:t>
            </w:r>
          </w:p>
        </w:tc>
        <w:tc>
          <w:tcPr>
            <w:tcW w:w="1458" w:type="dxa"/>
            <w:tcBorders>
              <w:top w:val="nil"/>
              <w:left w:val="nil"/>
              <w:bottom w:val="single" w:sz="8" w:space="0" w:color="000000"/>
              <w:right w:val="single" w:sz="8" w:space="0" w:color="000000"/>
            </w:tcBorders>
            <w:hideMark/>
          </w:tcPr>
          <w:p w14:paraId="6C8930D1" w14:textId="77777777" w:rsidR="004D49DC" w:rsidRPr="00E42A49" w:rsidRDefault="004D49DC" w:rsidP="00D14FA7">
            <w:pPr>
              <w:spacing w:before="40" w:after="40"/>
              <w:jc w:val="center"/>
              <w:rPr>
                <w:sz w:val="20"/>
              </w:rPr>
            </w:pPr>
            <w:r w:rsidRPr="00E42A49">
              <w:rPr>
                <w:sz w:val="20"/>
              </w:rPr>
              <w:t>69 (32.2)</w:t>
            </w:r>
          </w:p>
        </w:tc>
        <w:tc>
          <w:tcPr>
            <w:tcW w:w="1458" w:type="dxa"/>
            <w:tcBorders>
              <w:top w:val="nil"/>
              <w:left w:val="nil"/>
              <w:bottom w:val="single" w:sz="8" w:space="0" w:color="000000"/>
              <w:right w:val="single" w:sz="8" w:space="0" w:color="000000"/>
            </w:tcBorders>
            <w:hideMark/>
          </w:tcPr>
          <w:p w14:paraId="6622C220" w14:textId="77777777" w:rsidR="004D49DC" w:rsidRPr="00E42A49" w:rsidRDefault="004D49DC" w:rsidP="00D14FA7">
            <w:pPr>
              <w:spacing w:before="40" w:after="40"/>
              <w:jc w:val="center"/>
              <w:rPr>
                <w:sz w:val="20"/>
              </w:rPr>
            </w:pPr>
            <w:r w:rsidRPr="00E42A49">
              <w:rPr>
                <w:sz w:val="20"/>
              </w:rPr>
              <w:t>7 (3.3)</w:t>
            </w:r>
          </w:p>
        </w:tc>
        <w:tc>
          <w:tcPr>
            <w:tcW w:w="1458" w:type="dxa"/>
            <w:tcBorders>
              <w:top w:val="nil"/>
              <w:left w:val="nil"/>
              <w:bottom w:val="single" w:sz="8" w:space="0" w:color="000000"/>
              <w:right w:val="single" w:sz="8" w:space="0" w:color="000000"/>
            </w:tcBorders>
            <w:hideMark/>
          </w:tcPr>
          <w:p w14:paraId="5E7E3DBC" w14:textId="77777777" w:rsidR="004D49DC" w:rsidRPr="00E42A49" w:rsidRDefault="004D49DC" w:rsidP="00D14FA7">
            <w:pPr>
              <w:spacing w:before="40" w:after="40"/>
              <w:jc w:val="center"/>
              <w:rPr>
                <w:sz w:val="20"/>
              </w:rPr>
            </w:pPr>
            <w:r w:rsidRPr="00E42A49">
              <w:rPr>
                <w:sz w:val="20"/>
              </w:rPr>
              <w:t>0</w:t>
            </w:r>
          </w:p>
        </w:tc>
      </w:tr>
      <w:tr w:rsidR="004D49DC" w:rsidRPr="00E42A49" w14:paraId="3B52E109"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6EBC62D7" w14:textId="77777777" w:rsidR="004D49DC" w:rsidRPr="00E42A49" w:rsidRDefault="004D49DC" w:rsidP="00D14FA7">
            <w:pPr>
              <w:spacing w:before="40" w:after="40"/>
              <w:ind w:left="287" w:right="-20"/>
              <w:rPr>
                <w:sz w:val="20"/>
              </w:rPr>
            </w:pPr>
            <w:proofErr w:type="spellStart"/>
            <w:r w:rsidRPr="00E42A49">
              <w:rPr>
                <w:spacing w:val="-1"/>
                <w:sz w:val="20"/>
              </w:rPr>
              <w:t>Leukocytosis</w:t>
            </w:r>
            <w:proofErr w:type="spellEnd"/>
          </w:p>
        </w:tc>
        <w:tc>
          <w:tcPr>
            <w:tcW w:w="1458" w:type="dxa"/>
            <w:tcBorders>
              <w:top w:val="nil"/>
              <w:left w:val="nil"/>
              <w:bottom w:val="single" w:sz="8" w:space="0" w:color="000000"/>
              <w:right w:val="single" w:sz="8" w:space="0" w:color="000000"/>
            </w:tcBorders>
            <w:hideMark/>
          </w:tcPr>
          <w:p w14:paraId="4C28C0ED" w14:textId="77777777" w:rsidR="004D49DC" w:rsidRPr="00E42A49" w:rsidRDefault="004D49DC" w:rsidP="00D14FA7">
            <w:pPr>
              <w:spacing w:before="40" w:after="40"/>
              <w:jc w:val="center"/>
              <w:rPr>
                <w:sz w:val="20"/>
              </w:rPr>
            </w:pPr>
            <w:r w:rsidRPr="00E42A49">
              <w:rPr>
                <w:sz w:val="20"/>
              </w:rPr>
              <w:t>7 (3.3)</w:t>
            </w:r>
          </w:p>
        </w:tc>
        <w:tc>
          <w:tcPr>
            <w:tcW w:w="1458" w:type="dxa"/>
            <w:tcBorders>
              <w:top w:val="nil"/>
              <w:left w:val="nil"/>
              <w:bottom w:val="single" w:sz="8" w:space="0" w:color="000000"/>
              <w:right w:val="single" w:sz="8" w:space="0" w:color="000000"/>
            </w:tcBorders>
            <w:hideMark/>
          </w:tcPr>
          <w:p w14:paraId="527E1073" w14:textId="77777777" w:rsidR="004D49DC" w:rsidRPr="00E42A49" w:rsidRDefault="004D49DC" w:rsidP="00D14FA7">
            <w:pPr>
              <w:spacing w:before="40" w:after="40"/>
              <w:jc w:val="center"/>
              <w:rPr>
                <w:sz w:val="20"/>
              </w:rPr>
            </w:pPr>
            <w:r w:rsidRPr="00E42A49">
              <w:rPr>
                <w:sz w:val="20"/>
              </w:rPr>
              <w:t>21 (9.8)</w:t>
            </w:r>
          </w:p>
        </w:tc>
        <w:tc>
          <w:tcPr>
            <w:tcW w:w="1458" w:type="dxa"/>
            <w:tcBorders>
              <w:top w:val="nil"/>
              <w:left w:val="nil"/>
              <w:bottom w:val="single" w:sz="8" w:space="0" w:color="000000"/>
              <w:right w:val="single" w:sz="8" w:space="0" w:color="000000"/>
            </w:tcBorders>
            <w:hideMark/>
          </w:tcPr>
          <w:p w14:paraId="4949E923" w14:textId="77777777" w:rsidR="004D49DC" w:rsidRPr="00E42A49" w:rsidRDefault="004D49DC" w:rsidP="00D14FA7">
            <w:pPr>
              <w:spacing w:before="40" w:after="40"/>
              <w:jc w:val="center"/>
              <w:rPr>
                <w:sz w:val="20"/>
              </w:rPr>
            </w:pPr>
            <w:r w:rsidRPr="00E42A49">
              <w:rPr>
                <w:sz w:val="20"/>
              </w:rPr>
              <w:t>16 (7.5)</w:t>
            </w:r>
          </w:p>
        </w:tc>
        <w:tc>
          <w:tcPr>
            <w:tcW w:w="1458" w:type="dxa"/>
            <w:tcBorders>
              <w:top w:val="nil"/>
              <w:left w:val="nil"/>
              <w:bottom w:val="single" w:sz="8" w:space="0" w:color="000000"/>
              <w:right w:val="single" w:sz="8" w:space="0" w:color="000000"/>
            </w:tcBorders>
            <w:hideMark/>
          </w:tcPr>
          <w:p w14:paraId="3381C9FE" w14:textId="77777777" w:rsidR="004D49DC" w:rsidRPr="00E42A49" w:rsidRDefault="004D49DC" w:rsidP="00D14FA7">
            <w:pPr>
              <w:spacing w:before="40" w:after="40"/>
              <w:jc w:val="center"/>
              <w:rPr>
                <w:sz w:val="20"/>
              </w:rPr>
            </w:pPr>
            <w:r w:rsidRPr="00E42A49">
              <w:rPr>
                <w:sz w:val="20"/>
              </w:rPr>
              <w:t>5 (2.3)</w:t>
            </w:r>
          </w:p>
        </w:tc>
        <w:tc>
          <w:tcPr>
            <w:tcW w:w="1458" w:type="dxa"/>
            <w:tcBorders>
              <w:top w:val="nil"/>
              <w:left w:val="nil"/>
              <w:bottom w:val="single" w:sz="8" w:space="0" w:color="000000"/>
              <w:right w:val="single" w:sz="8" w:space="0" w:color="000000"/>
            </w:tcBorders>
            <w:hideMark/>
          </w:tcPr>
          <w:p w14:paraId="152EECCB" w14:textId="77777777" w:rsidR="004D49DC" w:rsidRPr="00E42A49" w:rsidRDefault="004D49DC" w:rsidP="00D14FA7">
            <w:pPr>
              <w:spacing w:before="40" w:after="40"/>
              <w:jc w:val="center"/>
              <w:rPr>
                <w:sz w:val="20"/>
              </w:rPr>
            </w:pPr>
            <w:r w:rsidRPr="00E42A49">
              <w:rPr>
                <w:sz w:val="20"/>
              </w:rPr>
              <w:t>1 (0.5)</w:t>
            </w:r>
          </w:p>
        </w:tc>
      </w:tr>
      <w:tr w:rsidR="004D49DC" w:rsidRPr="00E42A49" w14:paraId="0EDC1D8B"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758FD8E1" w14:textId="77777777" w:rsidR="004D49DC" w:rsidRPr="00E42A49" w:rsidRDefault="004D49DC" w:rsidP="00D14FA7">
            <w:pPr>
              <w:spacing w:before="40" w:after="40"/>
              <w:ind w:left="287" w:right="-20"/>
              <w:rPr>
                <w:sz w:val="20"/>
              </w:rPr>
            </w:pPr>
            <w:r w:rsidRPr="00E42A49">
              <w:rPr>
                <w:spacing w:val="-1"/>
                <w:sz w:val="20"/>
              </w:rPr>
              <w:t>Thrombocytopenia</w:t>
            </w:r>
          </w:p>
        </w:tc>
        <w:tc>
          <w:tcPr>
            <w:tcW w:w="1458" w:type="dxa"/>
            <w:tcBorders>
              <w:top w:val="nil"/>
              <w:left w:val="nil"/>
              <w:bottom w:val="single" w:sz="8" w:space="0" w:color="000000"/>
              <w:right w:val="single" w:sz="8" w:space="0" w:color="000000"/>
            </w:tcBorders>
            <w:hideMark/>
          </w:tcPr>
          <w:p w14:paraId="2A801BF0" w14:textId="77777777" w:rsidR="004D49DC" w:rsidRPr="00E42A49" w:rsidRDefault="004D49DC" w:rsidP="00D14FA7">
            <w:pPr>
              <w:spacing w:before="40" w:after="40"/>
              <w:jc w:val="center"/>
              <w:rPr>
                <w:sz w:val="20"/>
              </w:rPr>
            </w:pPr>
            <w:r w:rsidRPr="00E42A49">
              <w:rPr>
                <w:sz w:val="20"/>
              </w:rPr>
              <w:t>3 (1.4)</w:t>
            </w:r>
          </w:p>
        </w:tc>
        <w:tc>
          <w:tcPr>
            <w:tcW w:w="1458" w:type="dxa"/>
            <w:tcBorders>
              <w:top w:val="nil"/>
              <w:left w:val="nil"/>
              <w:bottom w:val="single" w:sz="8" w:space="0" w:color="000000"/>
              <w:right w:val="single" w:sz="8" w:space="0" w:color="000000"/>
            </w:tcBorders>
            <w:hideMark/>
          </w:tcPr>
          <w:p w14:paraId="0FBC84C2" w14:textId="77777777" w:rsidR="004D49DC" w:rsidRPr="00E42A49" w:rsidRDefault="004D49DC" w:rsidP="00D14FA7">
            <w:pPr>
              <w:spacing w:before="40" w:after="40"/>
              <w:jc w:val="center"/>
              <w:rPr>
                <w:sz w:val="20"/>
              </w:rPr>
            </w:pPr>
            <w:r w:rsidRPr="00E42A49">
              <w:rPr>
                <w:sz w:val="20"/>
              </w:rPr>
              <w:t>3 (1.4)</w:t>
            </w:r>
          </w:p>
        </w:tc>
        <w:tc>
          <w:tcPr>
            <w:tcW w:w="1458" w:type="dxa"/>
            <w:tcBorders>
              <w:top w:val="nil"/>
              <w:left w:val="nil"/>
              <w:bottom w:val="single" w:sz="8" w:space="0" w:color="000000"/>
              <w:right w:val="single" w:sz="8" w:space="0" w:color="000000"/>
            </w:tcBorders>
            <w:hideMark/>
          </w:tcPr>
          <w:p w14:paraId="4E3DAD4A" w14:textId="77777777" w:rsidR="004D49DC" w:rsidRPr="00E42A49" w:rsidRDefault="004D49DC" w:rsidP="00D14FA7">
            <w:pPr>
              <w:spacing w:before="40" w:after="40"/>
              <w:jc w:val="center"/>
              <w:rPr>
                <w:sz w:val="20"/>
              </w:rPr>
            </w:pPr>
            <w:r w:rsidRPr="00E42A49">
              <w:rPr>
                <w:sz w:val="20"/>
              </w:rPr>
              <w:t>6 (2.8)</w:t>
            </w:r>
          </w:p>
        </w:tc>
        <w:tc>
          <w:tcPr>
            <w:tcW w:w="1458" w:type="dxa"/>
            <w:tcBorders>
              <w:top w:val="nil"/>
              <w:left w:val="nil"/>
              <w:bottom w:val="single" w:sz="8" w:space="0" w:color="000000"/>
              <w:right w:val="single" w:sz="8" w:space="0" w:color="000000"/>
            </w:tcBorders>
            <w:hideMark/>
          </w:tcPr>
          <w:p w14:paraId="2F2DCD2B" w14:textId="77777777" w:rsidR="004D49DC" w:rsidRPr="00E42A49" w:rsidRDefault="004D49DC" w:rsidP="00D14FA7">
            <w:pPr>
              <w:spacing w:before="40" w:after="40"/>
              <w:jc w:val="center"/>
              <w:rPr>
                <w:sz w:val="20"/>
              </w:rPr>
            </w:pPr>
            <w:r w:rsidRPr="00E42A49">
              <w:rPr>
                <w:sz w:val="20"/>
              </w:rPr>
              <w:t>33 (15.4)</w:t>
            </w:r>
          </w:p>
        </w:tc>
        <w:tc>
          <w:tcPr>
            <w:tcW w:w="1458" w:type="dxa"/>
            <w:tcBorders>
              <w:top w:val="nil"/>
              <w:left w:val="nil"/>
              <w:bottom w:val="single" w:sz="8" w:space="0" w:color="000000"/>
              <w:right w:val="single" w:sz="8" w:space="0" w:color="000000"/>
            </w:tcBorders>
            <w:hideMark/>
          </w:tcPr>
          <w:p w14:paraId="0B24C9EF" w14:textId="77777777" w:rsidR="004D49DC" w:rsidRPr="00E42A49" w:rsidRDefault="004D49DC" w:rsidP="00D14FA7">
            <w:pPr>
              <w:spacing w:before="40" w:after="40"/>
              <w:jc w:val="center"/>
              <w:rPr>
                <w:sz w:val="20"/>
              </w:rPr>
            </w:pPr>
            <w:r w:rsidRPr="00E42A49">
              <w:rPr>
                <w:sz w:val="20"/>
              </w:rPr>
              <w:t>0</w:t>
            </w:r>
          </w:p>
        </w:tc>
      </w:tr>
      <w:tr w:rsidR="004D49DC" w:rsidRPr="00E42A49" w14:paraId="420196F8"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38240C3C" w14:textId="77777777" w:rsidR="004D49DC" w:rsidRPr="00E42A49" w:rsidRDefault="004D49DC" w:rsidP="00D14FA7">
            <w:pPr>
              <w:spacing w:before="40" w:after="40"/>
              <w:ind w:right="-20"/>
              <w:rPr>
                <w:sz w:val="20"/>
              </w:rPr>
            </w:pPr>
            <w:r w:rsidRPr="00E42A49">
              <w:rPr>
                <w:b/>
                <w:bCs/>
                <w:sz w:val="20"/>
              </w:rPr>
              <w:t>Gastrointestinal</w:t>
            </w:r>
            <w:r w:rsidRPr="00E42A49">
              <w:rPr>
                <w:b/>
                <w:bCs/>
                <w:spacing w:val="-1"/>
                <w:sz w:val="20"/>
              </w:rPr>
              <w:t xml:space="preserve"> </w:t>
            </w:r>
            <w:r w:rsidRPr="00E42A49">
              <w:rPr>
                <w:b/>
                <w:bCs/>
                <w:sz w:val="20"/>
              </w:rPr>
              <w:t>Disorders</w:t>
            </w:r>
          </w:p>
        </w:tc>
      </w:tr>
      <w:tr w:rsidR="004D49DC" w:rsidRPr="00E42A49" w14:paraId="320F9BFD"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5209926B" w14:textId="77777777" w:rsidR="004D49DC" w:rsidRPr="00E42A49" w:rsidRDefault="004D49DC" w:rsidP="00D14FA7">
            <w:pPr>
              <w:spacing w:before="40" w:after="40"/>
              <w:ind w:left="287" w:right="-20"/>
              <w:rPr>
                <w:sz w:val="20"/>
              </w:rPr>
            </w:pPr>
            <w:r w:rsidRPr="00E42A49">
              <w:rPr>
                <w:spacing w:val="-1"/>
                <w:sz w:val="20"/>
              </w:rPr>
              <w:t>Constipation</w:t>
            </w:r>
          </w:p>
        </w:tc>
        <w:tc>
          <w:tcPr>
            <w:tcW w:w="1458" w:type="dxa"/>
            <w:tcBorders>
              <w:top w:val="nil"/>
              <w:left w:val="nil"/>
              <w:bottom w:val="single" w:sz="8" w:space="0" w:color="000000"/>
              <w:right w:val="single" w:sz="8" w:space="0" w:color="000000"/>
            </w:tcBorders>
            <w:hideMark/>
          </w:tcPr>
          <w:p w14:paraId="5442E30B" w14:textId="77777777" w:rsidR="004D49DC" w:rsidRPr="00E42A49" w:rsidRDefault="004D49DC" w:rsidP="00D14FA7">
            <w:pPr>
              <w:spacing w:before="40" w:after="40"/>
              <w:jc w:val="center"/>
              <w:rPr>
                <w:sz w:val="20"/>
              </w:rPr>
            </w:pPr>
            <w:r w:rsidRPr="00E42A49">
              <w:rPr>
                <w:sz w:val="20"/>
              </w:rPr>
              <w:t>39 (18.2)</w:t>
            </w:r>
          </w:p>
        </w:tc>
        <w:tc>
          <w:tcPr>
            <w:tcW w:w="1458" w:type="dxa"/>
            <w:tcBorders>
              <w:top w:val="nil"/>
              <w:left w:val="nil"/>
              <w:bottom w:val="single" w:sz="8" w:space="0" w:color="000000"/>
              <w:right w:val="single" w:sz="8" w:space="0" w:color="000000"/>
            </w:tcBorders>
            <w:hideMark/>
          </w:tcPr>
          <w:p w14:paraId="250D0479" w14:textId="77777777" w:rsidR="004D49DC" w:rsidRPr="00E42A49" w:rsidRDefault="004D49DC" w:rsidP="00D14FA7">
            <w:pPr>
              <w:spacing w:before="40" w:after="40"/>
              <w:jc w:val="center"/>
              <w:rPr>
                <w:sz w:val="20"/>
              </w:rPr>
            </w:pPr>
            <w:r w:rsidRPr="00E42A49">
              <w:rPr>
                <w:sz w:val="20"/>
              </w:rPr>
              <w:t>16 (7.5)</w:t>
            </w:r>
          </w:p>
        </w:tc>
        <w:tc>
          <w:tcPr>
            <w:tcW w:w="1458" w:type="dxa"/>
            <w:tcBorders>
              <w:top w:val="nil"/>
              <w:left w:val="nil"/>
              <w:bottom w:val="single" w:sz="8" w:space="0" w:color="000000"/>
              <w:right w:val="single" w:sz="8" w:space="0" w:color="000000"/>
            </w:tcBorders>
            <w:hideMark/>
          </w:tcPr>
          <w:p w14:paraId="7F7169E0"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3CF7A100"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02E842C3" w14:textId="77777777" w:rsidR="004D49DC" w:rsidRPr="00E42A49" w:rsidRDefault="004D49DC" w:rsidP="00D14FA7">
            <w:pPr>
              <w:spacing w:before="40" w:after="40"/>
              <w:jc w:val="center"/>
              <w:rPr>
                <w:sz w:val="20"/>
              </w:rPr>
            </w:pPr>
            <w:r w:rsidRPr="00E42A49">
              <w:rPr>
                <w:sz w:val="20"/>
              </w:rPr>
              <w:t>0</w:t>
            </w:r>
          </w:p>
        </w:tc>
      </w:tr>
      <w:tr w:rsidR="004D49DC" w:rsidRPr="00E42A49" w14:paraId="59B11E23"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1BE00677" w14:textId="77777777" w:rsidR="004D49DC" w:rsidRPr="00E42A49" w:rsidRDefault="004D49DC" w:rsidP="00D14FA7">
            <w:pPr>
              <w:spacing w:before="40" w:after="40"/>
              <w:ind w:left="287" w:right="-20"/>
              <w:rPr>
                <w:sz w:val="20"/>
              </w:rPr>
            </w:pPr>
            <w:r w:rsidRPr="00E42A49">
              <w:rPr>
                <w:spacing w:val="-1"/>
                <w:sz w:val="20"/>
              </w:rPr>
              <w:t>Diarrhoea</w:t>
            </w:r>
          </w:p>
        </w:tc>
        <w:tc>
          <w:tcPr>
            <w:tcW w:w="1458" w:type="dxa"/>
            <w:tcBorders>
              <w:top w:val="nil"/>
              <w:left w:val="nil"/>
              <w:bottom w:val="single" w:sz="8" w:space="0" w:color="000000"/>
              <w:right w:val="single" w:sz="8" w:space="0" w:color="000000"/>
            </w:tcBorders>
            <w:hideMark/>
          </w:tcPr>
          <w:p w14:paraId="7C64B6A1" w14:textId="77777777" w:rsidR="004D49DC" w:rsidRPr="00E42A49" w:rsidRDefault="004D49DC" w:rsidP="00D14FA7">
            <w:pPr>
              <w:spacing w:before="40" w:after="40"/>
              <w:jc w:val="center"/>
              <w:rPr>
                <w:sz w:val="20"/>
              </w:rPr>
            </w:pPr>
            <w:r w:rsidRPr="00E42A49">
              <w:rPr>
                <w:sz w:val="20"/>
              </w:rPr>
              <w:t>46 (21.5)</w:t>
            </w:r>
          </w:p>
        </w:tc>
        <w:tc>
          <w:tcPr>
            <w:tcW w:w="1458" w:type="dxa"/>
            <w:tcBorders>
              <w:top w:val="nil"/>
              <w:left w:val="nil"/>
              <w:bottom w:val="single" w:sz="8" w:space="0" w:color="000000"/>
              <w:right w:val="single" w:sz="8" w:space="0" w:color="000000"/>
            </w:tcBorders>
            <w:hideMark/>
          </w:tcPr>
          <w:p w14:paraId="3EBF2F8E" w14:textId="77777777" w:rsidR="004D49DC" w:rsidRPr="00E42A49" w:rsidRDefault="004D49DC" w:rsidP="00D14FA7">
            <w:pPr>
              <w:spacing w:before="40" w:after="40"/>
              <w:jc w:val="center"/>
              <w:rPr>
                <w:sz w:val="20"/>
              </w:rPr>
            </w:pPr>
            <w:r w:rsidRPr="00E42A49">
              <w:rPr>
                <w:sz w:val="20"/>
              </w:rPr>
              <w:t>30 (14.0)</w:t>
            </w:r>
          </w:p>
        </w:tc>
        <w:tc>
          <w:tcPr>
            <w:tcW w:w="1458" w:type="dxa"/>
            <w:tcBorders>
              <w:top w:val="nil"/>
              <w:left w:val="nil"/>
              <w:bottom w:val="single" w:sz="8" w:space="0" w:color="000000"/>
              <w:right w:val="single" w:sz="8" w:space="0" w:color="000000"/>
            </w:tcBorders>
            <w:hideMark/>
          </w:tcPr>
          <w:p w14:paraId="4790382C" w14:textId="77777777" w:rsidR="004D49DC" w:rsidRPr="00E42A49" w:rsidRDefault="004D49DC" w:rsidP="00D14FA7">
            <w:pPr>
              <w:spacing w:before="40" w:after="40"/>
              <w:jc w:val="center"/>
              <w:rPr>
                <w:sz w:val="20"/>
              </w:rPr>
            </w:pPr>
            <w:r w:rsidRPr="00E42A49">
              <w:rPr>
                <w:sz w:val="20"/>
              </w:rPr>
              <w:t>10 (4.7)</w:t>
            </w:r>
          </w:p>
        </w:tc>
        <w:tc>
          <w:tcPr>
            <w:tcW w:w="1458" w:type="dxa"/>
            <w:tcBorders>
              <w:top w:val="nil"/>
              <w:left w:val="nil"/>
              <w:bottom w:val="single" w:sz="8" w:space="0" w:color="000000"/>
              <w:right w:val="single" w:sz="8" w:space="0" w:color="000000"/>
            </w:tcBorders>
            <w:hideMark/>
          </w:tcPr>
          <w:p w14:paraId="02C7C4CF"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44D5DDFD" w14:textId="77777777" w:rsidR="004D49DC" w:rsidRPr="00E42A49" w:rsidRDefault="004D49DC" w:rsidP="00D14FA7">
            <w:pPr>
              <w:spacing w:before="40" w:after="40"/>
              <w:jc w:val="center"/>
              <w:rPr>
                <w:sz w:val="20"/>
              </w:rPr>
            </w:pPr>
            <w:r w:rsidRPr="00E42A49">
              <w:rPr>
                <w:sz w:val="20"/>
              </w:rPr>
              <w:t>0</w:t>
            </w:r>
          </w:p>
        </w:tc>
      </w:tr>
      <w:tr w:rsidR="004D49DC" w:rsidRPr="00E42A49" w14:paraId="5D1685EB"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7ADE1388" w14:textId="77777777" w:rsidR="004D49DC" w:rsidRPr="00E42A49" w:rsidRDefault="004D49DC" w:rsidP="00D14FA7">
            <w:pPr>
              <w:spacing w:before="40" w:after="40"/>
              <w:ind w:left="287" w:right="-20"/>
              <w:rPr>
                <w:sz w:val="20"/>
              </w:rPr>
            </w:pPr>
            <w:r w:rsidRPr="00E42A49">
              <w:rPr>
                <w:spacing w:val="-1"/>
                <w:sz w:val="20"/>
              </w:rPr>
              <w:t>Nausea</w:t>
            </w:r>
          </w:p>
        </w:tc>
        <w:tc>
          <w:tcPr>
            <w:tcW w:w="1458" w:type="dxa"/>
            <w:tcBorders>
              <w:top w:val="nil"/>
              <w:left w:val="nil"/>
              <w:bottom w:val="single" w:sz="8" w:space="0" w:color="000000"/>
              <w:right w:val="single" w:sz="8" w:space="0" w:color="000000"/>
            </w:tcBorders>
            <w:hideMark/>
          </w:tcPr>
          <w:p w14:paraId="34A03B0C" w14:textId="77777777" w:rsidR="004D49DC" w:rsidRPr="00E42A49" w:rsidRDefault="004D49DC" w:rsidP="00D14FA7">
            <w:pPr>
              <w:spacing w:before="40" w:after="40"/>
              <w:jc w:val="center"/>
              <w:rPr>
                <w:sz w:val="20"/>
              </w:rPr>
            </w:pPr>
            <w:r w:rsidRPr="00E42A49">
              <w:rPr>
                <w:sz w:val="20"/>
              </w:rPr>
              <w:t>58 (27.1)</w:t>
            </w:r>
          </w:p>
        </w:tc>
        <w:tc>
          <w:tcPr>
            <w:tcW w:w="1458" w:type="dxa"/>
            <w:tcBorders>
              <w:top w:val="nil"/>
              <w:left w:val="nil"/>
              <w:bottom w:val="single" w:sz="8" w:space="0" w:color="000000"/>
              <w:right w:val="single" w:sz="8" w:space="0" w:color="000000"/>
            </w:tcBorders>
            <w:hideMark/>
          </w:tcPr>
          <w:p w14:paraId="020611E8" w14:textId="77777777" w:rsidR="004D49DC" w:rsidRPr="00E42A49" w:rsidRDefault="004D49DC" w:rsidP="00D14FA7">
            <w:pPr>
              <w:spacing w:before="40" w:after="40"/>
              <w:jc w:val="center"/>
              <w:rPr>
                <w:sz w:val="20"/>
              </w:rPr>
            </w:pPr>
            <w:r w:rsidRPr="00E42A49">
              <w:rPr>
                <w:sz w:val="20"/>
              </w:rPr>
              <w:t>39 (18.2)</w:t>
            </w:r>
          </w:p>
        </w:tc>
        <w:tc>
          <w:tcPr>
            <w:tcW w:w="1458" w:type="dxa"/>
            <w:tcBorders>
              <w:top w:val="nil"/>
              <w:left w:val="nil"/>
              <w:bottom w:val="single" w:sz="8" w:space="0" w:color="000000"/>
              <w:right w:val="single" w:sz="8" w:space="0" w:color="000000"/>
            </w:tcBorders>
            <w:hideMark/>
          </w:tcPr>
          <w:p w14:paraId="3DE99CE4" w14:textId="77777777" w:rsidR="004D49DC" w:rsidRPr="00E42A49" w:rsidRDefault="004D49DC" w:rsidP="00D14FA7">
            <w:pPr>
              <w:spacing w:before="40" w:after="40"/>
              <w:jc w:val="center"/>
              <w:rPr>
                <w:sz w:val="20"/>
              </w:rPr>
            </w:pPr>
            <w:r w:rsidRPr="00E42A49">
              <w:rPr>
                <w:sz w:val="20"/>
              </w:rPr>
              <w:t>11 (5.1)</w:t>
            </w:r>
          </w:p>
        </w:tc>
        <w:tc>
          <w:tcPr>
            <w:tcW w:w="1458" w:type="dxa"/>
            <w:tcBorders>
              <w:top w:val="nil"/>
              <w:left w:val="nil"/>
              <w:bottom w:val="single" w:sz="8" w:space="0" w:color="000000"/>
              <w:right w:val="single" w:sz="8" w:space="0" w:color="000000"/>
            </w:tcBorders>
            <w:hideMark/>
          </w:tcPr>
          <w:p w14:paraId="4634A5BB"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6CC6CBAD" w14:textId="77777777" w:rsidR="004D49DC" w:rsidRPr="00E42A49" w:rsidRDefault="004D49DC" w:rsidP="00D14FA7">
            <w:pPr>
              <w:spacing w:before="40" w:after="40"/>
              <w:jc w:val="center"/>
              <w:rPr>
                <w:sz w:val="20"/>
              </w:rPr>
            </w:pPr>
            <w:r w:rsidRPr="00E42A49">
              <w:rPr>
                <w:sz w:val="20"/>
              </w:rPr>
              <w:t>0</w:t>
            </w:r>
          </w:p>
        </w:tc>
      </w:tr>
      <w:tr w:rsidR="004D49DC" w:rsidRPr="00E42A49" w14:paraId="558DD901"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441C716C" w14:textId="77777777" w:rsidR="004D49DC" w:rsidRPr="00E42A49" w:rsidRDefault="004D49DC" w:rsidP="00D14FA7">
            <w:pPr>
              <w:spacing w:before="40" w:after="40"/>
              <w:ind w:left="287" w:right="-20"/>
              <w:rPr>
                <w:sz w:val="20"/>
              </w:rPr>
            </w:pPr>
            <w:r w:rsidRPr="00E42A49">
              <w:rPr>
                <w:sz w:val="20"/>
              </w:rPr>
              <w:t>Vomiting</w:t>
            </w:r>
          </w:p>
        </w:tc>
        <w:tc>
          <w:tcPr>
            <w:tcW w:w="1458" w:type="dxa"/>
            <w:tcBorders>
              <w:top w:val="nil"/>
              <w:left w:val="nil"/>
              <w:bottom w:val="single" w:sz="8" w:space="0" w:color="000000"/>
              <w:right w:val="single" w:sz="8" w:space="0" w:color="000000"/>
            </w:tcBorders>
            <w:hideMark/>
          </w:tcPr>
          <w:p w14:paraId="1238090A" w14:textId="77777777" w:rsidR="004D49DC" w:rsidRPr="00E42A49" w:rsidRDefault="004D49DC" w:rsidP="00D14FA7">
            <w:pPr>
              <w:spacing w:before="40" w:after="40"/>
              <w:jc w:val="center"/>
              <w:rPr>
                <w:sz w:val="20"/>
              </w:rPr>
            </w:pPr>
            <w:r w:rsidRPr="00E42A49">
              <w:rPr>
                <w:sz w:val="20"/>
              </w:rPr>
              <w:t>48 (22.4)</w:t>
            </w:r>
          </w:p>
        </w:tc>
        <w:tc>
          <w:tcPr>
            <w:tcW w:w="1458" w:type="dxa"/>
            <w:tcBorders>
              <w:top w:val="nil"/>
              <w:left w:val="nil"/>
              <w:bottom w:val="single" w:sz="8" w:space="0" w:color="000000"/>
              <w:right w:val="single" w:sz="8" w:space="0" w:color="000000"/>
            </w:tcBorders>
            <w:hideMark/>
          </w:tcPr>
          <w:p w14:paraId="0ABF7F15" w14:textId="77777777" w:rsidR="004D49DC" w:rsidRPr="00E42A49" w:rsidRDefault="004D49DC" w:rsidP="00D14FA7">
            <w:pPr>
              <w:spacing w:before="40" w:after="40"/>
              <w:jc w:val="center"/>
              <w:rPr>
                <w:sz w:val="20"/>
              </w:rPr>
            </w:pPr>
            <w:r w:rsidRPr="00E42A49">
              <w:rPr>
                <w:sz w:val="20"/>
              </w:rPr>
              <w:t>22 (10.3)</w:t>
            </w:r>
          </w:p>
        </w:tc>
        <w:tc>
          <w:tcPr>
            <w:tcW w:w="1458" w:type="dxa"/>
            <w:tcBorders>
              <w:top w:val="nil"/>
              <w:left w:val="nil"/>
              <w:bottom w:val="single" w:sz="8" w:space="0" w:color="000000"/>
              <w:right w:val="single" w:sz="8" w:space="0" w:color="000000"/>
            </w:tcBorders>
            <w:hideMark/>
          </w:tcPr>
          <w:p w14:paraId="6F7AEFD0" w14:textId="77777777" w:rsidR="004D49DC" w:rsidRPr="00E42A49" w:rsidRDefault="004D49DC" w:rsidP="00D14FA7">
            <w:pPr>
              <w:spacing w:before="40" w:after="40"/>
              <w:jc w:val="center"/>
              <w:rPr>
                <w:sz w:val="20"/>
              </w:rPr>
            </w:pPr>
            <w:r w:rsidRPr="00E42A49">
              <w:rPr>
                <w:sz w:val="20"/>
              </w:rPr>
              <w:t>3 (1.4)</w:t>
            </w:r>
          </w:p>
        </w:tc>
        <w:tc>
          <w:tcPr>
            <w:tcW w:w="1458" w:type="dxa"/>
            <w:tcBorders>
              <w:top w:val="nil"/>
              <w:left w:val="nil"/>
              <w:bottom w:val="single" w:sz="8" w:space="0" w:color="000000"/>
              <w:right w:val="single" w:sz="8" w:space="0" w:color="000000"/>
            </w:tcBorders>
            <w:hideMark/>
          </w:tcPr>
          <w:p w14:paraId="5A4EFEB0" w14:textId="77777777" w:rsidR="004D49DC" w:rsidRPr="00E42A49" w:rsidRDefault="004D49DC" w:rsidP="00D14FA7">
            <w:pPr>
              <w:spacing w:before="40" w:after="40"/>
              <w:jc w:val="center"/>
              <w:rPr>
                <w:sz w:val="20"/>
              </w:rPr>
            </w:pPr>
            <w:r w:rsidRPr="00E42A49">
              <w:rPr>
                <w:sz w:val="20"/>
              </w:rPr>
              <w:t>1 (0.5)</w:t>
            </w:r>
          </w:p>
        </w:tc>
        <w:tc>
          <w:tcPr>
            <w:tcW w:w="1458" w:type="dxa"/>
            <w:tcBorders>
              <w:top w:val="nil"/>
              <w:left w:val="nil"/>
              <w:bottom w:val="single" w:sz="8" w:space="0" w:color="000000"/>
              <w:right w:val="single" w:sz="8" w:space="0" w:color="000000"/>
            </w:tcBorders>
            <w:hideMark/>
          </w:tcPr>
          <w:p w14:paraId="238D9728" w14:textId="77777777" w:rsidR="004D49DC" w:rsidRPr="00E42A49" w:rsidRDefault="004D49DC" w:rsidP="00D14FA7">
            <w:pPr>
              <w:spacing w:before="40" w:after="40"/>
              <w:jc w:val="center"/>
              <w:rPr>
                <w:sz w:val="20"/>
              </w:rPr>
            </w:pPr>
            <w:r w:rsidRPr="00E42A49">
              <w:rPr>
                <w:sz w:val="20"/>
              </w:rPr>
              <w:t>0</w:t>
            </w:r>
          </w:p>
        </w:tc>
      </w:tr>
      <w:tr w:rsidR="004D49DC" w:rsidRPr="00E42A49" w14:paraId="2DA92C4A" w14:textId="77777777" w:rsidTr="004D49DC">
        <w:trPr>
          <w:trHeight w:val="456"/>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17BC90ED" w14:textId="77777777" w:rsidR="004D49DC" w:rsidRPr="00E42A49" w:rsidRDefault="004D49DC" w:rsidP="00D14FA7">
            <w:pPr>
              <w:spacing w:before="40" w:after="40"/>
              <w:ind w:right="-20"/>
              <w:rPr>
                <w:sz w:val="20"/>
              </w:rPr>
            </w:pPr>
            <w:r w:rsidRPr="00E42A49">
              <w:rPr>
                <w:b/>
                <w:bCs/>
                <w:sz w:val="20"/>
              </w:rPr>
              <w:t>General</w:t>
            </w:r>
            <w:r w:rsidRPr="00E42A49">
              <w:rPr>
                <w:b/>
                <w:bCs/>
                <w:spacing w:val="2"/>
                <w:sz w:val="20"/>
              </w:rPr>
              <w:t xml:space="preserve"> </w:t>
            </w:r>
            <w:r w:rsidRPr="00E42A49">
              <w:rPr>
                <w:b/>
                <w:bCs/>
                <w:spacing w:val="-1"/>
                <w:sz w:val="20"/>
              </w:rPr>
              <w:t>Disorder</w:t>
            </w:r>
            <w:r w:rsidRPr="00E42A49">
              <w:rPr>
                <w:b/>
                <w:bCs/>
                <w:sz w:val="20"/>
              </w:rPr>
              <w:t>s</w:t>
            </w:r>
            <w:r w:rsidRPr="00E42A49">
              <w:rPr>
                <w:b/>
                <w:bCs/>
                <w:spacing w:val="1"/>
                <w:sz w:val="20"/>
              </w:rPr>
              <w:t xml:space="preserve"> </w:t>
            </w:r>
            <w:r w:rsidRPr="00E42A49">
              <w:rPr>
                <w:b/>
                <w:bCs/>
                <w:spacing w:val="-1"/>
                <w:sz w:val="20"/>
              </w:rPr>
              <w:t>an</w:t>
            </w:r>
            <w:r w:rsidRPr="00E42A49">
              <w:rPr>
                <w:b/>
                <w:bCs/>
                <w:sz w:val="20"/>
              </w:rPr>
              <w:t>d</w:t>
            </w:r>
            <w:r w:rsidRPr="00E42A49">
              <w:rPr>
                <w:b/>
                <w:bCs/>
                <w:spacing w:val="-2"/>
                <w:sz w:val="20"/>
              </w:rPr>
              <w:t xml:space="preserve"> </w:t>
            </w:r>
            <w:r w:rsidRPr="00E42A49">
              <w:rPr>
                <w:b/>
                <w:bCs/>
                <w:spacing w:val="-1"/>
                <w:sz w:val="20"/>
              </w:rPr>
              <w:t>Administratio</w:t>
            </w:r>
            <w:r w:rsidRPr="00E42A49">
              <w:rPr>
                <w:b/>
                <w:bCs/>
                <w:sz w:val="20"/>
              </w:rPr>
              <w:t>n</w:t>
            </w:r>
            <w:r w:rsidRPr="00E42A49">
              <w:rPr>
                <w:b/>
                <w:bCs/>
                <w:spacing w:val="-2"/>
                <w:sz w:val="20"/>
              </w:rPr>
              <w:t xml:space="preserve"> </w:t>
            </w:r>
            <w:r w:rsidRPr="00E42A49">
              <w:rPr>
                <w:b/>
                <w:bCs/>
                <w:spacing w:val="-1"/>
                <w:sz w:val="20"/>
              </w:rPr>
              <w:t>Site</w:t>
            </w:r>
            <w:r w:rsidRPr="00E42A49">
              <w:rPr>
                <w:sz w:val="20"/>
              </w:rPr>
              <w:t xml:space="preserve"> </w:t>
            </w:r>
            <w:r w:rsidRPr="00E42A49">
              <w:rPr>
                <w:b/>
                <w:bCs/>
                <w:spacing w:val="-1"/>
                <w:sz w:val="20"/>
              </w:rPr>
              <w:t>Conditions</w:t>
            </w:r>
          </w:p>
        </w:tc>
      </w:tr>
      <w:tr w:rsidR="004D49DC" w:rsidRPr="00E42A49" w14:paraId="4B1AA033"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4E14EF0B" w14:textId="77777777" w:rsidR="004D49DC" w:rsidRPr="00E42A49" w:rsidRDefault="004D49DC" w:rsidP="00D14FA7">
            <w:pPr>
              <w:spacing w:before="40" w:after="40"/>
              <w:ind w:left="288" w:right="-14"/>
              <w:rPr>
                <w:sz w:val="20"/>
              </w:rPr>
            </w:pPr>
            <w:r w:rsidRPr="00E42A49">
              <w:rPr>
                <w:sz w:val="20"/>
              </w:rPr>
              <w:t>Fatigue</w:t>
            </w:r>
          </w:p>
        </w:tc>
        <w:tc>
          <w:tcPr>
            <w:tcW w:w="1458" w:type="dxa"/>
            <w:tcBorders>
              <w:top w:val="nil"/>
              <w:left w:val="nil"/>
              <w:bottom w:val="single" w:sz="8" w:space="0" w:color="000000"/>
              <w:right w:val="single" w:sz="8" w:space="0" w:color="000000"/>
            </w:tcBorders>
            <w:hideMark/>
          </w:tcPr>
          <w:p w14:paraId="142362DF" w14:textId="77777777" w:rsidR="004D49DC" w:rsidRPr="00E42A49" w:rsidRDefault="004D49DC" w:rsidP="00D14FA7">
            <w:pPr>
              <w:spacing w:before="40" w:after="40"/>
              <w:jc w:val="center"/>
              <w:rPr>
                <w:sz w:val="20"/>
              </w:rPr>
            </w:pPr>
            <w:r w:rsidRPr="00E42A49">
              <w:rPr>
                <w:sz w:val="20"/>
              </w:rPr>
              <w:t>30 (14.0)</w:t>
            </w:r>
          </w:p>
        </w:tc>
        <w:tc>
          <w:tcPr>
            <w:tcW w:w="1458" w:type="dxa"/>
            <w:tcBorders>
              <w:top w:val="nil"/>
              <w:left w:val="nil"/>
              <w:bottom w:val="single" w:sz="8" w:space="0" w:color="000000"/>
              <w:right w:val="single" w:sz="8" w:space="0" w:color="000000"/>
            </w:tcBorders>
            <w:hideMark/>
          </w:tcPr>
          <w:p w14:paraId="2C94D1BD" w14:textId="77777777" w:rsidR="004D49DC" w:rsidRPr="00E42A49" w:rsidRDefault="004D49DC" w:rsidP="00D14FA7">
            <w:pPr>
              <w:spacing w:before="40" w:after="40"/>
              <w:jc w:val="center"/>
              <w:rPr>
                <w:sz w:val="20"/>
              </w:rPr>
            </w:pPr>
            <w:r w:rsidRPr="00E42A49">
              <w:rPr>
                <w:sz w:val="20"/>
              </w:rPr>
              <w:t>46 (21.5)</w:t>
            </w:r>
          </w:p>
        </w:tc>
        <w:tc>
          <w:tcPr>
            <w:tcW w:w="1458" w:type="dxa"/>
            <w:tcBorders>
              <w:top w:val="nil"/>
              <w:left w:val="nil"/>
              <w:bottom w:val="single" w:sz="8" w:space="0" w:color="000000"/>
              <w:right w:val="single" w:sz="8" w:space="0" w:color="000000"/>
            </w:tcBorders>
            <w:hideMark/>
          </w:tcPr>
          <w:p w14:paraId="643F197F" w14:textId="77777777" w:rsidR="004D49DC" w:rsidRPr="00E42A49" w:rsidRDefault="004D49DC" w:rsidP="00D14FA7">
            <w:pPr>
              <w:spacing w:before="40" w:after="40"/>
              <w:jc w:val="center"/>
              <w:rPr>
                <w:sz w:val="20"/>
              </w:rPr>
            </w:pPr>
            <w:r w:rsidRPr="00E42A49">
              <w:rPr>
                <w:sz w:val="20"/>
              </w:rPr>
              <w:t>17 (7.9)</w:t>
            </w:r>
          </w:p>
        </w:tc>
        <w:tc>
          <w:tcPr>
            <w:tcW w:w="1458" w:type="dxa"/>
            <w:tcBorders>
              <w:top w:val="nil"/>
              <w:left w:val="nil"/>
              <w:bottom w:val="single" w:sz="8" w:space="0" w:color="000000"/>
              <w:right w:val="single" w:sz="8" w:space="0" w:color="000000"/>
            </w:tcBorders>
            <w:hideMark/>
          </w:tcPr>
          <w:p w14:paraId="63C2152C"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27B31260" w14:textId="77777777" w:rsidR="004D49DC" w:rsidRPr="00E42A49" w:rsidRDefault="004D49DC" w:rsidP="00D14FA7">
            <w:pPr>
              <w:spacing w:before="40" w:after="40"/>
              <w:jc w:val="center"/>
              <w:rPr>
                <w:sz w:val="20"/>
              </w:rPr>
            </w:pPr>
            <w:r w:rsidRPr="00E42A49">
              <w:rPr>
                <w:sz w:val="20"/>
              </w:rPr>
              <w:t>0</w:t>
            </w:r>
          </w:p>
        </w:tc>
      </w:tr>
      <w:tr w:rsidR="004D49DC" w:rsidRPr="00E42A49" w14:paraId="37083658" w14:textId="77777777" w:rsidTr="00D14FA7">
        <w:trPr>
          <w:trHeight w:hRule="exact" w:val="348"/>
        </w:trPr>
        <w:tc>
          <w:tcPr>
            <w:tcW w:w="2074" w:type="dxa"/>
            <w:tcBorders>
              <w:top w:val="nil"/>
              <w:left w:val="single" w:sz="8" w:space="0" w:color="000000"/>
              <w:bottom w:val="single" w:sz="8" w:space="0" w:color="000000"/>
              <w:right w:val="single" w:sz="8" w:space="0" w:color="000000"/>
            </w:tcBorders>
            <w:hideMark/>
          </w:tcPr>
          <w:p w14:paraId="57809081" w14:textId="77777777" w:rsidR="004D49DC" w:rsidRPr="00E42A49" w:rsidRDefault="004D49DC" w:rsidP="00D14FA7">
            <w:pPr>
              <w:spacing w:before="40" w:after="40"/>
              <w:ind w:left="287" w:right="-20"/>
              <w:rPr>
                <w:sz w:val="20"/>
              </w:rPr>
            </w:pPr>
            <w:r w:rsidRPr="00E42A49">
              <w:rPr>
                <w:spacing w:val="-1"/>
                <w:sz w:val="20"/>
              </w:rPr>
              <w:t>Peripheral oedem</w:t>
            </w:r>
            <w:r w:rsidRPr="00E42A49">
              <w:rPr>
                <w:sz w:val="20"/>
              </w:rPr>
              <w:t>a</w:t>
            </w:r>
          </w:p>
        </w:tc>
        <w:tc>
          <w:tcPr>
            <w:tcW w:w="1458" w:type="dxa"/>
            <w:tcBorders>
              <w:top w:val="nil"/>
              <w:left w:val="nil"/>
              <w:bottom w:val="single" w:sz="8" w:space="0" w:color="000000"/>
              <w:right w:val="single" w:sz="8" w:space="0" w:color="000000"/>
            </w:tcBorders>
            <w:hideMark/>
          </w:tcPr>
          <w:p w14:paraId="7A3485BE" w14:textId="77777777" w:rsidR="004D49DC" w:rsidRPr="00E42A49" w:rsidRDefault="004D49DC" w:rsidP="00D14FA7">
            <w:pPr>
              <w:spacing w:before="40" w:after="40"/>
              <w:jc w:val="center"/>
              <w:rPr>
                <w:sz w:val="20"/>
              </w:rPr>
            </w:pPr>
            <w:r w:rsidRPr="00E42A49">
              <w:rPr>
                <w:sz w:val="20"/>
              </w:rPr>
              <w:t>37 (17.3)</w:t>
            </w:r>
          </w:p>
        </w:tc>
        <w:tc>
          <w:tcPr>
            <w:tcW w:w="1458" w:type="dxa"/>
            <w:tcBorders>
              <w:top w:val="nil"/>
              <w:left w:val="nil"/>
              <w:bottom w:val="single" w:sz="8" w:space="0" w:color="000000"/>
              <w:right w:val="single" w:sz="8" w:space="0" w:color="000000"/>
            </w:tcBorders>
            <w:hideMark/>
          </w:tcPr>
          <w:p w14:paraId="4BFBC4E8" w14:textId="77777777" w:rsidR="004D49DC" w:rsidRPr="00E42A49" w:rsidRDefault="004D49DC" w:rsidP="00D14FA7">
            <w:pPr>
              <w:spacing w:before="40" w:after="40"/>
              <w:jc w:val="center"/>
              <w:rPr>
                <w:sz w:val="20"/>
              </w:rPr>
            </w:pPr>
            <w:r w:rsidRPr="00E42A49">
              <w:rPr>
                <w:sz w:val="20"/>
              </w:rPr>
              <w:t>20 (9.3)</w:t>
            </w:r>
          </w:p>
        </w:tc>
        <w:tc>
          <w:tcPr>
            <w:tcW w:w="1458" w:type="dxa"/>
            <w:tcBorders>
              <w:top w:val="nil"/>
              <w:left w:val="nil"/>
              <w:bottom w:val="single" w:sz="8" w:space="0" w:color="000000"/>
              <w:right w:val="single" w:sz="8" w:space="0" w:color="000000"/>
            </w:tcBorders>
            <w:hideMark/>
          </w:tcPr>
          <w:p w14:paraId="14BDCDED" w14:textId="77777777" w:rsidR="004D49DC" w:rsidRPr="00E42A49" w:rsidRDefault="004D49DC" w:rsidP="00D14FA7">
            <w:pPr>
              <w:spacing w:before="40" w:after="40"/>
              <w:jc w:val="center"/>
              <w:rPr>
                <w:sz w:val="20"/>
              </w:rPr>
            </w:pPr>
            <w:r w:rsidRPr="00E42A49">
              <w:rPr>
                <w:sz w:val="20"/>
              </w:rPr>
              <w:t>3 (1.4)</w:t>
            </w:r>
          </w:p>
        </w:tc>
        <w:tc>
          <w:tcPr>
            <w:tcW w:w="1458" w:type="dxa"/>
            <w:tcBorders>
              <w:top w:val="nil"/>
              <w:left w:val="nil"/>
              <w:bottom w:val="single" w:sz="8" w:space="0" w:color="000000"/>
              <w:right w:val="single" w:sz="8" w:space="0" w:color="000000"/>
            </w:tcBorders>
            <w:hideMark/>
          </w:tcPr>
          <w:p w14:paraId="5091C82D"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03B94057" w14:textId="77777777" w:rsidR="004D49DC" w:rsidRPr="00E42A49" w:rsidRDefault="004D49DC" w:rsidP="00D14FA7">
            <w:pPr>
              <w:spacing w:before="40" w:after="40"/>
              <w:jc w:val="center"/>
              <w:rPr>
                <w:sz w:val="20"/>
              </w:rPr>
            </w:pPr>
            <w:r w:rsidRPr="00E42A49">
              <w:rPr>
                <w:sz w:val="20"/>
              </w:rPr>
              <w:t>0</w:t>
            </w:r>
          </w:p>
        </w:tc>
      </w:tr>
      <w:tr w:rsidR="004D49DC" w:rsidRPr="00E42A49" w14:paraId="41828D76"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51199D04" w14:textId="77777777" w:rsidR="004D49DC" w:rsidRPr="00E42A49" w:rsidRDefault="004D49DC" w:rsidP="00D14FA7">
            <w:pPr>
              <w:spacing w:before="40" w:after="40"/>
              <w:ind w:left="287" w:right="-20"/>
              <w:rPr>
                <w:sz w:val="20"/>
              </w:rPr>
            </w:pPr>
            <w:r w:rsidRPr="00E42A49">
              <w:rPr>
                <w:spacing w:val="3"/>
                <w:sz w:val="20"/>
              </w:rPr>
              <w:t>P</w:t>
            </w:r>
            <w:r w:rsidRPr="00E42A49">
              <w:rPr>
                <w:spacing w:val="-10"/>
                <w:sz w:val="20"/>
              </w:rPr>
              <w:t>y</w:t>
            </w:r>
            <w:r w:rsidRPr="00E42A49">
              <w:rPr>
                <w:spacing w:val="1"/>
                <w:sz w:val="20"/>
              </w:rPr>
              <w:t>rexia</w:t>
            </w:r>
          </w:p>
        </w:tc>
        <w:tc>
          <w:tcPr>
            <w:tcW w:w="1458" w:type="dxa"/>
            <w:tcBorders>
              <w:top w:val="nil"/>
              <w:left w:val="nil"/>
              <w:bottom w:val="single" w:sz="8" w:space="0" w:color="000000"/>
              <w:right w:val="single" w:sz="8" w:space="0" w:color="000000"/>
            </w:tcBorders>
            <w:hideMark/>
          </w:tcPr>
          <w:p w14:paraId="5EA9947E" w14:textId="77777777" w:rsidR="004D49DC" w:rsidRPr="00E42A49" w:rsidRDefault="004D49DC" w:rsidP="00D14FA7">
            <w:pPr>
              <w:spacing w:before="40" w:after="40"/>
              <w:jc w:val="center"/>
              <w:rPr>
                <w:sz w:val="20"/>
              </w:rPr>
            </w:pPr>
            <w:r w:rsidRPr="00E42A49">
              <w:rPr>
                <w:sz w:val="20"/>
              </w:rPr>
              <w:t>33 (15.4)</w:t>
            </w:r>
          </w:p>
        </w:tc>
        <w:tc>
          <w:tcPr>
            <w:tcW w:w="1458" w:type="dxa"/>
            <w:tcBorders>
              <w:top w:val="nil"/>
              <w:left w:val="nil"/>
              <w:bottom w:val="single" w:sz="8" w:space="0" w:color="000000"/>
              <w:right w:val="single" w:sz="8" w:space="0" w:color="000000"/>
            </w:tcBorders>
            <w:hideMark/>
          </w:tcPr>
          <w:p w14:paraId="2AB29126" w14:textId="77777777" w:rsidR="004D49DC" w:rsidRPr="00E42A49" w:rsidRDefault="004D49DC" w:rsidP="00D14FA7">
            <w:pPr>
              <w:spacing w:before="40" w:after="40"/>
              <w:jc w:val="center"/>
              <w:rPr>
                <w:sz w:val="20"/>
              </w:rPr>
            </w:pPr>
            <w:r w:rsidRPr="00E42A49">
              <w:rPr>
                <w:sz w:val="20"/>
              </w:rPr>
              <w:t>22 (10.3)</w:t>
            </w:r>
          </w:p>
        </w:tc>
        <w:tc>
          <w:tcPr>
            <w:tcW w:w="1458" w:type="dxa"/>
            <w:tcBorders>
              <w:top w:val="nil"/>
              <w:left w:val="nil"/>
              <w:bottom w:val="single" w:sz="8" w:space="0" w:color="000000"/>
              <w:right w:val="single" w:sz="8" w:space="0" w:color="000000"/>
            </w:tcBorders>
            <w:hideMark/>
          </w:tcPr>
          <w:p w14:paraId="1F771D72" w14:textId="77777777" w:rsidR="004D49DC" w:rsidRPr="00E42A49" w:rsidRDefault="004D49DC" w:rsidP="00D14FA7">
            <w:pPr>
              <w:spacing w:before="40" w:after="40"/>
              <w:jc w:val="center"/>
              <w:rPr>
                <w:sz w:val="20"/>
              </w:rPr>
            </w:pPr>
            <w:r w:rsidRPr="00E42A49">
              <w:rPr>
                <w:sz w:val="20"/>
              </w:rPr>
              <w:t>9 (4.2)</w:t>
            </w:r>
          </w:p>
        </w:tc>
        <w:tc>
          <w:tcPr>
            <w:tcW w:w="1458" w:type="dxa"/>
            <w:tcBorders>
              <w:top w:val="nil"/>
              <w:left w:val="nil"/>
              <w:bottom w:val="single" w:sz="8" w:space="0" w:color="000000"/>
              <w:right w:val="single" w:sz="8" w:space="0" w:color="000000"/>
            </w:tcBorders>
            <w:hideMark/>
          </w:tcPr>
          <w:p w14:paraId="37B1728F"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2D84B11E" w14:textId="77777777" w:rsidR="004D49DC" w:rsidRPr="00E42A49" w:rsidRDefault="004D49DC" w:rsidP="00D14FA7">
            <w:pPr>
              <w:spacing w:before="40" w:after="40"/>
              <w:jc w:val="center"/>
              <w:rPr>
                <w:sz w:val="20"/>
              </w:rPr>
            </w:pPr>
            <w:r w:rsidRPr="00E42A49">
              <w:rPr>
                <w:sz w:val="20"/>
              </w:rPr>
              <w:t>0</w:t>
            </w:r>
          </w:p>
        </w:tc>
      </w:tr>
      <w:tr w:rsidR="004D49DC" w:rsidRPr="00E42A49" w14:paraId="7FCA284A" w14:textId="77777777" w:rsidTr="004D49DC">
        <w:trPr>
          <w:trHeight w:val="370"/>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53E00D57" w14:textId="77777777" w:rsidR="004D49DC" w:rsidRPr="00E42A49" w:rsidRDefault="004D49DC" w:rsidP="00D14FA7">
            <w:pPr>
              <w:spacing w:before="40" w:after="40"/>
              <w:ind w:right="-20"/>
              <w:rPr>
                <w:sz w:val="20"/>
              </w:rPr>
            </w:pPr>
            <w:r w:rsidRPr="00E42A49">
              <w:rPr>
                <w:b/>
                <w:bCs/>
                <w:spacing w:val="-1"/>
                <w:sz w:val="20"/>
              </w:rPr>
              <w:t>Infection</w:t>
            </w:r>
            <w:r w:rsidRPr="00E42A49">
              <w:rPr>
                <w:b/>
                <w:bCs/>
                <w:sz w:val="20"/>
              </w:rPr>
              <w:t>s</w:t>
            </w:r>
            <w:r w:rsidRPr="00E42A49">
              <w:rPr>
                <w:b/>
                <w:bCs/>
                <w:spacing w:val="-1"/>
                <w:sz w:val="20"/>
              </w:rPr>
              <w:t xml:space="preserve"> an</w:t>
            </w:r>
            <w:r w:rsidRPr="00E42A49">
              <w:rPr>
                <w:b/>
                <w:bCs/>
                <w:sz w:val="20"/>
              </w:rPr>
              <w:t>d</w:t>
            </w:r>
            <w:r w:rsidRPr="00E42A49">
              <w:rPr>
                <w:b/>
                <w:bCs/>
                <w:spacing w:val="-1"/>
                <w:sz w:val="20"/>
              </w:rPr>
              <w:t xml:space="preserve"> Infestations</w:t>
            </w:r>
          </w:p>
        </w:tc>
      </w:tr>
      <w:tr w:rsidR="004D49DC" w:rsidRPr="00E42A49" w14:paraId="3B796321"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09788ADC" w14:textId="77777777" w:rsidR="004D49DC" w:rsidRPr="00E42A49" w:rsidRDefault="004D49DC" w:rsidP="00D14FA7">
            <w:pPr>
              <w:spacing w:before="40" w:after="40"/>
              <w:ind w:left="287" w:right="-20"/>
              <w:rPr>
                <w:sz w:val="20"/>
              </w:rPr>
            </w:pPr>
            <w:r w:rsidRPr="00E42A49">
              <w:rPr>
                <w:sz w:val="20"/>
              </w:rPr>
              <w:t>Pneum</w:t>
            </w:r>
            <w:r w:rsidRPr="00E42A49">
              <w:rPr>
                <w:spacing w:val="-10"/>
                <w:sz w:val="20"/>
              </w:rPr>
              <w:t>o</w:t>
            </w:r>
            <w:r w:rsidRPr="00E42A49">
              <w:rPr>
                <w:spacing w:val="1"/>
                <w:sz w:val="20"/>
              </w:rPr>
              <w:t>nia</w:t>
            </w:r>
          </w:p>
        </w:tc>
        <w:tc>
          <w:tcPr>
            <w:tcW w:w="1458" w:type="dxa"/>
            <w:tcBorders>
              <w:top w:val="nil"/>
              <w:left w:val="nil"/>
              <w:bottom w:val="single" w:sz="8" w:space="0" w:color="000000"/>
              <w:right w:val="single" w:sz="8" w:space="0" w:color="000000"/>
            </w:tcBorders>
            <w:hideMark/>
          </w:tcPr>
          <w:p w14:paraId="7073C3A8" w14:textId="77777777" w:rsidR="004D49DC" w:rsidRPr="00E42A49" w:rsidRDefault="004D49DC" w:rsidP="00D14FA7">
            <w:pPr>
              <w:spacing w:before="40" w:after="40"/>
              <w:jc w:val="center"/>
              <w:rPr>
                <w:sz w:val="20"/>
              </w:rPr>
            </w:pPr>
            <w:r w:rsidRPr="00E42A49">
              <w:rPr>
                <w:sz w:val="20"/>
              </w:rPr>
              <w:t>2 (0.9)</w:t>
            </w:r>
          </w:p>
        </w:tc>
        <w:tc>
          <w:tcPr>
            <w:tcW w:w="1458" w:type="dxa"/>
            <w:tcBorders>
              <w:top w:val="nil"/>
              <w:left w:val="nil"/>
              <w:bottom w:val="single" w:sz="8" w:space="0" w:color="000000"/>
              <w:right w:val="single" w:sz="8" w:space="0" w:color="000000"/>
            </w:tcBorders>
            <w:hideMark/>
          </w:tcPr>
          <w:p w14:paraId="2425E48A" w14:textId="77777777" w:rsidR="004D49DC" w:rsidRPr="00E42A49" w:rsidRDefault="004D49DC" w:rsidP="00D14FA7">
            <w:pPr>
              <w:spacing w:before="40" w:after="40"/>
              <w:jc w:val="center"/>
              <w:rPr>
                <w:sz w:val="20"/>
              </w:rPr>
            </w:pPr>
            <w:r w:rsidRPr="00E42A49">
              <w:rPr>
                <w:sz w:val="20"/>
              </w:rPr>
              <w:t>10 (4.7)</w:t>
            </w:r>
          </w:p>
        </w:tc>
        <w:tc>
          <w:tcPr>
            <w:tcW w:w="1458" w:type="dxa"/>
            <w:tcBorders>
              <w:top w:val="nil"/>
              <w:left w:val="nil"/>
              <w:bottom w:val="single" w:sz="8" w:space="0" w:color="000000"/>
              <w:right w:val="single" w:sz="8" w:space="0" w:color="000000"/>
            </w:tcBorders>
            <w:hideMark/>
          </w:tcPr>
          <w:p w14:paraId="5CBD5A2C" w14:textId="77777777" w:rsidR="004D49DC" w:rsidRPr="00E42A49" w:rsidRDefault="004D49DC" w:rsidP="00D14FA7">
            <w:pPr>
              <w:spacing w:before="40" w:after="40"/>
              <w:jc w:val="center"/>
              <w:rPr>
                <w:sz w:val="20"/>
              </w:rPr>
            </w:pPr>
            <w:r w:rsidRPr="00E42A49">
              <w:rPr>
                <w:sz w:val="20"/>
              </w:rPr>
              <w:t>28 (13.1)</w:t>
            </w:r>
          </w:p>
        </w:tc>
        <w:tc>
          <w:tcPr>
            <w:tcW w:w="1458" w:type="dxa"/>
            <w:tcBorders>
              <w:top w:val="nil"/>
              <w:left w:val="nil"/>
              <w:bottom w:val="single" w:sz="8" w:space="0" w:color="000000"/>
              <w:right w:val="single" w:sz="8" w:space="0" w:color="000000"/>
            </w:tcBorders>
            <w:hideMark/>
          </w:tcPr>
          <w:p w14:paraId="6739343B" w14:textId="77777777" w:rsidR="004D49DC" w:rsidRPr="00E42A49" w:rsidRDefault="004D49DC" w:rsidP="00D14FA7">
            <w:pPr>
              <w:spacing w:before="40" w:after="40"/>
              <w:jc w:val="center"/>
              <w:rPr>
                <w:sz w:val="20"/>
              </w:rPr>
            </w:pPr>
            <w:r w:rsidRPr="00E42A49">
              <w:rPr>
                <w:sz w:val="20"/>
              </w:rPr>
              <w:t>4 (1.9)</w:t>
            </w:r>
          </w:p>
        </w:tc>
        <w:tc>
          <w:tcPr>
            <w:tcW w:w="1458" w:type="dxa"/>
            <w:tcBorders>
              <w:top w:val="nil"/>
              <w:left w:val="nil"/>
              <w:bottom w:val="single" w:sz="8" w:space="0" w:color="000000"/>
              <w:right w:val="single" w:sz="8" w:space="0" w:color="000000"/>
            </w:tcBorders>
            <w:hideMark/>
          </w:tcPr>
          <w:p w14:paraId="1895AB01" w14:textId="77777777" w:rsidR="004D49DC" w:rsidRPr="00E42A49" w:rsidRDefault="004D49DC" w:rsidP="00D14FA7">
            <w:pPr>
              <w:spacing w:before="40" w:after="40"/>
              <w:jc w:val="center"/>
              <w:rPr>
                <w:sz w:val="20"/>
              </w:rPr>
            </w:pPr>
            <w:r w:rsidRPr="00E42A49">
              <w:rPr>
                <w:sz w:val="20"/>
              </w:rPr>
              <w:t>3 (1.4)</w:t>
            </w:r>
          </w:p>
        </w:tc>
      </w:tr>
      <w:tr w:rsidR="004D49DC" w:rsidRPr="00E42A49" w14:paraId="3F764FDB"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0FFDE701" w14:textId="77777777" w:rsidR="004D49DC" w:rsidRPr="00E42A49" w:rsidRDefault="004D49DC" w:rsidP="00D14FA7">
            <w:pPr>
              <w:spacing w:before="40" w:after="40"/>
              <w:ind w:right="-20"/>
              <w:rPr>
                <w:sz w:val="20"/>
              </w:rPr>
            </w:pPr>
            <w:r w:rsidRPr="00E42A49">
              <w:rPr>
                <w:b/>
                <w:bCs/>
                <w:spacing w:val="-1"/>
                <w:sz w:val="20"/>
              </w:rPr>
              <w:t>I</w:t>
            </w:r>
            <w:r w:rsidRPr="00E42A49">
              <w:rPr>
                <w:b/>
                <w:bCs/>
                <w:spacing w:val="-1"/>
                <w:sz w:val="20"/>
                <w:shd w:val="clear" w:color="auto" w:fill="D9D9D9"/>
              </w:rPr>
              <w:t>nvestigations</w:t>
            </w:r>
          </w:p>
        </w:tc>
      </w:tr>
      <w:tr w:rsidR="004D49DC" w:rsidRPr="00E42A49" w14:paraId="6FC7D79E" w14:textId="77777777" w:rsidTr="00D14FA7">
        <w:trPr>
          <w:trHeight w:hRule="exact" w:val="609"/>
        </w:trPr>
        <w:tc>
          <w:tcPr>
            <w:tcW w:w="2074" w:type="dxa"/>
            <w:tcBorders>
              <w:top w:val="nil"/>
              <w:left w:val="single" w:sz="8" w:space="0" w:color="000000"/>
              <w:bottom w:val="single" w:sz="8" w:space="0" w:color="000000"/>
              <w:right w:val="single" w:sz="8" w:space="0" w:color="000000"/>
            </w:tcBorders>
            <w:hideMark/>
          </w:tcPr>
          <w:p w14:paraId="38E259AE" w14:textId="77777777" w:rsidR="004D49DC" w:rsidRPr="00E42A49" w:rsidRDefault="004D49DC" w:rsidP="00D14FA7">
            <w:pPr>
              <w:spacing w:before="40" w:after="40"/>
              <w:ind w:left="287" w:right="-20"/>
              <w:rPr>
                <w:sz w:val="20"/>
              </w:rPr>
            </w:pPr>
            <w:r w:rsidRPr="00E42A49">
              <w:rPr>
                <w:spacing w:val="-1"/>
                <w:sz w:val="20"/>
              </w:rPr>
              <w:t>Bloo</w:t>
            </w:r>
            <w:r w:rsidRPr="00E42A49">
              <w:rPr>
                <w:sz w:val="20"/>
              </w:rPr>
              <w:t>d</w:t>
            </w:r>
            <w:r w:rsidRPr="00E42A49">
              <w:rPr>
                <w:spacing w:val="-1"/>
                <w:sz w:val="20"/>
              </w:rPr>
              <w:t xml:space="preserve"> Bilirubi</w:t>
            </w:r>
            <w:r w:rsidRPr="00E42A49">
              <w:rPr>
                <w:sz w:val="20"/>
              </w:rPr>
              <w:t>n</w:t>
            </w:r>
            <w:r w:rsidRPr="00E42A49">
              <w:rPr>
                <w:spacing w:val="-1"/>
                <w:sz w:val="20"/>
              </w:rPr>
              <w:t xml:space="preserve"> Increased</w:t>
            </w:r>
          </w:p>
        </w:tc>
        <w:tc>
          <w:tcPr>
            <w:tcW w:w="1458" w:type="dxa"/>
            <w:tcBorders>
              <w:top w:val="nil"/>
              <w:left w:val="nil"/>
              <w:bottom w:val="single" w:sz="8" w:space="0" w:color="000000"/>
              <w:right w:val="single" w:sz="8" w:space="0" w:color="000000"/>
            </w:tcBorders>
            <w:hideMark/>
          </w:tcPr>
          <w:p w14:paraId="5E9728DF" w14:textId="77777777" w:rsidR="004D49DC" w:rsidRPr="00E42A49" w:rsidRDefault="004D49DC" w:rsidP="00D14FA7">
            <w:pPr>
              <w:spacing w:before="40" w:after="40"/>
              <w:jc w:val="center"/>
              <w:rPr>
                <w:sz w:val="20"/>
              </w:rPr>
            </w:pPr>
            <w:r w:rsidRPr="00E42A49">
              <w:rPr>
                <w:sz w:val="20"/>
              </w:rPr>
              <w:t>15 (7.0)</w:t>
            </w:r>
          </w:p>
        </w:tc>
        <w:tc>
          <w:tcPr>
            <w:tcW w:w="1458" w:type="dxa"/>
            <w:tcBorders>
              <w:top w:val="nil"/>
              <w:left w:val="nil"/>
              <w:bottom w:val="single" w:sz="8" w:space="0" w:color="000000"/>
              <w:right w:val="single" w:sz="8" w:space="0" w:color="000000"/>
            </w:tcBorders>
            <w:hideMark/>
          </w:tcPr>
          <w:p w14:paraId="6807E9D9" w14:textId="77777777" w:rsidR="004D49DC" w:rsidRPr="00E42A49" w:rsidRDefault="004D49DC" w:rsidP="00D14FA7">
            <w:pPr>
              <w:spacing w:before="40" w:after="40"/>
              <w:jc w:val="center"/>
              <w:rPr>
                <w:sz w:val="20"/>
              </w:rPr>
            </w:pPr>
            <w:r w:rsidRPr="00E42A49">
              <w:rPr>
                <w:sz w:val="20"/>
              </w:rPr>
              <w:t>32 (15.0)</w:t>
            </w:r>
          </w:p>
        </w:tc>
        <w:tc>
          <w:tcPr>
            <w:tcW w:w="1458" w:type="dxa"/>
            <w:tcBorders>
              <w:top w:val="nil"/>
              <w:left w:val="nil"/>
              <w:bottom w:val="single" w:sz="8" w:space="0" w:color="000000"/>
              <w:right w:val="single" w:sz="8" w:space="0" w:color="000000"/>
            </w:tcBorders>
            <w:hideMark/>
          </w:tcPr>
          <w:p w14:paraId="12A306D2" w14:textId="77777777" w:rsidR="004D49DC" w:rsidRPr="00E42A49" w:rsidRDefault="004D49DC" w:rsidP="00D14FA7">
            <w:pPr>
              <w:spacing w:before="40" w:after="40"/>
              <w:jc w:val="center"/>
              <w:rPr>
                <w:sz w:val="20"/>
              </w:rPr>
            </w:pPr>
            <w:r w:rsidRPr="00E42A49">
              <w:rPr>
                <w:sz w:val="20"/>
              </w:rPr>
              <w:t>18 (8.4)</w:t>
            </w:r>
          </w:p>
        </w:tc>
        <w:tc>
          <w:tcPr>
            <w:tcW w:w="1458" w:type="dxa"/>
            <w:tcBorders>
              <w:top w:val="nil"/>
              <w:left w:val="nil"/>
              <w:bottom w:val="single" w:sz="8" w:space="0" w:color="000000"/>
              <w:right w:val="single" w:sz="8" w:space="0" w:color="000000"/>
            </w:tcBorders>
            <w:hideMark/>
          </w:tcPr>
          <w:p w14:paraId="134969BA"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0269CA55" w14:textId="77777777" w:rsidR="004D49DC" w:rsidRPr="00E42A49" w:rsidRDefault="004D49DC" w:rsidP="00D14FA7">
            <w:pPr>
              <w:spacing w:before="40" w:after="40"/>
              <w:jc w:val="center"/>
              <w:rPr>
                <w:sz w:val="20"/>
              </w:rPr>
            </w:pPr>
            <w:r w:rsidRPr="00E42A49">
              <w:rPr>
                <w:sz w:val="20"/>
              </w:rPr>
              <w:t>0</w:t>
            </w:r>
          </w:p>
        </w:tc>
      </w:tr>
      <w:tr w:rsidR="004D49DC" w:rsidRPr="00E42A49" w14:paraId="1DF022E7"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61CF1833" w14:textId="77777777" w:rsidR="004D49DC" w:rsidRPr="00E42A49" w:rsidRDefault="004D49DC" w:rsidP="00D14FA7">
            <w:pPr>
              <w:spacing w:before="40" w:after="40"/>
              <w:ind w:right="-20"/>
              <w:rPr>
                <w:sz w:val="20"/>
              </w:rPr>
            </w:pPr>
            <w:r w:rsidRPr="00E42A49">
              <w:rPr>
                <w:b/>
                <w:bCs/>
                <w:spacing w:val="-1"/>
                <w:sz w:val="20"/>
              </w:rPr>
              <w:t>Metabolis</w:t>
            </w:r>
            <w:r w:rsidRPr="00E42A49">
              <w:rPr>
                <w:b/>
                <w:bCs/>
                <w:sz w:val="20"/>
              </w:rPr>
              <w:t>m</w:t>
            </w:r>
            <w:r w:rsidRPr="00E42A49">
              <w:rPr>
                <w:b/>
                <w:bCs/>
                <w:spacing w:val="2"/>
                <w:sz w:val="20"/>
              </w:rPr>
              <w:t xml:space="preserve"> </w:t>
            </w:r>
            <w:r w:rsidRPr="00E42A49">
              <w:rPr>
                <w:b/>
                <w:bCs/>
                <w:spacing w:val="-1"/>
                <w:sz w:val="20"/>
              </w:rPr>
              <w:t>an</w:t>
            </w:r>
            <w:r w:rsidRPr="00E42A49">
              <w:rPr>
                <w:b/>
                <w:bCs/>
                <w:sz w:val="20"/>
              </w:rPr>
              <w:t>d</w:t>
            </w:r>
            <w:r w:rsidRPr="00E42A49">
              <w:rPr>
                <w:b/>
                <w:bCs/>
                <w:spacing w:val="-1"/>
                <w:sz w:val="20"/>
              </w:rPr>
              <w:t xml:space="preserve"> Nutritio</w:t>
            </w:r>
            <w:r w:rsidRPr="00E42A49">
              <w:rPr>
                <w:b/>
                <w:bCs/>
                <w:sz w:val="20"/>
              </w:rPr>
              <w:t>n</w:t>
            </w:r>
            <w:r w:rsidRPr="00E42A49">
              <w:rPr>
                <w:b/>
                <w:bCs/>
                <w:spacing w:val="-1"/>
                <w:sz w:val="20"/>
              </w:rPr>
              <w:t xml:space="preserve"> Disorders</w:t>
            </w:r>
          </w:p>
        </w:tc>
      </w:tr>
      <w:tr w:rsidR="004D49DC" w:rsidRPr="00E42A49" w14:paraId="7AD29FB3"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2077C998" w14:textId="77777777" w:rsidR="004D49DC" w:rsidRPr="00E42A49" w:rsidRDefault="004D49DC" w:rsidP="00D14FA7">
            <w:pPr>
              <w:spacing w:before="40" w:after="40"/>
              <w:ind w:left="287" w:right="-20"/>
              <w:rPr>
                <w:sz w:val="20"/>
              </w:rPr>
            </w:pPr>
            <w:r w:rsidRPr="00E42A49">
              <w:rPr>
                <w:sz w:val="20"/>
              </w:rPr>
              <w:t>Decreased Appetite</w:t>
            </w:r>
          </w:p>
        </w:tc>
        <w:tc>
          <w:tcPr>
            <w:tcW w:w="1458" w:type="dxa"/>
            <w:tcBorders>
              <w:top w:val="nil"/>
              <w:left w:val="nil"/>
              <w:bottom w:val="single" w:sz="8" w:space="0" w:color="000000"/>
              <w:right w:val="single" w:sz="8" w:space="0" w:color="000000"/>
            </w:tcBorders>
            <w:hideMark/>
          </w:tcPr>
          <w:p w14:paraId="2E7D7F3F" w14:textId="77777777" w:rsidR="004D49DC" w:rsidRPr="00E42A49" w:rsidRDefault="004D49DC" w:rsidP="00D14FA7">
            <w:pPr>
              <w:spacing w:before="40" w:after="40"/>
              <w:jc w:val="center"/>
              <w:rPr>
                <w:sz w:val="20"/>
              </w:rPr>
            </w:pPr>
            <w:r w:rsidRPr="00E42A49">
              <w:rPr>
                <w:sz w:val="20"/>
              </w:rPr>
              <w:t>30 (14.0)</w:t>
            </w:r>
          </w:p>
        </w:tc>
        <w:tc>
          <w:tcPr>
            <w:tcW w:w="1458" w:type="dxa"/>
            <w:tcBorders>
              <w:top w:val="nil"/>
              <w:left w:val="nil"/>
              <w:bottom w:val="single" w:sz="8" w:space="0" w:color="000000"/>
              <w:right w:val="single" w:sz="8" w:space="0" w:color="000000"/>
            </w:tcBorders>
            <w:hideMark/>
          </w:tcPr>
          <w:p w14:paraId="1F87621D" w14:textId="77777777" w:rsidR="004D49DC" w:rsidRPr="00E42A49" w:rsidRDefault="004D49DC" w:rsidP="00D14FA7">
            <w:pPr>
              <w:spacing w:before="40" w:after="40"/>
              <w:jc w:val="center"/>
              <w:rPr>
                <w:sz w:val="20"/>
              </w:rPr>
            </w:pPr>
            <w:r w:rsidRPr="00E42A49">
              <w:rPr>
                <w:sz w:val="20"/>
              </w:rPr>
              <w:t>34 (15.9)</w:t>
            </w:r>
          </w:p>
        </w:tc>
        <w:tc>
          <w:tcPr>
            <w:tcW w:w="1458" w:type="dxa"/>
            <w:tcBorders>
              <w:top w:val="nil"/>
              <w:left w:val="nil"/>
              <w:bottom w:val="single" w:sz="8" w:space="0" w:color="000000"/>
              <w:right w:val="single" w:sz="8" w:space="0" w:color="000000"/>
            </w:tcBorders>
            <w:hideMark/>
          </w:tcPr>
          <w:p w14:paraId="27CBBE4A" w14:textId="77777777" w:rsidR="004D49DC" w:rsidRPr="00E42A49" w:rsidRDefault="004D49DC" w:rsidP="00D14FA7">
            <w:pPr>
              <w:spacing w:before="40" w:after="40"/>
              <w:jc w:val="center"/>
              <w:rPr>
                <w:sz w:val="20"/>
              </w:rPr>
            </w:pPr>
            <w:r w:rsidRPr="00E42A49">
              <w:rPr>
                <w:sz w:val="20"/>
              </w:rPr>
              <w:t>9 (4.2)</w:t>
            </w:r>
          </w:p>
        </w:tc>
        <w:tc>
          <w:tcPr>
            <w:tcW w:w="1458" w:type="dxa"/>
            <w:tcBorders>
              <w:top w:val="nil"/>
              <w:left w:val="nil"/>
              <w:bottom w:val="single" w:sz="8" w:space="0" w:color="000000"/>
              <w:right w:val="single" w:sz="8" w:space="0" w:color="000000"/>
            </w:tcBorders>
            <w:hideMark/>
          </w:tcPr>
          <w:p w14:paraId="4E4FE8DC"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6AA520CD" w14:textId="77777777" w:rsidR="004D49DC" w:rsidRPr="00E42A49" w:rsidRDefault="004D49DC" w:rsidP="00D14FA7">
            <w:pPr>
              <w:spacing w:before="40" w:after="40"/>
              <w:jc w:val="center"/>
              <w:rPr>
                <w:sz w:val="20"/>
              </w:rPr>
            </w:pPr>
            <w:r w:rsidRPr="00E42A49">
              <w:rPr>
                <w:sz w:val="20"/>
              </w:rPr>
              <w:t>0</w:t>
            </w:r>
          </w:p>
        </w:tc>
      </w:tr>
      <w:tr w:rsidR="004D49DC" w:rsidRPr="00E42A49" w14:paraId="2FEE8E2F"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7D458777" w14:textId="77777777" w:rsidR="004D49DC" w:rsidRPr="00E42A49" w:rsidRDefault="004D49DC" w:rsidP="00D14FA7">
            <w:pPr>
              <w:spacing w:before="40" w:after="40"/>
              <w:ind w:left="287" w:right="-20"/>
              <w:rPr>
                <w:sz w:val="20"/>
              </w:rPr>
            </w:pPr>
            <w:r w:rsidRPr="00E42A49">
              <w:rPr>
                <w:spacing w:val="-1"/>
                <w:sz w:val="20"/>
              </w:rPr>
              <w:t>Hypokalaemia</w:t>
            </w:r>
          </w:p>
        </w:tc>
        <w:tc>
          <w:tcPr>
            <w:tcW w:w="1458" w:type="dxa"/>
            <w:tcBorders>
              <w:top w:val="nil"/>
              <w:left w:val="nil"/>
              <w:bottom w:val="single" w:sz="8" w:space="0" w:color="000000"/>
              <w:right w:val="single" w:sz="8" w:space="0" w:color="000000"/>
            </w:tcBorders>
            <w:hideMark/>
          </w:tcPr>
          <w:p w14:paraId="6F6AE0BB" w14:textId="77777777" w:rsidR="004D49DC" w:rsidRPr="00E42A49" w:rsidRDefault="004D49DC" w:rsidP="00D14FA7">
            <w:pPr>
              <w:spacing w:before="40" w:after="40"/>
              <w:jc w:val="center"/>
              <w:rPr>
                <w:sz w:val="20"/>
              </w:rPr>
            </w:pPr>
            <w:r w:rsidRPr="00E42A49">
              <w:rPr>
                <w:sz w:val="20"/>
              </w:rPr>
              <w:t>23 (10.7)</w:t>
            </w:r>
          </w:p>
        </w:tc>
        <w:tc>
          <w:tcPr>
            <w:tcW w:w="1458" w:type="dxa"/>
            <w:tcBorders>
              <w:top w:val="nil"/>
              <w:left w:val="nil"/>
              <w:bottom w:val="single" w:sz="8" w:space="0" w:color="000000"/>
              <w:right w:val="single" w:sz="8" w:space="0" w:color="000000"/>
            </w:tcBorders>
            <w:hideMark/>
          </w:tcPr>
          <w:p w14:paraId="723C538D" w14:textId="77777777" w:rsidR="004D49DC" w:rsidRPr="00E42A49" w:rsidRDefault="004D49DC" w:rsidP="00D14FA7">
            <w:pPr>
              <w:spacing w:before="40" w:after="40"/>
              <w:jc w:val="center"/>
              <w:rPr>
                <w:sz w:val="20"/>
              </w:rPr>
            </w:pPr>
            <w:r w:rsidRPr="00E42A49">
              <w:rPr>
                <w:sz w:val="20"/>
              </w:rPr>
              <w:t>15 (7.0)</w:t>
            </w:r>
          </w:p>
        </w:tc>
        <w:tc>
          <w:tcPr>
            <w:tcW w:w="1458" w:type="dxa"/>
            <w:tcBorders>
              <w:top w:val="nil"/>
              <w:left w:val="nil"/>
              <w:bottom w:val="single" w:sz="8" w:space="0" w:color="000000"/>
              <w:right w:val="single" w:sz="8" w:space="0" w:color="000000"/>
            </w:tcBorders>
            <w:hideMark/>
          </w:tcPr>
          <w:p w14:paraId="0F5E3E8A" w14:textId="77777777" w:rsidR="004D49DC" w:rsidRPr="00E42A49" w:rsidRDefault="004D49DC" w:rsidP="00D14FA7">
            <w:pPr>
              <w:spacing w:before="40" w:after="40"/>
              <w:jc w:val="center"/>
              <w:rPr>
                <w:sz w:val="20"/>
              </w:rPr>
            </w:pPr>
            <w:r w:rsidRPr="00E42A49">
              <w:rPr>
                <w:sz w:val="20"/>
              </w:rPr>
              <w:t>21 (9.8)</w:t>
            </w:r>
          </w:p>
        </w:tc>
        <w:tc>
          <w:tcPr>
            <w:tcW w:w="1458" w:type="dxa"/>
            <w:tcBorders>
              <w:top w:val="nil"/>
              <w:left w:val="nil"/>
              <w:bottom w:val="single" w:sz="8" w:space="0" w:color="000000"/>
              <w:right w:val="single" w:sz="8" w:space="0" w:color="000000"/>
            </w:tcBorders>
            <w:hideMark/>
          </w:tcPr>
          <w:p w14:paraId="2D91E06B"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505B29C2" w14:textId="77777777" w:rsidR="004D49DC" w:rsidRPr="00E42A49" w:rsidRDefault="004D49DC" w:rsidP="00D14FA7">
            <w:pPr>
              <w:spacing w:before="40" w:after="40"/>
              <w:jc w:val="center"/>
              <w:rPr>
                <w:sz w:val="20"/>
              </w:rPr>
            </w:pPr>
            <w:r w:rsidRPr="00E42A49">
              <w:rPr>
                <w:sz w:val="20"/>
              </w:rPr>
              <w:t>0</w:t>
            </w:r>
          </w:p>
        </w:tc>
      </w:tr>
      <w:tr w:rsidR="004D49DC" w:rsidRPr="00E42A49" w14:paraId="1534D969"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549CF322" w14:textId="77777777" w:rsidR="004D49DC" w:rsidRPr="00E42A49" w:rsidRDefault="004D49DC" w:rsidP="00D14FA7">
            <w:pPr>
              <w:spacing w:before="40" w:after="40"/>
              <w:ind w:right="-20"/>
              <w:rPr>
                <w:sz w:val="20"/>
              </w:rPr>
            </w:pPr>
            <w:r w:rsidRPr="00E42A49">
              <w:rPr>
                <w:b/>
                <w:bCs/>
                <w:spacing w:val="-1"/>
                <w:sz w:val="20"/>
              </w:rPr>
              <w:t>Nervous System Disorders</w:t>
            </w:r>
          </w:p>
        </w:tc>
      </w:tr>
      <w:tr w:rsidR="004D49DC" w:rsidRPr="00E42A49" w14:paraId="0E3E8B82"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278557CE" w14:textId="77777777" w:rsidR="004D49DC" w:rsidRPr="00E42A49" w:rsidRDefault="004D49DC" w:rsidP="00D14FA7">
            <w:pPr>
              <w:spacing w:before="40" w:after="40"/>
              <w:ind w:left="287" w:right="-20"/>
              <w:rPr>
                <w:spacing w:val="-1"/>
                <w:sz w:val="20"/>
              </w:rPr>
            </w:pPr>
            <w:r w:rsidRPr="00E42A49">
              <w:rPr>
                <w:spacing w:val="-1"/>
                <w:sz w:val="20"/>
              </w:rPr>
              <w:t>Headache</w:t>
            </w:r>
          </w:p>
        </w:tc>
        <w:tc>
          <w:tcPr>
            <w:tcW w:w="1458" w:type="dxa"/>
            <w:tcBorders>
              <w:top w:val="nil"/>
              <w:left w:val="nil"/>
              <w:bottom w:val="single" w:sz="8" w:space="0" w:color="000000"/>
              <w:right w:val="single" w:sz="8" w:space="0" w:color="000000"/>
            </w:tcBorders>
            <w:hideMark/>
          </w:tcPr>
          <w:p w14:paraId="41863854" w14:textId="77777777" w:rsidR="004D49DC" w:rsidRPr="00E42A49" w:rsidRDefault="004D49DC" w:rsidP="00D14FA7">
            <w:pPr>
              <w:spacing w:before="40" w:after="40"/>
              <w:jc w:val="center"/>
              <w:rPr>
                <w:sz w:val="20"/>
              </w:rPr>
            </w:pPr>
            <w:r w:rsidRPr="00E42A49">
              <w:rPr>
                <w:sz w:val="20"/>
              </w:rPr>
              <w:t>39 (18.2)</w:t>
            </w:r>
          </w:p>
        </w:tc>
        <w:tc>
          <w:tcPr>
            <w:tcW w:w="1458" w:type="dxa"/>
            <w:tcBorders>
              <w:top w:val="nil"/>
              <w:left w:val="nil"/>
              <w:bottom w:val="single" w:sz="8" w:space="0" w:color="000000"/>
              <w:right w:val="single" w:sz="8" w:space="0" w:color="000000"/>
            </w:tcBorders>
            <w:hideMark/>
          </w:tcPr>
          <w:p w14:paraId="552BB4B9" w14:textId="77777777" w:rsidR="004D49DC" w:rsidRPr="00E42A49" w:rsidRDefault="004D49DC" w:rsidP="00D14FA7">
            <w:pPr>
              <w:spacing w:before="40" w:after="40"/>
              <w:jc w:val="center"/>
              <w:rPr>
                <w:sz w:val="20"/>
              </w:rPr>
            </w:pPr>
            <w:r w:rsidRPr="00E42A49">
              <w:rPr>
                <w:sz w:val="20"/>
              </w:rPr>
              <w:t>9 (4.2)</w:t>
            </w:r>
          </w:p>
        </w:tc>
        <w:tc>
          <w:tcPr>
            <w:tcW w:w="1458" w:type="dxa"/>
            <w:tcBorders>
              <w:top w:val="nil"/>
              <w:left w:val="nil"/>
              <w:bottom w:val="single" w:sz="8" w:space="0" w:color="000000"/>
              <w:right w:val="single" w:sz="8" w:space="0" w:color="000000"/>
            </w:tcBorders>
            <w:hideMark/>
          </w:tcPr>
          <w:p w14:paraId="08C0FE9E" w14:textId="77777777" w:rsidR="004D49DC" w:rsidRPr="00E42A49" w:rsidRDefault="004D49DC" w:rsidP="00D14FA7">
            <w:pPr>
              <w:spacing w:before="40" w:after="40"/>
              <w:jc w:val="center"/>
              <w:rPr>
                <w:sz w:val="20"/>
              </w:rPr>
            </w:pPr>
            <w:r w:rsidRPr="00E42A49">
              <w:rPr>
                <w:sz w:val="20"/>
              </w:rPr>
              <w:t>2 (0.9)</w:t>
            </w:r>
          </w:p>
        </w:tc>
        <w:tc>
          <w:tcPr>
            <w:tcW w:w="1458" w:type="dxa"/>
            <w:tcBorders>
              <w:top w:val="nil"/>
              <w:left w:val="nil"/>
              <w:bottom w:val="single" w:sz="8" w:space="0" w:color="000000"/>
              <w:right w:val="single" w:sz="8" w:space="0" w:color="000000"/>
            </w:tcBorders>
            <w:hideMark/>
          </w:tcPr>
          <w:p w14:paraId="6EF4ABF7"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3B762841" w14:textId="77777777" w:rsidR="004D49DC" w:rsidRPr="00E42A49" w:rsidRDefault="004D49DC" w:rsidP="00D14FA7">
            <w:pPr>
              <w:spacing w:before="40" w:after="40"/>
              <w:jc w:val="center"/>
              <w:rPr>
                <w:sz w:val="20"/>
              </w:rPr>
            </w:pPr>
            <w:r w:rsidRPr="00E42A49">
              <w:rPr>
                <w:sz w:val="20"/>
              </w:rPr>
              <w:t>0</w:t>
            </w:r>
          </w:p>
        </w:tc>
      </w:tr>
      <w:tr w:rsidR="004D49DC" w:rsidRPr="00E42A49" w14:paraId="3A720D5D" w14:textId="77777777" w:rsidTr="004D49DC">
        <w:trPr>
          <w:trHeight w:val="365"/>
        </w:trPr>
        <w:tc>
          <w:tcPr>
            <w:tcW w:w="9364" w:type="dxa"/>
            <w:gridSpan w:val="6"/>
            <w:tcBorders>
              <w:top w:val="nil"/>
              <w:left w:val="single" w:sz="8" w:space="0" w:color="000000"/>
              <w:bottom w:val="single" w:sz="8" w:space="0" w:color="000000"/>
              <w:right w:val="single" w:sz="8" w:space="0" w:color="000000"/>
            </w:tcBorders>
            <w:shd w:val="clear" w:color="auto" w:fill="D9D9D9"/>
            <w:hideMark/>
          </w:tcPr>
          <w:p w14:paraId="66E1E5AE" w14:textId="77777777" w:rsidR="004D49DC" w:rsidRPr="00E42A49" w:rsidRDefault="004D49DC" w:rsidP="00D14FA7">
            <w:pPr>
              <w:spacing w:before="40" w:after="40"/>
              <w:ind w:right="-20"/>
              <w:rPr>
                <w:b/>
                <w:bCs/>
                <w:spacing w:val="-1"/>
                <w:sz w:val="20"/>
              </w:rPr>
            </w:pPr>
            <w:r w:rsidRPr="00E42A49">
              <w:rPr>
                <w:b/>
                <w:bCs/>
                <w:spacing w:val="-1"/>
                <w:sz w:val="20"/>
              </w:rPr>
              <w:t>Respiratory, Thoracic and Mediastinal Disorders</w:t>
            </w:r>
          </w:p>
        </w:tc>
      </w:tr>
      <w:tr w:rsidR="004D49DC" w:rsidRPr="00E42A49" w14:paraId="2C10006C"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4477725D" w14:textId="77777777" w:rsidR="004D49DC" w:rsidRPr="00E42A49" w:rsidRDefault="004D49DC" w:rsidP="00D14FA7">
            <w:pPr>
              <w:spacing w:before="40" w:after="40"/>
              <w:ind w:left="287" w:right="-20"/>
              <w:rPr>
                <w:spacing w:val="-1"/>
                <w:sz w:val="20"/>
              </w:rPr>
            </w:pPr>
            <w:r w:rsidRPr="00E42A49">
              <w:rPr>
                <w:spacing w:val="-1"/>
                <w:sz w:val="20"/>
              </w:rPr>
              <w:t>Cough</w:t>
            </w:r>
          </w:p>
        </w:tc>
        <w:tc>
          <w:tcPr>
            <w:tcW w:w="1458" w:type="dxa"/>
            <w:tcBorders>
              <w:top w:val="nil"/>
              <w:left w:val="nil"/>
              <w:bottom w:val="single" w:sz="8" w:space="0" w:color="000000"/>
              <w:right w:val="single" w:sz="8" w:space="0" w:color="000000"/>
            </w:tcBorders>
            <w:hideMark/>
          </w:tcPr>
          <w:p w14:paraId="356B41DD" w14:textId="77777777" w:rsidR="004D49DC" w:rsidRPr="00E42A49" w:rsidRDefault="004D49DC" w:rsidP="00D14FA7">
            <w:pPr>
              <w:spacing w:before="40" w:after="40"/>
              <w:jc w:val="center"/>
              <w:rPr>
                <w:sz w:val="20"/>
              </w:rPr>
            </w:pPr>
            <w:r w:rsidRPr="00E42A49">
              <w:rPr>
                <w:sz w:val="20"/>
              </w:rPr>
              <w:t>62 (29.0)</w:t>
            </w:r>
          </w:p>
        </w:tc>
        <w:tc>
          <w:tcPr>
            <w:tcW w:w="1458" w:type="dxa"/>
            <w:tcBorders>
              <w:top w:val="nil"/>
              <w:left w:val="nil"/>
              <w:bottom w:val="single" w:sz="8" w:space="0" w:color="000000"/>
              <w:right w:val="single" w:sz="8" w:space="0" w:color="000000"/>
            </w:tcBorders>
            <w:hideMark/>
          </w:tcPr>
          <w:p w14:paraId="6ECA7A39" w14:textId="77777777" w:rsidR="004D49DC" w:rsidRPr="00E42A49" w:rsidRDefault="004D49DC" w:rsidP="00D14FA7">
            <w:pPr>
              <w:spacing w:before="40" w:after="40"/>
              <w:jc w:val="center"/>
              <w:rPr>
                <w:sz w:val="20"/>
              </w:rPr>
            </w:pPr>
            <w:r w:rsidRPr="00E42A49">
              <w:rPr>
                <w:sz w:val="20"/>
              </w:rPr>
              <w:t>8 (3.7)</w:t>
            </w:r>
          </w:p>
        </w:tc>
        <w:tc>
          <w:tcPr>
            <w:tcW w:w="1458" w:type="dxa"/>
            <w:tcBorders>
              <w:top w:val="nil"/>
              <w:left w:val="nil"/>
              <w:bottom w:val="single" w:sz="8" w:space="0" w:color="000000"/>
              <w:right w:val="single" w:sz="8" w:space="0" w:color="000000"/>
            </w:tcBorders>
            <w:hideMark/>
          </w:tcPr>
          <w:p w14:paraId="68BFCCB9"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211DC454" w14:textId="77777777" w:rsidR="004D49DC" w:rsidRPr="00E42A49" w:rsidRDefault="004D49DC" w:rsidP="00D14FA7">
            <w:pPr>
              <w:spacing w:before="40" w:after="40"/>
              <w:jc w:val="center"/>
              <w:rPr>
                <w:sz w:val="20"/>
              </w:rPr>
            </w:pPr>
            <w:r w:rsidRPr="00E42A49">
              <w:rPr>
                <w:sz w:val="20"/>
              </w:rPr>
              <w:t>0</w:t>
            </w:r>
          </w:p>
        </w:tc>
        <w:tc>
          <w:tcPr>
            <w:tcW w:w="1458" w:type="dxa"/>
            <w:tcBorders>
              <w:top w:val="nil"/>
              <w:left w:val="nil"/>
              <w:bottom w:val="single" w:sz="8" w:space="0" w:color="000000"/>
              <w:right w:val="single" w:sz="8" w:space="0" w:color="000000"/>
            </w:tcBorders>
            <w:hideMark/>
          </w:tcPr>
          <w:p w14:paraId="0E018C4E" w14:textId="77777777" w:rsidR="004D49DC" w:rsidRPr="00E42A49" w:rsidRDefault="004D49DC" w:rsidP="00D14FA7">
            <w:pPr>
              <w:spacing w:before="40" w:after="40"/>
              <w:jc w:val="center"/>
              <w:rPr>
                <w:sz w:val="20"/>
              </w:rPr>
            </w:pPr>
            <w:r w:rsidRPr="00E42A49">
              <w:rPr>
                <w:sz w:val="20"/>
              </w:rPr>
              <w:t>0</w:t>
            </w:r>
          </w:p>
        </w:tc>
      </w:tr>
      <w:tr w:rsidR="004D49DC" w:rsidRPr="00E42A49" w14:paraId="250A7848" w14:textId="77777777" w:rsidTr="00D14FA7">
        <w:trPr>
          <w:trHeight w:hRule="exact" w:val="365"/>
        </w:trPr>
        <w:tc>
          <w:tcPr>
            <w:tcW w:w="2074" w:type="dxa"/>
            <w:tcBorders>
              <w:top w:val="nil"/>
              <w:left w:val="single" w:sz="8" w:space="0" w:color="000000"/>
              <w:bottom w:val="single" w:sz="8" w:space="0" w:color="000000"/>
              <w:right w:val="single" w:sz="8" w:space="0" w:color="000000"/>
            </w:tcBorders>
            <w:hideMark/>
          </w:tcPr>
          <w:p w14:paraId="7CECF849" w14:textId="77777777" w:rsidR="004D49DC" w:rsidRPr="00E42A49" w:rsidRDefault="004D49DC" w:rsidP="00D14FA7">
            <w:pPr>
              <w:spacing w:before="40" w:after="40"/>
              <w:ind w:left="287" w:right="-20"/>
              <w:rPr>
                <w:spacing w:val="-1"/>
                <w:sz w:val="20"/>
              </w:rPr>
            </w:pPr>
            <w:r w:rsidRPr="00E42A49">
              <w:rPr>
                <w:spacing w:val="-1"/>
                <w:sz w:val="20"/>
              </w:rPr>
              <w:t>Dyspnoea</w:t>
            </w:r>
          </w:p>
        </w:tc>
        <w:tc>
          <w:tcPr>
            <w:tcW w:w="1458" w:type="dxa"/>
            <w:tcBorders>
              <w:top w:val="nil"/>
              <w:left w:val="nil"/>
              <w:bottom w:val="single" w:sz="8" w:space="0" w:color="000000"/>
              <w:right w:val="single" w:sz="8" w:space="0" w:color="000000"/>
            </w:tcBorders>
            <w:hideMark/>
          </w:tcPr>
          <w:p w14:paraId="29FE0C8B" w14:textId="77777777" w:rsidR="004D49DC" w:rsidRPr="00E42A49" w:rsidRDefault="004D49DC" w:rsidP="00D14FA7">
            <w:pPr>
              <w:spacing w:before="40" w:after="40"/>
              <w:jc w:val="center"/>
              <w:rPr>
                <w:sz w:val="20"/>
              </w:rPr>
            </w:pPr>
            <w:r w:rsidRPr="00E42A49">
              <w:rPr>
                <w:sz w:val="20"/>
              </w:rPr>
              <w:t>28 (13.1)</w:t>
            </w:r>
          </w:p>
        </w:tc>
        <w:tc>
          <w:tcPr>
            <w:tcW w:w="1458" w:type="dxa"/>
            <w:tcBorders>
              <w:top w:val="nil"/>
              <w:left w:val="nil"/>
              <w:bottom w:val="single" w:sz="8" w:space="0" w:color="000000"/>
              <w:right w:val="single" w:sz="8" w:space="0" w:color="000000"/>
            </w:tcBorders>
            <w:hideMark/>
          </w:tcPr>
          <w:p w14:paraId="12340C70" w14:textId="77777777" w:rsidR="004D49DC" w:rsidRPr="00E42A49" w:rsidRDefault="004D49DC" w:rsidP="00D14FA7">
            <w:pPr>
              <w:spacing w:before="40" w:after="40"/>
              <w:jc w:val="center"/>
              <w:rPr>
                <w:sz w:val="20"/>
              </w:rPr>
            </w:pPr>
            <w:r w:rsidRPr="00E42A49">
              <w:rPr>
                <w:sz w:val="20"/>
              </w:rPr>
              <w:t>25 (11.7)</w:t>
            </w:r>
          </w:p>
        </w:tc>
        <w:tc>
          <w:tcPr>
            <w:tcW w:w="1458" w:type="dxa"/>
            <w:tcBorders>
              <w:top w:val="nil"/>
              <w:left w:val="nil"/>
              <w:bottom w:val="single" w:sz="8" w:space="0" w:color="000000"/>
              <w:right w:val="single" w:sz="8" w:space="0" w:color="000000"/>
            </w:tcBorders>
            <w:hideMark/>
          </w:tcPr>
          <w:p w14:paraId="71CDD34A" w14:textId="77777777" w:rsidR="004D49DC" w:rsidRPr="00E42A49" w:rsidRDefault="004D49DC" w:rsidP="00D14FA7">
            <w:pPr>
              <w:spacing w:before="40" w:after="40"/>
              <w:jc w:val="center"/>
              <w:rPr>
                <w:sz w:val="20"/>
              </w:rPr>
            </w:pPr>
            <w:r w:rsidRPr="00E42A49">
              <w:rPr>
                <w:sz w:val="20"/>
              </w:rPr>
              <w:t>16 (7.5)</w:t>
            </w:r>
          </w:p>
        </w:tc>
        <w:tc>
          <w:tcPr>
            <w:tcW w:w="1458" w:type="dxa"/>
            <w:tcBorders>
              <w:top w:val="nil"/>
              <w:left w:val="nil"/>
              <w:bottom w:val="single" w:sz="8" w:space="0" w:color="000000"/>
              <w:right w:val="single" w:sz="8" w:space="0" w:color="000000"/>
            </w:tcBorders>
            <w:hideMark/>
          </w:tcPr>
          <w:p w14:paraId="002FBD57" w14:textId="77777777" w:rsidR="004D49DC" w:rsidRPr="00E42A49" w:rsidRDefault="004D49DC" w:rsidP="00D14FA7">
            <w:pPr>
              <w:spacing w:before="40" w:after="40"/>
              <w:jc w:val="center"/>
              <w:rPr>
                <w:sz w:val="20"/>
              </w:rPr>
            </w:pPr>
            <w:r w:rsidRPr="00E42A49">
              <w:rPr>
                <w:sz w:val="20"/>
              </w:rPr>
              <w:t xml:space="preserve">0 </w:t>
            </w:r>
          </w:p>
        </w:tc>
        <w:tc>
          <w:tcPr>
            <w:tcW w:w="1458" w:type="dxa"/>
            <w:tcBorders>
              <w:top w:val="nil"/>
              <w:left w:val="nil"/>
              <w:bottom w:val="single" w:sz="8" w:space="0" w:color="000000"/>
              <w:right w:val="single" w:sz="8" w:space="0" w:color="000000"/>
            </w:tcBorders>
            <w:hideMark/>
          </w:tcPr>
          <w:p w14:paraId="427F6508" w14:textId="77777777" w:rsidR="004D49DC" w:rsidRPr="00E42A49" w:rsidRDefault="004D49DC" w:rsidP="00D14FA7">
            <w:pPr>
              <w:spacing w:before="40" w:after="40"/>
              <w:jc w:val="center"/>
              <w:rPr>
                <w:sz w:val="20"/>
              </w:rPr>
            </w:pPr>
            <w:r w:rsidRPr="00E42A49">
              <w:rPr>
                <w:sz w:val="20"/>
              </w:rPr>
              <w:t>0</w:t>
            </w:r>
          </w:p>
        </w:tc>
      </w:tr>
    </w:tbl>
    <w:bookmarkEnd w:id="8"/>
    <w:p w14:paraId="4BED2457" w14:textId="77777777" w:rsidR="004F2126" w:rsidRPr="00E42A49" w:rsidRDefault="004F2126" w:rsidP="00E46BAE">
      <w:pPr>
        <w:spacing w:after="0" w:line="201" w:lineRule="exact"/>
        <w:ind w:left="220" w:right="-20"/>
        <w:rPr>
          <w:spacing w:val="-1"/>
          <w:sz w:val="18"/>
          <w:szCs w:val="18"/>
        </w:rPr>
      </w:pPr>
      <w:r w:rsidRPr="00E42A49">
        <w:rPr>
          <w:spacing w:val="-1"/>
          <w:sz w:val="18"/>
          <w:szCs w:val="18"/>
        </w:rPr>
        <w:t>AM</w:t>
      </w:r>
      <w:r w:rsidRPr="00E42A49">
        <w:rPr>
          <w:sz w:val="18"/>
          <w:szCs w:val="18"/>
        </w:rPr>
        <w:t>L</w:t>
      </w:r>
      <w:r w:rsidRPr="00E42A49">
        <w:rPr>
          <w:spacing w:val="3"/>
          <w:sz w:val="18"/>
          <w:szCs w:val="18"/>
        </w:rPr>
        <w:t xml:space="preserve"> </w:t>
      </w:r>
      <w:r w:rsidRPr="00E42A49">
        <w:rPr>
          <w:sz w:val="18"/>
          <w:szCs w:val="18"/>
        </w:rPr>
        <w:t xml:space="preserve">= </w:t>
      </w:r>
      <w:r w:rsidRPr="00E42A49">
        <w:rPr>
          <w:spacing w:val="-1"/>
          <w:sz w:val="18"/>
          <w:szCs w:val="18"/>
        </w:rPr>
        <w:t>acut</w:t>
      </w:r>
      <w:r w:rsidRPr="00E42A49">
        <w:rPr>
          <w:sz w:val="18"/>
          <w:szCs w:val="18"/>
        </w:rPr>
        <w:t>e</w:t>
      </w:r>
      <w:r w:rsidRPr="00E42A49">
        <w:rPr>
          <w:spacing w:val="3"/>
          <w:sz w:val="18"/>
          <w:szCs w:val="18"/>
        </w:rPr>
        <w:t xml:space="preserve"> </w:t>
      </w:r>
      <w:proofErr w:type="spellStart"/>
      <w:r w:rsidRPr="00E42A49">
        <w:rPr>
          <w:spacing w:val="-1"/>
          <w:sz w:val="18"/>
          <w:szCs w:val="18"/>
        </w:rPr>
        <w:t>myelogenou</w:t>
      </w:r>
      <w:r w:rsidRPr="00E42A49">
        <w:rPr>
          <w:sz w:val="18"/>
          <w:szCs w:val="18"/>
        </w:rPr>
        <w:t>s</w:t>
      </w:r>
      <w:proofErr w:type="spellEnd"/>
      <w:r w:rsidRPr="00E42A49">
        <w:rPr>
          <w:spacing w:val="9"/>
          <w:sz w:val="18"/>
          <w:szCs w:val="18"/>
        </w:rPr>
        <w:t xml:space="preserve"> </w:t>
      </w:r>
      <w:proofErr w:type="spellStart"/>
      <w:r w:rsidRPr="00E42A49">
        <w:rPr>
          <w:spacing w:val="-1"/>
          <w:sz w:val="18"/>
          <w:szCs w:val="18"/>
        </w:rPr>
        <w:t>leukemia</w:t>
      </w:r>
      <w:proofErr w:type="spellEnd"/>
      <w:r w:rsidRPr="00E42A49">
        <w:rPr>
          <w:sz w:val="18"/>
          <w:szCs w:val="18"/>
        </w:rPr>
        <w:t>,</w:t>
      </w:r>
      <w:r w:rsidRPr="00E42A49">
        <w:rPr>
          <w:spacing w:val="6"/>
          <w:sz w:val="18"/>
          <w:szCs w:val="18"/>
        </w:rPr>
        <w:t xml:space="preserve"> </w:t>
      </w:r>
      <w:r w:rsidRPr="00E42A49">
        <w:rPr>
          <w:spacing w:val="-1"/>
          <w:sz w:val="18"/>
          <w:szCs w:val="18"/>
        </w:rPr>
        <w:t>R/</w:t>
      </w:r>
      <w:r w:rsidRPr="00E42A49">
        <w:rPr>
          <w:sz w:val="18"/>
          <w:szCs w:val="18"/>
        </w:rPr>
        <w:t>R</w:t>
      </w:r>
      <w:r w:rsidRPr="00E42A49">
        <w:rPr>
          <w:spacing w:val="2"/>
          <w:sz w:val="18"/>
          <w:szCs w:val="18"/>
        </w:rPr>
        <w:t xml:space="preserve"> </w:t>
      </w:r>
      <w:r w:rsidRPr="00E42A49">
        <w:rPr>
          <w:sz w:val="18"/>
          <w:szCs w:val="18"/>
        </w:rPr>
        <w:t xml:space="preserve">= </w:t>
      </w:r>
      <w:r w:rsidRPr="00E42A49">
        <w:rPr>
          <w:spacing w:val="-1"/>
          <w:sz w:val="18"/>
          <w:szCs w:val="18"/>
        </w:rPr>
        <w:t>relapse</w:t>
      </w:r>
      <w:r w:rsidRPr="00E42A49">
        <w:rPr>
          <w:sz w:val="18"/>
          <w:szCs w:val="18"/>
        </w:rPr>
        <w:t>d</w:t>
      </w:r>
      <w:r w:rsidRPr="00E42A49">
        <w:rPr>
          <w:spacing w:val="5"/>
          <w:sz w:val="18"/>
          <w:szCs w:val="18"/>
        </w:rPr>
        <w:t xml:space="preserve"> </w:t>
      </w:r>
      <w:r w:rsidRPr="00E42A49">
        <w:rPr>
          <w:spacing w:val="-1"/>
          <w:sz w:val="18"/>
          <w:szCs w:val="18"/>
        </w:rPr>
        <w:t>o</w:t>
      </w:r>
      <w:r w:rsidRPr="00E42A49">
        <w:rPr>
          <w:sz w:val="18"/>
          <w:szCs w:val="18"/>
        </w:rPr>
        <w:t>r</w:t>
      </w:r>
      <w:r w:rsidRPr="00E42A49">
        <w:rPr>
          <w:spacing w:val="3"/>
          <w:sz w:val="18"/>
          <w:szCs w:val="18"/>
        </w:rPr>
        <w:t xml:space="preserve"> </w:t>
      </w:r>
      <w:r w:rsidRPr="00E42A49">
        <w:rPr>
          <w:spacing w:val="-1"/>
          <w:sz w:val="18"/>
          <w:szCs w:val="18"/>
        </w:rPr>
        <w:t>refractory</w:t>
      </w:r>
    </w:p>
    <w:p w14:paraId="7F850FF2" w14:textId="703CC20D" w:rsidR="00624F38" w:rsidRPr="00E42A49" w:rsidRDefault="00624F38" w:rsidP="004F1ED1">
      <w:pPr>
        <w:pageBreakBefore/>
        <w:spacing w:after="0" w:line="240" w:lineRule="auto"/>
        <w:ind w:left="221" w:right="-23"/>
        <w:rPr>
          <w:lang w:val="en-GB"/>
        </w:rPr>
      </w:pPr>
    </w:p>
    <w:p w14:paraId="7FCA1B3B" w14:textId="77777777" w:rsidR="00624F38" w:rsidRPr="00E42A49" w:rsidRDefault="00624F38" w:rsidP="00624F38">
      <w:pPr>
        <w:pStyle w:val="C-Heading3"/>
        <w:rPr>
          <w:lang w:val="en-GB"/>
        </w:rPr>
      </w:pPr>
      <w:r w:rsidRPr="00E42A49">
        <w:rPr>
          <w:lang w:val="en-GB"/>
        </w:rPr>
        <w:t>Tabulated summary of drug adverse reactions</w:t>
      </w:r>
    </w:p>
    <w:p w14:paraId="7C33E6EC" w14:textId="7EEE239D" w:rsidR="00784DDD" w:rsidRPr="00E42A49" w:rsidRDefault="00784DDD" w:rsidP="00317A34">
      <w:pPr>
        <w:autoSpaceDE w:val="0"/>
        <w:autoSpaceDN w:val="0"/>
        <w:adjustRightInd w:val="0"/>
        <w:spacing w:before="120" w:after="0"/>
        <w:rPr>
          <w:lang w:val="en-GB"/>
        </w:rPr>
      </w:pPr>
      <w:r w:rsidRPr="00E42A49">
        <w:rPr>
          <w:lang w:val="en-GB"/>
        </w:rPr>
        <w:t>The most common adverse reactions (</w:t>
      </w:r>
      <w:r w:rsidR="00A92BA5">
        <w:rPr>
          <w:rFonts w:ascii="Symbol" w:hAnsi="Symbol"/>
        </w:rPr>
        <w:sym w:font="Symbol" w:char="F0B3"/>
      </w:r>
      <w:r w:rsidR="00712AF8" w:rsidRPr="00E42A49">
        <w:rPr>
          <w:lang w:val="en-GB"/>
        </w:rPr>
        <w:t xml:space="preserve"> 20 %) </w:t>
      </w:r>
      <w:r w:rsidRPr="00E42A49">
        <w:rPr>
          <w:lang w:val="en-GB"/>
        </w:rPr>
        <w:t xml:space="preserve">were nausea, vomiting, diarrhoea, elevated bilirubin, and decreased </w:t>
      </w:r>
      <w:r w:rsidR="00870F19" w:rsidRPr="00E42A49">
        <w:rPr>
          <w:lang w:val="en-GB"/>
        </w:rPr>
        <w:t>appetite (see Table 3</w:t>
      </w:r>
      <w:r w:rsidRPr="00E42A49">
        <w:rPr>
          <w:lang w:val="en-GB"/>
        </w:rPr>
        <w:t>).</w:t>
      </w:r>
    </w:p>
    <w:p w14:paraId="6E2ED5FB" w14:textId="77777777" w:rsidR="00784DDD" w:rsidRPr="00E42A49" w:rsidRDefault="00784DDD" w:rsidP="00E46BAE">
      <w:pPr>
        <w:autoSpaceDE w:val="0"/>
        <w:autoSpaceDN w:val="0"/>
        <w:adjustRightInd w:val="0"/>
        <w:spacing w:after="0" w:line="240" w:lineRule="auto"/>
        <w:rPr>
          <w:lang w:val="en-GB"/>
        </w:rPr>
      </w:pPr>
    </w:p>
    <w:p w14:paraId="15D3EDE8" w14:textId="3890BDCA" w:rsidR="00784DDD" w:rsidRPr="00E42A49" w:rsidRDefault="00784DDD" w:rsidP="00E46BAE">
      <w:pPr>
        <w:autoSpaceDE w:val="0"/>
        <w:autoSpaceDN w:val="0"/>
        <w:adjustRightInd w:val="0"/>
        <w:spacing w:after="0"/>
        <w:rPr>
          <w:lang w:val="en-GB"/>
        </w:rPr>
      </w:pPr>
      <w:r w:rsidRPr="00E42A49">
        <w:rPr>
          <w:lang w:val="en-GB"/>
        </w:rPr>
        <w:t xml:space="preserve">The most frequent serious events determined to be expected adverse reactions to </w:t>
      </w:r>
      <w:r w:rsidR="00254813" w:rsidRPr="00E42A49">
        <w:rPr>
          <w:lang w:val="en-GB"/>
        </w:rPr>
        <w:t>Idhifa</w:t>
      </w:r>
      <w:r w:rsidRPr="00E42A49">
        <w:rPr>
          <w:lang w:val="en-GB"/>
        </w:rPr>
        <w:t xml:space="preserve"> were differentiation syndrome (11.2 %), non-infectious </w:t>
      </w:r>
      <w:proofErr w:type="spellStart"/>
      <w:r w:rsidRPr="00E42A49">
        <w:rPr>
          <w:lang w:val="en-GB"/>
        </w:rPr>
        <w:t>leukocytosis</w:t>
      </w:r>
      <w:proofErr w:type="spellEnd"/>
      <w:r w:rsidRPr="00E42A49">
        <w:rPr>
          <w:lang w:val="en-GB"/>
        </w:rPr>
        <w:t xml:space="preserve"> (6.5 %), nausea and</w:t>
      </w:r>
      <w:r w:rsidR="00AE33BF" w:rsidRPr="00E42A49">
        <w:rPr>
          <w:lang w:val="en-GB"/>
        </w:rPr>
        <w:t xml:space="preserve"> </w:t>
      </w:r>
      <w:r w:rsidRPr="00E42A49">
        <w:rPr>
          <w:lang w:val="en-GB"/>
        </w:rPr>
        <w:t>/</w:t>
      </w:r>
      <w:r w:rsidR="00AE33BF" w:rsidRPr="00E42A49">
        <w:rPr>
          <w:lang w:val="en-GB"/>
        </w:rPr>
        <w:t xml:space="preserve"> </w:t>
      </w:r>
      <w:r w:rsidRPr="00E42A49">
        <w:rPr>
          <w:lang w:val="en-GB"/>
        </w:rPr>
        <w:t>or vomiting (5.6 %), tumour lysis syndrome (4.7 %), diarrhoea (4.2 %), decreased appetite (2.8 %), and increased bilirubin levels (1.4 %).</w:t>
      </w:r>
    </w:p>
    <w:p w14:paraId="7E5A8A29" w14:textId="77777777" w:rsidR="00784DDD" w:rsidRPr="00E42A49" w:rsidRDefault="00784DDD" w:rsidP="00E46BAE">
      <w:pPr>
        <w:autoSpaceDE w:val="0"/>
        <w:autoSpaceDN w:val="0"/>
        <w:adjustRightInd w:val="0"/>
        <w:spacing w:after="0" w:line="240" w:lineRule="auto"/>
        <w:rPr>
          <w:lang w:val="en-GB"/>
        </w:rPr>
      </w:pPr>
    </w:p>
    <w:p w14:paraId="72733F87" w14:textId="29F4F45F" w:rsidR="00784DDD" w:rsidRPr="00E42A49" w:rsidRDefault="00784DDD" w:rsidP="00E46BAE">
      <w:pPr>
        <w:autoSpaceDE w:val="0"/>
        <w:autoSpaceDN w:val="0"/>
        <w:adjustRightInd w:val="0"/>
        <w:spacing w:after="0"/>
        <w:rPr>
          <w:lang w:val="en-GB"/>
        </w:rPr>
      </w:pPr>
      <w:bookmarkStart w:id="9" w:name="_Hlk14874105"/>
      <w:r w:rsidRPr="00E42A49">
        <w:rPr>
          <w:lang w:val="en-GB"/>
        </w:rPr>
        <w:t xml:space="preserve">The most common adverse events determined to be expected reactions to </w:t>
      </w:r>
      <w:r w:rsidR="00254813" w:rsidRPr="00E42A49">
        <w:rPr>
          <w:lang w:val="en-GB"/>
        </w:rPr>
        <w:t>Idhifa</w:t>
      </w:r>
      <w:r w:rsidRPr="00E42A49">
        <w:rPr>
          <w:lang w:val="en-GB"/>
        </w:rPr>
        <w:t xml:space="preserve"> and </w:t>
      </w:r>
      <w:r w:rsidR="00712AF8" w:rsidRPr="00E42A49">
        <w:rPr>
          <w:lang w:val="en-GB"/>
        </w:rPr>
        <w:t xml:space="preserve">leading to dose interruption </w:t>
      </w:r>
      <w:r w:rsidRPr="00E42A49">
        <w:rPr>
          <w:lang w:val="en-GB"/>
        </w:rPr>
        <w:t>were differentiation syndrome (5.6 %) a</w:t>
      </w:r>
      <w:r w:rsidR="00512D79" w:rsidRPr="00E42A49">
        <w:rPr>
          <w:lang w:val="en-GB"/>
        </w:rPr>
        <w:t xml:space="preserve">nd elevated bilirubin (4.2 %); </w:t>
      </w:r>
      <w:r w:rsidRPr="00E42A49">
        <w:rPr>
          <w:lang w:val="en-GB"/>
        </w:rPr>
        <w:t xml:space="preserve">dose reductions were differentiation syndrome (0.5 %) and increased serum </w:t>
      </w:r>
      <w:r w:rsidR="00512D79" w:rsidRPr="00E42A49">
        <w:rPr>
          <w:lang w:val="en-GB"/>
        </w:rPr>
        <w:t>bilirubin (0.5 %); permanent discontinuations</w:t>
      </w:r>
      <w:r w:rsidR="00712AF8" w:rsidRPr="00E42A49">
        <w:rPr>
          <w:lang w:val="en-GB"/>
        </w:rPr>
        <w:t xml:space="preserve"> were </w:t>
      </w:r>
      <w:r w:rsidRPr="00E42A49">
        <w:rPr>
          <w:lang w:val="en-GB"/>
        </w:rPr>
        <w:t xml:space="preserve">elevated bilirubin (1.4 %), differentiation syndrome (0.9 %), tumour lysis syndrome (0.9 %), and non-infectious </w:t>
      </w:r>
      <w:proofErr w:type="spellStart"/>
      <w:r w:rsidRPr="00E42A49">
        <w:rPr>
          <w:lang w:val="en-GB"/>
        </w:rPr>
        <w:t>leukocytosis</w:t>
      </w:r>
      <w:proofErr w:type="spellEnd"/>
      <w:r w:rsidRPr="00E42A49">
        <w:rPr>
          <w:lang w:val="en-GB"/>
        </w:rPr>
        <w:t xml:space="preserve"> (0.5 %).</w:t>
      </w:r>
      <w:bookmarkEnd w:id="9"/>
    </w:p>
    <w:p w14:paraId="781455A4" w14:textId="19640839" w:rsidR="002C36B9" w:rsidRPr="00E42A49" w:rsidRDefault="002C36B9" w:rsidP="00E46BAE">
      <w:pPr>
        <w:autoSpaceDE w:val="0"/>
        <w:autoSpaceDN w:val="0"/>
        <w:adjustRightInd w:val="0"/>
        <w:spacing w:after="0" w:line="240" w:lineRule="auto"/>
        <w:rPr>
          <w:lang w:val="en-GB"/>
        </w:rPr>
      </w:pPr>
    </w:p>
    <w:p w14:paraId="6716B723" w14:textId="55A37CB7" w:rsidR="00784DDD" w:rsidRPr="00E42A49" w:rsidRDefault="00784DDD" w:rsidP="000A6372">
      <w:pPr>
        <w:autoSpaceDE w:val="0"/>
        <w:autoSpaceDN w:val="0"/>
        <w:adjustRightInd w:val="0"/>
        <w:spacing w:after="0"/>
        <w:rPr>
          <w:lang w:val="en-GB"/>
        </w:rPr>
      </w:pPr>
      <w:r w:rsidRPr="00E42A49">
        <w:rPr>
          <w:lang w:val="en-GB"/>
        </w:rPr>
        <w:t xml:space="preserve">The table below contains the adverse reactions for which a causal relationship with </w:t>
      </w:r>
      <w:r w:rsidR="00254813" w:rsidRPr="00E42A49">
        <w:rPr>
          <w:lang w:val="en-GB"/>
        </w:rPr>
        <w:t>Idhifa</w:t>
      </w:r>
      <w:r w:rsidRPr="00E42A49">
        <w:rPr>
          <w:lang w:val="en-GB"/>
        </w:rPr>
        <w:t xml:space="preserve"> treatment could reasonably be established based on the observations during the pivotal clinical study.  Frequencies are defined as: very common (</w:t>
      </w:r>
      <w:r w:rsidR="00A92BA5">
        <w:rPr>
          <w:rFonts w:ascii="Symbol" w:hAnsi="Symbol"/>
        </w:rPr>
        <w:sym w:font="Symbol" w:char="F0B3"/>
      </w:r>
      <w:r w:rsidRPr="00E42A49">
        <w:rPr>
          <w:lang w:val="en-GB"/>
        </w:rPr>
        <w: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 common (</w:t>
      </w:r>
      <w:r w:rsidR="00A92BA5">
        <w:rPr>
          <w:rFonts w:ascii="Symbol" w:hAnsi="Symbol"/>
        </w:rPr>
        <w:sym w:font="Symbol" w:char="F0B3"/>
      </w:r>
      <w:r w:rsidRPr="00E42A49">
        <w:rPr>
          <w:lang w:val="en-GB"/>
        </w:rPr>
        <w: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 to &lt;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 uncommon (</w:t>
      </w:r>
      <w:r w:rsidR="00A92BA5">
        <w:rPr>
          <w:rFonts w:ascii="Symbol" w:hAnsi="Symbol"/>
        </w:rPr>
        <w:sym w:font="Symbol" w:char="F0B3"/>
      </w:r>
      <w:r w:rsidRPr="00E42A49">
        <w:rPr>
          <w:lang w:val="en-GB"/>
        </w:rPr>
        <w: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1,000 to &lt;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 rare (</w:t>
      </w:r>
      <w:r w:rsidR="00A92BA5">
        <w:rPr>
          <w:rFonts w:ascii="Symbol" w:hAnsi="Symbol"/>
        </w:rPr>
        <w:sym w:font="Symbol" w:char="F0B3"/>
      </w:r>
      <w:r w:rsidRPr="00E42A49">
        <w:rPr>
          <w:lang w:val="en-GB"/>
        </w:rPr>
        <w: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10,000 to &lt;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1,000) and very rare (&lt; 1</w:t>
      </w:r>
      <w:r w:rsidR="00AE33BF" w:rsidRPr="00E42A49">
        <w:rPr>
          <w:lang w:val="en-GB"/>
        </w:rPr>
        <w:t xml:space="preserve"> </w:t>
      </w:r>
      <w:r w:rsidRPr="00E42A49">
        <w:rPr>
          <w:lang w:val="en-GB"/>
        </w:rPr>
        <w:t>/</w:t>
      </w:r>
      <w:r w:rsidR="00AE33BF" w:rsidRPr="00E42A49">
        <w:rPr>
          <w:lang w:val="en-GB"/>
        </w:rPr>
        <w:t xml:space="preserve"> </w:t>
      </w:r>
      <w:r w:rsidRPr="00E42A49">
        <w:rPr>
          <w:lang w:val="en-GB"/>
        </w:rPr>
        <w:t>10,000).  Within each frequency grouping, undesirable effects are presented in order of decreasing seriousness.</w:t>
      </w:r>
    </w:p>
    <w:p w14:paraId="6D7CAD54" w14:textId="77777777" w:rsidR="00784DDD" w:rsidRPr="00E42A49" w:rsidRDefault="00784DDD" w:rsidP="00E46BAE">
      <w:pPr>
        <w:spacing w:after="0" w:line="240" w:lineRule="auto"/>
      </w:pPr>
    </w:p>
    <w:p w14:paraId="631253C5" w14:textId="272FB299" w:rsidR="002D6FD2" w:rsidRPr="00E42A49" w:rsidRDefault="002D6FD2" w:rsidP="004F1ED1">
      <w:pPr>
        <w:pStyle w:val="Caption"/>
        <w:pageBreakBefore/>
        <w:spacing w:before="0"/>
      </w:pPr>
      <w:bookmarkStart w:id="10" w:name="_Hlk11941789"/>
      <w:r w:rsidRPr="00E42A49">
        <w:lastRenderedPageBreak/>
        <w:t>Table </w:t>
      </w:r>
      <w:r w:rsidR="00633D61" w:rsidRPr="00E42A49">
        <w:rPr>
          <w:noProof/>
        </w:rPr>
        <w:fldChar w:fldCharType="begin"/>
      </w:r>
      <w:r w:rsidR="00633D61" w:rsidRPr="00E42A49">
        <w:rPr>
          <w:noProof/>
        </w:rPr>
        <w:instrText xml:space="preserve"> SEQ Table \* ARABIC \* MERGEFORMAT </w:instrText>
      </w:r>
      <w:r w:rsidR="00633D61" w:rsidRPr="00E42A49">
        <w:rPr>
          <w:noProof/>
        </w:rPr>
        <w:fldChar w:fldCharType="separate"/>
      </w:r>
      <w:r w:rsidR="0036648D">
        <w:rPr>
          <w:noProof/>
        </w:rPr>
        <w:t>3</w:t>
      </w:r>
      <w:r w:rsidR="00633D61" w:rsidRPr="00E42A49">
        <w:rPr>
          <w:noProof/>
        </w:rPr>
        <w:fldChar w:fldCharType="end"/>
      </w:r>
      <w:r w:rsidRPr="00E42A49">
        <w:t>:</w:t>
      </w:r>
      <w:r w:rsidRPr="00E42A49">
        <w:tab/>
        <w:t>ADRs Reported in Patients with R</w:t>
      </w:r>
      <w:r w:rsidR="00AE33BF" w:rsidRPr="00E42A49">
        <w:t xml:space="preserve"> </w:t>
      </w:r>
      <w:r w:rsidRPr="00E42A49">
        <w:t>/</w:t>
      </w:r>
      <w:r w:rsidR="00AE33BF" w:rsidRPr="00E42A49">
        <w:t xml:space="preserve"> </w:t>
      </w:r>
      <w:r w:rsidRPr="00E42A49">
        <w:t xml:space="preserve">R AML with IDH2 Mutation Treated with </w:t>
      </w:r>
      <w:r w:rsidR="00254813" w:rsidRPr="00E42A49">
        <w:rPr>
          <w:sz w:val="22"/>
          <w:szCs w:val="22"/>
          <w:lang w:val="en-GB"/>
        </w:rPr>
        <w:t>Idhifa</w:t>
      </w:r>
      <w:r w:rsidRPr="00E42A49">
        <w:t xml:space="preserve"> at 100 mg Dose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2"/>
        <w:gridCol w:w="3192"/>
        <w:gridCol w:w="3192"/>
      </w:tblGrid>
      <w:tr w:rsidR="002D6FD2" w:rsidRPr="00E42A49" w14:paraId="5E935FB0" w14:textId="77777777" w:rsidTr="00512D79">
        <w:trPr>
          <w:cantSplit/>
          <w:tblHeader/>
          <w:jc w:val="center"/>
        </w:trPr>
        <w:tc>
          <w:tcPr>
            <w:tcW w:w="3192" w:type="dxa"/>
            <w:shd w:val="clear" w:color="auto" w:fill="D9D9D9" w:themeFill="background1" w:themeFillShade="D9"/>
          </w:tcPr>
          <w:p w14:paraId="512487E7" w14:textId="77777777" w:rsidR="002D6FD2" w:rsidRPr="00E42A49" w:rsidRDefault="002D6FD2" w:rsidP="00D14FA7">
            <w:pPr>
              <w:pStyle w:val="C-TableHeader"/>
              <w:spacing w:before="40" w:after="40"/>
              <w:rPr>
                <w:szCs w:val="22"/>
              </w:rPr>
            </w:pPr>
            <w:bookmarkStart w:id="11" w:name="_Hlk11941797"/>
            <w:bookmarkEnd w:id="10"/>
            <w:r w:rsidRPr="00E42A49">
              <w:rPr>
                <w:szCs w:val="22"/>
              </w:rPr>
              <w:t>Frequency</w:t>
            </w:r>
          </w:p>
        </w:tc>
        <w:tc>
          <w:tcPr>
            <w:tcW w:w="3192" w:type="dxa"/>
            <w:shd w:val="clear" w:color="auto" w:fill="D9D9D9" w:themeFill="background1" w:themeFillShade="D9"/>
          </w:tcPr>
          <w:p w14:paraId="017E92DF" w14:textId="77777777" w:rsidR="002D6FD2" w:rsidRPr="00E42A49" w:rsidRDefault="002D6FD2" w:rsidP="00D14FA7">
            <w:pPr>
              <w:pStyle w:val="C-TableHeader"/>
              <w:spacing w:before="40" w:after="40"/>
              <w:rPr>
                <w:szCs w:val="22"/>
              </w:rPr>
            </w:pPr>
            <w:r w:rsidRPr="00E42A49">
              <w:rPr>
                <w:szCs w:val="22"/>
              </w:rPr>
              <w:t>All ADRs</w:t>
            </w:r>
          </w:p>
        </w:tc>
        <w:tc>
          <w:tcPr>
            <w:tcW w:w="3192" w:type="dxa"/>
            <w:shd w:val="clear" w:color="auto" w:fill="D9D9D9" w:themeFill="background1" w:themeFillShade="D9"/>
          </w:tcPr>
          <w:p w14:paraId="6FD52257" w14:textId="77777777" w:rsidR="002D6FD2" w:rsidRPr="00E42A49" w:rsidRDefault="002D6FD2" w:rsidP="00D14FA7">
            <w:pPr>
              <w:pStyle w:val="C-TableHeader"/>
              <w:spacing w:before="40" w:after="40"/>
              <w:rPr>
                <w:szCs w:val="22"/>
              </w:rPr>
            </w:pPr>
            <w:r w:rsidRPr="00E42A49">
              <w:rPr>
                <w:szCs w:val="22"/>
              </w:rPr>
              <w:t>Grade 3 and 4 ADRs</w:t>
            </w:r>
          </w:p>
        </w:tc>
      </w:tr>
      <w:tr w:rsidR="002D6FD2" w:rsidRPr="00E42A49" w14:paraId="3B48A980" w14:textId="77777777" w:rsidTr="00870F19">
        <w:trPr>
          <w:cantSplit/>
          <w:jc w:val="center"/>
        </w:trPr>
        <w:tc>
          <w:tcPr>
            <w:tcW w:w="9576" w:type="dxa"/>
            <w:gridSpan w:val="3"/>
            <w:shd w:val="clear" w:color="auto" w:fill="D9D9D9" w:themeFill="background1" w:themeFillShade="D9"/>
          </w:tcPr>
          <w:p w14:paraId="56CAC086" w14:textId="77777777" w:rsidR="002D6FD2" w:rsidRPr="00E42A49" w:rsidRDefault="002D6FD2" w:rsidP="00D14FA7">
            <w:pPr>
              <w:pStyle w:val="C-TableText"/>
              <w:spacing w:before="40" w:after="40"/>
              <w:rPr>
                <w:szCs w:val="22"/>
              </w:rPr>
            </w:pPr>
            <w:r w:rsidRPr="00E42A49">
              <w:rPr>
                <w:b/>
                <w:szCs w:val="22"/>
                <w:lang w:val="en-GB"/>
              </w:rPr>
              <w:t>Blood and lymphatic system disorders</w:t>
            </w:r>
          </w:p>
        </w:tc>
      </w:tr>
      <w:tr w:rsidR="002D6FD2" w:rsidRPr="00E42A49" w14:paraId="13EFAE60" w14:textId="77777777" w:rsidTr="00512D79">
        <w:trPr>
          <w:cantSplit/>
          <w:jc w:val="center"/>
        </w:trPr>
        <w:tc>
          <w:tcPr>
            <w:tcW w:w="3192" w:type="dxa"/>
            <w:shd w:val="clear" w:color="auto" w:fill="auto"/>
          </w:tcPr>
          <w:p w14:paraId="6D9B5EA7" w14:textId="77777777" w:rsidR="002D6FD2" w:rsidRPr="00E42A49" w:rsidRDefault="002D6FD2" w:rsidP="00D14FA7">
            <w:pPr>
              <w:pStyle w:val="C-TableText"/>
              <w:spacing w:before="40" w:after="40"/>
              <w:rPr>
                <w:szCs w:val="22"/>
              </w:rPr>
            </w:pPr>
            <w:r w:rsidRPr="00E42A49">
              <w:rPr>
                <w:szCs w:val="22"/>
                <w:lang w:val="en-GB"/>
              </w:rPr>
              <w:t>Very common</w:t>
            </w:r>
          </w:p>
        </w:tc>
        <w:tc>
          <w:tcPr>
            <w:tcW w:w="3192" w:type="dxa"/>
            <w:shd w:val="clear" w:color="auto" w:fill="auto"/>
          </w:tcPr>
          <w:p w14:paraId="7C8B0D9F" w14:textId="64639B8F" w:rsidR="002D6FD2" w:rsidRPr="00E42A49" w:rsidRDefault="00E847F9" w:rsidP="00D14FA7">
            <w:pPr>
              <w:pStyle w:val="C-TableText"/>
              <w:spacing w:before="40" w:after="40"/>
              <w:rPr>
                <w:szCs w:val="22"/>
              </w:rPr>
            </w:pPr>
            <w:r w:rsidRPr="00E42A49">
              <w:rPr>
                <w:szCs w:val="22"/>
                <w:lang w:val="en-GB"/>
              </w:rPr>
              <w:t>N</w:t>
            </w:r>
            <w:r w:rsidR="002D6FD2" w:rsidRPr="00E42A49">
              <w:rPr>
                <w:szCs w:val="22"/>
                <w:lang w:val="en-GB"/>
              </w:rPr>
              <w:t xml:space="preserve">on-infectious </w:t>
            </w:r>
            <w:r w:rsidR="00512D79" w:rsidRPr="00E42A49">
              <w:rPr>
                <w:szCs w:val="22"/>
                <w:lang w:val="en-GB"/>
              </w:rPr>
              <w:t>leucocytosis</w:t>
            </w:r>
            <w:r w:rsidR="009F00DF" w:rsidRPr="00E42A49">
              <w:rPr>
                <w:szCs w:val="22"/>
                <w:vertAlign w:val="superscript"/>
                <w:lang w:val="en-GB"/>
              </w:rPr>
              <w:t>1</w:t>
            </w:r>
            <w:r w:rsidR="00512D79" w:rsidRPr="00E42A49">
              <w:rPr>
                <w:szCs w:val="22"/>
                <w:lang w:val="en-GB"/>
              </w:rPr>
              <w:t>; Differentiation</w:t>
            </w:r>
            <w:r w:rsidR="002D6FD2" w:rsidRPr="00E42A49">
              <w:rPr>
                <w:szCs w:val="22"/>
                <w:lang w:val="en-GB"/>
              </w:rPr>
              <w:t xml:space="preserve"> syndrome</w:t>
            </w:r>
            <w:bookmarkStart w:id="12" w:name="_TNCEBA966AB94E446D382A9EF47E1C9FE66"/>
            <w:r w:rsidR="002D6FD2" w:rsidRPr="00E42A49">
              <w:rPr>
                <w:rStyle w:val="C-TableCallout"/>
                <w:lang w:val="en-GB"/>
              </w:rPr>
              <w:fldChar w:fldCharType="begin"/>
            </w:r>
            <w:r w:rsidR="002D6FD2" w:rsidRPr="00E42A49">
              <w:rPr>
                <w:rStyle w:val="C-TableCallout"/>
                <w:lang w:val="en-GB"/>
              </w:rPr>
              <w:instrText xml:space="preserve"> LISTNUM TableNoteAlpha \* MERGEFORMAT \s1</w:instrText>
            </w:r>
            <w:r w:rsidR="002D6FD2" w:rsidRPr="00E42A49">
              <w:rPr>
                <w:rStyle w:val="C-TableCallout"/>
                <w:lang w:val="en-GB"/>
              </w:rPr>
              <w:fldChar w:fldCharType="end"/>
            </w:r>
            <w:bookmarkEnd w:id="12"/>
          </w:p>
        </w:tc>
        <w:tc>
          <w:tcPr>
            <w:tcW w:w="3192" w:type="dxa"/>
            <w:shd w:val="clear" w:color="auto" w:fill="auto"/>
          </w:tcPr>
          <w:p w14:paraId="7D968EC2" w14:textId="77777777" w:rsidR="002D6FD2" w:rsidRPr="00E42A49" w:rsidRDefault="002D6FD2" w:rsidP="00D14FA7">
            <w:pPr>
              <w:pStyle w:val="C-TableText"/>
              <w:spacing w:before="40" w:after="40"/>
              <w:rPr>
                <w:szCs w:val="22"/>
              </w:rPr>
            </w:pPr>
          </w:p>
        </w:tc>
      </w:tr>
      <w:tr w:rsidR="002D6FD2" w:rsidRPr="00E42A49" w14:paraId="0BAD06BE" w14:textId="77777777" w:rsidTr="00512D79">
        <w:trPr>
          <w:cantSplit/>
          <w:jc w:val="center"/>
        </w:trPr>
        <w:tc>
          <w:tcPr>
            <w:tcW w:w="3192" w:type="dxa"/>
            <w:shd w:val="clear" w:color="auto" w:fill="auto"/>
          </w:tcPr>
          <w:p w14:paraId="6D016320" w14:textId="77777777" w:rsidR="002D6FD2" w:rsidRPr="00E42A49" w:rsidRDefault="002D6FD2" w:rsidP="00D14FA7">
            <w:pPr>
              <w:pStyle w:val="C-TableText"/>
              <w:spacing w:before="40" w:after="40"/>
              <w:rPr>
                <w:szCs w:val="22"/>
              </w:rPr>
            </w:pPr>
            <w:r w:rsidRPr="00E42A49">
              <w:rPr>
                <w:szCs w:val="22"/>
              </w:rPr>
              <w:t>Common</w:t>
            </w:r>
          </w:p>
        </w:tc>
        <w:tc>
          <w:tcPr>
            <w:tcW w:w="3192" w:type="dxa"/>
            <w:shd w:val="clear" w:color="auto" w:fill="auto"/>
          </w:tcPr>
          <w:p w14:paraId="6944C30D" w14:textId="77777777" w:rsidR="002D6FD2" w:rsidRPr="00E42A49" w:rsidRDefault="002D6FD2" w:rsidP="00D14FA7">
            <w:pPr>
              <w:pStyle w:val="C-TableText"/>
              <w:spacing w:before="40" w:after="40"/>
              <w:rPr>
                <w:szCs w:val="22"/>
              </w:rPr>
            </w:pPr>
          </w:p>
        </w:tc>
        <w:tc>
          <w:tcPr>
            <w:tcW w:w="3192" w:type="dxa"/>
            <w:shd w:val="clear" w:color="auto" w:fill="auto"/>
          </w:tcPr>
          <w:p w14:paraId="0DFBB074" w14:textId="6FBF7AEA" w:rsidR="002D6FD2" w:rsidRPr="00E42A49" w:rsidRDefault="00E847F9" w:rsidP="00D14FA7">
            <w:pPr>
              <w:pStyle w:val="C-TableText"/>
              <w:spacing w:before="40" w:after="40"/>
              <w:rPr>
                <w:szCs w:val="22"/>
              </w:rPr>
            </w:pPr>
            <w:r w:rsidRPr="00E42A49">
              <w:rPr>
                <w:szCs w:val="22"/>
                <w:lang w:val="en-GB"/>
              </w:rPr>
              <w:t xml:space="preserve">Non-infectious </w:t>
            </w:r>
            <w:r w:rsidR="00512D79" w:rsidRPr="00E42A49">
              <w:rPr>
                <w:szCs w:val="22"/>
                <w:lang w:val="en-GB"/>
              </w:rPr>
              <w:t>leucocytosis</w:t>
            </w:r>
            <w:r w:rsidR="009F00DF" w:rsidRPr="00E42A49">
              <w:rPr>
                <w:szCs w:val="22"/>
                <w:vertAlign w:val="superscript"/>
                <w:lang w:val="en-GB"/>
              </w:rPr>
              <w:t>1</w:t>
            </w:r>
            <w:r w:rsidR="00512D79" w:rsidRPr="00E42A49">
              <w:rPr>
                <w:szCs w:val="22"/>
                <w:lang w:val="en-GB"/>
              </w:rPr>
              <w:t>; Differentiation</w:t>
            </w:r>
            <w:r w:rsidR="002D6FD2" w:rsidRPr="00E42A49">
              <w:rPr>
                <w:szCs w:val="22"/>
                <w:lang w:val="en-GB"/>
              </w:rPr>
              <w:t xml:space="preserve"> syndrome</w:t>
            </w:r>
            <w:r w:rsidR="002D6FD2" w:rsidRPr="00E42A49">
              <w:rPr>
                <w:rStyle w:val="C-TableCallout"/>
                <w:lang w:val="en-GB"/>
              </w:rPr>
              <w:fldChar w:fldCharType="begin"/>
            </w:r>
            <w:r w:rsidR="002D6FD2" w:rsidRPr="00E42A49">
              <w:rPr>
                <w:rStyle w:val="C-TableCallout"/>
                <w:lang w:val="en-GB"/>
              </w:rPr>
              <w:instrText xml:space="preserve"> LISTNUM TableNoteAlpha \* MERGEFORMAT \s1</w:instrText>
            </w:r>
            <w:r w:rsidR="002D6FD2" w:rsidRPr="00E42A49">
              <w:rPr>
                <w:rStyle w:val="C-TableCallout"/>
                <w:lang w:val="en-GB"/>
              </w:rPr>
              <w:fldChar w:fldCharType="end"/>
            </w:r>
          </w:p>
        </w:tc>
      </w:tr>
      <w:tr w:rsidR="002D6FD2" w:rsidRPr="00E42A49" w14:paraId="7AD5D049" w14:textId="77777777" w:rsidTr="00870F19">
        <w:trPr>
          <w:cantSplit/>
          <w:jc w:val="center"/>
        </w:trPr>
        <w:tc>
          <w:tcPr>
            <w:tcW w:w="9576" w:type="dxa"/>
            <w:gridSpan w:val="3"/>
            <w:shd w:val="clear" w:color="auto" w:fill="D9D9D9" w:themeFill="background1" w:themeFillShade="D9"/>
          </w:tcPr>
          <w:p w14:paraId="07E86E22" w14:textId="77777777" w:rsidR="002D6FD2" w:rsidRPr="00E42A49" w:rsidRDefault="002D6FD2" w:rsidP="00D14FA7">
            <w:pPr>
              <w:pStyle w:val="C-TableText"/>
              <w:spacing w:before="40" w:after="40"/>
              <w:rPr>
                <w:szCs w:val="22"/>
              </w:rPr>
            </w:pPr>
            <w:r w:rsidRPr="00E42A49">
              <w:rPr>
                <w:b/>
                <w:szCs w:val="22"/>
                <w:lang w:val="en-GB"/>
              </w:rPr>
              <w:t>Metabolism and nutrition disorders</w:t>
            </w:r>
          </w:p>
        </w:tc>
      </w:tr>
      <w:tr w:rsidR="002D6FD2" w:rsidRPr="00E42A49" w14:paraId="5BDF80D4" w14:textId="77777777" w:rsidTr="00512D79">
        <w:trPr>
          <w:cantSplit/>
          <w:jc w:val="center"/>
        </w:trPr>
        <w:tc>
          <w:tcPr>
            <w:tcW w:w="3192" w:type="dxa"/>
            <w:shd w:val="clear" w:color="auto" w:fill="auto"/>
          </w:tcPr>
          <w:p w14:paraId="77A47AB9" w14:textId="77777777" w:rsidR="002D6FD2" w:rsidRPr="00E42A49" w:rsidRDefault="002D6FD2" w:rsidP="00D14FA7">
            <w:pPr>
              <w:keepNext/>
              <w:keepLines/>
              <w:widowControl w:val="0"/>
              <w:autoSpaceDE w:val="0"/>
              <w:autoSpaceDN w:val="0"/>
              <w:adjustRightInd w:val="0"/>
              <w:spacing w:before="40" w:after="40"/>
              <w:rPr>
                <w:highlight w:val="yellow"/>
                <w:lang w:val="en-GB"/>
              </w:rPr>
            </w:pPr>
            <w:r w:rsidRPr="00E42A49">
              <w:rPr>
                <w:lang w:val="en-GB"/>
              </w:rPr>
              <w:t>Very common</w:t>
            </w:r>
          </w:p>
        </w:tc>
        <w:tc>
          <w:tcPr>
            <w:tcW w:w="3192" w:type="dxa"/>
            <w:shd w:val="clear" w:color="auto" w:fill="auto"/>
          </w:tcPr>
          <w:p w14:paraId="7C05154C" w14:textId="77777777" w:rsidR="002D6FD2" w:rsidRPr="00E42A49" w:rsidRDefault="00E847F9" w:rsidP="00D14FA7">
            <w:pPr>
              <w:pStyle w:val="C-TableText"/>
              <w:spacing w:before="40" w:after="40"/>
              <w:rPr>
                <w:szCs w:val="22"/>
              </w:rPr>
            </w:pPr>
            <w:r w:rsidRPr="00E42A49">
              <w:rPr>
                <w:szCs w:val="22"/>
                <w:lang w:val="en-GB"/>
              </w:rPr>
              <w:t>D</w:t>
            </w:r>
            <w:r w:rsidR="002D6FD2" w:rsidRPr="00E42A49">
              <w:rPr>
                <w:szCs w:val="22"/>
                <w:lang w:val="en-GB"/>
              </w:rPr>
              <w:t>ecreased appetite</w:t>
            </w:r>
          </w:p>
        </w:tc>
        <w:tc>
          <w:tcPr>
            <w:tcW w:w="3192" w:type="dxa"/>
            <w:shd w:val="clear" w:color="auto" w:fill="auto"/>
          </w:tcPr>
          <w:p w14:paraId="6A0EFBD1" w14:textId="77777777" w:rsidR="002D6FD2" w:rsidRPr="00E42A49" w:rsidRDefault="002D6FD2" w:rsidP="00D14FA7">
            <w:pPr>
              <w:pStyle w:val="C-TableText"/>
              <w:spacing w:before="40" w:after="40"/>
              <w:rPr>
                <w:szCs w:val="22"/>
              </w:rPr>
            </w:pPr>
          </w:p>
        </w:tc>
      </w:tr>
      <w:tr w:rsidR="002D6FD2" w:rsidRPr="00E42A49" w14:paraId="40DDA42A" w14:textId="77777777" w:rsidTr="00512D79">
        <w:trPr>
          <w:cantSplit/>
          <w:jc w:val="center"/>
        </w:trPr>
        <w:tc>
          <w:tcPr>
            <w:tcW w:w="3192" w:type="dxa"/>
            <w:shd w:val="clear" w:color="auto" w:fill="auto"/>
          </w:tcPr>
          <w:p w14:paraId="285E212E" w14:textId="77777777" w:rsidR="002D6FD2" w:rsidRPr="00E42A49" w:rsidRDefault="002D6FD2" w:rsidP="00D14FA7">
            <w:pPr>
              <w:pStyle w:val="C-TableText"/>
              <w:spacing w:before="40" w:after="40"/>
              <w:rPr>
                <w:szCs w:val="22"/>
              </w:rPr>
            </w:pPr>
            <w:r w:rsidRPr="00E42A49">
              <w:rPr>
                <w:szCs w:val="22"/>
              </w:rPr>
              <w:t>Common</w:t>
            </w:r>
          </w:p>
        </w:tc>
        <w:tc>
          <w:tcPr>
            <w:tcW w:w="3192" w:type="dxa"/>
            <w:shd w:val="clear" w:color="auto" w:fill="auto"/>
          </w:tcPr>
          <w:p w14:paraId="3E2BA539" w14:textId="1FDB52BA" w:rsidR="002D6FD2" w:rsidRPr="00E42A49" w:rsidRDefault="00E847F9" w:rsidP="00D14FA7">
            <w:pPr>
              <w:pStyle w:val="C-TableText"/>
              <w:spacing w:before="40" w:after="40"/>
              <w:rPr>
                <w:szCs w:val="22"/>
                <w:vertAlign w:val="superscript"/>
              </w:rPr>
            </w:pPr>
            <w:r w:rsidRPr="00E42A49">
              <w:rPr>
                <w:szCs w:val="22"/>
                <w:lang w:val="en-GB"/>
              </w:rPr>
              <w:t>T</w:t>
            </w:r>
            <w:r w:rsidR="002D6FD2" w:rsidRPr="00E42A49">
              <w:rPr>
                <w:szCs w:val="22"/>
                <w:lang w:val="en-GB"/>
              </w:rPr>
              <w:t>umour lysis syndrome</w:t>
            </w:r>
            <w:r w:rsidR="009F00DF" w:rsidRPr="00E42A49">
              <w:rPr>
                <w:szCs w:val="22"/>
                <w:vertAlign w:val="superscript"/>
                <w:lang w:val="en-GB"/>
              </w:rPr>
              <w:t>2</w:t>
            </w:r>
          </w:p>
        </w:tc>
        <w:tc>
          <w:tcPr>
            <w:tcW w:w="3192" w:type="dxa"/>
            <w:shd w:val="clear" w:color="auto" w:fill="auto"/>
          </w:tcPr>
          <w:p w14:paraId="2B6E486F" w14:textId="10209CE9" w:rsidR="002D6FD2" w:rsidRPr="00E42A49" w:rsidRDefault="00E847F9" w:rsidP="00D14FA7">
            <w:pPr>
              <w:pStyle w:val="C-TableText"/>
              <w:spacing w:before="40" w:after="40"/>
              <w:rPr>
                <w:szCs w:val="22"/>
              </w:rPr>
            </w:pPr>
            <w:r w:rsidRPr="00E42A49">
              <w:rPr>
                <w:szCs w:val="22"/>
                <w:lang w:val="en-GB"/>
              </w:rPr>
              <w:t>T</w:t>
            </w:r>
            <w:r w:rsidR="002D6FD2" w:rsidRPr="00E42A49">
              <w:rPr>
                <w:szCs w:val="22"/>
                <w:lang w:val="en-GB"/>
              </w:rPr>
              <w:t>umour lysis syndrome</w:t>
            </w:r>
            <w:r w:rsidR="009F00DF" w:rsidRPr="00E42A49">
              <w:rPr>
                <w:szCs w:val="22"/>
                <w:vertAlign w:val="superscript"/>
                <w:lang w:val="en-GB"/>
              </w:rPr>
              <w:t>2</w:t>
            </w:r>
            <w:r w:rsidR="002B62F1" w:rsidRPr="00E42A49">
              <w:rPr>
                <w:szCs w:val="22"/>
                <w:lang w:val="en-GB"/>
              </w:rPr>
              <w:t>; Decreased appetite</w:t>
            </w:r>
          </w:p>
        </w:tc>
      </w:tr>
      <w:tr w:rsidR="002D6FD2" w:rsidRPr="00E42A49" w14:paraId="336373DA" w14:textId="77777777" w:rsidTr="00870F19">
        <w:trPr>
          <w:cantSplit/>
          <w:jc w:val="center"/>
        </w:trPr>
        <w:tc>
          <w:tcPr>
            <w:tcW w:w="9576" w:type="dxa"/>
            <w:gridSpan w:val="3"/>
            <w:shd w:val="clear" w:color="auto" w:fill="F2F2F2" w:themeFill="background1" w:themeFillShade="F2"/>
          </w:tcPr>
          <w:p w14:paraId="11EFB0EF" w14:textId="77777777" w:rsidR="002D6FD2" w:rsidRPr="00E42A49" w:rsidRDefault="002D6FD2" w:rsidP="00D14FA7">
            <w:pPr>
              <w:pStyle w:val="C-TableText"/>
              <w:spacing w:before="40" w:after="40"/>
              <w:rPr>
                <w:szCs w:val="22"/>
              </w:rPr>
            </w:pPr>
            <w:r w:rsidRPr="00E42A49">
              <w:rPr>
                <w:b/>
                <w:szCs w:val="22"/>
                <w:lang w:val="en-GB"/>
              </w:rPr>
              <w:t>Nervous system disorders</w:t>
            </w:r>
          </w:p>
        </w:tc>
      </w:tr>
      <w:tr w:rsidR="002D6FD2" w:rsidRPr="00E42A49" w14:paraId="58AC3059" w14:textId="77777777" w:rsidTr="00512D79">
        <w:trPr>
          <w:cantSplit/>
          <w:jc w:val="center"/>
        </w:trPr>
        <w:tc>
          <w:tcPr>
            <w:tcW w:w="3192" w:type="dxa"/>
            <w:shd w:val="clear" w:color="auto" w:fill="auto"/>
          </w:tcPr>
          <w:p w14:paraId="0960406D" w14:textId="77777777" w:rsidR="002D6FD2" w:rsidRPr="00E42A49" w:rsidRDefault="002D6FD2" w:rsidP="00D14FA7">
            <w:pPr>
              <w:pStyle w:val="C-TableText"/>
              <w:spacing w:before="40" w:after="40"/>
              <w:rPr>
                <w:szCs w:val="22"/>
              </w:rPr>
            </w:pPr>
            <w:r w:rsidRPr="00E42A49">
              <w:rPr>
                <w:szCs w:val="22"/>
                <w:lang w:val="en-GB"/>
              </w:rPr>
              <w:t>Very common</w:t>
            </w:r>
          </w:p>
        </w:tc>
        <w:tc>
          <w:tcPr>
            <w:tcW w:w="3192" w:type="dxa"/>
            <w:shd w:val="clear" w:color="auto" w:fill="auto"/>
          </w:tcPr>
          <w:p w14:paraId="4C943AFD" w14:textId="77777777" w:rsidR="002D6FD2" w:rsidRPr="00E42A49" w:rsidRDefault="00E847F9" w:rsidP="00D14FA7">
            <w:pPr>
              <w:pStyle w:val="C-TableText"/>
              <w:spacing w:before="40" w:after="40"/>
              <w:rPr>
                <w:szCs w:val="22"/>
              </w:rPr>
            </w:pPr>
            <w:proofErr w:type="spellStart"/>
            <w:r w:rsidRPr="00E42A49">
              <w:rPr>
                <w:szCs w:val="22"/>
                <w:lang w:val="en-GB"/>
              </w:rPr>
              <w:t>D</w:t>
            </w:r>
            <w:r w:rsidR="002D6FD2" w:rsidRPr="00E42A49">
              <w:rPr>
                <w:szCs w:val="22"/>
                <w:lang w:val="en-GB"/>
              </w:rPr>
              <w:t>ysgeusia</w:t>
            </w:r>
            <w:proofErr w:type="spellEnd"/>
          </w:p>
        </w:tc>
        <w:tc>
          <w:tcPr>
            <w:tcW w:w="3192" w:type="dxa"/>
            <w:shd w:val="clear" w:color="auto" w:fill="auto"/>
          </w:tcPr>
          <w:p w14:paraId="6DA7C7E3" w14:textId="77777777" w:rsidR="002D6FD2" w:rsidRPr="00E42A49" w:rsidRDefault="002D6FD2" w:rsidP="00D14FA7">
            <w:pPr>
              <w:pStyle w:val="C-TableText"/>
              <w:spacing w:before="40" w:after="40"/>
              <w:rPr>
                <w:szCs w:val="22"/>
              </w:rPr>
            </w:pPr>
          </w:p>
        </w:tc>
      </w:tr>
      <w:tr w:rsidR="002D6FD2" w:rsidRPr="00E42A49" w14:paraId="648F52B5" w14:textId="77777777" w:rsidTr="00870F19">
        <w:trPr>
          <w:cantSplit/>
          <w:jc w:val="center"/>
        </w:trPr>
        <w:tc>
          <w:tcPr>
            <w:tcW w:w="9576" w:type="dxa"/>
            <w:gridSpan w:val="3"/>
            <w:shd w:val="clear" w:color="auto" w:fill="D9D9D9" w:themeFill="background1" w:themeFillShade="D9"/>
          </w:tcPr>
          <w:p w14:paraId="60C79AED" w14:textId="77777777" w:rsidR="002D6FD2" w:rsidRPr="00E42A49" w:rsidRDefault="002D6FD2" w:rsidP="00D14FA7">
            <w:pPr>
              <w:pStyle w:val="C-TableText"/>
              <w:spacing w:before="40" w:after="40"/>
              <w:rPr>
                <w:szCs w:val="22"/>
              </w:rPr>
            </w:pPr>
            <w:r w:rsidRPr="00E42A49">
              <w:rPr>
                <w:b/>
                <w:szCs w:val="22"/>
                <w:lang w:val="en-GB"/>
              </w:rPr>
              <w:t>Gastrointestinal disorders</w:t>
            </w:r>
          </w:p>
        </w:tc>
      </w:tr>
      <w:tr w:rsidR="002D6FD2" w:rsidRPr="00E42A49" w14:paraId="4DBD424A" w14:textId="77777777" w:rsidTr="00512D79">
        <w:trPr>
          <w:cantSplit/>
          <w:jc w:val="center"/>
        </w:trPr>
        <w:tc>
          <w:tcPr>
            <w:tcW w:w="3192" w:type="dxa"/>
            <w:shd w:val="clear" w:color="auto" w:fill="auto"/>
          </w:tcPr>
          <w:p w14:paraId="6964D712" w14:textId="77777777" w:rsidR="002D6FD2" w:rsidRPr="00E42A49" w:rsidRDefault="002D6FD2" w:rsidP="00D14FA7">
            <w:pPr>
              <w:pStyle w:val="C-TableText"/>
              <w:spacing w:before="40" w:after="40"/>
              <w:rPr>
                <w:szCs w:val="22"/>
              </w:rPr>
            </w:pPr>
            <w:r w:rsidRPr="00E42A49">
              <w:rPr>
                <w:szCs w:val="22"/>
                <w:lang w:val="en-GB"/>
              </w:rPr>
              <w:t>Very common</w:t>
            </w:r>
          </w:p>
        </w:tc>
        <w:tc>
          <w:tcPr>
            <w:tcW w:w="3192" w:type="dxa"/>
            <w:shd w:val="clear" w:color="auto" w:fill="auto"/>
          </w:tcPr>
          <w:p w14:paraId="5C9BCE44" w14:textId="77777777" w:rsidR="002D6FD2" w:rsidRPr="00E42A49" w:rsidRDefault="00E847F9" w:rsidP="00D14FA7">
            <w:pPr>
              <w:pStyle w:val="C-TableText"/>
              <w:spacing w:before="40" w:after="40"/>
              <w:rPr>
                <w:szCs w:val="22"/>
              </w:rPr>
            </w:pPr>
            <w:r w:rsidRPr="00E42A49">
              <w:rPr>
                <w:szCs w:val="22"/>
                <w:lang w:val="en-GB"/>
              </w:rPr>
              <w:t>Nausea; Diarrhoea; V</w:t>
            </w:r>
            <w:r w:rsidR="002D6FD2" w:rsidRPr="00E42A49">
              <w:rPr>
                <w:szCs w:val="22"/>
                <w:lang w:val="en-GB"/>
              </w:rPr>
              <w:t>omiting</w:t>
            </w:r>
          </w:p>
        </w:tc>
        <w:tc>
          <w:tcPr>
            <w:tcW w:w="3192" w:type="dxa"/>
            <w:shd w:val="clear" w:color="auto" w:fill="auto"/>
          </w:tcPr>
          <w:p w14:paraId="6044E2CA" w14:textId="77777777" w:rsidR="002D6FD2" w:rsidRPr="00E42A49" w:rsidRDefault="002D6FD2" w:rsidP="00D14FA7">
            <w:pPr>
              <w:pStyle w:val="C-TableText"/>
              <w:spacing w:before="40" w:after="40"/>
              <w:rPr>
                <w:szCs w:val="22"/>
              </w:rPr>
            </w:pPr>
          </w:p>
        </w:tc>
      </w:tr>
      <w:tr w:rsidR="002D6FD2" w:rsidRPr="00E42A49" w14:paraId="7781809F" w14:textId="77777777" w:rsidTr="00512D79">
        <w:trPr>
          <w:cantSplit/>
          <w:jc w:val="center"/>
        </w:trPr>
        <w:tc>
          <w:tcPr>
            <w:tcW w:w="3192" w:type="dxa"/>
            <w:shd w:val="clear" w:color="auto" w:fill="auto"/>
          </w:tcPr>
          <w:p w14:paraId="70A4E1BA" w14:textId="77777777" w:rsidR="002D6FD2" w:rsidRPr="00E42A49" w:rsidRDefault="002D6FD2" w:rsidP="00D14FA7">
            <w:pPr>
              <w:pStyle w:val="C-TableText"/>
              <w:spacing w:before="40" w:after="40"/>
              <w:rPr>
                <w:szCs w:val="22"/>
              </w:rPr>
            </w:pPr>
            <w:r w:rsidRPr="00E42A49">
              <w:rPr>
                <w:szCs w:val="22"/>
              </w:rPr>
              <w:t>Common</w:t>
            </w:r>
          </w:p>
        </w:tc>
        <w:tc>
          <w:tcPr>
            <w:tcW w:w="3192" w:type="dxa"/>
            <w:shd w:val="clear" w:color="auto" w:fill="auto"/>
          </w:tcPr>
          <w:p w14:paraId="00749C67" w14:textId="77777777" w:rsidR="002D6FD2" w:rsidRPr="00E42A49" w:rsidRDefault="002D6FD2" w:rsidP="00D14FA7">
            <w:pPr>
              <w:pStyle w:val="C-TableText"/>
              <w:spacing w:before="40" w:after="40"/>
              <w:rPr>
                <w:szCs w:val="22"/>
              </w:rPr>
            </w:pPr>
          </w:p>
        </w:tc>
        <w:tc>
          <w:tcPr>
            <w:tcW w:w="3192" w:type="dxa"/>
            <w:shd w:val="clear" w:color="auto" w:fill="auto"/>
          </w:tcPr>
          <w:p w14:paraId="14A0CA67" w14:textId="77777777" w:rsidR="002D6FD2" w:rsidRPr="00E42A49" w:rsidRDefault="00E847F9" w:rsidP="00D14FA7">
            <w:pPr>
              <w:pStyle w:val="C-TableText"/>
              <w:spacing w:before="40" w:after="40"/>
              <w:rPr>
                <w:szCs w:val="22"/>
              </w:rPr>
            </w:pPr>
            <w:r w:rsidRPr="00E42A49">
              <w:rPr>
                <w:szCs w:val="22"/>
                <w:lang w:val="en-GB"/>
              </w:rPr>
              <w:t>Nausea; Diarrhoea; V</w:t>
            </w:r>
            <w:r w:rsidR="002D6FD2" w:rsidRPr="00E42A49">
              <w:rPr>
                <w:szCs w:val="22"/>
                <w:lang w:val="en-GB"/>
              </w:rPr>
              <w:t>omiting</w:t>
            </w:r>
          </w:p>
        </w:tc>
      </w:tr>
      <w:tr w:rsidR="002D6FD2" w:rsidRPr="00E42A49" w14:paraId="5D899E2B" w14:textId="77777777" w:rsidTr="00870F19">
        <w:trPr>
          <w:cantSplit/>
          <w:jc w:val="center"/>
        </w:trPr>
        <w:tc>
          <w:tcPr>
            <w:tcW w:w="9576" w:type="dxa"/>
            <w:gridSpan w:val="3"/>
            <w:shd w:val="clear" w:color="auto" w:fill="D9D9D9" w:themeFill="background1" w:themeFillShade="D9"/>
          </w:tcPr>
          <w:p w14:paraId="3E3049BD" w14:textId="77777777" w:rsidR="002D6FD2" w:rsidRPr="00E42A49" w:rsidRDefault="002D6FD2" w:rsidP="00D14FA7">
            <w:pPr>
              <w:pStyle w:val="C-TableText"/>
              <w:spacing w:before="40" w:after="40"/>
              <w:rPr>
                <w:szCs w:val="22"/>
              </w:rPr>
            </w:pPr>
            <w:r w:rsidRPr="00E42A49">
              <w:rPr>
                <w:b/>
                <w:szCs w:val="22"/>
                <w:lang w:val="en-GB"/>
              </w:rPr>
              <w:t>Hepatobiliary disorders</w:t>
            </w:r>
          </w:p>
        </w:tc>
      </w:tr>
      <w:tr w:rsidR="002D6FD2" w:rsidRPr="00E42A49" w14:paraId="260FAB00" w14:textId="77777777" w:rsidTr="00512D79">
        <w:trPr>
          <w:cantSplit/>
          <w:jc w:val="center"/>
        </w:trPr>
        <w:tc>
          <w:tcPr>
            <w:tcW w:w="3192" w:type="dxa"/>
            <w:shd w:val="clear" w:color="auto" w:fill="auto"/>
          </w:tcPr>
          <w:p w14:paraId="0385AE8B" w14:textId="77777777" w:rsidR="002D6FD2" w:rsidRPr="00E42A49" w:rsidRDefault="002D6FD2" w:rsidP="00D14FA7">
            <w:pPr>
              <w:pStyle w:val="C-TableText"/>
              <w:spacing w:before="40" w:after="40"/>
              <w:rPr>
                <w:szCs w:val="22"/>
              </w:rPr>
            </w:pPr>
            <w:r w:rsidRPr="00E42A49">
              <w:rPr>
                <w:szCs w:val="22"/>
                <w:lang w:val="en-GB"/>
              </w:rPr>
              <w:t>Very common</w:t>
            </w:r>
          </w:p>
        </w:tc>
        <w:tc>
          <w:tcPr>
            <w:tcW w:w="3192" w:type="dxa"/>
            <w:shd w:val="clear" w:color="auto" w:fill="auto"/>
          </w:tcPr>
          <w:p w14:paraId="3A85B295" w14:textId="201E3033" w:rsidR="002D6FD2" w:rsidRPr="00E42A49" w:rsidRDefault="00E847F9" w:rsidP="00D14FA7">
            <w:pPr>
              <w:pStyle w:val="C-TableText"/>
              <w:spacing w:before="40" w:after="40"/>
              <w:rPr>
                <w:szCs w:val="22"/>
                <w:vertAlign w:val="superscript"/>
              </w:rPr>
            </w:pPr>
            <w:r w:rsidRPr="00E42A49">
              <w:rPr>
                <w:szCs w:val="22"/>
                <w:lang w:val="en-GB"/>
              </w:rPr>
              <w:t>B</w:t>
            </w:r>
            <w:r w:rsidR="002D6FD2" w:rsidRPr="00E42A49">
              <w:rPr>
                <w:szCs w:val="22"/>
                <w:lang w:val="en-GB"/>
              </w:rPr>
              <w:t>lood bilirubin increased</w:t>
            </w:r>
            <w:r w:rsidR="009F00DF" w:rsidRPr="00E42A49">
              <w:rPr>
                <w:szCs w:val="22"/>
                <w:vertAlign w:val="superscript"/>
                <w:lang w:val="en-GB"/>
              </w:rPr>
              <w:t>3</w:t>
            </w:r>
          </w:p>
        </w:tc>
        <w:tc>
          <w:tcPr>
            <w:tcW w:w="3192" w:type="dxa"/>
            <w:shd w:val="clear" w:color="auto" w:fill="auto"/>
          </w:tcPr>
          <w:p w14:paraId="3620DECA" w14:textId="77777777" w:rsidR="002D6FD2" w:rsidRPr="00E42A49" w:rsidRDefault="002D6FD2" w:rsidP="00D14FA7">
            <w:pPr>
              <w:pStyle w:val="C-TableText"/>
              <w:spacing w:before="40" w:after="40"/>
              <w:rPr>
                <w:szCs w:val="22"/>
              </w:rPr>
            </w:pPr>
          </w:p>
        </w:tc>
      </w:tr>
      <w:tr w:rsidR="002D6FD2" w:rsidRPr="00E42A49" w14:paraId="1747CE16" w14:textId="77777777" w:rsidTr="00512D79">
        <w:trPr>
          <w:cantSplit/>
          <w:jc w:val="center"/>
        </w:trPr>
        <w:tc>
          <w:tcPr>
            <w:tcW w:w="3192" w:type="dxa"/>
            <w:shd w:val="clear" w:color="auto" w:fill="auto"/>
          </w:tcPr>
          <w:p w14:paraId="421FDAA5" w14:textId="77777777" w:rsidR="002D6FD2" w:rsidRPr="00E42A49" w:rsidRDefault="002D6FD2" w:rsidP="00D14FA7">
            <w:pPr>
              <w:pStyle w:val="C-TableText"/>
              <w:spacing w:before="40" w:after="40"/>
              <w:rPr>
                <w:szCs w:val="22"/>
              </w:rPr>
            </w:pPr>
            <w:r w:rsidRPr="00E42A49">
              <w:rPr>
                <w:szCs w:val="22"/>
              </w:rPr>
              <w:t>Common</w:t>
            </w:r>
          </w:p>
        </w:tc>
        <w:tc>
          <w:tcPr>
            <w:tcW w:w="3192" w:type="dxa"/>
            <w:shd w:val="clear" w:color="auto" w:fill="auto"/>
          </w:tcPr>
          <w:p w14:paraId="5B13B5E5" w14:textId="77777777" w:rsidR="002D6FD2" w:rsidRPr="00E42A49" w:rsidRDefault="002D6FD2" w:rsidP="00D14FA7">
            <w:pPr>
              <w:pStyle w:val="C-TableText"/>
              <w:spacing w:before="40" w:after="40"/>
              <w:rPr>
                <w:szCs w:val="22"/>
              </w:rPr>
            </w:pPr>
          </w:p>
        </w:tc>
        <w:tc>
          <w:tcPr>
            <w:tcW w:w="3192" w:type="dxa"/>
            <w:shd w:val="clear" w:color="auto" w:fill="auto"/>
          </w:tcPr>
          <w:p w14:paraId="1E35F6BF" w14:textId="412BD8F0" w:rsidR="002D6FD2" w:rsidRPr="00E42A49" w:rsidRDefault="00E847F9" w:rsidP="00D14FA7">
            <w:pPr>
              <w:pStyle w:val="C-TableText"/>
              <w:spacing w:before="40" w:after="40"/>
              <w:rPr>
                <w:szCs w:val="22"/>
                <w:vertAlign w:val="superscript"/>
              </w:rPr>
            </w:pPr>
            <w:r w:rsidRPr="00E42A49">
              <w:rPr>
                <w:szCs w:val="22"/>
                <w:lang w:val="en-GB"/>
              </w:rPr>
              <w:t>B</w:t>
            </w:r>
            <w:r w:rsidR="002D6FD2" w:rsidRPr="00E42A49">
              <w:rPr>
                <w:szCs w:val="22"/>
                <w:lang w:val="en-GB"/>
              </w:rPr>
              <w:t>lood bilirubin increased</w:t>
            </w:r>
            <w:r w:rsidR="009F00DF" w:rsidRPr="00E42A49">
              <w:rPr>
                <w:szCs w:val="22"/>
                <w:vertAlign w:val="superscript"/>
                <w:lang w:val="en-GB"/>
              </w:rPr>
              <w:t>3</w:t>
            </w:r>
          </w:p>
        </w:tc>
      </w:tr>
    </w:tbl>
    <w:bookmarkEnd w:id="11"/>
    <w:p w14:paraId="38B9ED85" w14:textId="6AD038DE" w:rsidR="002D6FD2" w:rsidRPr="00E42A49" w:rsidRDefault="002D6FD2" w:rsidP="00B26857">
      <w:pPr>
        <w:pStyle w:val="C-TableFootnote"/>
        <w:rPr>
          <w:rFonts w:cs="Times New Roman"/>
          <w:lang w:val="en-GB"/>
        </w:rPr>
      </w:pPr>
      <w:r w:rsidRPr="00E42A49">
        <w:rPr>
          <w:rFonts w:cs="Times New Roman"/>
          <w:lang w:val="en-GB"/>
        </w:rPr>
        <w:fldChar w:fldCharType="begin"/>
      </w:r>
      <w:r w:rsidRPr="00E42A49">
        <w:rPr>
          <w:rFonts w:cs="Times New Roman"/>
          <w:lang w:val="en-GB"/>
        </w:rPr>
        <w:instrText xml:space="preserve"> REF _TNCEBA966AB94E446D382A9EF47E1C9FE66  \* MERGEFORMAT </w:instrText>
      </w:r>
      <w:r w:rsidRPr="00E42A49">
        <w:rPr>
          <w:rFonts w:cs="Times New Roman"/>
          <w:lang w:val="en-GB"/>
        </w:rPr>
        <w:fldChar w:fldCharType="separate"/>
      </w:r>
      <w:bookmarkStart w:id="13" w:name="_TN1"/>
      <w:r w:rsidR="0036648D" w:rsidRPr="0036648D">
        <w:rPr>
          <w:rStyle w:val="C-TableCallout"/>
          <w:rFonts w:cs="Times New Roman"/>
          <w:lang w:val="en-GB"/>
        </w:rPr>
        <w:t>a</w:t>
      </w:r>
      <w:bookmarkEnd w:id="13"/>
      <w:r w:rsidRPr="00E42A49">
        <w:rPr>
          <w:rFonts w:cs="Times New Roman"/>
          <w:lang w:val="en-GB"/>
        </w:rPr>
        <w:fldChar w:fldCharType="end"/>
      </w:r>
      <w:r w:rsidRPr="00E42A49">
        <w:rPr>
          <w:rFonts w:cs="Times New Roman"/>
          <w:lang w:val="en-GB"/>
        </w:rPr>
        <w:tab/>
      </w:r>
      <w:r w:rsidR="009F00DF" w:rsidRPr="00E42A49">
        <w:rPr>
          <w:rFonts w:cs="Times New Roman"/>
          <w:lang w:val="en-GB"/>
        </w:rPr>
        <w:tab/>
      </w:r>
      <w:r w:rsidRPr="00E42A49">
        <w:rPr>
          <w:rFonts w:cs="Times New Roman"/>
          <w:lang w:val="en-GB"/>
        </w:rPr>
        <w:t xml:space="preserve">MedDRA preferred term of acute </w:t>
      </w:r>
      <w:proofErr w:type="spellStart"/>
      <w:r w:rsidRPr="00E42A49">
        <w:rPr>
          <w:rFonts w:cs="Times New Roman"/>
          <w:lang w:val="en-GB"/>
        </w:rPr>
        <w:t>promyelocytic</w:t>
      </w:r>
      <w:proofErr w:type="spellEnd"/>
      <w:r w:rsidRPr="00E42A49">
        <w:rPr>
          <w:rFonts w:cs="Times New Roman"/>
          <w:lang w:val="en-GB"/>
        </w:rPr>
        <w:t xml:space="preserve"> leukaemia differentiation syndrome.</w:t>
      </w:r>
    </w:p>
    <w:p w14:paraId="4C4ECFB8" w14:textId="77777777" w:rsidR="009F00DF" w:rsidRPr="00E42A49" w:rsidRDefault="009F00DF" w:rsidP="00B26857">
      <w:pPr>
        <w:pStyle w:val="C-BodyText"/>
        <w:numPr>
          <w:ilvl w:val="0"/>
          <w:numId w:val="44"/>
        </w:numPr>
        <w:spacing w:before="0" w:after="0" w:line="240" w:lineRule="auto"/>
        <w:rPr>
          <w:sz w:val="20"/>
          <w:lang w:val="en-GB"/>
        </w:rPr>
      </w:pPr>
      <w:bookmarkStart w:id="14" w:name="_Hlk18424680"/>
      <w:r w:rsidRPr="00E42A49">
        <w:rPr>
          <w:sz w:val="20"/>
          <w:lang w:val="en-GB"/>
        </w:rPr>
        <w:t>Refer to section 4.4.2</w:t>
      </w:r>
    </w:p>
    <w:p w14:paraId="0683ADD9" w14:textId="77777777" w:rsidR="009F00DF" w:rsidRPr="00E42A49" w:rsidRDefault="009F00DF" w:rsidP="00B26857">
      <w:pPr>
        <w:pStyle w:val="C-BodyText"/>
        <w:numPr>
          <w:ilvl w:val="0"/>
          <w:numId w:val="44"/>
        </w:numPr>
        <w:spacing w:before="0" w:after="0" w:line="240" w:lineRule="auto"/>
        <w:rPr>
          <w:sz w:val="20"/>
          <w:lang w:val="en-GB"/>
        </w:rPr>
      </w:pPr>
      <w:r w:rsidRPr="00E42A49">
        <w:rPr>
          <w:sz w:val="20"/>
          <w:lang w:val="en-GB"/>
        </w:rPr>
        <w:t>Refer to section 4.4.3</w:t>
      </w:r>
    </w:p>
    <w:p w14:paraId="04B115CF" w14:textId="189E4D9D" w:rsidR="009F00DF" w:rsidRPr="00E42A49" w:rsidRDefault="009F00DF" w:rsidP="00B26857">
      <w:pPr>
        <w:pStyle w:val="C-BodyText"/>
        <w:numPr>
          <w:ilvl w:val="0"/>
          <w:numId w:val="44"/>
        </w:numPr>
        <w:spacing w:before="0" w:after="0" w:line="240" w:lineRule="auto"/>
        <w:rPr>
          <w:sz w:val="20"/>
          <w:lang w:val="en-GB"/>
        </w:rPr>
      </w:pPr>
      <w:r w:rsidRPr="00E42A49">
        <w:rPr>
          <w:sz w:val="20"/>
          <w:lang w:val="en-GB"/>
        </w:rPr>
        <w:t>Refer to section 4.4.4</w:t>
      </w:r>
    </w:p>
    <w:bookmarkEnd w:id="14"/>
    <w:p w14:paraId="2F9CEB31" w14:textId="706A9BD6" w:rsidR="00B446CB" w:rsidRPr="00E42A49" w:rsidRDefault="00B446CB" w:rsidP="00E46BAE">
      <w:pPr>
        <w:spacing w:after="0" w:line="240" w:lineRule="auto"/>
      </w:pPr>
    </w:p>
    <w:p w14:paraId="544D4539" w14:textId="77777777" w:rsidR="00E7378A" w:rsidRPr="00E42A49" w:rsidRDefault="00E7378A" w:rsidP="004F1ED1">
      <w:pPr>
        <w:pStyle w:val="C-BodyText"/>
        <w:spacing w:before="0" w:after="0"/>
        <w:rPr>
          <w:sz w:val="22"/>
          <w:szCs w:val="22"/>
        </w:rPr>
      </w:pPr>
      <w:r w:rsidRPr="00E42A49">
        <w:rPr>
          <w:sz w:val="22"/>
          <w:szCs w:val="22"/>
        </w:rPr>
        <w:t>Gilbert’s Syndrome</w:t>
      </w:r>
    </w:p>
    <w:p w14:paraId="31F779F0" w14:textId="2469E474" w:rsidR="00B446CB" w:rsidRPr="00E42A49" w:rsidRDefault="00B446CB" w:rsidP="00E46BAE">
      <w:pPr>
        <w:spacing w:before="120" w:after="0"/>
      </w:pPr>
      <w:r w:rsidRPr="00E42A49">
        <w:t xml:space="preserve">Patients with congenital UGT1A1 deficiency (Gilbert´s Syndrome) who received </w:t>
      </w:r>
      <w:r w:rsidR="00254813" w:rsidRPr="00E42A49">
        <w:rPr>
          <w:lang w:val="en-GB"/>
        </w:rPr>
        <w:t>Idhifa</w:t>
      </w:r>
      <w:r w:rsidRPr="00E42A49">
        <w:t xml:space="preserve"> experienced a more rapid increase in bilirubin values, as compared to patients without this mutation and more frequently experienced bilirubin increase &gt; 3 ULN.</w:t>
      </w:r>
      <w:r w:rsidR="00C662D2" w:rsidRPr="00E42A49">
        <w:t xml:space="preserve"> </w:t>
      </w:r>
      <w:r w:rsidRPr="00E42A49">
        <w:t xml:space="preserve"> Starting dose adjustment is not recommended for patients with Gilbert’s syndrome. </w:t>
      </w:r>
      <w:r w:rsidR="00CA174D" w:rsidRPr="00E42A49">
        <w:t xml:space="preserve"> </w:t>
      </w:r>
      <w:r w:rsidRPr="00E42A49">
        <w:t xml:space="preserve">Dose can be reduced for higher bilirubin </w:t>
      </w:r>
      <w:r w:rsidR="00575DD7" w:rsidRPr="00E42A49">
        <w:t xml:space="preserve">levels (see </w:t>
      </w:r>
      <w:r w:rsidRPr="00E42A49">
        <w:t>section 4.2</w:t>
      </w:r>
      <w:r w:rsidR="00575DD7" w:rsidRPr="00E42A49">
        <w:t>)</w:t>
      </w:r>
      <w:r w:rsidRPr="00E42A49">
        <w:t>.</w:t>
      </w:r>
    </w:p>
    <w:p w14:paraId="7E0DBC6F" w14:textId="2D8E34F7" w:rsidR="00B446CB" w:rsidRPr="00E42A49" w:rsidRDefault="00B446CB" w:rsidP="00E46BAE">
      <w:pPr>
        <w:spacing w:after="0" w:line="240" w:lineRule="auto"/>
      </w:pPr>
    </w:p>
    <w:p w14:paraId="4392BBBA" w14:textId="6F3899CC" w:rsidR="00596CC4" w:rsidRPr="00E42A49" w:rsidRDefault="00596CC4" w:rsidP="00E46BAE">
      <w:pPr>
        <w:spacing w:after="0"/>
      </w:pPr>
      <w:r w:rsidRPr="00E42A49">
        <w:rPr>
          <w:bCs/>
          <w:lang w:eastAsia="ja-JP"/>
        </w:rPr>
        <w:t>Gastrointestinal Disturbance</w:t>
      </w:r>
    </w:p>
    <w:p w14:paraId="1AAB0291" w14:textId="00A9275D" w:rsidR="00596CC4" w:rsidRPr="00E42A49" w:rsidRDefault="00596CC4" w:rsidP="00E46BAE">
      <w:pPr>
        <w:autoSpaceDE w:val="0"/>
        <w:autoSpaceDN w:val="0"/>
        <w:adjustRightInd w:val="0"/>
        <w:spacing w:before="120" w:after="0"/>
        <w:rPr>
          <w:lang w:val="en-GB"/>
        </w:rPr>
      </w:pPr>
      <w:r w:rsidRPr="00E42A49">
        <w:rPr>
          <w:lang w:val="en-GB"/>
        </w:rPr>
        <w:t xml:space="preserve">Adverse reactions such as nausea, diarrhoea, vomiting, and other reactions such as </w:t>
      </w:r>
      <w:proofErr w:type="spellStart"/>
      <w:r w:rsidRPr="00E42A49">
        <w:rPr>
          <w:lang w:val="en-GB"/>
        </w:rPr>
        <w:t>dysgeusia</w:t>
      </w:r>
      <w:proofErr w:type="spellEnd"/>
      <w:r w:rsidRPr="00E42A49">
        <w:rPr>
          <w:lang w:val="en-GB"/>
        </w:rPr>
        <w:t xml:space="preserve"> and decreased appetite were usually mild to moderate in severity, did not lead to tre</w:t>
      </w:r>
      <w:r w:rsidR="00FF1534" w:rsidRPr="00E42A49">
        <w:rPr>
          <w:lang w:val="en-GB"/>
        </w:rPr>
        <w:t xml:space="preserve">atment discontinuation and </w:t>
      </w:r>
      <w:r w:rsidRPr="00E42A49">
        <w:rPr>
          <w:lang w:val="en-GB"/>
        </w:rPr>
        <w:t>infrequently required dose reduction or interruption.  These reactions were not dose related and generally occurred (approximately 50 %) during the first month of treatment and often resolved with continued treatment.</w:t>
      </w:r>
    </w:p>
    <w:p w14:paraId="3870FCCB" w14:textId="7F6B00C3" w:rsidR="00D165EE" w:rsidRPr="00E42A49" w:rsidRDefault="00D165EE" w:rsidP="00E46BAE">
      <w:pPr>
        <w:spacing w:after="0" w:line="240" w:lineRule="auto"/>
        <w:rPr>
          <w:b/>
          <w:bCs/>
        </w:rPr>
      </w:pPr>
      <w:bookmarkStart w:id="15" w:name="_Hlk18425442"/>
    </w:p>
    <w:bookmarkEnd w:id="15"/>
    <w:p w14:paraId="1752D361" w14:textId="77777777" w:rsidR="002C36B9" w:rsidRPr="00E42A49" w:rsidRDefault="002C36B9" w:rsidP="002C36B9">
      <w:pPr>
        <w:rPr>
          <w:bCs/>
        </w:rPr>
      </w:pPr>
      <w:r w:rsidRPr="00E42A49">
        <w:rPr>
          <w:bCs/>
        </w:rPr>
        <w:lastRenderedPageBreak/>
        <w:t>Elderly Patients</w:t>
      </w:r>
    </w:p>
    <w:p w14:paraId="246F1D2E" w14:textId="731E85A0" w:rsidR="002C36B9" w:rsidRPr="00E42A49" w:rsidRDefault="002C36B9" w:rsidP="000A6372">
      <w:pPr>
        <w:spacing w:before="120" w:after="0"/>
        <w:rPr>
          <w:bCs/>
        </w:rPr>
      </w:pPr>
      <w:r w:rsidRPr="00E42A49">
        <w:rPr>
          <w:bCs/>
        </w:rPr>
        <w:t>In the clinical trial</w:t>
      </w:r>
      <w:r w:rsidR="00444CB9" w:rsidRPr="00E42A49">
        <w:rPr>
          <w:bCs/>
        </w:rPr>
        <w:t xml:space="preserve"> (Study AG221-C-001)</w:t>
      </w:r>
      <w:r w:rsidRPr="00E42A49">
        <w:rPr>
          <w:bCs/>
        </w:rPr>
        <w:t>, 60.3% of R</w:t>
      </w:r>
      <w:r w:rsidR="00AE33BF" w:rsidRPr="00E42A49">
        <w:rPr>
          <w:bCs/>
        </w:rPr>
        <w:t xml:space="preserve"> </w:t>
      </w:r>
      <w:r w:rsidRPr="00E42A49">
        <w:rPr>
          <w:bCs/>
        </w:rPr>
        <w:t>/</w:t>
      </w:r>
      <w:r w:rsidR="00AE33BF" w:rsidRPr="00E42A49">
        <w:rPr>
          <w:bCs/>
        </w:rPr>
        <w:t xml:space="preserve"> </w:t>
      </w:r>
      <w:r w:rsidRPr="00E42A49">
        <w:rPr>
          <w:bCs/>
        </w:rPr>
        <w:t xml:space="preserve">R AML patients with IDH2 mutation (N=214) were 65 years of age or older, and 23.8% were 75 years of age or older.  No overall differences in safety were observed between patients </w:t>
      </w:r>
      <w:r w:rsidR="00A92BA5">
        <w:rPr>
          <w:rFonts w:ascii="Symbol" w:hAnsi="Symbol"/>
        </w:rPr>
        <w:sym w:font="Symbol" w:char="F0B3"/>
      </w:r>
      <w:r w:rsidRPr="00E42A49">
        <w:rPr>
          <w:bCs/>
        </w:rPr>
        <w:t>65 years and patients younger than 65 years of age.</w:t>
      </w:r>
    </w:p>
    <w:p w14:paraId="4F82B8D9" w14:textId="77777777" w:rsidR="00924ECD" w:rsidRPr="00E42A49" w:rsidRDefault="00924ECD" w:rsidP="000A6372">
      <w:pPr>
        <w:spacing w:after="0"/>
        <w:rPr>
          <w:bCs/>
        </w:rPr>
      </w:pPr>
    </w:p>
    <w:p w14:paraId="27E7B9D8" w14:textId="1531C391" w:rsidR="004C25FA" w:rsidRPr="00E42A49" w:rsidRDefault="00D165EE" w:rsidP="00E46BAE">
      <w:pPr>
        <w:spacing w:after="0"/>
        <w:rPr>
          <w:b/>
        </w:rPr>
      </w:pPr>
      <w:r w:rsidRPr="00E42A49">
        <w:rPr>
          <w:b/>
          <w:bCs/>
        </w:rPr>
        <w:t>Reporting suspected adverse effects</w:t>
      </w:r>
    </w:p>
    <w:p w14:paraId="266BC3D7" w14:textId="5883724C" w:rsidR="00D165EE" w:rsidRPr="00E42A49" w:rsidRDefault="00D165EE" w:rsidP="00E46BAE">
      <w:pPr>
        <w:spacing w:before="120" w:after="0"/>
        <w:rPr>
          <w:iCs/>
        </w:rPr>
      </w:pPr>
      <w:r w:rsidRPr="00E42A49">
        <w:rPr>
          <w:iCs/>
        </w:rPr>
        <w:t>Reporting suspected adverse reactions after registration of the medicinal product is important.  It allows continued monitoring of the benefit-risk balance of the medicinal product.  Healthcare professionals are asked to report any suspected adverse reactions</w:t>
      </w:r>
      <w:r w:rsidR="00613AB5" w:rsidRPr="00E42A49">
        <w:rPr>
          <w:iCs/>
        </w:rPr>
        <w:t xml:space="preserve"> </w:t>
      </w:r>
      <w:r w:rsidRPr="00E42A49">
        <w:rPr>
          <w:iCs/>
        </w:rPr>
        <w:t xml:space="preserve">at </w:t>
      </w:r>
      <w:hyperlink r:id="rId9" w:history="1">
        <w:r w:rsidR="00613AB5" w:rsidRPr="00E42A49">
          <w:rPr>
            <w:rStyle w:val="Hyperlink"/>
            <w:iCs/>
          </w:rPr>
          <w:t>http://www.tga.gov.au/reporting-problems</w:t>
        </w:r>
      </w:hyperlink>
    </w:p>
    <w:p w14:paraId="7FD14FC8" w14:textId="77777777" w:rsidR="004C25FA" w:rsidRPr="00E42A49" w:rsidRDefault="004C25FA" w:rsidP="004C25FA">
      <w:pPr>
        <w:pStyle w:val="C-Heading2"/>
        <w:rPr>
          <w:caps/>
          <w:sz w:val="24"/>
          <w:szCs w:val="24"/>
        </w:rPr>
      </w:pPr>
      <w:r w:rsidRPr="00E42A49">
        <w:rPr>
          <w:caps/>
          <w:sz w:val="24"/>
          <w:szCs w:val="24"/>
        </w:rPr>
        <w:t>Overdose</w:t>
      </w:r>
    </w:p>
    <w:p w14:paraId="431DDDCF" w14:textId="1F17E158" w:rsidR="004C25FA" w:rsidRPr="00E42A49" w:rsidRDefault="004C25FA" w:rsidP="00613AB5">
      <w:pPr>
        <w:spacing w:before="120"/>
      </w:pPr>
      <w:r w:rsidRPr="00E42A49">
        <w:rPr>
          <w:lang w:val="en-GB"/>
        </w:rPr>
        <w:t>In the event of overdose, monitor patients for adverse reactions and provide appropriate supportive care.</w:t>
      </w:r>
      <w:r w:rsidR="00613AB5" w:rsidRPr="00E42A49">
        <w:rPr>
          <w:lang w:val="en-GB"/>
        </w:rPr>
        <w:t xml:space="preserve">  </w:t>
      </w:r>
      <w:r w:rsidR="00D165EE" w:rsidRPr="00E42A49">
        <w:t xml:space="preserve">It is not known if </w:t>
      </w:r>
      <w:proofErr w:type="spellStart"/>
      <w:r w:rsidR="00D165EE" w:rsidRPr="00E42A49">
        <w:t>enasidenib</w:t>
      </w:r>
      <w:proofErr w:type="spellEnd"/>
      <w:r w:rsidR="00D165EE" w:rsidRPr="00E42A49">
        <w:t xml:space="preserve"> </w:t>
      </w:r>
      <w:r w:rsidR="002942F0" w:rsidRPr="00E42A49">
        <w:t>or its metabolites are</w:t>
      </w:r>
      <w:r w:rsidR="00D165EE" w:rsidRPr="00E42A49">
        <w:t xml:space="preserve"> removed by dialysis.</w:t>
      </w:r>
    </w:p>
    <w:p w14:paraId="6D87AF74" w14:textId="18031E99" w:rsidR="00613AB5" w:rsidRPr="00E42A49" w:rsidRDefault="00613AB5" w:rsidP="00E46BAE">
      <w:pPr>
        <w:spacing w:before="120" w:after="0"/>
        <w:rPr>
          <w:iCs/>
        </w:rPr>
      </w:pPr>
      <w:r w:rsidRPr="00E42A49">
        <w:rPr>
          <w:iCs/>
        </w:rPr>
        <w:t>For information on the management of overdose, contact the Poison Information Centre on 131126 (Australia).</w:t>
      </w:r>
    </w:p>
    <w:p w14:paraId="6BD33200" w14:textId="77777777" w:rsidR="009D056A" w:rsidRPr="00E42A49" w:rsidRDefault="009D056A" w:rsidP="00C434D9">
      <w:pPr>
        <w:pStyle w:val="C-Heading1nopagebreak"/>
        <w:tabs>
          <w:tab w:val="clear" w:pos="1080"/>
          <w:tab w:val="num" w:pos="567"/>
        </w:tabs>
      </w:pPr>
      <w:r w:rsidRPr="00E42A49">
        <w:t>Pharmacological properties</w:t>
      </w:r>
    </w:p>
    <w:p w14:paraId="2032281B" w14:textId="77777777" w:rsidR="004C25FA" w:rsidRPr="00E42A49" w:rsidRDefault="009D056A" w:rsidP="008F18B2">
      <w:pPr>
        <w:pStyle w:val="C-Heading2"/>
        <w:rPr>
          <w:caps/>
          <w:sz w:val="24"/>
          <w:szCs w:val="24"/>
        </w:rPr>
      </w:pPr>
      <w:r w:rsidRPr="00E42A49">
        <w:rPr>
          <w:caps/>
          <w:sz w:val="24"/>
          <w:szCs w:val="24"/>
        </w:rPr>
        <w:t xml:space="preserve">Pharmacodynamic properties </w:t>
      </w:r>
    </w:p>
    <w:p w14:paraId="3F396242" w14:textId="2B91CF5A" w:rsidR="004C25FA" w:rsidRPr="00E42A49" w:rsidRDefault="004C25FA" w:rsidP="00E46BAE">
      <w:pPr>
        <w:spacing w:before="120" w:after="0"/>
      </w:pPr>
      <w:proofErr w:type="spellStart"/>
      <w:r w:rsidRPr="00E42A49">
        <w:t>Pharmacotherapeutic</w:t>
      </w:r>
      <w:proofErr w:type="spellEnd"/>
      <w:r w:rsidRPr="00E42A49">
        <w:t xml:space="preserve"> group: {group}, ATC code:</w:t>
      </w:r>
      <w:r w:rsidR="00F91C35" w:rsidRPr="00E42A49">
        <w:t xml:space="preserve"> </w:t>
      </w:r>
      <w:r w:rsidR="00BB161A" w:rsidRPr="00E42A49">
        <w:t>L01XX59</w:t>
      </w:r>
    </w:p>
    <w:p w14:paraId="177B5EA3" w14:textId="77777777" w:rsidR="008F18B2" w:rsidRPr="00E42A49" w:rsidRDefault="008F18B2" w:rsidP="00E46BAE">
      <w:pPr>
        <w:spacing w:after="0" w:line="240" w:lineRule="auto"/>
      </w:pPr>
    </w:p>
    <w:p w14:paraId="72EA52D4" w14:textId="77777777" w:rsidR="008F18B2" w:rsidRPr="00E42A49" w:rsidRDefault="008F18B2" w:rsidP="008F18B2">
      <w:pPr>
        <w:pStyle w:val="Heading3"/>
        <w:spacing w:after="0"/>
      </w:pPr>
      <w:r w:rsidRPr="00E42A49">
        <w:t>Mechanism of action</w:t>
      </w:r>
    </w:p>
    <w:p w14:paraId="22787106" w14:textId="10443A07" w:rsidR="008F18B2" w:rsidRPr="00E42A49" w:rsidRDefault="008F18B2" w:rsidP="00E46BAE">
      <w:pPr>
        <w:autoSpaceDE w:val="0"/>
        <w:autoSpaceDN w:val="0"/>
        <w:adjustRightInd w:val="0"/>
        <w:spacing w:before="120" w:after="0"/>
        <w:rPr>
          <w:rFonts w:eastAsia="SimSun"/>
          <w:lang w:val="en-GB"/>
        </w:rPr>
      </w:pPr>
      <w:proofErr w:type="spellStart"/>
      <w:r w:rsidRPr="00E42A49">
        <w:rPr>
          <w:rFonts w:eastAsia="SimSun"/>
          <w:lang w:val="en-GB"/>
        </w:rPr>
        <w:t>Enasidenib</w:t>
      </w:r>
      <w:proofErr w:type="spellEnd"/>
      <w:r w:rsidRPr="00E42A49">
        <w:rPr>
          <w:rFonts w:eastAsia="SimSun"/>
          <w:lang w:val="en-GB"/>
        </w:rPr>
        <w:t xml:space="preserve"> is a small molecule inhibitor of the </w:t>
      </w:r>
      <w:proofErr w:type="spellStart"/>
      <w:r w:rsidRPr="00E42A49">
        <w:rPr>
          <w:rFonts w:eastAsia="SimSun"/>
          <w:lang w:val="en-GB"/>
        </w:rPr>
        <w:t>isocitrate</w:t>
      </w:r>
      <w:proofErr w:type="spellEnd"/>
      <w:r w:rsidRPr="00E42A49">
        <w:rPr>
          <w:rFonts w:eastAsia="SimSun"/>
          <w:lang w:val="en-GB"/>
        </w:rPr>
        <w:t xml:space="preserve"> dehydrogenase 2 (IDH2) enzyme.  </w:t>
      </w:r>
      <w:r w:rsidR="00C82E53" w:rsidRPr="00E42A49">
        <w:t xml:space="preserve">Mutant IDH2 variants R140Q, R172S and R172K are selectively targeted by </w:t>
      </w:r>
      <w:proofErr w:type="spellStart"/>
      <w:r w:rsidR="00C82E53" w:rsidRPr="00E42A49">
        <w:t>enasidenib</w:t>
      </w:r>
      <w:proofErr w:type="spellEnd"/>
      <w:r w:rsidR="00C82E53" w:rsidRPr="00E42A49">
        <w:t xml:space="preserve">, with the drug’s potency against these </w:t>
      </w:r>
      <w:r w:rsidR="000C0789" w:rsidRPr="00E42A49">
        <w:t>approximately 40</w:t>
      </w:r>
      <w:r w:rsidR="00C82E53" w:rsidRPr="00E42A49">
        <w:t xml:space="preserve"> times greater than against </w:t>
      </w:r>
      <w:proofErr w:type="spellStart"/>
      <w:r w:rsidR="00C82E53" w:rsidRPr="00E42A49">
        <w:t>wildtype</w:t>
      </w:r>
      <w:proofErr w:type="spellEnd"/>
      <w:r w:rsidR="00C82E53" w:rsidRPr="00E42A49">
        <w:t xml:space="preserve"> IDH2.  Such </w:t>
      </w:r>
      <w:r w:rsidRPr="00E42A49">
        <w:rPr>
          <w:rFonts w:eastAsia="SimSun"/>
          <w:lang w:val="en-GB"/>
        </w:rPr>
        <w:t xml:space="preserve">IDH2 mutations confer a gain of function, whereby the aberrant </w:t>
      </w:r>
      <w:r w:rsidRPr="00E42A49">
        <w:rPr>
          <w:lang w:val="en-GB"/>
        </w:rPr>
        <w:t>enzyme catalyses the production of the oncogenic metabolite 2</w:t>
      </w:r>
      <w:r w:rsidRPr="00E42A49">
        <w:rPr>
          <w:lang w:val="en-GB"/>
        </w:rPr>
        <w:noBreakHyphen/>
        <w:t xml:space="preserve">hydroxyglutarate (2-HG).  2-HG induces a block of cell differentiation by inhibiting the activity of chromatin-modifying histone and DNA demethylases. </w:t>
      </w:r>
      <w:r w:rsidRPr="00E42A49">
        <w:rPr>
          <w:rFonts w:eastAsia="SimSun"/>
          <w:lang w:val="en-GB"/>
        </w:rPr>
        <w:t xml:space="preserve"> </w:t>
      </w:r>
      <w:r w:rsidR="008E7095" w:rsidRPr="00E42A49">
        <w:rPr>
          <w:rFonts w:eastAsia="SimSun"/>
          <w:lang w:val="en-GB"/>
        </w:rPr>
        <w:t xml:space="preserve">Inhibition of the </w:t>
      </w:r>
      <w:r w:rsidRPr="00E42A49">
        <w:rPr>
          <w:rFonts w:eastAsia="SimSun"/>
          <w:lang w:val="en-GB"/>
        </w:rPr>
        <w:t>IDH2 mutant variants R140Q and R172S/K</w:t>
      </w:r>
      <w:r w:rsidR="008E7095" w:rsidRPr="00E42A49">
        <w:rPr>
          <w:rFonts w:eastAsia="SimSun"/>
          <w:lang w:val="en-GB"/>
        </w:rPr>
        <w:t xml:space="preserve"> </w:t>
      </w:r>
      <w:r w:rsidR="008E7095" w:rsidRPr="00E42A49">
        <w:t xml:space="preserve">by </w:t>
      </w:r>
      <w:proofErr w:type="spellStart"/>
      <w:r w:rsidR="008E7095" w:rsidRPr="00E42A49">
        <w:t>enasidenib</w:t>
      </w:r>
      <w:proofErr w:type="spellEnd"/>
      <w:r w:rsidRPr="00E42A49">
        <w:rPr>
          <w:rFonts w:eastAsia="SimSun"/>
          <w:lang w:val="en-GB"/>
        </w:rPr>
        <w:t xml:space="preserve">, </w:t>
      </w:r>
      <w:r w:rsidR="008E7095" w:rsidRPr="00E42A49">
        <w:rPr>
          <w:rFonts w:eastAsia="SimSun"/>
          <w:lang w:val="en-GB"/>
        </w:rPr>
        <w:t>led</w:t>
      </w:r>
      <w:r w:rsidRPr="00E42A49">
        <w:rPr>
          <w:rFonts w:eastAsia="SimSun"/>
          <w:lang w:val="en-GB"/>
        </w:rPr>
        <w:t xml:space="preserve"> to decreased 2-HG levels and </w:t>
      </w:r>
      <w:r w:rsidR="008E7095" w:rsidRPr="00E42A49">
        <w:rPr>
          <w:rFonts w:eastAsia="SimSun"/>
          <w:lang w:val="en-GB"/>
        </w:rPr>
        <w:t xml:space="preserve">induction of </w:t>
      </w:r>
      <w:r w:rsidRPr="00E42A49">
        <w:rPr>
          <w:rFonts w:eastAsia="SimSun"/>
          <w:lang w:val="en-GB"/>
        </w:rPr>
        <w:t xml:space="preserve">myeloid differentiation </w:t>
      </w:r>
      <w:r w:rsidR="008E7095" w:rsidRPr="00E42A49">
        <w:rPr>
          <w:i/>
          <w:iCs/>
        </w:rPr>
        <w:t xml:space="preserve">in vitro </w:t>
      </w:r>
      <w:r w:rsidRPr="00E42A49">
        <w:rPr>
          <w:rFonts w:eastAsia="SimSun"/>
          <w:lang w:val="en-GB"/>
        </w:rPr>
        <w:t xml:space="preserve">and </w:t>
      </w:r>
      <w:r w:rsidR="008E7095" w:rsidRPr="00E42A49">
        <w:rPr>
          <w:i/>
          <w:iCs/>
        </w:rPr>
        <w:t xml:space="preserve">in vivo </w:t>
      </w:r>
      <w:r w:rsidRPr="00E42A49">
        <w:rPr>
          <w:rFonts w:eastAsia="SimSun"/>
          <w:lang w:val="en-GB"/>
        </w:rPr>
        <w:t>in human xenograft models of IDH2-mutated AML.</w:t>
      </w:r>
    </w:p>
    <w:p w14:paraId="0194BD23" w14:textId="77777777" w:rsidR="008F18B2" w:rsidRPr="00E42A49" w:rsidRDefault="008F18B2" w:rsidP="00E46BAE">
      <w:pPr>
        <w:autoSpaceDE w:val="0"/>
        <w:autoSpaceDN w:val="0"/>
        <w:adjustRightInd w:val="0"/>
        <w:spacing w:after="0" w:line="240" w:lineRule="auto"/>
        <w:rPr>
          <w:rFonts w:eastAsia="SimSun"/>
          <w:lang w:val="en-GB"/>
        </w:rPr>
      </w:pPr>
    </w:p>
    <w:p w14:paraId="4228A5E8" w14:textId="0FFF3AEC" w:rsidR="008F18B2" w:rsidRPr="00E42A49" w:rsidRDefault="008F18B2" w:rsidP="00E46BAE">
      <w:pPr>
        <w:autoSpaceDE w:val="0"/>
        <w:autoSpaceDN w:val="0"/>
        <w:adjustRightInd w:val="0"/>
        <w:spacing w:after="0"/>
        <w:rPr>
          <w:lang w:val="en-GB"/>
        </w:rPr>
      </w:pPr>
      <w:r w:rsidRPr="00E42A49">
        <w:rPr>
          <w:rFonts w:eastAsia="SimSun"/>
          <w:lang w:val="en-GB"/>
        </w:rPr>
        <w:t xml:space="preserve">In patients with IDH2 mutated AML, </w:t>
      </w:r>
      <w:proofErr w:type="spellStart"/>
      <w:r w:rsidRPr="00E42A49">
        <w:rPr>
          <w:rFonts w:eastAsia="SimSun"/>
          <w:lang w:val="en-GB"/>
        </w:rPr>
        <w:t>enasidenib</w:t>
      </w:r>
      <w:proofErr w:type="spellEnd"/>
      <w:r w:rsidRPr="00E42A49">
        <w:rPr>
          <w:rFonts w:eastAsia="SimSun"/>
          <w:lang w:val="en-GB"/>
        </w:rPr>
        <w:t xml:space="preserve"> decreased 2-HG levels in blood, releasing the differentiation block of </w:t>
      </w:r>
      <w:proofErr w:type="spellStart"/>
      <w:r w:rsidRPr="00E42A49">
        <w:rPr>
          <w:rFonts w:eastAsia="SimSun"/>
          <w:lang w:val="en-GB"/>
        </w:rPr>
        <w:t>leukaemic</w:t>
      </w:r>
      <w:proofErr w:type="spellEnd"/>
      <w:r w:rsidRPr="00E42A49">
        <w:rPr>
          <w:rFonts w:eastAsia="SimSun"/>
          <w:lang w:val="en-GB"/>
        </w:rPr>
        <w:t xml:space="preserve"> cells and resulting in increased percentages of mature myeloid cells in bone marrow.  </w:t>
      </w:r>
      <w:proofErr w:type="spellStart"/>
      <w:r w:rsidRPr="00E42A49">
        <w:rPr>
          <w:rFonts w:eastAsia="SimSun"/>
          <w:lang w:val="en-GB"/>
        </w:rPr>
        <w:t>Enasidenib</w:t>
      </w:r>
      <w:proofErr w:type="spellEnd"/>
      <w:r w:rsidRPr="00E42A49">
        <w:rPr>
          <w:rFonts w:eastAsia="SimSun"/>
          <w:lang w:val="en-GB"/>
        </w:rPr>
        <w:t xml:space="preserve"> reduced blast counts in a subset of </w:t>
      </w:r>
      <w:r w:rsidR="000537E2" w:rsidRPr="00E42A49">
        <w:rPr>
          <w:rFonts w:eastAsia="SimSun"/>
          <w:lang w:val="en-GB"/>
        </w:rPr>
        <w:t>patients and</w:t>
      </w:r>
      <w:r w:rsidRPr="00E42A49">
        <w:rPr>
          <w:rFonts w:eastAsia="SimSun"/>
          <w:lang w:val="en-GB"/>
        </w:rPr>
        <w:t xml:space="preserve"> was not </w:t>
      </w:r>
      <w:proofErr w:type="spellStart"/>
      <w:r w:rsidRPr="00E42A49">
        <w:rPr>
          <w:rFonts w:eastAsia="SimSun"/>
          <w:lang w:val="en-GB"/>
        </w:rPr>
        <w:t>myelosuppressive</w:t>
      </w:r>
      <w:proofErr w:type="spellEnd"/>
      <w:r w:rsidRPr="00E42A49">
        <w:rPr>
          <w:rFonts w:eastAsia="SimSun"/>
          <w:lang w:val="en-GB"/>
        </w:rPr>
        <w:t>.</w:t>
      </w:r>
    </w:p>
    <w:p w14:paraId="0D98765E" w14:textId="77777777" w:rsidR="005B613D" w:rsidRPr="00E42A49" w:rsidRDefault="005B613D" w:rsidP="00E46BAE">
      <w:pPr>
        <w:spacing w:after="0" w:line="240" w:lineRule="auto"/>
        <w:rPr>
          <w:b/>
        </w:rPr>
      </w:pPr>
    </w:p>
    <w:p w14:paraId="1A2DC52E" w14:textId="7A425DD7" w:rsidR="00796C6F" w:rsidRPr="00E42A49" w:rsidRDefault="005B613D" w:rsidP="005B613D">
      <w:pPr>
        <w:pStyle w:val="Heading3"/>
        <w:spacing w:after="0"/>
      </w:pPr>
      <w:r w:rsidRPr="00E42A49">
        <w:lastRenderedPageBreak/>
        <w:t>C</w:t>
      </w:r>
      <w:r w:rsidR="00796C6F" w:rsidRPr="00E42A49">
        <w:t>ardiac Electrophysiology</w:t>
      </w:r>
    </w:p>
    <w:p w14:paraId="68F224C4" w14:textId="77777777" w:rsidR="00796C6F" w:rsidRPr="00E42A49" w:rsidRDefault="00796C6F" w:rsidP="00E46BAE">
      <w:pPr>
        <w:spacing w:before="120" w:after="0"/>
      </w:pPr>
      <w:r w:rsidRPr="00E42A49">
        <w:t xml:space="preserve">The potential for </w:t>
      </w:r>
      <w:proofErr w:type="spellStart"/>
      <w:r w:rsidRPr="00E42A49">
        <w:t>QTc</w:t>
      </w:r>
      <w:proofErr w:type="spellEnd"/>
      <w:r w:rsidRPr="00E42A49">
        <w:t xml:space="preserve"> prolongation with </w:t>
      </w:r>
      <w:proofErr w:type="spellStart"/>
      <w:r w:rsidRPr="00E42A49">
        <w:t>enasidenib</w:t>
      </w:r>
      <w:proofErr w:type="spellEnd"/>
      <w:r w:rsidRPr="00E42A49">
        <w:t xml:space="preserve"> was evaluated in an open-label study in patients with advanced haematological malignancies with an IDH2 mutation. Based on the </w:t>
      </w:r>
      <w:proofErr w:type="spellStart"/>
      <w:r w:rsidRPr="00E42A49">
        <w:t>QTc</w:t>
      </w:r>
      <w:proofErr w:type="spellEnd"/>
      <w:r w:rsidRPr="00E42A49">
        <w:t xml:space="preserve"> data for a single dose of 50 mg to 650 mg and multiple doses of 100 mg daily in the fasted state, no large mean changes in the </w:t>
      </w:r>
      <w:proofErr w:type="spellStart"/>
      <w:r w:rsidRPr="00E42A49">
        <w:t>QTc</w:t>
      </w:r>
      <w:proofErr w:type="spellEnd"/>
      <w:r w:rsidRPr="00E42A49">
        <w:t xml:space="preserve"> interval (&gt; 20 </w:t>
      </w:r>
      <w:proofErr w:type="spellStart"/>
      <w:r w:rsidRPr="00E42A49">
        <w:t>ms</w:t>
      </w:r>
      <w:proofErr w:type="spellEnd"/>
      <w:r w:rsidRPr="00E42A49">
        <w:t xml:space="preserve">) were observed following treatment with </w:t>
      </w:r>
      <w:proofErr w:type="spellStart"/>
      <w:r w:rsidRPr="00E42A49">
        <w:t>enasidenib</w:t>
      </w:r>
      <w:proofErr w:type="spellEnd"/>
      <w:r w:rsidRPr="00E42A49">
        <w:t>.</w:t>
      </w:r>
    </w:p>
    <w:p w14:paraId="2C794FBE" w14:textId="77777777" w:rsidR="00796C6F" w:rsidRPr="00E42A49" w:rsidRDefault="00796C6F" w:rsidP="00E46BAE">
      <w:pPr>
        <w:spacing w:after="0" w:line="240" w:lineRule="auto"/>
      </w:pPr>
    </w:p>
    <w:p w14:paraId="3E07407A" w14:textId="5065FFAB" w:rsidR="007C18C6" w:rsidRPr="00E42A49" w:rsidRDefault="00796C6F" w:rsidP="007C18C6">
      <w:pPr>
        <w:pStyle w:val="Heading3"/>
      </w:pPr>
      <w:r w:rsidRPr="00E42A49">
        <w:t>Clinical trials</w:t>
      </w:r>
    </w:p>
    <w:p w14:paraId="44E18EE1" w14:textId="1E8D512F" w:rsidR="0098767C" w:rsidRPr="00E42A49" w:rsidRDefault="0098767C" w:rsidP="00BA7412">
      <w:pPr>
        <w:pStyle w:val="C-BodyText"/>
        <w:spacing w:after="0" w:line="240" w:lineRule="auto"/>
        <w:rPr>
          <w:sz w:val="22"/>
          <w:szCs w:val="22"/>
        </w:rPr>
      </w:pPr>
      <w:bookmarkStart w:id="16" w:name="_Hlk13235570"/>
      <w:r w:rsidRPr="00E42A49">
        <w:rPr>
          <w:sz w:val="22"/>
          <w:szCs w:val="22"/>
          <w:lang w:val="en-AU"/>
        </w:rPr>
        <w:t xml:space="preserve">Idhifa is approved under the ‘Provisional Registration Pathway’.  Data provided in this section are provisional and the </w:t>
      </w:r>
      <w:r w:rsidRPr="00E42A49">
        <w:rPr>
          <w:sz w:val="22"/>
          <w:szCs w:val="22"/>
        </w:rPr>
        <w:t>sponsor is required to submit Phase 3 confirmatory data to further support the provisionally approved indication.</w:t>
      </w:r>
    </w:p>
    <w:bookmarkEnd w:id="16"/>
    <w:p w14:paraId="5EF5B7E1" w14:textId="135A5A8F" w:rsidR="007C18C6" w:rsidRPr="00E42A49" w:rsidRDefault="007C18C6" w:rsidP="00D14FA7">
      <w:pPr>
        <w:pStyle w:val="C-BodyText"/>
        <w:spacing w:after="0" w:line="240" w:lineRule="auto"/>
        <w:rPr>
          <w:sz w:val="22"/>
          <w:szCs w:val="22"/>
          <w:lang w:val="en-AU"/>
        </w:rPr>
      </w:pPr>
      <w:r w:rsidRPr="00E42A49">
        <w:rPr>
          <w:sz w:val="22"/>
          <w:szCs w:val="22"/>
          <w:lang w:val="en-AU"/>
        </w:rPr>
        <w:t xml:space="preserve">The efficacy of </w:t>
      </w:r>
      <w:proofErr w:type="spellStart"/>
      <w:r w:rsidRPr="00E42A49">
        <w:rPr>
          <w:sz w:val="22"/>
          <w:szCs w:val="22"/>
          <w:lang w:val="en-AU"/>
        </w:rPr>
        <w:t>enasidenib</w:t>
      </w:r>
      <w:proofErr w:type="spellEnd"/>
      <w:r w:rsidRPr="00E42A49">
        <w:rPr>
          <w:sz w:val="22"/>
          <w:szCs w:val="22"/>
          <w:lang w:val="en-AU"/>
        </w:rPr>
        <w:t xml:space="preserve"> was established in an open-label, single-arm, international, </w:t>
      </w:r>
      <w:proofErr w:type="spellStart"/>
      <w:r w:rsidRPr="00E42A49">
        <w:rPr>
          <w:sz w:val="22"/>
          <w:szCs w:val="22"/>
          <w:lang w:val="en-AU"/>
        </w:rPr>
        <w:t>multicenter</w:t>
      </w:r>
      <w:proofErr w:type="spellEnd"/>
      <w:r w:rsidRPr="00E42A49">
        <w:rPr>
          <w:sz w:val="22"/>
          <w:szCs w:val="22"/>
          <w:lang w:val="en-AU"/>
        </w:rPr>
        <w:t xml:space="preserve">, clinical trial of 214 patients with relapsed or refractory acute myeloid </w:t>
      </w:r>
      <w:proofErr w:type="spellStart"/>
      <w:r w:rsidRPr="00E42A49">
        <w:rPr>
          <w:sz w:val="22"/>
          <w:szCs w:val="22"/>
          <w:lang w:val="en-AU"/>
        </w:rPr>
        <w:t>leukemia</w:t>
      </w:r>
      <w:proofErr w:type="spellEnd"/>
      <w:r w:rsidRPr="00E42A49">
        <w:rPr>
          <w:sz w:val="22"/>
          <w:szCs w:val="22"/>
          <w:lang w:val="en-AU"/>
        </w:rPr>
        <w:t xml:space="preserve"> with an IDH2 mutation who received a 100-mg daily dose.  IDH2 mutations were identified by a local diagnostic test and retrospectively confirmed by the </w:t>
      </w:r>
      <w:bookmarkStart w:id="17" w:name="_Hlk11935843"/>
      <w:r w:rsidRPr="00E42A49">
        <w:rPr>
          <w:sz w:val="22"/>
          <w:szCs w:val="22"/>
          <w:lang w:val="en-AU"/>
        </w:rPr>
        <w:t xml:space="preserve">Abbott </w:t>
      </w:r>
      <w:proofErr w:type="spellStart"/>
      <w:r w:rsidRPr="00E42A49">
        <w:rPr>
          <w:sz w:val="22"/>
          <w:szCs w:val="22"/>
          <w:lang w:val="en-AU"/>
        </w:rPr>
        <w:t>RealTi</w:t>
      </w:r>
      <w:r w:rsidRPr="00E42A49">
        <w:rPr>
          <w:i/>
          <w:iCs/>
          <w:sz w:val="22"/>
          <w:szCs w:val="22"/>
          <w:lang w:val="en-AU"/>
        </w:rPr>
        <w:t>m</w:t>
      </w:r>
      <w:r w:rsidRPr="00E42A49">
        <w:rPr>
          <w:sz w:val="22"/>
          <w:szCs w:val="22"/>
          <w:lang w:val="en-AU"/>
        </w:rPr>
        <w:t>e</w:t>
      </w:r>
      <w:proofErr w:type="spellEnd"/>
      <w:r w:rsidRPr="00E42A49">
        <w:rPr>
          <w:sz w:val="22"/>
          <w:szCs w:val="22"/>
          <w:lang w:val="en-AU"/>
        </w:rPr>
        <w:t>™ IDH2 assay</w:t>
      </w:r>
      <w:bookmarkEnd w:id="17"/>
      <w:r w:rsidRPr="00E42A49">
        <w:rPr>
          <w:sz w:val="22"/>
          <w:szCs w:val="22"/>
          <w:lang w:val="en-AU"/>
        </w:rPr>
        <w:t xml:space="preserve">, or prospectively identified by the Abbott </w:t>
      </w:r>
      <w:proofErr w:type="spellStart"/>
      <w:r w:rsidRPr="00E42A49">
        <w:rPr>
          <w:sz w:val="22"/>
          <w:szCs w:val="22"/>
          <w:lang w:val="en-AU"/>
        </w:rPr>
        <w:t>RealTi</w:t>
      </w:r>
      <w:r w:rsidRPr="00E42A49">
        <w:rPr>
          <w:i/>
          <w:iCs/>
          <w:sz w:val="22"/>
          <w:szCs w:val="22"/>
          <w:lang w:val="en-AU"/>
        </w:rPr>
        <w:t>m</w:t>
      </w:r>
      <w:r w:rsidRPr="00E42A49">
        <w:rPr>
          <w:sz w:val="22"/>
          <w:szCs w:val="22"/>
          <w:lang w:val="en-AU"/>
        </w:rPr>
        <w:t>e</w:t>
      </w:r>
      <w:proofErr w:type="spellEnd"/>
      <w:r w:rsidRPr="00E42A49">
        <w:rPr>
          <w:sz w:val="22"/>
          <w:szCs w:val="22"/>
          <w:lang w:val="en-AU"/>
        </w:rPr>
        <w:t xml:space="preserve">™ IDH2 assay.  </w:t>
      </w:r>
      <w:proofErr w:type="spellStart"/>
      <w:r w:rsidRPr="00E42A49">
        <w:rPr>
          <w:sz w:val="22"/>
          <w:szCs w:val="22"/>
          <w:lang w:val="en-AU"/>
        </w:rPr>
        <w:t>Enasidenib</w:t>
      </w:r>
      <w:proofErr w:type="spellEnd"/>
      <w:r w:rsidRPr="00E42A49">
        <w:rPr>
          <w:sz w:val="22"/>
          <w:szCs w:val="22"/>
          <w:lang w:val="en-AU"/>
        </w:rPr>
        <w:t xml:space="preserve"> was given until disease progression or unacceptable toxicity.  Dose reductions were allowed to manage adverse events.</w:t>
      </w:r>
    </w:p>
    <w:p w14:paraId="73889C1D" w14:textId="034AB0AD" w:rsidR="00796C6F" w:rsidRPr="00E42A49" w:rsidRDefault="00796C6F" w:rsidP="00E46BAE">
      <w:pPr>
        <w:pStyle w:val="C-BodyText"/>
        <w:spacing w:before="0" w:after="0" w:line="240" w:lineRule="auto"/>
        <w:rPr>
          <w:sz w:val="22"/>
          <w:szCs w:val="22"/>
          <w:lang w:val="en-GB"/>
        </w:rPr>
      </w:pPr>
    </w:p>
    <w:p w14:paraId="3F38DD86" w14:textId="77777777" w:rsidR="00D77ABF" w:rsidRPr="00E42A49" w:rsidRDefault="00D77ABF" w:rsidP="00D77ABF">
      <w:pPr>
        <w:pStyle w:val="C-BodyText"/>
        <w:spacing w:before="0" w:after="0"/>
        <w:rPr>
          <w:sz w:val="22"/>
          <w:szCs w:val="22"/>
        </w:rPr>
      </w:pPr>
      <w:r w:rsidRPr="00E42A49">
        <w:rPr>
          <w:sz w:val="22"/>
          <w:szCs w:val="22"/>
        </w:rPr>
        <w:t>The baseline demographic and disease characteristics are shown in the following table.</w:t>
      </w:r>
    </w:p>
    <w:p w14:paraId="3D5B5F42" w14:textId="5D043065" w:rsidR="005E7649" w:rsidRPr="00E42A49" w:rsidRDefault="005E7649" w:rsidP="004F1ED1">
      <w:pPr>
        <w:pStyle w:val="Caption"/>
      </w:pPr>
      <w:r w:rsidRPr="00E42A49">
        <w:t>Table 4:</w:t>
      </w:r>
      <w:r w:rsidRPr="00E42A49">
        <w:tab/>
        <w:t>Baseline Demographic and Disease Characteristics in Patients with Relapsed or Refractory AML and IDH2 Mutation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8"/>
        <w:gridCol w:w="3424"/>
      </w:tblGrid>
      <w:tr w:rsidR="005E7649" w:rsidRPr="00E42A49" w14:paraId="1952BF26" w14:textId="77777777" w:rsidTr="004F1ED1">
        <w:trPr>
          <w:tblHeader/>
        </w:trPr>
        <w:tc>
          <w:tcPr>
            <w:tcW w:w="5895" w:type="dxa"/>
            <w:shd w:val="clear" w:color="auto" w:fill="D9D9D9" w:themeFill="background1" w:themeFillShade="D9"/>
          </w:tcPr>
          <w:p w14:paraId="75624CCD" w14:textId="77777777" w:rsidR="005E7649" w:rsidRPr="00E42A49" w:rsidRDefault="005E7649" w:rsidP="00D14FA7">
            <w:pPr>
              <w:pStyle w:val="C-BodyText"/>
              <w:spacing w:before="40" w:after="40" w:line="240" w:lineRule="auto"/>
              <w:rPr>
                <w:b/>
                <w:sz w:val="22"/>
                <w:szCs w:val="22"/>
              </w:rPr>
            </w:pPr>
            <w:r w:rsidRPr="00E42A49">
              <w:rPr>
                <w:b/>
                <w:sz w:val="22"/>
                <w:szCs w:val="22"/>
              </w:rPr>
              <w:t>Demographic and Disease Characteristics</w:t>
            </w:r>
          </w:p>
        </w:tc>
        <w:tc>
          <w:tcPr>
            <w:tcW w:w="3465" w:type="dxa"/>
            <w:shd w:val="clear" w:color="auto" w:fill="D9D9D9" w:themeFill="background1" w:themeFillShade="D9"/>
            <w:vAlign w:val="center"/>
          </w:tcPr>
          <w:p w14:paraId="57294EE8" w14:textId="77777777" w:rsidR="005E7649" w:rsidRPr="00E42A49" w:rsidRDefault="005E7649" w:rsidP="00D14FA7">
            <w:pPr>
              <w:pStyle w:val="C-BodyText"/>
              <w:spacing w:before="40" w:after="40" w:line="240" w:lineRule="auto"/>
              <w:jc w:val="center"/>
              <w:rPr>
                <w:b/>
                <w:sz w:val="22"/>
                <w:szCs w:val="22"/>
              </w:rPr>
            </w:pPr>
            <w:proofErr w:type="spellStart"/>
            <w:r w:rsidRPr="00E42A49">
              <w:rPr>
                <w:b/>
                <w:sz w:val="22"/>
                <w:szCs w:val="22"/>
              </w:rPr>
              <w:t>Enasidenib</w:t>
            </w:r>
            <w:proofErr w:type="spellEnd"/>
            <w:r w:rsidRPr="00E42A49">
              <w:rPr>
                <w:b/>
                <w:sz w:val="22"/>
                <w:szCs w:val="22"/>
              </w:rPr>
              <w:t xml:space="preserve"> </w:t>
            </w:r>
          </w:p>
          <w:p w14:paraId="66C4ECA0" w14:textId="77777777" w:rsidR="005E7649" w:rsidRPr="00E42A49" w:rsidRDefault="005E7649" w:rsidP="00D14FA7">
            <w:pPr>
              <w:pStyle w:val="C-BodyText"/>
              <w:spacing w:before="40" w:after="40" w:line="240" w:lineRule="auto"/>
              <w:jc w:val="center"/>
              <w:rPr>
                <w:b/>
                <w:sz w:val="22"/>
                <w:szCs w:val="22"/>
              </w:rPr>
            </w:pPr>
            <w:r w:rsidRPr="00E42A49">
              <w:rPr>
                <w:b/>
                <w:sz w:val="22"/>
                <w:szCs w:val="22"/>
              </w:rPr>
              <w:t>(100 mg daily)</w:t>
            </w:r>
          </w:p>
          <w:p w14:paraId="2BB6A7DE" w14:textId="77777777" w:rsidR="005E7649" w:rsidRPr="00E42A49" w:rsidRDefault="005E7649" w:rsidP="00D14FA7">
            <w:pPr>
              <w:pStyle w:val="C-BodyText"/>
              <w:spacing w:before="40" w:after="40" w:line="240" w:lineRule="auto"/>
              <w:jc w:val="center"/>
              <w:rPr>
                <w:b/>
                <w:sz w:val="22"/>
                <w:szCs w:val="22"/>
              </w:rPr>
            </w:pPr>
            <w:r w:rsidRPr="00E42A49">
              <w:rPr>
                <w:b/>
                <w:sz w:val="22"/>
                <w:szCs w:val="22"/>
              </w:rPr>
              <w:t>N=214</w:t>
            </w:r>
          </w:p>
        </w:tc>
      </w:tr>
      <w:tr w:rsidR="005E7649" w:rsidRPr="00E42A49" w14:paraId="29E3F41C" w14:textId="77777777" w:rsidTr="00A06E4F">
        <w:tc>
          <w:tcPr>
            <w:tcW w:w="9360" w:type="dxa"/>
            <w:gridSpan w:val="2"/>
            <w:shd w:val="clear" w:color="auto" w:fill="D9D9D9" w:themeFill="background1" w:themeFillShade="D9"/>
          </w:tcPr>
          <w:p w14:paraId="167BE3EF" w14:textId="77777777" w:rsidR="005E7649" w:rsidRPr="00E42A49" w:rsidRDefault="005E7649" w:rsidP="00D14FA7">
            <w:pPr>
              <w:pStyle w:val="C-BodyText"/>
              <w:spacing w:before="40" w:after="40" w:line="240" w:lineRule="auto"/>
              <w:rPr>
                <w:sz w:val="22"/>
                <w:szCs w:val="22"/>
              </w:rPr>
            </w:pPr>
            <w:r w:rsidRPr="00E42A49">
              <w:rPr>
                <w:b/>
                <w:sz w:val="22"/>
                <w:szCs w:val="22"/>
              </w:rPr>
              <w:t>Demographics</w:t>
            </w:r>
          </w:p>
        </w:tc>
      </w:tr>
      <w:tr w:rsidR="005E7649" w:rsidRPr="00E42A49" w14:paraId="43CE38A3" w14:textId="77777777" w:rsidTr="00A06E4F">
        <w:tc>
          <w:tcPr>
            <w:tcW w:w="5895" w:type="dxa"/>
          </w:tcPr>
          <w:p w14:paraId="29189710" w14:textId="77777777" w:rsidR="005E7649" w:rsidRPr="00E42A49" w:rsidRDefault="005E7649" w:rsidP="00D14FA7">
            <w:pPr>
              <w:pStyle w:val="C-BodyText"/>
              <w:spacing w:before="40" w:after="40" w:line="240" w:lineRule="auto"/>
              <w:rPr>
                <w:b/>
                <w:sz w:val="22"/>
                <w:szCs w:val="22"/>
              </w:rPr>
            </w:pPr>
            <w:r w:rsidRPr="00E42A49">
              <w:rPr>
                <w:b/>
                <w:sz w:val="22"/>
                <w:szCs w:val="22"/>
              </w:rPr>
              <w:t>Age (Years) Median (Min, Max)</w:t>
            </w:r>
          </w:p>
        </w:tc>
        <w:tc>
          <w:tcPr>
            <w:tcW w:w="3465" w:type="dxa"/>
            <w:vAlign w:val="center"/>
          </w:tcPr>
          <w:p w14:paraId="2F67FFD4" w14:textId="77777777" w:rsidR="005E7649" w:rsidRPr="00E42A49" w:rsidRDefault="005E7649" w:rsidP="00D14FA7">
            <w:pPr>
              <w:pStyle w:val="C-BodyText"/>
              <w:spacing w:before="40" w:after="40" w:line="240" w:lineRule="auto"/>
              <w:jc w:val="center"/>
              <w:rPr>
                <w:sz w:val="22"/>
                <w:szCs w:val="22"/>
              </w:rPr>
            </w:pPr>
            <w:r w:rsidRPr="00E42A49">
              <w:rPr>
                <w:sz w:val="22"/>
                <w:szCs w:val="22"/>
              </w:rPr>
              <w:t>68.0 (19.0, 100.0)</w:t>
            </w:r>
          </w:p>
        </w:tc>
      </w:tr>
      <w:tr w:rsidR="005E7649" w:rsidRPr="00E42A49" w14:paraId="054E5615" w14:textId="77777777" w:rsidTr="00A06E4F">
        <w:tc>
          <w:tcPr>
            <w:tcW w:w="5895" w:type="dxa"/>
          </w:tcPr>
          <w:p w14:paraId="595FB023" w14:textId="77777777" w:rsidR="005E7649" w:rsidRPr="00E42A49" w:rsidRDefault="005E7649" w:rsidP="00D14FA7">
            <w:pPr>
              <w:pStyle w:val="C-BodyText"/>
              <w:spacing w:before="40" w:after="40" w:line="240" w:lineRule="auto"/>
              <w:rPr>
                <w:sz w:val="22"/>
                <w:szCs w:val="22"/>
              </w:rPr>
            </w:pPr>
            <w:r w:rsidRPr="00E42A49">
              <w:rPr>
                <w:b/>
                <w:sz w:val="22"/>
                <w:szCs w:val="22"/>
              </w:rPr>
              <w:t>Age Categories, n (%)</w:t>
            </w:r>
          </w:p>
          <w:p w14:paraId="46F51045" w14:textId="1B5228AA" w:rsidR="005E7649" w:rsidRPr="00E42A49" w:rsidRDefault="005E7649" w:rsidP="00D14FA7">
            <w:pPr>
              <w:pStyle w:val="C-BodyText"/>
              <w:spacing w:before="40" w:after="40" w:line="240" w:lineRule="auto"/>
              <w:rPr>
                <w:sz w:val="22"/>
                <w:szCs w:val="22"/>
              </w:rPr>
            </w:pPr>
            <w:r w:rsidRPr="00E42A49">
              <w:rPr>
                <w:sz w:val="22"/>
                <w:szCs w:val="22"/>
              </w:rPr>
              <w:tab/>
            </w:r>
            <w:r w:rsidR="00A92BA5">
              <w:rPr>
                <w:sz w:val="22"/>
                <w:szCs w:val="22"/>
              </w:rPr>
              <w:t>&lt;</w:t>
            </w:r>
            <w:r w:rsidRPr="00E42A49">
              <w:rPr>
                <w:sz w:val="22"/>
                <w:szCs w:val="22"/>
              </w:rPr>
              <w:t>65 years</w:t>
            </w:r>
          </w:p>
          <w:p w14:paraId="427E13F0" w14:textId="086F50BC" w:rsidR="005E7649" w:rsidRPr="00E42A49" w:rsidRDefault="005E7649" w:rsidP="00D14FA7">
            <w:pPr>
              <w:pStyle w:val="C-BodyText"/>
              <w:spacing w:before="40" w:after="40" w:line="240" w:lineRule="auto"/>
              <w:rPr>
                <w:sz w:val="22"/>
                <w:szCs w:val="22"/>
              </w:rPr>
            </w:pPr>
            <w:r w:rsidRPr="00E42A49">
              <w:rPr>
                <w:sz w:val="22"/>
                <w:szCs w:val="22"/>
              </w:rPr>
              <w:tab/>
            </w:r>
            <w:r w:rsidR="00A92BA5">
              <w:rPr>
                <w:rFonts w:ascii="Symbol" w:hAnsi="Symbol"/>
              </w:rPr>
              <w:sym w:font="Symbol" w:char="F0B3"/>
            </w:r>
            <w:r w:rsidRPr="00E42A49">
              <w:rPr>
                <w:sz w:val="22"/>
                <w:szCs w:val="22"/>
              </w:rPr>
              <w:t xml:space="preserve">65 years to </w:t>
            </w:r>
            <w:r w:rsidR="00A92BA5">
              <w:rPr>
                <w:sz w:val="22"/>
                <w:szCs w:val="22"/>
              </w:rPr>
              <w:t>&lt;</w:t>
            </w:r>
            <w:r w:rsidRPr="00E42A49">
              <w:rPr>
                <w:sz w:val="22"/>
                <w:szCs w:val="22"/>
              </w:rPr>
              <w:t>75 years</w:t>
            </w:r>
          </w:p>
          <w:p w14:paraId="79CFB51A" w14:textId="7BB7B1AE" w:rsidR="005E7649" w:rsidRPr="00E42A49" w:rsidRDefault="005E7649" w:rsidP="00D14FA7">
            <w:pPr>
              <w:pStyle w:val="C-BodyText"/>
              <w:spacing w:before="40" w:after="40" w:line="240" w:lineRule="auto"/>
              <w:rPr>
                <w:sz w:val="22"/>
                <w:szCs w:val="22"/>
              </w:rPr>
            </w:pPr>
            <w:r w:rsidRPr="00E42A49">
              <w:rPr>
                <w:sz w:val="22"/>
                <w:szCs w:val="22"/>
              </w:rPr>
              <w:tab/>
            </w:r>
            <w:r w:rsidR="00A92BA5">
              <w:rPr>
                <w:rFonts w:ascii="Symbol" w:hAnsi="Symbol"/>
              </w:rPr>
              <w:sym w:font="Symbol" w:char="F0B3"/>
            </w:r>
            <w:r w:rsidRPr="00E42A49">
              <w:rPr>
                <w:sz w:val="22"/>
                <w:szCs w:val="22"/>
              </w:rPr>
              <w:t>75 years</w:t>
            </w:r>
          </w:p>
        </w:tc>
        <w:tc>
          <w:tcPr>
            <w:tcW w:w="3465" w:type="dxa"/>
            <w:vAlign w:val="center"/>
          </w:tcPr>
          <w:p w14:paraId="30639B43" w14:textId="77777777" w:rsidR="005E7649" w:rsidRPr="00E42A49" w:rsidRDefault="005E7649" w:rsidP="00D14FA7">
            <w:pPr>
              <w:pStyle w:val="C-BodyText"/>
              <w:spacing w:before="40" w:after="40" w:line="240" w:lineRule="auto"/>
              <w:jc w:val="center"/>
              <w:rPr>
                <w:sz w:val="22"/>
                <w:szCs w:val="22"/>
              </w:rPr>
            </w:pPr>
          </w:p>
          <w:p w14:paraId="784813B5"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85 (39.7)</w:t>
            </w:r>
          </w:p>
          <w:p w14:paraId="0028F3B4" w14:textId="77777777" w:rsidR="005E7649" w:rsidRPr="00E42A49" w:rsidRDefault="005E7649" w:rsidP="00D14FA7">
            <w:pPr>
              <w:pStyle w:val="C-BodyText"/>
              <w:spacing w:before="40" w:after="40" w:line="240" w:lineRule="auto"/>
              <w:jc w:val="center"/>
              <w:rPr>
                <w:sz w:val="22"/>
                <w:szCs w:val="22"/>
              </w:rPr>
            </w:pPr>
            <w:r w:rsidRPr="00E42A49">
              <w:rPr>
                <w:sz w:val="22"/>
                <w:szCs w:val="22"/>
              </w:rPr>
              <w:t>78 (36.4)</w:t>
            </w:r>
          </w:p>
          <w:p w14:paraId="3E19F810"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51 (23.8)</w:t>
            </w:r>
          </w:p>
        </w:tc>
      </w:tr>
      <w:tr w:rsidR="005E7649" w:rsidRPr="00E42A49" w14:paraId="337D2594" w14:textId="77777777" w:rsidTr="00A06E4F">
        <w:tc>
          <w:tcPr>
            <w:tcW w:w="5895" w:type="dxa"/>
          </w:tcPr>
          <w:p w14:paraId="29492472" w14:textId="77777777" w:rsidR="005E7649" w:rsidRPr="00E42A49" w:rsidRDefault="005E7649" w:rsidP="00D14FA7">
            <w:pPr>
              <w:pStyle w:val="C-BodyText"/>
              <w:spacing w:before="40" w:after="40" w:line="240" w:lineRule="auto"/>
              <w:rPr>
                <w:b/>
                <w:sz w:val="22"/>
                <w:szCs w:val="22"/>
              </w:rPr>
            </w:pPr>
            <w:r w:rsidRPr="00E42A49">
              <w:rPr>
                <w:b/>
                <w:sz w:val="22"/>
                <w:szCs w:val="22"/>
              </w:rPr>
              <w:t>Sex, n (%)</w:t>
            </w:r>
          </w:p>
          <w:p w14:paraId="7607E175" w14:textId="77777777" w:rsidR="005E7649" w:rsidRPr="00E42A49" w:rsidRDefault="005E7649" w:rsidP="00D14FA7">
            <w:pPr>
              <w:pStyle w:val="C-BodyText"/>
              <w:spacing w:before="40" w:after="40" w:line="240" w:lineRule="auto"/>
              <w:rPr>
                <w:sz w:val="22"/>
                <w:szCs w:val="22"/>
              </w:rPr>
            </w:pPr>
            <w:r w:rsidRPr="00E42A49">
              <w:rPr>
                <w:sz w:val="22"/>
                <w:szCs w:val="22"/>
              </w:rPr>
              <w:tab/>
              <w:t>Male</w:t>
            </w:r>
          </w:p>
          <w:p w14:paraId="2761409D" w14:textId="77777777" w:rsidR="005E7649" w:rsidRPr="00E42A49" w:rsidRDefault="005E7649" w:rsidP="00D14FA7">
            <w:pPr>
              <w:pStyle w:val="C-BodyText"/>
              <w:spacing w:before="40" w:after="40" w:line="240" w:lineRule="auto"/>
              <w:rPr>
                <w:sz w:val="22"/>
                <w:szCs w:val="22"/>
              </w:rPr>
            </w:pPr>
            <w:r w:rsidRPr="00E42A49">
              <w:rPr>
                <w:sz w:val="22"/>
                <w:szCs w:val="22"/>
              </w:rPr>
              <w:tab/>
              <w:t>Female</w:t>
            </w:r>
          </w:p>
        </w:tc>
        <w:tc>
          <w:tcPr>
            <w:tcW w:w="3465" w:type="dxa"/>
            <w:vAlign w:val="center"/>
          </w:tcPr>
          <w:p w14:paraId="58F88B4B" w14:textId="77777777" w:rsidR="005E7649" w:rsidRPr="00E42A49" w:rsidRDefault="005E7649" w:rsidP="00D14FA7">
            <w:pPr>
              <w:pStyle w:val="C-BodyText"/>
              <w:spacing w:before="40" w:after="40" w:line="240" w:lineRule="auto"/>
              <w:jc w:val="center"/>
              <w:rPr>
                <w:rFonts w:eastAsia="MS Mincho"/>
                <w:color w:val="000000"/>
                <w:sz w:val="22"/>
                <w:szCs w:val="22"/>
              </w:rPr>
            </w:pPr>
          </w:p>
          <w:p w14:paraId="5204A84B"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109 (50.9)</w:t>
            </w:r>
          </w:p>
          <w:p w14:paraId="17B91C3E"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105 (49.1)</w:t>
            </w:r>
          </w:p>
        </w:tc>
      </w:tr>
      <w:tr w:rsidR="005E7649" w:rsidRPr="00E42A49" w14:paraId="7D89C765" w14:textId="77777777" w:rsidTr="00A06E4F">
        <w:tc>
          <w:tcPr>
            <w:tcW w:w="5895" w:type="dxa"/>
          </w:tcPr>
          <w:p w14:paraId="63177B4D" w14:textId="77777777" w:rsidR="005E7649" w:rsidRPr="00E42A49" w:rsidRDefault="005E7649" w:rsidP="00D14FA7">
            <w:pPr>
              <w:pStyle w:val="C-BodyText"/>
              <w:spacing w:before="40" w:after="40" w:line="240" w:lineRule="auto"/>
              <w:rPr>
                <w:b/>
                <w:sz w:val="22"/>
                <w:szCs w:val="22"/>
              </w:rPr>
            </w:pPr>
            <w:r w:rsidRPr="00E42A49">
              <w:rPr>
                <w:b/>
                <w:sz w:val="22"/>
                <w:szCs w:val="22"/>
              </w:rPr>
              <w:t>Race, n (%)</w:t>
            </w:r>
          </w:p>
          <w:p w14:paraId="16E21F54" w14:textId="77777777" w:rsidR="005E7649" w:rsidRPr="00E42A49" w:rsidRDefault="005E7649" w:rsidP="00D14FA7">
            <w:pPr>
              <w:pStyle w:val="C-BodyText"/>
              <w:spacing w:before="40" w:after="40" w:line="240" w:lineRule="auto"/>
              <w:rPr>
                <w:sz w:val="22"/>
                <w:szCs w:val="22"/>
              </w:rPr>
            </w:pPr>
            <w:r w:rsidRPr="00E42A49">
              <w:rPr>
                <w:sz w:val="22"/>
                <w:szCs w:val="22"/>
              </w:rPr>
              <w:tab/>
              <w:t>White</w:t>
            </w:r>
          </w:p>
          <w:p w14:paraId="7BD891A2" w14:textId="77777777" w:rsidR="005E7649" w:rsidRPr="00E42A49" w:rsidRDefault="005E7649" w:rsidP="00D14FA7">
            <w:pPr>
              <w:pStyle w:val="C-BodyText"/>
              <w:spacing w:before="40" w:after="40" w:line="240" w:lineRule="auto"/>
              <w:rPr>
                <w:sz w:val="22"/>
                <w:szCs w:val="22"/>
              </w:rPr>
            </w:pPr>
            <w:r w:rsidRPr="00E42A49">
              <w:rPr>
                <w:sz w:val="22"/>
                <w:szCs w:val="22"/>
              </w:rPr>
              <w:tab/>
              <w:t>Black</w:t>
            </w:r>
          </w:p>
          <w:p w14:paraId="3E57F5ED" w14:textId="77777777" w:rsidR="005E7649" w:rsidRPr="00E42A49" w:rsidRDefault="005E7649" w:rsidP="00D14FA7">
            <w:pPr>
              <w:pStyle w:val="C-BodyText"/>
              <w:spacing w:before="40" w:after="40" w:line="240" w:lineRule="auto"/>
              <w:rPr>
                <w:sz w:val="22"/>
                <w:szCs w:val="22"/>
              </w:rPr>
            </w:pPr>
            <w:r w:rsidRPr="00E42A49">
              <w:rPr>
                <w:sz w:val="22"/>
                <w:szCs w:val="22"/>
              </w:rPr>
              <w:tab/>
              <w:t>Asian</w:t>
            </w:r>
          </w:p>
          <w:p w14:paraId="4F826B86" w14:textId="77777777" w:rsidR="005E7649" w:rsidRPr="00E42A49" w:rsidRDefault="005E7649" w:rsidP="00D14FA7">
            <w:pPr>
              <w:pStyle w:val="C-BodyText"/>
              <w:spacing w:before="40" w:after="40" w:line="240" w:lineRule="auto"/>
              <w:rPr>
                <w:sz w:val="22"/>
                <w:szCs w:val="22"/>
              </w:rPr>
            </w:pPr>
            <w:r w:rsidRPr="00E42A49">
              <w:rPr>
                <w:sz w:val="22"/>
                <w:szCs w:val="22"/>
              </w:rPr>
              <w:tab/>
              <w:t>Native Hawaiian/Other Pacific Islander</w:t>
            </w:r>
          </w:p>
          <w:p w14:paraId="5963D922" w14:textId="77777777" w:rsidR="005E7649" w:rsidRPr="00E42A49" w:rsidRDefault="005E7649" w:rsidP="00D14FA7">
            <w:pPr>
              <w:pStyle w:val="C-BodyText"/>
              <w:spacing w:before="40" w:after="40" w:line="240" w:lineRule="auto"/>
              <w:rPr>
                <w:sz w:val="22"/>
                <w:szCs w:val="22"/>
              </w:rPr>
            </w:pPr>
            <w:r w:rsidRPr="00E42A49">
              <w:rPr>
                <w:sz w:val="22"/>
                <w:szCs w:val="22"/>
              </w:rPr>
              <w:tab/>
              <w:t>Other / Not Provided</w:t>
            </w:r>
          </w:p>
        </w:tc>
        <w:tc>
          <w:tcPr>
            <w:tcW w:w="3465" w:type="dxa"/>
            <w:vAlign w:val="center"/>
          </w:tcPr>
          <w:p w14:paraId="668DC4F1" w14:textId="77777777" w:rsidR="005E7649" w:rsidRPr="00E42A49" w:rsidRDefault="005E7649" w:rsidP="00D14FA7">
            <w:pPr>
              <w:pStyle w:val="C-BodyText"/>
              <w:spacing w:before="40" w:after="40" w:line="240" w:lineRule="auto"/>
              <w:jc w:val="center"/>
              <w:rPr>
                <w:rFonts w:eastAsia="MS Mincho"/>
                <w:color w:val="000000"/>
                <w:sz w:val="22"/>
                <w:szCs w:val="22"/>
              </w:rPr>
            </w:pPr>
          </w:p>
          <w:p w14:paraId="67C9385A"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164 (76.6)</w:t>
            </w:r>
          </w:p>
          <w:p w14:paraId="2D83B6A1"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12 (5.6)</w:t>
            </w:r>
          </w:p>
          <w:p w14:paraId="3102017A"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 (0.5)</w:t>
            </w:r>
          </w:p>
          <w:p w14:paraId="34FF67A2"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 (0.5)</w:t>
            </w:r>
          </w:p>
          <w:p w14:paraId="4537822D"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36 (16.8)</w:t>
            </w:r>
          </w:p>
        </w:tc>
      </w:tr>
      <w:tr w:rsidR="005E7649" w:rsidRPr="00E42A49" w14:paraId="616C7474" w14:textId="77777777" w:rsidTr="00A06E4F">
        <w:tc>
          <w:tcPr>
            <w:tcW w:w="9360" w:type="dxa"/>
            <w:gridSpan w:val="2"/>
            <w:shd w:val="clear" w:color="auto" w:fill="D9D9D9" w:themeFill="background1" w:themeFillShade="D9"/>
          </w:tcPr>
          <w:p w14:paraId="29B35FBC" w14:textId="77777777" w:rsidR="005E7649" w:rsidRPr="00E42A49" w:rsidRDefault="005E7649" w:rsidP="00D14FA7">
            <w:pPr>
              <w:pStyle w:val="C-BodyText"/>
              <w:spacing w:before="40" w:after="40" w:line="240" w:lineRule="auto"/>
              <w:rPr>
                <w:b/>
                <w:sz w:val="22"/>
                <w:szCs w:val="22"/>
              </w:rPr>
            </w:pPr>
            <w:r w:rsidRPr="00E42A49">
              <w:rPr>
                <w:b/>
                <w:sz w:val="22"/>
                <w:szCs w:val="22"/>
              </w:rPr>
              <w:t>Disease Characteristics, n (%)</w:t>
            </w:r>
          </w:p>
        </w:tc>
      </w:tr>
      <w:tr w:rsidR="005E7649" w:rsidRPr="00E42A49" w14:paraId="12529F8E" w14:textId="77777777" w:rsidTr="00A06E4F">
        <w:tc>
          <w:tcPr>
            <w:tcW w:w="5895" w:type="dxa"/>
          </w:tcPr>
          <w:p w14:paraId="18BC7915" w14:textId="77777777" w:rsidR="005E7649" w:rsidRPr="00E42A49" w:rsidRDefault="005E7649" w:rsidP="00D14FA7">
            <w:pPr>
              <w:pStyle w:val="C-BodyText"/>
              <w:spacing w:before="40" w:after="40" w:line="240" w:lineRule="auto"/>
              <w:rPr>
                <w:b/>
                <w:sz w:val="22"/>
                <w:szCs w:val="22"/>
              </w:rPr>
            </w:pPr>
            <w:r w:rsidRPr="00E42A49">
              <w:rPr>
                <w:b/>
                <w:sz w:val="22"/>
                <w:szCs w:val="22"/>
              </w:rPr>
              <w:lastRenderedPageBreak/>
              <w:t>ECOG PS</w:t>
            </w:r>
            <w:r w:rsidRPr="00E42A49">
              <w:rPr>
                <w:b/>
                <w:sz w:val="22"/>
                <w:szCs w:val="22"/>
                <w:vertAlign w:val="superscript"/>
              </w:rPr>
              <w:t xml:space="preserve"> a</w:t>
            </w:r>
            <w:r w:rsidRPr="00E42A49">
              <w:rPr>
                <w:b/>
                <w:sz w:val="22"/>
                <w:szCs w:val="22"/>
              </w:rPr>
              <w:t>, n (%)</w:t>
            </w:r>
          </w:p>
          <w:p w14:paraId="117DE689" w14:textId="77777777" w:rsidR="005E7649" w:rsidRPr="00E42A49" w:rsidRDefault="005E7649" w:rsidP="00D14FA7">
            <w:pPr>
              <w:pStyle w:val="C-BodyText"/>
              <w:spacing w:before="40" w:after="40" w:line="240" w:lineRule="auto"/>
              <w:rPr>
                <w:sz w:val="22"/>
                <w:szCs w:val="22"/>
              </w:rPr>
            </w:pPr>
            <w:r w:rsidRPr="00E42A49">
              <w:rPr>
                <w:sz w:val="22"/>
                <w:szCs w:val="22"/>
              </w:rPr>
              <w:tab/>
              <w:t>0</w:t>
            </w:r>
          </w:p>
          <w:p w14:paraId="2601C952" w14:textId="77777777" w:rsidR="005E7649" w:rsidRPr="00E42A49" w:rsidRDefault="005E7649" w:rsidP="00D14FA7">
            <w:pPr>
              <w:pStyle w:val="C-BodyText"/>
              <w:spacing w:before="40" w:after="40" w:line="240" w:lineRule="auto"/>
              <w:rPr>
                <w:sz w:val="22"/>
                <w:szCs w:val="22"/>
              </w:rPr>
            </w:pPr>
            <w:r w:rsidRPr="00E42A49">
              <w:rPr>
                <w:sz w:val="22"/>
                <w:szCs w:val="22"/>
              </w:rPr>
              <w:tab/>
              <w:t>1</w:t>
            </w:r>
          </w:p>
          <w:p w14:paraId="2D95276E" w14:textId="77777777" w:rsidR="005E7649" w:rsidRPr="00E42A49" w:rsidRDefault="005E7649" w:rsidP="00D14FA7">
            <w:pPr>
              <w:pStyle w:val="C-BodyText"/>
              <w:spacing w:before="40" w:after="40" w:line="240" w:lineRule="auto"/>
              <w:rPr>
                <w:sz w:val="22"/>
                <w:szCs w:val="22"/>
              </w:rPr>
            </w:pPr>
            <w:r w:rsidRPr="00E42A49">
              <w:rPr>
                <w:sz w:val="22"/>
                <w:szCs w:val="22"/>
              </w:rPr>
              <w:tab/>
              <w:t>2</w:t>
            </w:r>
          </w:p>
        </w:tc>
        <w:tc>
          <w:tcPr>
            <w:tcW w:w="3465" w:type="dxa"/>
            <w:vAlign w:val="center"/>
          </w:tcPr>
          <w:p w14:paraId="4E167C3B" w14:textId="77777777" w:rsidR="005E7649" w:rsidRPr="00E42A49" w:rsidRDefault="005E7649" w:rsidP="00D14FA7">
            <w:pPr>
              <w:pStyle w:val="C-BodyText"/>
              <w:spacing w:before="40" w:after="40" w:line="240" w:lineRule="auto"/>
              <w:rPr>
                <w:rFonts w:eastAsia="MS Mincho"/>
                <w:color w:val="000000"/>
                <w:sz w:val="22"/>
                <w:szCs w:val="22"/>
              </w:rPr>
            </w:pPr>
          </w:p>
          <w:p w14:paraId="4FA8B208"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49 (22.9)</w:t>
            </w:r>
          </w:p>
          <w:p w14:paraId="15C2CB81"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132 (61.7)</w:t>
            </w:r>
          </w:p>
          <w:p w14:paraId="6D05CB3C"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32 (15.0)</w:t>
            </w:r>
          </w:p>
        </w:tc>
      </w:tr>
      <w:tr w:rsidR="005E7649" w:rsidRPr="00E42A49" w14:paraId="7505E682" w14:textId="77777777" w:rsidTr="00A06E4F">
        <w:tc>
          <w:tcPr>
            <w:tcW w:w="5895" w:type="dxa"/>
          </w:tcPr>
          <w:p w14:paraId="06BFCDA7" w14:textId="77777777" w:rsidR="005E7649" w:rsidRPr="00E42A49" w:rsidRDefault="005E7649" w:rsidP="00D14FA7">
            <w:pPr>
              <w:pStyle w:val="C-BodyText"/>
              <w:spacing w:before="40" w:after="40" w:line="240" w:lineRule="auto"/>
              <w:rPr>
                <w:sz w:val="22"/>
                <w:szCs w:val="22"/>
              </w:rPr>
            </w:pPr>
            <w:r w:rsidRPr="00E42A49">
              <w:rPr>
                <w:b/>
                <w:sz w:val="22"/>
                <w:szCs w:val="22"/>
              </w:rPr>
              <w:t>Relapsed AML, n (%)</w:t>
            </w:r>
          </w:p>
          <w:p w14:paraId="07412297" w14:textId="77777777" w:rsidR="005E7649" w:rsidRPr="00E42A49" w:rsidRDefault="005E7649" w:rsidP="00D14FA7">
            <w:pPr>
              <w:pStyle w:val="C-BodyText"/>
              <w:spacing w:before="40" w:after="40" w:line="240" w:lineRule="auto"/>
              <w:rPr>
                <w:sz w:val="22"/>
                <w:szCs w:val="22"/>
              </w:rPr>
            </w:pPr>
            <w:r w:rsidRPr="00E42A49">
              <w:rPr>
                <w:b/>
                <w:sz w:val="22"/>
                <w:szCs w:val="22"/>
              </w:rPr>
              <w:t>Refractory AML, n (%)</w:t>
            </w:r>
          </w:p>
        </w:tc>
        <w:tc>
          <w:tcPr>
            <w:tcW w:w="3465" w:type="dxa"/>
            <w:vAlign w:val="center"/>
          </w:tcPr>
          <w:p w14:paraId="68D8A0B1" w14:textId="77777777" w:rsidR="005E7649" w:rsidRPr="00E42A49" w:rsidRDefault="005E7649" w:rsidP="00D14FA7">
            <w:pPr>
              <w:pStyle w:val="C-BodyText"/>
              <w:spacing w:before="40" w:after="40" w:line="240" w:lineRule="auto"/>
              <w:jc w:val="center"/>
              <w:rPr>
                <w:color w:val="000000"/>
                <w:sz w:val="22"/>
                <w:szCs w:val="22"/>
              </w:rPr>
            </w:pPr>
            <w:r w:rsidRPr="00E42A49">
              <w:rPr>
                <w:color w:val="000000"/>
                <w:sz w:val="22"/>
                <w:szCs w:val="22"/>
              </w:rPr>
              <w:t xml:space="preserve">130 (60.7) </w:t>
            </w:r>
          </w:p>
          <w:p w14:paraId="59999C16" w14:textId="77777777" w:rsidR="005E7649" w:rsidRPr="00E42A49" w:rsidRDefault="005E7649" w:rsidP="00D14FA7">
            <w:pPr>
              <w:pStyle w:val="C-BodyText"/>
              <w:spacing w:before="40" w:after="40" w:line="240" w:lineRule="auto"/>
              <w:jc w:val="center"/>
              <w:rPr>
                <w:color w:val="000000"/>
                <w:sz w:val="22"/>
                <w:szCs w:val="22"/>
              </w:rPr>
            </w:pPr>
            <w:r w:rsidRPr="00E42A49">
              <w:rPr>
                <w:color w:val="000000"/>
                <w:sz w:val="22"/>
                <w:szCs w:val="22"/>
              </w:rPr>
              <w:t>84 (39.3)</w:t>
            </w:r>
          </w:p>
        </w:tc>
      </w:tr>
      <w:tr w:rsidR="005E7649" w:rsidRPr="00E42A49" w14:paraId="519FCEE5" w14:textId="77777777" w:rsidTr="00A06E4F">
        <w:tc>
          <w:tcPr>
            <w:tcW w:w="5895" w:type="dxa"/>
          </w:tcPr>
          <w:p w14:paraId="7E69065A" w14:textId="77777777" w:rsidR="005E7649" w:rsidRPr="00E42A49" w:rsidRDefault="005E7649" w:rsidP="00D14FA7">
            <w:pPr>
              <w:pStyle w:val="C-BodyText"/>
              <w:spacing w:before="40" w:after="40" w:line="240" w:lineRule="auto"/>
              <w:rPr>
                <w:b/>
                <w:sz w:val="22"/>
                <w:szCs w:val="22"/>
              </w:rPr>
            </w:pPr>
            <w:r w:rsidRPr="00E42A49">
              <w:rPr>
                <w:b/>
                <w:sz w:val="22"/>
                <w:szCs w:val="22"/>
              </w:rPr>
              <w:t>IDH2 Mutation</w:t>
            </w:r>
            <w:r w:rsidRPr="00E42A49">
              <w:rPr>
                <w:sz w:val="22"/>
                <w:szCs w:val="22"/>
                <w:vertAlign w:val="superscript"/>
              </w:rPr>
              <w:t xml:space="preserve"> </w:t>
            </w:r>
            <w:r w:rsidRPr="00E42A49">
              <w:rPr>
                <w:b/>
                <w:sz w:val="22"/>
                <w:szCs w:val="22"/>
                <w:vertAlign w:val="superscript"/>
              </w:rPr>
              <w:t>b</w:t>
            </w:r>
            <w:r w:rsidRPr="00E42A49">
              <w:rPr>
                <w:b/>
                <w:sz w:val="22"/>
                <w:szCs w:val="22"/>
              </w:rPr>
              <w:t>, n (%)</w:t>
            </w:r>
          </w:p>
          <w:p w14:paraId="1E25B816" w14:textId="77777777" w:rsidR="005E7649" w:rsidRPr="00E42A49" w:rsidRDefault="005E7649" w:rsidP="00D14FA7">
            <w:pPr>
              <w:pStyle w:val="C-BodyText"/>
              <w:spacing w:before="40" w:after="40" w:line="240" w:lineRule="auto"/>
              <w:rPr>
                <w:sz w:val="22"/>
                <w:szCs w:val="22"/>
              </w:rPr>
            </w:pPr>
            <w:r w:rsidRPr="00E42A49">
              <w:rPr>
                <w:sz w:val="22"/>
                <w:szCs w:val="22"/>
              </w:rPr>
              <w:tab/>
              <w:t>R140</w:t>
            </w:r>
          </w:p>
          <w:p w14:paraId="2813F48B" w14:textId="77777777" w:rsidR="005E7649" w:rsidRPr="00E42A49" w:rsidRDefault="005E7649" w:rsidP="00D14FA7">
            <w:pPr>
              <w:pStyle w:val="C-BodyText"/>
              <w:spacing w:before="40" w:after="40" w:line="240" w:lineRule="auto"/>
              <w:rPr>
                <w:sz w:val="22"/>
                <w:szCs w:val="22"/>
              </w:rPr>
            </w:pPr>
            <w:r w:rsidRPr="00E42A49">
              <w:rPr>
                <w:sz w:val="22"/>
                <w:szCs w:val="22"/>
              </w:rPr>
              <w:tab/>
              <w:t>R172</w:t>
            </w:r>
          </w:p>
          <w:p w14:paraId="20993617" w14:textId="77777777" w:rsidR="005E7649" w:rsidRPr="00E42A49" w:rsidRDefault="005E7649" w:rsidP="00D14FA7">
            <w:pPr>
              <w:pStyle w:val="C-BodyText"/>
              <w:spacing w:before="40" w:after="40" w:line="240" w:lineRule="auto"/>
              <w:rPr>
                <w:sz w:val="22"/>
                <w:szCs w:val="22"/>
              </w:rPr>
            </w:pPr>
            <w:r w:rsidRPr="00E42A49">
              <w:rPr>
                <w:sz w:val="22"/>
                <w:szCs w:val="22"/>
              </w:rPr>
              <w:tab/>
            </w:r>
            <w:proofErr w:type="spellStart"/>
            <w:r w:rsidRPr="00E42A49">
              <w:rPr>
                <w:sz w:val="22"/>
                <w:szCs w:val="22"/>
              </w:rPr>
              <w:t>Missing</w:t>
            </w:r>
            <w:r w:rsidRPr="00E42A49">
              <w:rPr>
                <w:sz w:val="22"/>
                <w:szCs w:val="22"/>
                <w:vertAlign w:val="superscript"/>
              </w:rPr>
              <w:t>c</w:t>
            </w:r>
            <w:proofErr w:type="spellEnd"/>
          </w:p>
        </w:tc>
        <w:tc>
          <w:tcPr>
            <w:tcW w:w="3465" w:type="dxa"/>
            <w:vAlign w:val="center"/>
          </w:tcPr>
          <w:p w14:paraId="30BCCFAC" w14:textId="77777777" w:rsidR="005E7649" w:rsidRPr="00E42A49" w:rsidRDefault="005E7649" w:rsidP="00D14FA7">
            <w:pPr>
              <w:pStyle w:val="C-BodyText"/>
              <w:spacing w:before="40" w:after="40" w:line="240" w:lineRule="auto"/>
              <w:jc w:val="center"/>
              <w:rPr>
                <w:rFonts w:eastAsia="MS Mincho"/>
                <w:color w:val="000000"/>
                <w:sz w:val="22"/>
                <w:szCs w:val="22"/>
              </w:rPr>
            </w:pPr>
          </w:p>
          <w:p w14:paraId="5677BF9E"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162 (75.7)</w:t>
            </w:r>
          </w:p>
          <w:p w14:paraId="4AFEEAD6"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51 (23.8)</w:t>
            </w:r>
          </w:p>
          <w:p w14:paraId="3083F6CC" w14:textId="77777777" w:rsidR="005E7649" w:rsidRPr="00E42A49" w:rsidRDefault="005E7649" w:rsidP="00D14FA7">
            <w:pPr>
              <w:pStyle w:val="C-BodyText"/>
              <w:spacing w:before="40" w:after="40" w:line="240" w:lineRule="auto"/>
              <w:jc w:val="center"/>
              <w:rPr>
                <w:rFonts w:eastAsia="MS Mincho"/>
                <w:color w:val="000000"/>
                <w:sz w:val="22"/>
                <w:szCs w:val="22"/>
              </w:rPr>
            </w:pPr>
            <w:r w:rsidRPr="00E42A49">
              <w:rPr>
                <w:rFonts w:eastAsia="MS Mincho"/>
                <w:color w:val="000000"/>
                <w:sz w:val="22"/>
                <w:szCs w:val="22"/>
              </w:rPr>
              <w:t>1 (0.5)</w:t>
            </w:r>
          </w:p>
        </w:tc>
      </w:tr>
      <w:tr w:rsidR="005E7649" w:rsidRPr="00E42A49" w14:paraId="556608D6" w14:textId="77777777" w:rsidTr="00A06E4F">
        <w:tc>
          <w:tcPr>
            <w:tcW w:w="5895" w:type="dxa"/>
          </w:tcPr>
          <w:p w14:paraId="7AD0F869" w14:textId="77777777" w:rsidR="005E7649" w:rsidRPr="00E42A49" w:rsidRDefault="005E7649" w:rsidP="00D14FA7">
            <w:pPr>
              <w:pStyle w:val="C-BodyText"/>
              <w:spacing w:before="40" w:after="40" w:line="240" w:lineRule="auto"/>
              <w:rPr>
                <w:b/>
                <w:sz w:val="22"/>
                <w:szCs w:val="22"/>
              </w:rPr>
            </w:pPr>
            <w:r w:rsidRPr="00E42A49">
              <w:rPr>
                <w:b/>
                <w:sz w:val="22"/>
                <w:szCs w:val="22"/>
              </w:rPr>
              <w:t>Time from Initial AML Diagnosis (months)</w:t>
            </w:r>
          </w:p>
          <w:p w14:paraId="3DD6D073" w14:textId="77777777" w:rsidR="005E7649" w:rsidRPr="00E42A49" w:rsidRDefault="005E7649" w:rsidP="00D14FA7">
            <w:pPr>
              <w:pStyle w:val="C-BodyText"/>
              <w:spacing w:before="40" w:after="40" w:line="240" w:lineRule="auto"/>
              <w:rPr>
                <w:sz w:val="22"/>
                <w:szCs w:val="22"/>
              </w:rPr>
            </w:pPr>
            <w:r w:rsidRPr="00E42A49">
              <w:rPr>
                <w:sz w:val="22"/>
                <w:szCs w:val="22"/>
              </w:rPr>
              <w:tab/>
              <w:t>Median (min, max) (179 patients)</w:t>
            </w:r>
          </w:p>
        </w:tc>
        <w:tc>
          <w:tcPr>
            <w:tcW w:w="3465" w:type="dxa"/>
            <w:vAlign w:val="center"/>
          </w:tcPr>
          <w:p w14:paraId="7507B2CD" w14:textId="77777777" w:rsidR="005E7649" w:rsidRPr="00E42A49" w:rsidRDefault="005E7649" w:rsidP="00D14FA7">
            <w:pPr>
              <w:pStyle w:val="C-BodyText"/>
              <w:spacing w:before="40" w:after="40" w:line="240" w:lineRule="auto"/>
              <w:jc w:val="center"/>
              <w:rPr>
                <w:color w:val="000000"/>
                <w:sz w:val="22"/>
                <w:szCs w:val="22"/>
              </w:rPr>
            </w:pPr>
            <w:r w:rsidRPr="00E42A49">
              <w:rPr>
                <w:color w:val="000000"/>
                <w:sz w:val="22"/>
                <w:szCs w:val="22"/>
              </w:rPr>
              <w:t>10.4</w:t>
            </w:r>
          </w:p>
          <w:p w14:paraId="4363594F" w14:textId="77777777" w:rsidR="005E7649" w:rsidRPr="00E42A49" w:rsidRDefault="005E7649" w:rsidP="00D14FA7">
            <w:pPr>
              <w:pStyle w:val="C-BodyText"/>
              <w:spacing w:before="40" w:after="40" w:line="240" w:lineRule="auto"/>
              <w:jc w:val="center"/>
              <w:rPr>
                <w:sz w:val="22"/>
                <w:szCs w:val="22"/>
              </w:rPr>
            </w:pPr>
            <w:r w:rsidRPr="00E42A49">
              <w:rPr>
                <w:color w:val="000000"/>
                <w:sz w:val="22"/>
                <w:szCs w:val="22"/>
              </w:rPr>
              <w:t>(1.2, 129.1)</w:t>
            </w:r>
          </w:p>
        </w:tc>
      </w:tr>
      <w:tr w:rsidR="005E7649" w:rsidRPr="00E42A49" w14:paraId="4306BE62" w14:textId="77777777" w:rsidTr="00A06E4F">
        <w:tc>
          <w:tcPr>
            <w:tcW w:w="5895" w:type="dxa"/>
          </w:tcPr>
          <w:p w14:paraId="466DCB1D" w14:textId="77777777" w:rsidR="005E7649" w:rsidRPr="00E42A49" w:rsidRDefault="005E7649" w:rsidP="00D14FA7">
            <w:pPr>
              <w:pStyle w:val="C-BodyText"/>
              <w:spacing w:before="40" w:after="40" w:line="240" w:lineRule="auto"/>
              <w:rPr>
                <w:b/>
                <w:sz w:val="22"/>
                <w:szCs w:val="22"/>
              </w:rPr>
            </w:pPr>
            <w:r w:rsidRPr="00E42A49">
              <w:rPr>
                <w:b/>
                <w:sz w:val="22"/>
                <w:szCs w:val="22"/>
              </w:rPr>
              <w:t>Cytogenetic Risk Status, n (%)</w:t>
            </w:r>
          </w:p>
          <w:p w14:paraId="7D15FB69" w14:textId="77777777" w:rsidR="005E7649" w:rsidRPr="00E42A49" w:rsidRDefault="005E7649" w:rsidP="00D14FA7">
            <w:pPr>
              <w:pStyle w:val="C-BodyText"/>
              <w:spacing w:before="40" w:after="40" w:line="240" w:lineRule="auto"/>
              <w:rPr>
                <w:sz w:val="22"/>
                <w:szCs w:val="22"/>
              </w:rPr>
            </w:pPr>
            <w:r w:rsidRPr="00E42A49">
              <w:rPr>
                <w:sz w:val="22"/>
                <w:szCs w:val="22"/>
              </w:rPr>
              <w:tab/>
              <w:t xml:space="preserve">Intermediate </w:t>
            </w:r>
          </w:p>
          <w:p w14:paraId="4F5AF037" w14:textId="77777777" w:rsidR="005E7649" w:rsidRPr="00E42A49" w:rsidRDefault="005E7649" w:rsidP="00D14FA7">
            <w:pPr>
              <w:pStyle w:val="C-BodyText"/>
              <w:spacing w:before="40" w:after="40" w:line="240" w:lineRule="auto"/>
              <w:rPr>
                <w:sz w:val="22"/>
                <w:szCs w:val="22"/>
              </w:rPr>
            </w:pPr>
            <w:r w:rsidRPr="00E42A49">
              <w:rPr>
                <w:sz w:val="22"/>
                <w:szCs w:val="22"/>
              </w:rPr>
              <w:tab/>
              <w:t>Poor</w:t>
            </w:r>
          </w:p>
          <w:p w14:paraId="6EBE5E98" w14:textId="77777777" w:rsidR="005E7649" w:rsidRPr="00E42A49" w:rsidRDefault="005E7649" w:rsidP="00D14FA7">
            <w:pPr>
              <w:pStyle w:val="C-BodyText"/>
              <w:spacing w:before="40" w:after="40" w:line="240" w:lineRule="auto"/>
              <w:rPr>
                <w:sz w:val="22"/>
                <w:szCs w:val="22"/>
              </w:rPr>
            </w:pPr>
            <w:r w:rsidRPr="00E42A49">
              <w:rPr>
                <w:sz w:val="22"/>
                <w:szCs w:val="22"/>
              </w:rPr>
              <w:tab/>
              <w:t>Missing /Failure</w:t>
            </w:r>
          </w:p>
        </w:tc>
        <w:tc>
          <w:tcPr>
            <w:tcW w:w="3465" w:type="dxa"/>
            <w:vAlign w:val="center"/>
          </w:tcPr>
          <w:p w14:paraId="183FEDA6" w14:textId="77777777" w:rsidR="005E7649" w:rsidRPr="00E42A49" w:rsidRDefault="005E7649" w:rsidP="00D14FA7">
            <w:pPr>
              <w:pStyle w:val="C-BodyText"/>
              <w:spacing w:before="40" w:after="40" w:line="240" w:lineRule="auto"/>
              <w:jc w:val="center"/>
              <w:rPr>
                <w:rFonts w:eastAsia="MS Mincho"/>
                <w:color w:val="000000"/>
                <w:sz w:val="22"/>
                <w:szCs w:val="22"/>
              </w:rPr>
            </w:pPr>
          </w:p>
          <w:p w14:paraId="678CB9AA"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108 (50.5)</w:t>
            </w:r>
          </w:p>
          <w:p w14:paraId="1CBBB016"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55 (25.7)</w:t>
            </w:r>
          </w:p>
          <w:p w14:paraId="675F0319" w14:textId="77777777" w:rsidR="005E7649" w:rsidRPr="00E42A49" w:rsidRDefault="005E7649" w:rsidP="00D14FA7">
            <w:pPr>
              <w:pStyle w:val="C-BodyText"/>
              <w:spacing w:before="40" w:after="40" w:line="240" w:lineRule="auto"/>
              <w:jc w:val="center"/>
              <w:rPr>
                <w:sz w:val="22"/>
                <w:szCs w:val="22"/>
              </w:rPr>
            </w:pPr>
            <w:r w:rsidRPr="00E42A49">
              <w:rPr>
                <w:sz w:val="22"/>
                <w:szCs w:val="22"/>
              </w:rPr>
              <w:t>51 (23.8)</w:t>
            </w:r>
          </w:p>
        </w:tc>
      </w:tr>
      <w:tr w:rsidR="005E7649" w:rsidRPr="00E42A49" w14:paraId="6ACB827E" w14:textId="77777777" w:rsidTr="00A06E4F">
        <w:tc>
          <w:tcPr>
            <w:tcW w:w="5895" w:type="dxa"/>
          </w:tcPr>
          <w:p w14:paraId="74C28972" w14:textId="77777777" w:rsidR="005E7649" w:rsidRPr="00E42A49" w:rsidRDefault="005E7649" w:rsidP="00D14FA7">
            <w:pPr>
              <w:pStyle w:val="C-BodyText"/>
              <w:spacing w:before="40" w:after="40" w:line="240" w:lineRule="auto"/>
              <w:rPr>
                <w:b/>
                <w:sz w:val="22"/>
                <w:szCs w:val="22"/>
              </w:rPr>
            </w:pPr>
            <w:r w:rsidRPr="00E42A49">
              <w:rPr>
                <w:b/>
                <w:sz w:val="22"/>
                <w:szCs w:val="22"/>
              </w:rPr>
              <w:t>Prior Stem Cell Transplantation for AML, n (%)</w:t>
            </w:r>
          </w:p>
        </w:tc>
        <w:tc>
          <w:tcPr>
            <w:tcW w:w="3465" w:type="dxa"/>
            <w:vAlign w:val="center"/>
          </w:tcPr>
          <w:p w14:paraId="661FBE11" w14:textId="77777777" w:rsidR="005E7649" w:rsidRPr="00E42A49" w:rsidRDefault="005E7649" w:rsidP="00D14FA7">
            <w:pPr>
              <w:pStyle w:val="C-BodyText"/>
              <w:spacing w:before="40" w:after="40" w:line="240" w:lineRule="auto"/>
              <w:jc w:val="center"/>
              <w:rPr>
                <w:color w:val="000000"/>
                <w:sz w:val="22"/>
                <w:szCs w:val="22"/>
              </w:rPr>
            </w:pPr>
            <w:r w:rsidRPr="00E42A49">
              <w:rPr>
                <w:color w:val="000000"/>
                <w:sz w:val="22"/>
                <w:szCs w:val="22"/>
              </w:rPr>
              <w:t>29 (13.6)</w:t>
            </w:r>
          </w:p>
        </w:tc>
      </w:tr>
      <w:tr w:rsidR="005E7649" w:rsidRPr="00E42A49" w14:paraId="6D49343F" w14:textId="77777777" w:rsidTr="00A06E4F">
        <w:tc>
          <w:tcPr>
            <w:tcW w:w="5895" w:type="dxa"/>
          </w:tcPr>
          <w:p w14:paraId="1C5A0054" w14:textId="77777777" w:rsidR="005E7649" w:rsidRPr="00E42A49" w:rsidRDefault="005E7649" w:rsidP="00D14FA7">
            <w:pPr>
              <w:pStyle w:val="C-BodyText"/>
              <w:spacing w:before="40" w:after="40" w:line="240" w:lineRule="auto"/>
              <w:rPr>
                <w:sz w:val="22"/>
                <w:szCs w:val="22"/>
              </w:rPr>
            </w:pPr>
            <w:r w:rsidRPr="00E42A49">
              <w:rPr>
                <w:b/>
                <w:sz w:val="22"/>
                <w:szCs w:val="22"/>
              </w:rPr>
              <w:t xml:space="preserve">Transfusion Dependent at Baseline </w:t>
            </w:r>
            <w:r w:rsidRPr="00E42A49">
              <w:rPr>
                <w:b/>
                <w:sz w:val="22"/>
                <w:szCs w:val="22"/>
                <w:vertAlign w:val="superscript"/>
              </w:rPr>
              <w:t>d</w:t>
            </w:r>
            <w:r w:rsidRPr="00E42A49">
              <w:rPr>
                <w:b/>
                <w:sz w:val="22"/>
                <w:szCs w:val="22"/>
              </w:rPr>
              <w:t>, n (%)</w:t>
            </w:r>
          </w:p>
        </w:tc>
        <w:tc>
          <w:tcPr>
            <w:tcW w:w="3465" w:type="dxa"/>
            <w:vAlign w:val="center"/>
          </w:tcPr>
          <w:p w14:paraId="43CB675D" w14:textId="77777777" w:rsidR="005E7649" w:rsidRPr="00E42A49" w:rsidRDefault="005E7649" w:rsidP="00D14FA7">
            <w:pPr>
              <w:pStyle w:val="C-BodyText"/>
              <w:spacing w:before="40" w:after="40" w:line="240" w:lineRule="auto"/>
              <w:jc w:val="center"/>
              <w:rPr>
                <w:sz w:val="22"/>
                <w:szCs w:val="22"/>
              </w:rPr>
            </w:pPr>
            <w:r w:rsidRPr="00E42A49">
              <w:rPr>
                <w:color w:val="000000"/>
                <w:sz w:val="22"/>
                <w:szCs w:val="22"/>
              </w:rPr>
              <w:t>169 (79.0)</w:t>
            </w:r>
          </w:p>
        </w:tc>
      </w:tr>
      <w:tr w:rsidR="005E7649" w:rsidRPr="00E42A49" w14:paraId="776923B5" w14:textId="77777777" w:rsidTr="00A06E4F">
        <w:tc>
          <w:tcPr>
            <w:tcW w:w="5895" w:type="dxa"/>
          </w:tcPr>
          <w:p w14:paraId="2C665072" w14:textId="77777777" w:rsidR="005E7649" w:rsidRPr="00E42A49" w:rsidRDefault="005E7649" w:rsidP="00D14FA7">
            <w:pPr>
              <w:pStyle w:val="C-BodyText"/>
              <w:spacing w:before="40" w:after="40" w:line="240" w:lineRule="auto"/>
              <w:rPr>
                <w:b/>
                <w:sz w:val="22"/>
                <w:szCs w:val="22"/>
              </w:rPr>
            </w:pPr>
            <w:r w:rsidRPr="00E42A49">
              <w:rPr>
                <w:b/>
                <w:sz w:val="22"/>
                <w:szCs w:val="22"/>
              </w:rPr>
              <w:t xml:space="preserve">Transfusion Dependent at Baseline </w:t>
            </w:r>
            <w:r w:rsidRPr="00E42A49">
              <w:rPr>
                <w:b/>
                <w:sz w:val="22"/>
                <w:szCs w:val="22"/>
                <w:vertAlign w:val="superscript"/>
              </w:rPr>
              <w:t>d</w:t>
            </w:r>
          </w:p>
          <w:p w14:paraId="6C28ED1E" w14:textId="77777777" w:rsidR="005E7649" w:rsidRPr="00E42A49" w:rsidRDefault="005E7649" w:rsidP="00D14FA7">
            <w:pPr>
              <w:pStyle w:val="C-BodyText"/>
              <w:spacing w:before="40" w:after="40" w:line="240" w:lineRule="auto"/>
              <w:rPr>
                <w:b/>
                <w:sz w:val="22"/>
                <w:szCs w:val="22"/>
              </w:rPr>
            </w:pPr>
            <w:r w:rsidRPr="00E42A49">
              <w:rPr>
                <w:b/>
                <w:sz w:val="22"/>
                <w:szCs w:val="22"/>
              </w:rPr>
              <w:t>Red Blood Cells</w:t>
            </w:r>
          </w:p>
          <w:p w14:paraId="791D9194" w14:textId="77777777" w:rsidR="005E7649" w:rsidRPr="00E42A49" w:rsidRDefault="005E7649" w:rsidP="00D14FA7">
            <w:pPr>
              <w:pStyle w:val="C-BodyText"/>
              <w:spacing w:before="40" w:after="40" w:line="240" w:lineRule="auto"/>
              <w:rPr>
                <w:sz w:val="22"/>
                <w:szCs w:val="22"/>
              </w:rPr>
            </w:pPr>
            <w:r w:rsidRPr="00E42A49">
              <w:rPr>
                <w:sz w:val="22"/>
                <w:szCs w:val="22"/>
              </w:rPr>
              <w:tab/>
              <w:t>Median number of transfusions</w:t>
            </w:r>
          </w:p>
          <w:p w14:paraId="7E66DA5D" w14:textId="77777777" w:rsidR="005E7649" w:rsidRPr="00E42A49" w:rsidRDefault="005E7649" w:rsidP="00D14FA7">
            <w:pPr>
              <w:pStyle w:val="C-BodyText"/>
              <w:spacing w:before="40" w:after="40" w:line="240" w:lineRule="auto"/>
              <w:rPr>
                <w:sz w:val="22"/>
                <w:szCs w:val="22"/>
              </w:rPr>
            </w:pPr>
            <w:r w:rsidRPr="00E42A49">
              <w:rPr>
                <w:sz w:val="22"/>
                <w:szCs w:val="22"/>
              </w:rPr>
              <w:tab/>
              <w:t>Median number of RBC units</w:t>
            </w:r>
          </w:p>
          <w:p w14:paraId="4AD42EE0" w14:textId="77777777" w:rsidR="005E7649" w:rsidRPr="00E42A49" w:rsidRDefault="005E7649" w:rsidP="00D14FA7">
            <w:pPr>
              <w:pStyle w:val="C-BodyText"/>
              <w:spacing w:before="40" w:after="40" w:line="240" w:lineRule="auto"/>
              <w:rPr>
                <w:b/>
                <w:sz w:val="22"/>
                <w:szCs w:val="22"/>
              </w:rPr>
            </w:pPr>
            <w:r w:rsidRPr="00E42A49">
              <w:rPr>
                <w:b/>
                <w:sz w:val="22"/>
                <w:szCs w:val="22"/>
              </w:rPr>
              <w:t>Platelets</w:t>
            </w:r>
          </w:p>
          <w:p w14:paraId="4917226A" w14:textId="77777777" w:rsidR="005E7649" w:rsidRPr="00E42A49" w:rsidRDefault="005E7649" w:rsidP="00D14FA7">
            <w:pPr>
              <w:pStyle w:val="C-BodyText"/>
              <w:spacing w:before="40" w:after="40" w:line="240" w:lineRule="auto"/>
              <w:rPr>
                <w:sz w:val="22"/>
                <w:szCs w:val="22"/>
              </w:rPr>
            </w:pPr>
            <w:r w:rsidRPr="00E42A49">
              <w:rPr>
                <w:sz w:val="22"/>
                <w:szCs w:val="22"/>
              </w:rPr>
              <w:tab/>
              <w:t>Median number of transfusions</w:t>
            </w:r>
          </w:p>
          <w:p w14:paraId="17900A96" w14:textId="77777777" w:rsidR="005E7649" w:rsidRPr="00E42A49" w:rsidRDefault="005E7649" w:rsidP="00D14FA7">
            <w:pPr>
              <w:pStyle w:val="C-BodyText"/>
              <w:spacing w:before="40" w:after="40" w:line="240" w:lineRule="auto"/>
              <w:rPr>
                <w:b/>
                <w:sz w:val="22"/>
                <w:szCs w:val="22"/>
              </w:rPr>
            </w:pPr>
            <w:r w:rsidRPr="00E42A49">
              <w:rPr>
                <w:sz w:val="22"/>
                <w:szCs w:val="22"/>
              </w:rPr>
              <w:tab/>
              <w:t>Median number of platelet units</w:t>
            </w:r>
          </w:p>
        </w:tc>
        <w:tc>
          <w:tcPr>
            <w:tcW w:w="3465" w:type="dxa"/>
            <w:vAlign w:val="center"/>
          </w:tcPr>
          <w:p w14:paraId="0BF2DA50" w14:textId="77777777" w:rsidR="005E7649" w:rsidRPr="00E42A49" w:rsidRDefault="005E7649" w:rsidP="00D14FA7">
            <w:pPr>
              <w:pStyle w:val="C-BodyText"/>
              <w:spacing w:before="40" w:after="40" w:line="240" w:lineRule="auto"/>
              <w:rPr>
                <w:sz w:val="22"/>
                <w:szCs w:val="22"/>
              </w:rPr>
            </w:pPr>
          </w:p>
          <w:p w14:paraId="7EADDCEA" w14:textId="77777777" w:rsidR="005E7649" w:rsidRPr="00E42A49" w:rsidRDefault="005E7649" w:rsidP="00D14FA7">
            <w:pPr>
              <w:pStyle w:val="C-BodyText"/>
              <w:spacing w:before="40" w:after="40" w:line="240" w:lineRule="auto"/>
              <w:jc w:val="center"/>
              <w:rPr>
                <w:sz w:val="22"/>
                <w:szCs w:val="22"/>
              </w:rPr>
            </w:pPr>
            <w:r w:rsidRPr="00E42A49">
              <w:rPr>
                <w:sz w:val="22"/>
                <w:szCs w:val="22"/>
              </w:rPr>
              <w:t>153 (71.5)</w:t>
            </w:r>
          </w:p>
          <w:p w14:paraId="6F010380" w14:textId="77777777" w:rsidR="005E7649" w:rsidRPr="00E42A49" w:rsidRDefault="005E7649" w:rsidP="00D14FA7">
            <w:pPr>
              <w:pStyle w:val="C-BodyText"/>
              <w:spacing w:before="40" w:after="40" w:line="240" w:lineRule="auto"/>
              <w:jc w:val="center"/>
              <w:rPr>
                <w:sz w:val="22"/>
                <w:szCs w:val="22"/>
              </w:rPr>
            </w:pPr>
            <w:r w:rsidRPr="00E42A49">
              <w:rPr>
                <w:sz w:val="22"/>
                <w:szCs w:val="22"/>
              </w:rPr>
              <w:t>3.0</w:t>
            </w:r>
          </w:p>
          <w:p w14:paraId="14F04781" w14:textId="77777777" w:rsidR="005E7649" w:rsidRPr="00E42A49" w:rsidRDefault="005E7649" w:rsidP="00D14FA7">
            <w:pPr>
              <w:pStyle w:val="C-BodyText"/>
              <w:spacing w:before="40" w:after="40" w:line="240" w:lineRule="auto"/>
              <w:jc w:val="center"/>
              <w:rPr>
                <w:sz w:val="22"/>
                <w:szCs w:val="22"/>
              </w:rPr>
            </w:pPr>
            <w:r w:rsidRPr="00E42A49">
              <w:rPr>
                <w:sz w:val="22"/>
                <w:szCs w:val="22"/>
              </w:rPr>
              <w:t>5.0</w:t>
            </w:r>
          </w:p>
          <w:p w14:paraId="60F3D908" w14:textId="77777777" w:rsidR="005E7649" w:rsidRPr="00E42A49" w:rsidRDefault="005E7649" w:rsidP="00D14FA7">
            <w:pPr>
              <w:pStyle w:val="C-BodyText"/>
              <w:spacing w:before="40" w:after="40" w:line="240" w:lineRule="auto"/>
              <w:jc w:val="center"/>
              <w:rPr>
                <w:sz w:val="22"/>
                <w:szCs w:val="22"/>
              </w:rPr>
            </w:pPr>
            <w:r w:rsidRPr="00E42A49">
              <w:rPr>
                <w:sz w:val="22"/>
                <w:szCs w:val="22"/>
              </w:rPr>
              <w:t>132 (61.7)</w:t>
            </w:r>
          </w:p>
          <w:p w14:paraId="05D9F874" w14:textId="77777777" w:rsidR="005E7649" w:rsidRPr="00E42A49" w:rsidRDefault="005E7649" w:rsidP="00D14FA7">
            <w:pPr>
              <w:pStyle w:val="C-BodyText"/>
              <w:spacing w:before="40" w:after="40" w:line="240" w:lineRule="auto"/>
              <w:jc w:val="center"/>
              <w:rPr>
                <w:sz w:val="22"/>
                <w:szCs w:val="22"/>
              </w:rPr>
            </w:pPr>
            <w:r w:rsidRPr="00E42A49">
              <w:rPr>
                <w:sz w:val="22"/>
                <w:szCs w:val="22"/>
              </w:rPr>
              <w:t>4.5</w:t>
            </w:r>
          </w:p>
          <w:p w14:paraId="161D26E0" w14:textId="77777777" w:rsidR="005E7649" w:rsidRPr="00E42A49" w:rsidRDefault="005E7649" w:rsidP="00D14FA7">
            <w:pPr>
              <w:pStyle w:val="C-BodyText"/>
              <w:spacing w:before="40" w:after="40" w:line="240" w:lineRule="auto"/>
              <w:jc w:val="center"/>
              <w:rPr>
                <w:sz w:val="22"/>
                <w:szCs w:val="22"/>
              </w:rPr>
            </w:pPr>
            <w:r w:rsidRPr="00E42A49">
              <w:rPr>
                <w:sz w:val="22"/>
                <w:szCs w:val="22"/>
              </w:rPr>
              <w:t>5.0</w:t>
            </w:r>
          </w:p>
        </w:tc>
      </w:tr>
      <w:tr w:rsidR="005E7649" w:rsidRPr="00E42A49" w14:paraId="3DA84020" w14:textId="77777777" w:rsidTr="00A06E4F">
        <w:tc>
          <w:tcPr>
            <w:tcW w:w="5895" w:type="dxa"/>
          </w:tcPr>
          <w:p w14:paraId="178BC9C6" w14:textId="77777777" w:rsidR="005E7649" w:rsidRPr="00E42A49" w:rsidRDefault="005E7649" w:rsidP="00D14FA7">
            <w:pPr>
              <w:pStyle w:val="C-BodyText"/>
              <w:spacing w:before="40" w:after="40" w:line="240" w:lineRule="auto"/>
              <w:rPr>
                <w:b/>
                <w:sz w:val="22"/>
                <w:szCs w:val="22"/>
              </w:rPr>
            </w:pPr>
            <w:r w:rsidRPr="00E42A49">
              <w:rPr>
                <w:b/>
                <w:sz w:val="22"/>
                <w:szCs w:val="22"/>
              </w:rPr>
              <w:t xml:space="preserve">Number of Prior Anticancer Regimens, n (%) </w:t>
            </w:r>
            <w:r w:rsidRPr="00E42A49">
              <w:rPr>
                <w:b/>
                <w:sz w:val="22"/>
                <w:szCs w:val="22"/>
                <w:vertAlign w:val="superscript"/>
              </w:rPr>
              <w:t>e</w:t>
            </w:r>
          </w:p>
          <w:p w14:paraId="68C85D83" w14:textId="77777777" w:rsidR="005E7649" w:rsidRPr="00E42A49" w:rsidRDefault="005E7649" w:rsidP="00D14FA7">
            <w:pPr>
              <w:pStyle w:val="C-BodyText"/>
              <w:spacing w:before="40" w:after="40" w:line="240" w:lineRule="auto"/>
              <w:rPr>
                <w:sz w:val="22"/>
                <w:szCs w:val="22"/>
              </w:rPr>
            </w:pPr>
            <w:r w:rsidRPr="00E42A49">
              <w:rPr>
                <w:sz w:val="22"/>
                <w:szCs w:val="22"/>
              </w:rPr>
              <w:tab/>
              <w:t>1</w:t>
            </w:r>
          </w:p>
          <w:p w14:paraId="69B84759" w14:textId="77777777" w:rsidR="005E7649" w:rsidRPr="00E42A49" w:rsidRDefault="005E7649" w:rsidP="00D14FA7">
            <w:pPr>
              <w:pStyle w:val="C-BodyText"/>
              <w:spacing w:before="40" w:after="40" w:line="240" w:lineRule="auto"/>
              <w:rPr>
                <w:sz w:val="22"/>
                <w:szCs w:val="22"/>
              </w:rPr>
            </w:pPr>
            <w:r w:rsidRPr="00E42A49">
              <w:rPr>
                <w:sz w:val="22"/>
                <w:szCs w:val="22"/>
              </w:rPr>
              <w:tab/>
              <w:t>2</w:t>
            </w:r>
          </w:p>
          <w:p w14:paraId="5D961C96" w14:textId="4E1A9EF6" w:rsidR="005E7649" w:rsidRPr="00E42A49" w:rsidRDefault="005E7649" w:rsidP="00D14FA7">
            <w:pPr>
              <w:pStyle w:val="C-BodyText"/>
              <w:spacing w:before="40" w:after="40" w:line="240" w:lineRule="auto"/>
              <w:rPr>
                <w:sz w:val="22"/>
                <w:szCs w:val="22"/>
              </w:rPr>
            </w:pPr>
            <w:r w:rsidRPr="00E42A49">
              <w:rPr>
                <w:sz w:val="22"/>
                <w:szCs w:val="22"/>
              </w:rPr>
              <w:tab/>
            </w:r>
            <w:r w:rsidR="00A92BA5">
              <w:rPr>
                <w:rFonts w:ascii="Symbol" w:hAnsi="Symbol"/>
              </w:rPr>
              <w:sym w:font="Symbol" w:char="F0B3"/>
            </w:r>
            <w:r w:rsidRPr="00E42A49">
              <w:rPr>
                <w:sz w:val="22"/>
                <w:szCs w:val="22"/>
              </w:rPr>
              <w:t>3</w:t>
            </w:r>
          </w:p>
          <w:p w14:paraId="62D39EFA" w14:textId="77777777" w:rsidR="005E7649" w:rsidRPr="00E42A49" w:rsidRDefault="005E7649" w:rsidP="00D14FA7">
            <w:pPr>
              <w:pStyle w:val="C-BodyText"/>
              <w:spacing w:before="40" w:after="40" w:line="240" w:lineRule="auto"/>
              <w:rPr>
                <w:sz w:val="22"/>
                <w:szCs w:val="22"/>
              </w:rPr>
            </w:pPr>
            <w:r w:rsidRPr="00E42A49">
              <w:rPr>
                <w:sz w:val="22"/>
                <w:szCs w:val="22"/>
              </w:rPr>
              <w:tab/>
              <w:t>Median number of prior therapies (min, max)</w:t>
            </w:r>
          </w:p>
        </w:tc>
        <w:tc>
          <w:tcPr>
            <w:tcW w:w="3465" w:type="dxa"/>
            <w:vAlign w:val="center"/>
          </w:tcPr>
          <w:p w14:paraId="6B86B9A7" w14:textId="77777777" w:rsidR="005E7649" w:rsidRPr="00E42A49" w:rsidRDefault="005E7649" w:rsidP="00D14FA7">
            <w:pPr>
              <w:pStyle w:val="C-BodyText"/>
              <w:spacing w:before="40" w:after="40" w:line="240" w:lineRule="auto"/>
              <w:jc w:val="center"/>
              <w:rPr>
                <w:rFonts w:eastAsia="MS Mincho"/>
                <w:color w:val="000000"/>
                <w:sz w:val="22"/>
                <w:szCs w:val="22"/>
              </w:rPr>
            </w:pPr>
          </w:p>
          <w:p w14:paraId="2A8D3DE5"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101 (47.2)</w:t>
            </w:r>
          </w:p>
          <w:p w14:paraId="078C4858"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65 (30.4)</w:t>
            </w:r>
          </w:p>
          <w:p w14:paraId="2BC01CC1" w14:textId="77777777" w:rsidR="005E7649" w:rsidRPr="00E42A49" w:rsidRDefault="005E7649" w:rsidP="00D14FA7">
            <w:pPr>
              <w:pStyle w:val="C-BodyText"/>
              <w:spacing w:before="40" w:after="40" w:line="240" w:lineRule="auto"/>
              <w:jc w:val="center"/>
              <w:rPr>
                <w:sz w:val="22"/>
                <w:szCs w:val="22"/>
              </w:rPr>
            </w:pPr>
            <w:r w:rsidRPr="00E42A49">
              <w:rPr>
                <w:sz w:val="22"/>
                <w:szCs w:val="22"/>
              </w:rPr>
              <w:t>48 (22.4)</w:t>
            </w:r>
          </w:p>
          <w:p w14:paraId="041BE837" w14:textId="77777777" w:rsidR="005E7649" w:rsidRPr="00E42A49" w:rsidRDefault="005E7649" w:rsidP="00D14FA7">
            <w:pPr>
              <w:pStyle w:val="C-BodyText"/>
              <w:spacing w:before="40" w:after="40" w:line="240" w:lineRule="auto"/>
              <w:jc w:val="center"/>
              <w:rPr>
                <w:sz w:val="22"/>
                <w:szCs w:val="22"/>
              </w:rPr>
            </w:pPr>
            <w:r w:rsidRPr="00E42A49">
              <w:rPr>
                <w:rFonts w:eastAsia="MS Mincho"/>
                <w:color w:val="000000"/>
                <w:sz w:val="22"/>
                <w:szCs w:val="22"/>
              </w:rPr>
              <w:t>2.0 (1.0, 5.0)</w:t>
            </w:r>
          </w:p>
        </w:tc>
      </w:tr>
    </w:tbl>
    <w:p w14:paraId="7AB0E3AA" w14:textId="77777777" w:rsidR="005E7649" w:rsidRPr="00E42A49" w:rsidRDefault="005E7649" w:rsidP="0051316F">
      <w:pPr>
        <w:tabs>
          <w:tab w:val="left" w:pos="180"/>
        </w:tabs>
        <w:spacing w:after="0"/>
        <w:jc w:val="both"/>
        <w:rPr>
          <w:sz w:val="18"/>
          <w:szCs w:val="18"/>
          <w:vertAlign w:val="superscript"/>
        </w:rPr>
      </w:pPr>
      <w:r w:rsidRPr="00E42A49">
        <w:rPr>
          <w:sz w:val="18"/>
          <w:szCs w:val="18"/>
        </w:rPr>
        <w:t xml:space="preserve">ECOG PS: </w:t>
      </w:r>
      <w:r w:rsidRPr="00E42A49">
        <w:rPr>
          <w:bCs/>
          <w:i/>
          <w:iCs/>
          <w:sz w:val="18"/>
          <w:szCs w:val="18"/>
          <w:shd w:val="clear" w:color="auto" w:fill="FFFFFF"/>
        </w:rPr>
        <w:t>Eastern Cooperative Oncology Group Performance Status.</w:t>
      </w:r>
    </w:p>
    <w:p w14:paraId="6F1ADB01" w14:textId="77777777" w:rsidR="005E7649" w:rsidRPr="00E42A49" w:rsidRDefault="005E7649" w:rsidP="00924ECD">
      <w:pPr>
        <w:tabs>
          <w:tab w:val="left" w:pos="180"/>
        </w:tabs>
        <w:spacing w:after="0"/>
        <w:jc w:val="both"/>
        <w:rPr>
          <w:sz w:val="18"/>
          <w:szCs w:val="18"/>
        </w:rPr>
      </w:pPr>
      <w:r w:rsidRPr="00E42A49">
        <w:rPr>
          <w:sz w:val="18"/>
          <w:szCs w:val="18"/>
          <w:vertAlign w:val="superscript"/>
        </w:rPr>
        <w:t>a</w:t>
      </w:r>
      <w:r w:rsidRPr="00E42A49">
        <w:rPr>
          <w:sz w:val="18"/>
          <w:szCs w:val="18"/>
        </w:rPr>
        <w:t xml:space="preserve"> 1 patient had missing baseline ECOG PS.</w:t>
      </w:r>
    </w:p>
    <w:p w14:paraId="7450A514" w14:textId="77777777" w:rsidR="005E7649" w:rsidRPr="00E42A49" w:rsidRDefault="005E7649" w:rsidP="00924ECD">
      <w:pPr>
        <w:tabs>
          <w:tab w:val="left" w:pos="180"/>
        </w:tabs>
        <w:spacing w:after="0"/>
        <w:jc w:val="both"/>
        <w:rPr>
          <w:sz w:val="18"/>
          <w:szCs w:val="18"/>
        </w:rPr>
      </w:pPr>
      <w:r w:rsidRPr="00E42A49">
        <w:rPr>
          <w:sz w:val="18"/>
          <w:szCs w:val="18"/>
          <w:vertAlign w:val="superscript"/>
        </w:rPr>
        <w:t>b</w:t>
      </w:r>
      <w:r w:rsidRPr="00E42A49">
        <w:rPr>
          <w:sz w:val="18"/>
          <w:szCs w:val="18"/>
        </w:rPr>
        <w:t xml:space="preserve"> For 3 patients with different mutations detected in bone marrow compared to blood, the</w:t>
      </w:r>
      <w:r w:rsidRPr="00E42A49" w:rsidDel="007A3D0D">
        <w:rPr>
          <w:sz w:val="18"/>
          <w:szCs w:val="18"/>
        </w:rPr>
        <w:t xml:space="preserve"> </w:t>
      </w:r>
      <w:r w:rsidRPr="00E42A49">
        <w:rPr>
          <w:sz w:val="18"/>
          <w:szCs w:val="18"/>
        </w:rPr>
        <w:t>result of blood is reported.</w:t>
      </w:r>
    </w:p>
    <w:p w14:paraId="54D9E9E0" w14:textId="77777777" w:rsidR="005E7649" w:rsidRPr="00E42A49" w:rsidRDefault="005E7649" w:rsidP="00924ECD">
      <w:pPr>
        <w:tabs>
          <w:tab w:val="left" w:pos="180"/>
        </w:tabs>
        <w:spacing w:after="0"/>
        <w:jc w:val="both"/>
        <w:rPr>
          <w:sz w:val="18"/>
          <w:szCs w:val="18"/>
        </w:rPr>
      </w:pPr>
      <w:r w:rsidRPr="00E42A49">
        <w:rPr>
          <w:sz w:val="18"/>
          <w:szCs w:val="18"/>
          <w:vertAlign w:val="superscript"/>
        </w:rPr>
        <w:t xml:space="preserve">c </w:t>
      </w:r>
      <w:r w:rsidRPr="00E42A49">
        <w:rPr>
          <w:sz w:val="18"/>
          <w:szCs w:val="18"/>
          <w:lang w:val="en-GB"/>
        </w:rPr>
        <w:t>The subject marked as missing had an IDH2 R140Q mutation and should have been included in the R140 group.</w:t>
      </w:r>
    </w:p>
    <w:p w14:paraId="46EE08B9" w14:textId="77777777" w:rsidR="005E7649" w:rsidRPr="00E42A49" w:rsidRDefault="005E7649" w:rsidP="00924ECD">
      <w:pPr>
        <w:tabs>
          <w:tab w:val="left" w:pos="180"/>
        </w:tabs>
        <w:spacing w:after="0"/>
        <w:jc w:val="both"/>
        <w:rPr>
          <w:sz w:val="18"/>
          <w:szCs w:val="18"/>
        </w:rPr>
      </w:pPr>
      <w:r w:rsidRPr="00E42A49">
        <w:rPr>
          <w:sz w:val="18"/>
          <w:szCs w:val="18"/>
          <w:vertAlign w:val="superscript"/>
        </w:rPr>
        <w:t xml:space="preserve">d </w:t>
      </w:r>
      <w:r w:rsidRPr="00E42A49">
        <w:rPr>
          <w:sz w:val="18"/>
          <w:szCs w:val="18"/>
        </w:rPr>
        <w:t>Patients were defined as transfusion dependent at baseline if they received any red blood cell or platelet transfusions within the 8-week baseline period.</w:t>
      </w:r>
    </w:p>
    <w:p w14:paraId="34D16C96" w14:textId="77777777" w:rsidR="005E7649" w:rsidRPr="00E42A49" w:rsidRDefault="005E7649" w:rsidP="00924ECD">
      <w:pPr>
        <w:pStyle w:val="C-BodyText"/>
        <w:tabs>
          <w:tab w:val="left" w:pos="180"/>
        </w:tabs>
        <w:spacing w:before="0" w:after="0" w:line="259" w:lineRule="auto"/>
        <w:jc w:val="both"/>
        <w:rPr>
          <w:rFonts w:eastAsia="Calibri"/>
          <w:sz w:val="18"/>
          <w:szCs w:val="18"/>
        </w:rPr>
      </w:pPr>
      <w:r w:rsidRPr="00E42A49">
        <w:rPr>
          <w:rFonts w:eastAsia="Calibri"/>
          <w:sz w:val="18"/>
          <w:szCs w:val="18"/>
          <w:vertAlign w:val="superscript"/>
        </w:rPr>
        <w:t>e</w:t>
      </w:r>
      <w:r w:rsidRPr="00E42A49">
        <w:rPr>
          <w:rFonts w:eastAsia="Calibri"/>
          <w:sz w:val="18"/>
          <w:szCs w:val="18"/>
        </w:rPr>
        <w:t xml:space="preserve"> Includes intensive and/or </w:t>
      </w:r>
      <w:proofErr w:type="spellStart"/>
      <w:r w:rsidRPr="00E42A49">
        <w:rPr>
          <w:rFonts w:eastAsia="Calibri"/>
          <w:sz w:val="18"/>
          <w:szCs w:val="18"/>
        </w:rPr>
        <w:t>nonintensive</w:t>
      </w:r>
      <w:proofErr w:type="spellEnd"/>
      <w:r w:rsidRPr="00E42A49">
        <w:rPr>
          <w:rFonts w:eastAsia="Calibri"/>
          <w:sz w:val="18"/>
          <w:szCs w:val="18"/>
        </w:rPr>
        <w:t xml:space="preserve"> therapies.</w:t>
      </w:r>
    </w:p>
    <w:p w14:paraId="2C7C8193" w14:textId="77777777" w:rsidR="00F670EC" w:rsidRPr="00E42A49" w:rsidRDefault="00F670EC" w:rsidP="00924ECD">
      <w:pPr>
        <w:pStyle w:val="C-BodyText"/>
        <w:spacing w:before="0" w:after="0" w:line="259" w:lineRule="auto"/>
        <w:rPr>
          <w:sz w:val="22"/>
          <w:szCs w:val="22"/>
          <w:lang w:val="en-GB"/>
        </w:rPr>
      </w:pPr>
    </w:p>
    <w:p w14:paraId="5AD9EAF7" w14:textId="77777777" w:rsidR="00796C6F" w:rsidRPr="00E42A49" w:rsidRDefault="00796C6F" w:rsidP="00E46BAE">
      <w:pPr>
        <w:autoSpaceDE w:val="0"/>
        <w:autoSpaceDN w:val="0"/>
        <w:spacing w:before="40" w:after="0"/>
        <w:rPr>
          <w:lang w:val="en-GB"/>
        </w:rPr>
      </w:pPr>
      <w:r w:rsidRPr="00E42A49">
        <w:rPr>
          <w:lang w:val="en-GB"/>
        </w:rPr>
        <w:lastRenderedPageBreak/>
        <w:t>The primary efficacy endpoint for the AG221-C001 study was overall response rate (ORR). ORR was based on investigator assessment and was defined as the rate of responses, including complete remission (CR), CR with incomplete neutrophil recovery (</w:t>
      </w:r>
      <w:proofErr w:type="spellStart"/>
      <w:r w:rsidRPr="00E42A49">
        <w:rPr>
          <w:lang w:val="en-GB"/>
        </w:rPr>
        <w:t>CRi</w:t>
      </w:r>
      <w:proofErr w:type="spellEnd"/>
      <w:r w:rsidRPr="00E42A49">
        <w:rPr>
          <w:lang w:val="en-GB"/>
        </w:rPr>
        <w:t>), CR with incomplete platelet recovery (</w:t>
      </w:r>
      <w:proofErr w:type="spellStart"/>
      <w:r w:rsidRPr="00E42A49">
        <w:rPr>
          <w:lang w:val="en-GB"/>
        </w:rPr>
        <w:t>CRp</w:t>
      </w:r>
      <w:proofErr w:type="spellEnd"/>
      <w:r w:rsidRPr="00E42A49">
        <w:rPr>
          <w:lang w:val="en-GB"/>
        </w:rPr>
        <w:t>), partial remission (PR), and morphologic leukaemia-free state (MLFS).</w:t>
      </w:r>
    </w:p>
    <w:p w14:paraId="7517DBD2" w14:textId="77777777" w:rsidR="00796C6F" w:rsidRPr="00E42A49" w:rsidRDefault="00796C6F" w:rsidP="00E46BAE">
      <w:pPr>
        <w:autoSpaceDE w:val="0"/>
        <w:autoSpaceDN w:val="0"/>
        <w:spacing w:after="0" w:line="240" w:lineRule="auto"/>
        <w:rPr>
          <w:lang w:val="en-GB"/>
        </w:rPr>
      </w:pPr>
    </w:p>
    <w:p w14:paraId="2F58FC2E" w14:textId="001195D1" w:rsidR="00796C6F" w:rsidRPr="00E42A49" w:rsidRDefault="00796C6F" w:rsidP="00E46BAE">
      <w:pPr>
        <w:autoSpaceDE w:val="0"/>
        <w:autoSpaceDN w:val="0"/>
        <w:spacing w:after="0"/>
        <w:rPr>
          <w:lang w:val="en-GB"/>
        </w:rPr>
      </w:pPr>
      <w:r w:rsidRPr="00E42A49">
        <w:rPr>
          <w:lang w:val="en-GB"/>
        </w:rPr>
        <w:t>The key secondary endpoints of the study included CR rate, CR</w:t>
      </w:r>
      <w:r w:rsidR="00654573" w:rsidRPr="00E42A49">
        <w:rPr>
          <w:lang w:val="en-GB"/>
        </w:rPr>
        <w:t xml:space="preserve"> </w:t>
      </w:r>
      <w:r w:rsidRPr="00E42A49">
        <w:rPr>
          <w:lang w:val="en-GB"/>
        </w:rPr>
        <w:t>+</w:t>
      </w:r>
      <w:r w:rsidR="00654573" w:rsidRPr="00E42A49">
        <w:rPr>
          <w:lang w:val="en-GB"/>
        </w:rPr>
        <w:t xml:space="preserve"> </w:t>
      </w:r>
      <w:proofErr w:type="spellStart"/>
      <w:r w:rsidRPr="00E42A49">
        <w:rPr>
          <w:lang w:val="en-GB"/>
        </w:rPr>
        <w:t>CRi</w:t>
      </w:r>
      <w:proofErr w:type="spellEnd"/>
      <w:r w:rsidR="00654573" w:rsidRPr="00E42A49">
        <w:rPr>
          <w:lang w:val="en-GB"/>
        </w:rPr>
        <w:t xml:space="preserve"> </w:t>
      </w:r>
      <w:r w:rsidRPr="00E42A49">
        <w:rPr>
          <w:lang w:val="en-GB"/>
        </w:rPr>
        <w:t>/</w:t>
      </w:r>
      <w:r w:rsidR="00654573" w:rsidRPr="00E42A49">
        <w:rPr>
          <w:lang w:val="en-GB"/>
        </w:rPr>
        <w:t xml:space="preserve"> </w:t>
      </w:r>
      <w:proofErr w:type="spellStart"/>
      <w:r w:rsidRPr="00E42A49">
        <w:rPr>
          <w:lang w:val="en-GB"/>
        </w:rPr>
        <w:t>CRp</w:t>
      </w:r>
      <w:proofErr w:type="spellEnd"/>
      <w:r w:rsidRPr="00E42A49">
        <w:rPr>
          <w:lang w:val="en-GB"/>
        </w:rPr>
        <w:t>, duration of response, OS, event-free survival, time to response, time to best response, time to complete response and transfusion requirements.</w:t>
      </w:r>
    </w:p>
    <w:p w14:paraId="03CF31FA" w14:textId="77777777" w:rsidR="009078C7" w:rsidRPr="00E42A49" w:rsidRDefault="009078C7" w:rsidP="00E46BAE">
      <w:pPr>
        <w:autoSpaceDE w:val="0"/>
        <w:autoSpaceDN w:val="0"/>
        <w:spacing w:after="0" w:line="240" w:lineRule="auto"/>
        <w:rPr>
          <w:lang w:val="en-GB"/>
        </w:rPr>
      </w:pPr>
    </w:p>
    <w:p w14:paraId="3EBCFF50" w14:textId="34D74CF0" w:rsidR="00796C6F" w:rsidRPr="00E42A49" w:rsidRDefault="00796C6F" w:rsidP="009078C7">
      <w:pPr>
        <w:pStyle w:val="C-BodyText"/>
        <w:spacing w:before="0" w:after="0" w:line="240" w:lineRule="auto"/>
        <w:rPr>
          <w:sz w:val="22"/>
          <w:szCs w:val="22"/>
          <w:lang w:val="en-GB"/>
        </w:rPr>
      </w:pPr>
      <w:r w:rsidRPr="00E42A49">
        <w:rPr>
          <w:sz w:val="22"/>
          <w:szCs w:val="22"/>
          <w:lang w:val="en-GB"/>
        </w:rPr>
        <w:t>The effic</w:t>
      </w:r>
      <w:r w:rsidR="008954F4" w:rsidRPr="00E42A49">
        <w:rPr>
          <w:sz w:val="22"/>
          <w:szCs w:val="22"/>
          <w:lang w:val="en-GB"/>
        </w:rPr>
        <w:t>acy results are shown in Table </w:t>
      </w:r>
      <w:r w:rsidR="00BE39ED" w:rsidRPr="00E42A49">
        <w:rPr>
          <w:sz w:val="22"/>
          <w:szCs w:val="22"/>
          <w:lang w:val="en-GB"/>
        </w:rPr>
        <w:t>5</w:t>
      </w:r>
      <w:r w:rsidRPr="00E42A49">
        <w:rPr>
          <w:sz w:val="22"/>
          <w:szCs w:val="22"/>
          <w:lang w:val="en-GB"/>
        </w:rPr>
        <w:t xml:space="preserve">. </w:t>
      </w:r>
      <w:r w:rsidRPr="00E42A49">
        <w:rPr>
          <w:rFonts w:eastAsia="Yu Mincho"/>
          <w:sz w:val="22"/>
          <w:szCs w:val="22"/>
          <w:lang w:val="en-GB" w:eastAsia="ja-JP"/>
        </w:rPr>
        <w:t>The median follow</w:t>
      </w:r>
      <w:r w:rsidRPr="00E42A49">
        <w:rPr>
          <w:sz w:val="22"/>
          <w:szCs w:val="22"/>
          <w:lang w:val="en-GB"/>
        </w:rPr>
        <w:t>-</w:t>
      </w:r>
      <w:r w:rsidRPr="00E42A49">
        <w:rPr>
          <w:rFonts w:eastAsia="Yu Mincho"/>
          <w:sz w:val="22"/>
          <w:szCs w:val="22"/>
          <w:lang w:val="en-GB" w:eastAsia="ja-JP"/>
        </w:rPr>
        <w:t>up time was 7.8 months (range 0.4 to 43.6).</w:t>
      </w:r>
    </w:p>
    <w:p w14:paraId="759AF5C7" w14:textId="3DED936E" w:rsidR="00796C6F" w:rsidRPr="00E46BAE" w:rsidRDefault="0012132A" w:rsidP="00E46BAE">
      <w:pPr>
        <w:pStyle w:val="Caption"/>
        <w:rPr>
          <w:lang w:val="en-GB"/>
        </w:rPr>
      </w:pPr>
      <w:r w:rsidRPr="00E42A49">
        <w:rPr>
          <w:lang w:val="en-GB"/>
        </w:rPr>
        <w:t>Table </w:t>
      </w:r>
      <w:r w:rsidR="005E7649" w:rsidRPr="00E42A49">
        <w:rPr>
          <w:lang w:val="en-GB"/>
        </w:rPr>
        <w:t>5</w:t>
      </w:r>
      <w:r w:rsidRPr="00E42A49">
        <w:rPr>
          <w:lang w:val="en-GB"/>
        </w:rPr>
        <w:t>:</w:t>
      </w:r>
      <w:r w:rsidRPr="00E42A49">
        <w:rPr>
          <w:lang w:val="en-GB"/>
        </w:rPr>
        <w:tab/>
        <w:t xml:space="preserve">Efficacy Results in Patients with Relapsed or Refractory AML with an IDH2 mutation </w:t>
      </w: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5"/>
        <w:gridCol w:w="2416"/>
      </w:tblGrid>
      <w:tr w:rsidR="00796C6F" w:rsidRPr="00E42A49" w14:paraId="366317FF" w14:textId="77777777" w:rsidTr="00B56343">
        <w:trPr>
          <w:cantSplit/>
          <w:tblHeader/>
          <w:jc w:val="center"/>
        </w:trPr>
        <w:tc>
          <w:tcPr>
            <w:tcW w:w="6655" w:type="dxa"/>
            <w:shd w:val="clear" w:color="auto" w:fill="D9D9D9" w:themeFill="background1" w:themeFillShade="D9"/>
          </w:tcPr>
          <w:p w14:paraId="54D3CC3A"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t>Endpoint</w:t>
            </w:r>
          </w:p>
        </w:tc>
        <w:tc>
          <w:tcPr>
            <w:tcW w:w="2416" w:type="dxa"/>
            <w:shd w:val="clear" w:color="auto" w:fill="D9D9D9" w:themeFill="background1" w:themeFillShade="D9"/>
            <w:vAlign w:val="center"/>
          </w:tcPr>
          <w:p w14:paraId="5C4EAD80" w14:textId="77777777" w:rsidR="00796C6F" w:rsidRPr="00E42A49" w:rsidRDefault="00796C6F" w:rsidP="00D14FA7">
            <w:pPr>
              <w:pStyle w:val="C-BodyText"/>
              <w:keepLines/>
              <w:widowControl w:val="0"/>
              <w:spacing w:before="40" w:after="40" w:line="240" w:lineRule="auto"/>
              <w:jc w:val="center"/>
              <w:rPr>
                <w:b/>
                <w:sz w:val="22"/>
                <w:szCs w:val="22"/>
                <w:lang w:val="en-GB"/>
              </w:rPr>
            </w:pPr>
            <w:r w:rsidRPr="00E42A49">
              <w:rPr>
                <w:b/>
                <w:sz w:val="22"/>
                <w:szCs w:val="22"/>
                <w:lang w:val="en-GB"/>
              </w:rPr>
              <w:t>Idhifa</w:t>
            </w:r>
          </w:p>
          <w:p w14:paraId="5162FEEF" w14:textId="77777777" w:rsidR="00796C6F" w:rsidRPr="00E42A49" w:rsidRDefault="00796C6F" w:rsidP="00D14FA7">
            <w:pPr>
              <w:pStyle w:val="C-BodyText"/>
              <w:keepLines/>
              <w:widowControl w:val="0"/>
              <w:spacing w:before="40" w:after="40" w:line="240" w:lineRule="auto"/>
              <w:jc w:val="center"/>
              <w:rPr>
                <w:b/>
                <w:sz w:val="22"/>
                <w:szCs w:val="22"/>
                <w:lang w:val="en-GB"/>
              </w:rPr>
            </w:pPr>
            <w:r w:rsidRPr="00E42A49">
              <w:rPr>
                <w:b/>
                <w:sz w:val="22"/>
                <w:szCs w:val="22"/>
                <w:lang w:val="en-GB"/>
              </w:rPr>
              <w:t xml:space="preserve"> (100 mg daily)</w:t>
            </w:r>
          </w:p>
          <w:p w14:paraId="5DDB0531" w14:textId="77777777" w:rsidR="00796C6F" w:rsidRPr="00E42A49" w:rsidRDefault="00796C6F" w:rsidP="00D14FA7">
            <w:pPr>
              <w:pStyle w:val="C-BodyText"/>
              <w:keepLines/>
              <w:widowControl w:val="0"/>
              <w:spacing w:before="40" w:after="40" w:line="240" w:lineRule="auto"/>
              <w:jc w:val="center"/>
              <w:rPr>
                <w:b/>
                <w:sz w:val="22"/>
                <w:szCs w:val="22"/>
                <w:lang w:val="en-GB"/>
              </w:rPr>
            </w:pPr>
            <w:r w:rsidRPr="00E42A49">
              <w:rPr>
                <w:b/>
                <w:sz w:val="22"/>
                <w:szCs w:val="22"/>
                <w:lang w:val="en-GB"/>
              </w:rPr>
              <w:t>N=214</w:t>
            </w:r>
          </w:p>
        </w:tc>
      </w:tr>
      <w:tr w:rsidR="00796C6F" w:rsidRPr="00E42A49" w14:paraId="6A538D05" w14:textId="77777777" w:rsidTr="00512D79">
        <w:trPr>
          <w:cantSplit/>
          <w:jc w:val="center"/>
        </w:trPr>
        <w:tc>
          <w:tcPr>
            <w:tcW w:w="6655" w:type="dxa"/>
            <w:shd w:val="clear" w:color="auto" w:fill="auto"/>
          </w:tcPr>
          <w:p w14:paraId="129C5A65"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t xml:space="preserve">Overall Response Rate (CR + </w:t>
            </w:r>
            <w:proofErr w:type="spellStart"/>
            <w:r w:rsidRPr="00E42A49">
              <w:rPr>
                <w:b/>
                <w:sz w:val="22"/>
                <w:szCs w:val="22"/>
                <w:lang w:val="en-GB"/>
              </w:rPr>
              <w:t>CRi</w:t>
            </w:r>
            <w:proofErr w:type="spellEnd"/>
            <w:r w:rsidRPr="00E42A49">
              <w:rPr>
                <w:b/>
                <w:sz w:val="22"/>
                <w:szCs w:val="22"/>
                <w:lang w:val="en-GB"/>
              </w:rPr>
              <w:t xml:space="preserve"> + </w:t>
            </w:r>
            <w:proofErr w:type="spellStart"/>
            <w:r w:rsidRPr="00E42A49">
              <w:rPr>
                <w:b/>
                <w:sz w:val="22"/>
                <w:szCs w:val="22"/>
                <w:lang w:val="en-GB"/>
              </w:rPr>
              <w:t>CRp</w:t>
            </w:r>
            <w:proofErr w:type="spellEnd"/>
            <w:r w:rsidRPr="00E42A49">
              <w:rPr>
                <w:b/>
                <w:sz w:val="22"/>
                <w:szCs w:val="22"/>
                <w:lang w:val="en-GB"/>
              </w:rPr>
              <w:t xml:space="preserve"> + PR + MLFS), n (%)</w:t>
            </w:r>
          </w:p>
          <w:p w14:paraId="1344967B" w14:textId="77777777" w:rsidR="00796C6F" w:rsidRPr="00E42A49" w:rsidRDefault="00796C6F" w:rsidP="00D14FA7">
            <w:pPr>
              <w:pStyle w:val="C-BodyText"/>
              <w:keepLines/>
              <w:widowControl w:val="0"/>
              <w:spacing w:before="40" w:after="40" w:line="240" w:lineRule="auto"/>
              <w:ind w:firstLine="293"/>
              <w:rPr>
                <w:sz w:val="22"/>
                <w:szCs w:val="22"/>
                <w:lang w:val="en-GB"/>
              </w:rPr>
            </w:pPr>
            <w:r w:rsidRPr="00E42A49">
              <w:rPr>
                <w:sz w:val="22"/>
                <w:szCs w:val="22"/>
                <w:lang w:val="en-GB"/>
              </w:rPr>
              <w:t>95 % CI</w:t>
            </w:r>
          </w:p>
          <w:p w14:paraId="494DB297" w14:textId="0647B99E" w:rsidR="00796C6F" w:rsidRPr="00E42A49" w:rsidRDefault="00796C6F" w:rsidP="00D14FA7">
            <w:pPr>
              <w:pStyle w:val="C-BodyText"/>
              <w:keepLines/>
              <w:widowControl w:val="0"/>
              <w:spacing w:before="40" w:after="40" w:line="240" w:lineRule="auto"/>
              <w:ind w:left="293"/>
              <w:rPr>
                <w:sz w:val="22"/>
                <w:szCs w:val="22"/>
                <w:lang w:val="en-GB"/>
              </w:rPr>
            </w:pPr>
            <w:r w:rsidRPr="00E42A49">
              <w:rPr>
                <w:sz w:val="22"/>
                <w:szCs w:val="22"/>
                <w:lang w:val="en-GB"/>
              </w:rPr>
              <w:t>Median DOR (months)</w:t>
            </w:r>
          </w:p>
          <w:p w14:paraId="44C936C1" w14:textId="77777777" w:rsidR="00796C6F" w:rsidRPr="00E42A49" w:rsidRDefault="00796C6F" w:rsidP="00D14FA7">
            <w:pPr>
              <w:pStyle w:val="C-BodyText"/>
              <w:keepLines/>
              <w:widowControl w:val="0"/>
              <w:spacing w:before="40" w:after="40" w:line="240" w:lineRule="auto"/>
              <w:ind w:firstLine="293"/>
              <w:rPr>
                <w:b/>
                <w:sz w:val="22"/>
                <w:szCs w:val="22"/>
                <w:lang w:val="en-GB"/>
              </w:rPr>
            </w:pPr>
            <w:r w:rsidRPr="00E42A49">
              <w:rPr>
                <w:sz w:val="22"/>
                <w:szCs w:val="22"/>
                <w:lang w:val="en-GB"/>
              </w:rPr>
              <w:t>95 % CI</w:t>
            </w:r>
          </w:p>
        </w:tc>
        <w:tc>
          <w:tcPr>
            <w:tcW w:w="2416" w:type="dxa"/>
            <w:shd w:val="clear" w:color="auto" w:fill="auto"/>
          </w:tcPr>
          <w:p w14:paraId="7646532A"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83 (38.8)</w:t>
            </w:r>
          </w:p>
          <w:p w14:paraId="02F17649"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(32.2, 45.7)</w:t>
            </w:r>
          </w:p>
          <w:p w14:paraId="04538419"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5.6</w:t>
            </w:r>
          </w:p>
          <w:p w14:paraId="12FF61B1"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(3.8, 7.4)</w:t>
            </w:r>
          </w:p>
        </w:tc>
      </w:tr>
      <w:tr w:rsidR="00796C6F" w:rsidRPr="00E42A49" w14:paraId="093B01C0" w14:textId="77777777" w:rsidTr="00512D79">
        <w:trPr>
          <w:cantSplit/>
          <w:jc w:val="center"/>
        </w:trPr>
        <w:tc>
          <w:tcPr>
            <w:tcW w:w="6655" w:type="dxa"/>
            <w:tcBorders>
              <w:bottom w:val="single" w:sz="6" w:space="0" w:color="auto"/>
            </w:tcBorders>
            <w:shd w:val="clear" w:color="auto" w:fill="auto"/>
          </w:tcPr>
          <w:p w14:paraId="2255DF95"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t>CR n (%)</w:t>
            </w:r>
          </w:p>
          <w:p w14:paraId="536F225B"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95 % CI</w:t>
            </w:r>
          </w:p>
          <w:p w14:paraId="6985E4FB"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Median DOR in subjects with CR (months)</w:t>
            </w:r>
          </w:p>
          <w:p w14:paraId="50AE6EEA" w14:textId="77777777" w:rsidR="00796C6F" w:rsidRPr="00E42A49" w:rsidRDefault="00796C6F" w:rsidP="00D14FA7">
            <w:pPr>
              <w:pStyle w:val="C-BodyText"/>
              <w:keepLines/>
              <w:widowControl w:val="0"/>
              <w:spacing w:before="40" w:after="40" w:line="240" w:lineRule="auto"/>
              <w:ind w:firstLine="310"/>
              <w:rPr>
                <w:b/>
                <w:sz w:val="22"/>
                <w:szCs w:val="22"/>
                <w:lang w:val="en-GB"/>
              </w:rPr>
            </w:pPr>
            <w:r w:rsidRPr="00E42A49">
              <w:rPr>
                <w:sz w:val="22"/>
                <w:szCs w:val="22"/>
                <w:lang w:val="en-GB"/>
              </w:rPr>
              <w:t>95 % CI</w:t>
            </w:r>
          </w:p>
        </w:tc>
        <w:tc>
          <w:tcPr>
            <w:tcW w:w="2416" w:type="dxa"/>
            <w:tcBorders>
              <w:bottom w:val="single" w:sz="6" w:space="0" w:color="auto"/>
            </w:tcBorders>
            <w:shd w:val="clear" w:color="auto" w:fill="auto"/>
          </w:tcPr>
          <w:p w14:paraId="4EE1D8E7"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42 (19.6)</w:t>
            </w:r>
          </w:p>
          <w:p w14:paraId="494B0436"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(14.5, 25.6)</w:t>
            </w:r>
          </w:p>
          <w:p w14:paraId="5DED73D7"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lang w:val="en-GB"/>
              </w:rPr>
              <w:t>7.4</w:t>
            </w:r>
          </w:p>
          <w:p w14:paraId="7981F258" w14:textId="77777777" w:rsidR="00796C6F" w:rsidRPr="00E42A49" w:rsidRDefault="00796C6F" w:rsidP="00D14FA7">
            <w:pPr>
              <w:pStyle w:val="C-BodyText"/>
              <w:keepLines/>
              <w:widowControl w:val="0"/>
              <w:spacing w:before="40" w:after="40" w:line="240" w:lineRule="auto"/>
              <w:jc w:val="center"/>
              <w:rPr>
                <w:sz w:val="22"/>
                <w:szCs w:val="22"/>
                <w:lang w:val="en-GB"/>
              </w:rPr>
            </w:pPr>
            <w:r w:rsidRPr="00E42A49">
              <w:rPr>
                <w:sz w:val="22"/>
                <w:szCs w:val="22"/>
              </w:rPr>
              <w:t>(6.5, 16.3)</w:t>
            </w:r>
          </w:p>
        </w:tc>
      </w:tr>
      <w:tr w:rsidR="00533E20" w:rsidRPr="00E42A49" w14:paraId="10F8E3B6" w14:textId="77777777" w:rsidTr="00512D79">
        <w:trPr>
          <w:cantSplit/>
          <w:jc w:val="center"/>
        </w:trPr>
        <w:tc>
          <w:tcPr>
            <w:tcW w:w="6655" w:type="dxa"/>
            <w:tcBorders>
              <w:bottom w:val="single" w:sz="6" w:space="0" w:color="auto"/>
            </w:tcBorders>
            <w:shd w:val="clear" w:color="auto" w:fill="auto"/>
          </w:tcPr>
          <w:p w14:paraId="4FC0D64E" w14:textId="3DAD1BD6" w:rsidR="00533E20" w:rsidRPr="00E42A49" w:rsidRDefault="00B56343" w:rsidP="00D14FA7">
            <w:pPr>
              <w:pStyle w:val="C-BodyText"/>
              <w:keepLines/>
              <w:widowControl w:val="0"/>
              <w:spacing w:before="40" w:after="40" w:line="240" w:lineRule="auto"/>
              <w:rPr>
                <w:b/>
                <w:bCs/>
                <w:sz w:val="22"/>
                <w:szCs w:val="22"/>
                <w:lang w:val="en-AU" w:eastAsia="ja-JP"/>
              </w:rPr>
            </w:pPr>
            <w:proofErr w:type="spellStart"/>
            <w:r w:rsidRPr="00E42A49">
              <w:rPr>
                <w:b/>
                <w:bCs/>
                <w:sz w:val="22"/>
                <w:szCs w:val="22"/>
                <w:lang w:val="en-AU" w:eastAsia="ja-JP"/>
              </w:rPr>
              <w:t>CRi</w:t>
            </w:r>
            <w:proofErr w:type="spellEnd"/>
            <w:r w:rsidRPr="00E42A49">
              <w:rPr>
                <w:b/>
                <w:bCs/>
                <w:sz w:val="22"/>
                <w:szCs w:val="22"/>
                <w:lang w:val="en-AU" w:eastAsia="ja-JP"/>
              </w:rPr>
              <w:t xml:space="preserve"> /</w:t>
            </w:r>
            <w:r w:rsidR="00654573" w:rsidRPr="00E42A49">
              <w:rPr>
                <w:b/>
                <w:bCs/>
                <w:sz w:val="22"/>
                <w:szCs w:val="22"/>
                <w:lang w:val="en-AU" w:eastAsia="ja-JP"/>
              </w:rPr>
              <w:t xml:space="preserve"> </w:t>
            </w:r>
            <w:proofErr w:type="spellStart"/>
            <w:r w:rsidRPr="00E42A49">
              <w:rPr>
                <w:b/>
                <w:bCs/>
                <w:sz w:val="22"/>
                <w:szCs w:val="22"/>
                <w:lang w:val="en-AU" w:eastAsia="ja-JP"/>
              </w:rPr>
              <w:t>CRp</w:t>
            </w:r>
            <w:proofErr w:type="spellEnd"/>
            <w:r w:rsidRPr="00E42A49">
              <w:rPr>
                <w:b/>
                <w:bCs/>
                <w:sz w:val="22"/>
                <w:szCs w:val="22"/>
                <w:lang w:val="en-AU" w:eastAsia="ja-JP"/>
              </w:rPr>
              <w:t xml:space="preserve"> n (%)</w:t>
            </w:r>
          </w:p>
          <w:p w14:paraId="4B2DC1EB" w14:textId="77777777" w:rsidR="00B56343" w:rsidRPr="00E42A49" w:rsidRDefault="00B56343" w:rsidP="00D14FA7">
            <w:pPr>
              <w:pStyle w:val="C-BodyText"/>
              <w:keepLines/>
              <w:widowControl w:val="0"/>
              <w:spacing w:before="40" w:after="40" w:line="240" w:lineRule="auto"/>
              <w:ind w:firstLine="313"/>
              <w:rPr>
                <w:bCs/>
                <w:sz w:val="22"/>
                <w:szCs w:val="22"/>
                <w:lang w:val="en-AU" w:eastAsia="ja-JP"/>
              </w:rPr>
            </w:pPr>
            <w:r w:rsidRPr="00E42A49">
              <w:rPr>
                <w:bCs/>
                <w:sz w:val="22"/>
                <w:szCs w:val="22"/>
                <w:lang w:val="en-AU" w:eastAsia="ja-JP"/>
              </w:rPr>
              <w:t>95% CI</w:t>
            </w:r>
          </w:p>
          <w:p w14:paraId="4AE87F2C" w14:textId="77777777" w:rsidR="00B56343" w:rsidRPr="00E42A49" w:rsidRDefault="00B56343" w:rsidP="00D14FA7">
            <w:pPr>
              <w:pStyle w:val="C-BodyText"/>
              <w:keepLines/>
              <w:widowControl w:val="0"/>
              <w:spacing w:before="40" w:after="40" w:line="240" w:lineRule="auto"/>
              <w:ind w:firstLine="313"/>
              <w:rPr>
                <w:bCs/>
                <w:sz w:val="22"/>
                <w:szCs w:val="22"/>
                <w:lang w:val="en-AU" w:eastAsia="ja-JP"/>
              </w:rPr>
            </w:pPr>
            <w:r w:rsidRPr="00E42A49">
              <w:rPr>
                <w:bCs/>
                <w:sz w:val="22"/>
                <w:szCs w:val="22"/>
                <w:lang w:val="en-AU" w:eastAsia="ja-JP"/>
              </w:rPr>
              <w:t>Median DOR (months)</w:t>
            </w:r>
          </w:p>
          <w:p w14:paraId="54A1CFAC" w14:textId="0996883E" w:rsidR="00B56343" w:rsidRPr="00E42A49" w:rsidRDefault="00B56343" w:rsidP="00D14FA7">
            <w:pPr>
              <w:pStyle w:val="C-BodyText"/>
              <w:keepLines/>
              <w:widowControl w:val="0"/>
              <w:spacing w:before="40" w:after="40" w:line="240" w:lineRule="auto"/>
              <w:ind w:firstLine="313"/>
              <w:rPr>
                <w:b/>
                <w:sz w:val="22"/>
                <w:szCs w:val="22"/>
                <w:lang w:val="en-GB"/>
              </w:rPr>
            </w:pPr>
            <w:r w:rsidRPr="00E42A49">
              <w:rPr>
                <w:bCs/>
                <w:sz w:val="22"/>
                <w:szCs w:val="22"/>
                <w:lang w:val="en-AU" w:eastAsia="ja-JP"/>
              </w:rPr>
              <w:t>95% CI</w:t>
            </w:r>
          </w:p>
        </w:tc>
        <w:tc>
          <w:tcPr>
            <w:tcW w:w="2416" w:type="dxa"/>
            <w:tcBorders>
              <w:bottom w:val="single" w:sz="6" w:space="0" w:color="auto"/>
            </w:tcBorders>
            <w:shd w:val="clear" w:color="auto" w:fill="auto"/>
          </w:tcPr>
          <w:p w14:paraId="7B8795BD" w14:textId="77777777" w:rsidR="00533E20" w:rsidRPr="00E42A49" w:rsidRDefault="00B56343" w:rsidP="00D14FA7">
            <w:pPr>
              <w:pStyle w:val="C-BodyText"/>
              <w:keepLines/>
              <w:widowControl w:val="0"/>
              <w:spacing w:before="40" w:after="40" w:line="240" w:lineRule="auto"/>
              <w:jc w:val="center"/>
              <w:rPr>
                <w:sz w:val="22"/>
                <w:szCs w:val="22"/>
                <w:lang w:val="en-AU" w:eastAsia="ja-JP"/>
              </w:rPr>
            </w:pPr>
            <w:r w:rsidRPr="00E42A49">
              <w:rPr>
                <w:sz w:val="22"/>
                <w:szCs w:val="22"/>
                <w:lang w:val="en-AU" w:eastAsia="ja-JP"/>
              </w:rPr>
              <w:t>17 (7.9)</w:t>
            </w:r>
          </w:p>
          <w:p w14:paraId="2162C64D" w14:textId="77777777" w:rsidR="00B56343" w:rsidRPr="00E42A49" w:rsidRDefault="00B56343" w:rsidP="00D14FA7">
            <w:pPr>
              <w:pStyle w:val="C-BodyText"/>
              <w:keepLines/>
              <w:widowControl w:val="0"/>
              <w:spacing w:before="40" w:after="40" w:line="240" w:lineRule="auto"/>
              <w:jc w:val="center"/>
              <w:rPr>
                <w:sz w:val="22"/>
                <w:szCs w:val="22"/>
                <w:lang w:val="en-AU" w:eastAsia="ja-JP"/>
              </w:rPr>
            </w:pPr>
            <w:r w:rsidRPr="00E42A49">
              <w:rPr>
                <w:sz w:val="22"/>
                <w:szCs w:val="22"/>
                <w:lang w:val="en-AU" w:eastAsia="ja-JP"/>
              </w:rPr>
              <w:t>(4.7, 12.4)</w:t>
            </w:r>
          </w:p>
          <w:p w14:paraId="1AF53B8A" w14:textId="77777777" w:rsidR="00B56343" w:rsidRPr="00E42A49" w:rsidRDefault="00B56343" w:rsidP="00D14FA7">
            <w:pPr>
              <w:pStyle w:val="C-BodyText"/>
              <w:keepLines/>
              <w:widowControl w:val="0"/>
              <w:spacing w:before="40" w:after="40" w:line="240" w:lineRule="auto"/>
              <w:jc w:val="center"/>
              <w:rPr>
                <w:sz w:val="22"/>
                <w:szCs w:val="22"/>
                <w:lang w:val="en-AU" w:eastAsia="ja-JP"/>
              </w:rPr>
            </w:pPr>
            <w:r w:rsidRPr="00E42A49">
              <w:rPr>
                <w:sz w:val="22"/>
                <w:szCs w:val="22"/>
                <w:lang w:val="en-AU" w:eastAsia="ja-JP"/>
              </w:rPr>
              <w:t>4.6</w:t>
            </w:r>
          </w:p>
          <w:p w14:paraId="5EA8E8D4" w14:textId="2B28AFC7" w:rsidR="00B56343" w:rsidRPr="00E42A49" w:rsidRDefault="00B56343" w:rsidP="00D14FA7">
            <w:pPr>
              <w:pStyle w:val="C-BodyText"/>
              <w:keepLines/>
              <w:widowControl w:val="0"/>
              <w:spacing w:before="40" w:after="40" w:line="240" w:lineRule="auto"/>
              <w:jc w:val="center"/>
              <w:rPr>
                <w:sz w:val="22"/>
                <w:szCs w:val="22"/>
                <w:lang w:val="en-GB"/>
              </w:rPr>
            </w:pPr>
            <w:r w:rsidRPr="00E42A49">
              <w:rPr>
                <w:sz w:val="22"/>
                <w:szCs w:val="22"/>
                <w:lang w:val="en-AU" w:eastAsia="ja-JP"/>
              </w:rPr>
              <w:t>(1.5, NA)</w:t>
            </w:r>
          </w:p>
        </w:tc>
      </w:tr>
      <w:tr w:rsidR="00796C6F" w:rsidRPr="00E42A49" w14:paraId="462B0F2D" w14:textId="77777777" w:rsidTr="00512D79">
        <w:trPr>
          <w:cantSplit/>
          <w:jc w:val="center"/>
        </w:trPr>
        <w:tc>
          <w:tcPr>
            <w:tcW w:w="6655" w:type="dxa"/>
            <w:shd w:val="clear" w:color="auto" w:fill="auto"/>
          </w:tcPr>
          <w:p w14:paraId="37BEC5E4"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t xml:space="preserve">CR + </w:t>
            </w:r>
            <w:proofErr w:type="spellStart"/>
            <w:r w:rsidRPr="00E42A49">
              <w:rPr>
                <w:b/>
                <w:sz w:val="22"/>
                <w:szCs w:val="22"/>
                <w:lang w:val="en-GB"/>
              </w:rPr>
              <w:t>CRi</w:t>
            </w:r>
            <w:proofErr w:type="spellEnd"/>
            <w:r w:rsidRPr="00E42A49">
              <w:rPr>
                <w:b/>
                <w:sz w:val="22"/>
                <w:szCs w:val="22"/>
                <w:lang w:val="en-GB"/>
              </w:rPr>
              <w:t xml:space="preserve"> / </w:t>
            </w:r>
            <w:proofErr w:type="spellStart"/>
            <w:r w:rsidRPr="00E42A49">
              <w:rPr>
                <w:b/>
                <w:sz w:val="22"/>
                <w:szCs w:val="22"/>
                <w:lang w:val="en-GB"/>
              </w:rPr>
              <w:t>CRp</w:t>
            </w:r>
            <w:proofErr w:type="spellEnd"/>
            <w:r w:rsidRPr="00E42A49">
              <w:rPr>
                <w:b/>
                <w:sz w:val="22"/>
                <w:szCs w:val="22"/>
                <w:lang w:val="en-GB"/>
              </w:rPr>
              <w:t>, n (%)</w:t>
            </w:r>
          </w:p>
          <w:p w14:paraId="2CBA9CF0"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95 % CI</w:t>
            </w:r>
          </w:p>
          <w:p w14:paraId="0E236640"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 xml:space="preserve">KM Median DOR in subjects with CR + </w:t>
            </w:r>
            <w:proofErr w:type="spellStart"/>
            <w:r w:rsidRPr="00E42A49">
              <w:rPr>
                <w:sz w:val="22"/>
                <w:szCs w:val="22"/>
                <w:lang w:val="en-GB"/>
              </w:rPr>
              <w:t>CRi</w:t>
            </w:r>
            <w:proofErr w:type="spellEnd"/>
            <w:r w:rsidRPr="00E42A49">
              <w:rPr>
                <w:sz w:val="22"/>
                <w:szCs w:val="22"/>
                <w:lang w:val="en-GB"/>
              </w:rPr>
              <w:t xml:space="preserve"> / </w:t>
            </w:r>
            <w:proofErr w:type="spellStart"/>
            <w:r w:rsidRPr="00E42A49">
              <w:rPr>
                <w:sz w:val="22"/>
                <w:szCs w:val="22"/>
                <w:lang w:val="en-GB"/>
              </w:rPr>
              <w:t>CRp</w:t>
            </w:r>
            <w:proofErr w:type="spellEnd"/>
            <w:r w:rsidRPr="00E42A49">
              <w:rPr>
                <w:sz w:val="22"/>
                <w:szCs w:val="22"/>
                <w:lang w:val="en-GB"/>
              </w:rPr>
              <w:t xml:space="preserve"> (months)</w:t>
            </w:r>
          </w:p>
          <w:p w14:paraId="7F166E87" w14:textId="77777777" w:rsidR="00796C6F" w:rsidRPr="00E42A49" w:rsidRDefault="00796C6F" w:rsidP="00D14FA7">
            <w:pPr>
              <w:pStyle w:val="C-BodyText"/>
              <w:keepLines/>
              <w:widowControl w:val="0"/>
              <w:spacing w:before="40" w:after="40" w:line="240" w:lineRule="auto"/>
              <w:ind w:firstLine="310"/>
              <w:rPr>
                <w:b/>
                <w:sz w:val="22"/>
                <w:szCs w:val="22"/>
                <w:lang w:val="en-GB"/>
              </w:rPr>
            </w:pPr>
            <w:r w:rsidRPr="00E42A49">
              <w:rPr>
                <w:sz w:val="22"/>
                <w:szCs w:val="22"/>
                <w:lang w:val="en-GB"/>
              </w:rPr>
              <w:t>95 % CI</w:t>
            </w:r>
          </w:p>
        </w:tc>
        <w:tc>
          <w:tcPr>
            <w:tcW w:w="2416" w:type="dxa"/>
            <w:shd w:val="clear" w:color="auto" w:fill="auto"/>
          </w:tcPr>
          <w:p w14:paraId="1A9B239C" w14:textId="77777777" w:rsidR="00796C6F" w:rsidRPr="00E42A49" w:rsidRDefault="00796C6F" w:rsidP="00D14FA7">
            <w:pPr>
              <w:keepLines/>
              <w:widowControl w:val="0"/>
              <w:spacing w:before="40" w:after="40"/>
              <w:jc w:val="center"/>
            </w:pPr>
            <w:r w:rsidRPr="00E42A49">
              <w:t>62 (29.0)</w:t>
            </w:r>
          </w:p>
          <w:p w14:paraId="4CB1E72C" w14:textId="77777777" w:rsidR="00796C6F" w:rsidRPr="00E42A49" w:rsidRDefault="00796C6F" w:rsidP="00D14FA7">
            <w:pPr>
              <w:keepLines/>
              <w:widowControl w:val="0"/>
              <w:spacing w:before="40" w:after="40"/>
              <w:jc w:val="center"/>
            </w:pPr>
            <w:r w:rsidRPr="00E42A49">
              <w:t>(23.0, 35.5)</w:t>
            </w:r>
          </w:p>
          <w:p w14:paraId="5FFE521B" w14:textId="77777777" w:rsidR="00796C6F" w:rsidRPr="00E42A49" w:rsidRDefault="00796C6F" w:rsidP="00D14FA7">
            <w:pPr>
              <w:keepLines/>
              <w:widowControl w:val="0"/>
              <w:spacing w:before="40" w:after="40"/>
              <w:jc w:val="center"/>
            </w:pPr>
            <w:r w:rsidRPr="00E42A49">
              <w:t>6.7</w:t>
            </w:r>
          </w:p>
          <w:p w14:paraId="3AA0CED2" w14:textId="77777777" w:rsidR="00796C6F" w:rsidRPr="00E42A49" w:rsidRDefault="00796C6F" w:rsidP="00D14FA7">
            <w:pPr>
              <w:keepLines/>
              <w:widowControl w:val="0"/>
              <w:spacing w:before="40" w:after="40"/>
              <w:jc w:val="center"/>
            </w:pPr>
            <w:r w:rsidRPr="00E42A49">
              <w:t>(5.3, 9.7)</w:t>
            </w:r>
          </w:p>
        </w:tc>
      </w:tr>
      <w:tr w:rsidR="00796C6F" w:rsidRPr="00E42A49" w14:paraId="4DF33746" w14:textId="77777777" w:rsidTr="00512D79">
        <w:trPr>
          <w:cantSplit/>
          <w:jc w:val="center"/>
        </w:trPr>
        <w:tc>
          <w:tcPr>
            <w:tcW w:w="6655" w:type="dxa"/>
            <w:shd w:val="clear" w:color="auto" w:fill="auto"/>
          </w:tcPr>
          <w:p w14:paraId="7CF216B9"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t>Non-CR Response</w:t>
            </w:r>
          </w:p>
          <w:p w14:paraId="414D78B9"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PR</w:t>
            </w:r>
          </w:p>
          <w:p w14:paraId="541D32D6" w14:textId="77777777" w:rsidR="00796C6F" w:rsidRPr="00E42A49" w:rsidRDefault="00796C6F" w:rsidP="00D14FA7">
            <w:pPr>
              <w:pStyle w:val="C-BodyText"/>
              <w:keepLines/>
              <w:widowControl w:val="0"/>
              <w:spacing w:before="40" w:after="40" w:line="240" w:lineRule="auto"/>
              <w:ind w:firstLine="310"/>
              <w:rPr>
                <w:b/>
                <w:sz w:val="22"/>
                <w:szCs w:val="22"/>
                <w:lang w:val="en-GB"/>
              </w:rPr>
            </w:pPr>
            <w:r w:rsidRPr="00E42A49">
              <w:rPr>
                <w:sz w:val="22"/>
                <w:szCs w:val="22"/>
                <w:lang w:val="en-GB"/>
              </w:rPr>
              <w:t>MLFS</w:t>
            </w:r>
          </w:p>
        </w:tc>
        <w:tc>
          <w:tcPr>
            <w:tcW w:w="2416" w:type="dxa"/>
            <w:shd w:val="clear" w:color="auto" w:fill="auto"/>
          </w:tcPr>
          <w:p w14:paraId="101239EE" w14:textId="5A28849B" w:rsidR="00796C6F" w:rsidRPr="00E42A49" w:rsidRDefault="00796C6F" w:rsidP="00D14FA7">
            <w:pPr>
              <w:keepLines/>
              <w:widowControl w:val="0"/>
              <w:spacing w:before="40" w:after="40"/>
              <w:jc w:val="center"/>
            </w:pPr>
          </w:p>
          <w:p w14:paraId="26450800" w14:textId="77777777" w:rsidR="00796C6F" w:rsidRPr="00E42A49" w:rsidRDefault="00796C6F" w:rsidP="00D14FA7">
            <w:pPr>
              <w:keepLines/>
              <w:widowControl w:val="0"/>
              <w:spacing w:before="40" w:after="40"/>
              <w:jc w:val="center"/>
            </w:pPr>
            <w:r w:rsidRPr="00E42A49">
              <w:t>9 (4.2)</w:t>
            </w:r>
          </w:p>
          <w:p w14:paraId="4150A5BE" w14:textId="77777777" w:rsidR="00796C6F" w:rsidRPr="00E42A49" w:rsidRDefault="00796C6F" w:rsidP="00D14FA7">
            <w:pPr>
              <w:keepLines/>
              <w:widowControl w:val="0"/>
              <w:spacing w:before="40" w:after="40"/>
              <w:jc w:val="center"/>
            </w:pPr>
            <w:r w:rsidRPr="00E42A49">
              <w:t>12 (5.6)</w:t>
            </w:r>
          </w:p>
        </w:tc>
      </w:tr>
      <w:tr w:rsidR="00796C6F" w:rsidRPr="00E42A49" w14:paraId="62123631" w14:textId="77777777" w:rsidTr="00512D79">
        <w:trPr>
          <w:cantSplit/>
          <w:jc w:val="center"/>
        </w:trPr>
        <w:tc>
          <w:tcPr>
            <w:tcW w:w="6655" w:type="dxa"/>
            <w:shd w:val="clear" w:color="auto" w:fill="auto"/>
          </w:tcPr>
          <w:p w14:paraId="069C5CB0" w14:textId="7D3AB4B6" w:rsidR="00796C6F" w:rsidRPr="00E42A49" w:rsidRDefault="00B56343" w:rsidP="00D14FA7">
            <w:pPr>
              <w:pStyle w:val="C-BodyText"/>
              <w:keepLines/>
              <w:widowControl w:val="0"/>
              <w:spacing w:before="40" w:after="40" w:line="240" w:lineRule="auto"/>
              <w:rPr>
                <w:b/>
                <w:sz w:val="22"/>
                <w:szCs w:val="22"/>
                <w:lang w:val="en-GB"/>
              </w:rPr>
            </w:pPr>
            <w:r w:rsidRPr="00E42A49">
              <w:rPr>
                <w:b/>
                <w:sz w:val="22"/>
                <w:szCs w:val="22"/>
                <w:lang w:val="en-GB"/>
              </w:rPr>
              <w:t>Non-Responders</w:t>
            </w:r>
          </w:p>
          <w:p w14:paraId="379C80C3" w14:textId="77777777" w:rsidR="00796C6F" w:rsidRPr="00E42A49" w:rsidRDefault="00796C6F" w:rsidP="00D14FA7">
            <w:pPr>
              <w:pStyle w:val="C-BodyText"/>
              <w:keepLines/>
              <w:widowControl w:val="0"/>
              <w:spacing w:before="40" w:after="40" w:line="240" w:lineRule="auto"/>
              <w:ind w:firstLine="310"/>
              <w:rPr>
                <w:sz w:val="22"/>
                <w:szCs w:val="22"/>
                <w:lang w:val="en-GB"/>
              </w:rPr>
            </w:pPr>
            <w:r w:rsidRPr="00E42A49">
              <w:rPr>
                <w:sz w:val="22"/>
                <w:szCs w:val="22"/>
                <w:lang w:val="en-GB"/>
              </w:rPr>
              <w:t>SD</w:t>
            </w:r>
          </w:p>
          <w:p w14:paraId="0A0494DB" w14:textId="77777777" w:rsidR="00796C6F" w:rsidRPr="00E42A49" w:rsidRDefault="00796C6F" w:rsidP="00D14FA7">
            <w:pPr>
              <w:pStyle w:val="C-BodyText"/>
              <w:keepLines/>
              <w:widowControl w:val="0"/>
              <w:spacing w:before="40" w:after="40" w:line="240" w:lineRule="auto"/>
              <w:ind w:firstLine="310"/>
              <w:rPr>
                <w:b/>
                <w:sz w:val="22"/>
                <w:szCs w:val="22"/>
                <w:lang w:val="en-GB"/>
              </w:rPr>
            </w:pPr>
            <w:r w:rsidRPr="00E42A49">
              <w:rPr>
                <w:sz w:val="22"/>
                <w:szCs w:val="22"/>
                <w:lang w:val="en-GB"/>
              </w:rPr>
              <w:t>PD</w:t>
            </w:r>
          </w:p>
        </w:tc>
        <w:tc>
          <w:tcPr>
            <w:tcW w:w="2416" w:type="dxa"/>
            <w:shd w:val="clear" w:color="auto" w:fill="auto"/>
          </w:tcPr>
          <w:p w14:paraId="6CCF4B21" w14:textId="77777777" w:rsidR="00796C6F" w:rsidRPr="00E42A49" w:rsidRDefault="00796C6F" w:rsidP="00D14FA7">
            <w:pPr>
              <w:keepLines/>
              <w:widowControl w:val="0"/>
              <w:spacing w:before="40" w:after="40"/>
              <w:jc w:val="center"/>
            </w:pPr>
          </w:p>
          <w:p w14:paraId="67822C51" w14:textId="77777777" w:rsidR="00796C6F" w:rsidRPr="00E42A49" w:rsidRDefault="00796C6F" w:rsidP="00D14FA7">
            <w:pPr>
              <w:keepLines/>
              <w:widowControl w:val="0"/>
              <w:spacing w:before="40" w:after="40"/>
              <w:jc w:val="center"/>
            </w:pPr>
            <w:r w:rsidRPr="00E42A49">
              <w:t>98 (45.8)</w:t>
            </w:r>
          </w:p>
          <w:p w14:paraId="07EB1F08" w14:textId="77777777" w:rsidR="00796C6F" w:rsidRPr="00E42A49" w:rsidRDefault="00796C6F" w:rsidP="00D14FA7">
            <w:pPr>
              <w:keepLines/>
              <w:widowControl w:val="0"/>
              <w:spacing w:before="40" w:after="40"/>
              <w:jc w:val="center"/>
            </w:pPr>
            <w:r w:rsidRPr="00E42A49">
              <w:t>19 (8.9)</w:t>
            </w:r>
          </w:p>
        </w:tc>
      </w:tr>
      <w:tr w:rsidR="00796C6F" w:rsidRPr="00E42A49" w14:paraId="5D7AEDBB" w14:textId="77777777" w:rsidTr="00512D79">
        <w:trPr>
          <w:cantSplit/>
          <w:jc w:val="center"/>
        </w:trPr>
        <w:tc>
          <w:tcPr>
            <w:tcW w:w="6655" w:type="dxa"/>
            <w:shd w:val="clear" w:color="auto" w:fill="auto"/>
          </w:tcPr>
          <w:p w14:paraId="6FB5F028" w14:textId="77777777" w:rsidR="00796C6F" w:rsidRPr="00E42A49" w:rsidRDefault="00796C6F" w:rsidP="00D14FA7">
            <w:pPr>
              <w:pStyle w:val="C-BodyText"/>
              <w:keepLines/>
              <w:widowControl w:val="0"/>
              <w:spacing w:before="40" w:after="40" w:line="240" w:lineRule="auto"/>
              <w:rPr>
                <w:b/>
                <w:sz w:val="22"/>
                <w:szCs w:val="22"/>
                <w:lang w:val="en-GB"/>
              </w:rPr>
            </w:pPr>
            <w:r w:rsidRPr="00E42A49">
              <w:rPr>
                <w:b/>
                <w:sz w:val="22"/>
                <w:szCs w:val="22"/>
                <w:lang w:val="en-GB"/>
              </w:rPr>
              <w:lastRenderedPageBreak/>
              <w:t>Median Overall Survival (months)</w:t>
            </w:r>
          </w:p>
          <w:p w14:paraId="31CB2020" w14:textId="77777777" w:rsidR="00796C6F" w:rsidRPr="00E42A49" w:rsidRDefault="00796C6F" w:rsidP="00D14FA7">
            <w:pPr>
              <w:pStyle w:val="C-BodyText"/>
              <w:keepLines/>
              <w:widowControl w:val="0"/>
              <w:spacing w:before="40" w:after="40" w:line="240" w:lineRule="auto"/>
              <w:ind w:firstLine="310"/>
              <w:rPr>
                <w:b/>
                <w:sz w:val="22"/>
                <w:szCs w:val="22"/>
                <w:lang w:val="en-GB"/>
              </w:rPr>
            </w:pPr>
            <w:r w:rsidRPr="00E42A49">
              <w:rPr>
                <w:sz w:val="22"/>
                <w:szCs w:val="22"/>
                <w:lang w:val="en-GB"/>
              </w:rPr>
              <w:t>95 % CI</w:t>
            </w:r>
          </w:p>
        </w:tc>
        <w:tc>
          <w:tcPr>
            <w:tcW w:w="2416" w:type="dxa"/>
            <w:shd w:val="clear" w:color="auto" w:fill="auto"/>
          </w:tcPr>
          <w:p w14:paraId="589C2D30" w14:textId="77777777" w:rsidR="00796C6F" w:rsidRPr="00E42A49" w:rsidRDefault="00796C6F" w:rsidP="00D14FA7">
            <w:pPr>
              <w:keepLines/>
              <w:widowControl w:val="0"/>
              <w:spacing w:before="40" w:after="40"/>
              <w:jc w:val="center"/>
              <w:rPr>
                <w:lang w:val="en-GB"/>
              </w:rPr>
            </w:pPr>
            <w:r w:rsidRPr="00E42A49">
              <w:rPr>
                <w:lang w:val="en-GB"/>
              </w:rPr>
              <w:t>8.8</w:t>
            </w:r>
          </w:p>
          <w:p w14:paraId="7A7E61CD" w14:textId="77777777" w:rsidR="00796C6F" w:rsidRPr="00E42A49" w:rsidRDefault="00796C6F" w:rsidP="00D14FA7">
            <w:pPr>
              <w:keepLines/>
              <w:widowControl w:val="0"/>
              <w:spacing w:before="40" w:after="40"/>
              <w:jc w:val="center"/>
            </w:pPr>
            <w:r w:rsidRPr="00E42A49">
              <w:rPr>
                <w:lang w:val="en-GB"/>
              </w:rPr>
              <w:t>(7.7, 9.6)</w:t>
            </w:r>
          </w:p>
        </w:tc>
      </w:tr>
    </w:tbl>
    <w:p w14:paraId="4FFF0D4D" w14:textId="77777777" w:rsidR="00796C6F" w:rsidRPr="00E42A49" w:rsidRDefault="00796C6F" w:rsidP="00B56343">
      <w:pPr>
        <w:pStyle w:val="C-TableFootnote"/>
        <w:ind w:hanging="2"/>
        <w:rPr>
          <w:rFonts w:cs="Times New Roman"/>
          <w:sz w:val="18"/>
          <w:szCs w:val="18"/>
          <w:lang w:val="en-GB"/>
        </w:rPr>
      </w:pPr>
      <w:r w:rsidRPr="00E42A49">
        <w:rPr>
          <w:rFonts w:cs="Times New Roman"/>
          <w:sz w:val="18"/>
          <w:szCs w:val="18"/>
          <w:lang w:val="en-GB"/>
        </w:rPr>
        <w:t xml:space="preserve">CI = confidence interval; CR = complete remission; </w:t>
      </w:r>
      <w:proofErr w:type="spellStart"/>
      <w:r w:rsidRPr="00E42A49">
        <w:rPr>
          <w:rFonts w:cs="Times New Roman"/>
          <w:sz w:val="18"/>
          <w:szCs w:val="18"/>
          <w:lang w:val="en-GB"/>
        </w:rPr>
        <w:t>CRi</w:t>
      </w:r>
      <w:proofErr w:type="spellEnd"/>
      <w:r w:rsidRPr="00E42A49">
        <w:rPr>
          <w:rFonts w:cs="Times New Roman"/>
          <w:sz w:val="18"/>
          <w:szCs w:val="18"/>
          <w:lang w:val="en-GB"/>
        </w:rPr>
        <w:t xml:space="preserve"> = complete remission with incomplete haematological recovery; </w:t>
      </w:r>
      <w:proofErr w:type="spellStart"/>
      <w:r w:rsidRPr="00E42A49">
        <w:rPr>
          <w:rFonts w:cs="Times New Roman"/>
          <w:sz w:val="18"/>
          <w:szCs w:val="18"/>
          <w:lang w:val="en-GB"/>
        </w:rPr>
        <w:t>CRp</w:t>
      </w:r>
      <w:proofErr w:type="spellEnd"/>
      <w:r w:rsidRPr="00E42A49">
        <w:rPr>
          <w:rFonts w:cs="Times New Roman"/>
          <w:sz w:val="18"/>
          <w:szCs w:val="18"/>
          <w:lang w:val="en-GB"/>
        </w:rPr>
        <w:t xml:space="preserve"> = complete remission with incomplete platelet recovery; DOR = duration of response; MLFS = morphologic leukaemia-free state; ORR = overall response rate; PD = progressive disease; PR = partial remission; SD = stable disease.</w:t>
      </w:r>
    </w:p>
    <w:p w14:paraId="5C3BBCF5" w14:textId="74AD7CBC" w:rsidR="00B56343" w:rsidRPr="00E42A49" w:rsidRDefault="00B56343" w:rsidP="00E46BAE">
      <w:pPr>
        <w:pStyle w:val="C-BodyText"/>
        <w:spacing w:before="0" w:after="0" w:line="240" w:lineRule="auto"/>
        <w:rPr>
          <w:sz w:val="22"/>
          <w:szCs w:val="22"/>
          <w:lang w:val="en-AU"/>
        </w:rPr>
      </w:pPr>
    </w:p>
    <w:p w14:paraId="4AD25313" w14:textId="77777777" w:rsidR="00EF28EB" w:rsidRPr="00E42A49" w:rsidRDefault="00796C6F" w:rsidP="00E46BAE">
      <w:pPr>
        <w:autoSpaceDE w:val="0"/>
        <w:autoSpaceDN w:val="0"/>
        <w:adjustRightInd w:val="0"/>
        <w:spacing w:after="0"/>
        <w:rPr>
          <w:lang w:val="en-GB"/>
        </w:rPr>
      </w:pPr>
      <w:r w:rsidRPr="00E42A49">
        <w:rPr>
          <w:lang w:val="en-GB"/>
        </w:rPr>
        <w:t xml:space="preserve">Consistent with the mechanism of action, treatment with </w:t>
      </w:r>
      <w:r w:rsidR="00254813" w:rsidRPr="00E42A49">
        <w:rPr>
          <w:lang w:val="en-GB"/>
        </w:rPr>
        <w:t>Idhifa</w:t>
      </w:r>
      <w:r w:rsidRPr="00E42A49">
        <w:rPr>
          <w:lang w:val="en-GB"/>
        </w:rPr>
        <w:t xml:space="preserve"> was associated with </w:t>
      </w:r>
      <w:proofErr w:type="spellStart"/>
      <w:r w:rsidRPr="00E42A49">
        <w:rPr>
          <w:lang w:val="en-GB"/>
        </w:rPr>
        <w:t>leukaemic</w:t>
      </w:r>
      <w:proofErr w:type="spellEnd"/>
      <w:r w:rsidRPr="00E42A49">
        <w:rPr>
          <w:lang w:val="en-GB"/>
        </w:rPr>
        <w:t xml:space="preserve"> cell differentiation leading to an improvement in haematopoiesis and durable responses, including CR. </w:t>
      </w:r>
      <w:r w:rsidR="00B56343" w:rsidRPr="00E42A49">
        <w:rPr>
          <w:lang w:val="en-GB"/>
        </w:rPr>
        <w:t xml:space="preserve"> </w:t>
      </w:r>
    </w:p>
    <w:p w14:paraId="36F8481A" w14:textId="77777777" w:rsidR="00EF28EB" w:rsidRPr="00E42A49" w:rsidRDefault="00EF28EB" w:rsidP="00E46BAE">
      <w:pPr>
        <w:autoSpaceDE w:val="0"/>
        <w:autoSpaceDN w:val="0"/>
        <w:adjustRightInd w:val="0"/>
        <w:spacing w:after="0" w:line="240" w:lineRule="auto"/>
        <w:rPr>
          <w:lang w:val="en-GB"/>
        </w:rPr>
      </w:pPr>
    </w:p>
    <w:p w14:paraId="65DB52B0" w14:textId="77777777" w:rsidR="00EF28EB" w:rsidRPr="00E42A49" w:rsidRDefault="00796C6F" w:rsidP="00E46BAE">
      <w:pPr>
        <w:autoSpaceDE w:val="0"/>
        <w:autoSpaceDN w:val="0"/>
        <w:adjustRightInd w:val="0"/>
        <w:spacing w:after="0"/>
        <w:rPr>
          <w:lang w:val="en-GB"/>
        </w:rPr>
      </w:pPr>
      <w:r w:rsidRPr="00E42A49">
        <w:rPr>
          <w:lang w:val="en-GB"/>
        </w:rPr>
        <w:t>The</w:t>
      </w:r>
      <w:r w:rsidR="00EF28EB" w:rsidRPr="00E42A49">
        <w:rPr>
          <w:lang w:val="en-GB"/>
        </w:rPr>
        <w:t xml:space="preserve"> median time to first response was </w:t>
      </w:r>
      <w:r w:rsidRPr="00E42A49">
        <w:rPr>
          <w:lang w:val="en-GB"/>
        </w:rPr>
        <w:t>1</w:t>
      </w:r>
      <w:r w:rsidR="00EF28EB" w:rsidRPr="00E42A49">
        <w:rPr>
          <w:lang w:val="en-GB"/>
        </w:rPr>
        <w:t xml:space="preserve">.9 months while the median time to best response was 3.7 months. </w:t>
      </w:r>
      <w:r w:rsidRPr="00E42A49">
        <w:rPr>
          <w:lang w:val="en-GB"/>
        </w:rPr>
        <w:t xml:space="preserve"> </w:t>
      </w:r>
      <w:r w:rsidR="00EF28EB" w:rsidRPr="00E42A49">
        <w:rPr>
          <w:lang w:val="en-GB"/>
        </w:rPr>
        <w:t xml:space="preserve">Of the </w:t>
      </w:r>
      <w:r w:rsidRPr="00E42A49">
        <w:rPr>
          <w:lang w:val="en-GB"/>
        </w:rPr>
        <w:t>subjects who achieved a best response of CR, 19.0 % achieved a CR by Cycle 3, 59.5 % by Cy</w:t>
      </w:r>
      <w:r w:rsidR="00EF28EB" w:rsidRPr="00E42A49">
        <w:rPr>
          <w:lang w:val="en-GB"/>
        </w:rPr>
        <w:t>cle 5, and 83.3 % by Cycle 7.  The</w:t>
      </w:r>
      <w:r w:rsidRPr="00E42A49">
        <w:rPr>
          <w:lang w:val="en-GB"/>
        </w:rPr>
        <w:t xml:space="preserve"> median duration of response for subjects who achieved CR was </w:t>
      </w:r>
      <w:r w:rsidR="00EF28EB" w:rsidRPr="00E42A49">
        <w:rPr>
          <w:lang w:val="en-GB"/>
        </w:rPr>
        <w:t>7.4 months (range: 6.5 to 16.3)</w:t>
      </w:r>
      <w:r w:rsidRPr="00E42A49">
        <w:rPr>
          <w:lang w:val="en-GB"/>
        </w:rPr>
        <w:t>.</w:t>
      </w:r>
      <w:r w:rsidR="00EF28EB" w:rsidRPr="00E42A49">
        <w:rPr>
          <w:lang w:val="en-GB"/>
        </w:rPr>
        <w:t xml:space="preserve"> </w:t>
      </w:r>
      <w:r w:rsidRPr="00E42A49">
        <w:rPr>
          <w:lang w:val="en-GB"/>
        </w:rPr>
        <w:t xml:space="preserve"> </w:t>
      </w:r>
    </w:p>
    <w:p w14:paraId="73629F06" w14:textId="77777777" w:rsidR="00796C6F" w:rsidRPr="00E42A49" w:rsidRDefault="00796C6F" w:rsidP="00E46BAE">
      <w:pPr>
        <w:pStyle w:val="C-BodyText"/>
        <w:spacing w:before="0" w:after="0" w:line="240" w:lineRule="auto"/>
        <w:rPr>
          <w:sz w:val="22"/>
          <w:szCs w:val="22"/>
          <w:lang w:val="en-GB"/>
        </w:rPr>
      </w:pPr>
    </w:p>
    <w:p w14:paraId="4E21F89C" w14:textId="27A1547A" w:rsidR="003A70DF" w:rsidRPr="00E42A49" w:rsidRDefault="00796C6F" w:rsidP="001A1821">
      <w:pPr>
        <w:pStyle w:val="C-BodyText"/>
        <w:spacing w:before="0" w:after="0"/>
        <w:rPr>
          <w:sz w:val="22"/>
          <w:szCs w:val="22"/>
          <w:lang w:val="en-AU"/>
        </w:rPr>
      </w:pPr>
      <w:r w:rsidRPr="00E42A49">
        <w:rPr>
          <w:sz w:val="22"/>
          <w:szCs w:val="22"/>
          <w:lang w:val="en-GB"/>
        </w:rPr>
        <w:t>T</w:t>
      </w:r>
      <w:r w:rsidR="00FF1534" w:rsidRPr="00E42A49">
        <w:rPr>
          <w:sz w:val="22"/>
          <w:szCs w:val="22"/>
          <w:lang w:val="en-GB"/>
        </w:rPr>
        <w:t>ransfusion independence</w:t>
      </w:r>
      <w:r w:rsidRPr="00E42A49">
        <w:rPr>
          <w:sz w:val="22"/>
          <w:szCs w:val="22"/>
          <w:lang w:val="en-GB"/>
        </w:rPr>
        <w:t xml:space="preserve"> was defined as a period of at least 56 consecutive day</w:t>
      </w:r>
      <w:r w:rsidR="00FF1534" w:rsidRPr="00E42A49">
        <w:rPr>
          <w:sz w:val="22"/>
          <w:szCs w:val="22"/>
          <w:lang w:val="en-GB"/>
        </w:rPr>
        <w:t>s during which no transfusions (red blood cells or platelets)</w:t>
      </w:r>
      <w:r w:rsidRPr="00E42A49">
        <w:rPr>
          <w:sz w:val="22"/>
          <w:szCs w:val="22"/>
          <w:lang w:val="en-GB"/>
        </w:rPr>
        <w:t xml:space="preserve"> were </w:t>
      </w:r>
      <w:r w:rsidR="003A70DF" w:rsidRPr="00E42A49">
        <w:rPr>
          <w:sz w:val="22"/>
          <w:szCs w:val="22"/>
          <w:lang w:val="en-GB"/>
        </w:rPr>
        <w:t>administered</w:t>
      </w:r>
      <w:r w:rsidRPr="00E42A49">
        <w:rPr>
          <w:sz w:val="22"/>
          <w:szCs w:val="22"/>
          <w:lang w:val="en-GB"/>
        </w:rPr>
        <w:t xml:space="preserve">. </w:t>
      </w:r>
      <w:r w:rsidR="003A70DF" w:rsidRPr="00E42A49">
        <w:rPr>
          <w:sz w:val="22"/>
          <w:szCs w:val="22"/>
          <w:lang w:val="en-GB"/>
        </w:rPr>
        <w:t xml:space="preserve"> </w:t>
      </w:r>
      <w:r w:rsidRPr="00E42A49">
        <w:rPr>
          <w:sz w:val="22"/>
          <w:szCs w:val="22"/>
          <w:lang w:val="en-GB"/>
        </w:rPr>
        <w:t xml:space="preserve">Among the 153 patients (71.5 %) who were dependent on red blood cell (RBC) transfusions at baseline, 66 patients (43.1 %) became RBC </w:t>
      </w:r>
      <w:r w:rsidR="00FF1534" w:rsidRPr="00E42A49">
        <w:rPr>
          <w:sz w:val="22"/>
          <w:szCs w:val="22"/>
          <w:lang w:val="en-GB"/>
        </w:rPr>
        <w:t>transfusion independent (</w:t>
      </w:r>
      <w:r w:rsidRPr="00E42A49">
        <w:rPr>
          <w:sz w:val="22"/>
          <w:szCs w:val="22"/>
          <w:lang w:val="en-GB"/>
        </w:rPr>
        <w:t>TI</w:t>
      </w:r>
      <w:r w:rsidR="00FF1534" w:rsidRPr="00E42A49">
        <w:rPr>
          <w:sz w:val="22"/>
          <w:szCs w:val="22"/>
          <w:lang w:val="en-GB"/>
        </w:rPr>
        <w:t>)</w:t>
      </w:r>
      <w:r w:rsidRPr="00E42A49">
        <w:rPr>
          <w:sz w:val="22"/>
          <w:szCs w:val="22"/>
          <w:lang w:val="en-GB"/>
        </w:rPr>
        <w:t xml:space="preserve">. </w:t>
      </w:r>
      <w:r w:rsidR="003A70DF" w:rsidRPr="00E42A49">
        <w:rPr>
          <w:sz w:val="22"/>
          <w:szCs w:val="22"/>
          <w:lang w:val="en-GB"/>
        </w:rPr>
        <w:t xml:space="preserve"> </w:t>
      </w:r>
      <w:r w:rsidRPr="00E42A49">
        <w:rPr>
          <w:sz w:val="22"/>
          <w:szCs w:val="22"/>
          <w:lang w:val="en-GB"/>
        </w:rPr>
        <w:t xml:space="preserve">In addition, of </w:t>
      </w:r>
      <w:r w:rsidR="00FF1534" w:rsidRPr="00E42A49">
        <w:rPr>
          <w:sz w:val="22"/>
          <w:szCs w:val="22"/>
          <w:lang w:val="en-GB"/>
        </w:rPr>
        <w:t>the 61 patients who were RBC-TI</w:t>
      </w:r>
      <w:r w:rsidRPr="00E42A49">
        <w:rPr>
          <w:sz w:val="22"/>
          <w:szCs w:val="22"/>
          <w:lang w:val="en-GB"/>
        </w:rPr>
        <w:t xml:space="preserve"> at baseline, 40 (65.6 %) remained TI. </w:t>
      </w:r>
      <w:r w:rsidR="00E82DCD" w:rsidRPr="00E42A49">
        <w:rPr>
          <w:sz w:val="22"/>
          <w:szCs w:val="22"/>
          <w:lang w:val="en-GB"/>
        </w:rPr>
        <w:t xml:space="preserve"> </w:t>
      </w:r>
      <w:r w:rsidR="00E82DCD" w:rsidRPr="00E42A49">
        <w:rPr>
          <w:sz w:val="22"/>
          <w:szCs w:val="22"/>
          <w:lang w:val="en-AU"/>
        </w:rPr>
        <w:t>One hundred and six patients</w:t>
      </w:r>
      <w:r w:rsidR="00FF1534" w:rsidRPr="00E42A49">
        <w:rPr>
          <w:sz w:val="22"/>
          <w:szCs w:val="22"/>
          <w:lang w:val="en-AU"/>
        </w:rPr>
        <w:t xml:space="preserve"> (49.5%) remained or became RBC-</w:t>
      </w:r>
      <w:r w:rsidR="00E82DCD" w:rsidRPr="00E42A49">
        <w:rPr>
          <w:sz w:val="22"/>
          <w:szCs w:val="22"/>
          <w:lang w:val="en-AU"/>
        </w:rPr>
        <w:t>TI while receiving Idhifa treatment.</w:t>
      </w:r>
    </w:p>
    <w:p w14:paraId="4DCB9033" w14:textId="77777777" w:rsidR="003A70DF" w:rsidRPr="00E42A49" w:rsidRDefault="003A70DF" w:rsidP="00E46BAE">
      <w:pPr>
        <w:pStyle w:val="C-BodyText"/>
        <w:spacing w:before="0" w:after="0" w:line="240" w:lineRule="auto"/>
        <w:rPr>
          <w:sz w:val="22"/>
          <w:szCs w:val="22"/>
          <w:lang w:val="en-GB"/>
        </w:rPr>
      </w:pPr>
    </w:p>
    <w:p w14:paraId="6CD8C27F" w14:textId="1D1C2684" w:rsidR="003A70DF" w:rsidRPr="00E42A49" w:rsidRDefault="00E82DCD" w:rsidP="001A1821">
      <w:pPr>
        <w:pStyle w:val="C-BodyText"/>
        <w:spacing w:before="0" w:after="0"/>
        <w:rPr>
          <w:sz w:val="22"/>
          <w:szCs w:val="22"/>
          <w:lang w:val="en-AU"/>
        </w:rPr>
      </w:pPr>
      <w:r w:rsidRPr="00E42A49">
        <w:rPr>
          <w:sz w:val="22"/>
          <w:szCs w:val="22"/>
          <w:lang w:val="en-GB"/>
        </w:rPr>
        <w:t>Similarly, o</w:t>
      </w:r>
      <w:r w:rsidR="00796C6F" w:rsidRPr="00E42A49">
        <w:rPr>
          <w:sz w:val="22"/>
          <w:szCs w:val="22"/>
          <w:lang w:val="en-GB"/>
        </w:rPr>
        <w:t xml:space="preserve">f the 132 patients (61.7 %) who were dependent on platelet transfusions at baseline, 53 (40.2 %) became </w:t>
      </w:r>
      <w:r w:rsidR="00FF1534" w:rsidRPr="00E42A49">
        <w:rPr>
          <w:sz w:val="22"/>
          <w:szCs w:val="22"/>
          <w:lang w:val="en-GB"/>
        </w:rPr>
        <w:t>TI</w:t>
      </w:r>
      <w:r w:rsidR="00796C6F" w:rsidRPr="00E42A49">
        <w:rPr>
          <w:sz w:val="22"/>
          <w:szCs w:val="22"/>
          <w:lang w:val="en-GB"/>
        </w:rPr>
        <w:t xml:space="preserve">. </w:t>
      </w:r>
      <w:r w:rsidR="003A70DF" w:rsidRPr="00E42A49">
        <w:rPr>
          <w:sz w:val="22"/>
          <w:szCs w:val="22"/>
          <w:lang w:val="en-GB"/>
        </w:rPr>
        <w:t xml:space="preserve"> </w:t>
      </w:r>
      <w:r w:rsidR="00796C6F" w:rsidRPr="00E42A49">
        <w:rPr>
          <w:sz w:val="22"/>
          <w:szCs w:val="22"/>
          <w:lang w:val="en-GB"/>
        </w:rPr>
        <w:t>Ei</w:t>
      </w:r>
      <w:r w:rsidRPr="00E42A49">
        <w:rPr>
          <w:sz w:val="22"/>
          <w:szCs w:val="22"/>
          <w:lang w:val="en-GB"/>
        </w:rPr>
        <w:t>ghty-two patients were platelet-</w:t>
      </w:r>
      <w:r w:rsidR="00796C6F" w:rsidRPr="00E42A49">
        <w:rPr>
          <w:sz w:val="22"/>
          <w:szCs w:val="22"/>
          <w:lang w:val="en-GB"/>
        </w:rPr>
        <w:t>TI at baseline, of which 62 (75.6 %) remained TI.</w:t>
      </w:r>
      <w:r w:rsidR="003A70DF" w:rsidRPr="00E42A49">
        <w:rPr>
          <w:sz w:val="22"/>
          <w:szCs w:val="22"/>
          <w:lang w:val="en-GB"/>
        </w:rPr>
        <w:t xml:space="preserve">  </w:t>
      </w:r>
      <w:r w:rsidRPr="00E42A49">
        <w:rPr>
          <w:sz w:val="22"/>
          <w:szCs w:val="22"/>
          <w:lang w:val="en-AU"/>
        </w:rPr>
        <w:t>One hundred and fifteen patients (53.7%) remained or became platelet-TI while receiving Idhifa treatment.</w:t>
      </w:r>
    </w:p>
    <w:p w14:paraId="6FF89090" w14:textId="77777777" w:rsidR="003A70DF" w:rsidRPr="00E42A49" w:rsidRDefault="003A70DF" w:rsidP="00E46BAE">
      <w:pPr>
        <w:pStyle w:val="C-BodyText"/>
        <w:spacing w:before="0" w:after="0" w:line="240" w:lineRule="auto"/>
        <w:rPr>
          <w:sz w:val="22"/>
          <w:szCs w:val="22"/>
          <w:lang w:val="en-GB"/>
        </w:rPr>
      </w:pPr>
    </w:p>
    <w:p w14:paraId="052148C1" w14:textId="797613D7" w:rsidR="00796C6F" w:rsidRPr="00E42A49" w:rsidRDefault="00FF1534" w:rsidP="00E46BAE">
      <w:pPr>
        <w:pStyle w:val="C-BodyText"/>
        <w:spacing w:before="0" w:after="0" w:line="240" w:lineRule="auto"/>
        <w:rPr>
          <w:sz w:val="22"/>
          <w:szCs w:val="22"/>
          <w:lang w:val="en-GB"/>
        </w:rPr>
      </w:pPr>
      <w:r w:rsidRPr="00E42A49">
        <w:rPr>
          <w:sz w:val="22"/>
          <w:szCs w:val="22"/>
          <w:lang w:val="en-GB"/>
        </w:rPr>
        <w:t>Transfusion independence</w:t>
      </w:r>
      <w:r w:rsidR="00796C6F" w:rsidRPr="00E42A49">
        <w:rPr>
          <w:sz w:val="22"/>
          <w:szCs w:val="22"/>
          <w:lang w:val="en-GB"/>
        </w:rPr>
        <w:t xml:space="preserve"> was maintained</w:t>
      </w:r>
      <w:r w:rsidR="003A70DF" w:rsidRPr="00E42A49">
        <w:rPr>
          <w:sz w:val="22"/>
          <w:szCs w:val="22"/>
          <w:lang w:val="en-GB"/>
        </w:rPr>
        <w:t xml:space="preserve"> / achieved</w:t>
      </w:r>
      <w:r w:rsidR="00796C6F" w:rsidRPr="00E42A49">
        <w:rPr>
          <w:sz w:val="22"/>
          <w:szCs w:val="22"/>
          <w:lang w:val="en-GB"/>
        </w:rPr>
        <w:t xml:space="preserve"> in patients that did not achieve a full CR. </w:t>
      </w:r>
      <w:r w:rsidR="003A70DF" w:rsidRPr="00E42A49">
        <w:rPr>
          <w:sz w:val="22"/>
          <w:szCs w:val="22"/>
          <w:lang w:val="en-GB"/>
        </w:rPr>
        <w:t xml:space="preserve"> </w:t>
      </w:r>
      <w:r w:rsidR="00796C6F" w:rsidRPr="00E42A49">
        <w:rPr>
          <w:sz w:val="22"/>
          <w:szCs w:val="22"/>
          <w:lang w:val="en-GB"/>
        </w:rPr>
        <w:t>In the case of RBC, in non-CR responders (i.e. pati</w:t>
      </w:r>
      <w:r w:rsidRPr="00E42A49">
        <w:rPr>
          <w:sz w:val="22"/>
          <w:szCs w:val="22"/>
          <w:lang w:val="en-GB"/>
        </w:rPr>
        <w:t>ents with C</w:t>
      </w:r>
      <w:r w:rsidR="00DA1174" w:rsidRPr="00E42A49">
        <w:rPr>
          <w:sz w:val="22"/>
          <w:szCs w:val="22"/>
          <w:lang w:val="en-GB"/>
        </w:rPr>
        <w:t>r</w:t>
      </w:r>
      <w:r w:rsidRPr="00E42A49">
        <w:rPr>
          <w:sz w:val="22"/>
          <w:szCs w:val="22"/>
          <w:lang w:val="en-GB"/>
        </w:rPr>
        <w:t>i</w:t>
      </w:r>
      <w:r w:rsidR="00DA1174" w:rsidRPr="00E42A49">
        <w:rPr>
          <w:sz w:val="22"/>
          <w:szCs w:val="22"/>
          <w:lang w:val="en-GB"/>
        </w:rPr>
        <w:t xml:space="preserve"> </w:t>
      </w:r>
      <w:r w:rsidRPr="00E42A49">
        <w:rPr>
          <w:sz w:val="22"/>
          <w:szCs w:val="22"/>
          <w:lang w:val="en-GB"/>
        </w:rPr>
        <w:t xml:space="preserve">/ </w:t>
      </w:r>
      <w:proofErr w:type="spellStart"/>
      <w:r w:rsidRPr="00E42A49">
        <w:rPr>
          <w:sz w:val="22"/>
          <w:szCs w:val="22"/>
          <w:lang w:val="en-GB"/>
        </w:rPr>
        <w:t>CRp</w:t>
      </w:r>
      <w:proofErr w:type="spellEnd"/>
      <w:r w:rsidR="00DA1174" w:rsidRPr="00E42A49">
        <w:rPr>
          <w:sz w:val="22"/>
          <w:szCs w:val="22"/>
          <w:lang w:val="en-GB"/>
        </w:rPr>
        <w:t xml:space="preserve"> </w:t>
      </w:r>
      <w:r w:rsidRPr="00E42A49">
        <w:rPr>
          <w:sz w:val="22"/>
          <w:szCs w:val="22"/>
          <w:lang w:val="en-GB"/>
        </w:rPr>
        <w:t>/ PR</w:t>
      </w:r>
      <w:r w:rsidR="00DA1174" w:rsidRPr="00E42A49">
        <w:rPr>
          <w:sz w:val="22"/>
          <w:szCs w:val="22"/>
          <w:lang w:val="en-GB"/>
        </w:rPr>
        <w:t xml:space="preserve"> / MLFS</w:t>
      </w:r>
      <w:r w:rsidRPr="00E42A49">
        <w:rPr>
          <w:sz w:val="22"/>
          <w:szCs w:val="22"/>
          <w:lang w:val="en-GB"/>
        </w:rPr>
        <w:t>)</w:t>
      </w:r>
      <w:r w:rsidR="00DA1174" w:rsidRPr="00E42A49">
        <w:rPr>
          <w:sz w:val="22"/>
          <w:szCs w:val="22"/>
          <w:lang w:val="en-GB"/>
        </w:rPr>
        <w:t xml:space="preserve">, </w:t>
      </w:r>
      <w:r w:rsidRPr="00E42A49">
        <w:rPr>
          <w:sz w:val="22"/>
          <w:szCs w:val="22"/>
          <w:lang w:val="en-GB"/>
        </w:rPr>
        <w:t>transfusion independence</w:t>
      </w:r>
      <w:r w:rsidR="00796C6F" w:rsidRPr="00E42A49">
        <w:rPr>
          <w:sz w:val="22"/>
          <w:szCs w:val="22"/>
          <w:lang w:val="en-GB"/>
        </w:rPr>
        <w:t xml:space="preserve"> was achieved in 57.6 % of the patients and was maintained in 87.5 %. </w:t>
      </w:r>
      <w:r w:rsidR="003A70DF" w:rsidRPr="00E42A49">
        <w:rPr>
          <w:sz w:val="22"/>
          <w:szCs w:val="22"/>
          <w:lang w:val="en-GB"/>
        </w:rPr>
        <w:t xml:space="preserve"> </w:t>
      </w:r>
      <w:r w:rsidRPr="00E42A49">
        <w:rPr>
          <w:sz w:val="22"/>
          <w:szCs w:val="22"/>
          <w:lang w:val="en-GB"/>
        </w:rPr>
        <w:t>In the case of platelets, transfusion independence</w:t>
      </w:r>
      <w:r w:rsidR="00796C6F" w:rsidRPr="00E42A49">
        <w:rPr>
          <w:sz w:val="22"/>
          <w:szCs w:val="22"/>
          <w:lang w:val="en-GB"/>
        </w:rPr>
        <w:t xml:space="preserve"> was achieved in 60.9 % of patients and maintained in 83.3 %.</w:t>
      </w:r>
    </w:p>
    <w:p w14:paraId="64370F23" w14:textId="310353FC" w:rsidR="00796C6F" w:rsidRPr="00E42A49" w:rsidRDefault="00796C6F" w:rsidP="000A6372">
      <w:pPr>
        <w:pStyle w:val="C-Heading2"/>
        <w:rPr>
          <w:caps/>
          <w:sz w:val="24"/>
          <w:szCs w:val="24"/>
        </w:rPr>
      </w:pPr>
      <w:r w:rsidRPr="00E42A49">
        <w:rPr>
          <w:caps/>
          <w:sz w:val="24"/>
          <w:szCs w:val="24"/>
        </w:rPr>
        <w:t xml:space="preserve">Pharmacokinetic properties </w:t>
      </w:r>
    </w:p>
    <w:p w14:paraId="7CB47871" w14:textId="1E0EF90B" w:rsidR="007548E9" w:rsidRPr="00E42A49" w:rsidRDefault="007548E9" w:rsidP="007548E9">
      <w:pPr>
        <w:pStyle w:val="C-BodyText"/>
        <w:spacing w:after="0"/>
        <w:rPr>
          <w:sz w:val="22"/>
          <w:szCs w:val="22"/>
          <w:lang w:val="en-AU"/>
        </w:rPr>
      </w:pPr>
      <w:r w:rsidRPr="00E42A49">
        <w:rPr>
          <w:sz w:val="22"/>
          <w:szCs w:val="22"/>
          <w:lang w:val="en-AU"/>
        </w:rPr>
        <w:t xml:space="preserve">The pharmacokinetics of </w:t>
      </w:r>
      <w:proofErr w:type="spellStart"/>
      <w:r w:rsidRPr="00E42A49">
        <w:rPr>
          <w:sz w:val="22"/>
          <w:szCs w:val="22"/>
          <w:lang w:val="en-AU"/>
        </w:rPr>
        <w:t>enasidenib</w:t>
      </w:r>
      <w:proofErr w:type="spellEnd"/>
      <w:r w:rsidRPr="00E42A49">
        <w:rPr>
          <w:sz w:val="22"/>
          <w:szCs w:val="22"/>
          <w:lang w:val="en-AU"/>
        </w:rPr>
        <w:t xml:space="preserve"> were studied in healthy subjects and patients with advanced hematologic malignancies with an IDH2 mutation.</w:t>
      </w:r>
    </w:p>
    <w:p w14:paraId="119E5E43" w14:textId="77777777" w:rsidR="007548E9" w:rsidRPr="00E42A49" w:rsidRDefault="007548E9" w:rsidP="000A6372">
      <w:pPr>
        <w:pStyle w:val="C-BodyText"/>
        <w:spacing w:before="0" w:after="0" w:line="240" w:lineRule="auto"/>
        <w:rPr>
          <w:sz w:val="22"/>
          <w:szCs w:val="22"/>
          <w:lang w:val="en-GB"/>
        </w:rPr>
      </w:pPr>
    </w:p>
    <w:p w14:paraId="2F4C8C74" w14:textId="77777777" w:rsidR="00796C6F" w:rsidRPr="00E42A49" w:rsidRDefault="00796C6F" w:rsidP="00796C6F">
      <w:pPr>
        <w:pStyle w:val="Heading3"/>
      </w:pPr>
      <w:r w:rsidRPr="00E42A49">
        <w:t>Absorption</w:t>
      </w:r>
    </w:p>
    <w:p w14:paraId="26B516B5" w14:textId="131B5FE5" w:rsidR="00796C6F" w:rsidRPr="00E42A49" w:rsidRDefault="00796C6F" w:rsidP="00E46BAE">
      <w:pPr>
        <w:spacing w:after="0"/>
        <w:rPr>
          <w:lang w:val="en-GB"/>
        </w:rPr>
      </w:pPr>
      <w:r w:rsidRPr="00E42A49">
        <w:rPr>
          <w:lang w:val="en-GB"/>
        </w:rPr>
        <w:t>The peak plasma concentration (</w:t>
      </w:r>
      <w:proofErr w:type="spellStart"/>
      <w:r w:rsidRPr="00E42A49">
        <w:rPr>
          <w:lang w:val="en-GB"/>
        </w:rPr>
        <w:t>C</w:t>
      </w:r>
      <w:r w:rsidRPr="00E42A49">
        <w:rPr>
          <w:vertAlign w:val="subscript"/>
          <w:lang w:val="en-GB"/>
        </w:rPr>
        <w:t>max</w:t>
      </w:r>
      <w:proofErr w:type="spellEnd"/>
      <w:r w:rsidRPr="00E42A49">
        <w:rPr>
          <w:lang w:val="en-GB"/>
        </w:rPr>
        <w:t>) was 1.</w:t>
      </w:r>
      <w:r w:rsidR="00FE4A17" w:rsidRPr="00E42A49">
        <w:rPr>
          <w:lang w:val="en-GB"/>
        </w:rPr>
        <w:t>4</w:t>
      </w:r>
      <w:r w:rsidRPr="00E42A49">
        <w:rPr>
          <w:lang w:val="en-GB"/>
        </w:rPr>
        <w:t> </w:t>
      </w:r>
      <w:r w:rsidR="00AC7919" w:rsidRPr="00E42A49">
        <w:rPr>
          <w:lang w:val="en-GB"/>
        </w:rPr>
        <w:t>µg</w:t>
      </w:r>
      <w:r w:rsidR="00654573" w:rsidRPr="00E42A49">
        <w:rPr>
          <w:lang w:val="en-GB"/>
        </w:rPr>
        <w:t xml:space="preserve"> </w:t>
      </w:r>
      <w:r w:rsidRPr="00E42A49">
        <w:rPr>
          <w:lang w:val="en-GB"/>
        </w:rPr>
        <w:t>/</w:t>
      </w:r>
      <w:r w:rsidR="00654573" w:rsidRPr="00E42A49">
        <w:rPr>
          <w:lang w:val="en-GB"/>
        </w:rPr>
        <w:t xml:space="preserve"> </w:t>
      </w:r>
      <w:r w:rsidRPr="00E42A49">
        <w:rPr>
          <w:lang w:val="en-GB"/>
        </w:rPr>
        <w:t>ml [% coefficient of variation (CV%) </w:t>
      </w:r>
      <w:r w:rsidR="004A2DC0" w:rsidRPr="00E42A49">
        <w:rPr>
          <w:lang w:val="en-GB"/>
        </w:rPr>
        <w:t>50.2</w:t>
      </w:r>
      <w:r w:rsidRPr="00E42A49">
        <w:rPr>
          <w:lang w:val="en-GB"/>
        </w:rPr>
        <w:t>] after a single dose of 100 mg, and 13</w:t>
      </w:r>
      <w:r w:rsidR="004A2DC0" w:rsidRPr="00E42A49">
        <w:rPr>
          <w:lang w:val="en-GB"/>
        </w:rPr>
        <w:t>.1</w:t>
      </w:r>
      <w:r w:rsidRPr="00E42A49">
        <w:rPr>
          <w:lang w:val="en-GB"/>
        </w:rPr>
        <w:t> </w:t>
      </w:r>
      <w:r w:rsidR="00AC7919" w:rsidRPr="00E42A49">
        <w:rPr>
          <w:lang w:val="en-GB"/>
        </w:rPr>
        <w:t>µg</w:t>
      </w:r>
      <w:r w:rsidR="00654573" w:rsidRPr="00E42A49">
        <w:rPr>
          <w:lang w:val="en-GB"/>
        </w:rPr>
        <w:t xml:space="preserve"> </w:t>
      </w:r>
      <w:r w:rsidRPr="00E42A49">
        <w:rPr>
          <w:lang w:val="en-GB"/>
        </w:rPr>
        <w:t>/</w:t>
      </w:r>
      <w:r w:rsidR="00654573" w:rsidRPr="00E42A49">
        <w:rPr>
          <w:lang w:val="en-GB"/>
        </w:rPr>
        <w:t xml:space="preserve"> </w:t>
      </w:r>
      <w:r w:rsidRPr="00E42A49">
        <w:rPr>
          <w:lang w:val="en-GB"/>
        </w:rPr>
        <w:t>ml (CV% </w:t>
      </w:r>
      <w:r w:rsidR="004A2DC0" w:rsidRPr="00E42A49">
        <w:rPr>
          <w:lang w:val="en-GB"/>
        </w:rPr>
        <w:t>44.8</w:t>
      </w:r>
      <w:r w:rsidRPr="00E42A49">
        <w:rPr>
          <w:lang w:val="en-GB"/>
        </w:rPr>
        <w:t>) at steady state for 100 mg daily. Steady-state plasma levels were reached within 29 days of once-daily dosing. Accumulation is approximately 10</w:t>
      </w:r>
      <w:r w:rsidRPr="00E42A49">
        <w:rPr>
          <w:lang w:val="en-GB"/>
        </w:rPr>
        <w:noBreakHyphen/>
        <w:t>fold when administered once daily.</w:t>
      </w:r>
    </w:p>
    <w:p w14:paraId="0C34EC0F" w14:textId="77777777" w:rsidR="00796C6F" w:rsidRPr="00E42A49" w:rsidRDefault="00796C6F" w:rsidP="00E46BAE">
      <w:pPr>
        <w:spacing w:after="0" w:line="240" w:lineRule="auto"/>
      </w:pPr>
    </w:p>
    <w:p w14:paraId="4F49CA21" w14:textId="1C3A8FB0" w:rsidR="00403DAE" w:rsidRPr="00E42A49" w:rsidRDefault="00403DAE" w:rsidP="009078C7">
      <w:pPr>
        <w:pStyle w:val="C-PLR-BodyText"/>
        <w:rPr>
          <w:sz w:val="22"/>
          <w:szCs w:val="22"/>
          <w:lang w:val="en-GB"/>
        </w:rPr>
      </w:pPr>
      <w:r w:rsidRPr="00E42A49">
        <w:rPr>
          <w:sz w:val="22"/>
          <w:szCs w:val="22"/>
          <w:lang w:val="en-GB"/>
        </w:rPr>
        <w:t>In healthy volunteers, t</w:t>
      </w:r>
      <w:r w:rsidR="00796C6F" w:rsidRPr="00E42A49">
        <w:rPr>
          <w:sz w:val="22"/>
          <w:szCs w:val="22"/>
          <w:lang w:val="en-GB"/>
        </w:rPr>
        <w:t xml:space="preserve">he absolute bioavailability after </w:t>
      </w:r>
      <w:r w:rsidRPr="00E42A49">
        <w:rPr>
          <w:sz w:val="22"/>
          <w:szCs w:val="22"/>
          <w:lang w:val="en-GB"/>
        </w:rPr>
        <w:t xml:space="preserve">a </w:t>
      </w:r>
      <w:r w:rsidR="00796C6F" w:rsidRPr="00E42A49">
        <w:rPr>
          <w:sz w:val="22"/>
          <w:szCs w:val="22"/>
          <w:lang w:val="en-GB"/>
        </w:rPr>
        <w:t xml:space="preserve">100 mg oral dose of </w:t>
      </w:r>
      <w:r w:rsidR="00254813" w:rsidRPr="00E42A49">
        <w:rPr>
          <w:sz w:val="22"/>
          <w:szCs w:val="22"/>
          <w:lang w:val="en-GB"/>
        </w:rPr>
        <w:t>Idhifa</w:t>
      </w:r>
      <w:r w:rsidR="00796C6F" w:rsidRPr="00E42A49">
        <w:rPr>
          <w:sz w:val="22"/>
          <w:szCs w:val="22"/>
          <w:lang w:val="en-GB"/>
        </w:rPr>
        <w:t xml:space="preserve"> is approximately 57 %. </w:t>
      </w:r>
    </w:p>
    <w:p w14:paraId="0732C00B" w14:textId="77777777" w:rsidR="00403DAE" w:rsidRPr="00E42A49" w:rsidRDefault="00403DAE" w:rsidP="009078C7">
      <w:pPr>
        <w:pStyle w:val="C-PLR-BodyText"/>
        <w:rPr>
          <w:sz w:val="22"/>
          <w:szCs w:val="22"/>
          <w:lang w:val="en-GB"/>
        </w:rPr>
      </w:pPr>
    </w:p>
    <w:p w14:paraId="6550A7CE" w14:textId="5CDC36E4" w:rsidR="00796C6F" w:rsidRPr="00E42A49" w:rsidRDefault="00796C6F" w:rsidP="009078C7">
      <w:pPr>
        <w:pStyle w:val="C-PLR-BodyText"/>
        <w:rPr>
          <w:sz w:val="22"/>
          <w:szCs w:val="22"/>
          <w:lang w:val="en-GB"/>
        </w:rPr>
      </w:pPr>
      <w:r w:rsidRPr="00E42A49">
        <w:rPr>
          <w:sz w:val="22"/>
          <w:szCs w:val="22"/>
          <w:lang w:val="en-GB"/>
        </w:rPr>
        <w:t xml:space="preserve">After a single oral dose, the median time to </w:t>
      </w:r>
      <w:proofErr w:type="spellStart"/>
      <w:r w:rsidRPr="00E42A49">
        <w:rPr>
          <w:sz w:val="22"/>
          <w:szCs w:val="22"/>
          <w:lang w:val="en-GB"/>
        </w:rPr>
        <w:t>C</w:t>
      </w:r>
      <w:r w:rsidRPr="00E42A49">
        <w:rPr>
          <w:sz w:val="22"/>
          <w:szCs w:val="22"/>
          <w:vertAlign w:val="subscript"/>
          <w:lang w:val="en-GB"/>
        </w:rPr>
        <w:t>max</w:t>
      </w:r>
      <w:proofErr w:type="spellEnd"/>
      <w:r w:rsidRPr="00E42A49">
        <w:rPr>
          <w:sz w:val="22"/>
          <w:szCs w:val="22"/>
          <w:lang w:val="en-GB"/>
        </w:rPr>
        <w:t xml:space="preserve"> (</w:t>
      </w:r>
      <w:proofErr w:type="spellStart"/>
      <w:r w:rsidRPr="00E42A49">
        <w:rPr>
          <w:sz w:val="22"/>
          <w:szCs w:val="22"/>
          <w:lang w:val="en-GB"/>
        </w:rPr>
        <w:t>T</w:t>
      </w:r>
      <w:r w:rsidRPr="00E42A49">
        <w:rPr>
          <w:sz w:val="22"/>
          <w:szCs w:val="22"/>
          <w:vertAlign w:val="subscript"/>
          <w:lang w:val="en-GB"/>
        </w:rPr>
        <w:t>max</w:t>
      </w:r>
      <w:proofErr w:type="spellEnd"/>
      <w:r w:rsidRPr="00E42A49">
        <w:rPr>
          <w:sz w:val="22"/>
          <w:szCs w:val="22"/>
          <w:lang w:val="en-GB"/>
        </w:rPr>
        <w:t>) is 4 hours in patients with advanced haematological malignancies.</w:t>
      </w:r>
    </w:p>
    <w:p w14:paraId="3D4633C1" w14:textId="2C6A74A2" w:rsidR="00403DAE" w:rsidRPr="00E42A49" w:rsidRDefault="00403DAE" w:rsidP="00E46BAE">
      <w:pPr>
        <w:numPr>
          <w:ilvl w:val="12"/>
          <w:numId w:val="0"/>
        </w:numPr>
        <w:spacing w:after="0" w:line="240" w:lineRule="auto"/>
        <w:rPr>
          <w:u w:val="single"/>
          <w:lang w:val="en-GB"/>
        </w:rPr>
      </w:pPr>
    </w:p>
    <w:p w14:paraId="289B303F" w14:textId="4968FB1E" w:rsidR="00CC5026" w:rsidRPr="00E42A49" w:rsidRDefault="00CC5026" w:rsidP="00E46BAE">
      <w:pPr>
        <w:spacing w:after="0"/>
      </w:pPr>
      <w:r w:rsidRPr="00E42A49">
        <w:t>Co-administration of Idhifa (single 100 mg dose) was evaluated in fasted versus fed conditions in 30 healthy male subjects.  There was an approximate 50% increase in AUC</w:t>
      </w:r>
      <w:r w:rsidRPr="00E42A49">
        <w:rPr>
          <w:vertAlign w:val="subscript"/>
        </w:rPr>
        <w:t xml:space="preserve">0-t </w:t>
      </w:r>
      <w:r w:rsidRPr="00E42A49">
        <w:t>and AUC</w:t>
      </w:r>
      <w:r w:rsidRPr="00E42A49">
        <w:rPr>
          <w:vertAlign w:val="subscript"/>
        </w:rPr>
        <w:t>0-∞</w:t>
      </w:r>
      <w:r w:rsidRPr="00E42A49">
        <w:t xml:space="preserve">, and a 64% increase in </w:t>
      </w:r>
      <w:proofErr w:type="spellStart"/>
      <w:r w:rsidRPr="00E42A49">
        <w:t>C</w:t>
      </w:r>
      <w:r w:rsidRPr="00E42A49">
        <w:rPr>
          <w:vertAlign w:val="subscript"/>
        </w:rPr>
        <w:t>max</w:t>
      </w:r>
      <w:proofErr w:type="spellEnd"/>
      <w:r w:rsidRPr="00E42A49">
        <w:t xml:space="preserve"> when Idhifa was administered under fed conditions compared with fasted conditions.</w:t>
      </w:r>
    </w:p>
    <w:p w14:paraId="64048D21" w14:textId="77777777" w:rsidR="00796C6F" w:rsidRPr="00E42A49" w:rsidRDefault="00796C6F" w:rsidP="00E46BAE">
      <w:pPr>
        <w:spacing w:after="0" w:line="240" w:lineRule="auto"/>
      </w:pPr>
    </w:p>
    <w:p w14:paraId="1DA71E4E" w14:textId="77777777" w:rsidR="00796C6F" w:rsidRPr="00E42A49" w:rsidRDefault="00796C6F" w:rsidP="00796C6F">
      <w:pPr>
        <w:pStyle w:val="Heading3"/>
      </w:pPr>
      <w:r w:rsidRPr="00E42A49">
        <w:t>Distribution</w:t>
      </w:r>
    </w:p>
    <w:p w14:paraId="2F425EB8" w14:textId="77777777" w:rsidR="00796C6F" w:rsidRPr="00E42A49" w:rsidRDefault="00796C6F" w:rsidP="00E46BAE">
      <w:pPr>
        <w:numPr>
          <w:ilvl w:val="12"/>
          <w:numId w:val="0"/>
        </w:numPr>
        <w:spacing w:after="0"/>
        <w:ind w:right="-2"/>
        <w:rPr>
          <w:lang w:val="en-GB"/>
        </w:rPr>
      </w:pPr>
      <w:r w:rsidRPr="00E42A49">
        <w:rPr>
          <w:lang w:val="en-GB"/>
        </w:rPr>
        <w:t>The mean volume of distribution (</w:t>
      </w:r>
      <w:proofErr w:type="spellStart"/>
      <w:r w:rsidRPr="00E42A49">
        <w:rPr>
          <w:lang w:val="en-GB"/>
        </w:rPr>
        <w:t>Vd</w:t>
      </w:r>
      <w:proofErr w:type="spellEnd"/>
      <w:r w:rsidRPr="00E42A49">
        <w:rPr>
          <w:lang w:val="en-GB"/>
        </w:rPr>
        <w:t xml:space="preserve">) of </w:t>
      </w:r>
      <w:proofErr w:type="spellStart"/>
      <w:r w:rsidRPr="00E42A49">
        <w:rPr>
          <w:lang w:val="en-GB" w:eastAsia="en-GB"/>
        </w:rPr>
        <w:t>enasidenib</w:t>
      </w:r>
      <w:proofErr w:type="spellEnd"/>
      <w:r w:rsidRPr="00E42A49">
        <w:rPr>
          <w:lang w:val="en-GB"/>
        </w:rPr>
        <w:t xml:space="preserve"> is 192 L (CV% 29). Human plasma protein binding of </w:t>
      </w:r>
      <w:proofErr w:type="spellStart"/>
      <w:r w:rsidRPr="00E42A49">
        <w:rPr>
          <w:lang w:val="en-GB" w:eastAsia="en-GB"/>
        </w:rPr>
        <w:t>enasidenib</w:t>
      </w:r>
      <w:proofErr w:type="spellEnd"/>
      <w:r w:rsidRPr="00E42A49">
        <w:rPr>
          <w:lang w:val="en-GB"/>
        </w:rPr>
        <w:t xml:space="preserve"> is 98.5 %, and that of its metabolite AGI-16903 is 96.6 %, </w:t>
      </w:r>
      <w:r w:rsidRPr="00E42A49">
        <w:rPr>
          <w:i/>
          <w:lang w:val="en-GB"/>
        </w:rPr>
        <w:t>in vitro</w:t>
      </w:r>
      <w:r w:rsidRPr="00E42A49">
        <w:rPr>
          <w:lang w:val="en-GB"/>
        </w:rPr>
        <w:t>.</w:t>
      </w:r>
    </w:p>
    <w:p w14:paraId="20387E28" w14:textId="77777777" w:rsidR="00796C6F" w:rsidRPr="00E42A49" w:rsidRDefault="00796C6F" w:rsidP="00E46BAE">
      <w:pPr>
        <w:spacing w:after="0" w:line="240" w:lineRule="auto"/>
      </w:pPr>
    </w:p>
    <w:p w14:paraId="324C78AF" w14:textId="77777777" w:rsidR="00796C6F" w:rsidRPr="00E42A49" w:rsidRDefault="00796C6F" w:rsidP="00796C6F">
      <w:pPr>
        <w:pStyle w:val="Heading3"/>
      </w:pPr>
      <w:r w:rsidRPr="00E42A49">
        <w:t>Metabolism</w:t>
      </w:r>
    </w:p>
    <w:p w14:paraId="3ABE953C" w14:textId="0B092D04" w:rsidR="00BF3696" w:rsidRPr="00E42A49" w:rsidRDefault="00BF3696" w:rsidP="00E46BAE">
      <w:pPr>
        <w:spacing w:after="0"/>
        <w:rPr>
          <w:lang w:val="en-GB"/>
        </w:rPr>
      </w:pPr>
      <w:r w:rsidRPr="00E42A49">
        <w:rPr>
          <w:lang w:val="en-GB" w:eastAsia="en-GB"/>
        </w:rPr>
        <w:t xml:space="preserve">In an </w:t>
      </w:r>
      <w:r w:rsidRPr="00E42A49">
        <w:rPr>
          <w:i/>
          <w:lang w:val="en-GB" w:eastAsia="en-GB"/>
        </w:rPr>
        <w:t xml:space="preserve">in </w:t>
      </w:r>
      <w:r w:rsidR="008E7095" w:rsidRPr="00E42A49">
        <w:rPr>
          <w:i/>
          <w:lang w:val="en-GB" w:eastAsia="en-GB"/>
        </w:rPr>
        <w:t>vivo</w:t>
      </w:r>
      <w:r w:rsidRPr="00E42A49">
        <w:rPr>
          <w:lang w:val="en-GB" w:eastAsia="en-GB"/>
        </w:rPr>
        <w:t xml:space="preserve"> study of radiolabelled </w:t>
      </w:r>
      <w:proofErr w:type="spellStart"/>
      <w:r w:rsidRPr="00E42A49">
        <w:rPr>
          <w:lang w:val="en-GB" w:eastAsia="en-GB"/>
        </w:rPr>
        <w:t>enasidenib</w:t>
      </w:r>
      <w:proofErr w:type="spellEnd"/>
      <w:r w:rsidRPr="00E42A49">
        <w:rPr>
          <w:lang w:val="en-GB" w:eastAsia="en-GB"/>
        </w:rPr>
        <w:t xml:space="preserve">, </w:t>
      </w:r>
      <w:proofErr w:type="spellStart"/>
      <w:r w:rsidRPr="00E42A49">
        <w:rPr>
          <w:lang w:val="en-GB" w:eastAsia="en-GB"/>
        </w:rPr>
        <w:t>enasidenib</w:t>
      </w:r>
      <w:proofErr w:type="spellEnd"/>
      <w:r w:rsidRPr="00E42A49">
        <w:rPr>
          <w:lang w:val="en-GB"/>
        </w:rPr>
        <w:t xml:space="preserve"> accounted for 89 % of the radioactivity in circulation and AGI-16903, the N</w:t>
      </w:r>
      <w:r w:rsidRPr="00E42A49">
        <w:rPr>
          <w:lang w:val="en-GB"/>
        </w:rPr>
        <w:noBreakHyphen/>
      </w:r>
      <w:proofErr w:type="spellStart"/>
      <w:r w:rsidRPr="00E42A49">
        <w:rPr>
          <w:lang w:val="en-GB"/>
        </w:rPr>
        <w:t>dealkylated</w:t>
      </w:r>
      <w:proofErr w:type="spellEnd"/>
      <w:r w:rsidRPr="00E42A49">
        <w:rPr>
          <w:lang w:val="en-GB"/>
        </w:rPr>
        <w:t xml:space="preserve"> metabolite, represented 10 % of the circulating radioactivity.</w:t>
      </w:r>
    </w:p>
    <w:p w14:paraId="3C6FF976" w14:textId="77777777" w:rsidR="00BF3696" w:rsidRPr="00E42A49" w:rsidRDefault="00BF3696" w:rsidP="00E46BAE">
      <w:pPr>
        <w:pStyle w:val="C-PLR-BodyText"/>
        <w:rPr>
          <w:sz w:val="22"/>
          <w:szCs w:val="22"/>
          <w:lang w:val="en-GB"/>
        </w:rPr>
      </w:pPr>
    </w:p>
    <w:p w14:paraId="2EC1F577" w14:textId="7A10B4D6" w:rsidR="00BF3696" w:rsidRPr="00E42A49" w:rsidRDefault="00BF3696" w:rsidP="009078C7">
      <w:pPr>
        <w:pStyle w:val="C-PLR-BodyText"/>
        <w:rPr>
          <w:sz w:val="22"/>
          <w:szCs w:val="22"/>
          <w:lang w:val="en-GB"/>
        </w:rPr>
      </w:pPr>
      <w:r w:rsidRPr="00E42A49">
        <w:rPr>
          <w:i/>
          <w:sz w:val="22"/>
          <w:szCs w:val="22"/>
          <w:lang w:val="en-GB"/>
        </w:rPr>
        <w:t>In vitro</w:t>
      </w:r>
      <w:r w:rsidRPr="00E42A49">
        <w:rPr>
          <w:sz w:val="22"/>
          <w:szCs w:val="22"/>
          <w:lang w:val="en-GB"/>
        </w:rPr>
        <w:t xml:space="preserve"> studies suggest that metabolism of </w:t>
      </w:r>
      <w:proofErr w:type="spellStart"/>
      <w:r w:rsidRPr="00E42A49">
        <w:rPr>
          <w:sz w:val="22"/>
          <w:szCs w:val="22"/>
          <w:lang w:val="en-GB" w:eastAsia="en-GB"/>
        </w:rPr>
        <w:t>enasidenib</w:t>
      </w:r>
      <w:proofErr w:type="spellEnd"/>
      <w:r w:rsidRPr="00E42A49">
        <w:rPr>
          <w:sz w:val="22"/>
          <w:szCs w:val="22"/>
          <w:lang w:val="en-GB"/>
        </w:rPr>
        <w:t xml:space="preserve"> is mediated by multiple CYP and UGT enzymes. Given the multiple metabolic pathways involved in the mechanism of </w:t>
      </w:r>
      <w:proofErr w:type="spellStart"/>
      <w:r w:rsidRPr="00E42A49">
        <w:rPr>
          <w:sz w:val="22"/>
          <w:szCs w:val="22"/>
          <w:lang w:val="en-GB"/>
        </w:rPr>
        <w:t>enasidenib</w:t>
      </w:r>
      <w:proofErr w:type="spellEnd"/>
      <w:r w:rsidRPr="00E42A49">
        <w:rPr>
          <w:sz w:val="22"/>
          <w:szCs w:val="22"/>
          <w:lang w:val="en-GB"/>
        </w:rPr>
        <w:t xml:space="preserve">, the risk is low for clinically relevant </w:t>
      </w:r>
      <w:r w:rsidR="008E7095" w:rsidRPr="00E42A49">
        <w:rPr>
          <w:sz w:val="22"/>
          <w:szCs w:val="22"/>
        </w:rPr>
        <w:t xml:space="preserve">effects on </w:t>
      </w:r>
      <w:proofErr w:type="spellStart"/>
      <w:r w:rsidR="008E7095" w:rsidRPr="00E42A49">
        <w:rPr>
          <w:sz w:val="22"/>
          <w:szCs w:val="22"/>
        </w:rPr>
        <w:t>enasidenib</w:t>
      </w:r>
      <w:proofErr w:type="spellEnd"/>
      <w:r w:rsidR="008E7095" w:rsidRPr="00E42A49">
        <w:rPr>
          <w:sz w:val="22"/>
          <w:szCs w:val="22"/>
        </w:rPr>
        <w:t xml:space="preserve"> exposure when Idhifa </w:t>
      </w:r>
      <w:r w:rsidRPr="00E42A49">
        <w:rPr>
          <w:sz w:val="22"/>
          <w:szCs w:val="22"/>
          <w:lang w:val="en-GB"/>
        </w:rPr>
        <w:t>is co-administered with inhibitors or inducers of CYPs and UGTs.</w:t>
      </w:r>
    </w:p>
    <w:p w14:paraId="61F2A8A6" w14:textId="77777777" w:rsidR="00BF3696" w:rsidRPr="00E42A49" w:rsidRDefault="00BF3696" w:rsidP="00E46BAE">
      <w:pPr>
        <w:spacing w:after="0" w:line="240" w:lineRule="auto"/>
      </w:pPr>
    </w:p>
    <w:p w14:paraId="353CE104" w14:textId="77777777" w:rsidR="00796C6F" w:rsidRPr="00E42A49" w:rsidRDefault="00796C6F" w:rsidP="00796C6F">
      <w:pPr>
        <w:pStyle w:val="Heading3"/>
      </w:pPr>
      <w:r w:rsidRPr="00E42A49">
        <w:t>Excretion</w:t>
      </w:r>
    </w:p>
    <w:p w14:paraId="7B9121D4" w14:textId="22B5DB0F" w:rsidR="00BF3696" w:rsidRPr="00E42A49" w:rsidRDefault="00BF3696" w:rsidP="00E46BAE">
      <w:pPr>
        <w:numPr>
          <w:ilvl w:val="12"/>
          <w:numId w:val="0"/>
        </w:numPr>
        <w:spacing w:after="0"/>
        <w:ind w:right="-2"/>
        <w:rPr>
          <w:lang w:val="en-GB"/>
        </w:rPr>
      </w:pPr>
      <w:proofErr w:type="spellStart"/>
      <w:r w:rsidRPr="00E42A49">
        <w:rPr>
          <w:lang w:val="en-GB" w:eastAsia="en-GB"/>
        </w:rPr>
        <w:t>Enasidenib</w:t>
      </w:r>
      <w:proofErr w:type="spellEnd"/>
      <w:r w:rsidRPr="00E42A49">
        <w:rPr>
          <w:lang w:val="en-GB"/>
        </w:rPr>
        <w:t xml:space="preserve"> has a terminal half-life of 190 hours (CV% 41) in patients with advanced haematological malignancies and a mean total body clearance (CL</w:t>
      </w:r>
      <w:r w:rsidR="00654573" w:rsidRPr="00E42A49">
        <w:rPr>
          <w:lang w:val="en-GB"/>
        </w:rPr>
        <w:t xml:space="preserve"> </w:t>
      </w:r>
      <w:r w:rsidRPr="00E42A49">
        <w:rPr>
          <w:lang w:val="en-GB"/>
        </w:rPr>
        <w:t>/</w:t>
      </w:r>
      <w:r w:rsidR="00654573" w:rsidRPr="00E42A49">
        <w:rPr>
          <w:lang w:val="en-GB"/>
        </w:rPr>
        <w:t xml:space="preserve"> </w:t>
      </w:r>
      <w:r w:rsidRPr="00E42A49">
        <w:rPr>
          <w:lang w:val="en-GB"/>
        </w:rPr>
        <w:t>F) of 0.</w:t>
      </w:r>
      <w:r w:rsidR="004A2DC0" w:rsidRPr="00E42A49">
        <w:rPr>
          <w:lang w:val="en-GB"/>
        </w:rPr>
        <w:t>70</w:t>
      </w:r>
      <w:r w:rsidRPr="00E42A49">
        <w:rPr>
          <w:lang w:val="en-GB"/>
        </w:rPr>
        <w:t> L</w:t>
      </w:r>
      <w:r w:rsidR="00654573" w:rsidRPr="00E42A49">
        <w:rPr>
          <w:lang w:val="en-GB"/>
        </w:rPr>
        <w:t xml:space="preserve"> </w:t>
      </w:r>
      <w:r w:rsidRPr="00E42A49">
        <w:rPr>
          <w:lang w:val="en-GB"/>
        </w:rPr>
        <w:t>/</w:t>
      </w:r>
      <w:r w:rsidR="00654573" w:rsidRPr="00E42A49">
        <w:rPr>
          <w:lang w:val="en-GB"/>
        </w:rPr>
        <w:t xml:space="preserve"> </w:t>
      </w:r>
      <w:r w:rsidRPr="00E42A49">
        <w:rPr>
          <w:lang w:val="en-GB"/>
        </w:rPr>
        <w:t>hour (CV% </w:t>
      </w:r>
      <w:r w:rsidR="004A2DC0" w:rsidRPr="00E42A49">
        <w:rPr>
          <w:lang w:val="en-GB"/>
        </w:rPr>
        <w:t>62.5</w:t>
      </w:r>
      <w:r w:rsidRPr="00E42A49">
        <w:rPr>
          <w:lang w:val="en-GB"/>
        </w:rPr>
        <w:t>).</w:t>
      </w:r>
    </w:p>
    <w:p w14:paraId="09CBB7E2" w14:textId="77777777" w:rsidR="00BF3696" w:rsidRPr="00E42A49" w:rsidRDefault="00BF3696" w:rsidP="00E46BAE">
      <w:pPr>
        <w:numPr>
          <w:ilvl w:val="12"/>
          <w:numId w:val="0"/>
        </w:numPr>
        <w:spacing w:after="0" w:line="240" w:lineRule="auto"/>
        <w:rPr>
          <w:lang w:val="en-GB"/>
        </w:rPr>
      </w:pPr>
    </w:p>
    <w:p w14:paraId="675A01EF" w14:textId="0B21E092" w:rsidR="00BF3696" w:rsidRPr="00E42A49" w:rsidRDefault="00BF3696" w:rsidP="00E46BAE">
      <w:pPr>
        <w:autoSpaceDE w:val="0"/>
        <w:autoSpaceDN w:val="0"/>
        <w:adjustRightInd w:val="0"/>
        <w:spacing w:after="0"/>
        <w:rPr>
          <w:lang w:val="en-GB"/>
        </w:rPr>
      </w:pPr>
      <w:r w:rsidRPr="00E42A49">
        <w:rPr>
          <w:rFonts w:eastAsia="SimSun"/>
          <w:lang w:val="en-GB"/>
        </w:rPr>
        <w:t>Eighty-nine percent (89</w:t>
      </w:r>
      <w:r w:rsidRPr="00E42A49">
        <w:rPr>
          <w:lang w:val="en-GB"/>
        </w:rPr>
        <w:t> </w:t>
      </w:r>
      <w:r w:rsidRPr="00E42A49">
        <w:rPr>
          <w:rFonts w:eastAsia="SimSun"/>
          <w:lang w:val="en-GB"/>
        </w:rPr>
        <w:t xml:space="preserve">%) of </w:t>
      </w:r>
      <w:proofErr w:type="spellStart"/>
      <w:r w:rsidRPr="00E42A49">
        <w:rPr>
          <w:lang w:val="en-GB" w:eastAsia="en-GB"/>
        </w:rPr>
        <w:t>enasidenib</w:t>
      </w:r>
      <w:proofErr w:type="spellEnd"/>
      <w:r w:rsidRPr="00E42A49">
        <w:rPr>
          <w:rFonts w:eastAsia="SimSun"/>
          <w:lang w:val="en-GB"/>
        </w:rPr>
        <w:t xml:space="preserve"> is eliminated in faeces and 11</w:t>
      </w:r>
      <w:r w:rsidRPr="00E42A49">
        <w:rPr>
          <w:lang w:val="en-GB"/>
        </w:rPr>
        <w:t> </w:t>
      </w:r>
      <w:r w:rsidRPr="00E42A49">
        <w:rPr>
          <w:rFonts w:eastAsia="SimSun"/>
          <w:lang w:val="en-GB"/>
        </w:rPr>
        <w:t>% in the urine.</w:t>
      </w:r>
      <w:r w:rsidR="00680C02" w:rsidRPr="00E42A49">
        <w:rPr>
          <w:rFonts w:eastAsia="SimSun"/>
          <w:lang w:val="en-GB"/>
        </w:rPr>
        <w:t xml:space="preserve"> </w:t>
      </w:r>
      <w:r w:rsidRPr="00E42A49">
        <w:rPr>
          <w:rFonts w:eastAsia="SimSun"/>
          <w:lang w:val="en-GB"/>
        </w:rPr>
        <w:t xml:space="preserve"> Excretion of unchanged </w:t>
      </w:r>
      <w:proofErr w:type="spellStart"/>
      <w:r w:rsidRPr="00E42A49">
        <w:rPr>
          <w:lang w:val="en-GB" w:eastAsia="en-GB"/>
        </w:rPr>
        <w:t>enasidenib</w:t>
      </w:r>
      <w:proofErr w:type="spellEnd"/>
      <w:r w:rsidRPr="00E42A49">
        <w:rPr>
          <w:rFonts w:eastAsia="SimSun"/>
          <w:lang w:val="en-GB"/>
        </w:rPr>
        <w:t xml:space="preserve"> accounts for 34</w:t>
      </w:r>
      <w:r w:rsidRPr="00E42A49">
        <w:rPr>
          <w:lang w:val="en-GB"/>
        </w:rPr>
        <w:t> </w:t>
      </w:r>
      <w:r w:rsidRPr="00E42A49">
        <w:rPr>
          <w:rFonts w:eastAsia="SimSun"/>
          <w:lang w:val="en-GB"/>
        </w:rPr>
        <w:t>% of the radiolabelled drug in the faeces and 0.4</w:t>
      </w:r>
      <w:r w:rsidRPr="00E42A49">
        <w:rPr>
          <w:lang w:val="en-GB"/>
        </w:rPr>
        <w:t> </w:t>
      </w:r>
      <w:r w:rsidRPr="00E42A49">
        <w:rPr>
          <w:rFonts w:eastAsia="SimSun"/>
          <w:lang w:val="en-GB"/>
        </w:rPr>
        <w:t>% in the urine.</w:t>
      </w:r>
    </w:p>
    <w:p w14:paraId="59CA0016" w14:textId="7DA82449" w:rsidR="00BF3696" w:rsidRPr="00E42A49" w:rsidRDefault="00BF3696" w:rsidP="00E46BAE">
      <w:pPr>
        <w:spacing w:after="0" w:line="240" w:lineRule="auto"/>
      </w:pPr>
    </w:p>
    <w:p w14:paraId="3572253C" w14:textId="1F460128" w:rsidR="00BF3696" w:rsidRPr="00E42A49" w:rsidRDefault="005B613D" w:rsidP="005B613D">
      <w:pPr>
        <w:pStyle w:val="Heading3"/>
      </w:pPr>
      <w:r w:rsidRPr="00E42A49">
        <w:t>R</w:t>
      </w:r>
      <w:proofErr w:type="spellStart"/>
      <w:r w:rsidR="00BF3696" w:rsidRPr="00E42A49">
        <w:rPr>
          <w:lang w:val="en-GB"/>
        </w:rPr>
        <w:t>enal</w:t>
      </w:r>
      <w:proofErr w:type="spellEnd"/>
      <w:r w:rsidR="00BF3696" w:rsidRPr="00E42A49">
        <w:rPr>
          <w:lang w:val="en-GB"/>
        </w:rPr>
        <w:t xml:space="preserve"> impairment</w:t>
      </w:r>
    </w:p>
    <w:p w14:paraId="770B2F15" w14:textId="0483ECA7" w:rsidR="00BF3696" w:rsidRPr="00E42A49" w:rsidRDefault="00680C02" w:rsidP="009078C7">
      <w:pPr>
        <w:pStyle w:val="C-PLR-BodyText"/>
        <w:spacing w:before="120"/>
        <w:rPr>
          <w:sz w:val="22"/>
          <w:szCs w:val="22"/>
          <w:lang w:val="en-GB"/>
        </w:rPr>
      </w:pPr>
      <w:r w:rsidRPr="00E42A49">
        <w:rPr>
          <w:sz w:val="22"/>
          <w:szCs w:val="22"/>
          <w:lang w:val="en-AU"/>
        </w:rPr>
        <w:t>A dedicated study in subjects with renal impairment has not been conducted with Idhifa.</w:t>
      </w:r>
      <w:r w:rsidRPr="00E42A49">
        <w:rPr>
          <w:sz w:val="22"/>
          <w:szCs w:val="22"/>
          <w:lang w:val="en-GB"/>
        </w:rPr>
        <w:t xml:space="preserve">  P</w:t>
      </w:r>
      <w:r w:rsidR="00BF3696" w:rsidRPr="00E42A49">
        <w:rPr>
          <w:sz w:val="22"/>
          <w:szCs w:val="22"/>
          <w:lang w:val="en-GB"/>
        </w:rPr>
        <w:t xml:space="preserve">opulation pharmacokinetic analyses including patients with normal renal function (N=213), mild (N=116) or moderate (N=58) renal impairment identified no apparent relationship between </w:t>
      </w:r>
      <w:proofErr w:type="spellStart"/>
      <w:r w:rsidR="00BF3696" w:rsidRPr="00E42A49">
        <w:rPr>
          <w:sz w:val="22"/>
          <w:szCs w:val="22"/>
          <w:lang w:val="en-GB"/>
        </w:rPr>
        <w:t>enasidenib</w:t>
      </w:r>
      <w:proofErr w:type="spellEnd"/>
      <w:r w:rsidR="00BF3696" w:rsidRPr="00E42A49">
        <w:rPr>
          <w:sz w:val="22"/>
          <w:szCs w:val="22"/>
          <w:lang w:val="en-GB"/>
        </w:rPr>
        <w:t xml:space="preserve"> exposure and renal function or serum creatinine levels.  No data are available for severe renal impairment patients as such patients were excluded from the clinical studies.</w:t>
      </w:r>
    </w:p>
    <w:p w14:paraId="031A32FE" w14:textId="5E3DAD70" w:rsidR="00E46BAE" w:rsidRDefault="00E46BAE">
      <w:pPr>
        <w:spacing w:after="0" w:line="240" w:lineRule="auto"/>
        <w:rPr>
          <w:iCs/>
          <w:lang w:val="en-GB"/>
        </w:rPr>
      </w:pPr>
      <w:r>
        <w:rPr>
          <w:iCs/>
          <w:lang w:val="en-GB"/>
        </w:rPr>
        <w:br w:type="page"/>
      </w:r>
    </w:p>
    <w:p w14:paraId="1F22DF37" w14:textId="77777777" w:rsidR="00BF3696" w:rsidRPr="00E42A49" w:rsidRDefault="00BF3696" w:rsidP="00BF3696">
      <w:pPr>
        <w:pStyle w:val="C-Heading2"/>
        <w:rPr>
          <w:caps/>
          <w:sz w:val="24"/>
          <w:szCs w:val="24"/>
        </w:rPr>
      </w:pPr>
      <w:r w:rsidRPr="00E42A49">
        <w:rPr>
          <w:caps/>
          <w:sz w:val="24"/>
          <w:szCs w:val="24"/>
        </w:rPr>
        <w:lastRenderedPageBreak/>
        <w:t>Preclinical safety data</w:t>
      </w:r>
    </w:p>
    <w:p w14:paraId="22ABD0D7" w14:textId="50736474" w:rsidR="00BF3696" w:rsidRPr="00E42A49" w:rsidRDefault="00BF3696" w:rsidP="00E46BAE">
      <w:pPr>
        <w:pStyle w:val="C-BodyText"/>
        <w:spacing w:before="0" w:after="0" w:line="240" w:lineRule="auto"/>
      </w:pPr>
    </w:p>
    <w:p w14:paraId="34779150" w14:textId="77777777" w:rsidR="00BF3696" w:rsidRPr="00E42A49" w:rsidRDefault="00BF3696" w:rsidP="00BF3696">
      <w:pPr>
        <w:pStyle w:val="Heading3"/>
      </w:pPr>
      <w:proofErr w:type="spellStart"/>
      <w:r w:rsidRPr="00E42A49">
        <w:t>Genotoxicity</w:t>
      </w:r>
      <w:proofErr w:type="spellEnd"/>
    </w:p>
    <w:p w14:paraId="6A0E6F4B" w14:textId="2CA035E0" w:rsidR="00BF3696" w:rsidRPr="00E42A49" w:rsidRDefault="00873502" w:rsidP="00E46BAE">
      <w:pPr>
        <w:spacing w:after="0"/>
        <w:rPr>
          <w:lang w:val="en-GB"/>
        </w:rPr>
      </w:pPr>
      <w:proofErr w:type="spellStart"/>
      <w:r w:rsidRPr="00E42A49">
        <w:rPr>
          <w:lang w:val="en-GB"/>
        </w:rPr>
        <w:t>E</w:t>
      </w:r>
      <w:r w:rsidR="00BF3696" w:rsidRPr="00E42A49">
        <w:rPr>
          <w:lang w:val="en-GB"/>
        </w:rPr>
        <w:t>nasidenib</w:t>
      </w:r>
      <w:proofErr w:type="spellEnd"/>
      <w:r w:rsidR="00BF3696" w:rsidRPr="00E42A49">
        <w:rPr>
          <w:lang w:val="en-GB"/>
        </w:rPr>
        <w:t xml:space="preserve"> was not mutagenic in bacterial reverse mutation </w:t>
      </w:r>
      <w:r w:rsidR="007A7430" w:rsidRPr="00E42A49">
        <w:rPr>
          <w:lang w:val="en-GB"/>
        </w:rPr>
        <w:t>assays and</w:t>
      </w:r>
      <w:r w:rsidR="006E24C4" w:rsidRPr="00E42A49">
        <w:rPr>
          <w:lang w:val="en-GB"/>
        </w:rPr>
        <w:t xml:space="preserve"> </w:t>
      </w:r>
      <w:r w:rsidR="006E24C4" w:rsidRPr="00E42A49">
        <w:t xml:space="preserve">was not </w:t>
      </w:r>
      <w:proofErr w:type="spellStart"/>
      <w:r w:rsidR="006E24C4" w:rsidRPr="00E42A49">
        <w:t>clastogenic</w:t>
      </w:r>
      <w:proofErr w:type="spellEnd"/>
      <w:r w:rsidR="006E24C4" w:rsidRPr="00E42A49">
        <w:t xml:space="preserve"> </w:t>
      </w:r>
      <w:r w:rsidR="006E24C4" w:rsidRPr="00E42A49">
        <w:rPr>
          <w:i/>
          <w:iCs/>
        </w:rPr>
        <w:t>in vitro</w:t>
      </w:r>
      <w:r w:rsidR="00BF3696" w:rsidRPr="00E42A49">
        <w:rPr>
          <w:lang w:val="en-GB"/>
        </w:rPr>
        <w:t xml:space="preserve"> </w:t>
      </w:r>
      <w:r w:rsidR="00AE33BF" w:rsidRPr="00E42A49">
        <w:rPr>
          <w:lang w:val="en-GB"/>
        </w:rPr>
        <w:t>in Chinese hamster o</w:t>
      </w:r>
      <w:r w:rsidR="00BF3696" w:rsidRPr="00E42A49">
        <w:rPr>
          <w:lang w:val="en-GB"/>
        </w:rPr>
        <w:t>vary cells or</w:t>
      </w:r>
      <w:r w:rsidR="006E24C4" w:rsidRPr="00E42A49">
        <w:rPr>
          <w:lang w:val="en-GB"/>
        </w:rPr>
        <w:t xml:space="preserve"> </w:t>
      </w:r>
      <w:r w:rsidR="006E24C4" w:rsidRPr="00E42A49">
        <w:rPr>
          <w:i/>
          <w:iCs/>
        </w:rPr>
        <w:t xml:space="preserve">in vivo </w:t>
      </w:r>
      <w:r w:rsidR="006E24C4" w:rsidRPr="00E42A49">
        <w:t>in the rat bone marrow micronucleus test</w:t>
      </w:r>
      <w:r w:rsidR="00BF3696" w:rsidRPr="00E42A49">
        <w:rPr>
          <w:lang w:val="en-GB"/>
        </w:rPr>
        <w:t>.</w:t>
      </w:r>
    </w:p>
    <w:p w14:paraId="46D08A28" w14:textId="77777777" w:rsidR="00BF3696" w:rsidRPr="00E42A49" w:rsidRDefault="00BF3696" w:rsidP="00E46BAE">
      <w:pPr>
        <w:spacing w:after="0" w:line="240" w:lineRule="auto"/>
      </w:pPr>
    </w:p>
    <w:p w14:paraId="4950E850" w14:textId="77777777" w:rsidR="00BF3696" w:rsidRPr="00E42A49" w:rsidRDefault="00BF3696" w:rsidP="00BF3696">
      <w:pPr>
        <w:pStyle w:val="Heading3"/>
      </w:pPr>
      <w:r w:rsidRPr="00E42A49">
        <w:t>Carcinogenicity</w:t>
      </w:r>
    </w:p>
    <w:p w14:paraId="06D894D1" w14:textId="13D0BCCA" w:rsidR="00BF3696" w:rsidRPr="00E42A49" w:rsidRDefault="00BF3696" w:rsidP="00FB370D">
      <w:pPr>
        <w:rPr>
          <w:rFonts w:eastAsia="SimSun"/>
        </w:rPr>
      </w:pPr>
      <w:r w:rsidRPr="00E42A49">
        <w:rPr>
          <w:lang w:val="en-GB" w:eastAsia="en-GB"/>
        </w:rPr>
        <w:t xml:space="preserve">Carcinogenicity studies have not been performed with </w:t>
      </w:r>
      <w:proofErr w:type="spellStart"/>
      <w:r w:rsidRPr="00E42A49">
        <w:rPr>
          <w:lang w:val="en-GB" w:eastAsia="en-GB"/>
        </w:rPr>
        <w:t>enasidenib</w:t>
      </w:r>
      <w:proofErr w:type="spellEnd"/>
      <w:r w:rsidR="002176E1" w:rsidRPr="00E42A49">
        <w:rPr>
          <w:lang w:val="en-GB" w:eastAsia="en-GB"/>
        </w:rPr>
        <w:t>.</w:t>
      </w:r>
    </w:p>
    <w:p w14:paraId="3DD1D697" w14:textId="77777777" w:rsidR="009D056A" w:rsidRPr="00E42A49" w:rsidRDefault="009D056A" w:rsidP="00C434D9">
      <w:pPr>
        <w:pStyle w:val="C-Heading1nopagebreak"/>
        <w:tabs>
          <w:tab w:val="clear" w:pos="1080"/>
          <w:tab w:val="num" w:pos="567"/>
        </w:tabs>
      </w:pPr>
      <w:r w:rsidRPr="00E42A49">
        <w:t>Pharmaceutical particulars</w:t>
      </w:r>
    </w:p>
    <w:p w14:paraId="36222F54" w14:textId="77777777" w:rsidR="00BF3696" w:rsidRPr="00E42A49" w:rsidRDefault="009D056A" w:rsidP="00BF3696">
      <w:pPr>
        <w:pStyle w:val="C-Heading2"/>
        <w:rPr>
          <w:caps/>
          <w:sz w:val="24"/>
          <w:szCs w:val="24"/>
        </w:rPr>
      </w:pPr>
      <w:r w:rsidRPr="00E42A49">
        <w:rPr>
          <w:caps/>
          <w:sz w:val="24"/>
          <w:szCs w:val="24"/>
        </w:rPr>
        <w:t xml:space="preserve">List of excipients </w:t>
      </w:r>
    </w:p>
    <w:p w14:paraId="587E8680" w14:textId="77777777" w:rsidR="00BF3696" w:rsidRPr="00E42A49" w:rsidRDefault="00BF3696" w:rsidP="00E46BAE">
      <w:pPr>
        <w:spacing w:after="0" w:line="240" w:lineRule="auto"/>
        <w:rPr>
          <w:rFonts w:eastAsia="SimSun"/>
        </w:rPr>
      </w:pPr>
    </w:p>
    <w:p w14:paraId="08FAC64D" w14:textId="77777777" w:rsidR="00BF3696" w:rsidRPr="00E42A49" w:rsidRDefault="00BF3696" w:rsidP="00E46BAE">
      <w:pPr>
        <w:spacing w:before="120" w:after="0"/>
        <w:rPr>
          <w:rFonts w:eastAsia="SimSun"/>
          <w:u w:val="single"/>
        </w:rPr>
      </w:pPr>
      <w:r w:rsidRPr="00E42A49">
        <w:rPr>
          <w:rFonts w:eastAsia="SimSun"/>
          <w:u w:val="single"/>
        </w:rPr>
        <w:t>Tablet contents</w:t>
      </w:r>
    </w:p>
    <w:p w14:paraId="17963DBC" w14:textId="77777777" w:rsidR="00BF3696" w:rsidRPr="00E42A49" w:rsidRDefault="00BF3696" w:rsidP="00E46BAE">
      <w:pPr>
        <w:spacing w:after="0"/>
        <w:rPr>
          <w:rFonts w:eastAsia="SimSun"/>
        </w:rPr>
      </w:pPr>
      <w:r w:rsidRPr="00E42A49">
        <w:rPr>
          <w:rFonts w:eastAsia="SimSun"/>
        </w:rPr>
        <w:t>Microcrystalline cellulose</w:t>
      </w:r>
    </w:p>
    <w:p w14:paraId="79CB0CE4" w14:textId="193F95F7" w:rsidR="00BF3696" w:rsidRPr="00E42A49" w:rsidRDefault="00BF3696" w:rsidP="00E46BAE">
      <w:pPr>
        <w:spacing w:after="0"/>
        <w:rPr>
          <w:rFonts w:eastAsia="SimSun"/>
        </w:rPr>
      </w:pPr>
      <w:r w:rsidRPr="00E42A49">
        <w:rPr>
          <w:rFonts w:eastAsia="SimSun"/>
        </w:rPr>
        <w:t xml:space="preserve">Sodium starch </w:t>
      </w:r>
      <w:proofErr w:type="spellStart"/>
      <w:r w:rsidR="00AC7919" w:rsidRPr="00E42A49">
        <w:rPr>
          <w:rFonts w:eastAsia="SimSun"/>
        </w:rPr>
        <w:t>glycollate</w:t>
      </w:r>
      <w:proofErr w:type="spellEnd"/>
    </w:p>
    <w:p w14:paraId="7DBA7E7C" w14:textId="77777777" w:rsidR="00BF3696" w:rsidRPr="00E42A49" w:rsidRDefault="00BF3696" w:rsidP="00E46BAE">
      <w:pPr>
        <w:spacing w:after="0"/>
        <w:rPr>
          <w:rFonts w:eastAsia="SimSun"/>
        </w:rPr>
      </w:pPr>
      <w:proofErr w:type="spellStart"/>
      <w:r w:rsidRPr="00E42A49">
        <w:rPr>
          <w:rFonts w:eastAsia="SimSun"/>
        </w:rPr>
        <w:t>Hydroxypropyl</w:t>
      </w:r>
      <w:proofErr w:type="spellEnd"/>
      <w:r w:rsidRPr="00E42A49">
        <w:rPr>
          <w:rFonts w:eastAsia="SimSun"/>
        </w:rPr>
        <w:t xml:space="preserve"> cellulose</w:t>
      </w:r>
    </w:p>
    <w:p w14:paraId="76935E65" w14:textId="77777777" w:rsidR="00BF3696" w:rsidRPr="00E42A49" w:rsidRDefault="00BF3696" w:rsidP="00E46BAE">
      <w:pPr>
        <w:spacing w:after="0"/>
        <w:rPr>
          <w:rFonts w:eastAsia="SimSun"/>
        </w:rPr>
      </w:pPr>
      <w:r w:rsidRPr="00E42A49">
        <w:rPr>
          <w:rFonts w:eastAsia="SimSun"/>
        </w:rPr>
        <w:t>Colloidal silicon dioxide</w:t>
      </w:r>
    </w:p>
    <w:p w14:paraId="0E993292" w14:textId="77777777" w:rsidR="00BF3696" w:rsidRPr="00E42A49" w:rsidRDefault="00BF3696" w:rsidP="00E46BAE">
      <w:pPr>
        <w:spacing w:after="0"/>
        <w:rPr>
          <w:rFonts w:eastAsia="SimSun"/>
        </w:rPr>
      </w:pPr>
      <w:r w:rsidRPr="00E42A49">
        <w:rPr>
          <w:rFonts w:eastAsia="SimSun"/>
        </w:rPr>
        <w:t>Magnesium stearate</w:t>
      </w:r>
    </w:p>
    <w:p w14:paraId="2635B17B" w14:textId="77777777" w:rsidR="00BF3696" w:rsidRPr="00E42A49" w:rsidRDefault="00BF3696" w:rsidP="00E46BAE">
      <w:pPr>
        <w:spacing w:after="0"/>
        <w:rPr>
          <w:rFonts w:eastAsia="SimSun"/>
        </w:rPr>
      </w:pPr>
      <w:proofErr w:type="spellStart"/>
      <w:r w:rsidRPr="00E42A49">
        <w:rPr>
          <w:rFonts w:eastAsia="SimSun"/>
        </w:rPr>
        <w:t>Hypromellose</w:t>
      </w:r>
      <w:proofErr w:type="spellEnd"/>
      <w:r w:rsidRPr="00E42A49">
        <w:rPr>
          <w:rFonts w:eastAsia="SimSun"/>
        </w:rPr>
        <w:t xml:space="preserve"> acetate succinate</w:t>
      </w:r>
    </w:p>
    <w:p w14:paraId="74E67620" w14:textId="77777777" w:rsidR="00BF3696" w:rsidRPr="00E42A49" w:rsidRDefault="00BF3696" w:rsidP="00E46BAE">
      <w:pPr>
        <w:spacing w:after="0"/>
        <w:rPr>
          <w:rFonts w:eastAsia="SimSun"/>
        </w:rPr>
      </w:pPr>
      <w:r w:rsidRPr="00E42A49">
        <w:rPr>
          <w:rFonts w:eastAsia="SimSun"/>
        </w:rPr>
        <w:t>Sodium lauryl sulphate (E487)</w:t>
      </w:r>
    </w:p>
    <w:p w14:paraId="472FE27A" w14:textId="77777777" w:rsidR="00E00403" w:rsidRPr="00E42A49" w:rsidRDefault="00E00403" w:rsidP="00E46BAE">
      <w:pPr>
        <w:spacing w:after="120" w:line="240" w:lineRule="auto"/>
        <w:rPr>
          <w:rFonts w:eastAsia="SimSun"/>
        </w:rPr>
      </w:pPr>
    </w:p>
    <w:p w14:paraId="0AFE90FA" w14:textId="77777777" w:rsidR="00BF3696" w:rsidRPr="00E42A49" w:rsidRDefault="00BF3696" w:rsidP="00BF3696">
      <w:pPr>
        <w:rPr>
          <w:rFonts w:eastAsia="SimSun"/>
          <w:u w:val="single"/>
        </w:rPr>
      </w:pPr>
      <w:r w:rsidRPr="00E42A49">
        <w:rPr>
          <w:rFonts w:eastAsia="SimSun"/>
          <w:u w:val="single"/>
        </w:rPr>
        <w:t>Tablet film coating</w:t>
      </w:r>
    </w:p>
    <w:p w14:paraId="630C7221" w14:textId="77777777" w:rsidR="00BF3696" w:rsidRPr="00E42A49" w:rsidRDefault="00BF3696" w:rsidP="00E46BAE">
      <w:pPr>
        <w:spacing w:before="120" w:after="0"/>
        <w:rPr>
          <w:rFonts w:eastAsia="SimSun"/>
        </w:rPr>
      </w:pPr>
      <w:r w:rsidRPr="00E42A49">
        <w:rPr>
          <w:rFonts w:eastAsia="SimSun"/>
        </w:rPr>
        <w:t>Polyvinyl alcohol</w:t>
      </w:r>
    </w:p>
    <w:p w14:paraId="6F833560" w14:textId="77777777" w:rsidR="00BF3696" w:rsidRPr="00E42A49" w:rsidRDefault="00BF3696" w:rsidP="00E46BAE">
      <w:pPr>
        <w:spacing w:after="0"/>
        <w:rPr>
          <w:rFonts w:eastAsia="SimSun"/>
        </w:rPr>
      </w:pPr>
      <w:r w:rsidRPr="00E42A49">
        <w:rPr>
          <w:rFonts w:eastAsia="SimSun"/>
        </w:rPr>
        <w:t>Titanium dioxide (E171)</w:t>
      </w:r>
    </w:p>
    <w:p w14:paraId="17A39877" w14:textId="0866C457" w:rsidR="00BF3696" w:rsidRPr="00E42A49" w:rsidRDefault="00BF3696" w:rsidP="00E46BAE">
      <w:pPr>
        <w:spacing w:after="0"/>
        <w:rPr>
          <w:rFonts w:eastAsia="SimSun"/>
        </w:rPr>
      </w:pPr>
      <w:r w:rsidRPr="00E42A49">
        <w:rPr>
          <w:rFonts w:eastAsia="SimSun"/>
        </w:rPr>
        <w:t xml:space="preserve">Polyethylene glycol </w:t>
      </w:r>
      <w:r w:rsidR="004709B4" w:rsidRPr="00E42A49">
        <w:rPr>
          <w:rFonts w:eastAsia="SimSun"/>
        </w:rPr>
        <w:t xml:space="preserve">3350 </w:t>
      </w:r>
      <w:r w:rsidRPr="00E42A49">
        <w:rPr>
          <w:rFonts w:eastAsia="SimSun"/>
        </w:rPr>
        <w:t>(</w:t>
      </w:r>
      <w:proofErr w:type="spellStart"/>
      <w:r w:rsidRPr="00E42A49">
        <w:rPr>
          <w:rFonts w:eastAsia="SimSun"/>
        </w:rPr>
        <w:t>Macrogol</w:t>
      </w:r>
      <w:proofErr w:type="spellEnd"/>
      <w:r w:rsidR="00654573" w:rsidRPr="00E42A49">
        <w:rPr>
          <w:rFonts w:eastAsia="SimSun"/>
        </w:rPr>
        <w:t xml:space="preserve"> </w:t>
      </w:r>
      <w:r w:rsidR="004709B4" w:rsidRPr="00E42A49">
        <w:rPr>
          <w:rFonts w:eastAsia="SimSun"/>
        </w:rPr>
        <w:t xml:space="preserve">3350 </w:t>
      </w:r>
      <w:r w:rsidRPr="00E42A49">
        <w:rPr>
          <w:rFonts w:eastAsia="SimSun"/>
        </w:rPr>
        <w:t>/</w:t>
      </w:r>
      <w:r w:rsidR="00654573" w:rsidRPr="00E42A49">
        <w:rPr>
          <w:rFonts w:eastAsia="SimSun"/>
        </w:rPr>
        <w:t xml:space="preserve"> </w:t>
      </w:r>
      <w:r w:rsidRPr="00E42A49">
        <w:rPr>
          <w:rFonts w:eastAsia="SimSun"/>
        </w:rPr>
        <w:t>PEG</w:t>
      </w:r>
      <w:r w:rsidR="004709B4" w:rsidRPr="00E42A49">
        <w:rPr>
          <w:rFonts w:eastAsia="SimSun"/>
        </w:rPr>
        <w:t xml:space="preserve"> 3350</w:t>
      </w:r>
      <w:r w:rsidRPr="00E42A49">
        <w:rPr>
          <w:rFonts w:eastAsia="SimSun"/>
        </w:rPr>
        <w:t>)</w:t>
      </w:r>
    </w:p>
    <w:p w14:paraId="7A1CD8FB" w14:textId="3768D210" w:rsidR="00BF3696" w:rsidRPr="00E42A49" w:rsidRDefault="00AC7919" w:rsidP="00E46BAE">
      <w:pPr>
        <w:spacing w:after="0"/>
        <w:rPr>
          <w:rFonts w:eastAsia="SimSun"/>
        </w:rPr>
      </w:pPr>
      <w:r w:rsidRPr="00E42A49">
        <w:rPr>
          <w:rFonts w:eastAsia="SimSun"/>
        </w:rPr>
        <w:t>Purified t</w:t>
      </w:r>
      <w:r w:rsidR="00BF3696" w:rsidRPr="00E42A49">
        <w:rPr>
          <w:rFonts w:eastAsia="SimSun"/>
        </w:rPr>
        <w:t>alc</w:t>
      </w:r>
    </w:p>
    <w:p w14:paraId="3FBD0786" w14:textId="4B4F8588" w:rsidR="00BF3696" w:rsidRPr="00E42A49" w:rsidRDefault="00AC7919" w:rsidP="00E46BAE">
      <w:pPr>
        <w:spacing w:after="0"/>
      </w:pPr>
      <w:r w:rsidRPr="00E42A49">
        <w:t>Iron oxide yellow</w:t>
      </w:r>
      <w:r w:rsidR="00BF3696" w:rsidRPr="00E42A49">
        <w:t xml:space="preserve"> (E172)</w:t>
      </w:r>
    </w:p>
    <w:p w14:paraId="51D680B6" w14:textId="77777777" w:rsidR="00BF3696" w:rsidRPr="00E42A49" w:rsidRDefault="00BF3696" w:rsidP="00BF3696">
      <w:pPr>
        <w:pStyle w:val="C-Heading2"/>
        <w:rPr>
          <w:caps/>
          <w:sz w:val="24"/>
          <w:szCs w:val="24"/>
        </w:rPr>
      </w:pPr>
      <w:r w:rsidRPr="00E42A49">
        <w:rPr>
          <w:caps/>
          <w:sz w:val="24"/>
          <w:szCs w:val="24"/>
        </w:rPr>
        <w:t xml:space="preserve">Incompatibilities </w:t>
      </w:r>
    </w:p>
    <w:p w14:paraId="0C93DCCF" w14:textId="710EC07F" w:rsidR="00BF3696" w:rsidRPr="00E42A49" w:rsidRDefault="00BF3696" w:rsidP="00E00403">
      <w:pPr>
        <w:pStyle w:val="C-BodyText"/>
        <w:spacing w:after="0"/>
      </w:pPr>
      <w:r w:rsidRPr="00E42A49">
        <w:t>Not applicable.</w:t>
      </w:r>
    </w:p>
    <w:p w14:paraId="1F8A96AA" w14:textId="77777777" w:rsidR="00BF3696" w:rsidRPr="00E42A49" w:rsidRDefault="00BF3696" w:rsidP="00BF3696">
      <w:pPr>
        <w:pStyle w:val="C-Heading2"/>
        <w:rPr>
          <w:caps/>
          <w:sz w:val="24"/>
          <w:szCs w:val="24"/>
        </w:rPr>
      </w:pPr>
      <w:r w:rsidRPr="00E42A49">
        <w:rPr>
          <w:caps/>
          <w:sz w:val="24"/>
          <w:szCs w:val="24"/>
        </w:rPr>
        <w:t xml:space="preserve">Shelf life </w:t>
      </w:r>
    </w:p>
    <w:p w14:paraId="22C2CAB5" w14:textId="77777777" w:rsidR="00BF3696" w:rsidRPr="00E42A49" w:rsidRDefault="00BF3696" w:rsidP="00BF3696">
      <w:pPr>
        <w:pStyle w:val="C-BodyText"/>
      </w:pPr>
      <w:r w:rsidRPr="00E42A49">
        <w:t>2 years.</w:t>
      </w:r>
    </w:p>
    <w:p w14:paraId="25E73827" w14:textId="77777777" w:rsidR="00BF3696" w:rsidRPr="00E42A49" w:rsidRDefault="00BF3696" w:rsidP="00BF3696">
      <w:pPr>
        <w:pStyle w:val="C-Heading2"/>
        <w:rPr>
          <w:caps/>
          <w:sz w:val="24"/>
          <w:szCs w:val="24"/>
        </w:rPr>
      </w:pPr>
      <w:r w:rsidRPr="00E42A49">
        <w:rPr>
          <w:caps/>
          <w:sz w:val="24"/>
          <w:szCs w:val="24"/>
        </w:rPr>
        <w:t xml:space="preserve">Special precautions for storage </w:t>
      </w:r>
    </w:p>
    <w:p w14:paraId="32620510" w14:textId="67A188A0" w:rsidR="00BF3696" w:rsidRPr="00E42A49" w:rsidRDefault="00855B50" w:rsidP="00BF3696">
      <w:pPr>
        <w:spacing w:before="120"/>
        <w:rPr>
          <w:color w:val="000000"/>
          <w:lang w:val="en-GB"/>
        </w:rPr>
      </w:pPr>
      <w:r w:rsidRPr="00E42A49">
        <w:rPr>
          <w:color w:val="000000"/>
          <w:lang w:val="en-GB"/>
        </w:rPr>
        <w:t>Store below 25</w:t>
      </w:r>
      <w:r w:rsidRPr="00E42A49">
        <w:rPr>
          <w:color w:val="000000"/>
          <w:lang w:val="en-GB"/>
        </w:rPr>
        <w:sym w:font="Symbol" w:char="F0B0"/>
      </w:r>
      <w:r w:rsidRPr="00E42A49">
        <w:rPr>
          <w:color w:val="000000"/>
          <w:lang w:val="en-GB"/>
        </w:rPr>
        <w:t>C.  Keep container tightly closed.  Store in original container.  Protect from moisture.</w:t>
      </w:r>
    </w:p>
    <w:p w14:paraId="756908EE" w14:textId="77777777" w:rsidR="00BF3696" w:rsidRPr="00E42A49" w:rsidRDefault="00BF3696" w:rsidP="00BF3696">
      <w:pPr>
        <w:pStyle w:val="C-Heading2"/>
        <w:rPr>
          <w:caps/>
          <w:sz w:val="24"/>
          <w:szCs w:val="24"/>
        </w:rPr>
      </w:pPr>
      <w:r w:rsidRPr="00E42A49">
        <w:rPr>
          <w:caps/>
          <w:sz w:val="24"/>
          <w:szCs w:val="24"/>
        </w:rPr>
        <w:lastRenderedPageBreak/>
        <w:t xml:space="preserve">Nature and contents of container </w:t>
      </w:r>
    </w:p>
    <w:p w14:paraId="598895A9" w14:textId="1624E80F" w:rsidR="004D141A" w:rsidRPr="00E42A49" w:rsidRDefault="00254813" w:rsidP="004D141A">
      <w:pPr>
        <w:spacing w:before="120" w:line="240" w:lineRule="atLeast"/>
        <w:rPr>
          <w:lang w:val="en-GB"/>
        </w:rPr>
      </w:pPr>
      <w:r w:rsidRPr="00E42A49">
        <w:rPr>
          <w:lang w:val="en-GB"/>
        </w:rPr>
        <w:t>Idhifa</w:t>
      </w:r>
      <w:r w:rsidR="004D141A" w:rsidRPr="00E42A49">
        <w:rPr>
          <w:lang w:val="en-GB"/>
        </w:rPr>
        <w:t xml:space="preserve"> film-coated tablets are packaged in high density polyethylene (HDPE) bottles with a desiccant, induction seal (tamper evident), and child resistant cap.</w:t>
      </w:r>
    </w:p>
    <w:p w14:paraId="35E88C3E" w14:textId="111B602E" w:rsidR="00B7012D" w:rsidRPr="00E42A49" w:rsidRDefault="00CC4E15" w:rsidP="004D141A">
      <w:pPr>
        <w:spacing w:before="120" w:line="240" w:lineRule="atLeast"/>
        <w:rPr>
          <w:lang w:val="en-GB"/>
        </w:rPr>
      </w:pPr>
      <w:r w:rsidRPr="00E42A49">
        <w:rPr>
          <w:lang w:val="en-GB"/>
        </w:rPr>
        <w:t xml:space="preserve">Idhifa 50 mg </w:t>
      </w:r>
      <w:r w:rsidR="00B7012D" w:rsidRPr="00E42A49">
        <w:rPr>
          <w:lang w:val="en-GB"/>
        </w:rPr>
        <w:t xml:space="preserve">and 100 mg </w:t>
      </w:r>
      <w:r w:rsidRPr="00E42A49">
        <w:rPr>
          <w:lang w:val="en-GB"/>
        </w:rPr>
        <w:t xml:space="preserve">film-coated </w:t>
      </w:r>
      <w:r w:rsidR="0088714D" w:rsidRPr="00E42A49">
        <w:rPr>
          <w:lang w:val="en-GB"/>
        </w:rPr>
        <w:t>tablets are available in pack</w:t>
      </w:r>
      <w:r w:rsidR="004709B4" w:rsidRPr="00E42A49">
        <w:rPr>
          <w:lang w:val="en-GB"/>
        </w:rPr>
        <w:t>s</w:t>
      </w:r>
      <w:r w:rsidR="00B7012D" w:rsidRPr="00E42A49">
        <w:rPr>
          <w:lang w:val="en-GB"/>
        </w:rPr>
        <w:t xml:space="preserve"> of 30 tablets each.</w:t>
      </w:r>
    </w:p>
    <w:p w14:paraId="67E25054" w14:textId="77777777" w:rsidR="004D141A" w:rsidRPr="00E42A49" w:rsidRDefault="009D056A" w:rsidP="004D141A">
      <w:pPr>
        <w:pStyle w:val="C-Heading2"/>
        <w:rPr>
          <w:caps/>
          <w:sz w:val="24"/>
          <w:szCs w:val="24"/>
        </w:rPr>
      </w:pPr>
      <w:r w:rsidRPr="00E42A49">
        <w:rPr>
          <w:caps/>
          <w:sz w:val="24"/>
          <w:szCs w:val="24"/>
        </w:rPr>
        <w:t xml:space="preserve">Special precautions for disposal </w:t>
      </w:r>
    </w:p>
    <w:p w14:paraId="347BEC0C" w14:textId="624573B0" w:rsidR="00F00CB9" w:rsidRPr="00E42A49" w:rsidRDefault="004D141A" w:rsidP="00E46BAE">
      <w:pPr>
        <w:spacing w:before="120" w:after="0"/>
        <w:rPr>
          <w:lang w:val="en-GB"/>
        </w:rPr>
      </w:pPr>
      <w:r w:rsidRPr="00E42A49">
        <w:rPr>
          <w:lang w:val="en-GB"/>
        </w:rPr>
        <w:t>Any unused medicinal product or waste material should be disposed of in accordance with local requirements.</w:t>
      </w:r>
    </w:p>
    <w:p w14:paraId="52846886" w14:textId="77777777" w:rsidR="009D056A" w:rsidRPr="00E42A49" w:rsidRDefault="009D056A" w:rsidP="00F00CB9">
      <w:pPr>
        <w:pStyle w:val="C-Heading2"/>
        <w:rPr>
          <w:caps/>
          <w:sz w:val="24"/>
          <w:szCs w:val="24"/>
        </w:rPr>
      </w:pPr>
      <w:r w:rsidRPr="00E42A49">
        <w:rPr>
          <w:caps/>
          <w:sz w:val="24"/>
          <w:szCs w:val="24"/>
        </w:rPr>
        <w:t>Physicochemical properties</w:t>
      </w:r>
    </w:p>
    <w:p w14:paraId="3CAABFE3" w14:textId="00942D0F" w:rsidR="004D141A" w:rsidRPr="00E42A49" w:rsidRDefault="004D141A" w:rsidP="00A14C05">
      <w:pPr>
        <w:pStyle w:val="C-BodyText"/>
        <w:spacing w:before="0" w:after="20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5589"/>
      </w:tblGrid>
      <w:tr w:rsidR="009E231A" w:rsidRPr="00E42A49" w14:paraId="1599763F" w14:textId="77777777" w:rsidTr="0088714D">
        <w:tc>
          <w:tcPr>
            <w:tcW w:w="3794" w:type="dxa"/>
          </w:tcPr>
          <w:p w14:paraId="03EB4BB3" w14:textId="77777777" w:rsidR="009E231A" w:rsidRPr="00E42A49" w:rsidRDefault="009E231A" w:rsidP="009E231A">
            <w:pPr>
              <w:spacing w:before="60" w:after="60"/>
            </w:pPr>
            <w:r w:rsidRPr="00E42A49">
              <w:t>Molecular formula:</w:t>
            </w:r>
          </w:p>
        </w:tc>
        <w:tc>
          <w:tcPr>
            <w:tcW w:w="5607" w:type="dxa"/>
          </w:tcPr>
          <w:p w14:paraId="74C3C640" w14:textId="77777777" w:rsidR="009E231A" w:rsidRPr="00E42A49" w:rsidRDefault="009E231A" w:rsidP="009E231A">
            <w:pPr>
              <w:spacing w:before="60" w:after="60"/>
              <w:jc w:val="both"/>
              <w:rPr>
                <w:highlight w:val="yellow"/>
              </w:rPr>
            </w:pPr>
            <w:r w:rsidRPr="00E42A49">
              <w:rPr>
                <w:lang w:eastAsia="ja-JP"/>
              </w:rPr>
              <w:t>C</w:t>
            </w:r>
            <w:r w:rsidRPr="00E42A49">
              <w:rPr>
                <w:vertAlign w:val="subscript"/>
                <w:lang w:eastAsia="ja-JP"/>
              </w:rPr>
              <w:t>20</w:t>
            </w:r>
            <w:r w:rsidRPr="00E42A49">
              <w:rPr>
                <w:lang w:eastAsia="ja-JP"/>
              </w:rPr>
              <w:t>H</w:t>
            </w:r>
            <w:r w:rsidRPr="00E42A49">
              <w:rPr>
                <w:vertAlign w:val="subscript"/>
                <w:lang w:eastAsia="ja-JP"/>
              </w:rPr>
              <w:t>21</w:t>
            </w:r>
            <w:r w:rsidRPr="00E42A49">
              <w:rPr>
                <w:lang w:eastAsia="ja-JP"/>
              </w:rPr>
              <w:t>F</w:t>
            </w:r>
            <w:r w:rsidRPr="00E42A49">
              <w:rPr>
                <w:vertAlign w:val="subscript"/>
                <w:lang w:eastAsia="ja-JP"/>
              </w:rPr>
              <w:t>6</w:t>
            </w:r>
            <w:r w:rsidRPr="00E42A49">
              <w:rPr>
                <w:lang w:eastAsia="ja-JP"/>
              </w:rPr>
              <w:t>N</w:t>
            </w:r>
            <w:r w:rsidRPr="00E42A49">
              <w:rPr>
                <w:vertAlign w:val="subscript"/>
                <w:lang w:eastAsia="ja-JP"/>
              </w:rPr>
              <w:t>7</w:t>
            </w:r>
            <w:r w:rsidRPr="00E42A49">
              <w:rPr>
                <w:lang w:eastAsia="ja-JP"/>
              </w:rPr>
              <w:t>O</w:t>
            </w:r>
            <w:r w:rsidRPr="00E42A49">
              <w:rPr>
                <w:vertAlign w:val="subscript"/>
                <w:lang w:eastAsia="ja-JP"/>
              </w:rPr>
              <w:t>4</w:t>
            </w:r>
            <w:r w:rsidRPr="00E42A49">
              <w:rPr>
                <w:lang w:eastAsia="ja-JP"/>
              </w:rPr>
              <w:t>S</w:t>
            </w:r>
          </w:p>
        </w:tc>
      </w:tr>
      <w:tr w:rsidR="009E231A" w:rsidRPr="00E42A49" w14:paraId="0387DDB5" w14:textId="77777777" w:rsidTr="0088714D">
        <w:tc>
          <w:tcPr>
            <w:tcW w:w="3794" w:type="dxa"/>
          </w:tcPr>
          <w:p w14:paraId="3B59FF11" w14:textId="77777777" w:rsidR="009E231A" w:rsidRPr="00E42A49" w:rsidRDefault="009E231A" w:rsidP="009E231A">
            <w:pPr>
              <w:spacing w:before="60" w:after="60"/>
            </w:pPr>
            <w:r w:rsidRPr="00E42A49">
              <w:t>Molecular weight:</w:t>
            </w:r>
          </w:p>
        </w:tc>
        <w:tc>
          <w:tcPr>
            <w:tcW w:w="5607" w:type="dxa"/>
          </w:tcPr>
          <w:p w14:paraId="069B0127" w14:textId="77777777" w:rsidR="009E231A" w:rsidRPr="00E42A49" w:rsidRDefault="009E231A" w:rsidP="009E231A">
            <w:pPr>
              <w:spacing w:before="60" w:after="60"/>
              <w:jc w:val="both"/>
              <w:rPr>
                <w:highlight w:val="yellow"/>
              </w:rPr>
            </w:pPr>
            <w:r w:rsidRPr="00E42A49">
              <w:rPr>
                <w:lang w:eastAsia="ja-JP"/>
              </w:rPr>
              <w:t xml:space="preserve">569.48 </w:t>
            </w:r>
            <w:r w:rsidRPr="00E42A49">
              <w:t>g/</w:t>
            </w:r>
            <w:proofErr w:type="spellStart"/>
            <w:r w:rsidRPr="00E42A49">
              <w:t>mol</w:t>
            </w:r>
            <w:proofErr w:type="spellEnd"/>
          </w:p>
        </w:tc>
      </w:tr>
      <w:tr w:rsidR="009E231A" w:rsidRPr="00E42A49" w14:paraId="300EF138" w14:textId="77777777" w:rsidTr="0088714D">
        <w:tc>
          <w:tcPr>
            <w:tcW w:w="3794" w:type="dxa"/>
          </w:tcPr>
          <w:p w14:paraId="0E512680" w14:textId="77777777" w:rsidR="009E231A" w:rsidRPr="00E42A49" w:rsidRDefault="009E231A" w:rsidP="009E231A">
            <w:pPr>
              <w:spacing w:before="60" w:after="60"/>
            </w:pPr>
            <w:r w:rsidRPr="00E42A49">
              <w:t>Chemical name:</w:t>
            </w:r>
          </w:p>
        </w:tc>
        <w:tc>
          <w:tcPr>
            <w:tcW w:w="5607" w:type="dxa"/>
          </w:tcPr>
          <w:p w14:paraId="5A3EA363" w14:textId="3DB695DA" w:rsidR="00F00CB9" w:rsidRPr="00E42A49" w:rsidRDefault="009E231A" w:rsidP="009E231A">
            <w:pPr>
              <w:spacing w:before="60" w:after="60"/>
              <w:jc w:val="both"/>
            </w:pPr>
            <w:r w:rsidRPr="00E42A49">
              <w:t xml:space="preserve">2-methyl-1-[(4-[6-(trifluoromethyl)pyridin-2-yl]-6-{[2-(trifluoromethyl)pyridin-4-yl]amino}-1,3,5-triazin-2-yl)amino]propan-2-ol </w:t>
            </w:r>
            <w:proofErr w:type="spellStart"/>
            <w:r w:rsidRPr="00E42A49">
              <w:t>methanesulfonate</w:t>
            </w:r>
            <w:proofErr w:type="spellEnd"/>
            <w:r w:rsidRPr="00E42A49">
              <w:t>.</w:t>
            </w:r>
          </w:p>
        </w:tc>
      </w:tr>
      <w:tr w:rsidR="009E231A" w:rsidRPr="00E42A49" w14:paraId="190239D0" w14:textId="77777777" w:rsidTr="0088714D">
        <w:tc>
          <w:tcPr>
            <w:tcW w:w="3794" w:type="dxa"/>
          </w:tcPr>
          <w:p w14:paraId="4848CC88" w14:textId="77777777" w:rsidR="009E231A" w:rsidRPr="00E42A49" w:rsidRDefault="009E231A" w:rsidP="009E231A">
            <w:pPr>
              <w:spacing w:before="60" w:after="60"/>
            </w:pPr>
            <w:r w:rsidRPr="00E42A49">
              <w:t>Chemical Abstract Service (CAS) registry number:</w:t>
            </w:r>
          </w:p>
        </w:tc>
        <w:tc>
          <w:tcPr>
            <w:tcW w:w="5607" w:type="dxa"/>
          </w:tcPr>
          <w:p w14:paraId="2BDB596B" w14:textId="77777777" w:rsidR="009E231A" w:rsidRPr="00E42A49" w:rsidRDefault="009E231A" w:rsidP="009E231A">
            <w:pPr>
              <w:spacing w:before="60" w:after="60"/>
              <w:jc w:val="both"/>
              <w:rPr>
                <w:highlight w:val="yellow"/>
              </w:rPr>
            </w:pPr>
            <w:r w:rsidRPr="00E42A49">
              <w:rPr>
                <w:lang w:eastAsia="ja-JP"/>
              </w:rPr>
              <w:t>1650550-25-6</w:t>
            </w:r>
          </w:p>
        </w:tc>
      </w:tr>
      <w:tr w:rsidR="009E231A" w:rsidRPr="00E42A49" w14:paraId="19E0803A" w14:textId="77777777" w:rsidTr="0088714D">
        <w:tc>
          <w:tcPr>
            <w:tcW w:w="3794" w:type="dxa"/>
          </w:tcPr>
          <w:p w14:paraId="05708F2C" w14:textId="77777777" w:rsidR="009E231A" w:rsidRPr="00E42A49" w:rsidRDefault="009E231A" w:rsidP="009E231A">
            <w:pPr>
              <w:spacing w:before="60" w:after="60"/>
            </w:pPr>
            <w:bookmarkStart w:id="18" w:name="_GoBack"/>
            <w:r w:rsidRPr="00E42A49">
              <w:t>Chemical structure:</w:t>
            </w:r>
          </w:p>
          <w:bookmarkEnd w:id="18"/>
          <w:p w14:paraId="4A313DB6" w14:textId="77777777" w:rsidR="009E231A" w:rsidRPr="00E42A49" w:rsidRDefault="009E231A" w:rsidP="009E231A">
            <w:pPr>
              <w:spacing w:before="60" w:after="60"/>
            </w:pPr>
          </w:p>
          <w:p w14:paraId="5E1947D5" w14:textId="77777777" w:rsidR="009E231A" w:rsidRPr="00E42A49" w:rsidRDefault="009E231A" w:rsidP="009E231A">
            <w:pPr>
              <w:spacing w:before="60" w:after="60"/>
            </w:pPr>
          </w:p>
          <w:p w14:paraId="0AE5929F" w14:textId="77777777" w:rsidR="009E231A" w:rsidRPr="00E42A49" w:rsidRDefault="009E231A" w:rsidP="009E231A">
            <w:pPr>
              <w:spacing w:before="60" w:after="60"/>
            </w:pPr>
          </w:p>
          <w:p w14:paraId="243681E1" w14:textId="77777777" w:rsidR="009E231A" w:rsidRPr="00E42A49" w:rsidRDefault="009E231A" w:rsidP="009E231A">
            <w:pPr>
              <w:spacing w:before="60" w:after="60"/>
            </w:pPr>
          </w:p>
          <w:p w14:paraId="5A215D58" w14:textId="77777777" w:rsidR="009E231A" w:rsidRPr="00E42A49" w:rsidRDefault="009E231A" w:rsidP="009E231A">
            <w:pPr>
              <w:spacing w:before="60" w:after="60"/>
            </w:pPr>
          </w:p>
        </w:tc>
        <w:tc>
          <w:tcPr>
            <w:tcW w:w="5607" w:type="dxa"/>
          </w:tcPr>
          <w:p w14:paraId="4D06D32F" w14:textId="77777777" w:rsidR="009E231A" w:rsidRPr="00E42A49" w:rsidRDefault="009E231A" w:rsidP="009E231A">
            <w:pPr>
              <w:spacing w:before="60" w:after="60"/>
              <w:jc w:val="both"/>
              <w:rPr>
                <w:highlight w:val="yellow"/>
              </w:rPr>
            </w:pPr>
            <w:r w:rsidRPr="00E42A49">
              <w:rPr>
                <w:noProof/>
                <w:lang w:eastAsia="en-AU"/>
              </w:rPr>
              <w:drawing>
                <wp:inline distT="0" distB="0" distL="0" distR="0" wp14:anchorId="54A3F5DB" wp14:editId="311BA2A8">
                  <wp:extent cx="2112818" cy="1170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6620" cy="1178030"/>
                          </a:xfrm>
                          <a:prstGeom prst="rect">
                            <a:avLst/>
                          </a:prstGeom>
                          <a:noFill/>
                          <a:ln>
                            <a:noFill/>
                          </a:ln>
                        </pic:spPr>
                      </pic:pic>
                    </a:graphicData>
                  </a:graphic>
                </wp:inline>
              </w:drawing>
            </w:r>
          </w:p>
        </w:tc>
      </w:tr>
    </w:tbl>
    <w:p w14:paraId="2BFCDDB2" w14:textId="77777777" w:rsidR="004D141A" w:rsidRPr="00E42A49" w:rsidRDefault="009D056A" w:rsidP="00F0377C">
      <w:pPr>
        <w:pStyle w:val="C-Heading1nopagebreak"/>
        <w:tabs>
          <w:tab w:val="clear" w:pos="1080"/>
          <w:tab w:val="num" w:pos="567"/>
        </w:tabs>
      </w:pPr>
      <w:r w:rsidRPr="00E42A49">
        <w:t>Medicine schedule (Poisons Standard)</w:t>
      </w:r>
    </w:p>
    <w:p w14:paraId="1ED1BD26" w14:textId="3DDB0393" w:rsidR="004D141A" w:rsidRPr="00E42A49" w:rsidRDefault="00CC4E15" w:rsidP="004D141A">
      <w:pPr>
        <w:pStyle w:val="C-BodyText"/>
      </w:pPr>
      <w:r w:rsidRPr="00E42A49">
        <w:t>Schedule 4 (</w:t>
      </w:r>
      <w:r w:rsidR="004D141A" w:rsidRPr="00E42A49">
        <w:t>Prescription Only Medicine</w:t>
      </w:r>
      <w:r w:rsidRPr="00E42A49">
        <w:t>)</w:t>
      </w:r>
    </w:p>
    <w:p w14:paraId="6F521938" w14:textId="77777777" w:rsidR="008954F4" w:rsidRPr="00E42A49" w:rsidRDefault="009D056A" w:rsidP="008954F4">
      <w:pPr>
        <w:pStyle w:val="C-Heading1nopagebreak"/>
        <w:tabs>
          <w:tab w:val="clear" w:pos="1080"/>
          <w:tab w:val="num" w:pos="567"/>
        </w:tabs>
      </w:pPr>
      <w:r w:rsidRPr="00E42A49">
        <w:t xml:space="preserve">Sponsor </w:t>
      </w:r>
    </w:p>
    <w:p w14:paraId="3B9E5EF2" w14:textId="77777777" w:rsidR="008954F4" w:rsidRPr="00E42A49" w:rsidRDefault="008954F4" w:rsidP="00E46BAE">
      <w:pPr>
        <w:spacing w:after="0"/>
        <w:rPr>
          <w:lang w:val="en-GB"/>
        </w:rPr>
      </w:pPr>
      <w:r w:rsidRPr="00E42A49">
        <w:rPr>
          <w:lang w:val="en-GB"/>
        </w:rPr>
        <w:t>Sponsored in Australia by:</w:t>
      </w:r>
    </w:p>
    <w:p w14:paraId="45AD4F71" w14:textId="77777777" w:rsidR="008954F4" w:rsidRPr="00E42A49" w:rsidRDefault="008954F4" w:rsidP="00E46BAE">
      <w:pPr>
        <w:spacing w:before="120" w:after="0"/>
        <w:jc w:val="both"/>
      </w:pPr>
      <w:r w:rsidRPr="00E42A49">
        <w:t>Celgene Pty Limited</w:t>
      </w:r>
    </w:p>
    <w:p w14:paraId="24CD809D" w14:textId="77777777" w:rsidR="008954F4" w:rsidRPr="00E42A49" w:rsidRDefault="008954F4" w:rsidP="00E46BAE">
      <w:pPr>
        <w:spacing w:after="0"/>
      </w:pPr>
      <w:r w:rsidRPr="00E42A49">
        <w:t>Level 15, 60 City Road</w:t>
      </w:r>
    </w:p>
    <w:p w14:paraId="7ACBC359" w14:textId="77777777" w:rsidR="008954F4" w:rsidRPr="00E42A49" w:rsidRDefault="008954F4" w:rsidP="00E46BAE">
      <w:pPr>
        <w:spacing w:after="0"/>
      </w:pPr>
      <w:r w:rsidRPr="00E42A49">
        <w:t>Southbank VIC 3006</w:t>
      </w:r>
    </w:p>
    <w:p w14:paraId="76123600" w14:textId="77777777" w:rsidR="008954F4" w:rsidRPr="00E42A49" w:rsidRDefault="008954F4" w:rsidP="00E46BAE">
      <w:pPr>
        <w:spacing w:after="0"/>
        <w:rPr>
          <w:bCs/>
        </w:rPr>
      </w:pPr>
      <w:r w:rsidRPr="00E42A49">
        <w:t>Australia</w:t>
      </w:r>
      <w:r w:rsidRPr="00E42A49">
        <w:rPr>
          <w:bCs/>
        </w:rPr>
        <w:t>.</w:t>
      </w:r>
    </w:p>
    <w:p w14:paraId="40B86E0F" w14:textId="7841573E" w:rsidR="008954F4" w:rsidRPr="00E46BAE" w:rsidRDefault="008954F4" w:rsidP="00E46BAE">
      <w:pPr>
        <w:spacing w:after="0"/>
      </w:pPr>
      <w:r w:rsidRPr="00E42A49">
        <w:t>Telephone: 1800 CELGENE (1800 235 4363)</w:t>
      </w:r>
    </w:p>
    <w:p w14:paraId="7E631521" w14:textId="77777777" w:rsidR="009D056A" w:rsidRPr="00E42A49" w:rsidRDefault="009D056A" w:rsidP="00E46BAE">
      <w:pPr>
        <w:pStyle w:val="C-Heading1nopagebreak"/>
        <w:tabs>
          <w:tab w:val="clear" w:pos="1080"/>
          <w:tab w:val="num" w:pos="567"/>
        </w:tabs>
      </w:pPr>
      <w:r w:rsidRPr="00E42A49">
        <w:lastRenderedPageBreak/>
        <w:t xml:space="preserve">Date of first approval  </w:t>
      </w:r>
    </w:p>
    <w:p w14:paraId="0E55BBAB" w14:textId="7DBCDA09" w:rsidR="00F00CB9" w:rsidRPr="00E42A49" w:rsidRDefault="00D171DB" w:rsidP="00F00CB9">
      <w:pPr>
        <w:pStyle w:val="C-BodyText"/>
        <w:spacing w:before="0" w:after="0"/>
      </w:pPr>
      <w:r w:rsidRPr="00E42A49">
        <w:t>17 January 2020</w:t>
      </w:r>
    </w:p>
    <w:p w14:paraId="278F7373" w14:textId="77777777" w:rsidR="00C434D9" w:rsidRPr="00E42A49" w:rsidRDefault="009D056A" w:rsidP="000A6372">
      <w:pPr>
        <w:pStyle w:val="C-Heading1nopagebreak"/>
        <w:tabs>
          <w:tab w:val="clear" w:pos="1080"/>
          <w:tab w:val="num" w:pos="567"/>
        </w:tabs>
        <w:spacing w:after="0"/>
      </w:pPr>
      <w:r w:rsidRPr="00E42A49">
        <w:t>Date of revision</w:t>
      </w:r>
    </w:p>
    <w:p w14:paraId="454CC7DC" w14:textId="1780A2CD" w:rsidR="009D056A" w:rsidRPr="00E42A49" w:rsidRDefault="00BB282C" w:rsidP="00C434D9">
      <w:pPr>
        <w:spacing w:before="120"/>
      </w:pPr>
      <w:r w:rsidRPr="00E42A49">
        <w:t>N/A</w:t>
      </w:r>
      <w:r w:rsidR="009D056A" w:rsidRPr="00E42A49">
        <w:t xml:space="preserve"> </w:t>
      </w:r>
    </w:p>
    <w:p w14:paraId="5BBFD737" w14:textId="484CE121" w:rsidR="009D056A" w:rsidRPr="00E42A49" w:rsidRDefault="009D056A" w:rsidP="000A6372">
      <w:pPr>
        <w:pStyle w:val="Heading2"/>
        <w:tabs>
          <w:tab w:val="clear" w:pos="360"/>
        </w:tabs>
        <w:spacing w:before="240"/>
      </w:pPr>
      <w:r w:rsidRPr="00E42A49">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9D056A" w:rsidRPr="00E42A49" w14:paraId="3245D632" w14:textId="77777777" w:rsidTr="00512D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9B03284" w14:textId="77777777" w:rsidR="009D056A" w:rsidRPr="00E42A49" w:rsidRDefault="009D056A" w:rsidP="00512D79">
            <w:pPr>
              <w:rPr>
                <w:rFonts w:ascii="Times New Roman" w:hAnsi="Times New Roman" w:cs="Times New Roman"/>
                <w:sz w:val="20"/>
                <w:lang w:val="en-US"/>
              </w:rPr>
            </w:pPr>
            <w:r w:rsidRPr="00E42A49">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278EF47B" w14:textId="77777777" w:rsidR="009D056A" w:rsidRPr="00E42A49" w:rsidRDefault="009D056A" w:rsidP="00512D7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E42A49">
              <w:rPr>
                <w:rFonts w:ascii="Times New Roman" w:hAnsi="Times New Roman" w:cs="Times New Roman"/>
                <w:sz w:val="20"/>
                <w:lang w:val="en-US"/>
              </w:rPr>
              <w:t>Summary of new information</w:t>
            </w:r>
          </w:p>
        </w:tc>
      </w:tr>
      <w:tr w:rsidR="009D056A" w:rsidRPr="00E42A49" w14:paraId="55F02DCB" w14:textId="77777777" w:rsidTr="00512D79">
        <w:tc>
          <w:tcPr>
            <w:cnfStyle w:val="001000000000" w:firstRow="0" w:lastRow="0" w:firstColumn="1" w:lastColumn="0" w:oddVBand="0" w:evenVBand="0" w:oddHBand="0" w:evenHBand="0" w:firstRowFirstColumn="0" w:firstRowLastColumn="0" w:lastRowFirstColumn="0" w:lastRowLastColumn="0"/>
            <w:tcW w:w="1384" w:type="dxa"/>
            <w:vAlign w:val="center"/>
          </w:tcPr>
          <w:p w14:paraId="3C3708E4" w14:textId="5688F050" w:rsidR="009D056A" w:rsidRPr="00E42A49" w:rsidRDefault="00F0377C" w:rsidP="00512D79">
            <w:pPr>
              <w:rPr>
                <w:rFonts w:ascii="Times New Roman" w:hAnsi="Times New Roman" w:cs="Times New Roman"/>
                <w:lang w:val="en-US"/>
              </w:rPr>
            </w:pPr>
            <w:r w:rsidRPr="00E42A49">
              <w:rPr>
                <w:rFonts w:ascii="Times New Roman" w:hAnsi="Times New Roman" w:cs="Times New Roman"/>
                <w:lang w:val="en-US"/>
              </w:rPr>
              <w:t>N/A</w:t>
            </w:r>
          </w:p>
        </w:tc>
        <w:tc>
          <w:tcPr>
            <w:tcW w:w="7858" w:type="dxa"/>
            <w:vAlign w:val="center"/>
          </w:tcPr>
          <w:p w14:paraId="265CECAB" w14:textId="446F62A0" w:rsidR="009D056A" w:rsidRPr="00E42A49" w:rsidRDefault="00F0377C" w:rsidP="00512D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42A49">
              <w:rPr>
                <w:rFonts w:ascii="Times New Roman" w:hAnsi="Times New Roman" w:cs="Times New Roman"/>
                <w:lang w:val="en-US"/>
              </w:rPr>
              <w:t>First version</w:t>
            </w:r>
          </w:p>
        </w:tc>
      </w:tr>
    </w:tbl>
    <w:p w14:paraId="0FEEAE20" w14:textId="77777777" w:rsidR="00D93C67" w:rsidRPr="00E42A49" w:rsidRDefault="00D93C67" w:rsidP="00F00CB9">
      <w:pPr>
        <w:pStyle w:val="C-BodyText"/>
        <w:spacing w:before="0" w:after="0"/>
      </w:pPr>
    </w:p>
    <w:sectPr w:rsidR="00D93C67" w:rsidRPr="00E42A49" w:rsidSect="00D14FA7">
      <w:headerReference w:type="even" r:id="rId11"/>
      <w:headerReference w:type="default" r:id="rId12"/>
      <w:footerReference w:type="even" r:id="rId13"/>
      <w:footerReference w:type="default" r:id="rId14"/>
      <w:headerReference w:type="first" r:id="rId15"/>
      <w:footerReference w:type="first" r:id="rId16"/>
      <w:pgSz w:w="12240" w:h="15840" w:code="1"/>
      <w:pgMar w:top="993" w:right="1440" w:bottom="1170" w:left="1440"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68C56" w14:textId="77777777" w:rsidR="0042631F" w:rsidRDefault="0042631F">
      <w:r>
        <w:separator/>
      </w:r>
    </w:p>
  </w:endnote>
  <w:endnote w:type="continuationSeparator" w:id="0">
    <w:p w14:paraId="775EF717" w14:textId="77777777" w:rsidR="0042631F" w:rsidRDefault="0042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61004D" w:csb1="006C0072"/>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0C85" w14:textId="77777777" w:rsidR="0042631F" w:rsidRDefault="0042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175C" w14:textId="39251784" w:rsidR="0042631F" w:rsidRPr="00195499" w:rsidRDefault="0042631F" w:rsidP="00D171DB">
    <w:pPr>
      <w:pStyle w:val="Footer"/>
      <w:pBdr>
        <w:top w:val="single" w:sz="4" w:space="1" w:color="auto"/>
      </w:pBdr>
    </w:pPr>
    <w:r w:rsidRPr="00195499">
      <w:rPr>
        <w:sz w:val="18"/>
        <w:szCs w:val="18"/>
        <w:lang w:val="fr-FR"/>
      </w:rPr>
      <w:t>IDHIFA</w:t>
    </w:r>
    <w:r w:rsidRPr="00195499">
      <w:rPr>
        <w:sz w:val="18"/>
        <w:szCs w:val="18"/>
        <w:vertAlign w:val="superscript"/>
        <w:lang w:val="fr-FR"/>
      </w:rPr>
      <w:t>®</w:t>
    </w:r>
    <w:r w:rsidRPr="00195499">
      <w:rPr>
        <w:sz w:val="18"/>
        <w:szCs w:val="18"/>
        <w:lang w:val="fr-FR"/>
      </w:rPr>
      <w:t xml:space="preserve"> (</w:t>
    </w:r>
    <w:proofErr w:type="spellStart"/>
    <w:r w:rsidRPr="00195499">
      <w:rPr>
        <w:sz w:val="18"/>
        <w:szCs w:val="18"/>
        <w:lang w:val="fr-FR"/>
      </w:rPr>
      <w:t>enasidenib</w:t>
    </w:r>
    <w:proofErr w:type="spellEnd"/>
    <w:r w:rsidRPr="00195499">
      <w:rPr>
        <w:sz w:val="18"/>
        <w:szCs w:val="18"/>
        <w:lang w:val="fr-FR"/>
      </w:rPr>
      <w:t>) film-</w:t>
    </w:r>
    <w:proofErr w:type="spellStart"/>
    <w:r w:rsidRPr="00195499">
      <w:rPr>
        <w:sz w:val="18"/>
        <w:szCs w:val="18"/>
        <w:lang w:val="fr-FR"/>
      </w:rPr>
      <w:t>coated</w:t>
    </w:r>
    <w:proofErr w:type="spellEnd"/>
    <w:r w:rsidRPr="00195499">
      <w:rPr>
        <w:sz w:val="18"/>
        <w:szCs w:val="18"/>
        <w:lang w:val="fr-FR"/>
      </w:rPr>
      <w:t xml:space="preserve"> </w:t>
    </w:r>
    <w:proofErr w:type="spellStart"/>
    <w:r w:rsidRPr="00195499">
      <w:rPr>
        <w:sz w:val="18"/>
        <w:szCs w:val="18"/>
        <w:lang w:val="fr-FR"/>
      </w:rPr>
      <w:t>tablets</w:t>
    </w:r>
    <w:proofErr w:type="spellEnd"/>
    <w:r w:rsidRPr="00195499">
      <w:rPr>
        <w:sz w:val="18"/>
        <w:szCs w:val="18"/>
        <w:lang w:val="fr-FR"/>
      </w:rPr>
      <w:t xml:space="preserve"> – AU PI</w:t>
    </w:r>
    <w:r w:rsidRPr="00195499">
      <w:rPr>
        <w:sz w:val="18"/>
        <w:szCs w:val="18"/>
        <w:lang w:val="fr-FR"/>
      </w:rPr>
      <w:tab/>
    </w:r>
    <w:r w:rsidRPr="00195499">
      <w:rPr>
        <w:sz w:val="18"/>
        <w:szCs w:val="18"/>
        <w:lang w:val="fr-FR"/>
      </w:rPr>
      <w:tab/>
    </w:r>
    <w:sdt>
      <w:sdtPr>
        <w:id w:val="1886058515"/>
        <w:docPartObj>
          <w:docPartGallery w:val="Page Numbers (Bottom of Page)"/>
          <w:docPartUnique/>
        </w:docPartObj>
      </w:sdtPr>
      <w:sdtEndPr>
        <w:rPr>
          <w:noProof/>
        </w:rPr>
      </w:sdtEndPr>
      <w:sdtContent>
        <w:r w:rsidRPr="00195499">
          <w:rPr>
            <w:sz w:val="20"/>
          </w:rPr>
          <w:fldChar w:fldCharType="begin"/>
        </w:r>
        <w:r w:rsidRPr="00195499">
          <w:rPr>
            <w:sz w:val="20"/>
          </w:rPr>
          <w:instrText xml:space="preserve"> PAGE   \* MERGEFORMAT </w:instrText>
        </w:r>
        <w:r w:rsidRPr="00195499">
          <w:rPr>
            <w:sz w:val="20"/>
          </w:rPr>
          <w:fldChar w:fldCharType="separate"/>
        </w:r>
        <w:r w:rsidR="004F1ED1">
          <w:rPr>
            <w:noProof/>
            <w:sz w:val="20"/>
          </w:rPr>
          <w:t>19</w:t>
        </w:r>
        <w:r w:rsidRPr="00195499">
          <w:rPr>
            <w:noProof/>
            <w:sz w:val="20"/>
          </w:rPr>
          <w:fldChar w:fldCharType="end"/>
        </w:r>
      </w:sdtContent>
    </w:sdt>
  </w:p>
  <w:p w14:paraId="1E6028D3" w14:textId="0833780B" w:rsidR="0042631F" w:rsidRPr="00195499" w:rsidRDefault="0042631F" w:rsidP="00485C0D">
    <w:pPr>
      <w:pBdr>
        <w:top w:val="single" w:sz="4" w:space="1" w:color="auto"/>
      </w:pBdr>
      <w:rPr>
        <w:sz w:val="8"/>
        <w:szCs w:val="8"/>
        <w:lang w:val="fr-FR"/>
      </w:rPr>
    </w:pPr>
    <w:proofErr w:type="spellStart"/>
    <w:r w:rsidRPr="00195499">
      <w:rPr>
        <w:sz w:val="8"/>
        <w:szCs w:val="8"/>
        <w:lang w:val="fr-FR"/>
      </w:rPr>
      <w:t>Celgene</w:t>
    </w:r>
    <w:proofErr w:type="spellEnd"/>
    <w:r w:rsidRPr="00195499">
      <w:rPr>
        <w:sz w:val="8"/>
        <w:szCs w:val="8"/>
        <w:lang w:val="fr-FR"/>
      </w:rPr>
      <w:t xml:space="preserve"> V1.0 – 17 </w:t>
    </w:r>
    <w:proofErr w:type="spellStart"/>
    <w:r w:rsidRPr="00195499">
      <w:rPr>
        <w:sz w:val="8"/>
        <w:szCs w:val="8"/>
        <w:lang w:val="fr-FR"/>
      </w:rPr>
      <w:t>January</w:t>
    </w:r>
    <w:proofErr w:type="spellEnd"/>
    <w:r w:rsidRPr="00195499">
      <w:rPr>
        <w:sz w:val="8"/>
        <w:szCs w:val="8"/>
        <w:lang w:val="fr-FR"/>
      </w:rPr>
      <w:t xml:space="preserve"> 2020 (CCDS V4)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ECA6" w14:textId="77777777" w:rsidR="0042631F" w:rsidRDefault="0042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8220A" w14:textId="77777777" w:rsidR="0042631F" w:rsidRDefault="0042631F">
      <w:r>
        <w:separator/>
      </w:r>
    </w:p>
  </w:footnote>
  <w:footnote w:type="continuationSeparator" w:id="0">
    <w:p w14:paraId="55BBCD1B" w14:textId="77777777" w:rsidR="0042631F" w:rsidRDefault="0042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5CE3" w14:textId="77777777" w:rsidR="0042631F" w:rsidRDefault="00426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2631F" w:rsidRPr="002E7F61" w14:paraId="66D37E44" w14:textId="77777777" w:rsidTr="0042631F">
      <w:trPr>
        <w:trHeight w:val="590"/>
      </w:trPr>
      <w:tc>
        <w:tcPr>
          <w:tcW w:w="8720" w:type="dxa"/>
          <w:shd w:val="clear" w:color="auto" w:fill="E4F2E0"/>
        </w:tcPr>
        <w:p w14:paraId="2BDA0A8D" w14:textId="77777777" w:rsidR="0042631F" w:rsidRPr="002E7F61" w:rsidRDefault="0042631F" w:rsidP="005F4E02">
          <w:pPr>
            <w:pStyle w:val="Footer"/>
            <w:rPr>
              <w:b/>
              <w:sz w:val="18"/>
              <w:szCs w:val="18"/>
            </w:rPr>
          </w:pPr>
          <w:r w:rsidRPr="002E7F61">
            <w:rPr>
              <w:b/>
              <w:sz w:val="18"/>
              <w:szCs w:val="18"/>
            </w:rPr>
            <w:t xml:space="preserve">Attachment </w:t>
          </w:r>
          <w:r w:rsidRPr="00013C6C">
            <w:rPr>
              <w:b/>
              <w:sz w:val="18"/>
              <w:szCs w:val="18"/>
            </w:rPr>
            <w:t xml:space="preserve">AusPAR - IDHIFA - </w:t>
          </w:r>
          <w:proofErr w:type="spellStart"/>
          <w:r w:rsidRPr="00013C6C">
            <w:rPr>
              <w:b/>
              <w:sz w:val="18"/>
              <w:szCs w:val="18"/>
            </w:rPr>
            <w:t>enasidenib</w:t>
          </w:r>
          <w:proofErr w:type="spellEnd"/>
          <w:r w:rsidRPr="00013C6C">
            <w:rPr>
              <w:b/>
              <w:sz w:val="18"/>
              <w:szCs w:val="18"/>
            </w:rPr>
            <w:t xml:space="preserve"> - Celgene Pty Ltd - PM-2018-04819-1-6</w:t>
          </w:r>
          <w:r>
            <w:rPr>
              <w:b/>
              <w:sz w:val="18"/>
              <w:szCs w:val="18"/>
            </w:rPr>
            <w:t xml:space="preserve"> </w:t>
          </w:r>
          <w:r w:rsidRPr="00013C6C">
            <w:rPr>
              <w:b/>
              <w:sz w:val="18"/>
              <w:szCs w:val="18"/>
            </w:rPr>
            <w:t>FINAL 24 April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E9A3141" w14:textId="77777777" w:rsidR="0042631F" w:rsidRDefault="00426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783F" w14:textId="77777777" w:rsidR="0042631F" w:rsidRDefault="0042631F">
    <w:pPr>
      <w:rPr>
        <w:b/>
      </w:rPr>
    </w:pPr>
    <w:r>
      <w:rPr>
        <w:b/>
      </w:rPr>
      <w:t>[line1l]</w:t>
    </w:r>
    <w:r>
      <w:rPr>
        <w:b/>
      </w:rPr>
      <w:tab/>
    </w:r>
    <w:r>
      <w:rPr>
        <w:b/>
      </w:rPr>
      <w:tab/>
    </w:r>
    <w:r>
      <w:rPr>
        <w:b/>
      </w:rPr>
      <w:fldChar w:fldCharType="begin"/>
    </w:r>
    <w:r>
      <w:rPr>
        <w:b/>
      </w:rPr>
      <w:instrText xml:space="preserve"> PAGE </w:instrText>
    </w:r>
    <w:r>
      <w:rPr>
        <w:b/>
      </w:rPr>
      <w:fldChar w:fldCharType="separate"/>
    </w:r>
    <w:r>
      <w:rPr>
        <w:b/>
      </w:rPr>
      <w:t>iv</w:t>
    </w:r>
    <w:r>
      <w:rPr>
        <w:b/>
      </w:rPr>
      <w:fldChar w:fldCharType="end"/>
    </w:r>
  </w:p>
  <w:p w14:paraId="6182E7F8" w14:textId="77777777" w:rsidR="0042631F" w:rsidRDefault="0042631F">
    <w:pPr>
      <w:rPr>
        <w:b/>
      </w:rPr>
    </w:pPr>
    <w:r>
      <w:rPr>
        <w:b/>
      </w:rPr>
      <w:t>[line2l]</w:t>
    </w:r>
    <w:r>
      <w:rPr>
        <w:b/>
      </w:rPr>
      <w:tab/>
    </w:r>
    <w:r>
      <w:rPr>
        <w:b/>
      </w:rPr>
      <w:tab/>
      <w:t>[line2r]</w:t>
    </w:r>
  </w:p>
  <w:p w14:paraId="760A0230" w14:textId="77777777" w:rsidR="0042631F" w:rsidRDefault="0042631F">
    <w:r>
      <w:rPr>
        <w:b/>
      </w:rPr>
      <w:t>[line3l]</w:t>
    </w:r>
    <w:r>
      <w:rPr>
        <w:b/>
      </w:rPr>
      <w:tab/>
    </w:r>
    <w:r>
      <w:rPr>
        <w:b/>
      </w:rPr>
      <w:tab/>
      <w:t>[line3r]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96FA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AE6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F437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E6B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E64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0EBD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4C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C54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D8A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EEF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15:restartNumberingAfterBreak="0">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00948"/>
    <w:multiLevelType w:val="hybridMultilevel"/>
    <w:tmpl w:val="48929F30"/>
    <w:lvl w:ilvl="0" w:tplc="0C090001">
      <w:start w:val="1"/>
      <w:numFmt w:val="bullet"/>
      <w:lvlText w:val=""/>
      <w:lvlJc w:val="left"/>
      <w:pPr>
        <w:ind w:left="389" w:hanging="360"/>
      </w:pPr>
      <w:rPr>
        <w:rFonts w:ascii="Symbol" w:hAnsi="Symbo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15" w15:restartNumberingAfterBreak="0">
    <w:nsid w:val="0FB135D5"/>
    <w:multiLevelType w:val="hybridMultilevel"/>
    <w:tmpl w:val="13B08FE4"/>
    <w:lvl w:ilvl="0" w:tplc="B05A1292">
      <w:start w:val="1"/>
      <w:numFmt w:val="decimal"/>
      <w:lvlText w:val="%1"/>
      <w:lvlJc w:val="left"/>
      <w:pPr>
        <w:ind w:left="360" w:hanging="360"/>
      </w:pPr>
      <w:rPr>
        <w:rFonts w:hint="default"/>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7"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2C433127"/>
    <w:multiLevelType w:val="multilevel"/>
    <w:tmpl w:val="F2F66A26"/>
    <w:numStyleLink w:val="SPNumberedTabs"/>
  </w:abstractNum>
  <w:abstractNum w:abstractNumId="19" w15:restartNumberingAfterBreak="0">
    <w:nsid w:val="319A3068"/>
    <w:multiLevelType w:val="hybridMultilevel"/>
    <w:tmpl w:val="15AA8A4C"/>
    <w:lvl w:ilvl="0" w:tplc="0C090001">
      <w:start w:val="1"/>
      <w:numFmt w:val="bullet"/>
      <w:lvlText w:val=""/>
      <w:lvlJc w:val="left"/>
      <w:pPr>
        <w:ind w:left="389" w:hanging="360"/>
      </w:pPr>
      <w:rPr>
        <w:rFonts w:ascii="Symbol" w:hAnsi="Symbo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20" w15:restartNumberingAfterBreak="0">
    <w:nsid w:val="32C60FEA"/>
    <w:multiLevelType w:val="hybridMultilevel"/>
    <w:tmpl w:val="6C9E5236"/>
    <w:lvl w:ilvl="0" w:tplc="CAA84086">
      <w:start w:val="1"/>
      <w:numFmt w:val="lowerLetter"/>
      <w:lvlText w:val="%1."/>
      <w:lvlJc w:val="left"/>
      <w:pPr>
        <w:tabs>
          <w:tab w:val="num" w:pos="1080"/>
        </w:tabs>
        <w:ind w:left="1080" w:hanging="360"/>
      </w:pPr>
      <w:rPr>
        <w:rFonts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2FA51C1"/>
    <w:multiLevelType w:val="hybridMultilevel"/>
    <w:tmpl w:val="95240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26"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7" w15:restartNumberingAfterBreak="0">
    <w:nsid w:val="4A2F308B"/>
    <w:multiLevelType w:val="hybridMultilevel"/>
    <w:tmpl w:val="F69A1714"/>
    <w:lvl w:ilvl="0" w:tplc="C6729D54">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8C094E"/>
    <w:multiLevelType w:val="multilevel"/>
    <w:tmpl w:val="37004A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0"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1" w15:restartNumberingAfterBreak="0">
    <w:nsid w:val="52FE2CFA"/>
    <w:multiLevelType w:val="hybridMultilevel"/>
    <w:tmpl w:val="EF5C1A9E"/>
    <w:lvl w:ilvl="0" w:tplc="474A4A64">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15:restartNumberingAfterBreak="0">
    <w:nsid w:val="5C980D01"/>
    <w:multiLevelType w:val="hybridMultilevel"/>
    <w:tmpl w:val="125466B8"/>
    <w:lvl w:ilvl="0" w:tplc="6DC22D0A">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EAB1534"/>
    <w:multiLevelType w:val="multilevel"/>
    <w:tmpl w:val="88DCF0C0"/>
    <w:numStyleLink w:val="SPBulletTabs"/>
  </w:abstractNum>
  <w:abstractNum w:abstractNumId="3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2" w15:restartNumberingAfterBreak="0">
    <w:nsid w:val="760E5B89"/>
    <w:multiLevelType w:val="hybridMultilevel"/>
    <w:tmpl w:val="004EF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6E2256"/>
    <w:multiLevelType w:val="hybridMultilevel"/>
    <w:tmpl w:val="B4885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31"/>
  </w:num>
  <w:num w:numId="4">
    <w:abstractNumId w:val="28"/>
  </w:num>
  <w:num w:numId="5">
    <w:abstractNumId w:val="23"/>
  </w:num>
  <w:num w:numId="6">
    <w:abstractNumId w:val="40"/>
  </w:num>
  <w:num w:numId="7">
    <w:abstractNumId w:val="37"/>
  </w:num>
  <w:num w:numId="8">
    <w:abstractNumId w:val="24"/>
  </w:num>
  <w:num w:numId="9">
    <w:abstractNumId w:val="20"/>
  </w:num>
  <w:num w:numId="10">
    <w:abstractNumId w:val="30"/>
  </w:num>
  <w:num w:numId="11">
    <w:abstractNumId w:val="41"/>
  </w:num>
  <w:num w:numId="12">
    <w:abstractNumId w:val="38"/>
  </w:num>
  <w:num w:numId="13">
    <w:abstractNumId w:val="11"/>
  </w:num>
  <w:num w:numId="14">
    <w:abstractNumId w:val="16"/>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32"/>
  </w:num>
  <w:num w:numId="28">
    <w:abstractNumId w:val="12"/>
  </w:num>
  <w:num w:numId="29">
    <w:abstractNumId w:val="29"/>
  </w:num>
  <w:num w:numId="30">
    <w:abstractNumId w:val="18"/>
  </w:num>
  <w:num w:numId="31">
    <w:abstractNumId w:val="33"/>
  </w:num>
  <w:num w:numId="32">
    <w:abstractNumId w:val="26"/>
  </w:num>
  <w:num w:numId="33">
    <w:abstractNumId w:val="35"/>
  </w:num>
  <w:num w:numId="34">
    <w:abstractNumId w:val="13"/>
  </w:num>
  <w:num w:numId="35">
    <w:abstractNumId w:val="36"/>
  </w:num>
  <w:num w:numId="36">
    <w:abstractNumId w:val="25"/>
  </w:num>
  <w:num w:numId="37">
    <w:abstractNumId w:val="39"/>
  </w:num>
  <w:num w:numId="38">
    <w:abstractNumId w:val="27"/>
  </w:num>
  <w:num w:numId="39">
    <w:abstractNumId w:val="42"/>
  </w:num>
  <w:num w:numId="40">
    <w:abstractNumId w:val="19"/>
  </w:num>
  <w:num w:numId="41">
    <w:abstractNumId w:val="14"/>
  </w:num>
  <w:num w:numId="42">
    <w:abstractNumId w:val="43"/>
  </w:num>
  <w:num w:numId="43">
    <w:abstractNumId w:val="21"/>
  </w:num>
  <w:num w:numId="4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2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22"/>
    <w:rsid w:val="00002BF7"/>
    <w:rsid w:val="00010BA6"/>
    <w:rsid w:val="00043BC5"/>
    <w:rsid w:val="000537E2"/>
    <w:rsid w:val="000854FE"/>
    <w:rsid w:val="0008756C"/>
    <w:rsid w:val="000A1B1C"/>
    <w:rsid w:val="000A6372"/>
    <w:rsid w:val="000C0789"/>
    <w:rsid w:val="000F683A"/>
    <w:rsid w:val="00104E85"/>
    <w:rsid w:val="00105AE9"/>
    <w:rsid w:val="00116628"/>
    <w:rsid w:val="00116EC4"/>
    <w:rsid w:val="0012132A"/>
    <w:rsid w:val="00132AFF"/>
    <w:rsid w:val="001440D1"/>
    <w:rsid w:val="00156E22"/>
    <w:rsid w:val="0016381D"/>
    <w:rsid w:val="00181B77"/>
    <w:rsid w:val="00195499"/>
    <w:rsid w:val="00196C4A"/>
    <w:rsid w:val="001A1821"/>
    <w:rsid w:val="001A31FB"/>
    <w:rsid w:val="00200C52"/>
    <w:rsid w:val="002176E1"/>
    <w:rsid w:val="00225F0A"/>
    <w:rsid w:val="00233F3E"/>
    <w:rsid w:val="00254813"/>
    <w:rsid w:val="00267EC2"/>
    <w:rsid w:val="00282520"/>
    <w:rsid w:val="002942F0"/>
    <w:rsid w:val="002B62F1"/>
    <w:rsid w:val="002C36B9"/>
    <w:rsid w:val="002D0BC3"/>
    <w:rsid w:val="002D6FD2"/>
    <w:rsid w:val="002F2106"/>
    <w:rsid w:val="002F3A97"/>
    <w:rsid w:val="00300605"/>
    <w:rsid w:val="00316CD7"/>
    <w:rsid w:val="00317826"/>
    <w:rsid w:val="00317A34"/>
    <w:rsid w:val="003308FA"/>
    <w:rsid w:val="00332D05"/>
    <w:rsid w:val="0036648D"/>
    <w:rsid w:val="00372574"/>
    <w:rsid w:val="003A317F"/>
    <w:rsid w:val="003A39C8"/>
    <w:rsid w:val="003A70DF"/>
    <w:rsid w:val="003C731F"/>
    <w:rsid w:val="003D573C"/>
    <w:rsid w:val="00403DAE"/>
    <w:rsid w:val="00406824"/>
    <w:rsid w:val="00407D65"/>
    <w:rsid w:val="00415BE8"/>
    <w:rsid w:val="00424ABB"/>
    <w:rsid w:val="0042631F"/>
    <w:rsid w:val="0043077B"/>
    <w:rsid w:val="004313C3"/>
    <w:rsid w:val="00444CB9"/>
    <w:rsid w:val="004673AF"/>
    <w:rsid w:val="004709B4"/>
    <w:rsid w:val="00473B5F"/>
    <w:rsid w:val="00485C0D"/>
    <w:rsid w:val="0049782C"/>
    <w:rsid w:val="004A2DC0"/>
    <w:rsid w:val="004A43CC"/>
    <w:rsid w:val="004B7600"/>
    <w:rsid w:val="004C25FA"/>
    <w:rsid w:val="004D141A"/>
    <w:rsid w:val="004D2071"/>
    <w:rsid w:val="004D49DC"/>
    <w:rsid w:val="004D5610"/>
    <w:rsid w:val="004D6AFD"/>
    <w:rsid w:val="004F1ED1"/>
    <w:rsid w:val="004F2126"/>
    <w:rsid w:val="004F2272"/>
    <w:rsid w:val="00512D79"/>
    <w:rsid w:val="0051316F"/>
    <w:rsid w:val="0051425B"/>
    <w:rsid w:val="00533E20"/>
    <w:rsid w:val="00552139"/>
    <w:rsid w:val="005522D0"/>
    <w:rsid w:val="005729E1"/>
    <w:rsid w:val="0057518A"/>
    <w:rsid w:val="00575DD7"/>
    <w:rsid w:val="005920B9"/>
    <w:rsid w:val="00596CC4"/>
    <w:rsid w:val="005B0907"/>
    <w:rsid w:val="005B613D"/>
    <w:rsid w:val="005B7441"/>
    <w:rsid w:val="005C02FF"/>
    <w:rsid w:val="005C1186"/>
    <w:rsid w:val="005D02F7"/>
    <w:rsid w:val="005D24B9"/>
    <w:rsid w:val="005E7649"/>
    <w:rsid w:val="005F4E02"/>
    <w:rsid w:val="00613AB5"/>
    <w:rsid w:val="00624F38"/>
    <w:rsid w:val="00632E63"/>
    <w:rsid w:val="00633D61"/>
    <w:rsid w:val="00653392"/>
    <w:rsid w:val="00654573"/>
    <w:rsid w:val="00677908"/>
    <w:rsid w:val="00680C02"/>
    <w:rsid w:val="00685C37"/>
    <w:rsid w:val="00693EC5"/>
    <w:rsid w:val="006A24BD"/>
    <w:rsid w:val="006D487D"/>
    <w:rsid w:val="006D7849"/>
    <w:rsid w:val="006E24C4"/>
    <w:rsid w:val="006F2777"/>
    <w:rsid w:val="00706402"/>
    <w:rsid w:val="00707461"/>
    <w:rsid w:val="00712AF8"/>
    <w:rsid w:val="007548E9"/>
    <w:rsid w:val="00765663"/>
    <w:rsid w:val="00782F18"/>
    <w:rsid w:val="00784DDD"/>
    <w:rsid w:val="007937D4"/>
    <w:rsid w:val="00796C6F"/>
    <w:rsid w:val="007A7430"/>
    <w:rsid w:val="007C18C6"/>
    <w:rsid w:val="007D3CE0"/>
    <w:rsid w:val="00814C74"/>
    <w:rsid w:val="00855B50"/>
    <w:rsid w:val="00855D4F"/>
    <w:rsid w:val="00865CFC"/>
    <w:rsid w:val="00870F19"/>
    <w:rsid w:val="00873502"/>
    <w:rsid w:val="0088714D"/>
    <w:rsid w:val="008954F4"/>
    <w:rsid w:val="00895A38"/>
    <w:rsid w:val="008A0D24"/>
    <w:rsid w:val="008B623F"/>
    <w:rsid w:val="008E7095"/>
    <w:rsid w:val="008F18B2"/>
    <w:rsid w:val="008F4F5E"/>
    <w:rsid w:val="0090505D"/>
    <w:rsid w:val="009078C7"/>
    <w:rsid w:val="00924ECD"/>
    <w:rsid w:val="00951F5D"/>
    <w:rsid w:val="0098209C"/>
    <w:rsid w:val="0098767C"/>
    <w:rsid w:val="009C6CA2"/>
    <w:rsid w:val="009D056A"/>
    <w:rsid w:val="009D10AF"/>
    <w:rsid w:val="009D41F6"/>
    <w:rsid w:val="009E2210"/>
    <w:rsid w:val="009E231A"/>
    <w:rsid w:val="009F00DF"/>
    <w:rsid w:val="00A06E4F"/>
    <w:rsid w:val="00A14C05"/>
    <w:rsid w:val="00A508A2"/>
    <w:rsid w:val="00A7258C"/>
    <w:rsid w:val="00A92BA5"/>
    <w:rsid w:val="00A93281"/>
    <w:rsid w:val="00AB47E2"/>
    <w:rsid w:val="00AB517B"/>
    <w:rsid w:val="00AB73E1"/>
    <w:rsid w:val="00AC2381"/>
    <w:rsid w:val="00AC7919"/>
    <w:rsid w:val="00AE33BF"/>
    <w:rsid w:val="00AE5A8C"/>
    <w:rsid w:val="00AF7B90"/>
    <w:rsid w:val="00AF7E1B"/>
    <w:rsid w:val="00B16169"/>
    <w:rsid w:val="00B26857"/>
    <w:rsid w:val="00B30933"/>
    <w:rsid w:val="00B446CB"/>
    <w:rsid w:val="00B56343"/>
    <w:rsid w:val="00B7012D"/>
    <w:rsid w:val="00B70F3D"/>
    <w:rsid w:val="00B81099"/>
    <w:rsid w:val="00B92FAB"/>
    <w:rsid w:val="00BA7412"/>
    <w:rsid w:val="00BB161A"/>
    <w:rsid w:val="00BB282C"/>
    <w:rsid w:val="00BB7347"/>
    <w:rsid w:val="00BC4C81"/>
    <w:rsid w:val="00BD0F45"/>
    <w:rsid w:val="00BD69C0"/>
    <w:rsid w:val="00BE12CD"/>
    <w:rsid w:val="00BE39ED"/>
    <w:rsid w:val="00BF0354"/>
    <w:rsid w:val="00BF3696"/>
    <w:rsid w:val="00C14B23"/>
    <w:rsid w:val="00C434D9"/>
    <w:rsid w:val="00C52179"/>
    <w:rsid w:val="00C662D2"/>
    <w:rsid w:val="00C80888"/>
    <w:rsid w:val="00C82E53"/>
    <w:rsid w:val="00C85970"/>
    <w:rsid w:val="00C85A54"/>
    <w:rsid w:val="00C905F5"/>
    <w:rsid w:val="00C92534"/>
    <w:rsid w:val="00C935F8"/>
    <w:rsid w:val="00C936A6"/>
    <w:rsid w:val="00CA174D"/>
    <w:rsid w:val="00CC17B8"/>
    <w:rsid w:val="00CC4E15"/>
    <w:rsid w:val="00CC5026"/>
    <w:rsid w:val="00CE0324"/>
    <w:rsid w:val="00D03A15"/>
    <w:rsid w:val="00D054F0"/>
    <w:rsid w:val="00D07628"/>
    <w:rsid w:val="00D12D61"/>
    <w:rsid w:val="00D14FA7"/>
    <w:rsid w:val="00D165EE"/>
    <w:rsid w:val="00D171DB"/>
    <w:rsid w:val="00D20752"/>
    <w:rsid w:val="00D24859"/>
    <w:rsid w:val="00D50207"/>
    <w:rsid w:val="00D627A7"/>
    <w:rsid w:val="00D63B71"/>
    <w:rsid w:val="00D77ABF"/>
    <w:rsid w:val="00D82F46"/>
    <w:rsid w:val="00D93C67"/>
    <w:rsid w:val="00DA1174"/>
    <w:rsid w:val="00DB41A3"/>
    <w:rsid w:val="00E00403"/>
    <w:rsid w:val="00E00B61"/>
    <w:rsid w:val="00E27FDB"/>
    <w:rsid w:val="00E42A49"/>
    <w:rsid w:val="00E46BAE"/>
    <w:rsid w:val="00E5267D"/>
    <w:rsid w:val="00E61BAB"/>
    <w:rsid w:val="00E7378A"/>
    <w:rsid w:val="00E80D6A"/>
    <w:rsid w:val="00E82DCD"/>
    <w:rsid w:val="00E847F9"/>
    <w:rsid w:val="00EB3673"/>
    <w:rsid w:val="00EC1F98"/>
    <w:rsid w:val="00ED0E97"/>
    <w:rsid w:val="00EF28EB"/>
    <w:rsid w:val="00EF6312"/>
    <w:rsid w:val="00EF6A9C"/>
    <w:rsid w:val="00F00CB9"/>
    <w:rsid w:val="00F0377C"/>
    <w:rsid w:val="00F323E9"/>
    <w:rsid w:val="00F35F17"/>
    <w:rsid w:val="00F427C1"/>
    <w:rsid w:val="00F43CAD"/>
    <w:rsid w:val="00F670EC"/>
    <w:rsid w:val="00F91C35"/>
    <w:rsid w:val="00FA7876"/>
    <w:rsid w:val="00FB370D"/>
    <w:rsid w:val="00FD1A78"/>
    <w:rsid w:val="00FE4A17"/>
    <w:rsid w:val="00FF1534"/>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6834A9"/>
  <w15:docId w15:val="{F095C760-FF85-4153-AEB9-C585F33F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uiPriority="99"/>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Message Header" w:uiPriority="99"/>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D1"/>
    <w:pPr>
      <w:spacing w:after="160" w:line="259" w:lineRule="auto"/>
    </w:pPr>
    <w:rPr>
      <w:rFonts w:eastAsiaTheme="minorHAnsi"/>
      <w:sz w:val="24"/>
      <w:szCs w:val="24"/>
      <w:lang w:val="en-AU" w:eastAsia="en-US"/>
    </w:rPr>
  </w:style>
  <w:style w:type="paragraph" w:styleId="Heading1">
    <w:name w:val="heading 1"/>
    <w:basedOn w:val="Normal"/>
    <w:next w:val="Normal"/>
    <w:link w:val="Heading1Char"/>
    <w:qFormat/>
    <w:rsid w:val="00D14FA7"/>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D14FA7"/>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D14FA7"/>
    <w:pPr>
      <w:keepNext/>
      <w:tabs>
        <w:tab w:val="num" w:pos="360"/>
      </w:tabs>
      <w:spacing w:after="120"/>
      <w:outlineLvl w:val="2"/>
    </w:pPr>
    <w:rPr>
      <w:b/>
    </w:rPr>
  </w:style>
  <w:style w:type="paragraph" w:styleId="Heading4">
    <w:name w:val="heading 4"/>
    <w:basedOn w:val="Normal"/>
    <w:next w:val="Normal"/>
    <w:qFormat/>
    <w:rsid w:val="00D14FA7"/>
    <w:pPr>
      <w:keepNext/>
      <w:tabs>
        <w:tab w:val="num" w:pos="360"/>
      </w:tabs>
      <w:spacing w:after="120"/>
      <w:outlineLvl w:val="3"/>
    </w:pPr>
    <w:rPr>
      <w:b/>
      <w:bCs/>
      <w:szCs w:val="28"/>
    </w:rPr>
  </w:style>
  <w:style w:type="paragraph" w:styleId="Heading5">
    <w:name w:val="heading 5"/>
    <w:basedOn w:val="Normal"/>
    <w:next w:val="Normal"/>
    <w:qFormat/>
    <w:rsid w:val="00D14FA7"/>
    <w:pPr>
      <w:keepNext/>
      <w:tabs>
        <w:tab w:val="num" w:pos="360"/>
      </w:tabs>
      <w:spacing w:after="120"/>
      <w:outlineLvl w:val="4"/>
    </w:pPr>
    <w:rPr>
      <w:b/>
      <w:bCs/>
      <w:szCs w:val="26"/>
    </w:rPr>
  </w:style>
  <w:style w:type="paragraph" w:styleId="Heading6">
    <w:name w:val="heading 6"/>
    <w:basedOn w:val="Normal"/>
    <w:next w:val="Normal"/>
    <w:qFormat/>
    <w:rsid w:val="00D14FA7"/>
    <w:pPr>
      <w:keepNext/>
      <w:tabs>
        <w:tab w:val="num" w:pos="360"/>
      </w:tabs>
      <w:spacing w:after="120"/>
      <w:outlineLvl w:val="5"/>
    </w:pPr>
    <w:rPr>
      <w:b/>
      <w:bCs/>
    </w:rPr>
  </w:style>
  <w:style w:type="paragraph" w:styleId="Heading7">
    <w:name w:val="heading 7"/>
    <w:basedOn w:val="Normal"/>
    <w:next w:val="Normal"/>
    <w:qFormat/>
    <w:rsid w:val="00D14FA7"/>
    <w:pPr>
      <w:tabs>
        <w:tab w:val="num" w:pos="360"/>
      </w:tabs>
      <w:spacing w:before="240" w:after="60"/>
      <w:outlineLvl w:val="6"/>
    </w:pPr>
  </w:style>
  <w:style w:type="paragraph" w:styleId="Heading8">
    <w:name w:val="heading 8"/>
    <w:basedOn w:val="Normal"/>
    <w:next w:val="Normal"/>
    <w:qFormat/>
    <w:rsid w:val="00D14FA7"/>
    <w:pPr>
      <w:tabs>
        <w:tab w:val="num" w:pos="360"/>
      </w:tabs>
      <w:spacing w:before="240" w:after="60"/>
      <w:outlineLvl w:val="7"/>
    </w:pPr>
    <w:rPr>
      <w:i/>
      <w:iCs/>
    </w:rPr>
  </w:style>
  <w:style w:type="paragraph" w:styleId="Heading9">
    <w:name w:val="heading 9"/>
    <w:basedOn w:val="Normal"/>
    <w:next w:val="Normal"/>
    <w:qFormat/>
    <w:rsid w:val="00D14FA7"/>
    <w:pPr>
      <w:tabs>
        <w:tab w:val="num" w:pos="360"/>
      </w:tabs>
      <w:spacing w:before="240" w:after="60"/>
      <w:outlineLvl w:val="8"/>
    </w:pPr>
    <w:rPr>
      <w:rFonts w:ascii="Arial" w:hAnsi="Arial"/>
    </w:rPr>
  </w:style>
  <w:style w:type="character" w:default="1" w:styleId="DefaultParagraphFont">
    <w:name w:val="Default Paragraph Font"/>
    <w:uiPriority w:val="1"/>
    <w:semiHidden/>
    <w:unhideWhenUsed/>
    <w:rsid w:val="004F1E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1ED1"/>
  </w:style>
  <w:style w:type="paragraph" w:styleId="Caption">
    <w:name w:val="caption"/>
    <w:aliases w:val="c, Char1,Char1"/>
    <w:next w:val="C-BodyText"/>
    <w:link w:val="CaptionChar"/>
    <w:qFormat/>
    <w:rsid w:val="00D14FA7"/>
    <w:pPr>
      <w:keepNext/>
      <w:spacing w:before="120" w:after="120" w:line="280" w:lineRule="atLeast"/>
      <w:ind w:left="1440" w:hanging="1440"/>
    </w:pPr>
    <w:rPr>
      <w:b/>
      <w:bCs/>
      <w:sz w:val="24"/>
      <w:szCs w:val="24"/>
      <w:lang w:eastAsia="en-US"/>
    </w:rPr>
  </w:style>
  <w:style w:type="paragraph" w:customStyle="1" w:styleId="C-BodyText">
    <w:name w:val="C-Body Text"/>
    <w:link w:val="C-BodyTextChar"/>
    <w:rsid w:val="00D14FA7"/>
    <w:pPr>
      <w:spacing w:before="120" w:after="120" w:line="280" w:lineRule="atLeast"/>
    </w:pPr>
    <w:rPr>
      <w:sz w:val="24"/>
      <w:lang w:eastAsia="en-US"/>
    </w:rPr>
  </w:style>
  <w:style w:type="paragraph" w:styleId="TOC1">
    <w:name w:val="toc 1"/>
    <w:next w:val="C-BodyText"/>
    <w:rsid w:val="00D14FA7"/>
    <w:pPr>
      <w:tabs>
        <w:tab w:val="left" w:pos="1152"/>
        <w:tab w:val="right" w:leader="dot" w:pos="9360"/>
      </w:tabs>
      <w:spacing w:before="120"/>
      <w:ind w:left="1152" w:right="792" w:hanging="1152"/>
    </w:pPr>
    <w:rPr>
      <w:rFonts w:cs="Arial"/>
      <w:caps/>
      <w:color w:val="0000FF"/>
      <w:sz w:val="24"/>
      <w:szCs w:val="24"/>
      <w:lang w:eastAsia="en-US"/>
    </w:rPr>
  </w:style>
  <w:style w:type="paragraph" w:styleId="TOC2">
    <w:name w:val="toc 2"/>
    <w:basedOn w:val="TOC1"/>
    <w:next w:val="C-BodyText"/>
    <w:rsid w:val="00D14FA7"/>
    <w:rPr>
      <w:caps w:val="0"/>
    </w:rPr>
  </w:style>
  <w:style w:type="paragraph" w:styleId="TOC3">
    <w:name w:val="toc 3"/>
    <w:basedOn w:val="TOC1"/>
    <w:next w:val="C-BodyText"/>
    <w:rsid w:val="00D14FA7"/>
    <w:rPr>
      <w:caps w:val="0"/>
    </w:rPr>
  </w:style>
  <w:style w:type="paragraph" w:styleId="TOC4">
    <w:name w:val="toc 4"/>
    <w:basedOn w:val="TOC1"/>
    <w:next w:val="C-BodyText"/>
    <w:rsid w:val="00D14FA7"/>
    <w:rPr>
      <w:caps w:val="0"/>
    </w:rPr>
  </w:style>
  <w:style w:type="paragraph" w:customStyle="1" w:styleId="C-Heading1">
    <w:name w:val="C-Heading 1"/>
    <w:next w:val="C-BodyText"/>
    <w:link w:val="C-Heading1Char"/>
    <w:rsid w:val="00D14FA7"/>
    <w:pPr>
      <w:keepNext/>
      <w:pageBreakBefore/>
      <w:numPr>
        <w:numId w:val="5"/>
      </w:numPr>
      <w:spacing w:before="480" w:after="120"/>
      <w:outlineLvl w:val="0"/>
    </w:pPr>
    <w:rPr>
      <w:b/>
      <w:caps/>
      <w:sz w:val="28"/>
      <w:lang w:eastAsia="en-US"/>
    </w:rPr>
  </w:style>
  <w:style w:type="paragraph" w:customStyle="1" w:styleId="C-Heading2">
    <w:name w:val="C-Heading 2"/>
    <w:next w:val="C-BodyText"/>
    <w:rsid w:val="00D14FA7"/>
    <w:pPr>
      <w:keepNext/>
      <w:numPr>
        <w:ilvl w:val="1"/>
        <w:numId w:val="5"/>
      </w:numPr>
      <w:spacing w:before="240"/>
      <w:outlineLvl w:val="1"/>
    </w:pPr>
    <w:rPr>
      <w:b/>
      <w:sz w:val="28"/>
      <w:lang w:eastAsia="en-US"/>
    </w:rPr>
  </w:style>
  <w:style w:type="paragraph" w:customStyle="1" w:styleId="C-Heading3">
    <w:name w:val="C-Heading 3"/>
    <w:next w:val="C-BodyText"/>
    <w:rsid w:val="00D14FA7"/>
    <w:pPr>
      <w:keepNext/>
      <w:numPr>
        <w:ilvl w:val="2"/>
        <w:numId w:val="5"/>
      </w:numPr>
      <w:spacing w:before="240"/>
      <w:outlineLvl w:val="2"/>
    </w:pPr>
    <w:rPr>
      <w:b/>
      <w:sz w:val="24"/>
      <w:lang w:eastAsia="en-US"/>
    </w:rPr>
  </w:style>
  <w:style w:type="paragraph" w:customStyle="1" w:styleId="C-Heading4">
    <w:name w:val="C-Heading 4"/>
    <w:next w:val="C-BodyText"/>
    <w:rsid w:val="00D14FA7"/>
    <w:pPr>
      <w:keepNext/>
      <w:numPr>
        <w:ilvl w:val="3"/>
        <w:numId w:val="5"/>
      </w:numPr>
      <w:spacing w:before="240"/>
      <w:outlineLvl w:val="3"/>
    </w:pPr>
    <w:rPr>
      <w:b/>
      <w:sz w:val="24"/>
      <w:lang w:eastAsia="en-US"/>
    </w:rPr>
  </w:style>
  <w:style w:type="paragraph" w:customStyle="1" w:styleId="C-Heading5">
    <w:name w:val="C-Heading 5"/>
    <w:next w:val="C-BodyText"/>
    <w:rsid w:val="00D14FA7"/>
    <w:pPr>
      <w:keepNext/>
      <w:numPr>
        <w:ilvl w:val="4"/>
        <w:numId w:val="5"/>
      </w:numPr>
      <w:spacing w:before="240"/>
      <w:outlineLvl w:val="4"/>
    </w:pPr>
    <w:rPr>
      <w:b/>
      <w:sz w:val="24"/>
      <w:lang w:eastAsia="en-US"/>
    </w:rPr>
  </w:style>
  <w:style w:type="paragraph" w:customStyle="1" w:styleId="C-Heading6">
    <w:name w:val="C-Heading 6"/>
    <w:next w:val="C-BodyText"/>
    <w:rsid w:val="00D14FA7"/>
    <w:pPr>
      <w:keepNext/>
      <w:numPr>
        <w:ilvl w:val="5"/>
        <w:numId w:val="5"/>
      </w:numPr>
      <w:tabs>
        <w:tab w:val="clear" w:pos="1080"/>
        <w:tab w:val="num" w:pos="1224"/>
      </w:tabs>
      <w:spacing w:before="240"/>
      <w:ind w:left="1224" w:hanging="1224"/>
      <w:outlineLvl w:val="5"/>
    </w:pPr>
    <w:rPr>
      <w:b/>
      <w:sz w:val="24"/>
      <w:lang w:eastAsia="en-US"/>
    </w:rPr>
  </w:style>
  <w:style w:type="paragraph" w:customStyle="1" w:styleId="C-BodyTextIndent">
    <w:name w:val="C-Body Text Indent"/>
    <w:rsid w:val="00D14FA7"/>
    <w:pPr>
      <w:spacing w:before="120" w:after="120" w:line="280" w:lineRule="atLeast"/>
      <w:ind w:left="360"/>
    </w:pPr>
    <w:rPr>
      <w:sz w:val="24"/>
      <w:lang w:eastAsia="en-US"/>
    </w:rPr>
  </w:style>
  <w:style w:type="paragraph" w:customStyle="1" w:styleId="C-Bullet">
    <w:name w:val="C-Bullet"/>
    <w:rsid w:val="00D14FA7"/>
    <w:pPr>
      <w:numPr>
        <w:numId w:val="35"/>
      </w:numPr>
      <w:spacing w:before="120" w:after="120" w:line="280" w:lineRule="atLeast"/>
    </w:pPr>
    <w:rPr>
      <w:sz w:val="24"/>
      <w:lang w:eastAsia="en-US"/>
    </w:rPr>
  </w:style>
  <w:style w:type="paragraph" w:customStyle="1" w:styleId="C-BulletIndented">
    <w:name w:val="C-Bullet Indented"/>
    <w:rsid w:val="00D14FA7"/>
    <w:pPr>
      <w:numPr>
        <w:ilvl w:val="1"/>
        <w:numId w:val="35"/>
      </w:numPr>
      <w:spacing w:before="120" w:after="120" w:line="280" w:lineRule="atLeast"/>
    </w:pPr>
    <w:rPr>
      <w:rFonts w:cs="Arial"/>
      <w:sz w:val="24"/>
      <w:lang w:eastAsia="en-US"/>
    </w:rPr>
  </w:style>
  <w:style w:type="paragraph" w:customStyle="1" w:styleId="C-TableHeader">
    <w:name w:val="C-Table Header"/>
    <w:next w:val="C-TableText"/>
    <w:rsid w:val="00D14FA7"/>
    <w:pPr>
      <w:keepNext/>
      <w:spacing w:before="60" w:after="60"/>
    </w:pPr>
    <w:rPr>
      <w:b/>
      <w:sz w:val="22"/>
      <w:lang w:eastAsia="en-US"/>
    </w:rPr>
  </w:style>
  <w:style w:type="paragraph" w:customStyle="1" w:styleId="C-TableText">
    <w:name w:val="C-Table Text"/>
    <w:link w:val="C-TableTextChar"/>
    <w:rsid w:val="00D14FA7"/>
    <w:pPr>
      <w:spacing w:before="60" w:after="60"/>
    </w:pPr>
    <w:rPr>
      <w:sz w:val="22"/>
      <w:lang w:eastAsia="en-US"/>
    </w:rPr>
  </w:style>
  <w:style w:type="paragraph" w:customStyle="1" w:styleId="C-TableFootnote">
    <w:name w:val="C-Table Footnote"/>
    <w:next w:val="C-BodyText"/>
    <w:rsid w:val="00D14FA7"/>
    <w:pPr>
      <w:tabs>
        <w:tab w:val="left" w:pos="144"/>
      </w:tabs>
      <w:ind w:left="144" w:hanging="144"/>
    </w:pPr>
    <w:rPr>
      <w:rFonts w:cs="Arial"/>
      <w:lang w:eastAsia="en-US"/>
    </w:rPr>
  </w:style>
  <w:style w:type="paragraph" w:styleId="TOC5">
    <w:name w:val="toc 5"/>
    <w:basedOn w:val="TOC1"/>
    <w:next w:val="C-BodyText"/>
    <w:rsid w:val="00D14FA7"/>
    <w:rPr>
      <w:caps w:val="0"/>
    </w:rPr>
  </w:style>
  <w:style w:type="paragraph" w:styleId="TOC6">
    <w:name w:val="toc 6"/>
    <w:basedOn w:val="TOC1"/>
    <w:next w:val="C-BodyText"/>
    <w:rsid w:val="00D14FA7"/>
    <w:rPr>
      <w:caps w:val="0"/>
    </w:rPr>
  </w:style>
  <w:style w:type="paragraph" w:styleId="TOC7">
    <w:name w:val="toc 7"/>
    <w:basedOn w:val="TOC1"/>
    <w:next w:val="C-BodyText"/>
    <w:rsid w:val="00D14FA7"/>
    <w:rPr>
      <w:caps w:val="0"/>
    </w:rPr>
  </w:style>
  <w:style w:type="paragraph" w:styleId="TOC8">
    <w:name w:val="toc 8"/>
    <w:basedOn w:val="TOC1"/>
    <w:next w:val="C-BodyText"/>
    <w:rsid w:val="00D14FA7"/>
    <w:rPr>
      <w:caps w:val="0"/>
    </w:rPr>
  </w:style>
  <w:style w:type="paragraph" w:styleId="TOC9">
    <w:name w:val="toc 9"/>
    <w:basedOn w:val="TOC1"/>
    <w:next w:val="C-BodyText"/>
    <w:rsid w:val="00D14FA7"/>
  </w:style>
  <w:style w:type="paragraph" w:styleId="TableofFigures">
    <w:name w:val="table of figures"/>
    <w:next w:val="C-BodyText"/>
    <w:rsid w:val="00D14FA7"/>
    <w:pPr>
      <w:tabs>
        <w:tab w:val="left" w:pos="1152"/>
        <w:tab w:val="right" w:leader="dot" w:pos="9360"/>
      </w:tabs>
      <w:spacing w:before="120" w:line="280" w:lineRule="atLeast"/>
      <w:ind w:left="1152" w:right="792" w:hanging="1152"/>
    </w:pPr>
    <w:rPr>
      <w:rFonts w:cs="Arial"/>
      <w:color w:val="0000FF"/>
      <w:sz w:val="24"/>
      <w:lang w:eastAsia="en-US"/>
    </w:rPr>
  </w:style>
  <w:style w:type="paragraph" w:customStyle="1" w:styleId="C-TOCTitle">
    <w:name w:val="C-TOC Title"/>
    <w:next w:val="C-BodyText"/>
    <w:rsid w:val="00D14FA7"/>
    <w:pPr>
      <w:spacing w:after="120"/>
      <w:jc w:val="center"/>
    </w:pPr>
    <w:rPr>
      <w:b/>
      <w:caps/>
      <w:sz w:val="28"/>
      <w:szCs w:val="28"/>
      <w:lang w:eastAsia="en-US"/>
    </w:rPr>
  </w:style>
  <w:style w:type="paragraph" w:customStyle="1" w:styleId="C-CaptionContinued">
    <w:name w:val="C-Caption Continued"/>
    <w:next w:val="C-BodyText"/>
    <w:rsid w:val="00D14FA7"/>
    <w:pPr>
      <w:keepNext/>
      <w:spacing w:before="120" w:after="120" w:line="280" w:lineRule="atLeast"/>
      <w:ind w:left="1440" w:hanging="1440"/>
    </w:pPr>
    <w:rPr>
      <w:rFonts w:cs="Arial"/>
      <w:b/>
      <w:sz w:val="24"/>
      <w:lang w:eastAsia="en-US"/>
    </w:rPr>
  </w:style>
  <w:style w:type="paragraph" w:customStyle="1" w:styleId="C-NumberedList">
    <w:name w:val="C-Numbered List"/>
    <w:rsid w:val="00D14FA7"/>
    <w:pPr>
      <w:numPr>
        <w:numId w:val="32"/>
      </w:numPr>
      <w:spacing w:before="120" w:after="120" w:line="280" w:lineRule="atLeast"/>
    </w:pPr>
    <w:rPr>
      <w:sz w:val="24"/>
      <w:lang w:eastAsia="en-US"/>
    </w:rPr>
  </w:style>
  <w:style w:type="paragraph" w:customStyle="1" w:styleId="C-InstructionText">
    <w:name w:val="C-Instruction Text"/>
    <w:rsid w:val="00D14FA7"/>
    <w:pPr>
      <w:spacing w:before="120" w:after="120" w:line="280" w:lineRule="atLeast"/>
    </w:pPr>
    <w:rPr>
      <w:vanish/>
      <w:color w:val="FF0000"/>
      <w:sz w:val="24"/>
      <w:szCs w:val="24"/>
      <w:lang w:eastAsia="en-US"/>
    </w:rPr>
  </w:style>
  <w:style w:type="paragraph" w:styleId="TOAHeading">
    <w:name w:val="toa heading"/>
    <w:basedOn w:val="Normal"/>
    <w:next w:val="Normal"/>
    <w:rsid w:val="00D14FA7"/>
    <w:pPr>
      <w:spacing w:before="120"/>
    </w:pPr>
    <w:rPr>
      <w:rFonts w:ascii="Arial" w:hAnsi="Arial"/>
      <w:b/>
      <w:bCs/>
    </w:rPr>
  </w:style>
  <w:style w:type="paragraph" w:styleId="Header">
    <w:name w:val="header"/>
    <w:basedOn w:val="Normal"/>
    <w:link w:val="HeaderChar"/>
    <w:uiPriority w:val="99"/>
    <w:unhideWhenUsed/>
    <w:rsid w:val="00D14FA7"/>
    <w:pPr>
      <w:tabs>
        <w:tab w:val="center" w:pos="4680"/>
        <w:tab w:val="right" w:pos="9360"/>
      </w:tabs>
    </w:pPr>
  </w:style>
  <w:style w:type="paragraph" w:styleId="Footer">
    <w:name w:val="footer"/>
    <w:basedOn w:val="Normal"/>
    <w:link w:val="FooterChar"/>
    <w:unhideWhenUsed/>
    <w:rsid w:val="00D14FA7"/>
    <w:pPr>
      <w:tabs>
        <w:tab w:val="center" w:pos="4680"/>
        <w:tab w:val="right" w:pos="9360"/>
      </w:tabs>
    </w:pPr>
  </w:style>
  <w:style w:type="paragraph" w:customStyle="1" w:styleId="C-Title">
    <w:name w:val="C-Title"/>
    <w:next w:val="C-BodyText"/>
    <w:rsid w:val="00D14FA7"/>
    <w:pPr>
      <w:spacing w:after="120"/>
      <w:jc w:val="center"/>
    </w:pPr>
    <w:rPr>
      <w:b/>
      <w:caps/>
      <w:sz w:val="36"/>
      <w:lang w:eastAsia="en-US"/>
    </w:rPr>
  </w:style>
  <w:style w:type="paragraph" w:customStyle="1" w:styleId="C-Header">
    <w:name w:val="C-Header"/>
    <w:rsid w:val="00D14FA7"/>
    <w:rPr>
      <w:sz w:val="24"/>
      <w:lang w:eastAsia="en-US"/>
    </w:rPr>
  </w:style>
  <w:style w:type="paragraph" w:customStyle="1" w:styleId="C-Footer">
    <w:name w:val="C-Footer"/>
    <w:rsid w:val="00D14FA7"/>
    <w:rPr>
      <w:sz w:val="24"/>
      <w:lang w:eastAsia="en-US"/>
    </w:rPr>
  </w:style>
  <w:style w:type="paragraph" w:customStyle="1" w:styleId="C-Heading1non-numbered">
    <w:name w:val="C-Heading 1 (non-numbered)"/>
    <w:basedOn w:val="C-Heading1"/>
    <w:next w:val="C-BodyText"/>
    <w:rsid w:val="00D14FA7"/>
    <w:pPr>
      <w:numPr>
        <w:numId w:val="0"/>
      </w:numPr>
      <w:tabs>
        <w:tab w:val="left" w:pos="1080"/>
      </w:tabs>
      <w:ind w:left="1080" w:hanging="1080"/>
    </w:pPr>
  </w:style>
  <w:style w:type="paragraph" w:customStyle="1" w:styleId="C-Heading2non-numbered">
    <w:name w:val="C-Heading 2 (non-numbered)"/>
    <w:basedOn w:val="C-Heading2"/>
    <w:next w:val="C-BodyText"/>
    <w:rsid w:val="00D14FA7"/>
    <w:pPr>
      <w:numPr>
        <w:ilvl w:val="0"/>
        <w:numId w:val="0"/>
      </w:numPr>
      <w:tabs>
        <w:tab w:val="left" w:pos="1080"/>
      </w:tabs>
      <w:ind w:left="1080" w:hanging="1080"/>
    </w:pPr>
  </w:style>
  <w:style w:type="paragraph" w:customStyle="1" w:styleId="C-Heading3non-numbered">
    <w:name w:val="C-Heading 3 (non-numbered)"/>
    <w:basedOn w:val="C-Heading3"/>
    <w:next w:val="C-BodyText"/>
    <w:rsid w:val="00D14FA7"/>
    <w:pPr>
      <w:numPr>
        <w:ilvl w:val="0"/>
        <w:numId w:val="0"/>
      </w:numPr>
      <w:tabs>
        <w:tab w:val="left" w:pos="1080"/>
      </w:tabs>
      <w:ind w:left="1080" w:hanging="1080"/>
    </w:pPr>
  </w:style>
  <w:style w:type="paragraph" w:customStyle="1" w:styleId="C-Heading4non-numbered">
    <w:name w:val="C-Heading 4 (non-numbered)"/>
    <w:basedOn w:val="C-Heading4"/>
    <w:next w:val="C-BodyText"/>
    <w:rsid w:val="00D14FA7"/>
    <w:pPr>
      <w:numPr>
        <w:ilvl w:val="0"/>
        <w:numId w:val="0"/>
      </w:numPr>
      <w:tabs>
        <w:tab w:val="left" w:pos="1080"/>
      </w:tabs>
      <w:ind w:left="1080" w:hanging="1080"/>
    </w:pPr>
  </w:style>
  <w:style w:type="paragraph" w:customStyle="1" w:styleId="C-Heading5non-numbered">
    <w:name w:val="C-Heading 5 (non-numbered)"/>
    <w:basedOn w:val="C-Heading5"/>
    <w:next w:val="C-BodyText"/>
    <w:rsid w:val="00D14FA7"/>
    <w:pPr>
      <w:numPr>
        <w:ilvl w:val="0"/>
        <w:numId w:val="0"/>
      </w:numPr>
      <w:tabs>
        <w:tab w:val="left" w:pos="1080"/>
      </w:tabs>
      <w:ind w:left="1080" w:hanging="1080"/>
    </w:pPr>
  </w:style>
  <w:style w:type="paragraph" w:customStyle="1" w:styleId="C-Heading6non-numbered">
    <w:name w:val="C-Heading 6 (non-numbered)"/>
    <w:basedOn w:val="C-Heading6"/>
    <w:next w:val="C-BodyText"/>
    <w:rsid w:val="00D14FA7"/>
    <w:pPr>
      <w:numPr>
        <w:ilvl w:val="0"/>
        <w:numId w:val="0"/>
      </w:numPr>
      <w:tabs>
        <w:tab w:val="left" w:pos="1080"/>
      </w:tabs>
      <w:ind w:left="1080" w:hanging="1080"/>
    </w:pPr>
  </w:style>
  <w:style w:type="character" w:styleId="Hyperlink">
    <w:name w:val="Hyperlink"/>
    <w:uiPriority w:val="99"/>
    <w:rsid w:val="00D14FA7"/>
    <w:rPr>
      <w:color w:val="0000FF"/>
      <w:u w:val="single"/>
    </w:rPr>
  </w:style>
  <w:style w:type="paragraph" w:customStyle="1" w:styleId="C-Heading1nopagebreak">
    <w:name w:val="C-Heading 1 (no page break)"/>
    <w:basedOn w:val="C-Heading1"/>
    <w:next w:val="C-BodyText"/>
    <w:rsid w:val="00D14FA7"/>
    <w:pPr>
      <w:pageBreakBefore w:val="0"/>
    </w:pPr>
  </w:style>
  <w:style w:type="paragraph" w:customStyle="1" w:styleId="C-Heading1nopagebreak0">
    <w:name w:val="C-Heading 1 (no page break"/>
    <w:aliases w:val="non-numbered)"/>
    <w:basedOn w:val="C-Heading1non-numbered"/>
    <w:next w:val="C-BodyText"/>
    <w:rsid w:val="00D14FA7"/>
    <w:pPr>
      <w:pageBreakBefore w:val="0"/>
    </w:pPr>
  </w:style>
  <w:style w:type="character" w:styleId="HTMLKeyboard">
    <w:name w:val="HTML Keyboard"/>
    <w:rsid w:val="00D14FA7"/>
    <w:rPr>
      <w:rFonts w:ascii="Courier New" w:hAnsi="Courier New"/>
      <w:sz w:val="20"/>
      <w:szCs w:val="20"/>
    </w:rPr>
  </w:style>
  <w:style w:type="paragraph" w:customStyle="1" w:styleId="C-Appendix">
    <w:name w:val="C-Appendix"/>
    <w:next w:val="C-BodyText"/>
    <w:rsid w:val="00D14FA7"/>
    <w:pPr>
      <w:keepNext/>
      <w:pageBreakBefore/>
      <w:numPr>
        <w:numId w:val="6"/>
      </w:numPr>
      <w:spacing w:before="480" w:after="120"/>
      <w:outlineLvl w:val="0"/>
    </w:pPr>
    <w:rPr>
      <w:b/>
      <w:caps/>
      <w:sz w:val="28"/>
      <w:lang w:eastAsia="en-US"/>
    </w:rPr>
  </w:style>
  <w:style w:type="character" w:styleId="FollowedHyperlink">
    <w:name w:val="FollowedHyperlink"/>
    <w:basedOn w:val="DefaultParagraphFont"/>
    <w:uiPriority w:val="99"/>
    <w:unhideWhenUsed/>
    <w:rsid w:val="00653392"/>
    <w:rPr>
      <w:color w:val="800080" w:themeColor="followedHyperlink"/>
      <w:u w:val="single"/>
    </w:rPr>
  </w:style>
  <w:style w:type="paragraph" w:customStyle="1" w:styleId="C-AlphabeticList">
    <w:name w:val="C-Alphabetic List"/>
    <w:rsid w:val="00D14FA7"/>
    <w:pPr>
      <w:numPr>
        <w:ilvl w:val="1"/>
        <w:numId w:val="32"/>
      </w:numPr>
    </w:pPr>
    <w:rPr>
      <w:sz w:val="24"/>
      <w:lang w:eastAsia="en-US"/>
    </w:rPr>
  </w:style>
  <w:style w:type="paragraph" w:customStyle="1" w:styleId="C-PLR-NumberedList">
    <w:name w:val="C-PLR-Numbered List"/>
    <w:rsid w:val="00D14FA7"/>
    <w:pPr>
      <w:numPr>
        <w:numId w:val="12"/>
      </w:numPr>
    </w:pPr>
    <w:rPr>
      <w:sz w:val="16"/>
      <w:lang w:eastAsia="en-US"/>
    </w:rPr>
  </w:style>
  <w:style w:type="paragraph" w:customStyle="1" w:styleId="C-PLR-BodyText">
    <w:name w:val="C-PLR-Body Text"/>
    <w:rsid w:val="00D14FA7"/>
    <w:rPr>
      <w:sz w:val="16"/>
      <w:lang w:eastAsia="en-US"/>
    </w:rPr>
  </w:style>
  <w:style w:type="paragraph" w:customStyle="1" w:styleId="C-PLR-BodyTextIndent">
    <w:name w:val="C-PLR-Body Text Indent"/>
    <w:rsid w:val="00D14FA7"/>
    <w:pPr>
      <w:ind w:left="360"/>
    </w:pPr>
    <w:rPr>
      <w:sz w:val="16"/>
      <w:lang w:eastAsia="en-US"/>
    </w:rPr>
  </w:style>
  <w:style w:type="paragraph" w:customStyle="1" w:styleId="C-PLR-Bullet">
    <w:name w:val="C-PLR-Bullet"/>
    <w:rsid w:val="00D14FA7"/>
    <w:pPr>
      <w:numPr>
        <w:numId w:val="7"/>
      </w:numPr>
    </w:pPr>
    <w:rPr>
      <w:sz w:val="16"/>
      <w:lang w:eastAsia="en-US"/>
    </w:rPr>
  </w:style>
  <w:style w:type="paragraph" w:customStyle="1" w:styleId="C-PLR-BulletIndented">
    <w:name w:val="C-PLR-Bullet Indented"/>
    <w:rsid w:val="00D14FA7"/>
    <w:pPr>
      <w:numPr>
        <w:numId w:val="8"/>
      </w:numPr>
    </w:pPr>
    <w:rPr>
      <w:sz w:val="16"/>
      <w:lang w:eastAsia="en-US"/>
    </w:rPr>
  </w:style>
  <w:style w:type="paragraph" w:customStyle="1" w:styleId="C-PLR-Caption">
    <w:name w:val="C-PLR-Caption"/>
    <w:next w:val="C-PLR-BodyText"/>
    <w:rsid w:val="00D14FA7"/>
    <w:pPr>
      <w:keepNext/>
      <w:ind w:left="360" w:hanging="360"/>
    </w:pPr>
    <w:rPr>
      <w:b/>
      <w:sz w:val="16"/>
      <w:lang w:eastAsia="en-US"/>
    </w:rPr>
  </w:style>
  <w:style w:type="paragraph" w:customStyle="1" w:styleId="C-PLR-Heading1nopagebreaknon-numbered">
    <w:name w:val="C-PLR-Heading 1 (no page break.non-numbered)"/>
    <w:basedOn w:val="C-PLR-Heading1non-numbered"/>
    <w:next w:val="C-PLR-BodyText"/>
    <w:rsid w:val="00D14FA7"/>
  </w:style>
  <w:style w:type="paragraph" w:customStyle="1" w:styleId="C-PLR-Heading2non-numbered">
    <w:name w:val="C-PLR-Heading 2 (non-numbered)"/>
    <w:basedOn w:val="C-PLR-Heading2"/>
    <w:next w:val="C-PLR-BodyText"/>
    <w:rsid w:val="00D14FA7"/>
    <w:pPr>
      <w:numPr>
        <w:ilvl w:val="0"/>
        <w:numId w:val="0"/>
      </w:numPr>
      <w:ind w:left="720" w:hanging="720"/>
    </w:pPr>
  </w:style>
  <w:style w:type="paragraph" w:customStyle="1" w:styleId="C-PLR-TableHeader">
    <w:name w:val="C-PLR-Table Header"/>
    <w:next w:val="C-PLR-TableText"/>
    <w:rsid w:val="00D14FA7"/>
    <w:pPr>
      <w:keepNext/>
    </w:pPr>
    <w:rPr>
      <w:b/>
      <w:sz w:val="16"/>
      <w:lang w:eastAsia="en-US"/>
    </w:rPr>
  </w:style>
  <w:style w:type="paragraph" w:customStyle="1" w:styleId="C-PLR-TableText">
    <w:name w:val="C-PLR-Table Text"/>
    <w:rsid w:val="00D14FA7"/>
    <w:rPr>
      <w:sz w:val="16"/>
      <w:lang w:eastAsia="en-US"/>
    </w:rPr>
  </w:style>
  <w:style w:type="paragraph" w:customStyle="1" w:styleId="C-PLR-Title">
    <w:name w:val="C-PLR-Title"/>
    <w:next w:val="C-PLR-BodyText"/>
    <w:rsid w:val="00D14FA7"/>
    <w:pPr>
      <w:jc w:val="center"/>
    </w:pPr>
    <w:rPr>
      <w:b/>
      <w:caps/>
      <w:sz w:val="16"/>
      <w:lang w:eastAsia="en-US"/>
    </w:rPr>
  </w:style>
  <w:style w:type="paragraph" w:customStyle="1" w:styleId="C-PLR-TOCTitle">
    <w:name w:val="C-PLR-TOC Title"/>
    <w:next w:val="C-PLR-BodyText"/>
    <w:rsid w:val="00D14FA7"/>
    <w:pPr>
      <w:tabs>
        <w:tab w:val="center" w:leader="underscore" w:pos="2520"/>
        <w:tab w:val="right" w:leader="underscore" w:pos="5040"/>
      </w:tabs>
      <w:jc w:val="center"/>
    </w:pPr>
    <w:rPr>
      <w:b/>
      <w:caps/>
      <w:sz w:val="16"/>
      <w:lang w:eastAsia="en-US"/>
    </w:rPr>
  </w:style>
  <w:style w:type="paragraph" w:customStyle="1" w:styleId="C-PLR-TOC1">
    <w:name w:val="C-PLR-TOC 1"/>
    <w:next w:val="C-PLR-BodyText"/>
    <w:rsid w:val="00D14FA7"/>
    <w:pPr>
      <w:ind w:left="432" w:hanging="432"/>
    </w:pPr>
    <w:rPr>
      <w:rFonts w:ascii="Times New Roman Bold" w:hAnsi="Times New Roman Bold"/>
      <w:b/>
      <w:caps/>
      <w:color w:val="0000FF"/>
      <w:sz w:val="16"/>
      <w:lang w:eastAsia="en-US"/>
    </w:rPr>
  </w:style>
  <w:style w:type="paragraph" w:customStyle="1" w:styleId="C-PLR-TOC2">
    <w:name w:val="C-PLR-TOC 2"/>
    <w:basedOn w:val="C-PLR-TOC1"/>
    <w:next w:val="C-PLR-BodyText"/>
    <w:rsid w:val="00D14FA7"/>
    <w:pPr>
      <w:ind w:left="864"/>
    </w:pPr>
    <w:rPr>
      <w:rFonts w:ascii="Times New Roman" w:hAnsi="Times New Roman"/>
      <w:b w:val="0"/>
      <w:caps w:val="0"/>
    </w:rPr>
  </w:style>
  <w:style w:type="paragraph" w:customStyle="1" w:styleId="C-PLR-TableFootnote">
    <w:name w:val="C-PLR-Table Footnote"/>
    <w:next w:val="C-PLR-BodyText"/>
    <w:rsid w:val="00D14FA7"/>
    <w:pPr>
      <w:tabs>
        <w:tab w:val="left" w:pos="432"/>
      </w:tabs>
      <w:ind w:left="432" w:hanging="432"/>
    </w:pPr>
    <w:rPr>
      <w:sz w:val="16"/>
      <w:lang w:eastAsia="en-US"/>
    </w:rPr>
  </w:style>
  <w:style w:type="character" w:customStyle="1" w:styleId="C-Hyperlink">
    <w:name w:val="C-Hyperlink"/>
    <w:rsid w:val="00D14FA7"/>
    <w:rPr>
      <w:color w:val="0000FF"/>
    </w:rPr>
  </w:style>
  <w:style w:type="table" w:customStyle="1" w:styleId="C-Table">
    <w:name w:val="C-Table"/>
    <w:basedOn w:val="TableNormal"/>
    <w:rsid w:val="00D14FA7"/>
    <w:rPr>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D14FA7"/>
    <w:rPr>
      <w:rFonts w:ascii="Times New Roman" w:hAnsi="Times New Roman"/>
      <w:dstrike w:val="0"/>
      <w:color w:val="auto"/>
      <w:spacing w:val="0"/>
      <w:w w:val="100"/>
      <w:position w:val="-1"/>
      <w:sz w:val="22"/>
      <w:szCs w:val="22"/>
      <w:u w:val="none"/>
      <w:effect w:val="none"/>
      <w:vertAlign w:val="superscript"/>
      <w:em w:val="none"/>
    </w:rPr>
  </w:style>
  <w:style w:type="paragraph" w:styleId="CommentText">
    <w:name w:val="annotation text"/>
    <w:basedOn w:val="Normal"/>
    <w:link w:val="CommentTextChar"/>
    <w:rsid w:val="00D14FA7"/>
    <w:rPr>
      <w:sz w:val="20"/>
    </w:rPr>
  </w:style>
  <w:style w:type="character" w:customStyle="1" w:styleId="CommentTextChar">
    <w:name w:val="Comment Text Char"/>
    <w:basedOn w:val="DefaultParagraphFont"/>
    <w:link w:val="CommentText"/>
    <w:rsid w:val="00D627A7"/>
    <w:rPr>
      <w:rFonts w:cs="Arial"/>
      <w:lang w:eastAsia="en-US"/>
    </w:rPr>
  </w:style>
  <w:style w:type="paragraph" w:styleId="CommentSubject">
    <w:name w:val="annotation subject"/>
    <w:basedOn w:val="CommentText"/>
    <w:next w:val="CommentText"/>
    <w:link w:val="CommentSubjectChar"/>
    <w:rsid w:val="00D14FA7"/>
    <w:rPr>
      <w:b/>
      <w:bCs/>
    </w:rPr>
  </w:style>
  <w:style w:type="character" w:customStyle="1" w:styleId="CommentSubjectChar">
    <w:name w:val="Comment Subject Char"/>
    <w:basedOn w:val="CommentTextChar"/>
    <w:link w:val="CommentSubject"/>
    <w:rsid w:val="00D627A7"/>
    <w:rPr>
      <w:rFonts w:cs="Arial"/>
      <w:b/>
      <w:bCs/>
      <w:lang w:eastAsia="en-US"/>
    </w:rPr>
  </w:style>
  <w:style w:type="paragraph" w:customStyle="1" w:styleId="C-PLR-AlphabeticList">
    <w:name w:val="C-PLR-Alphabetic List"/>
    <w:rsid w:val="00D14FA7"/>
    <w:pPr>
      <w:numPr>
        <w:numId w:val="11"/>
      </w:numPr>
    </w:pPr>
    <w:rPr>
      <w:rFonts w:cs="Arial"/>
      <w:sz w:val="16"/>
      <w:lang w:eastAsia="en-US"/>
    </w:rPr>
  </w:style>
  <w:style w:type="paragraph" w:customStyle="1" w:styleId="C-PLR-CaptionContinued">
    <w:name w:val="C-PLR-Caption Continued"/>
    <w:next w:val="C-PLR-BodyText"/>
    <w:rsid w:val="00D14FA7"/>
    <w:pPr>
      <w:keepNext/>
      <w:ind w:left="360" w:hanging="360"/>
    </w:pPr>
    <w:rPr>
      <w:rFonts w:ascii="Times New Roman Bold" w:hAnsi="Times New Roman Bold" w:cs="Arial"/>
      <w:b/>
      <w:sz w:val="16"/>
      <w:lang w:eastAsia="en-US"/>
    </w:rPr>
  </w:style>
  <w:style w:type="paragraph" w:customStyle="1" w:styleId="C-PLR-Heading1">
    <w:name w:val="C-PLR-Heading 1"/>
    <w:next w:val="C-PLR-BodyText"/>
    <w:rsid w:val="00D14FA7"/>
    <w:pPr>
      <w:keepNext/>
      <w:numPr>
        <w:numId w:val="10"/>
      </w:numPr>
      <w:tabs>
        <w:tab w:val="clear" w:pos="1080"/>
        <w:tab w:val="left" w:pos="720"/>
      </w:tabs>
      <w:ind w:left="720" w:hanging="720"/>
      <w:outlineLvl w:val="0"/>
    </w:pPr>
    <w:rPr>
      <w:rFonts w:ascii="Times New Roman Bold" w:hAnsi="Times New Roman Bold"/>
      <w:caps/>
      <w:sz w:val="16"/>
      <w:lang w:eastAsia="en-US"/>
    </w:rPr>
  </w:style>
  <w:style w:type="paragraph" w:customStyle="1" w:styleId="C-PLR-Heading1nopagebreak">
    <w:name w:val="C-PLR-Heading 1 (no page break)"/>
    <w:basedOn w:val="C-PLR-Heading1"/>
    <w:next w:val="C-PLR-BodyText"/>
    <w:rsid w:val="00D14FA7"/>
  </w:style>
  <w:style w:type="paragraph" w:customStyle="1" w:styleId="C-PLR-Heading2">
    <w:name w:val="C-PLR-Heading 2"/>
    <w:next w:val="C-PLR-BodyText"/>
    <w:rsid w:val="00D14FA7"/>
    <w:pPr>
      <w:numPr>
        <w:ilvl w:val="1"/>
        <w:numId w:val="10"/>
      </w:numPr>
      <w:tabs>
        <w:tab w:val="clear" w:pos="1080"/>
        <w:tab w:val="left" w:pos="720"/>
      </w:tabs>
      <w:ind w:left="720" w:hanging="720"/>
      <w:outlineLvl w:val="1"/>
    </w:pPr>
    <w:rPr>
      <w:rFonts w:ascii="Times New Roman Bold" w:hAnsi="Times New Roman Bold" w:cs="Arial"/>
      <w:sz w:val="16"/>
      <w:lang w:eastAsia="en-US"/>
    </w:rPr>
  </w:style>
  <w:style w:type="paragraph" w:customStyle="1" w:styleId="C-PLR-Heading3">
    <w:name w:val="C-PLR-Heading 3"/>
    <w:next w:val="C-PLR-BodyText"/>
    <w:rsid w:val="00D14FA7"/>
    <w:pPr>
      <w:numPr>
        <w:ilvl w:val="2"/>
        <w:numId w:val="10"/>
      </w:numPr>
      <w:tabs>
        <w:tab w:val="clear" w:pos="1080"/>
        <w:tab w:val="left" w:pos="720"/>
      </w:tabs>
      <w:ind w:left="720" w:hanging="720"/>
      <w:outlineLvl w:val="2"/>
    </w:pPr>
    <w:rPr>
      <w:rFonts w:ascii="Times New Roman Bold" w:hAnsi="Times New Roman Bold" w:cs="Arial"/>
      <w:sz w:val="16"/>
      <w:lang w:eastAsia="en-US"/>
    </w:rPr>
  </w:style>
  <w:style w:type="paragraph" w:customStyle="1" w:styleId="C-PLR-Heading3non-numbered">
    <w:name w:val="C-PLR-Heading 3 (non-numbered)"/>
    <w:basedOn w:val="C-PLR-Heading3"/>
    <w:next w:val="C-PLR-BodyText"/>
    <w:rsid w:val="00D14FA7"/>
    <w:pPr>
      <w:numPr>
        <w:ilvl w:val="0"/>
        <w:numId w:val="0"/>
      </w:numPr>
      <w:ind w:left="720" w:hanging="720"/>
    </w:pPr>
  </w:style>
  <w:style w:type="paragraph" w:customStyle="1" w:styleId="C-PLR-Heading4">
    <w:name w:val="C-PLR-Heading 4"/>
    <w:next w:val="C-PLR-BodyText"/>
    <w:rsid w:val="00D14FA7"/>
    <w:pPr>
      <w:numPr>
        <w:ilvl w:val="3"/>
        <w:numId w:val="10"/>
      </w:numPr>
      <w:tabs>
        <w:tab w:val="clear" w:pos="1080"/>
        <w:tab w:val="left" w:pos="720"/>
      </w:tabs>
      <w:ind w:left="720" w:hanging="720"/>
      <w:outlineLvl w:val="3"/>
    </w:pPr>
    <w:rPr>
      <w:rFonts w:ascii="Times New Roman Bold" w:hAnsi="Times New Roman Bold" w:cs="Arial"/>
      <w:sz w:val="16"/>
      <w:lang w:eastAsia="en-US"/>
    </w:rPr>
  </w:style>
  <w:style w:type="paragraph" w:customStyle="1" w:styleId="C-PLR-Heading4non-numbered">
    <w:name w:val="C-PLR-Heading 4 (non-numbered)"/>
    <w:basedOn w:val="C-PLR-Heading4"/>
    <w:next w:val="C-PLR-BodyText"/>
    <w:rsid w:val="00D14FA7"/>
    <w:pPr>
      <w:numPr>
        <w:ilvl w:val="0"/>
        <w:numId w:val="0"/>
      </w:numPr>
      <w:ind w:left="720" w:hanging="720"/>
    </w:pPr>
  </w:style>
  <w:style w:type="paragraph" w:customStyle="1" w:styleId="C-PLR-Heading5">
    <w:name w:val="C-PLR-Heading 5"/>
    <w:next w:val="C-PLR-BodyText"/>
    <w:rsid w:val="00D14FA7"/>
    <w:pPr>
      <w:numPr>
        <w:ilvl w:val="4"/>
        <w:numId w:val="10"/>
      </w:numPr>
      <w:tabs>
        <w:tab w:val="clear" w:pos="1080"/>
        <w:tab w:val="left" w:pos="720"/>
      </w:tabs>
      <w:ind w:left="720" w:hanging="720"/>
      <w:outlineLvl w:val="4"/>
    </w:pPr>
    <w:rPr>
      <w:rFonts w:ascii="Times New Roman Bold" w:hAnsi="Times New Roman Bold" w:cs="Arial"/>
      <w:sz w:val="16"/>
      <w:lang w:eastAsia="en-US"/>
    </w:rPr>
  </w:style>
  <w:style w:type="paragraph" w:customStyle="1" w:styleId="C-PLR-Heading5non-numbered">
    <w:name w:val="C-PLR-Heading 5 (non-numbered)"/>
    <w:basedOn w:val="C-PLR-Heading5"/>
    <w:next w:val="C-PLR-BodyText"/>
    <w:rsid w:val="00D14FA7"/>
    <w:pPr>
      <w:numPr>
        <w:ilvl w:val="0"/>
        <w:numId w:val="0"/>
      </w:numPr>
      <w:ind w:left="720" w:hanging="720"/>
    </w:pPr>
  </w:style>
  <w:style w:type="paragraph" w:customStyle="1" w:styleId="C-PLR-Heading6">
    <w:name w:val="C-PLR-Heading 6"/>
    <w:next w:val="C-PLR-BodyText"/>
    <w:rsid w:val="00D14FA7"/>
    <w:pPr>
      <w:numPr>
        <w:ilvl w:val="5"/>
        <w:numId w:val="10"/>
      </w:numPr>
      <w:tabs>
        <w:tab w:val="clear" w:pos="1080"/>
        <w:tab w:val="left" w:pos="864"/>
      </w:tabs>
      <w:ind w:left="864" w:hanging="864"/>
      <w:outlineLvl w:val="5"/>
    </w:pPr>
    <w:rPr>
      <w:rFonts w:ascii="Times New Roman Bold" w:hAnsi="Times New Roman Bold" w:cs="Arial"/>
      <w:sz w:val="16"/>
      <w:lang w:eastAsia="en-US"/>
    </w:rPr>
  </w:style>
  <w:style w:type="paragraph" w:customStyle="1" w:styleId="C-PLR-Heading6non-numbered">
    <w:name w:val="C-PLR-Heading 6 (non-numbered)"/>
    <w:basedOn w:val="C-PLR-Heading6"/>
    <w:next w:val="C-PLR-BodyText"/>
    <w:rsid w:val="00D14FA7"/>
    <w:pPr>
      <w:numPr>
        <w:ilvl w:val="0"/>
        <w:numId w:val="0"/>
      </w:numPr>
      <w:ind w:left="864" w:hanging="864"/>
    </w:pPr>
  </w:style>
  <w:style w:type="paragraph" w:customStyle="1" w:styleId="C-PLR-InstructionText">
    <w:name w:val="C-PLR-Instruction Text"/>
    <w:rsid w:val="00D14FA7"/>
    <w:rPr>
      <w:rFonts w:ascii="Times New Roman Bold" w:hAnsi="Times New Roman Bold" w:cs="Arial"/>
      <w:vanish/>
      <w:color w:val="FF0000"/>
      <w:sz w:val="16"/>
      <w:lang w:eastAsia="en-US"/>
    </w:rPr>
  </w:style>
  <w:style w:type="paragraph" w:customStyle="1" w:styleId="C-PLR-TOC3">
    <w:name w:val="C-PLR-TOC 3"/>
    <w:basedOn w:val="C-PLR-TOC1"/>
    <w:next w:val="C-PLR-BodyText"/>
    <w:rsid w:val="00D14FA7"/>
    <w:pPr>
      <w:tabs>
        <w:tab w:val="left" w:pos="432"/>
      </w:tabs>
      <w:ind w:left="864"/>
    </w:pPr>
    <w:rPr>
      <w:rFonts w:ascii="Times New Roman" w:hAnsi="Times New Roman"/>
      <w:b w:val="0"/>
      <w:caps w:val="0"/>
    </w:rPr>
  </w:style>
  <w:style w:type="paragraph" w:customStyle="1" w:styleId="C-PLR-TOC4">
    <w:name w:val="C-PLR-TOC 4"/>
    <w:basedOn w:val="C-PLR-TOC1"/>
    <w:next w:val="C-PLR-BodyText"/>
    <w:rsid w:val="00D14FA7"/>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D14FA7"/>
    <w:pPr>
      <w:spacing w:after="120"/>
      <w:ind w:left="360"/>
    </w:pPr>
  </w:style>
  <w:style w:type="character" w:customStyle="1" w:styleId="BodyTextIndentChar">
    <w:name w:val="Body Text Indent Char"/>
    <w:basedOn w:val="DefaultParagraphFont"/>
    <w:link w:val="BodyTextIndent"/>
    <w:rsid w:val="00D627A7"/>
    <w:rPr>
      <w:rFonts w:cs="Arial"/>
      <w:sz w:val="24"/>
      <w:lang w:eastAsia="en-US"/>
    </w:rPr>
  </w:style>
  <w:style w:type="paragraph" w:styleId="BodyTextFirstIndent2">
    <w:name w:val="Body Text First Indent 2"/>
    <w:basedOn w:val="BodyTextIndent"/>
    <w:link w:val="BodyTextFirstIndent2Char"/>
    <w:rsid w:val="00D14FA7"/>
    <w:pPr>
      <w:ind w:firstLine="210"/>
    </w:pPr>
  </w:style>
  <w:style w:type="character" w:customStyle="1" w:styleId="BodyTextFirstIndent2Char">
    <w:name w:val="Body Text First Indent 2 Char"/>
    <w:basedOn w:val="BodyTextIndentChar"/>
    <w:link w:val="BodyTextFirstIndent2"/>
    <w:rsid w:val="00D627A7"/>
    <w:rPr>
      <w:rFonts w:cs="Arial"/>
      <w:sz w:val="24"/>
      <w:lang w:eastAsia="en-US"/>
    </w:rPr>
  </w:style>
  <w:style w:type="paragraph" w:customStyle="1" w:styleId="C-PLR-Heading1non-numbered">
    <w:name w:val="C-PLR-Heading 1 (non-numbered)"/>
    <w:basedOn w:val="C-PLR-Heading1"/>
    <w:next w:val="C-PLR-BodyText"/>
    <w:rsid w:val="00D14FA7"/>
    <w:pPr>
      <w:numPr>
        <w:numId w:val="0"/>
      </w:numPr>
      <w:ind w:left="720" w:hanging="720"/>
    </w:pPr>
  </w:style>
  <w:style w:type="paragraph" w:customStyle="1" w:styleId="C-AppendixNumbered">
    <w:name w:val="C-Appendix (Numbered)"/>
    <w:basedOn w:val="C-Appendix"/>
    <w:next w:val="C-BodyText"/>
    <w:rsid w:val="00D14FA7"/>
    <w:pPr>
      <w:numPr>
        <w:numId w:val="26"/>
      </w:numPr>
      <w:tabs>
        <w:tab w:val="left" w:pos="1987"/>
      </w:tabs>
      <w:ind w:left="1987" w:hanging="1987"/>
    </w:pPr>
  </w:style>
  <w:style w:type="numbering" w:customStyle="1" w:styleId="SPNumberedTabs">
    <w:name w:val="SP Numbered Tabs"/>
    <w:rsid w:val="00D14FA7"/>
    <w:pPr>
      <w:numPr>
        <w:numId w:val="29"/>
      </w:numPr>
    </w:pPr>
  </w:style>
  <w:style w:type="numbering" w:customStyle="1" w:styleId="SPBulletTabs">
    <w:name w:val="SP Bullet Tabs"/>
    <w:rsid w:val="00D14FA7"/>
    <w:pPr>
      <w:numPr>
        <w:numId w:val="31"/>
      </w:numPr>
    </w:pPr>
  </w:style>
  <w:style w:type="paragraph" w:customStyle="1" w:styleId="C-Alphabetic">
    <w:name w:val="C-Alphabetic"/>
    <w:basedOn w:val="C-Heading1"/>
    <w:next w:val="C-BodyText"/>
    <w:link w:val="C-AlphabeticChar"/>
    <w:qFormat/>
    <w:rsid w:val="00D14FA7"/>
    <w:pPr>
      <w:numPr>
        <w:numId w:val="34"/>
      </w:numPr>
      <w:tabs>
        <w:tab w:val="left" w:pos="1080"/>
      </w:tabs>
      <w:ind w:left="1080" w:hanging="1080"/>
    </w:pPr>
  </w:style>
  <w:style w:type="paragraph" w:customStyle="1" w:styleId="C-Footnote">
    <w:name w:val="C-Footnote"/>
    <w:basedOn w:val="C-TableFootnote"/>
    <w:qFormat/>
    <w:rsid w:val="00D14FA7"/>
    <w:pPr>
      <w:ind w:left="0" w:firstLine="0"/>
    </w:pPr>
  </w:style>
  <w:style w:type="character" w:customStyle="1" w:styleId="C-Heading1Char">
    <w:name w:val="C-Heading 1 Char"/>
    <w:link w:val="C-Heading1"/>
    <w:rsid w:val="00D14FA7"/>
    <w:rPr>
      <w:b/>
      <w:caps/>
      <w:sz w:val="28"/>
      <w:lang w:eastAsia="en-US"/>
    </w:rPr>
  </w:style>
  <w:style w:type="character" w:customStyle="1" w:styleId="C-AlphabeticChar">
    <w:name w:val="C-Alphabetic Char"/>
    <w:basedOn w:val="C-Heading1Char"/>
    <w:link w:val="C-Alphabetic"/>
    <w:rsid w:val="00D14FA7"/>
    <w:rPr>
      <w:b/>
      <w:caps/>
      <w:sz w:val="28"/>
      <w:lang w:eastAsia="en-US"/>
    </w:rPr>
  </w:style>
  <w:style w:type="paragraph" w:styleId="BlockText">
    <w:name w:val="Block Text"/>
    <w:basedOn w:val="Normal"/>
    <w:uiPriority w:val="99"/>
    <w:semiHidden/>
    <w:unhideWhenUsed/>
    <w:rsid w:val="0065339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653392"/>
    <w:pPr>
      <w:spacing w:after="120"/>
    </w:pPr>
  </w:style>
  <w:style w:type="character" w:customStyle="1" w:styleId="BodyTextChar">
    <w:name w:val="Body Text Char"/>
    <w:basedOn w:val="DefaultParagraphFont"/>
    <w:link w:val="BodyText"/>
    <w:uiPriority w:val="99"/>
    <w:semiHidden/>
    <w:rsid w:val="00653392"/>
    <w:rPr>
      <w:rFonts w:cs="Arial"/>
      <w:sz w:val="24"/>
      <w:lang w:eastAsia="en-US"/>
    </w:rPr>
  </w:style>
  <w:style w:type="paragraph" w:styleId="BodyText2">
    <w:name w:val="Body Text 2"/>
    <w:basedOn w:val="Normal"/>
    <w:link w:val="BodyText2Char"/>
    <w:uiPriority w:val="99"/>
    <w:semiHidden/>
    <w:unhideWhenUsed/>
    <w:rsid w:val="00653392"/>
    <w:pPr>
      <w:spacing w:after="120" w:line="480" w:lineRule="auto"/>
    </w:pPr>
  </w:style>
  <w:style w:type="character" w:customStyle="1" w:styleId="BodyText2Char">
    <w:name w:val="Body Text 2 Char"/>
    <w:basedOn w:val="DefaultParagraphFont"/>
    <w:link w:val="BodyText2"/>
    <w:uiPriority w:val="99"/>
    <w:semiHidden/>
    <w:rsid w:val="00653392"/>
    <w:rPr>
      <w:rFonts w:cs="Arial"/>
      <w:sz w:val="24"/>
      <w:lang w:eastAsia="en-US"/>
    </w:rPr>
  </w:style>
  <w:style w:type="paragraph" w:styleId="BodyText3">
    <w:name w:val="Body Text 3"/>
    <w:basedOn w:val="Normal"/>
    <w:link w:val="BodyText3Char"/>
    <w:uiPriority w:val="99"/>
    <w:semiHidden/>
    <w:unhideWhenUsed/>
    <w:rsid w:val="00653392"/>
    <w:pPr>
      <w:spacing w:after="120"/>
    </w:pPr>
    <w:rPr>
      <w:sz w:val="16"/>
      <w:szCs w:val="16"/>
    </w:rPr>
  </w:style>
  <w:style w:type="character" w:customStyle="1" w:styleId="BodyText3Char">
    <w:name w:val="Body Text 3 Char"/>
    <w:basedOn w:val="DefaultParagraphFont"/>
    <w:link w:val="BodyText3"/>
    <w:uiPriority w:val="99"/>
    <w:semiHidden/>
    <w:rsid w:val="00653392"/>
    <w:rPr>
      <w:rFonts w:cs="Arial"/>
      <w:sz w:val="16"/>
      <w:szCs w:val="16"/>
      <w:lang w:eastAsia="en-US"/>
    </w:rPr>
  </w:style>
  <w:style w:type="paragraph" w:styleId="BodyTextFirstIndent">
    <w:name w:val="Body Text First Indent"/>
    <w:basedOn w:val="BodyText"/>
    <w:link w:val="BodyTextFirstIndentChar"/>
    <w:uiPriority w:val="99"/>
    <w:semiHidden/>
    <w:unhideWhenUsed/>
    <w:rsid w:val="00653392"/>
    <w:pPr>
      <w:spacing w:after="0"/>
      <w:ind w:firstLine="360"/>
    </w:pPr>
  </w:style>
  <w:style w:type="character" w:customStyle="1" w:styleId="BodyTextFirstIndentChar">
    <w:name w:val="Body Text First Indent Char"/>
    <w:basedOn w:val="BodyTextChar"/>
    <w:link w:val="BodyTextFirstIndent"/>
    <w:uiPriority w:val="99"/>
    <w:semiHidden/>
    <w:rsid w:val="00653392"/>
    <w:rPr>
      <w:rFonts w:cs="Arial"/>
      <w:sz w:val="24"/>
      <w:lang w:eastAsia="en-US"/>
    </w:rPr>
  </w:style>
  <w:style w:type="paragraph" w:styleId="BodyTextIndent2">
    <w:name w:val="Body Text Indent 2"/>
    <w:basedOn w:val="Normal"/>
    <w:link w:val="BodyTextIndent2Char"/>
    <w:uiPriority w:val="99"/>
    <w:semiHidden/>
    <w:unhideWhenUsed/>
    <w:rsid w:val="00653392"/>
    <w:pPr>
      <w:spacing w:after="120" w:line="480" w:lineRule="auto"/>
      <w:ind w:left="360"/>
    </w:pPr>
  </w:style>
  <w:style w:type="character" w:customStyle="1" w:styleId="BodyTextIndent2Char">
    <w:name w:val="Body Text Indent 2 Char"/>
    <w:basedOn w:val="DefaultParagraphFont"/>
    <w:link w:val="BodyTextIndent2"/>
    <w:uiPriority w:val="99"/>
    <w:semiHidden/>
    <w:rsid w:val="00653392"/>
    <w:rPr>
      <w:rFonts w:cs="Arial"/>
      <w:sz w:val="24"/>
      <w:lang w:eastAsia="en-US"/>
    </w:rPr>
  </w:style>
  <w:style w:type="paragraph" w:styleId="BodyTextIndent3">
    <w:name w:val="Body Text Indent 3"/>
    <w:basedOn w:val="Normal"/>
    <w:link w:val="BodyTextIndent3Char"/>
    <w:uiPriority w:val="99"/>
    <w:semiHidden/>
    <w:unhideWhenUsed/>
    <w:rsid w:val="006533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3392"/>
    <w:rPr>
      <w:rFonts w:cs="Arial"/>
      <w:sz w:val="16"/>
      <w:szCs w:val="16"/>
      <w:lang w:eastAsia="en-US"/>
    </w:rPr>
  </w:style>
  <w:style w:type="paragraph" w:styleId="Closing">
    <w:name w:val="Closing"/>
    <w:basedOn w:val="Normal"/>
    <w:link w:val="ClosingChar"/>
    <w:uiPriority w:val="99"/>
    <w:semiHidden/>
    <w:unhideWhenUsed/>
    <w:rsid w:val="00653392"/>
    <w:pPr>
      <w:ind w:left="4320"/>
    </w:pPr>
  </w:style>
  <w:style w:type="character" w:customStyle="1" w:styleId="ClosingChar">
    <w:name w:val="Closing Char"/>
    <w:basedOn w:val="DefaultParagraphFont"/>
    <w:link w:val="Closing"/>
    <w:uiPriority w:val="99"/>
    <w:semiHidden/>
    <w:rsid w:val="00653392"/>
    <w:rPr>
      <w:rFonts w:cs="Arial"/>
      <w:sz w:val="24"/>
      <w:lang w:eastAsia="en-US"/>
    </w:rPr>
  </w:style>
  <w:style w:type="character" w:styleId="CommentReference">
    <w:name w:val="annotation reference"/>
    <w:basedOn w:val="DefaultParagraphFont"/>
    <w:uiPriority w:val="99"/>
    <w:semiHidden/>
    <w:unhideWhenUsed/>
    <w:rsid w:val="00653392"/>
    <w:rPr>
      <w:sz w:val="16"/>
      <w:szCs w:val="16"/>
    </w:rPr>
  </w:style>
  <w:style w:type="paragraph" w:styleId="Date">
    <w:name w:val="Date"/>
    <w:basedOn w:val="Normal"/>
    <w:next w:val="Normal"/>
    <w:link w:val="DateChar"/>
    <w:uiPriority w:val="99"/>
    <w:semiHidden/>
    <w:unhideWhenUsed/>
    <w:rsid w:val="00653392"/>
  </w:style>
  <w:style w:type="character" w:customStyle="1" w:styleId="DateChar">
    <w:name w:val="Date Char"/>
    <w:basedOn w:val="DefaultParagraphFont"/>
    <w:link w:val="Date"/>
    <w:uiPriority w:val="99"/>
    <w:semiHidden/>
    <w:rsid w:val="00653392"/>
    <w:rPr>
      <w:rFonts w:cs="Arial"/>
      <w:sz w:val="24"/>
      <w:lang w:eastAsia="en-US"/>
    </w:rPr>
  </w:style>
  <w:style w:type="paragraph" w:styleId="DocumentMap">
    <w:name w:val="Document Map"/>
    <w:basedOn w:val="Normal"/>
    <w:link w:val="DocumentMapChar"/>
    <w:uiPriority w:val="99"/>
    <w:semiHidden/>
    <w:unhideWhenUsed/>
    <w:rsid w:val="00653392"/>
    <w:rPr>
      <w:rFonts w:ascii="Tahoma" w:hAnsi="Tahoma" w:cs="Tahoma"/>
      <w:sz w:val="16"/>
      <w:szCs w:val="16"/>
    </w:rPr>
  </w:style>
  <w:style w:type="character" w:customStyle="1" w:styleId="DocumentMapChar">
    <w:name w:val="Document Map Char"/>
    <w:basedOn w:val="DefaultParagraphFont"/>
    <w:link w:val="DocumentMap"/>
    <w:uiPriority w:val="99"/>
    <w:semiHidden/>
    <w:rsid w:val="00653392"/>
    <w:rPr>
      <w:rFonts w:ascii="Tahoma" w:hAnsi="Tahoma" w:cs="Tahoma"/>
      <w:sz w:val="16"/>
      <w:szCs w:val="16"/>
      <w:lang w:eastAsia="en-US"/>
    </w:rPr>
  </w:style>
  <w:style w:type="character" w:styleId="Emphasis">
    <w:name w:val="Emphasis"/>
    <w:basedOn w:val="DefaultParagraphFont"/>
    <w:uiPriority w:val="20"/>
    <w:qFormat/>
    <w:rsid w:val="00653392"/>
    <w:rPr>
      <w:i/>
      <w:iCs/>
    </w:rPr>
  </w:style>
  <w:style w:type="character" w:styleId="EndnoteReference">
    <w:name w:val="endnote reference"/>
    <w:basedOn w:val="DefaultParagraphFont"/>
    <w:uiPriority w:val="99"/>
    <w:semiHidden/>
    <w:unhideWhenUsed/>
    <w:rsid w:val="00653392"/>
    <w:rPr>
      <w:vertAlign w:val="superscript"/>
    </w:rPr>
  </w:style>
  <w:style w:type="paragraph" w:styleId="EndnoteText">
    <w:name w:val="endnote text"/>
    <w:basedOn w:val="Normal"/>
    <w:link w:val="EndnoteTextChar"/>
    <w:uiPriority w:val="99"/>
    <w:semiHidden/>
    <w:unhideWhenUsed/>
    <w:rsid w:val="00653392"/>
    <w:rPr>
      <w:sz w:val="20"/>
    </w:rPr>
  </w:style>
  <w:style w:type="character" w:customStyle="1" w:styleId="EndnoteTextChar">
    <w:name w:val="Endnote Text Char"/>
    <w:basedOn w:val="DefaultParagraphFont"/>
    <w:link w:val="EndnoteText"/>
    <w:uiPriority w:val="99"/>
    <w:semiHidden/>
    <w:rsid w:val="00653392"/>
    <w:rPr>
      <w:rFonts w:cs="Arial"/>
      <w:lang w:eastAsia="en-US"/>
    </w:rPr>
  </w:style>
  <w:style w:type="paragraph" w:styleId="EnvelopeAddress">
    <w:name w:val="envelope address"/>
    <w:basedOn w:val="Normal"/>
    <w:uiPriority w:val="99"/>
    <w:semiHidden/>
    <w:unhideWhenUsed/>
    <w:rsid w:val="0065339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53392"/>
    <w:rPr>
      <w:rFonts w:asciiTheme="majorHAnsi" w:eastAsiaTheme="majorEastAsia" w:hAnsiTheme="majorHAnsi" w:cstheme="majorBidi"/>
      <w:sz w:val="20"/>
    </w:rPr>
  </w:style>
  <w:style w:type="character" w:customStyle="1" w:styleId="FooterChar">
    <w:name w:val="Footer Char"/>
    <w:basedOn w:val="DefaultParagraphFont"/>
    <w:link w:val="Footer"/>
    <w:rsid w:val="00D14FA7"/>
    <w:rPr>
      <w:rFonts w:cs="Arial"/>
      <w:sz w:val="24"/>
      <w:lang w:eastAsia="en-US"/>
    </w:rPr>
  </w:style>
  <w:style w:type="character" w:styleId="FootnoteReference">
    <w:name w:val="footnote reference"/>
    <w:basedOn w:val="DefaultParagraphFont"/>
    <w:uiPriority w:val="99"/>
    <w:semiHidden/>
    <w:unhideWhenUsed/>
    <w:rsid w:val="00653392"/>
    <w:rPr>
      <w:vertAlign w:val="superscript"/>
    </w:rPr>
  </w:style>
  <w:style w:type="paragraph" w:styleId="FootnoteText">
    <w:name w:val="footnote text"/>
    <w:basedOn w:val="Normal"/>
    <w:link w:val="FootnoteTextChar"/>
    <w:uiPriority w:val="99"/>
    <w:semiHidden/>
    <w:unhideWhenUsed/>
    <w:rsid w:val="00653392"/>
    <w:rPr>
      <w:sz w:val="20"/>
    </w:rPr>
  </w:style>
  <w:style w:type="character" w:customStyle="1" w:styleId="FootnoteTextChar">
    <w:name w:val="Footnote Text Char"/>
    <w:basedOn w:val="DefaultParagraphFont"/>
    <w:link w:val="FootnoteText"/>
    <w:uiPriority w:val="99"/>
    <w:semiHidden/>
    <w:rsid w:val="00653392"/>
    <w:rPr>
      <w:rFonts w:cs="Arial"/>
      <w:lang w:eastAsia="en-US"/>
    </w:rPr>
  </w:style>
  <w:style w:type="character" w:customStyle="1" w:styleId="HeaderChar">
    <w:name w:val="Header Char"/>
    <w:basedOn w:val="DefaultParagraphFont"/>
    <w:link w:val="Header"/>
    <w:uiPriority w:val="99"/>
    <w:rsid w:val="00D14FA7"/>
    <w:rPr>
      <w:rFonts w:cs="Arial"/>
      <w:sz w:val="24"/>
      <w:lang w:eastAsia="en-US"/>
    </w:rPr>
  </w:style>
  <w:style w:type="character" w:styleId="HTMLAcronym">
    <w:name w:val="HTML Acronym"/>
    <w:basedOn w:val="DefaultParagraphFont"/>
    <w:uiPriority w:val="99"/>
    <w:semiHidden/>
    <w:unhideWhenUsed/>
    <w:rsid w:val="00653392"/>
  </w:style>
  <w:style w:type="paragraph" w:styleId="HTMLAddress">
    <w:name w:val="HTML Address"/>
    <w:basedOn w:val="Normal"/>
    <w:link w:val="HTMLAddressChar"/>
    <w:uiPriority w:val="99"/>
    <w:semiHidden/>
    <w:unhideWhenUsed/>
    <w:rsid w:val="00653392"/>
    <w:rPr>
      <w:i/>
      <w:iCs/>
    </w:rPr>
  </w:style>
  <w:style w:type="character" w:customStyle="1" w:styleId="HTMLAddressChar">
    <w:name w:val="HTML Address Char"/>
    <w:basedOn w:val="DefaultParagraphFont"/>
    <w:link w:val="HTMLAddress"/>
    <w:uiPriority w:val="99"/>
    <w:semiHidden/>
    <w:rsid w:val="00653392"/>
    <w:rPr>
      <w:rFonts w:cs="Arial"/>
      <w:i/>
      <w:iCs/>
      <w:sz w:val="24"/>
      <w:lang w:eastAsia="en-US"/>
    </w:rPr>
  </w:style>
  <w:style w:type="character" w:styleId="HTMLCite">
    <w:name w:val="HTML Cite"/>
    <w:basedOn w:val="DefaultParagraphFont"/>
    <w:uiPriority w:val="99"/>
    <w:semiHidden/>
    <w:unhideWhenUsed/>
    <w:rsid w:val="00653392"/>
    <w:rPr>
      <w:i/>
      <w:iCs/>
    </w:rPr>
  </w:style>
  <w:style w:type="character" w:styleId="HTMLCode">
    <w:name w:val="HTML Code"/>
    <w:basedOn w:val="DefaultParagraphFont"/>
    <w:uiPriority w:val="99"/>
    <w:semiHidden/>
    <w:unhideWhenUsed/>
    <w:rsid w:val="00653392"/>
    <w:rPr>
      <w:rFonts w:ascii="Consolas" w:hAnsi="Consolas"/>
      <w:sz w:val="20"/>
      <w:szCs w:val="20"/>
    </w:rPr>
  </w:style>
  <w:style w:type="character" w:styleId="HTMLDefinition">
    <w:name w:val="HTML Definition"/>
    <w:basedOn w:val="DefaultParagraphFont"/>
    <w:uiPriority w:val="99"/>
    <w:semiHidden/>
    <w:unhideWhenUsed/>
    <w:rsid w:val="00653392"/>
    <w:rPr>
      <w:i/>
      <w:iCs/>
    </w:rPr>
  </w:style>
  <w:style w:type="paragraph" w:styleId="HTMLPreformatted">
    <w:name w:val="HTML Preformatted"/>
    <w:basedOn w:val="Normal"/>
    <w:link w:val="HTMLPreformattedChar"/>
    <w:uiPriority w:val="99"/>
    <w:semiHidden/>
    <w:unhideWhenUsed/>
    <w:rsid w:val="00653392"/>
    <w:rPr>
      <w:rFonts w:ascii="Consolas" w:hAnsi="Consolas"/>
      <w:sz w:val="20"/>
    </w:rPr>
  </w:style>
  <w:style w:type="character" w:customStyle="1" w:styleId="HTMLPreformattedChar">
    <w:name w:val="HTML Preformatted Char"/>
    <w:basedOn w:val="DefaultParagraphFont"/>
    <w:link w:val="HTMLPreformatted"/>
    <w:uiPriority w:val="99"/>
    <w:semiHidden/>
    <w:rsid w:val="00653392"/>
    <w:rPr>
      <w:rFonts w:ascii="Consolas" w:hAnsi="Consolas" w:cs="Arial"/>
      <w:lang w:eastAsia="en-US"/>
    </w:rPr>
  </w:style>
  <w:style w:type="character" w:styleId="HTMLSample">
    <w:name w:val="HTML Sample"/>
    <w:basedOn w:val="DefaultParagraphFont"/>
    <w:uiPriority w:val="99"/>
    <w:semiHidden/>
    <w:unhideWhenUsed/>
    <w:rsid w:val="00653392"/>
    <w:rPr>
      <w:rFonts w:ascii="Consolas" w:hAnsi="Consolas"/>
      <w:sz w:val="24"/>
      <w:szCs w:val="24"/>
    </w:rPr>
  </w:style>
  <w:style w:type="character" w:styleId="HTMLTypewriter">
    <w:name w:val="HTML Typewriter"/>
    <w:basedOn w:val="DefaultParagraphFont"/>
    <w:uiPriority w:val="99"/>
    <w:semiHidden/>
    <w:unhideWhenUsed/>
    <w:rsid w:val="00653392"/>
    <w:rPr>
      <w:rFonts w:ascii="Consolas" w:hAnsi="Consolas"/>
      <w:sz w:val="20"/>
      <w:szCs w:val="20"/>
    </w:rPr>
  </w:style>
  <w:style w:type="character" w:styleId="HTMLVariable">
    <w:name w:val="HTML Variable"/>
    <w:basedOn w:val="DefaultParagraphFont"/>
    <w:uiPriority w:val="99"/>
    <w:semiHidden/>
    <w:unhideWhenUsed/>
    <w:rsid w:val="00653392"/>
    <w:rPr>
      <w:i/>
      <w:iCs/>
    </w:rPr>
  </w:style>
  <w:style w:type="paragraph" w:styleId="Index1">
    <w:name w:val="index 1"/>
    <w:basedOn w:val="Normal"/>
    <w:next w:val="Normal"/>
    <w:autoRedefine/>
    <w:uiPriority w:val="99"/>
    <w:semiHidden/>
    <w:unhideWhenUsed/>
    <w:rsid w:val="00653392"/>
    <w:pPr>
      <w:ind w:left="240" w:hanging="240"/>
    </w:pPr>
  </w:style>
  <w:style w:type="paragraph" w:styleId="Index2">
    <w:name w:val="index 2"/>
    <w:basedOn w:val="Normal"/>
    <w:next w:val="Normal"/>
    <w:autoRedefine/>
    <w:uiPriority w:val="99"/>
    <w:semiHidden/>
    <w:unhideWhenUsed/>
    <w:rsid w:val="00653392"/>
    <w:pPr>
      <w:ind w:left="480" w:hanging="240"/>
    </w:pPr>
  </w:style>
  <w:style w:type="paragraph" w:styleId="Index3">
    <w:name w:val="index 3"/>
    <w:basedOn w:val="Normal"/>
    <w:next w:val="Normal"/>
    <w:autoRedefine/>
    <w:uiPriority w:val="99"/>
    <w:semiHidden/>
    <w:unhideWhenUsed/>
    <w:rsid w:val="00653392"/>
    <w:pPr>
      <w:ind w:left="720" w:hanging="240"/>
    </w:pPr>
  </w:style>
  <w:style w:type="paragraph" w:styleId="Index4">
    <w:name w:val="index 4"/>
    <w:basedOn w:val="Normal"/>
    <w:next w:val="Normal"/>
    <w:autoRedefine/>
    <w:uiPriority w:val="99"/>
    <w:semiHidden/>
    <w:unhideWhenUsed/>
    <w:rsid w:val="00653392"/>
    <w:pPr>
      <w:ind w:left="960" w:hanging="240"/>
    </w:pPr>
  </w:style>
  <w:style w:type="paragraph" w:styleId="Index5">
    <w:name w:val="index 5"/>
    <w:basedOn w:val="Normal"/>
    <w:next w:val="Normal"/>
    <w:autoRedefine/>
    <w:uiPriority w:val="99"/>
    <w:semiHidden/>
    <w:unhideWhenUsed/>
    <w:rsid w:val="00653392"/>
    <w:pPr>
      <w:ind w:left="1200" w:hanging="240"/>
    </w:pPr>
  </w:style>
  <w:style w:type="paragraph" w:styleId="Index6">
    <w:name w:val="index 6"/>
    <w:basedOn w:val="Normal"/>
    <w:next w:val="Normal"/>
    <w:autoRedefine/>
    <w:uiPriority w:val="99"/>
    <w:semiHidden/>
    <w:unhideWhenUsed/>
    <w:rsid w:val="00653392"/>
    <w:pPr>
      <w:ind w:left="1440" w:hanging="240"/>
    </w:pPr>
  </w:style>
  <w:style w:type="paragraph" w:styleId="Index7">
    <w:name w:val="index 7"/>
    <w:basedOn w:val="Normal"/>
    <w:next w:val="Normal"/>
    <w:autoRedefine/>
    <w:uiPriority w:val="99"/>
    <w:semiHidden/>
    <w:unhideWhenUsed/>
    <w:rsid w:val="00653392"/>
    <w:pPr>
      <w:ind w:left="1680" w:hanging="240"/>
    </w:pPr>
  </w:style>
  <w:style w:type="paragraph" w:styleId="Index8">
    <w:name w:val="index 8"/>
    <w:basedOn w:val="Normal"/>
    <w:next w:val="Normal"/>
    <w:autoRedefine/>
    <w:uiPriority w:val="99"/>
    <w:semiHidden/>
    <w:unhideWhenUsed/>
    <w:rsid w:val="00653392"/>
    <w:pPr>
      <w:ind w:left="1920" w:hanging="240"/>
    </w:pPr>
  </w:style>
  <w:style w:type="paragraph" w:styleId="Index9">
    <w:name w:val="index 9"/>
    <w:basedOn w:val="Normal"/>
    <w:next w:val="Normal"/>
    <w:autoRedefine/>
    <w:uiPriority w:val="99"/>
    <w:semiHidden/>
    <w:unhideWhenUsed/>
    <w:rsid w:val="00653392"/>
    <w:pPr>
      <w:ind w:left="2160" w:hanging="240"/>
    </w:pPr>
  </w:style>
  <w:style w:type="paragraph" w:styleId="IndexHeading">
    <w:name w:val="index heading"/>
    <w:basedOn w:val="Normal"/>
    <w:next w:val="Index1"/>
    <w:uiPriority w:val="99"/>
    <w:semiHidden/>
    <w:unhideWhenUsed/>
    <w:rsid w:val="00653392"/>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653392"/>
  </w:style>
  <w:style w:type="paragraph" w:styleId="List">
    <w:name w:val="List"/>
    <w:basedOn w:val="Normal"/>
    <w:uiPriority w:val="99"/>
    <w:semiHidden/>
    <w:unhideWhenUsed/>
    <w:rsid w:val="00653392"/>
    <w:pPr>
      <w:ind w:left="360" w:hanging="360"/>
      <w:contextualSpacing/>
    </w:pPr>
  </w:style>
  <w:style w:type="paragraph" w:styleId="List2">
    <w:name w:val="List 2"/>
    <w:basedOn w:val="Normal"/>
    <w:uiPriority w:val="99"/>
    <w:semiHidden/>
    <w:unhideWhenUsed/>
    <w:rsid w:val="00653392"/>
    <w:pPr>
      <w:ind w:left="720" w:hanging="360"/>
      <w:contextualSpacing/>
    </w:pPr>
  </w:style>
  <w:style w:type="paragraph" w:styleId="List3">
    <w:name w:val="List 3"/>
    <w:basedOn w:val="Normal"/>
    <w:uiPriority w:val="99"/>
    <w:semiHidden/>
    <w:unhideWhenUsed/>
    <w:rsid w:val="00653392"/>
    <w:pPr>
      <w:ind w:left="1080" w:hanging="360"/>
      <w:contextualSpacing/>
    </w:pPr>
  </w:style>
  <w:style w:type="paragraph" w:styleId="List4">
    <w:name w:val="List 4"/>
    <w:basedOn w:val="Normal"/>
    <w:uiPriority w:val="99"/>
    <w:semiHidden/>
    <w:unhideWhenUsed/>
    <w:rsid w:val="00653392"/>
    <w:pPr>
      <w:ind w:left="1440" w:hanging="360"/>
      <w:contextualSpacing/>
    </w:pPr>
  </w:style>
  <w:style w:type="paragraph" w:styleId="List5">
    <w:name w:val="List 5"/>
    <w:basedOn w:val="Normal"/>
    <w:uiPriority w:val="99"/>
    <w:semiHidden/>
    <w:unhideWhenUsed/>
    <w:rsid w:val="00653392"/>
    <w:pPr>
      <w:ind w:left="1800" w:hanging="360"/>
      <w:contextualSpacing/>
    </w:pPr>
  </w:style>
  <w:style w:type="paragraph" w:styleId="ListBullet">
    <w:name w:val="List Bullet"/>
    <w:basedOn w:val="Normal"/>
    <w:uiPriority w:val="99"/>
    <w:unhideWhenUsed/>
    <w:rsid w:val="00653392"/>
    <w:pPr>
      <w:tabs>
        <w:tab w:val="num" w:pos="360"/>
      </w:tabs>
      <w:ind w:left="360" w:hanging="360"/>
      <w:contextualSpacing/>
    </w:pPr>
  </w:style>
  <w:style w:type="paragraph" w:styleId="ListBullet2">
    <w:name w:val="List Bullet 2"/>
    <w:basedOn w:val="Normal"/>
    <w:uiPriority w:val="99"/>
    <w:semiHidden/>
    <w:unhideWhenUsed/>
    <w:rsid w:val="00653392"/>
    <w:pPr>
      <w:tabs>
        <w:tab w:val="num" w:pos="720"/>
      </w:tabs>
      <w:ind w:left="720" w:hanging="360"/>
      <w:contextualSpacing/>
    </w:pPr>
  </w:style>
  <w:style w:type="paragraph" w:styleId="ListBullet3">
    <w:name w:val="List Bullet 3"/>
    <w:basedOn w:val="Normal"/>
    <w:uiPriority w:val="99"/>
    <w:semiHidden/>
    <w:unhideWhenUsed/>
    <w:rsid w:val="00653392"/>
    <w:pPr>
      <w:tabs>
        <w:tab w:val="num" w:pos="1080"/>
      </w:tabs>
      <w:ind w:left="1080" w:hanging="360"/>
      <w:contextualSpacing/>
    </w:pPr>
  </w:style>
  <w:style w:type="paragraph" w:styleId="ListBullet4">
    <w:name w:val="List Bullet 4"/>
    <w:basedOn w:val="Normal"/>
    <w:uiPriority w:val="99"/>
    <w:semiHidden/>
    <w:unhideWhenUsed/>
    <w:rsid w:val="00653392"/>
    <w:pPr>
      <w:tabs>
        <w:tab w:val="num" w:pos="1440"/>
      </w:tabs>
      <w:ind w:left="1440" w:hanging="360"/>
      <w:contextualSpacing/>
    </w:pPr>
  </w:style>
  <w:style w:type="paragraph" w:styleId="ListBullet5">
    <w:name w:val="List Bullet 5"/>
    <w:basedOn w:val="Normal"/>
    <w:uiPriority w:val="99"/>
    <w:semiHidden/>
    <w:unhideWhenUsed/>
    <w:rsid w:val="00653392"/>
    <w:pPr>
      <w:tabs>
        <w:tab w:val="num" w:pos="1800"/>
      </w:tabs>
      <w:ind w:left="1800" w:hanging="360"/>
      <w:contextualSpacing/>
    </w:pPr>
  </w:style>
  <w:style w:type="paragraph" w:styleId="ListContinue">
    <w:name w:val="List Continue"/>
    <w:basedOn w:val="Normal"/>
    <w:uiPriority w:val="99"/>
    <w:semiHidden/>
    <w:unhideWhenUsed/>
    <w:rsid w:val="00653392"/>
    <w:pPr>
      <w:spacing w:after="120"/>
      <w:ind w:left="360"/>
      <w:contextualSpacing/>
    </w:pPr>
  </w:style>
  <w:style w:type="paragraph" w:styleId="ListContinue2">
    <w:name w:val="List Continue 2"/>
    <w:basedOn w:val="Normal"/>
    <w:uiPriority w:val="99"/>
    <w:semiHidden/>
    <w:unhideWhenUsed/>
    <w:rsid w:val="00653392"/>
    <w:pPr>
      <w:spacing w:after="120"/>
      <w:ind w:left="720"/>
      <w:contextualSpacing/>
    </w:pPr>
  </w:style>
  <w:style w:type="paragraph" w:styleId="ListContinue3">
    <w:name w:val="List Continue 3"/>
    <w:basedOn w:val="Normal"/>
    <w:uiPriority w:val="99"/>
    <w:unhideWhenUsed/>
    <w:rsid w:val="00653392"/>
    <w:pPr>
      <w:spacing w:after="120"/>
      <w:ind w:left="1080"/>
      <w:contextualSpacing/>
    </w:pPr>
  </w:style>
  <w:style w:type="paragraph" w:styleId="ListContinue4">
    <w:name w:val="List Continue 4"/>
    <w:basedOn w:val="Normal"/>
    <w:uiPriority w:val="99"/>
    <w:unhideWhenUsed/>
    <w:rsid w:val="00653392"/>
    <w:pPr>
      <w:spacing w:after="120"/>
      <w:ind w:left="1440"/>
      <w:contextualSpacing/>
    </w:pPr>
  </w:style>
  <w:style w:type="paragraph" w:styleId="ListContinue5">
    <w:name w:val="List Continue 5"/>
    <w:basedOn w:val="Normal"/>
    <w:uiPriority w:val="99"/>
    <w:unhideWhenUsed/>
    <w:rsid w:val="00653392"/>
    <w:pPr>
      <w:spacing w:after="120"/>
      <w:ind w:left="1800"/>
      <w:contextualSpacing/>
    </w:pPr>
  </w:style>
  <w:style w:type="paragraph" w:styleId="ListNumber">
    <w:name w:val="List Number"/>
    <w:basedOn w:val="Normal"/>
    <w:uiPriority w:val="99"/>
    <w:unhideWhenUsed/>
    <w:rsid w:val="00653392"/>
    <w:pPr>
      <w:tabs>
        <w:tab w:val="num" w:pos="360"/>
      </w:tabs>
      <w:ind w:left="360" w:hanging="360"/>
      <w:contextualSpacing/>
    </w:pPr>
  </w:style>
  <w:style w:type="paragraph" w:styleId="ListNumber2">
    <w:name w:val="List Number 2"/>
    <w:basedOn w:val="Normal"/>
    <w:uiPriority w:val="99"/>
    <w:semiHidden/>
    <w:unhideWhenUsed/>
    <w:rsid w:val="00653392"/>
    <w:pPr>
      <w:tabs>
        <w:tab w:val="num" w:pos="720"/>
      </w:tabs>
      <w:ind w:left="720" w:hanging="360"/>
      <w:contextualSpacing/>
    </w:pPr>
  </w:style>
  <w:style w:type="paragraph" w:styleId="ListNumber3">
    <w:name w:val="List Number 3"/>
    <w:basedOn w:val="Normal"/>
    <w:uiPriority w:val="99"/>
    <w:semiHidden/>
    <w:unhideWhenUsed/>
    <w:rsid w:val="00653392"/>
    <w:pPr>
      <w:tabs>
        <w:tab w:val="num" w:pos="1080"/>
      </w:tabs>
      <w:ind w:left="1080" w:hanging="360"/>
      <w:contextualSpacing/>
    </w:pPr>
  </w:style>
  <w:style w:type="paragraph" w:styleId="ListNumber4">
    <w:name w:val="List Number 4"/>
    <w:basedOn w:val="Normal"/>
    <w:uiPriority w:val="99"/>
    <w:semiHidden/>
    <w:unhideWhenUsed/>
    <w:rsid w:val="00653392"/>
    <w:pPr>
      <w:tabs>
        <w:tab w:val="num" w:pos="1440"/>
      </w:tabs>
      <w:ind w:left="1440" w:hanging="360"/>
      <w:contextualSpacing/>
    </w:pPr>
  </w:style>
  <w:style w:type="paragraph" w:styleId="ListNumber5">
    <w:name w:val="List Number 5"/>
    <w:basedOn w:val="Normal"/>
    <w:uiPriority w:val="99"/>
    <w:semiHidden/>
    <w:unhideWhenUsed/>
    <w:rsid w:val="00653392"/>
    <w:pPr>
      <w:tabs>
        <w:tab w:val="num" w:pos="1800"/>
      </w:tabs>
      <w:ind w:left="1800" w:hanging="360"/>
      <w:contextualSpacing/>
    </w:pPr>
  </w:style>
  <w:style w:type="paragraph" w:styleId="MacroText">
    <w:name w:val="macro"/>
    <w:link w:val="MacroTextChar"/>
    <w:uiPriority w:val="99"/>
    <w:unhideWhenUsed/>
    <w:rsid w:val="00653392"/>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eastAsia="en-US"/>
    </w:rPr>
  </w:style>
  <w:style w:type="character" w:customStyle="1" w:styleId="MacroTextChar">
    <w:name w:val="Macro Text Char"/>
    <w:basedOn w:val="DefaultParagraphFont"/>
    <w:link w:val="MacroText"/>
    <w:uiPriority w:val="99"/>
    <w:rsid w:val="00653392"/>
    <w:rPr>
      <w:rFonts w:ascii="Consolas" w:hAnsi="Consolas" w:cs="Arial"/>
      <w:lang w:eastAsia="en-US"/>
    </w:rPr>
  </w:style>
  <w:style w:type="paragraph" w:styleId="MessageHeader">
    <w:name w:val="Message Header"/>
    <w:basedOn w:val="Normal"/>
    <w:link w:val="MessageHeaderChar"/>
    <w:uiPriority w:val="99"/>
    <w:unhideWhenUsed/>
    <w:rsid w:val="0065339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653392"/>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653392"/>
  </w:style>
  <w:style w:type="paragraph" w:styleId="NormalIndent">
    <w:name w:val="Normal Indent"/>
    <w:basedOn w:val="Normal"/>
    <w:uiPriority w:val="99"/>
    <w:semiHidden/>
    <w:unhideWhenUsed/>
    <w:rsid w:val="00653392"/>
    <w:pPr>
      <w:ind w:left="720"/>
    </w:pPr>
  </w:style>
  <w:style w:type="paragraph" w:styleId="NoteHeading">
    <w:name w:val="Note Heading"/>
    <w:basedOn w:val="Normal"/>
    <w:next w:val="Normal"/>
    <w:link w:val="NoteHeadingChar"/>
    <w:uiPriority w:val="99"/>
    <w:semiHidden/>
    <w:unhideWhenUsed/>
    <w:rsid w:val="00653392"/>
  </w:style>
  <w:style w:type="character" w:customStyle="1" w:styleId="NoteHeadingChar">
    <w:name w:val="Note Heading Char"/>
    <w:basedOn w:val="DefaultParagraphFont"/>
    <w:link w:val="NoteHeading"/>
    <w:uiPriority w:val="99"/>
    <w:semiHidden/>
    <w:rsid w:val="00653392"/>
    <w:rPr>
      <w:rFonts w:cs="Arial"/>
      <w:sz w:val="24"/>
      <w:lang w:eastAsia="en-US"/>
    </w:rPr>
  </w:style>
  <w:style w:type="character" w:styleId="PageNumber">
    <w:name w:val="page number"/>
    <w:basedOn w:val="DefaultParagraphFont"/>
    <w:uiPriority w:val="99"/>
    <w:semiHidden/>
    <w:unhideWhenUsed/>
    <w:rsid w:val="00653392"/>
  </w:style>
  <w:style w:type="paragraph" w:styleId="PlainText">
    <w:name w:val="Plain Text"/>
    <w:basedOn w:val="Normal"/>
    <w:link w:val="PlainTextChar"/>
    <w:uiPriority w:val="99"/>
    <w:semiHidden/>
    <w:unhideWhenUsed/>
    <w:rsid w:val="00653392"/>
    <w:rPr>
      <w:rFonts w:ascii="Consolas" w:hAnsi="Consolas"/>
      <w:sz w:val="21"/>
      <w:szCs w:val="21"/>
    </w:rPr>
  </w:style>
  <w:style w:type="character" w:customStyle="1" w:styleId="PlainTextChar">
    <w:name w:val="Plain Text Char"/>
    <w:basedOn w:val="DefaultParagraphFont"/>
    <w:link w:val="PlainText"/>
    <w:uiPriority w:val="99"/>
    <w:semiHidden/>
    <w:rsid w:val="00653392"/>
    <w:rPr>
      <w:rFonts w:ascii="Consolas" w:hAnsi="Consolas" w:cs="Arial"/>
      <w:sz w:val="21"/>
      <w:szCs w:val="21"/>
      <w:lang w:eastAsia="en-US"/>
    </w:rPr>
  </w:style>
  <w:style w:type="paragraph" w:styleId="Salutation">
    <w:name w:val="Salutation"/>
    <w:basedOn w:val="Normal"/>
    <w:next w:val="Normal"/>
    <w:link w:val="SalutationChar"/>
    <w:uiPriority w:val="99"/>
    <w:semiHidden/>
    <w:unhideWhenUsed/>
    <w:rsid w:val="00653392"/>
  </w:style>
  <w:style w:type="character" w:customStyle="1" w:styleId="SalutationChar">
    <w:name w:val="Salutation Char"/>
    <w:basedOn w:val="DefaultParagraphFont"/>
    <w:link w:val="Salutation"/>
    <w:uiPriority w:val="99"/>
    <w:semiHidden/>
    <w:rsid w:val="00653392"/>
    <w:rPr>
      <w:rFonts w:cs="Arial"/>
      <w:sz w:val="24"/>
      <w:lang w:eastAsia="en-US"/>
    </w:rPr>
  </w:style>
  <w:style w:type="paragraph" w:styleId="Signature">
    <w:name w:val="Signature"/>
    <w:basedOn w:val="Normal"/>
    <w:link w:val="SignatureChar"/>
    <w:uiPriority w:val="99"/>
    <w:semiHidden/>
    <w:unhideWhenUsed/>
    <w:rsid w:val="00653392"/>
    <w:pPr>
      <w:ind w:left="4320"/>
    </w:pPr>
  </w:style>
  <w:style w:type="character" w:customStyle="1" w:styleId="SignatureChar">
    <w:name w:val="Signature Char"/>
    <w:basedOn w:val="DefaultParagraphFont"/>
    <w:link w:val="Signature"/>
    <w:uiPriority w:val="99"/>
    <w:semiHidden/>
    <w:rsid w:val="00653392"/>
    <w:rPr>
      <w:rFonts w:cs="Arial"/>
      <w:sz w:val="24"/>
      <w:lang w:eastAsia="en-US"/>
    </w:rPr>
  </w:style>
  <w:style w:type="character" w:styleId="Strong">
    <w:name w:val="Strong"/>
    <w:basedOn w:val="DefaultParagraphFont"/>
    <w:uiPriority w:val="22"/>
    <w:qFormat/>
    <w:rsid w:val="00653392"/>
    <w:rPr>
      <w:b/>
      <w:bCs/>
    </w:rPr>
  </w:style>
  <w:style w:type="paragraph" w:styleId="Subtitle">
    <w:name w:val="Subtitle"/>
    <w:basedOn w:val="Normal"/>
    <w:next w:val="Normal"/>
    <w:link w:val="SubtitleChar"/>
    <w:uiPriority w:val="11"/>
    <w:qFormat/>
    <w:rsid w:val="0065339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53392"/>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653392"/>
    <w:pPr>
      <w:ind w:left="240" w:hanging="240"/>
    </w:pPr>
  </w:style>
  <w:style w:type="paragraph" w:styleId="Title">
    <w:name w:val="Title"/>
    <w:basedOn w:val="Normal"/>
    <w:next w:val="Normal"/>
    <w:link w:val="TitleChar"/>
    <w:uiPriority w:val="10"/>
    <w:qFormat/>
    <w:rsid w:val="006533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339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9D056A"/>
    <w:rPr>
      <w:rFonts w:cs="Arial"/>
      <w:b/>
      <w:bCs/>
      <w:caps/>
      <w:kern w:val="32"/>
      <w:sz w:val="28"/>
      <w:szCs w:val="32"/>
      <w:lang w:eastAsia="en-US"/>
    </w:rPr>
  </w:style>
  <w:style w:type="character" w:customStyle="1" w:styleId="Heading2Char">
    <w:name w:val="Heading 2 Char"/>
    <w:basedOn w:val="DefaultParagraphFont"/>
    <w:link w:val="Heading2"/>
    <w:rsid w:val="009D056A"/>
    <w:rPr>
      <w:rFonts w:cs="Arial"/>
      <w:b/>
      <w:bCs/>
      <w:sz w:val="28"/>
      <w:szCs w:val="28"/>
      <w:lang w:eastAsia="en-US"/>
    </w:rPr>
  </w:style>
  <w:style w:type="character" w:customStyle="1" w:styleId="Heading3Char">
    <w:name w:val="Heading 3 Char"/>
    <w:basedOn w:val="DefaultParagraphFont"/>
    <w:link w:val="Heading3"/>
    <w:rsid w:val="009D056A"/>
    <w:rPr>
      <w:rFonts w:cs="Arial"/>
      <w:b/>
      <w:sz w:val="24"/>
      <w:lang w:eastAsia="en-US"/>
    </w:rPr>
  </w:style>
  <w:style w:type="table" w:styleId="LightGrid">
    <w:name w:val="Light Grid"/>
    <w:basedOn w:val="TableNormal"/>
    <w:uiPriority w:val="62"/>
    <w:rsid w:val="009D056A"/>
    <w:rPr>
      <w:rFonts w:asciiTheme="minorHAnsi" w:eastAsiaTheme="minorHAnsi" w:hAnsiTheme="minorHAnsi" w:cstheme="minorBidi"/>
      <w:sz w:val="22"/>
      <w:szCs w:val="22"/>
      <w:lang w:val="en-AU"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9D056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
    <w:name w:val="C-Body Text Char"/>
    <w:link w:val="C-BodyText"/>
    <w:rsid w:val="009D056A"/>
    <w:rPr>
      <w:sz w:val="24"/>
      <w:lang w:eastAsia="en-US"/>
    </w:rPr>
  </w:style>
  <w:style w:type="character" w:customStyle="1" w:styleId="C-TableTextChar">
    <w:name w:val="C-Table Text Char"/>
    <w:basedOn w:val="DefaultParagraphFont"/>
    <w:link w:val="C-TableText"/>
    <w:locked/>
    <w:rsid w:val="00485C0D"/>
    <w:rPr>
      <w:sz w:val="22"/>
      <w:lang w:eastAsia="en-US"/>
    </w:rPr>
  </w:style>
  <w:style w:type="paragraph" w:customStyle="1" w:styleId="TabletextrowsAgency">
    <w:name w:val="Table text rows (Agency)"/>
    <w:basedOn w:val="Normal"/>
    <w:rsid w:val="00C85970"/>
    <w:pPr>
      <w:spacing w:line="280" w:lineRule="exact"/>
    </w:pPr>
    <w:rPr>
      <w:rFonts w:ascii="Verdana" w:hAnsi="Verdana" w:cs="Verdana"/>
      <w:sz w:val="18"/>
      <w:szCs w:val="18"/>
      <w:lang w:eastAsia="zh-CN"/>
    </w:rPr>
  </w:style>
  <w:style w:type="paragraph" w:styleId="ListParagraph">
    <w:name w:val="List Paragraph"/>
    <w:basedOn w:val="Normal"/>
    <w:uiPriority w:val="34"/>
    <w:qFormat/>
    <w:rsid w:val="005B0907"/>
    <w:pPr>
      <w:ind w:left="720"/>
      <w:contextualSpacing/>
    </w:pPr>
  </w:style>
  <w:style w:type="character" w:customStyle="1" w:styleId="underline">
    <w:name w:val="underline"/>
    <w:rsid w:val="00685C37"/>
  </w:style>
  <w:style w:type="paragraph" w:customStyle="1" w:styleId="TableheadingrowsAgency">
    <w:name w:val="Table heading rows (Agency)"/>
    <w:basedOn w:val="Normal"/>
    <w:rsid w:val="00796C6F"/>
    <w:pPr>
      <w:keepNext/>
      <w:spacing w:after="140" w:line="280" w:lineRule="atLeast"/>
    </w:pPr>
    <w:rPr>
      <w:rFonts w:ascii="Verdana" w:hAnsi="Verdana" w:cs="Verdana"/>
      <w:b/>
      <w:sz w:val="18"/>
      <w:szCs w:val="18"/>
      <w:lang w:eastAsia="en-GB"/>
    </w:rPr>
  </w:style>
  <w:style w:type="paragraph" w:styleId="BalloonText">
    <w:name w:val="Balloon Text"/>
    <w:basedOn w:val="Normal"/>
    <w:link w:val="BalloonTextChar"/>
    <w:rsid w:val="009E2210"/>
    <w:rPr>
      <w:rFonts w:ascii="Segoe UI" w:hAnsi="Segoe UI" w:cs="Segoe UI"/>
      <w:sz w:val="18"/>
      <w:szCs w:val="18"/>
    </w:rPr>
  </w:style>
  <w:style w:type="character" w:customStyle="1" w:styleId="BalloonTextChar">
    <w:name w:val="Balloon Text Char"/>
    <w:basedOn w:val="DefaultParagraphFont"/>
    <w:link w:val="BalloonText"/>
    <w:rsid w:val="009E2210"/>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13AB5"/>
    <w:rPr>
      <w:color w:val="808080"/>
      <w:shd w:val="clear" w:color="auto" w:fill="E6E6E6"/>
    </w:rPr>
  </w:style>
  <w:style w:type="paragraph" w:styleId="Revision">
    <w:name w:val="Revision"/>
    <w:hidden/>
    <w:uiPriority w:val="99"/>
    <w:semiHidden/>
    <w:rsid w:val="000537E2"/>
    <w:rPr>
      <w:rFonts w:cs="Arial"/>
      <w:sz w:val="24"/>
      <w:lang w:eastAsia="en-US"/>
    </w:rPr>
  </w:style>
  <w:style w:type="character" w:customStyle="1" w:styleId="CaptionChar">
    <w:name w:val="Caption Char"/>
    <w:aliases w:val="c Char, Char1 Char,Char1 Char"/>
    <w:link w:val="Caption"/>
    <w:rsid w:val="00F670E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4557">
      <w:bodyDiv w:val="1"/>
      <w:marLeft w:val="0"/>
      <w:marRight w:val="0"/>
      <w:marTop w:val="0"/>
      <w:marBottom w:val="0"/>
      <w:divBdr>
        <w:top w:val="none" w:sz="0" w:space="0" w:color="auto"/>
        <w:left w:val="none" w:sz="0" w:space="0" w:color="auto"/>
        <w:bottom w:val="none" w:sz="0" w:space="0" w:color="auto"/>
        <w:right w:val="none" w:sz="0" w:space="0" w:color="auto"/>
      </w:divBdr>
    </w:div>
    <w:div w:id="1475830022">
      <w:bodyDiv w:val="1"/>
      <w:marLeft w:val="0"/>
      <w:marRight w:val="0"/>
      <w:marTop w:val="0"/>
      <w:marBottom w:val="0"/>
      <w:divBdr>
        <w:top w:val="none" w:sz="0" w:space="0" w:color="auto"/>
        <w:left w:val="none" w:sz="0" w:space="0" w:color="auto"/>
        <w:bottom w:val="none" w:sz="0" w:space="0" w:color="auto"/>
        <w:right w:val="none" w:sz="0" w:space="0" w:color="auto"/>
      </w:divBdr>
    </w:div>
    <w:div w:id="1623153274">
      <w:bodyDiv w:val="1"/>
      <w:marLeft w:val="0"/>
      <w:marRight w:val="0"/>
      <w:marTop w:val="0"/>
      <w:marBottom w:val="0"/>
      <w:divBdr>
        <w:top w:val="none" w:sz="0" w:space="0" w:color="auto"/>
        <w:left w:val="none" w:sz="0" w:space="0" w:color="auto"/>
        <w:bottom w:val="none" w:sz="0" w:space="0" w:color="auto"/>
        <w:right w:val="none" w:sz="0" w:space="0" w:color="auto"/>
      </w:divBdr>
    </w:div>
    <w:div w:id="1879048508">
      <w:bodyDiv w:val="1"/>
      <w:marLeft w:val="0"/>
      <w:marRight w:val="0"/>
      <w:marTop w:val="0"/>
      <w:marBottom w:val="0"/>
      <w:divBdr>
        <w:top w:val="none" w:sz="0" w:space="0" w:color="auto"/>
        <w:left w:val="none" w:sz="0" w:space="0" w:color="auto"/>
        <w:bottom w:val="none" w:sz="0" w:space="0" w:color="auto"/>
        <w:right w:val="none" w:sz="0" w:space="0" w:color="auto"/>
      </w:divBdr>
      <w:divsChild>
        <w:div w:id="705715703">
          <w:marLeft w:val="0"/>
          <w:marRight w:val="0"/>
          <w:marTop w:val="0"/>
          <w:marBottom w:val="0"/>
          <w:divBdr>
            <w:top w:val="none" w:sz="0" w:space="0" w:color="auto"/>
            <w:left w:val="none" w:sz="0" w:space="0" w:color="auto"/>
            <w:bottom w:val="none" w:sz="0" w:space="0" w:color="auto"/>
            <w:right w:val="none" w:sz="0" w:space="0" w:color="auto"/>
          </w:divBdr>
          <w:divsChild>
            <w:div w:id="17950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8615">
      <w:bodyDiv w:val="1"/>
      <w:marLeft w:val="0"/>
      <w:marRight w:val="0"/>
      <w:marTop w:val="0"/>
      <w:marBottom w:val="0"/>
      <w:divBdr>
        <w:top w:val="none" w:sz="0" w:space="0" w:color="auto"/>
        <w:left w:val="none" w:sz="0" w:space="0" w:color="auto"/>
        <w:bottom w:val="none" w:sz="0" w:space="0" w:color="auto"/>
        <w:right w:val="none" w:sz="0" w:space="0" w:color="auto"/>
      </w:divBdr>
    </w:div>
    <w:div w:id="2145585176">
      <w:bodyDiv w:val="1"/>
      <w:marLeft w:val="0"/>
      <w:marRight w:val="0"/>
      <w:marTop w:val="0"/>
      <w:marBottom w:val="0"/>
      <w:divBdr>
        <w:top w:val="none" w:sz="0" w:space="0" w:color="auto"/>
        <w:left w:val="none" w:sz="0" w:space="0" w:color="auto"/>
        <w:bottom w:val="none" w:sz="0" w:space="0" w:color="auto"/>
        <w:right w:val="none" w:sz="0" w:space="0" w:color="auto"/>
      </w:divBdr>
      <w:divsChild>
        <w:div w:id="1570075409">
          <w:marLeft w:val="0"/>
          <w:marRight w:val="0"/>
          <w:marTop w:val="0"/>
          <w:marBottom w:val="0"/>
          <w:divBdr>
            <w:top w:val="none" w:sz="0" w:space="0" w:color="auto"/>
            <w:left w:val="none" w:sz="0" w:space="0" w:color="auto"/>
            <w:bottom w:val="none" w:sz="0" w:space="0" w:color="auto"/>
            <w:right w:val="none" w:sz="0" w:space="0" w:color="auto"/>
          </w:divBdr>
          <w:divsChild>
            <w:div w:id="8308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AC9C-0C62-4A06-B31B-C670F0FA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5111</Words>
  <Characters>28943</Characters>
  <Application>Microsoft Office Word</Application>
  <DocSecurity>0</DocSecurity>
  <Lines>904</Lines>
  <Paragraphs>619</Paragraphs>
  <ScaleCrop>false</ScaleCrop>
  <HeadingPairs>
    <vt:vector size="2" baseType="variant">
      <vt:variant>
        <vt:lpstr>Title</vt:lpstr>
      </vt:variant>
      <vt:variant>
        <vt:i4>1</vt:i4>
      </vt:variant>
    </vt:vector>
  </HeadingPairs>
  <TitlesOfParts>
    <vt:vector size="1" baseType="lpstr">
      <vt:lpstr>Attachment: Product Information for Enasidenib</vt:lpstr>
    </vt:vector>
  </TitlesOfParts>
  <Company>Celgene</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Enasidenib</dc:title>
  <dc:creator>celgene corporation</dc:creator>
  <cp:lastPrinted>2020-01-29T03:55:00Z</cp:lastPrinted>
  <dcterms:created xsi:type="dcterms:W3CDTF">2020-05-11T04:24:00Z</dcterms:created>
  <dcterms:modified xsi:type="dcterms:W3CDTF">2020-05-11T07:01:00Z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ble and figure numbering style">
    <vt:lpwstr>Document</vt:lpwstr>
  </property>
</Properties>
</file>