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tblGrid>
      <w:tr w:rsidR="008E7846" w:rsidRPr="00487162" w:rsidTr="00C70DFA">
        <w:trPr>
          <w:trHeight w:val="1863"/>
        </w:trPr>
        <w:tc>
          <w:tcPr>
            <w:tcW w:w="5211" w:type="dxa"/>
            <w:tcBorders>
              <w:top w:val="nil"/>
              <w:left w:val="nil"/>
              <w:bottom w:val="nil"/>
              <w:right w:val="nil"/>
            </w:tcBorders>
          </w:tcPr>
          <w:p w:rsidR="008E7846" w:rsidRPr="0017078F" w:rsidRDefault="00E70AB1" w:rsidP="0017078F">
            <w:pPr>
              <w:rPr>
                <w:rFonts w:ascii="Arial" w:hAnsi="Arial" w:cs="Arial"/>
                <w:b/>
                <w:color w:val="002C47"/>
                <w:sz w:val="36"/>
                <w:szCs w:val="36"/>
              </w:rPr>
            </w:pPr>
            <w:r>
              <w:rPr>
                <w:rFonts w:ascii="Arial" w:hAnsi="Arial" w:cs="Arial"/>
                <w:b/>
                <w:color w:val="002C47"/>
                <w:sz w:val="36"/>
                <w:szCs w:val="36"/>
              </w:rPr>
              <w:t xml:space="preserve">Date of CER: </w:t>
            </w:r>
            <w:r w:rsidR="001F3DD5">
              <w:rPr>
                <w:rFonts w:ascii="Arial" w:hAnsi="Arial" w:cs="Arial"/>
                <w:b/>
                <w:color w:val="002C47"/>
                <w:sz w:val="36"/>
                <w:szCs w:val="36"/>
              </w:rPr>
              <w:t>Octob</w:t>
            </w:r>
            <w:r w:rsidR="00C70DFA">
              <w:rPr>
                <w:rFonts w:ascii="Arial" w:hAnsi="Arial" w:cs="Arial"/>
                <w:b/>
                <w:color w:val="002C47"/>
                <w:sz w:val="36"/>
                <w:szCs w:val="36"/>
              </w:rPr>
              <w:t>er 2012</w:t>
            </w:r>
          </w:p>
        </w:tc>
      </w:tr>
    </w:tbl>
    <w:p w:rsidR="001C35E8" w:rsidRPr="001C35E8" w:rsidRDefault="001C35E8" w:rsidP="001C35E8">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proofErr w:type="spellStart"/>
            <w:r>
              <w:rPr>
                <w:color w:val="FFFFFF"/>
              </w:rPr>
              <w:t>AusPAR</w:t>
            </w:r>
            <w:proofErr w:type="spellEnd"/>
            <w:r>
              <w:rPr>
                <w:color w:val="FFFFFF"/>
              </w:rPr>
              <w:t xml:space="preserve"> Attachment 2</w:t>
            </w:r>
          </w:p>
        </w:tc>
      </w:tr>
      <w:tr w:rsidR="00E07F15" w:rsidRPr="00A964D1" w:rsidTr="00E07F15">
        <w:trPr>
          <w:trHeight w:val="868"/>
        </w:trPr>
        <w:tc>
          <w:tcPr>
            <w:tcW w:w="9079" w:type="dxa"/>
          </w:tcPr>
          <w:p w:rsidR="00E07F15" w:rsidRPr="00A964D1" w:rsidRDefault="00E07F15" w:rsidP="009F68EC">
            <w:pPr>
              <w:pStyle w:val="Title"/>
              <w:rPr>
                <w:color w:val="FFFFFF"/>
              </w:rPr>
            </w:pPr>
            <w:r>
              <w:rPr>
                <w:color w:val="FFFFFF"/>
              </w:rPr>
              <w:t>Extract from the Clinical Evaluation Report</w:t>
            </w:r>
            <w:r w:rsidR="00CD510A">
              <w:rPr>
                <w:color w:val="FFFFFF"/>
              </w:rPr>
              <w:t xml:space="preserve"> for </w:t>
            </w:r>
            <w:proofErr w:type="spellStart"/>
            <w:r w:rsidR="009F68EC">
              <w:rPr>
                <w:color w:val="FFFFFF"/>
              </w:rPr>
              <w:t>E</w:t>
            </w:r>
            <w:r w:rsidR="00CD510A" w:rsidRPr="00E653C9">
              <w:rPr>
                <w:color w:val="FFFFFF"/>
              </w:rPr>
              <w:t>mtricitabine</w:t>
            </w:r>
            <w:proofErr w:type="spellEnd"/>
          </w:p>
        </w:tc>
      </w:tr>
      <w:tr w:rsidR="00E07F15" w:rsidRPr="00B64760" w:rsidTr="00E07F15">
        <w:tc>
          <w:tcPr>
            <w:tcW w:w="9079" w:type="dxa"/>
          </w:tcPr>
          <w:p w:rsidR="00E07F15" w:rsidRPr="008E7846" w:rsidRDefault="006A36F4" w:rsidP="00E07F15">
            <w:pPr>
              <w:pStyle w:val="Subtitle"/>
              <w:rPr>
                <w:color w:val="FFFFFF"/>
              </w:rPr>
            </w:pPr>
            <w:r>
              <w:rPr>
                <w:color w:val="FFFFFF"/>
              </w:rPr>
              <w:t>Proprietary Product Na</w:t>
            </w:r>
            <w:r w:rsidR="00F70180">
              <w:rPr>
                <w:color w:val="FFFFFF"/>
              </w:rPr>
              <w:t xml:space="preserve">me: </w:t>
            </w:r>
            <w:proofErr w:type="spellStart"/>
            <w:r w:rsidR="00F70180">
              <w:rPr>
                <w:color w:val="FFFFFF"/>
              </w:rPr>
              <w:t>Emtriva</w:t>
            </w:r>
            <w:proofErr w:type="spellEnd"/>
          </w:p>
        </w:tc>
      </w:tr>
      <w:tr w:rsidR="00E07F15" w:rsidRPr="00B64760" w:rsidTr="00E07F15">
        <w:trPr>
          <w:trHeight w:val="486"/>
        </w:trPr>
        <w:tc>
          <w:tcPr>
            <w:tcW w:w="9079" w:type="dxa"/>
          </w:tcPr>
          <w:p w:rsidR="00E07F15" w:rsidRPr="008E7846" w:rsidRDefault="00E07F15" w:rsidP="00E07F15">
            <w:pPr>
              <w:pStyle w:val="Subtitle"/>
              <w:rPr>
                <w:color w:val="FFFFFF"/>
              </w:rPr>
            </w:pPr>
            <w:r w:rsidRPr="008E7846">
              <w:rPr>
                <w:color w:val="FFFFFF"/>
              </w:rPr>
              <w:t xml:space="preserve">Sponsor: </w:t>
            </w:r>
            <w:r w:rsidR="00CD510A" w:rsidRPr="00CD510A">
              <w:rPr>
                <w:color w:val="FFFFFF"/>
              </w:rPr>
              <w:t>Gilead Sciences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w:t>
      </w:r>
      <w:r w:rsidR="00A329E6">
        <w:t xml:space="preserve"> Government Department of Health</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w:t>
      </w:r>
      <w:r w:rsidR="00074B1E">
        <w:t xml:space="preserve">he words [Information redacted] indicate </w:t>
      </w:r>
      <w:r w:rsidRPr="003D0A3B">
        <w:t>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86DB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bookmarkStart w:id="2" w:name="_GoBack"/>
    <w:bookmarkEnd w:id="2"/>
    <w:p w:rsidR="00602B78" w:rsidRDefault="004924E0">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1987960" w:history="1">
        <w:r w:rsidR="00602B78" w:rsidRPr="001470C2">
          <w:rPr>
            <w:rStyle w:val="Hyperlink"/>
            <w:noProof/>
          </w:rPr>
          <w:t>List of abbreviations</w:t>
        </w:r>
        <w:r w:rsidR="00602B78">
          <w:rPr>
            <w:noProof/>
            <w:webHidden/>
          </w:rPr>
          <w:tab/>
        </w:r>
        <w:r w:rsidR="00602B78">
          <w:rPr>
            <w:noProof/>
            <w:webHidden/>
          </w:rPr>
          <w:fldChar w:fldCharType="begin"/>
        </w:r>
        <w:r w:rsidR="00602B78">
          <w:rPr>
            <w:noProof/>
            <w:webHidden/>
          </w:rPr>
          <w:instrText xml:space="preserve"> PAGEREF _Toc391987960 \h </w:instrText>
        </w:r>
        <w:r w:rsidR="00602B78">
          <w:rPr>
            <w:noProof/>
            <w:webHidden/>
          </w:rPr>
        </w:r>
        <w:r w:rsidR="00602B78">
          <w:rPr>
            <w:noProof/>
            <w:webHidden/>
          </w:rPr>
          <w:fldChar w:fldCharType="separate"/>
        </w:r>
        <w:r w:rsidR="00602B78">
          <w:rPr>
            <w:noProof/>
            <w:webHidden/>
          </w:rPr>
          <w:t>5</w:t>
        </w:r>
        <w:r w:rsidR="00602B78">
          <w:rPr>
            <w:noProof/>
            <w:webHidden/>
          </w:rPr>
          <w:fldChar w:fldCharType="end"/>
        </w:r>
      </w:hyperlink>
    </w:p>
    <w:p w:rsidR="00602B78" w:rsidRDefault="00602B78">
      <w:pPr>
        <w:pStyle w:val="TOC2"/>
        <w:tabs>
          <w:tab w:val="left" w:pos="1100"/>
        </w:tabs>
        <w:rPr>
          <w:rFonts w:asciiTheme="minorHAnsi" w:eastAsiaTheme="minorEastAsia" w:hAnsiTheme="minorHAnsi" w:cstheme="minorBidi"/>
          <w:b w:val="0"/>
          <w:noProof/>
          <w:sz w:val="22"/>
          <w:lang w:eastAsia="en-AU"/>
        </w:rPr>
      </w:pPr>
      <w:hyperlink w:anchor="_Toc391987961" w:history="1">
        <w:r w:rsidRPr="001470C2">
          <w:rPr>
            <w:rStyle w:val="Hyperlink"/>
            <w:noProof/>
            <w:lang w:eastAsia="en-AU"/>
          </w:rPr>
          <w:t>1.</w:t>
        </w:r>
        <w:r>
          <w:rPr>
            <w:rFonts w:asciiTheme="minorHAnsi" w:eastAsiaTheme="minorEastAsia" w:hAnsiTheme="minorHAnsi" w:cstheme="minorBidi"/>
            <w:b w:val="0"/>
            <w:noProof/>
            <w:sz w:val="22"/>
            <w:lang w:eastAsia="en-AU"/>
          </w:rPr>
          <w:tab/>
        </w:r>
        <w:r w:rsidRPr="001470C2">
          <w:rPr>
            <w:rStyle w:val="Hyperlink"/>
            <w:noProof/>
            <w:lang w:eastAsia="en-AU"/>
          </w:rPr>
          <w:t>Clinical rationale</w:t>
        </w:r>
        <w:r>
          <w:rPr>
            <w:noProof/>
            <w:webHidden/>
          </w:rPr>
          <w:tab/>
        </w:r>
        <w:r>
          <w:rPr>
            <w:noProof/>
            <w:webHidden/>
          </w:rPr>
          <w:fldChar w:fldCharType="begin"/>
        </w:r>
        <w:r>
          <w:rPr>
            <w:noProof/>
            <w:webHidden/>
          </w:rPr>
          <w:instrText xml:space="preserve"> PAGEREF _Toc391987961 \h </w:instrText>
        </w:r>
        <w:r>
          <w:rPr>
            <w:noProof/>
            <w:webHidden/>
          </w:rPr>
        </w:r>
        <w:r>
          <w:rPr>
            <w:noProof/>
            <w:webHidden/>
          </w:rPr>
          <w:fldChar w:fldCharType="separate"/>
        </w:r>
        <w:r>
          <w:rPr>
            <w:noProof/>
            <w:webHidden/>
          </w:rPr>
          <w:t>6</w:t>
        </w:r>
        <w:r>
          <w:rPr>
            <w:noProof/>
            <w:webHidden/>
          </w:rPr>
          <w:fldChar w:fldCharType="end"/>
        </w:r>
      </w:hyperlink>
    </w:p>
    <w:p w:rsidR="00602B78" w:rsidRDefault="00602B78">
      <w:pPr>
        <w:pStyle w:val="TOC2"/>
        <w:tabs>
          <w:tab w:val="left" w:pos="1100"/>
        </w:tabs>
        <w:rPr>
          <w:rFonts w:asciiTheme="minorHAnsi" w:eastAsiaTheme="minorEastAsia" w:hAnsiTheme="minorHAnsi" w:cstheme="minorBidi"/>
          <w:b w:val="0"/>
          <w:noProof/>
          <w:sz w:val="22"/>
          <w:lang w:eastAsia="en-AU"/>
        </w:rPr>
      </w:pPr>
      <w:hyperlink w:anchor="_Toc391987962" w:history="1">
        <w:r w:rsidRPr="001470C2">
          <w:rPr>
            <w:rStyle w:val="Hyperlink"/>
            <w:noProof/>
            <w:lang w:eastAsia="en-AU"/>
          </w:rPr>
          <w:t>2.</w:t>
        </w:r>
        <w:r>
          <w:rPr>
            <w:rFonts w:asciiTheme="minorHAnsi" w:eastAsiaTheme="minorEastAsia" w:hAnsiTheme="minorHAnsi" w:cstheme="minorBidi"/>
            <w:b w:val="0"/>
            <w:noProof/>
            <w:sz w:val="22"/>
            <w:lang w:eastAsia="en-AU"/>
          </w:rPr>
          <w:tab/>
        </w:r>
        <w:r w:rsidRPr="001470C2">
          <w:rPr>
            <w:rStyle w:val="Hyperlink"/>
            <w:noProof/>
            <w:lang w:eastAsia="en-AU"/>
          </w:rPr>
          <w:t xml:space="preserve">Contents of </w:t>
        </w:r>
        <w:r w:rsidRPr="001470C2">
          <w:rPr>
            <w:rStyle w:val="Hyperlink"/>
            <w:noProof/>
          </w:rPr>
          <w:t>the</w:t>
        </w:r>
        <w:r w:rsidRPr="001470C2">
          <w:rPr>
            <w:rStyle w:val="Hyperlink"/>
            <w:noProof/>
            <w:lang w:eastAsia="en-AU"/>
          </w:rPr>
          <w:t xml:space="preserve"> clinical dossier</w:t>
        </w:r>
        <w:r>
          <w:rPr>
            <w:noProof/>
            <w:webHidden/>
          </w:rPr>
          <w:tab/>
        </w:r>
        <w:r>
          <w:rPr>
            <w:noProof/>
            <w:webHidden/>
          </w:rPr>
          <w:fldChar w:fldCharType="begin"/>
        </w:r>
        <w:r>
          <w:rPr>
            <w:noProof/>
            <w:webHidden/>
          </w:rPr>
          <w:instrText xml:space="preserve"> PAGEREF _Toc391987962 \h </w:instrText>
        </w:r>
        <w:r>
          <w:rPr>
            <w:noProof/>
            <w:webHidden/>
          </w:rPr>
        </w:r>
        <w:r>
          <w:rPr>
            <w:noProof/>
            <w:webHidden/>
          </w:rPr>
          <w:fldChar w:fldCharType="separate"/>
        </w:r>
        <w:r>
          <w:rPr>
            <w:noProof/>
            <w:webHidden/>
          </w:rPr>
          <w:t>7</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63" w:history="1">
        <w:r w:rsidRPr="001470C2">
          <w:rPr>
            <w:rStyle w:val="Hyperlink"/>
            <w:noProof/>
          </w:rPr>
          <w:t>2.1.</w:t>
        </w:r>
        <w:r>
          <w:rPr>
            <w:rFonts w:asciiTheme="minorHAnsi" w:eastAsiaTheme="minorEastAsia" w:hAnsiTheme="minorHAnsi" w:cstheme="minorBidi"/>
            <w:noProof/>
            <w:lang w:eastAsia="en-AU"/>
          </w:rPr>
          <w:tab/>
        </w:r>
        <w:r w:rsidRPr="001470C2">
          <w:rPr>
            <w:rStyle w:val="Hyperlink"/>
            <w:noProof/>
          </w:rPr>
          <w:t>Scope of the clinical dossier</w:t>
        </w:r>
        <w:r>
          <w:rPr>
            <w:noProof/>
            <w:webHidden/>
          </w:rPr>
          <w:tab/>
        </w:r>
        <w:r>
          <w:rPr>
            <w:noProof/>
            <w:webHidden/>
          </w:rPr>
          <w:fldChar w:fldCharType="begin"/>
        </w:r>
        <w:r>
          <w:rPr>
            <w:noProof/>
            <w:webHidden/>
          </w:rPr>
          <w:instrText xml:space="preserve"> PAGEREF _Toc391987963 \h </w:instrText>
        </w:r>
        <w:r>
          <w:rPr>
            <w:noProof/>
            <w:webHidden/>
          </w:rPr>
        </w:r>
        <w:r>
          <w:rPr>
            <w:noProof/>
            <w:webHidden/>
          </w:rPr>
          <w:fldChar w:fldCharType="separate"/>
        </w:r>
        <w:r>
          <w:rPr>
            <w:noProof/>
            <w:webHidden/>
          </w:rPr>
          <w:t>7</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64" w:history="1">
        <w:r w:rsidRPr="001470C2">
          <w:rPr>
            <w:rStyle w:val="Hyperlink"/>
            <w:noProof/>
          </w:rPr>
          <w:t>2.2.</w:t>
        </w:r>
        <w:r>
          <w:rPr>
            <w:rFonts w:asciiTheme="minorHAnsi" w:eastAsiaTheme="minorEastAsia" w:hAnsiTheme="minorHAnsi" w:cstheme="minorBidi"/>
            <w:noProof/>
            <w:lang w:eastAsia="en-AU"/>
          </w:rPr>
          <w:tab/>
        </w:r>
        <w:r w:rsidRPr="001470C2">
          <w:rPr>
            <w:rStyle w:val="Hyperlink"/>
            <w:noProof/>
          </w:rPr>
          <w:t>Paediatric data</w:t>
        </w:r>
        <w:r>
          <w:rPr>
            <w:noProof/>
            <w:webHidden/>
          </w:rPr>
          <w:tab/>
        </w:r>
        <w:r>
          <w:rPr>
            <w:noProof/>
            <w:webHidden/>
          </w:rPr>
          <w:fldChar w:fldCharType="begin"/>
        </w:r>
        <w:r>
          <w:rPr>
            <w:noProof/>
            <w:webHidden/>
          </w:rPr>
          <w:instrText xml:space="preserve"> PAGEREF _Toc391987964 \h </w:instrText>
        </w:r>
        <w:r>
          <w:rPr>
            <w:noProof/>
            <w:webHidden/>
          </w:rPr>
        </w:r>
        <w:r>
          <w:rPr>
            <w:noProof/>
            <w:webHidden/>
          </w:rPr>
          <w:fldChar w:fldCharType="separate"/>
        </w:r>
        <w:r>
          <w:rPr>
            <w:noProof/>
            <w:webHidden/>
          </w:rPr>
          <w:t>7</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65" w:history="1">
        <w:r w:rsidRPr="001470C2">
          <w:rPr>
            <w:rStyle w:val="Hyperlink"/>
            <w:noProof/>
          </w:rPr>
          <w:t>2.3.</w:t>
        </w:r>
        <w:r>
          <w:rPr>
            <w:rFonts w:asciiTheme="minorHAnsi" w:eastAsiaTheme="minorEastAsia" w:hAnsiTheme="minorHAnsi" w:cstheme="minorBidi"/>
            <w:noProof/>
            <w:lang w:eastAsia="en-AU"/>
          </w:rPr>
          <w:tab/>
        </w:r>
        <w:r w:rsidRPr="001470C2">
          <w:rPr>
            <w:rStyle w:val="Hyperlink"/>
            <w:noProof/>
          </w:rPr>
          <w:t>Good clinical practice</w:t>
        </w:r>
        <w:r>
          <w:rPr>
            <w:noProof/>
            <w:webHidden/>
          </w:rPr>
          <w:tab/>
        </w:r>
        <w:r>
          <w:rPr>
            <w:noProof/>
            <w:webHidden/>
          </w:rPr>
          <w:fldChar w:fldCharType="begin"/>
        </w:r>
        <w:r>
          <w:rPr>
            <w:noProof/>
            <w:webHidden/>
          </w:rPr>
          <w:instrText xml:space="preserve"> PAGEREF _Toc391987965 \h </w:instrText>
        </w:r>
        <w:r>
          <w:rPr>
            <w:noProof/>
            <w:webHidden/>
          </w:rPr>
        </w:r>
        <w:r>
          <w:rPr>
            <w:noProof/>
            <w:webHidden/>
          </w:rPr>
          <w:fldChar w:fldCharType="separate"/>
        </w:r>
        <w:r>
          <w:rPr>
            <w:noProof/>
            <w:webHidden/>
          </w:rPr>
          <w:t>7</w:t>
        </w:r>
        <w:r>
          <w:rPr>
            <w:noProof/>
            <w:webHidden/>
          </w:rPr>
          <w:fldChar w:fldCharType="end"/>
        </w:r>
      </w:hyperlink>
    </w:p>
    <w:p w:rsidR="00602B78" w:rsidRDefault="00602B78">
      <w:pPr>
        <w:pStyle w:val="TOC2"/>
        <w:tabs>
          <w:tab w:val="left" w:pos="1100"/>
        </w:tabs>
        <w:rPr>
          <w:rFonts w:asciiTheme="minorHAnsi" w:eastAsiaTheme="minorEastAsia" w:hAnsiTheme="minorHAnsi" w:cstheme="minorBidi"/>
          <w:b w:val="0"/>
          <w:noProof/>
          <w:sz w:val="22"/>
          <w:lang w:eastAsia="en-AU"/>
        </w:rPr>
      </w:pPr>
      <w:hyperlink w:anchor="_Toc391987966" w:history="1">
        <w:r w:rsidRPr="001470C2">
          <w:rPr>
            <w:rStyle w:val="Hyperlink"/>
            <w:noProof/>
          </w:rPr>
          <w:t>3.</w:t>
        </w:r>
        <w:r>
          <w:rPr>
            <w:rFonts w:asciiTheme="minorHAnsi" w:eastAsiaTheme="minorEastAsia" w:hAnsiTheme="minorHAnsi" w:cstheme="minorBidi"/>
            <w:b w:val="0"/>
            <w:noProof/>
            <w:sz w:val="22"/>
            <w:lang w:eastAsia="en-AU"/>
          </w:rPr>
          <w:tab/>
        </w:r>
        <w:r w:rsidRPr="001470C2">
          <w:rPr>
            <w:rStyle w:val="Hyperlink"/>
            <w:noProof/>
          </w:rPr>
          <w:t>Pharmacokinetics</w:t>
        </w:r>
        <w:r>
          <w:rPr>
            <w:noProof/>
            <w:webHidden/>
          </w:rPr>
          <w:tab/>
        </w:r>
        <w:r>
          <w:rPr>
            <w:noProof/>
            <w:webHidden/>
          </w:rPr>
          <w:fldChar w:fldCharType="begin"/>
        </w:r>
        <w:r>
          <w:rPr>
            <w:noProof/>
            <w:webHidden/>
          </w:rPr>
          <w:instrText xml:space="preserve"> PAGEREF _Toc391987966 \h </w:instrText>
        </w:r>
        <w:r>
          <w:rPr>
            <w:noProof/>
            <w:webHidden/>
          </w:rPr>
        </w:r>
        <w:r>
          <w:rPr>
            <w:noProof/>
            <w:webHidden/>
          </w:rPr>
          <w:fldChar w:fldCharType="separate"/>
        </w:r>
        <w:r>
          <w:rPr>
            <w:noProof/>
            <w:webHidden/>
          </w:rPr>
          <w:t>7</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67" w:history="1">
        <w:r w:rsidRPr="001470C2">
          <w:rPr>
            <w:rStyle w:val="Hyperlink"/>
            <w:noProof/>
          </w:rPr>
          <w:t>3.1.</w:t>
        </w:r>
        <w:r>
          <w:rPr>
            <w:rFonts w:asciiTheme="minorHAnsi" w:eastAsiaTheme="minorEastAsia" w:hAnsiTheme="minorHAnsi" w:cstheme="minorBidi"/>
            <w:noProof/>
            <w:lang w:eastAsia="en-AU"/>
          </w:rPr>
          <w:tab/>
        </w:r>
        <w:r w:rsidRPr="001470C2">
          <w:rPr>
            <w:rStyle w:val="Hyperlink"/>
            <w:noProof/>
          </w:rPr>
          <w:t>Studies providing pharmacokinetic data</w:t>
        </w:r>
        <w:r>
          <w:rPr>
            <w:noProof/>
            <w:webHidden/>
          </w:rPr>
          <w:tab/>
        </w:r>
        <w:r>
          <w:rPr>
            <w:noProof/>
            <w:webHidden/>
          </w:rPr>
          <w:fldChar w:fldCharType="begin"/>
        </w:r>
        <w:r>
          <w:rPr>
            <w:noProof/>
            <w:webHidden/>
          </w:rPr>
          <w:instrText xml:space="preserve"> PAGEREF _Toc391987967 \h </w:instrText>
        </w:r>
        <w:r>
          <w:rPr>
            <w:noProof/>
            <w:webHidden/>
          </w:rPr>
        </w:r>
        <w:r>
          <w:rPr>
            <w:noProof/>
            <w:webHidden/>
          </w:rPr>
          <w:fldChar w:fldCharType="separate"/>
        </w:r>
        <w:r>
          <w:rPr>
            <w:noProof/>
            <w:webHidden/>
          </w:rPr>
          <w:t>7</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68" w:history="1">
        <w:r w:rsidRPr="001470C2">
          <w:rPr>
            <w:rStyle w:val="Hyperlink"/>
            <w:noProof/>
          </w:rPr>
          <w:t>3.2.</w:t>
        </w:r>
        <w:r>
          <w:rPr>
            <w:rFonts w:asciiTheme="minorHAnsi" w:eastAsiaTheme="minorEastAsia" w:hAnsiTheme="minorHAnsi" w:cstheme="minorBidi"/>
            <w:noProof/>
            <w:lang w:eastAsia="en-AU"/>
          </w:rPr>
          <w:tab/>
        </w:r>
        <w:r w:rsidRPr="001470C2">
          <w:rPr>
            <w:rStyle w:val="Hyperlink"/>
            <w:noProof/>
          </w:rPr>
          <w:t>Summary of pharmacokinetics</w:t>
        </w:r>
        <w:r>
          <w:rPr>
            <w:noProof/>
            <w:webHidden/>
          </w:rPr>
          <w:tab/>
        </w:r>
        <w:r>
          <w:rPr>
            <w:noProof/>
            <w:webHidden/>
          </w:rPr>
          <w:fldChar w:fldCharType="begin"/>
        </w:r>
        <w:r>
          <w:rPr>
            <w:noProof/>
            <w:webHidden/>
          </w:rPr>
          <w:instrText xml:space="preserve"> PAGEREF _Toc391987968 \h </w:instrText>
        </w:r>
        <w:r>
          <w:rPr>
            <w:noProof/>
            <w:webHidden/>
          </w:rPr>
        </w:r>
        <w:r>
          <w:rPr>
            <w:noProof/>
            <w:webHidden/>
          </w:rPr>
          <w:fldChar w:fldCharType="separate"/>
        </w:r>
        <w:r>
          <w:rPr>
            <w:noProof/>
            <w:webHidden/>
          </w:rPr>
          <w:t>7</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69" w:history="1">
        <w:r w:rsidRPr="001470C2">
          <w:rPr>
            <w:rStyle w:val="Hyperlink"/>
            <w:noProof/>
          </w:rPr>
          <w:t>3.3.</w:t>
        </w:r>
        <w:r>
          <w:rPr>
            <w:rFonts w:asciiTheme="minorHAnsi" w:eastAsiaTheme="minorEastAsia" w:hAnsiTheme="minorHAnsi" w:cstheme="minorBidi"/>
            <w:noProof/>
            <w:lang w:eastAsia="en-AU"/>
          </w:rPr>
          <w:tab/>
        </w:r>
        <w:r w:rsidRPr="001470C2">
          <w:rPr>
            <w:rStyle w:val="Hyperlink"/>
            <w:noProof/>
          </w:rPr>
          <w:t>Evaluator’s overall conclusions on pharmacokinetics</w:t>
        </w:r>
        <w:r>
          <w:rPr>
            <w:noProof/>
            <w:webHidden/>
          </w:rPr>
          <w:tab/>
        </w:r>
        <w:r>
          <w:rPr>
            <w:noProof/>
            <w:webHidden/>
          </w:rPr>
          <w:fldChar w:fldCharType="begin"/>
        </w:r>
        <w:r>
          <w:rPr>
            <w:noProof/>
            <w:webHidden/>
          </w:rPr>
          <w:instrText xml:space="preserve"> PAGEREF _Toc391987969 \h </w:instrText>
        </w:r>
        <w:r>
          <w:rPr>
            <w:noProof/>
            <w:webHidden/>
          </w:rPr>
        </w:r>
        <w:r>
          <w:rPr>
            <w:noProof/>
            <w:webHidden/>
          </w:rPr>
          <w:fldChar w:fldCharType="separate"/>
        </w:r>
        <w:r>
          <w:rPr>
            <w:noProof/>
            <w:webHidden/>
          </w:rPr>
          <w:t>11</w:t>
        </w:r>
        <w:r>
          <w:rPr>
            <w:noProof/>
            <w:webHidden/>
          </w:rPr>
          <w:fldChar w:fldCharType="end"/>
        </w:r>
      </w:hyperlink>
    </w:p>
    <w:p w:rsidR="00602B78" w:rsidRDefault="00602B78">
      <w:pPr>
        <w:pStyle w:val="TOC2"/>
        <w:tabs>
          <w:tab w:val="left" w:pos="1100"/>
        </w:tabs>
        <w:rPr>
          <w:rFonts w:asciiTheme="minorHAnsi" w:eastAsiaTheme="minorEastAsia" w:hAnsiTheme="minorHAnsi" w:cstheme="minorBidi"/>
          <w:b w:val="0"/>
          <w:noProof/>
          <w:sz w:val="22"/>
          <w:lang w:eastAsia="en-AU"/>
        </w:rPr>
      </w:pPr>
      <w:hyperlink w:anchor="_Toc391987970" w:history="1">
        <w:r w:rsidRPr="001470C2">
          <w:rPr>
            <w:rStyle w:val="Hyperlink"/>
            <w:noProof/>
          </w:rPr>
          <w:t>4.</w:t>
        </w:r>
        <w:r>
          <w:rPr>
            <w:rFonts w:asciiTheme="minorHAnsi" w:eastAsiaTheme="minorEastAsia" w:hAnsiTheme="minorHAnsi" w:cstheme="minorBidi"/>
            <w:b w:val="0"/>
            <w:noProof/>
            <w:sz w:val="22"/>
            <w:lang w:eastAsia="en-AU"/>
          </w:rPr>
          <w:tab/>
        </w:r>
        <w:r w:rsidRPr="001470C2">
          <w:rPr>
            <w:rStyle w:val="Hyperlink"/>
            <w:noProof/>
          </w:rPr>
          <w:t>Pharmacodynamics</w:t>
        </w:r>
        <w:r>
          <w:rPr>
            <w:noProof/>
            <w:webHidden/>
          </w:rPr>
          <w:tab/>
        </w:r>
        <w:r>
          <w:rPr>
            <w:noProof/>
            <w:webHidden/>
          </w:rPr>
          <w:fldChar w:fldCharType="begin"/>
        </w:r>
        <w:r>
          <w:rPr>
            <w:noProof/>
            <w:webHidden/>
          </w:rPr>
          <w:instrText xml:space="preserve"> PAGEREF _Toc391987970 \h </w:instrText>
        </w:r>
        <w:r>
          <w:rPr>
            <w:noProof/>
            <w:webHidden/>
          </w:rPr>
        </w:r>
        <w:r>
          <w:rPr>
            <w:noProof/>
            <w:webHidden/>
          </w:rPr>
          <w:fldChar w:fldCharType="separate"/>
        </w:r>
        <w:r>
          <w:rPr>
            <w:noProof/>
            <w:webHidden/>
          </w:rPr>
          <w:t>11</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71" w:history="1">
        <w:r w:rsidRPr="001470C2">
          <w:rPr>
            <w:rStyle w:val="Hyperlink"/>
            <w:noProof/>
          </w:rPr>
          <w:t>4.1.</w:t>
        </w:r>
        <w:r>
          <w:rPr>
            <w:rFonts w:asciiTheme="minorHAnsi" w:eastAsiaTheme="minorEastAsia" w:hAnsiTheme="minorHAnsi" w:cstheme="minorBidi"/>
            <w:noProof/>
            <w:lang w:eastAsia="en-AU"/>
          </w:rPr>
          <w:tab/>
        </w:r>
        <w:r w:rsidRPr="001470C2">
          <w:rPr>
            <w:rStyle w:val="Hyperlink"/>
            <w:noProof/>
          </w:rPr>
          <w:t>Studies providing pharmacodynamic data</w:t>
        </w:r>
        <w:r>
          <w:rPr>
            <w:noProof/>
            <w:webHidden/>
          </w:rPr>
          <w:tab/>
        </w:r>
        <w:r>
          <w:rPr>
            <w:noProof/>
            <w:webHidden/>
          </w:rPr>
          <w:fldChar w:fldCharType="begin"/>
        </w:r>
        <w:r>
          <w:rPr>
            <w:noProof/>
            <w:webHidden/>
          </w:rPr>
          <w:instrText xml:space="preserve"> PAGEREF _Toc391987971 \h </w:instrText>
        </w:r>
        <w:r>
          <w:rPr>
            <w:noProof/>
            <w:webHidden/>
          </w:rPr>
        </w:r>
        <w:r>
          <w:rPr>
            <w:noProof/>
            <w:webHidden/>
          </w:rPr>
          <w:fldChar w:fldCharType="separate"/>
        </w:r>
        <w:r>
          <w:rPr>
            <w:noProof/>
            <w:webHidden/>
          </w:rPr>
          <w:t>11</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72" w:history="1">
        <w:r w:rsidRPr="001470C2">
          <w:rPr>
            <w:rStyle w:val="Hyperlink"/>
            <w:noProof/>
          </w:rPr>
          <w:t>4.2.</w:t>
        </w:r>
        <w:r>
          <w:rPr>
            <w:rFonts w:asciiTheme="minorHAnsi" w:eastAsiaTheme="minorEastAsia" w:hAnsiTheme="minorHAnsi" w:cstheme="minorBidi"/>
            <w:noProof/>
            <w:lang w:eastAsia="en-AU"/>
          </w:rPr>
          <w:tab/>
        </w:r>
        <w:r w:rsidRPr="001470C2">
          <w:rPr>
            <w:rStyle w:val="Hyperlink"/>
            <w:noProof/>
          </w:rPr>
          <w:t>Evaluator’s overall conclusions on pharmacodynamics</w:t>
        </w:r>
        <w:r>
          <w:rPr>
            <w:noProof/>
            <w:webHidden/>
          </w:rPr>
          <w:tab/>
        </w:r>
        <w:r>
          <w:rPr>
            <w:noProof/>
            <w:webHidden/>
          </w:rPr>
          <w:fldChar w:fldCharType="begin"/>
        </w:r>
        <w:r>
          <w:rPr>
            <w:noProof/>
            <w:webHidden/>
          </w:rPr>
          <w:instrText xml:space="preserve"> PAGEREF _Toc391987972 \h </w:instrText>
        </w:r>
        <w:r>
          <w:rPr>
            <w:noProof/>
            <w:webHidden/>
          </w:rPr>
        </w:r>
        <w:r>
          <w:rPr>
            <w:noProof/>
            <w:webHidden/>
          </w:rPr>
          <w:fldChar w:fldCharType="separate"/>
        </w:r>
        <w:r>
          <w:rPr>
            <w:noProof/>
            <w:webHidden/>
          </w:rPr>
          <w:t>11</w:t>
        </w:r>
        <w:r>
          <w:rPr>
            <w:noProof/>
            <w:webHidden/>
          </w:rPr>
          <w:fldChar w:fldCharType="end"/>
        </w:r>
      </w:hyperlink>
    </w:p>
    <w:p w:rsidR="00602B78" w:rsidRDefault="00602B78">
      <w:pPr>
        <w:pStyle w:val="TOC2"/>
        <w:tabs>
          <w:tab w:val="left" w:pos="1100"/>
        </w:tabs>
        <w:rPr>
          <w:rFonts w:asciiTheme="minorHAnsi" w:eastAsiaTheme="minorEastAsia" w:hAnsiTheme="minorHAnsi" w:cstheme="minorBidi"/>
          <w:b w:val="0"/>
          <w:noProof/>
          <w:sz w:val="22"/>
          <w:lang w:eastAsia="en-AU"/>
        </w:rPr>
      </w:pPr>
      <w:hyperlink w:anchor="_Toc391987973" w:history="1">
        <w:r w:rsidRPr="001470C2">
          <w:rPr>
            <w:rStyle w:val="Hyperlink"/>
            <w:noProof/>
          </w:rPr>
          <w:t>5.</w:t>
        </w:r>
        <w:r>
          <w:rPr>
            <w:rFonts w:asciiTheme="minorHAnsi" w:eastAsiaTheme="minorEastAsia" w:hAnsiTheme="minorHAnsi" w:cstheme="minorBidi"/>
            <w:b w:val="0"/>
            <w:noProof/>
            <w:sz w:val="22"/>
            <w:lang w:eastAsia="en-AU"/>
          </w:rPr>
          <w:tab/>
        </w:r>
        <w:r w:rsidRPr="001470C2">
          <w:rPr>
            <w:rStyle w:val="Hyperlink"/>
            <w:noProof/>
          </w:rPr>
          <w:t>Dosage selection for the pivotal studies</w:t>
        </w:r>
        <w:r>
          <w:rPr>
            <w:noProof/>
            <w:webHidden/>
          </w:rPr>
          <w:tab/>
        </w:r>
        <w:r>
          <w:rPr>
            <w:noProof/>
            <w:webHidden/>
          </w:rPr>
          <w:fldChar w:fldCharType="begin"/>
        </w:r>
        <w:r>
          <w:rPr>
            <w:noProof/>
            <w:webHidden/>
          </w:rPr>
          <w:instrText xml:space="preserve"> PAGEREF _Toc391987973 \h </w:instrText>
        </w:r>
        <w:r>
          <w:rPr>
            <w:noProof/>
            <w:webHidden/>
          </w:rPr>
        </w:r>
        <w:r>
          <w:rPr>
            <w:noProof/>
            <w:webHidden/>
          </w:rPr>
          <w:fldChar w:fldCharType="separate"/>
        </w:r>
        <w:r>
          <w:rPr>
            <w:noProof/>
            <w:webHidden/>
          </w:rPr>
          <w:t>11</w:t>
        </w:r>
        <w:r>
          <w:rPr>
            <w:noProof/>
            <w:webHidden/>
          </w:rPr>
          <w:fldChar w:fldCharType="end"/>
        </w:r>
      </w:hyperlink>
    </w:p>
    <w:p w:rsidR="00602B78" w:rsidRDefault="00602B78">
      <w:pPr>
        <w:pStyle w:val="TOC2"/>
        <w:tabs>
          <w:tab w:val="left" w:pos="1100"/>
        </w:tabs>
        <w:rPr>
          <w:rFonts w:asciiTheme="minorHAnsi" w:eastAsiaTheme="minorEastAsia" w:hAnsiTheme="minorHAnsi" w:cstheme="minorBidi"/>
          <w:b w:val="0"/>
          <w:noProof/>
          <w:sz w:val="22"/>
          <w:lang w:eastAsia="en-AU"/>
        </w:rPr>
      </w:pPr>
      <w:hyperlink w:anchor="_Toc391987974" w:history="1">
        <w:r w:rsidRPr="001470C2">
          <w:rPr>
            <w:rStyle w:val="Hyperlink"/>
            <w:noProof/>
          </w:rPr>
          <w:t>6.</w:t>
        </w:r>
        <w:r>
          <w:rPr>
            <w:rFonts w:asciiTheme="minorHAnsi" w:eastAsiaTheme="minorEastAsia" w:hAnsiTheme="minorHAnsi" w:cstheme="minorBidi"/>
            <w:b w:val="0"/>
            <w:noProof/>
            <w:sz w:val="22"/>
            <w:lang w:eastAsia="en-AU"/>
          </w:rPr>
          <w:tab/>
        </w:r>
        <w:r w:rsidRPr="001470C2">
          <w:rPr>
            <w:rStyle w:val="Hyperlink"/>
            <w:noProof/>
          </w:rPr>
          <w:t>Clinical efficacy</w:t>
        </w:r>
        <w:r>
          <w:rPr>
            <w:noProof/>
            <w:webHidden/>
          </w:rPr>
          <w:tab/>
        </w:r>
        <w:r>
          <w:rPr>
            <w:noProof/>
            <w:webHidden/>
          </w:rPr>
          <w:fldChar w:fldCharType="begin"/>
        </w:r>
        <w:r>
          <w:rPr>
            <w:noProof/>
            <w:webHidden/>
          </w:rPr>
          <w:instrText xml:space="preserve"> PAGEREF _Toc391987974 \h </w:instrText>
        </w:r>
        <w:r>
          <w:rPr>
            <w:noProof/>
            <w:webHidden/>
          </w:rPr>
        </w:r>
        <w:r>
          <w:rPr>
            <w:noProof/>
            <w:webHidden/>
          </w:rPr>
          <w:fldChar w:fldCharType="separate"/>
        </w:r>
        <w:r>
          <w:rPr>
            <w:noProof/>
            <w:webHidden/>
          </w:rPr>
          <w:t>12</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75" w:history="1">
        <w:r w:rsidRPr="001470C2">
          <w:rPr>
            <w:rStyle w:val="Hyperlink"/>
            <w:noProof/>
          </w:rPr>
          <w:t>6.1.</w:t>
        </w:r>
        <w:r>
          <w:rPr>
            <w:rFonts w:asciiTheme="minorHAnsi" w:eastAsiaTheme="minorEastAsia" w:hAnsiTheme="minorHAnsi" w:cstheme="minorBidi"/>
            <w:noProof/>
            <w:lang w:eastAsia="en-AU"/>
          </w:rPr>
          <w:tab/>
        </w:r>
        <w:r w:rsidRPr="001470C2">
          <w:rPr>
            <w:rStyle w:val="Hyperlink"/>
            <w:noProof/>
          </w:rPr>
          <w:t>Extension of age</w:t>
        </w:r>
        <w:r>
          <w:rPr>
            <w:noProof/>
            <w:webHidden/>
          </w:rPr>
          <w:tab/>
        </w:r>
        <w:r>
          <w:rPr>
            <w:noProof/>
            <w:webHidden/>
          </w:rPr>
          <w:fldChar w:fldCharType="begin"/>
        </w:r>
        <w:r>
          <w:rPr>
            <w:noProof/>
            <w:webHidden/>
          </w:rPr>
          <w:instrText xml:space="preserve"> PAGEREF _Toc391987975 \h </w:instrText>
        </w:r>
        <w:r>
          <w:rPr>
            <w:noProof/>
            <w:webHidden/>
          </w:rPr>
        </w:r>
        <w:r>
          <w:rPr>
            <w:noProof/>
            <w:webHidden/>
          </w:rPr>
          <w:fldChar w:fldCharType="separate"/>
        </w:r>
        <w:r>
          <w:rPr>
            <w:noProof/>
            <w:webHidden/>
          </w:rPr>
          <w:t>12</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76" w:history="1">
        <w:r w:rsidRPr="001470C2">
          <w:rPr>
            <w:rStyle w:val="Hyperlink"/>
            <w:noProof/>
          </w:rPr>
          <w:t>6.2.</w:t>
        </w:r>
        <w:r>
          <w:rPr>
            <w:rFonts w:asciiTheme="minorHAnsi" w:eastAsiaTheme="minorEastAsia" w:hAnsiTheme="minorHAnsi" w:cstheme="minorBidi"/>
            <w:noProof/>
            <w:lang w:eastAsia="en-AU"/>
          </w:rPr>
          <w:tab/>
        </w:r>
        <w:r w:rsidRPr="001470C2">
          <w:rPr>
            <w:rStyle w:val="Hyperlink"/>
            <w:noProof/>
          </w:rPr>
          <w:t>Analyses performed across trials (pooled &amp; meta analyses)</w:t>
        </w:r>
        <w:r>
          <w:rPr>
            <w:noProof/>
            <w:webHidden/>
          </w:rPr>
          <w:tab/>
        </w:r>
        <w:r>
          <w:rPr>
            <w:noProof/>
            <w:webHidden/>
          </w:rPr>
          <w:fldChar w:fldCharType="begin"/>
        </w:r>
        <w:r>
          <w:rPr>
            <w:noProof/>
            <w:webHidden/>
          </w:rPr>
          <w:instrText xml:space="preserve"> PAGEREF _Toc391987976 \h </w:instrText>
        </w:r>
        <w:r>
          <w:rPr>
            <w:noProof/>
            <w:webHidden/>
          </w:rPr>
        </w:r>
        <w:r>
          <w:rPr>
            <w:noProof/>
            <w:webHidden/>
          </w:rPr>
          <w:fldChar w:fldCharType="separate"/>
        </w:r>
        <w:r>
          <w:rPr>
            <w:noProof/>
            <w:webHidden/>
          </w:rPr>
          <w:t>24</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77" w:history="1">
        <w:r w:rsidRPr="001470C2">
          <w:rPr>
            <w:rStyle w:val="Hyperlink"/>
            <w:noProof/>
          </w:rPr>
          <w:t>6.3.</w:t>
        </w:r>
        <w:r>
          <w:rPr>
            <w:rFonts w:asciiTheme="minorHAnsi" w:eastAsiaTheme="minorEastAsia" w:hAnsiTheme="minorHAnsi" w:cstheme="minorBidi"/>
            <w:noProof/>
            <w:lang w:eastAsia="en-AU"/>
          </w:rPr>
          <w:tab/>
        </w:r>
        <w:r w:rsidRPr="001470C2">
          <w:rPr>
            <w:rStyle w:val="Hyperlink"/>
            <w:noProof/>
          </w:rPr>
          <w:t>Evaluator’s conclusions on extension of age indication</w:t>
        </w:r>
        <w:r>
          <w:rPr>
            <w:noProof/>
            <w:webHidden/>
          </w:rPr>
          <w:tab/>
        </w:r>
        <w:r>
          <w:rPr>
            <w:noProof/>
            <w:webHidden/>
          </w:rPr>
          <w:fldChar w:fldCharType="begin"/>
        </w:r>
        <w:r>
          <w:rPr>
            <w:noProof/>
            <w:webHidden/>
          </w:rPr>
          <w:instrText xml:space="preserve"> PAGEREF _Toc391987977 \h </w:instrText>
        </w:r>
        <w:r>
          <w:rPr>
            <w:noProof/>
            <w:webHidden/>
          </w:rPr>
        </w:r>
        <w:r>
          <w:rPr>
            <w:noProof/>
            <w:webHidden/>
          </w:rPr>
          <w:fldChar w:fldCharType="separate"/>
        </w:r>
        <w:r>
          <w:rPr>
            <w:noProof/>
            <w:webHidden/>
          </w:rPr>
          <w:t>25</w:t>
        </w:r>
        <w:r>
          <w:rPr>
            <w:noProof/>
            <w:webHidden/>
          </w:rPr>
          <w:fldChar w:fldCharType="end"/>
        </w:r>
      </w:hyperlink>
    </w:p>
    <w:p w:rsidR="00602B78" w:rsidRDefault="00602B78">
      <w:pPr>
        <w:pStyle w:val="TOC2"/>
        <w:tabs>
          <w:tab w:val="left" w:pos="1100"/>
        </w:tabs>
        <w:rPr>
          <w:rFonts w:asciiTheme="minorHAnsi" w:eastAsiaTheme="minorEastAsia" w:hAnsiTheme="minorHAnsi" w:cstheme="minorBidi"/>
          <w:b w:val="0"/>
          <w:noProof/>
          <w:sz w:val="22"/>
          <w:lang w:eastAsia="en-AU"/>
        </w:rPr>
      </w:pPr>
      <w:hyperlink w:anchor="_Toc391987978" w:history="1">
        <w:r w:rsidRPr="001470C2">
          <w:rPr>
            <w:rStyle w:val="Hyperlink"/>
            <w:noProof/>
          </w:rPr>
          <w:t>7.</w:t>
        </w:r>
        <w:r>
          <w:rPr>
            <w:rFonts w:asciiTheme="minorHAnsi" w:eastAsiaTheme="minorEastAsia" w:hAnsiTheme="minorHAnsi" w:cstheme="minorBidi"/>
            <w:b w:val="0"/>
            <w:noProof/>
            <w:sz w:val="22"/>
            <w:lang w:eastAsia="en-AU"/>
          </w:rPr>
          <w:tab/>
        </w:r>
        <w:r w:rsidRPr="001470C2">
          <w:rPr>
            <w:rStyle w:val="Hyperlink"/>
            <w:noProof/>
          </w:rPr>
          <w:t>Clinical safety</w:t>
        </w:r>
        <w:r>
          <w:rPr>
            <w:noProof/>
            <w:webHidden/>
          </w:rPr>
          <w:tab/>
        </w:r>
        <w:r>
          <w:rPr>
            <w:noProof/>
            <w:webHidden/>
          </w:rPr>
          <w:fldChar w:fldCharType="begin"/>
        </w:r>
        <w:r>
          <w:rPr>
            <w:noProof/>
            <w:webHidden/>
          </w:rPr>
          <w:instrText xml:space="preserve"> PAGEREF _Toc391987978 \h </w:instrText>
        </w:r>
        <w:r>
          <w:rPr>
            <w:noProof/>
            <w:webHidden/>
          </w:rPr>
        </w:r>
        <w:r>
          <w:rPr>
            <w:noProof/>
            <w:webHidden/>
          </w:rPr>
          <w:fldChar w:fldCharType="separate"/>
        </w:r>
        <w:r>
          <w:rPr>
            <w:noProof/>
            <w:webHidden/>
          </w:rPr>
          <w:t>25</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79" w:history="1">
        <w:r w:rsidRPr="001470C2">
          <w:rPr>
            <w:rStyle w:val="Hyperlink"/>
            <w:noProof/>
          </w:rPr>
          <w:t>7.1.</w:t>
        </w:r>
        <w:r>
          <w:rPr>
            <w:rFonts w:asciiTheme="minorHAnsi" w:eastAsiaTheme="minorEastAsia" w:hAnsiTheme="minorHAnsi" w:cstheme="minorBidi"/>
            <w:noProof/>
            <w:lang w:eastAsia="en-AU"/>
          </w:rPr>
          <w:tab/>
        </w:r>
        <w:r w:rsidRPr="001470C2">
          <w:rPr>
            <w:rStyle w:val="Hyperlink"/>
            <w:noProof/>
          </w:rPr>
          <w:t>Studies providing evaluable safety data</w:t>
        </w:r>
        <w:r>
          <w:rPr>
            <w:noProof/>
            <w:webHidden/>
          </w:rPr>
          <w:tab/>
        </w:r>
        <w:r>
          <w:rPr>
            <w:noProof/>
            <w:webHidden/>
          </w:rPr>
          <w:fldChar w:fldCharType="begin"/>
        </w:r>
        <w:r>
          <w:rPr>
            <w:noProof/>
            <w:webHidden/>
          </w:rPr>
          <w:instrText xml:space="preserve"> PAGEREF _Toc391987979 \h </w:instrText>
        </w:r>
        <w:r>
          <w:rPr>
            <w:noProof/>
            <w:webHidden/>
          </w:rPr>
        </w:r>
        <w:r>
          <w:rPr>
            <w:noProof/>
            <w:webHidden/>
          </w:rPr>
          <w:fldChar w:fldCharType="separate"/>
        </w:r>
        <w:r>
          <w:rPr>
            <w:noProof/>
            <w:webHidden/>
          </w:rPr>
          <w:t>25</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80" w:history="1">
        <w:r w:rsidRPr="001470C2">
          <w:rPr>
            <w:rStyle w:val="Hyperlink"/>
            <w:noProof/>
          </w:rPr>
          <w:t>7.2.</w:t>
        </w:r>
        <w:r>
          <w:rPr>
            <w:rFonts w:asciiTheme="minorHAnsi" w:eastAsiaTheme="minorEastAsia" w:hAnsiTheme="minorHAnsi" w:cstheme="minorBidi"/>
            <w:noProof/>
            <w:lang w:eastAsia="en-AU"/>
          </w:rPr>
          <w:tab/>
        </w:r>
        <w:r w:rsidRPr="001470C2">
          <w:rPr>
            <w:rStyle w:val="Hyperlink"/>
            <w:noProof/>
          </w:rPr>
          <w:t>Studies that assessed safety as an outcome</w:t>
        </w:r>
        <w:r>
          <w:rPr>
            <w:noProof/>
            <w:webHidden/>
          </w:rPr>
          <w:tab/>
        </w:r>
        <w:r>
          <w:rPr>
            <w:noProof/>
            <w:webHidden/>
          </w:rPr>
          <w:fldChar w:fldCharType="begin"/>
        </w:r>
        <w:r>
          <w:rPr>
            <w:noProof/>
            <w:webHidden/>
          </w:rPr>
          <w:instrText xml:space="preserve"> PAGEREF _Toc391987980 \h </w:instrText>
        </w:r>
        <w:r>
          <w:rPr>
            <w:noProof/>
            <w:webHidden/>
          </w:rPr>
        </w:r>
        <w:r>
          <w:rPr>
            <w:noProof/>
            <w:webHidden/>
          </w:rPr>
          <w:fldChar w:fldCharType="separate"/>
        </w:r>
        <w:r>
          <w:rPr>
            <w:noProof/>
            <w:webHidden/>
          </w:rPr>
          <w:t>26</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81" w:history="1">
        <w:r w:rsidRPr="001470C2">
          <w:rPr>
            <w:rStyle w:val="Hyperlink"/>
            <w:noProof/>
          </w:rPr>
          <w:t>7.3.</w:t>
        </w:r>
        <w:r>
          <w:rPr>
            <w:rFonts w:asciiTheme="minorHAnsi" w:eastAsiaTheme="minorEastAsia" w:hAnsiTheme="minorHAnsi" w:cstheme="minorBidi"/>
            <w:noProof/>
            <w:lang w:eastAsia="en-AU"/>
          </w:rPr>
          <w:tab/>
        </w:r>
        <w:r w:rsidRPr="001470C2">
          <w:rPr>
            <w:rStyle w:val="Hyperlink"/>
            <w:noProof/>
          </w:rPr>
          <w:t>Patient exposure</w:t>
        </w:r>
        <w:r>
          <w:rPr>
            <w:noProof/>
            <w:webHidden/>
          </w:rPr>
          <w:tab/>
        </w:r>
        <w:r>
          <w:rPr>
            <w:noProof/>
            <w:webHidden/>
          </w:rPr>
          <w:fldChar w:fldCharType="begin"/>
        </w:r>
        <w:r>
          <w:rPr>
            <w:noProof/>
            <w:webHidden/>
          </w:rPr>
          <w:instrText xml:space="preserve"> PAGEREF _Toc391987981 \h </w:instrText>
        </w:r>
        <w:r>
          <w:rPr>
            <w:noProof/>
            <w:webHidden/>
          </w:rPr>
        </w:r>
        <w:r>
          <w:rPr>
            <w:noProof/>
            <w:webHidden/>
          </w:rPr>
          <w:fldChar w:fldCharType="separate"/>
        </w:r>
        <w:r>
          <w:rPr>
            <w:noProof/>
            <w:webHidden/>
          </w:rPr>
          <w:t>28</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82" w:history="1">
        <w:r w:rsidRPr="001470C2">
          <w:rPr>
            <w:rStyle w:val="Hyperlink"/>
            <w:noProof/>
          </w:rPr>
          <w:t>7.4.</w:t>
        </w:r>
        <w:r>
          <w:rPr>
            <w:rFonts w:asciiTheme="minorHAnsi" w:eastAsiaTheme="minorEastAsia" w:hAnsiTheme="minorHAnsi" w:cstheme="minorBidi"/>
            <w:noProof/>
            <w:lang w:eastAsia="en-AU"/>
          </w:rPr>
          <w:tab/>
        </w:r>
        <w:r w:rsidRPr="001470C2">
          <w:rPr>
            <w:rStyle w:val="Hyperlink"/>
            <w:noProof/>
          </w:rPr>
          <w:t>Adverse events</w:t>
        </w:r>
        <w:r>
          <w:rPr>
            <w:noProof/>
            <w:webHidden/>
          </w:rPr>
          <w:tab/>
        </w:r>
        <w:r>
          <w:rPr>
            <w:noProof/>
            <w:webHidden/>
          </w:rPr>
          <w:fldChar w:fldCharType="begin"/>
        </w:r>
        <w:r>
          <w:rPr>
            <w:noProof/>
            <w:webHidden/>
          </w:rPr>
          <w:instrText xml:space="preserve"> PAGEREF _Toc391987982 \h </w:instrText>
        </w:r>
        <w:r>
          <w:rPr>
            <w:noProof/>
            <w:webHidden/>
          </w:rPr>
        </w:r>
        <w:r>
          <w:rPr>
            <w:noProof/>
            <w:webHidden/>
          </w:rPr>
          <w:fldChar w:fldCharType="separate"/>
        </w:r>
        <w:r>
          <w:rPr>
            <w:noProof/>
            <w:webHidden/>
          </w:rPr>
          <w:t>29</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83" w:history="1">
        <w:r w:rsidRPr="001470C2">
          <w:rPr>
            <w:rStyle w:val="Hyperlink"/>
            <w:noProof/>
          </w:rPr>
          <w:t>7.5.</w:t>
        </w:r>
        <w:r>
          <w:rPr>
            <w:rFonts w:asciiTheme="minorHAnsi" w:eastAsiaTheme="minorEastAsia" w:hAnsiTheme="minorHAnsi" w:cstheme="minorBidi"/>
            <w:noProof/>
            <w:lang w:eastAsia="en-AU"/>
          </w:rPr>
          <w:tab/>
        </w:r>
        <w:r w:rsidRPr="001470C2">
          <w:rPr>
            <w:rStyle w:val="Hyperlink"/>
            <w:noProof/>
          </w:rPr>
          <w:t>Laboratory tests</w:t>
        </w:r>
        <w:r>
          <w:rPr>
            <w:noProof/>
            <w:webHidden/>
          </w:rPr>
          <w:tab/>
        </w:r>
        <w:r>
          <w:rPr>
            <w:noProof/>
            <w:webHidden/>
          </w:rPr>
          <w:fldChar w:fldCharType="begin"/>
        </w:r>
        <w:r>
          <w:rPr>
            <w:noProof/>
            <w:webHidden/>
          </w:rPr>
          <w:instrText xml:space="preserve"> PAGEREF _Toc391987983 \h </w:instrText>
        </w:r>
        <w:r>
          <w:rPr>
            <w:noProof/>
            <w:webHidden/>
          </w:rPr>
        </w:r>
        <w:r>
          <w:rPr>
            <w:noProof/>
            <w:webHidden/>
          </w:rPr>
          <w:fldChar w:fldCharType="separate"/>
        </w:r>
        <w:r>
          <w:rPr>
            <w:noProof/>
            <w:webHidden/>
          </w:rPr>
          <w:t>33</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84" w:history="1">
        <w:r w:rsidRPr="001470C2">
          <w:rPr>
            <w:rStyle w:val="Hyperlink"/>
            <w:noProof/>
          </w:rPr>
          <w:t>7.6.</w:t>
        </w:r>
        <w:r>
          <w:rPr>
            <w:rFonts w:asciiTheme="minorHAnsi" w:eastAsiaTheme="minorEastAsia" w:hAnsiTheme="minorHAnsi" w:cstheme="minorBidi"/>
            <w:noProof/>
            <w:lang w:eastAsia="en-AU"/>
          </w:rPr>
          <w:tab/>
        </w:r>
        <w:r w:rsidRPr="001470C2">
          <w:rPr>
            <w:rStyle w:val="Hyperlink"/>
            <w:noProof/>
          </w:rPr>
          <w:t>Post-marketing experience</w:t>
        </w:r>
        <w:r>
          <w:rPr>
            <w:noProof/>
            <w:webHidden/>
          </w:rPr>
          <w:tab/>
        </w:r>
        <w:r>
          <w:rPr>
            <w:noProof/>
            <w:webHidden/>
          </w:rPr>
          <w:fldChar w:fldCharType="begin"/>
        </w:r>
        <w:r>
          <w:rPr>
            <w:noProof/>
            <w:webHidden/>
          </w:rPr>
          <w:instrText xml:space="preserve"> PAGEREF _Toc391987984 \h </w:instrText>
        </w:r>
        <w:r>
          <w:rPr>
            <w:noProof/>
            <w:webHidden/>
          </w:rPr>
        </w:r>
        <w:r>
          <w:rPr>
            <w:noProof/>
            <w:webHidden/>
          </w:rPr>
          <w:fldChar w:fldCharType="separate"/>
        </w:r>
        <w:r>
          <w:rPr>
            <w:noProof/>
            <w:webHidden/>
          </w:rPr>
          <w:t>34</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85" w:history="1">
        <w:r w:rsidRPr="001470C2">
          <w:rPr>
            <w:rStyle w:val="Hyperlink"/>
            <w:noProof/>
          </w:rPr>
          <w:t>7.7.</w:t>
        </w:r>
        <w:r>
          <w:rPr>
            <w:rFonts w:asciiTheme="minorHAnsi" w:eastAsiaTheme="minorEastAsia" w:hAnsiTheme="minorHAnsi" w:cstheme="minorBidi"/>
            <w:noProof/>
            <w:lang w:eastAsia="en-AU"/>
          </w:rPr>
          <w:tab/>
        </w:r>
        <w:r w:rsidRPr="001470C2">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_Toc391987985 \h </w:instrText>
        </w:r>
        <w:r>
          <w:rPr>
            <w:noProof/>
            <w:webHidden/>
          </w:rPr>
        </w:r>
        <w:r>
          <w:rPr>
            <w:noProof/>
            <w:webHidden/>
          </w:rPr>
          <w:fldChar w:fldCharType="separate"/>
        </w:r>
        <w:r>
          <w:rPr>
            <w:noProof/>
            <w:webHidden/>
          </w:rPr>
          <w:t>34</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86" w:history="1">
        <w:r w:rsidRPr="001470C2">
          <w:rPr>
            <w:rStyle w:val="Hyperlink"/>
            <w:noProof/>
          </w:rPr>
          <w:t>7.8.</w:t>
        </w:r>
        <w:r>
          <w:rPr>
            <w:rFonts w:asciiTheme="minorHAnsi" w:eastAsiaTheme="minorEastAsia" w:hAnsiTheme="minorHAnsi" w:cstheme="minorBidi"/>
            <w:noProof/>
            <w:lang w:eastAsia="en-AU"/>
          </w:rPr>
          <w:tab/>
        </w:r>
        <w:r w:rsidRPr="001470C2">
          <w:rPr>
            <w:rStyle w:val="Hyperlink"/>
            <w:noProof/>
          </w:rPr>
          <w:t>Other safety issues</w:t>
        </w:r>
        <w:r>
          <w:rPr>
            <w:noProof/>
            <w:webHidden/>
          </w:rPr>
          <w:tab/>
        </w:r>
        <w:r>
          <w:rPr>
            <w:noProof/>
            <w:webHidden/>
          </w:rPr>
          <w:fldChar w:fldCharType="begin"/>
        </w:r>
        <w:r>
          <w:rPr>
            <w:noProof/>
            <w:webHidden/>
          </w:rPr>
          <w:instrText xml:space="preserve"> PAGEREF _Toc391987986 \h </w:instrText>
        </w:r>
        <w:r>
          <w:rPr>
            <w:noProof/>
            <w:webHidden/>
          </w:rPr>
        </w:r>
        <w:r>
          <w:rPr>
            <w:noProof/>
            <w:webHidden/>
          </w:rPr>
          <w:fldChar w:fldCharType="separate"/>
        </w:r>
        <w:r>
          <w:rPr>
            <w:noProof/>
            <w:webHidden/>
          </w:rPr>
          <w:t>34</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87" w:history="1">
        <w:r w:rsidRPr="001470C2">
          <w:rPr>
            <w:rStyle w:val="Hyperlink"/>
            <w:noProof/>
          </w:rPr>
          <w:t>7.9.</w:t>
        </w:r>
        <w:r>
          <w:rPr>
            <w:rFonts w:asciiTheme="minorHAnsi" w:eastAsiaTheme="minorEastAsia" w:hAnsiTheme="minorHAnsi" w:cstheme="minorBidi"/>
            <w:noProof/>
            <w:lang w:eastAsia="en-AU"/>
          </w:rPr>
          <w:tab/>
        </w:r>
        <w:r w:rsidRPr="001470C2">
          <w:rPr>
            <w:rStyle w:val="Hyperlink"/>
            <w:noProof/>
          </w:rPr>
          <w:t>Evaluator’s overall conclusions on clinical safety</w:t>
        </w:r>
        <w:r>
          <w:rPr>
            <w:noProof/>
            <w:webHidden/>
          </w:rPr>
          <w:tab/>
        </w:r>
        <w:r>
          <w:rPr>
            <w:noProof/>
            <w:webHidden/>
          </w:rPr>
          <w:fldChar w:fldCharType="begin"/>
        </w:r>
        <w:r>
          <w:rPr>
            <w:noProof/>
            <w:webHidden/>
          </w:rPr>
          <w:instrText xml:space="preserve"> PAGEREF _Toc391987987 \h </w:instrText>
        </w:r>
        <w:r>
          <w:rPr>
            <w:noProof/>
            <w:webHidden/>
          </w:rPr>
        </w:r>
        <w:r>
          <w:rPr>
            <w:noProof/>
            <w:webHidden/>
          </w:rPr>
          <w:fldChar w:fldCharType="separate"/>
        </w:r>
        <w:r>
          <w:rPr>
            <w:noProof/>
            <w:webHidden/>
          </w:rPr>
          <w:t>35</w:t>
        </w:r>
        <w:r>
          <w:rPr>
            <w:noProof/>
            <w:webHidden/>
          </w:rPr>
          <w:fldChar w:fldCharType="end"/>
        </w:r>
      </w:hyperlink>
    </w:p>
    <w:p w:rsidR="00602B78" w:rsidRDefault="00602B78">
      <w:pPr>
        <w:pStyle w:val="TOC2"/>
        <w:tabs>
          <w:tab w:val="left" w:pos="1100"/>
        </w:tabs>
        <w:rPr>
          <w:rFonts w:asciiTheme="minorHAnsi" w:eastAsiaTheme="minorEastAsia" w:hAnsiTheme="minorHAnsi" w:cstheme="minorBidi"/>
          <w:b w:val="0"/>
          <w:noProof/>
          <w:sz w:val="22"/>
          <w:lang w:eastAsia="en-AU"/>
        </w:rPr>
      </w:pPr>
      <w:hyperlink w:anchor="_Toc391987988" w:history="1">
        <w:r w:rsidRPr="001470C2">
          <w:rPr>
            <w:rStyle w:val="Hyperlink"/>
            <w:noProof/>
          </w:rPr>
          <w:t>8.</w:t>
        </w:r>
        <w:r>
          <w:rPr>
            <w:rFonts w:asciiTheme="minorHAnsi" w:eastAsiaTheme="minorEastAsia" w:hAnsiTheme="minorHAnsi" w:cstheme="minorBidi"/>
            <w:b w:val="0"/>
            <w:noProof/>
            <w:sz w:val="22"/>
            <w:lang w:eastAsia="en-AU"/>
          </w:rPr>
          <w:tab/>
        </w:r>
        <w:r w:rsidRPr="001470C2">
          <w:rPr>
            <w:rStyle w:val="Hyperlink"/>
            <w:noProof/>
          </w:rPr>
          <w:t>First round benefit-risk assessment</w:t>
        </w:r>
        <w:r>
          <w:rPr>
            <w:noProof/>
            <w:webHidden/>
          </w:rPr>
          <w:tab/>
        </w:r>
        <w:r>
          <w:rPr>
            <w:noProof/>
            <w:webHidden/>
          </w:rPr>
          <w:fldChar w:fldCharType="begin"/>
        </w:r>
        <w:r>
          <w:rPr>
            <w:noProof/>
            <w:webHidden/>
          </w:rPr>
          <w:instrText xml:space="preserve"> PAGEREF _Toc391987988 \h </w:instrText>
        </w:r>
        <w:r>
          <w:rPr>
            <w:noProof/>
            <w:webHidden/>
          </w:rPr>
        </w:r>
        <w:r>
          <w:rPr>
            <w:noProof/>
            <w:webHidden/>
          </w:rPr>
          <w:fldChar w:fldCharType="separate"/>
        </w:r>
        <w:r>
          <w:rPr>
            <w:noProof/>
            <w:webHidden/>
          </w:rPr>
          <w:t>35</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89" w:history="1">
        <w:r w:rsidRPr="001470C2">
          <w:rPr>
            <w:rStyle w:val="Hyperlink"/>
            <w:noProof/>
          </w:rPr>
          <w:t>8.1.</w:t>
        </w:r>
        <w:r>
          <w:rPr>
            <w:rFonts w:asciiTheme="minorHAnsi" w:eastAsiaTheme="minorEastAsia" w:hAnsiTheme="minorHAnsi" w:cstheme="minorBidi"/>
            <w:noProof/>
            <w:lang w:eastAsia="en-AU"/>
          </w:rPr>
          <w:tab/>
        </w:r>
        <w:r w:rsidRPr="001470C2">
          <w:rPr>
            <w:rStyle w:val="Hyperlink"/>
            <w:noProof/>
          </w:rPr>
          <w:t>First round assessment of benefits</w:t>
        </w:r>
        <w:r>
          <w:rPr>
            <w:noProof/>
            <w:webHidden/>
          </w:rPr>
          <w:tab/>
        </w:r>
        <w:r>
          <w:rPr>
            <w:noProof/>
            <w:webHidden/>
          </w:rPr>
          <w:fldChar w:fldCharType="begin"/>
        </w:r>
        <w:r>
          <w:rPr>
            <w:noProof/>
            <w:webHidden/>
          </w:rPr>
          <w:instrText xml:space="preserve"> PAGEREF _Toc391987989 \h </w:instrText>
        </w:r>
        <w:r>
          <w:rPr>
            <w:noProof/>
            <w:webHidden/>
          </w:rPr>
        </w:r>
        <w:r>
          <w:rPr>
            <w:noProof/>
            <w:webHidden/>
          </w:rPr>
          <w:fldChar w:fldCharType="separate"/>
        </w:r>
        <w:r>
          <w:rPr>
            <w:noProof/>
            <w:webHidden/>
          </w:rPr>
          <w:t>35</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90" w:history="1">
        <w:r w:rsidRPr="001470C2">
          <w:rPr>
            <w:rStyle w:val="Hyperlink"/>
            <w:noProof/>
          </w:rPr>
          <w:t>8.2.</w:t>
        </w:r>
        <w:r>
          <w:rPr>
            <w:rFonts w:asciiTheme="minorHAnsi" w:eastAsiaTheme="minorEastAsia" w:hAnsiTheme="minorHAnsi" w:cstheme="minorBidi"/>
            <w:noProof/>
            <w:lang w:eastAsia="en-AU"/>
          </w:rPr>
          <w:tab/>
        </w:r>
        <w:r w:rsidRPr="001470C2">
          <w:rPr>
            <w:rStyle w:val="Hyperlink"/>
            <w:noProof/>
          </w:rPr>
          <w:t>First round assessment of risks</w:t>
        </w:r>
        <w:r>
          <w:rPr>
            <w:noProof/>
            <w:webHidden/>
          </w:rPr>
          <w:tab/>
        </w:r>
        <w:r>
          <w:rPr>
            <w:noProof/>
            <w:webHidden/>
          </w:rPr>
          <w:fldChar w:fldCharType="begin"/>
        </w:r>
        <w:r>
          <w:rPr>
            <w:noProof/>
            <w:webHidden/>
          </w:rPr>
          <w:instrText xml:space="preserve"> PAGEREF _Toc391987990 \h </w:instrText>
        </w:r>
        <w:r>
          <w:rPr>
            <w:noProof/>
            <w:webHidden/>
          </w:rPr>
        </w:r>
        <w:r>
          <w:rPr>
            <w:noProof/>
            <w:webHidden/>
          </w:rPr>
          <w:fldChar w:fldCharType="separate"/>
        </w:r>
        <w:r>
          <w:rPr>
            <w:noProof/>
            <w:webHidden/>
          </w:rPr>
          <w:t>36</w:t>
        </w:r>
        <w:r>
          <w:rPr>
            <w:noProof/>
            <w:webHidden/>
          </w:rPr>
          <w:fldChar w:fldCharType="end"/>
        </w:r>
      </w:hyperlink>
    </w:p>
    <w:p w:rsidR="00602B78" w:rsidRDefault="00602B78">
      <w:pPr>
        <w:pStyle w:val="TOC3"/>
        <w:tabs>
          <w:tab w:val="left" w:pos="1760"/>
        </w:tabs>
        <w:rPr>
          <w:rFonts w:asciiTheme="minorHAnsi" w:eastAsiaTheme="minorEastAsia" w:hAnsiTheme="minorHAnsi" w:cstheme="minorBidi"/>
          <w:noProof/>
          <w:lang w:eastAsia="en-AU"/>
        </w:rPr>
      </w:pPr>
      <w:hyperlink w:anchor="_Toc391987991" w:history="1">
        <w:r w:rsidRPr="001470C2">
          <w:rPr>
            <w:rStyle w:val="Hyperlink"/>
            <w:noProof/>
          </w:rPr>
          <w:t>8.3.</w:t>
        </w:r>
        <w:r>
          <w:rPr>
            <w:rFonts w:asciiTheme="minorHAnsi" w:eastAsiaTheme="minorEastAsia" w:hAnsiTheme="minorHAnsi" w:cstheme="minorBidi"/>
            <w:noProof/>
            <w:lang w:eastAsia="en-AU"/>
          </w:rPr>
          <w:tab/>
        </w:r>
        <w:r w:rsidRPr="001470C2">
          <w:rPr>
            <w:rStyle w:val="Hyperlink"/>
            <w:noProof/>
          </w:rPr>
          <w:t>First round assessment of benefit-risk balance</w:t>
        </w:r>
        <w:r>
          <w:rPr>
            <w:noProof/>
            <w:webHidden/>
          </w:rPr>
          <w:tab/>
        </w:r>
        <w:r>
          <w:rPr>
            <w:noProof/>
            <w:webHidden/>
          </w:rPr>
          <w:fldChar w:fldCharType="begin"/>
        </w:r>
        <w:r>
          <w:rPr>
            <w:noProof/>
            <w:webHidden/>
          </w:rPr>
          <w:instrText xml:space="preserve"> PAGEREF _Toc391987991 \h </w:instrText>
        </w:r>
        <w:r>
          <w:rPr>
            <w:noProof/>
            <w:webHidden/>
          </w:rPr>
        </w:r>
        <w:r>
          <w:rPr>
            <w:noProof/>
            <w:webHidden/>
          </w:rPr>
          <w:fldChar w:fldCharType="separate"/>
        </w:r>
        <w:r>
          <w:rPr>
            <w:noProof/>
            <w:webHidden/>
          </w:rPr>
          <w:t>36</w:t>
        </w:r>
        <w:r>
          <w:rPr>
            <w:noProof/>
            <w:webHidden/>
          </w:rPr>
          <w:fldChar w:fldCharType="end"/>
        </w:r>
      </w:hyperlink>
    </w:p>
    <w:p w:rsidR="00602B78" w:rsidRDefault="00602B78">
      <w:pPr>
        <w:pStyle w:val="TOC2"/>
        <w:tabs>
          <w:tab w:val="left" w:pos="1100"/>
        </w:tabs>
        <w:rPr>
          <w:rFonts w:asciiTheme="minorHAnsi" w:eastAsiaTheme="minorEastAsia" w:hAnsiTheme="minorHAnsi" w:cstheme="minorBidi"/>
          <w:b w:val="0"/>
          <w:noProof/>
          <w:sz w:val="22"/>
          <w:lang w:eastAsia="en-AU"/>
        </w:rPr>
      </w:pPr>
      <w:hyperlink w:anchor="_Toc391987992" w:history="1">
        <w:r w:rsidRPr="001470C2">
          <w:rPr>
            <w:rStyle w:val="Hyperlink"/>
            <w:noProof/>
          </w:rPr>
          <w:t>9.</w:t>
        </w:r>
        <w:r>
          <w:rPr>
            <w:rFonts w:asciiTheme="minorHAnsi" w:eastAsiaTheme="minorEastAsia" w:hAnsiTheme="minorHAnsi" w:cstheme="minorBidi"/>
            <w:b w:val="0"/>
            <w:noProof/>
            <w:sz w:val="22"/>
            <w:lang w:eastAsia="en-AU"/>
          </w:rPr>
          <w:tab/>
        </w:r>
        <w:r w:rsidRPr="001470C2">
          <w:rPr>
            <w:rStyle w:val="Hyperlink"/>
            <w:noProof/>
          </w:rPr>
          <w:t>First round recommendation regarding authorisation</w:t>
        </w:r>
        <w:r>
          <w:rPr>
            <w:noProof/>
            <w:webHidden/>
          </w:rPr>
          <w:tab/>
        </w:r>
        <w:r>
          <w:rPr>
            <w:noProof/>
            <w:webHidden/>
          </w:rPr>
          <w:fldChar w:fldCharType="begin"/>
        </w:r>
        <w:r>
          <w:rPr>
            <w:noProof/>
            <w:webHidden/>
          </w:rPr>
          <w:instrText xml:space="preserve"> PAGEREF _Toc391987992 \h </w:instrText>
        </w:r>
        <w:r>
          <w:rPr>
            <w:noProof/>
            <w:webHidden/>
          </w:rPr>
        </w:r>
        <w:r>
          <w:rPr>
            <w:noProof/>
            <w:webHidden/>
          </w:rPr>
          <w:fldChar w:fldCharType="separate"/>
        </w:r>
        <w:r>
          <w:rPr>
            <w:noProof/>
            <w:webHidden/>
          </w:rPr>
          <w:t>36</w:t>
        </w:r>
        <w:r>
          <w:rPr>
            <w:noProof/>
            <w:webHidden/>
          </w:rPr>
          <w:fldChar w:fldCharType="end"/>
        </w:r>
      </w:hyperlink>
    </w:p>
    <w:p w:rsidR="00602B78" w:rsidRDefault="00602B78">
      <w:pPr>
        <w:pStyle w:val="TOC2"/>
        <w:tabs>
          <w:tab w:val="left" w:pos="1320"/>
        </w:tabs>
        <w:rPr>
          <w:rFonts w:asciiTheme="minorHAnsi" w:eastAsiaTheme="minorEastAsia" w:hAnsiTheme="minorHAnsi" w:cstheme="minorBidi"/>
          <w:b w:val="0"/>
          <w:noProof/>
          <w:sz w:val="22"/>
          <w:lang w:eastAsia="en-AU"/>
        </w:rPr>
      </w:pPr>
      <w:hyperlink w:anchor="_Toc391987993" w:history="1">
        <w:r w:rsidRPr="001470C2">
          <w:rPr>
            <w:rStyle w:val="Hyperlink"/>
            <w:noProof/>
          </w:rPr>
          <w:t>10.</w:t>
        </w:r>
        <w:r>
          <w:rPr>
            <w:rFonts w:asciiTheme="minorHAnsi" w:eastAsiaTheme="minorEastAsia" w:hAnsiTheme="minorHAnsi" w:cstheme="minorBidi"/>
            <w:b w:val="0"/>
            <w:noProof/>
            <w:sz w:val="22"/>
            <w:lang w:eastAsia="en-AU"/>
          </w:rPr>
          <w:tab/>
        </w:r>
        <w:r w:rsidRPr="001470C2">
          <w:rPr>
            <w:rStyle w:val="Hyperlink"/>
            <w:noProof/>
          </w:rPr>
          <w:t>Clinical questions</w:t>
        </w:r>
        <w:r>
          <w:rPr>
            <w:noProof/>
            <w:webHidden/>
          </w:rPr>
          <w:tab/>
        </w:r>
        <w:r>
          <w:rPr>
            <w:noProof/>
            <w:webHidden/>
          </w:rPr>
          <w:fldChar w:fldCharType="begin"/>
        </w:r>
        <w:r>
          <w:rPr>
            <w:noProof/>
            <w:webHidden/>
          </w:rPr>
          <w:instrText xml:space="preserve"> PAGEREF _Toc391987993 \h </w:instrText>
        </w:r>
        <w:r>
          <w:rPr>
            <w:noProof/>
            <w:webHidden/>
          </w:rPr>
        </w:r>
        <w:r>
          <w:rPr>
            <w:noProof/>
            <w:webHidden/>
          </w:rPr>
          <w:fldChar w:fldCharType="separate"/>
        </w:r>
        <w:r>
          <w:rPr>
            <w:noProof/>
            <w:webHidden/>
          </w:rPr>
          <w:t>36</w:t>
        </w:r>
        <w:r>
          <w:rPr>
            <w:noProof/>
            <w:webHidden/>
          </w:rPr>
          <w:fldChar w:fldCharType="end"/>
        </w:r>
      </w:hyperlink>
    </w:p>
    <w:p w:rsidR="00602B78" w:rsidRDefault="00602B78">
      <w:pPr>
        <w:pStyle w:val="TOC2"/>
        <w:tabs>
          <w:tab w:val="left" w:pos="1320"/>
        </w:tabs>
        <w:rPr>
          <w:rFonts w:asciiTheme="minorHAnsi" w:eastAsiaTheme="minorEastAsia" w:hAnsiTheme="minorHAnsi" w:cstheme="minorBidi"/>
          <w:b w:val="0"/>
          <w:noProof/>
          <w:sz w:val="22"/>
          <w:lang w:eastAsia="en-AU"/>
        </w:rPr>
      </w:pPr>
      <w:hyperlink w:anchor="_Toc391987994" w:history="1">
        <w:r w:rsidRPr="001470C2">
          <w:rPr>
            <w:rStyle w:val="Hyperlink"/>
            <w:noProof/>
          </w:rPr>
          <w:t>11.</w:t>
        </w:r>
        <w:r>
          <w:rPr>
            <w:rFonts w:asciiTheme="minorHAnsi" w:eastAsiaTheme="minorEastAsia" w:hAnsiTheme="minorHAnsi" w:cstheme="minorBidi"/>
            <w:b w:val="0"/>
            <w:noProof/>
            <w:sz w:val="22"/>
            <w:lang w:eastAsia="en-AU"/>
          </w:rPr>
          <w:tab/>
        </w:r>
        <w:r w:rsidRPr="001470C2">
          <w:rPr>
            <w:rStyle w:val="Hyperlink"/>
            <w:noProof/>
          </w:rPr>
          <w:t>References</w:t>
        </w:r>
        <w:r>
          <w:rPr>
            <w:noProof/>
            <w:webHidden/>
          </w:rPr>
          <w:tab/>
        </w:r>
        <w:r>
          <w:rPr>
            <w:noProof/>
            <w:webHidden/>
          </w:rPr>
          <w:fldChar w:fldCharType="begin"/>
        </w:r>
        <w:r>
          <w:rPr>
            <w:noProof/>
            <w:webHidden/>
          </w:rPr>
          <w:instrText xml:space="preserve"> PAGEREF _Toc391987994 \h </w:instrText>
        </w:r>
        <w:r>
          <w:rPr>
            <w:noProof/>
            <w:webHidden/>
          </w:rPr>
        </w:r>
        <w:r>
          <w:rPr>
            <w:noProof/>
            <w:webHidden/>
          </w:rPr>
          <w:fldChar w:fldCharType="separate"/>
        </w:r>
        <w:r>
          <w:rPr>
            <w:noProof/>
            <w:webHidden/>
          </w:rPr>
          <w:t>36</w:t>
        </w:r>
        <w:r>
          <w:rPr>
            <w:noProof/>
            <w:webHidden/>
          </w:rPr>
          <w:fldChar w:fldCharType="end"/>
        </w:r>
      </w:hyperlink>
    </w:p>
    <w:p w:rsidR="003A7F6C" w:rsidRPr="00B811C6" w:rsidRDefault="004924E0" w:rsidP="00B811C6">
      <w:pPr>
        <w:pStyle w:val="TOC2"/>
      </w:pPr>
      <w:r>
        <w:fldChar w:fldCharType="end"/>
      </w:r>
      <w:bookmarkStart w:id="3" w:name="_Toc314842482"/>
    </w:p>
    <w:p w:rsidR="00586F98" w:rsidRDefault="00A206FB" w:rsidP="00586F98">
      <w:pPr>
        <w:pStyle w:val="Heading2"/>
        <w:numPr>
          <w:ilvl w:val="0"/>
          <w:numId w:val="0"/>
        </w:numPr>
      </w:pPr>
      <w:bookmarkStart w:id="4" w:name="_Toc351716269"/>
      <w:bookmarkStart w:id="5" w:name="_Toc351718881"/>
      <w:bookmarkStart w:id="6" w:name="_Toc355338616"/>
      <w:r>
        <w:br w:type="page"/>
      </w:r>
      <w:bookmarkStart w:id="7" w:name="_Toc391987960"/>
      <w:r w:rsidR="00586F98">
        <w:lastRenderedPageBreak/>
        <w:t>List of abbreviations</w:t>
      </w:r>
      <w:bookmarkEnd w:id="4"/>
      <w:bookmarkEnd w:id="5"/>
      <w:bookmarkEnd w:id="6"/>
      <w:bookmarkEnd w:id="7"/>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90"/>
        <w:gridCol w:w="6911"/>
      </w:tblGrid>
      <w:tr w:rsidR="00586F98" w:rsidTr="00C54277">
        <w:trPr>
          <w:tblHeader/>
        </w:trPr>
        <w:tc>
          <w:tcPr>
            <w:tcW w:w="1890" w:type="dxa"/>
            <w:tcBorders>
              <w:top w:val="single" w:sz="8" w:space="0" w:color="000000"/>
              <w:left w:val="single" w:sz="8" w:space="0" w:color="000000"/>
              <w:bottom w:val="single" w:sz="8" w:space="0" w:color="000000"/>
              <w:right w:val="nil"/>
              <w:tl2br w:val="nil"/>
              <w:tr2bl w:val="nil"/>
            </w:tcBorders>
            <w:shd w:val="clear" w:color="auto" w:fill="006DA7"/>
          </w:tcPr>
          <w:p w:rsidR="00586F98" w:rsidRPr="00534E7C" w:rsidRDefault="00586F98" w:rsidP="00534E7C">
            <w:pPr>
              <w:ind w:left="170" w:right="170"/>
              <w:rPr>
                <w:b/>
                <w:color w:val="FFFFFF"/>
                <w:szCs w:val="21"/>
                <w:lang w:eastAsia="en-AU"/>
              </w:rPr>
            </w:pPr>
            <w:r w:rsidRPr="00534E7C">
              <w:rPr>
                <w:b/>
                <w:color w:val="FFFFFF"/>
                <w:szCs w:val="21"/>
                <w:lang w:eastAsia="en-AU"/>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586F98" w:rsidRPr="00534E7C" w:rsidRDefault="00586F98" w:rsidP="00534E7C">
            <w:pPr>
              <w:ind w:left="170" w:right="170"/>
              <w:rPr>
                <w:b/>
                <w:color w:val="FFFFFF"/>
                <w:szCs w:val="21"/>
                <w:lang w:eastAsia="en-AU"/>
              </w:rPr>
            </w:pPr>
            <w:r w:rsidRPr="00534E7C">
              <w:rPr>
                <w:b/>
                <w:color w:val="FFFFFF"/>
                <w:szCs w:val="21"/>
                <w:lang w:eastAsia="en-AU"/>
              </w:rPr>
              <w:t>Meaning</w:t>
            </w:r>
          </w:p>
        </w:tc>
      </w:tr>
      <w:tr w:rsidR="00C54277" w:rsidTr="00C54277">
        <w:tc>
          <w:tcPr>
            <w:tcW w:w="1890" w:type="dxa"/>
            <w:shd w:val="clear" w:color="auto" w:fill="auto"/>
          </w:tcPr>
          <w:p w:rsidR="00C54277" w:rsidRPr="00534E7C" w:rsidRDefault="00EE1703" w:rsidP="00B40D84">
            <w:pPr>
              <w:ind w:left="170" w:right="170"/>
              <w:rPr>
                <w:color w:val="000000"/>
                <w:szCs w:val="21"/>
                <w:lang w:eastAsia="en-AU"/>
              </w:rPr>
            </w:pPr>
            <w:r>
              <w:t>3TC</w:t>
            </w:r>
          </w:p>
        </w:tc>
        <w:tc>
          <w:tcPr>
            <w:tcW w:w="6911" w:type="dxa"/>
            <w:shd w:val="clear" w:color="auto" w:fill="auto"/>
          </w:tcPr>
          <w:p w:rsidR="00C54277" w:rsidRPr="00534E7C" w:rsidRDefault="00EE1703" w:rsidP="00B40D84">
            <w:pPr>
              <w:ind w:left="170" w:right="170"/>
              <w:rPr>
                <w:color w:val="000000"/>
                <w:szCs w:val="21"/>
                <w:lang w:eastAsia="en-AU"/>
              </w:rPr>
            </w:pPr>
            <w:r>
              <w:t>lamivudine</w:t>
            </w:r>
          </w:p>
        </w:tc>
      </w:tr>
      <w:tr w:rsidR="00C54277" w:rsidTr="00C54277">
        <w:tc>
          <w:tcPr>
            <w:tcW w:w="1890" w:type="dxa"/>
            <w:shd w:val="clear" w:color="auto" w:fill="auto"/>
          </w:tcPr>
          <w:p w:rsidR="00C54277" w:rsidRPr="00534E7C" w:rsidRDefault="00EE1703" w:rsidP="00B40D84">
            <w:pPr>
              <w:ind w:left="170" w:right="170"/>
              <w:rPr>
                <w:color w:val="000000"/>
                <w:szCs w:val="21"/>
                <w:lang w:eastAsia="en-AU"/>
              </w:rPr>
            </w:pPr>
            <w:r>
              <w:t>AE</w:t>
            </w:r>
          </w:p>
        </w:tc>
        <w:tc>
          <w:tcPr>
            <w:tcW w:w="6911" w:type="dxa"/>
            <w:shd w:val="clear" w:color="auto" w:fill="auto"/>
          </w:tcPr>
          <w:p w:rsidR="00C54277" w:rsidRPr="00534E7C" w:rsidRDefault="00EE1703" w:rsidP="00B40D84">
            <w:pPr>
              <w:ind w:left="170" w:right="170"/>
              <w:rPr>
                <w:color w:val="000000"/>
                <w:szCs w:val="21"/>
                <w:lang w:eastAsia="en-AU"/>
              </w:rPr>
            </w:pPr>
            <w:r>
              <w:t>adverse event</w:t>
            </w:r>
          </w:p>
        </w:tc>
      </w:tr>
      <w:tr w:rsidR="00C54277" w:rsidTr="00C54277">
        <w:tc>
          <w:tcPr>
            <w:tcW w:w="1890" w:type="dxa"/>
            <w:shd w:val="clear" w:color="auto" w:fill="auto"/>
          </w:tcPr>
          <w:p w:rsidR="00C54277" w:rsidRPr="00534E7C" w:rsidRDefault="00EE1703" w:rsidP="00B40D84">
            <w:pPr>
              <w:ind w:left="170" w:right="170"/>
              <w:rPr>
                <w:color w:val="000000"/>
                <w:szCs w:val="21"/>
                <w:lang w:eastAsia="en-AU"/>
              </w:rPr>
            </w:pPr>
            <w:r>
              <w:t>ABC</w:t>
            </w:r>
          </w:p>
        </w:tc>
        <w:tc>
          <w:tcPr>
            <w:tcW w:w="6911" w:type="dxa"/>
            <w:shd w:val="clear" w:color="auto" w:fill="auto"/>
          </w:tcPr>
          <w:p w:rsidR="00C54277" w:rsidRPr="00534E7C" w:rsidRDefault="00EE1703" w:rsidP="00B40D84">
            <w:pPr>
              <w:ind w:left="170" w:right="170"/>
              <w:rPr>
                <w:color w:val="000000"/>
                <w:szCs w:val="21"/>
                <w:lang w:eastAsia="en-AU"/>
              </w:rPr>
            </w:pPr>
            <w:proofErr w:type="spellStart"/>
            <w:r>
              <w:t>abacavir</w:t>
            </w:r>
            <w:proofErr w:type="spellEnd"/>
            <w:r>
              <w:t xml:space="preserve"> (</w:t>
            </w:r>
            <w:proofErr w:type="spellStart"/>
            <w:r>
              <w:t>Ziagen</w:t>
            </w:r>
            <w:proofErr w:type="spellEnd"/>
            <w:r>
              <w:t>)</w:t>
            </w:r>
          </w:p>
        </w:tc>
      </w:tr>
      <w:tr w:rsidR="00C54277" w:rsidTr="00C54277">
        <w:tc>
          <w:tcPr>
            <w:tcW w:w="1890" w:type="dxa"/>
            <w:shd w:val="clear" w:color="auto" w:fill="auto"/>
          </w:tcPr>
          <w:p w:rsidR="00C54277" w:rsidRPr="00534E7C" w:rsidRDefault="008B74D1" w:rsidP="00B40D84">
            <w:pPr>
              <w:ind w:left="170" w:right="170"/>
              <w:rPr>
                <w:color w:val="000000"/>
                <w:szCs w:val="21"/>
                <w:lang w:eastAsia="en-AU"/>
              </w:rPr>
            </w:pPr>
            <w:r>
              <w:t>AIDS</w:t>
            </w:r>
          </w:p>
        </w:tc>
        <w:tc>
          <w:tcPr>
            <w:tcW w:w="6911" w:type="dxa"/>
            <w:shd w:val="clear" w:color="auto" w:fill="auto"/>
          </w:tcPr>
          <w:p w:rsidR="00C54277" w:rsidRPr="00534E7C" w:rsidRDefault="008B74D1" w:rsidP="00B40D84">
            <w:pPr>
              <w:ind w:left="170" w:right="170"/>
              <w:rPr>
                <w:color w:val="000000"/>
                <w:szCs w:val="21"/>
                <w:lang w:eastAsia="en-AU"/>
              </w:rPr>
            </w:pPr>
            <w:r>
              <w:t>acquired immunodeficiency syndrom</w:t>
            </w:r>
            <w:r w:rsidR="007256C7">
              <w:t>e</w:t>
            </w:r>
          </w:p>
        </w:tc>
      </w:tr>
      <w:tr w:rsidR="00C54277" w:rsidTr="00C54277">
        <w:tc>
          <w:tcPr>
            <w:tcW w:w="1890" w:type="dxa"/>
            <w:shd w:val="clear" w:color="auto" w:fill="auto"/>
          </w:tcPr>
          <w:p w:rsidR="00C54277" w:rsidRPr="00534E7C" w:rsidRDefault="007F6B92" w:rsidP="00B40D84">
            <w:pPr>
              <w:ind w:left="170" w:right="170"/>
              <w:rPr>
                <w:color w:val="000000"/>
                <w:szCs w:val="21"/>
                <w:lang w:eastAsia="en-AU"/>
              </w:rPr>
            </w:pPr>
            <w:r>
              <w:t>ART</w:t>
            </w:r>
          </w:p>
        </w:tc>
        <w:tc>
          <w:tcPr>
            <w:tcW w:w="6911" w:type="dxa"/>
            <w:shd w:val="clear" w:color="auto" w:fill="auto"/>
          </w:tcPr>
          <w:p w:rsidR="00C54277" w:rsidRPr="00534E7C" w:rsidRDefault="007F6B92" w:rsidP="00B40D84">
            <w:pPr>
              <w:ind w:left="170" w:right="170"/>
              <w:rPr>
                <w:color w:val="000000"/>
                <w:szCs w:val="21"/>
                <w:lang w:eastAsia="en-AU"/>
              </w:rPr>
            </w:pPr>
            <w:r>
              <w:t>antiretroviral therapy</w:t>
            </w:r>
          </w:p>
        </w:tc>
      </w:tr>
      <w:tr w:rsidR="00C54277" w:rsidTr="00C54277">
        <w:tc>
          <w:tcPr>
            <w:tcW w:w="1890" w:type="dxa"/>
            <w:shd w:val="clear" w:color="auto" w:fill="auto"/>
          </w:tcPr>
          <w:p w:rsidR="00C54277" w:rsidRPr="00534E7C" w:rsidRDefault="007F6B92" w:rsidP="00B40D84">
            <w:pPr>
              <w:ind w:left="170" w:right="170"/>
              <w:rPr>
                <w:color w:val="000000"/>
                <w:szCs w:val="21"/>
                <w:lang w:eastAsia="en-AU"/>
              </w:rPr>
            </w:pPr>
            <w:r>
              <w:t>AUC</w:t>
            </w:r>
          </w:p>
        </w:tc>
        <w:tc>
          <w:tcPr>
            <w:tcW w:w="6911" w:type="dxa"/>
            <w:shd w:val="clear" w:color="auto" w:fill="auto"/>
          </w:tcPr>
          <w:p w:rsidR="00C54277" w:rsidRPr="00534E7C" w:rsidRDefault="007F6B92" w:rsidP="00B40D84">
            <w:pPr>
              <w:ind w:left="170" w:right="170"/>
              <w:rPr>
                <w:color w:val="000000"/>
                <w:szCs w:val="21"/>
                <w:lang w:eastAsia="en-AU"/>
              </w:rPr>
            </w:pPr>
            <w:r>
              <w:t>area under the plasma concentration versus time curve</w:t>
            </w:r>
          </w:p>
        </w:tc>
      </w:tr>
      <w:tr w:rsidR="00C54277" w:rsidTr="00C54277">
        <w:tc>
          <w:tcPr>
            <w:tcW w:w="1890" w:type="dxa"/>
            <w:shd w:val="clear" w:color="auto" w:fill="auto"/>
          </w:tcPr>
          <w:p w:rsidR="00C54277" w:rsidRPr="00534E7C" w:rsidRDefault="007F6B92" w:rsidP="00B40D84">
            <w:pPr>
              <w:ind w:left="170" w:right="170"/>
              <w:rPr>
                <w:color w:val="000000"/>
                <w:szCs w:val="21"/>
                <w:lang w:eastAsia="en-AU"/>
              </w:rPr>
            </w:pPr>
            <w:proofErr w:type="spellStart"/>
            <w:r>
              <w:t>AUC</w:t>
            </w:r>
            <w:r w:rsidRPr="00582227">
              <w:rPr>
                <w:vertAlign w:val="subscript"/>
              </w:rPr>
              <w:t>tau</w:t>
            </w:r>
            <w:proofErr w:type="spellEnd"/>
          </w:p>
        </w:tc>
        <w:tc>
          <w:tcPr>
            <w:tcW w:w="6911" w:type="dxa"/>
            <w:shd w:val="clear" w:color="auto" w:fill="auto"/>
          </w:tcPr>
          <w:p w:rsidR="00C54277" w:rsidRPr="00534E7C" w:rsidRDefault="007F6B92" w:rsidP="00B40D84">
            <w:pPr>
              <w:ind w:left="170" w:right="170"/>
              <w:rPr>
                <w:color w:val="000000"/>
                <w:szCs w:val="21"/>
                <w:lang w:eastAsia="en-AU"/>
              </w:rPr>
            </w:pPr>
            <w:r>
              <w:t>area under the (plasma concentration versus time) curve over the dosing interval at steady state</w:t>
            </w:r>
          </w:p>
        </w:tc>
      </w:tr>
      <w:tr w:rsidR="00C54277" w:rsidTr="00C54277">
        <w:tc>
          <w:tcPr>
            <w:tcW w:w="1890" w:type="dxa"/>
            <w:shd w:val="clear" w:color="auto" w:fill="auto"/>
          </w:tcPr>
          <w:p w:rsidR="00C54277" w:rsidRPr="00534E7C" w:rsidRDefault="007F6B92" w:rsidP="00B40D84">
            <w:pPr>
              <w:ind w:left="170" w:right="170"/>
              <w:rPr>
                <w:color w:val="000000"/>
                <w:szCs w:val="21"/>
                <w:lang w:eastAsia="en-AU"/>
              </w:rPr>
            </w:pPr>
            <w:r>
              <w:t>CL/F</w:t>
            </w:r>
          </w:p>
        </w:tc>
        <w:tc>
          <w:tcPr>
            <w:tcW w:w="6911" w:type="dxa"/>
            <w:shd w:val="clear" w:color="auto" w:fill="auto"/>
          </w:tcPr>
          <w:p w:rsidR="00C54277" w:rsidRPr="00534E7C" w:rsidRDefault="007F6B92" w:rsidP="00B40D84">
            <w:pPr>
              <w:ind w:left="170" w:right="170"/>
              <w:rPr>
                <w:color w:val="000000"/>
                <w:szCs w:val="21"/>
                <w:lang w:eastAsia="en-AU"/>
              </w:rPr>
            </w:pPr>
            <w:r>
              <w:t>apparent total body clearance following oral administration</w:t>
            </w:r>
          </w:p>
        </w:tc>
      </w:tr>
      <w:tr w:rsidR="00C54277" w:rsidTr="00C54277">
        <w:tc>
          <w:tcPr>
            <w:tcW w:w="1890" w:type="dxa"/>
            <w:shd w:val="clear" w:color="auto" w:fill="auto"/>
          </w:tcPr>
          <w:p w:rsidR="00C54277" w:rsidRPr="00534E7C" w:rsidRDefault="007F6B92" w:rsidP="00B40D84">
            <w:pPr>
              <w:ind w:left="170" w:right="170"/>
              <w:rPr>
                <w:color w:val="000000"/>
                <w:szCs w:val="21"/>
                <w:lang w:eastAsia="en-AU"/>
              </w:rPr>
            </w:pPr>
            <w:proofErr w:type="spellStart"/>
            <w:r>
              <w:t>C</w:t>
            </w:r>
            <w:r>
              <w:rPr>
                <w:vertAlign w:val="subscript"/>
              </w:rPr>
              <w:t>max</w:t>
            </w:r>
            <w:proofErr w:type="spellEnd"/>
          </w:p>
        </w:tc>
        <w:tc>
          <w:tcPr>
            <w:tcW w:w="6911" w:type="dxa"/>
            <w:shd w:val="clear" w:color="auto" w:fill="auto"/>
          </w:tcPr>
          <w:p w:rsidR="00C54277" w:rsidRPr="00534E7C" w:rsidRDefault="007F6B92" w:rsidP="00B40D84">
            <w:pPr>
              <w:ind w:left="170" w:right="170"/>
              <w:rPr>
                <w:color w:val="000000"/>
                <w:szCs w:val="21"/>
                <w:lang w:eastAsia="en-AU"/>
              </w:rPr>
            </w:pPr>
            <w:r>
              <w:t>maximum plasma concentration</w:t>
            </w:r>
          </w:p>
        </w:tc>
      </w:tr>
      <w:tr w:rsidR="00C54277" w:rsidTr="00C54277">
        <w:tc>
          <w:tcPr>
            <w:tcW w:w="1890" w:type="dxa"/>
            <w:shd w:val="clear" w:color="auto" w:fill="auto"/>
          </w:tcPr>
          <w:p w:rsidR="00C54277" w:rsidRPr="00534E7C" w:rsidRDefault="007F6B92" w:rsidP="00B40D84">
            <w:pPr>
              <w:ind w:left="170" w:right="170"/>
              <w:rPr>
                <w:color w:val="000000"/>
                <w:szCs w:val="21"/>
                <w:lang w:eastAsia="en-AU"/>
              </w:rPr>
            </w:pPr>
            <w:r>
              <w:t>CV</w:t>
            </w:r>
          </w:p>
        </w:tc>
        <w:tc>
          <w:tcPr>
            <w:tcW w:w="6911" w:type="dxa"/>
            <w:shd w:val="clear" w:color="auto" w:fill="auto"/>
          </w:tcPr>
          <w:p w:rsidR="00C54277" w:rsidRPr="00534E7C" w:rsidRDefault="007F6B92" w:rsidP="00B40D84">
            <w:pPr>
              <w:ind w:left="170" w:right="170"/>
              <w:rPr>
                <w:color w:val="000000"/>
                <w:szCs w:val="21"/>
                <w:lang w:eastAsia="en-AU"/>
              </w:rPr>
            </w:pPr>
            <w:proofErr w:type="spellStart"/>
            <w:r>
              <w:t>coefficicent</w:t>
            </w:r>
            <w:proofErr w:type="spellEnd"/>
            <w:r>
              <w:t xml:space="preserve"> of variation</w:t>
            </w:r>
          </w:p>
        </w:tc>
      </w:tr>
      <w:tr w:rsidR="00C54277" w:rsidTr="00C54277">
        <w:tc>
          <w:tcPr>
            <w:tcW w:w="1890" w:type="dxa"/>
            <w:shd w:val="clear" w:color="auto" w:fill="auto"/>
          </w:tcPr>
          <w:p w:rsidR="00C54277" w:rsidRPr="00534E7C" w:rsidRDefault="007F6B92" w:rsidP="00B40D84">
            <w:pPr>
              <w:ind w:left="170" w:right="170"/>
              <w:rPr>
                <w:color w:val="000000"/>
                <w:szCs w:val="21"/>
                <w:lang w:eastAsia="en-AU"/>
              </w:rPr>
            </w:pPr>
            <w:r>
              <w:t>d4T</w:t>
            </w:r>
          </w:p>
        </w:tc>
        <w:tc>
          <w:tcPr>
            <w:tcW w:w="6911" w:type="dxa"/>
            <w:shd w:val="clear" w:color="auto" w:fill="auto"/>
          </w:tcPr>
          <w:p w:rsidR="00C54277" w:rsidRPr="00534E7C" w:rsidRDefault="007F6B92" w:rsidP="00B40D84">
            <w:pPr>
              <w:ind w:left="170" w:right="170"/>
              <w:rPr>
                <w:color w:val="000000"/>
                <w:szCs w:val="21"/>
                <w:lang w:eastAsia="en-AU"/>
              </w:rPr>
            </w:pPr>
            <w:proofErr w:type="spellStart"/>
            <w:r>
              <w:t>stavudine</w:t>
            </w:r>
            <w:proofErr w:type="spellEnd"/>
            <w:r>
              <w:t xml:space="preserve"> (</w:t>
            </w:r>
            <w:proofErr w:type="spellStart"/>
            <w:r>
              <w:t>Zerit</w:t>
            </w:r>
            <w:proofErr w:type="spellEnd"/>
            <w:r>
              <w:t>)</w:t>
            </w:r>
          </w:p>
        </w:tc>
      </w:tr>
      <w:tr w:rsidR="00C54277" w:rsidTr="00C54277">
        <w:tc>
          <w:tcPr>
            <w:tcW w:w="1890" w:type="dxa"/>
            <w:shd w:val="clear" w:color="auto" w:fill="auto"/>
          </w:tcPr>
          <w:p w:rsidR="00C54277" w:rsidRPr="00534E7C" w:rsidRDefault="007F6B92" w:rsidP="00B40D84">
            <w:pPr>
              <w:ind w:left="170" w:right="170"/>
              <w:rPr>
                <w:color w:val="000000"/>
                <w:szCs w:val="21"/>
                <w:lang w:eastAsia="en-AU"/>
              </w:rPr>
            </w:pPr>
            <w:proofErr w:type="spellStart"/>
            <w:r>
              <w:t>ddI</w:t>
            </w:r>
            <w:proofErr w:type="spellEnd"/>
          </w:p>
        </w:tc>
        <w:tc>
          <w:tcPr>
            <w:tcW w:w="6911" w:type="dxa"/>
            <w:shd w:val="clear" w:color="auto" w:fill="auto"/>
          </w:tcPr>
          <w:p w:rsidR="00C54277" w:rsidRPr="00534E7C" w:rsidRDefault="007F6B92" w:rsidP="00B40D84">
            <w:pPr>
              <w:ind w:left="170" w:right="170"/>
              <w:rPr>
                <w:color w:val="000000"/>
                <w:szCs w:val="21"/>
                <w:lang w:eastAsia="en-AU"/>
              </w:rPr>
            </w:pPr>
            <w:proofErr w:type="spellStart"/>
            <w:r>
              <w:t>didanosine</w:t>
            </w:r>
            <w:proofErr w:type="spellEnd"/>
            <w:r>
              <w:t xml:space="preserve"> (</w:t>
            </w:r>
            <w:proofErr w:type="spellStart"/>
            <w:r>
              <w:t>Videx</w:t>
            </w:r>
            <w:proofErr w:type="spellEnd"/>
            <w:r>
              <w:t>)</w:t>
            </w:r>
          </w:p>
        </w:tc>
      </w:tr>
      <w:tr w:rsidR="00C54277" w:rsidTr="00C54277">
        <w:tc>
          <w:tcPr>
            <w:tcW w:w="1890" w:type="dxa"/>
            <w:shd w:val="clear" w:color="auto" w:fill="auto"/>
          </w:tcPr>
          <w:p w:rsidR="00C54277" w:rsidRPr="00534E7C" w:rsidRDefault="00DA43B2" w:rsidP="00B40D84">
            <w:pPr>
              <w:ind w:left="170" w:right="170"/>
              <w:rPr>
                <w:color w:val="000000"/>
                <w:szCs w:val="21"/>
                <w:lang w:eastAsia="en-AU"/>
              </w:rPr>
            </w:pPr>
            <w:r>
              <w:t>DHHS</w:t>
            </w:r>
          </w:p>
        </w:tc>
        <w:tc>
          <w:tcPr>
            <w:tcW w:w="6911" w:type="dxa"/>
            <w:shd w:val="clear" w:color="auto" w:fill="auto"/>
          </w:tcPr>
          <w:p w:rsidR="00C54277" w:rsidRPr="00534E7C" w:rsidRDefault="00DA43B2" w:rsidP="00B40D84">
            <w:pPr>
              <w:ind w:left="170" w:right="170"/>
              <w:rPr>
                <w:color w:val="000000"/>
                <w:szCs w:val="21"/>
                <w:lang w:eastAsia="en-AU"/>
              </w:rPr>
            </w:pPr>
            <w:r>
              <w:t>(US) Department of Health and Human Services</w:t>
            </w:r>
          </w:p>
        </w:tc>
      </w:tr>
      <w:tr w:rsidR="00C54277" w:rsidTr="00C54277">
        <w:tc>
          <w:tcPr>
            <w:tcW w:w="1890" w:type="dxa"/>
            <w:shd w:val="clear" w:color="auto" w:fill="auto"/>
          </w:tcPr>
          <w:p w:rsidR="00C54277" w:rsidRPr="00534E7C" w:rsidRDefault="00707CD0" w:rsidP="00B40D84">
            <w:pPr>
              <w:ind w:left="170" w:right="170"/>
              <w:rPr>
                <w:color w:val="000000"/>
                <w:szCs w:val="21"/>
                <w:lang w:eastAsia="en-AU"/>
              </w:rPr>
            </w:pPr>
            <w:r>
              <w:t>EFV</w:t>
            </w:r>
          </w:p>
        </w:tc>
        <w:tc>
          <w:tcPr>
            <w:tcW w:w="6911" w:type="dxa"/>
            <w:shd w:val="clear" w:color="auto" w:fill="auto"/>
          </w:tcPr>
          <w:p w:rsidR="00C54277" w:rsidRPr="00534E7C" w:rsidRDefault="00707CD0" w:rsidP="00B40D84">
            <w:pPr>
              <w:ind w:left="170" w:right="170"/>
              <w:rPr>
                <w:color w:val="000000"/>
                <w:szCs w:val="21"/>
                <w:lang w:eastAsia="en-AU"/>
              </w:rPr>
            </w:pPr>
            <w:proofErr w:type="spellStart"/>
            <w:r>
              <w:t>efavirenz</w:t>
            </w:r>
            <w:proofErr w:type="spellEnd"/>
            <w:r>
              <w:t xml:space="preserve"> (</w:t>
            </w:r>
            <w:proofErr w:type="spellStart"/>
            <w:r>
              <w:t>Sustiva</w:t>
            </w:r>
            <w:proofErr w:type="spellEnd"/>
            <w:r>
              <w:t>)</w:t>
            </w:r>
          </w:p>
        </w:tc>
      </w:tr>
      <w:tr w:rsidR="00707CD0" w:rsidTr="006C1AC1">
        <w:tc>
          <w:tcPr>
            <w:tcW w:w="1890" w:type="dxa"/>
            <w:shd w:val="clear" w:color="auto" w:fill="auto"/>
          </w:tcPr>
          <w:p w:rsidR="00707CD0" w:rsidRPr="00534E7C" w:rsidRDefault="00870AD8" w:rsidP="006C1AC1">
            <w:pPr>
              <w:ind w:left="170" w:right="170"/>
              <w:rPr>
                <w:color w:val="000000"/>
                <w:szCs w:val="21"/>
                <w:lang w:eastAsia="en-AU"/>
              </w:rPr>
            </w:pPr>
            <w:r>
              <w:t>FDA</w:t>
            </w:r>
          </w:p>
        </w:tc>
        <w:tc>
          <w:tcPr>
            <w:tcW w:w="6911" w:type="dxa"/>
            <w:shd w:val="clear" w:color="auto" w:fill="auto"/>
          </w:tcPr>
          <w:p w:rsidR="00707CD0" w:rsidRPr="00534E7C" w:rsidRDefault="00870AD8" w:rsidP="006C1AC1">
            <w:pPr>
              <w:ind w:left="170" w:right="170"/>
              <w:rPr>
                <w:color w:val="000000"/>
                <w:szCs w:val="21"/>
                <w:lang w:eastAsia="en-AU"/>
              </w:rPr>
            </w:pPr>
            <w:r>
              <w:t>(US) Food and Drug Administration</w:t>
            </w:r>
          </w:p>
        </w:tc>
      </w:tr>
      <w:tr w:rsidR="00707CD0" w:rsidTr="006C1AC1">
        <w:tc>
          <w:tcPr>
            <w:tcW w:w="1890" w:type="dxa"/>
            <w:shd w:val="clear" w:color="auto" w:fill="auto"/>
          </w:tcPr>
          <w:p w:rsidR="00707CD0" w:rsidRPr="00534E7C" w:rsidRDefault="00870AD8" w:rsidP="006C1AC1">
            <w:pPr>
              <w:ind w:left="170" w:right="170"/>
              <w:rPr>
                <w:color w:val="000000"/>
                <w:szCs w:val="21"/>
                <w:lang w:eastAsia="en-AU"/>
              </w:rPr>
            </w:pPr>
            <w:r>
              <w:t>FTC</w:t>
            </w:r>
          </w:p>
        </w:tc>
        <w:tc>
          <w:tcPr>
            <w:tcW w:w="6911" w:type="dxa"/>
            <w:shd w:val="clear" w:color="auto" w:fill="auto"/>
          </w:tcPr>
          <w:p w:rsidR="00707CD0" w:rsidRPr="00534E7C" w:rsidRDefault="00870AD8" w:rsidP="006C1AC1">
            <w:pPr>
              <w:ind w:left="170" w:right="170"/>
              <w:rPr>
                <w:color w:val="000000"/>
                <w:szCs w:val="21"/>
                <w:lang w:eastAsia="en-AU"/>
              </w:rPr>
            </w:pPr>
            <w:proofErr w:type="spellStart"/>
            <w:r>
              <w:t>emtricitabine</w:t>
            </w:r>
            <w:proofErr w:type="spellEnd"/>
          </w:p>
        </w:tc>
      </w:tr>
      <w:tr w:rsidR="00707CD0" w:rsidTr="006C1AC1">
        <w:tc>
          <w:tcPr>
            <w:tcW w:w="1890" w:type="dxa"/>
            <w:shd w:val="clear" w:color="auto" w:fill="auto"/>
          </w:tcPr>
          <w:p w:rsidR="00707CD0" w:rsidRPr="00534E7C" w:rsidRDefault="00870AD8" w:rsidP="006C1AC1">
            <w:pPr>
              <w:ind w:left="170" w:right="170"/>
              <w:rPr>
                <w:color w:val="000000"/>
                <w:szCs w:val="21"/>
                <w:lang w:eastAsia="en-AU"/>
              </w:rPr>
            </w:pPr>
            <w:r>
              <w:t>HAART</w:t>
            </w:r>
          </w:p>
        </w:tc>
        <w:tc>
          <w:tcPr>
            <w:tcW w:w="6911" w:type="dxa"/>
            <w:shd w:val="clear" w:color="auto" w:fill="auto"/>
          </w:tcPr>
          <w:p w:rsidR="00707CD0" w:rsidRPr="00534E7C" w:rsidRDefault="00870AD8" w:rsidP="006C1AC1">
            <w:pPr>
              <w:ind w:left="170" w:right="170"/>
              <w:rPr>
                <w:color w:val="000000"/>
                <w:szCs w:val="21"/>
                <w:lang w:eastAsia="en-AU"/>
              </w:rPr>
            </w:pPr>
            <w:r>
              <w:t>highly active antiretroviral therapy</w:t>
            </w:r>
          </w:p>
        </w:tc>
      </w:tr>
      <w:tr w:rsidR="00707CD0" w:rsidTr="006C1AC1">
        <w:tc>
          <w:tcPr>
            <w:tcW w:w="1890" w:type="dxa"/>
            <w:shd w:val="clear" w:color="auto" w:fill="auto"/>
          </w:tcPr>
          <w:p w:rsidR="00707CD0" w:rsidRPr="00534E7C" w:rsidRDefault="00870AD8" w:rsidP="006C1AC1">
            <w:pPr>
              <w:ind w:left="170" w:right="170"/>
              <w:rPr>
                <w:color w:val="000000"/>
                <w:szCs w:val="21"/>
                <w:lang w:eastAsia="en-AU"/>
              </w:rPr>
            </w:pPr>
            <w:r>
              <w:t>HIV-1</w:t>
            </w:r>
          </w:p>
        </w:tc>
        <w:tc>
          <w:tcPr>
            <w:tcW w:w="6911" w:type="dxa"/>
            <w:shd w:val="clear" w:color="auto" w:fill="auto"/>
          </w:tcPr>
          <w:p w:rsidR="00707CD0" w:rsidRPr="00534E7C" w:rsidRDefault="00870AD8" w:rsidP="006C1AC1">
            <w:pPr>
              <w:ind w:left="170" w:right="170"/>
              <w:rPr>
                <w:color w:val="000000"/>
                <w:szCs w:val="21"/>
                <w:lang w:eastAsia="en-AU"/>
              </w:rPr>
            </w:pPr>
            <w:r>
              <w:t>human immunodeficiency virus type 1</w:t>
            </w:r>
          </w:p>
        </w:tc>
      </w:tr>
      <w:tr w:rsidR="00707CD0" w:rsidTr="006C1AC1">
        <w:tc>
          <w:tcPr>
            <w:tcW w:w="1890" w:type="dxa"/>
            <w:shd w:val="clear" w:color="auto" w:fill="auto"/>
          </w:tcPr>
          <w:p w:rsidR="00707CD0" w:rsidRPr="00534E7C" w:rsidRDefault="00870AD8" w:rsidP="006C1AC1">
            <w:pPr>
              <w:ind w:left="170" w:right="170"/>
              <w:rPr>
                <w:color w:val="000000"/>
                <w:szCs w:val="21"/>
                <w:lang w:eastAsia="en-AU"/>
              </w:rPr>
            </w:pPr>
            <w:r>
              <w:t>ITT</w:t>
            </w:r>
          </w:p>
        </w:tc>
        <w:tc>
          <w:tcPr>
            <w:tcW w:w="6911" w:type="dxa"/>
            <w:shd w:val="clear" w:color="auto" w:fill="auto"/>
          </w:tcPr>
          <w:p w:rsidR="00707CD0" w:rsidRPr="00534E7C" w:rsidRDefault="00870AD8" w:rsidP="006C1AC1">
            <w:pPr>
              <w:ind w:left="170" w:right="170"/>
              <w:rPr>
                <w:color w:val="000000"/>
                <w:szCs w:val="21"/>
                <w:lang w:eastAsia="en-AU"/>
              </w:rPr>
            </w:pPr>
            <w:r>
              <w:t>intent-to-treat</w:t>
            </w:r>
          </w:p>
        </w:tc>
      </w:tr>
      <w:tr w:rsidR="00707CD0" w:rsidTr="006C1AC1">
        <w:tc>
          <w:tcPr>
            <w:tcW w:w="1890" w:type="dxa"/>
            <w:shd w:val="clear" w:color="auto" w:fill="auto"/>
          </w:tcPr>
          <w:p w:rsidR="00707CD0" w:rsidRPr="00534E7C" w:rsidRDefault="00870AD8" w:rsidP="006C1AC1">
            <w:pPr>
              <w:ind w:left="170" w:right="170"/>
              <w:rPr>
                <w:color w:val="000000"/>
                <w:szCs w:val="21"/>
                <w:lang w:eastAsia="en-AU"/>
              </w:rPr>
            </w:pPr>
            <w:r>
              <w:t>LOCF</w:t>
            </w:r>
          </w:p>
        </w:tc>
        <w:tc>
          <w:tcPr>
            <w:tcW w:w="6911" w:type="dxa"/>
            <w:shd w:val="clear" w:color="auto" w:fill="auto"/>
          </w:tcPr>
          <w:p w:rsidR="00707CD0" w:rsidRPr="00534E7C" w:rsidRDefault="00870AD8" w:rsidP="006C1AC1">
            <w:pPr>
              <w:ind w:left="170" w:right="170"/>
              <w:rPr>
                <w:color w:val="000000"/>
                <w:szCs w:val="21"/>
                <w:lang w:eastAsia="en-AU"/>
              </w:rPr>
            </w:pPr>
            <w:r>
              <w:t>last observation carried forward</w:t>
            </w:r>
          </w:p>
        </w:tc>
      </w:tr>
      <w:tr w:rsidR="00707CD0" w:rsidTr="006C1AC1">
        <w:tc>
          <w:tcPr>
            <w:tcW w:w="1890" w:type="dxa"/>
            <w:shd w:val="clear" w:color="auto" w:fill="auto"/>
          </w:tcPr>
          <w:p w:rsidR="00707CD0" w:rsidRPr="00534E7C" w:rsidRDefault="00AB417E" w:rsidP="006C1AC1">
            <w:pPr>
              <w:ind w:left="170" w:right="170"/>
              <w:rPr>
                <w:color w:val="000000"/>
                <w:szCs w:val="21"/>
                <w:lang w:eastAsia="en-AU"/>
              </w:rPr>
            </w:pPr>
            <w:r>
              <w:t>LLOQ</w:t>
            </w:r>
          </w:p>
        </w:tc>
        <w:tc>
          <w:tcPr>
            <w:tcW w:w="6911" w:type="dxa"/>
            <w:shd w:val="clear" w:color="auto" w:fill="auto"/>
          </w:tcPr>
          <w:p w:rsidR="00707CD0" w:rsidRPr="00534E7C" w:rsidRDefault="00AB417E" w:rsidP="006C1AC1">
            <w:pPr>
              <w:ind w:left="170" w:right="170"/>
              <w:rPr>
                <w:color w:val="000000"/>
                <w:szCs w:val="21"/>
                <w:lang w:eastAsia="en-AU"/>
              </w:rPr>
            </w:pPr>
            <w:r>
              <w:t>lower limit of quantitation</w:t>
            </w:r>
          </w:p>
        </w:tc>
      </w:tr>
      <w:tr w:rsidR="00707CD0" w:rsidTr="006C1AC1">
        <w:tc>
          <w:tcPr>
            <w:tcW w:w="1890" w:type="dxa"/>
            <w:shd w:val="clear" w:color="auto" w:fill="auto"/>
          </w:tcPr>
          <w:p w:rsidR="00707CD0" w:rsidRPr="00534E7C" w:rsidRDefault="00AB417E" w:rsidP="006C1AC1">
            <w:pPr>
              <w:ind w:left="170" w:right="170"/>
              <w:rPr>
                <w:color w:val="000000"/>
                <w:szCs w:val="21"/>
                <w:lang w:eastAsia="en-AU"/>
              </w:rPr>
            </w:pPr>
            <w:r>
              <w:t>LPV/r</w:t>
            </w:r>
          </w:p>
        </w:tc>
        <w:tc>
          <w:tcPr>
            <w:tcW w:w="6911" w:type="dxa"/>
            <w:shd w:val="clear" w:color="auto" w:fill="auto"/>
          </w:tcPr>
          <w:p w:rsidR="00707CD0" w:rsidRPr="00534E7C" w:rsidRDefault="00AB417E" w:rsidP="006C1AC1">
            <w:pPr>
              <w:ind w:left="170" w:right="170"/>
              <w:rPr>
                <w:color w:val="000000"/>
                <w:szCs w:val="21"/>
                <w:lang w:eastAsia="en-AU"/>
              </w:rPr>
            </w:pPr>
            <w:proofErr w:type="spellStart"/>
            <w:r>
              <w:t>lopinavir</w:t>
            </w:r>
            <w:proofErr w:type="spellEnd"/>
            <w:r>
              <w:t>/ritonavir (</w:t>
            </w:r>
            <w:proofErr w:type="spellStart"/>
            <w:r>
              <w:t>Katetra</w:t>
            </w:r>
            <w:proofErr w:type="spellEnd"/>
            <w:r>
              <w:t>)</w:t>
            </w:r>
          </w:p>
        </w:tc>
      </w:tr>
      <w:tr w:rsidR="00707CD0" w:rsidTr="006C1AC1">
        <w:tc>
          <w:tcPr>
            <w:tcW w:w="1890" w:type="dxa"/>
            <w:shd w:val="clear" w:color="auto" w:fill="auto"/>
          </w:tcPr>
          <w:p w:rsidR="00707CD0" w:rsidRPr="00534E7C" w:rsidRDefault="00AB417E" w:rsidP="006C1AC1">
            <w:pPr>
              <w:ind w:left="170" w:right="170"/>
              <w:rPr>
                <w:color w:val="000000"/>
                <w:szCs w:val="21"/>
                <w:lang w:eastAsia="en-AU"/>
              </w:rPr>
            </w:pPr>
            <w:r>
              <w:t>MAA</w:t>
            </w:r>
          </w:p>
        </w:tc>
        <w:tc>
          <w:tcPr>
            <w:tcW w:w="6911" w:type="dxa"/>
            <w:shd w:val="clear" w:color="auto" w:fill="auto"/>
          </w:tcPr>
          <w:p w:rsidR="00707CD0" w:rsidRPr="00534E7C" w:rsidRDefault="00AB417E" w:rsidP="006C1AC1">
            <w:pPr>
              <w:ind w:left="170" w:right="170"/>
              <w:rPr>
                <w:color w:val="000000"/>
                <w:szCs w:val="21"/>
                <w:lang w:eastAsia="en-AU"/>
              </w:rPr>
            </w:pPr>
            <w:r>
              <w:t>Market Authorisation Application</w:t>
            </w:r>
          </w:p>
        </w:tc>
      </w:tr>
      <w:tr w:rsidR="00707CD0" w:rsidTr="006C1AC1">
        <w:tc>
          <w:tcPr>
            <w:tcW w:w="1890" w:type="dxa"/>
            <w:shd w:val="clear" w:color="auto" w:fill="auto"/>
          </w:tcPr>
          <w:p w:rsidR="00707CD0" w:rsidRPr="00534E7C" w:rsidRDefault="00164898" w:rsidP="006C1AC1">
            <w:pPr>
              <w:ind w:left="170" w:right="170"/>
              <w:rPr>
                <w:color w:val="000000"/>
                <w:szCs w:val="21"/>
                <w:lang w:eastAsia="en-AU"/>
              </w:rPr>
            </w:pPr>
            <w:r>
              <w:lastRenderedPageBreak/>
              <w:t>M = F</w:t>
            </w:r>
          </w:p>
        </w:tc>
        <w:tc>
          <w:tcPr>
            <w:tcW w:w="6911" w:type="dxa"/>
            <w:shd w:val="clear" w:color="auto" w:fill="auto"/>
          </w:tcPr>
          <w:p w:rsidR="00707CD0" w:rsidRPr="00534E7C" w:rsidRDefault="00164898" w:rsidP="006C1AC1">
            <w:pPr>
              <w:ind w:left="170" w:right="170"/>
              <w:rPr>
                <w:color w:val="000000"/>
                <w:szCs w:val="21"/>
                <w:lang w:eastAsia="en-AU"/>
              </w:rPr>
            </w:pPr>
            <w:r>
              <w:t>missing = failure</w:t>
            </w:r>
          </w:p>
        </w:tc>
      </w:tr>
      <w:tr w:rsidR="00707CD0" w:rsidTr="006C1AC1">
        <w:tc>
          <w:tcPr>
            <w:tcW w:w="1890" w:type="dxa"/>
            <w:shd w:val="clear" w:color="auto" w:fill="auto"/>
          </w:tcPr>
          <w:p w:rsidR="00707CD0" w:rsidRPr="00534E7C" w:rsidRDefault="00164898" w:rsidP="006C1AC1">
            <w:pPr>
              <w:ind w:left="170" w:right="170"/>
              <w:rPr>
                <w:color w:val="000000"/>
                <w:szCs w:val="21"/>
                <w:lang w:eastAsia="en-AU"/>
              </w:rPr>
            </w:pPr>
            <w:r>
              <w:t>NC = F</w:t>
            </w:r>
          </w:p>
        </w:tc>
        <w:tc>
          <w:tcPr>
            <w:tcW w:w="6911" w:type="dxa"/>
            <w:shd w:val="clear" w:color="auto" w:fill="auto"/>
          </w:tcPr>
          <w:p w:rsidR="00707CD0" w:rsidRPr="00534E7C" w:rsidRDefault="00164898" w:rsidP="006C1AC1">
            <w:pPr>
              <w:ind w:left="170" w:right="170"/>
              <w:rPr>
                <w:color w:val="000000"/>
                <w:szCs w:val="21"/>
                <w:lang w:eastAsia="en-AU"/>
              </w:rPr>
            </w:pPr>
            <w:proofErr w:type="spellStart"/>
            <w:r>
              <w:t>noncompeter</w:t>
            </w:r>
            <w:proofErr w:type="spellEnd"/>
            <w:r>
              <w:t xml:space="preserve"> = failure</w:t>
            </w:r>
          </w:p>
        </w:tc>
      </w:tr>
      <w:tr w:rsidR="00707CD0" w:rsidTr="006C1AC1">
        <w:tc>
          <w:tcPr>
            <w:tcW w:w="1890" w:type="dxa"/>
            <w:shd w:val="clear" w:color="auto" w:fill="auto"/>
          </w:tcPr>
          <w:p w:rsidR="00707CD0" w:rsidRPr="00534E7C" w:rsidRDefault="007E3ABB" w:rsidP="006C1AC1">
            <w:pPr>
              <w:ind w:left="170" w:right="170"/>
              <w:rPr>
                <w:color w:val="000000"/>
                <w:szCs w:val="21"/>
                <w:lang w:eastAsia="en-AU"/>
              </w:rPr>
            </w:pPr>
            <w:r>
              <w:t>NNRTI</w:t>
            </w:r>
          </w:p>
        </w:tc>
        <w:tc>
          <w:tcPr>
            <w:tcW w:w="6911" w:type="dxa"/>
            <w:shd w:val="clear" w:color="auto" w:fill="auto"/>
          </w:tcPr>
          <w:p w:rsidR="00707CD0" w:rsidRPr="00534E7C" w:rsidRDefault="007E3ABB" w:rsidP="006C1AC1">
            <w:pPr>
              <w:ind w:left="170" w:right="170"/>
              <w:rPr>
                <w:color w:val="000000"/>
                <w:szCs w:val="21"/>
                <w:lang w:eastAsia="en-AU"/>
              </w:rPr>
            </w:pPr>
            <w:r>
              <w:t>non-nucleoside reverse transcriptase inhibitor</w:t>
            </w:r>
          </w:p>
        </w:tc>
      </w:tr>
      <w:tr w:rsidR="00707CD0" w:rsidTr="006C1AC1">
        <w:tc>
          <w:tcPr>
            <w:tcW w:w="1890" w:type="dxa"/>
            <w:shd w:val="clear" w:color="auto" w:fill="auto"/>
          </w:tcPr>
          <w:p w:rsidR="00707CD0" w:rsidRPr="00534E7C" w:rsidRDefault="007E3ABB" w:rsidP="006C1AC1">
            <w:pPr>
              <w:ind w:left="170" w:right="170"/>
              <w:rPr>
                <w:color w:val="000000"/>
                <w:szCs w:val="21"/>
                <w:lang w:eastAsia="en-AU"/>
              </w:rPr>
            </w:pPr>
            <w:r>
              <w:t>NRTI</w:t>
            </w:r>
          </w:p>
        </w:tc>
        <w:tc>
          <w:tcPr>
            <w:tcW w:w="6911" w:type="dxa"/>
            <w:shd w:val="clear" w:color="auto" w:fill="auto"/>
          </w:tcPr>
          <w:p w:rsidR="00707CD0" w:rsidRPr="00534E7C" w:rsidRDefault="007E3ABB" w:rsidP="006C1AC1">
            <w:pPr>
              <w:ind w:left="170" w:right="170"/>
              <w:rPr>
                <w:color w:val="000000"/>
                <w:szCs w:val="21"/>
                <w:lang w:eastAsia="en-AU"/>
              </w:rPr>
            </w:pPr>
            <w:r>
              <w:t>nucleoside reverse transcriptase inhibitor</w:t>
            </w:r>
          </w:p>
        </w:tc>
      </w:tr>
      <w:tr w:rsidR="00707CD0" w:rsidTr="006C1AC1">
        <w:tc>
          <w:tcPr>
            <w:tcW w:w="1890" w:type="dxa"/>
            <w:shd w:val="clear" w:color="auto" w:fill="auto"/>
          </w:tcPr>
          <w:p w:rsidR="00707CD0" w:rsidRPr="00534E7C" w:rsidRDefault="007E3ABB" w:rsidP="006C1AC1">
            <w:pPr>
              <w:ind w:left="170" w:right="170"/>
              <w:rPr>
                <w:color w:val="000000"/>
                <w:szCs w:val="21"/>
                <w:lang w:eastAsia="en-AU"/>
              </w:rPr>
            </w:pPr>
            <w:r>
              <w:t>NFV</w:t>
            </w:r>
          </w:p>
        </w:tc>
        <w:tc>
          <w:tcPr>
            <w:tcW w:w="6911" w:type="dxa"/>
            <w:shd w:val="clear" w:color="auto" w:fill="auto"/>
          </w:tcPr>
          <w:p w:rsidR="00707CD0" w:rsidRPr="00534E7C" w:rsidRDefault="007E3ABB" w:rsidP="006C1AC1">
            <w:pPr>
              <w:ind w:left="170" w:right="170"/>
              <w:rPr>
                <w:color w:val="000000"/>
                <w:szCs w:val="21"/>
                <w:lang w:eastAsia="en-AU"/>
              </w:rPr>
            </w:pPr>
            <w:proofErr w:type="spellStart"/>
            <w:r>
              <w:t>nelfinavir</w:t>
            </w:r>
            <w:proofErr w:type="spellEnd"/>
            <w:r>
              <w:t xml:space="preserve"> (</w:t>
            </w:r>
            <w:proofErr w:type="spellStart"/>
            <w:r>
              <w:t>Viracept</w:t>
            </w:r>
            <w:proofErr w:type="spellEnd"/>
            <w:r>
              <w:t>)</w:t>
            </w:r>
          </w:p>
        </w:tc>
      </w:tr>
      <w:tr w:rsidR="00C54277" w:rsidTr="00C54277">
        <w:tc>
          <w:tcPr>
            <w:tcW w:w="1890" w:type="dxa"/>
            <w:shd w:val="clear" w:color="auto" w:fill="auto"/>
          </w:tcPr>
          <w:p w:rsidR="00C54277" w:rsidRPr="00534E7C" w:rsidRDefault="007E3ABB" w:rsidP="00B40D84">
            <w:pPr>
              <w:ind w:left="170" w:right="170"/>
              <w:rPr>
                <w:color w:val="000000"/>
                <w:szCs w:val="21"/>
                <w:lang w:eastAsia="en-AU"/>
              </w:rPr>
            </w:pPr>
            <w:r>
              <w:t>PACTG</w:t>
            </w:r>
          </w:p>
        </w:tc>
        <w:tc>
          <w:tcPr>
            <w:tcW w:w="6911" w:type="dxa"/>
            <w:shd w:val="clear" w:color="auto" w:fill="auto"/>
          </w:tcPr>
          <w:p w:rsidR="00C54277" w:rsidRPr="00534E7C" w:rsidRDefault="007E3ABB" w:rsidP="00B40D84">
            <w:pPr>
              <w:ind w:left="170" w:right="170"/>
              <w:rPr>
                <w:color w:val="000000"/>
                <w:szCs w:val="21"/>
                <w:lang w:eastAsia="en-AU"/>
              </w:rPr>
            </w:pPr>
            <w:r>
              <w:t>Paediatric AIDS Clinical Trials Group</w:t>
            </w:r>
          </w:p>
        </w:tc>
      </w:tr>
      <w:tr w:rsidR="00C54277" w:rsidTr="00C54277">
        <w:tc>
          <w:tcPr>
            <w:tcW w:w="1890" w:type="dxa"/>
            <w:shd w:val="clear" w:color="auto" w:fill="auto"/>
          </w:tcPr>
          <w:p w:rsidR="00C54277" w:rsidRPr="00534E7C" w:rsidRDefault="00CC4AF0" w:rsidP="00B40D84">
            <w:pPr>
              <w:ind w:left="170" w:right="170"/>
              <w:rPr>
                <w:color w:val="000000"/>
                <w:szCs w:val="21"/>
                <w:lang w:eastAsia="en-AU"/>
              </w:rPr>
            </w:pPr>
            <w:r>
              <w:t>PI</w:t>
            </w:r>
          </w:p>
        </w:tc>
        <w:tc>
          <w:tcPr>
            <w:tcW w:w="6911" w:type="dxa"/>
            <w:shd w:val="clear" w:color="auto" w:fill="auto"/>
          </w:tcPr>
          <w:p w:rsidR="00C54277" w:rsidRPr="00534E7C" w:rsidRDefault="00CC4AF0" w:rsidP="00B40D84">
            <w:pPr>
              <w:ind w:left="170" w:right="170"/>
              <w:rPr>
                <w:color w:val="000000"/>
                <w:szCs w:val="21"/>
                <w:lang w:eastAsia="en-AU"/>
              </w:rPr>
            </w:pPr>
            <w:r>
              <w:t>protease inhibitor</w:t>
            </w:r>
          </w:p>
        </w:tc>
      </w:tr>
      <w:tr w:rsidR="00CC4AF0" w:rsidTr="006C1AC1">
        <w:tc>
          <w:tcPr>
            <w:tcW w:w="1890" w:type="dxa"/>
            <w:shd w:val="clear" w:color="auto" w:fill="auto"/>
          </w:tcPr>
          <w:p w:rsidR="00CC4AF0" w:rsidRPr="00534E7C" w:rsidRDefault="00036629" w:rsidP="006C1AC1">
            <w:pPr>
              <w:ind w:left="170" w:right="170"/>
              <w:rPr>
                <w:color w:val="000000"/>
                <w:szCs w:val="21"/>
                <w:lang w:eastAsia="en-AU"/>
              </w:rPr>
            </w:pPr>
            <w:r>
              <w:t>RNA</w:t>
            </w:r>
          </w:p>
        </w:tc>
        <w:tc>
          <w:tcPr>
            <w:tcW w:w="6911" w:type="dxa"/>
            <w:shd w:val="clear" w:color="auto" w:fill="auto"/>
          </w:tcPr>
          <w:p w:rsidR="00CC4AF0" w:rsidRPr="00534E7C" w:rsidRDefault="00036629" w:rsidP="006C1AC1">
            <w:pPr>
              <w:ind w:left="170" w:right="170"/>
              <w:rPr>
                <w:color w:val="000000"/>
                <w:szCs w:val="21"/>
                <w:lang w:eastAsia="en-AU"/>
              </w:rPr>
            </w:pPr>
            <w:r>
              <w:t>ribonucleic acid</w:t>
            </w:r>
          </w:p>
        </w:tc>
      </w:tr>
      <w:tr w:rsidR="00CC4AF0" w:rsidTr="006C1AC1">
        <w:tc>
          <w:tcPr>
            <w:tcW w:w="1890" w:type="dxa"/>
            <w:shd w:val="clear" w:color="auto" w:fill="auto"/>
          </w:tcPr>
          <w:p w:rsidR="00CC4AF0" w:rsidRPr="00534E7C" w:rsidRDefault="00036629" w:rsidP="006C1AC1">
            <w:pPr>
              <w:ind w:left="170" w:right="170"/>
              <w:rPr>
                <w:color w:val="000000"/>
                <w:szCs w:val="21"/>
                <w:lang w:eastAsia="en-AU"/>
              </w:rPr>
            </w:pPr>
            <w:r>
              <w:t>RTV</w:t>
            </w:r>
          </w:p>
        </w:tc>
        <w:tc>
          <w:tcPr>
            <w:tcW w:w="6911" w:type="dxa"/>
            <w:shd w:val="clear" w:color="auto" w:fill="auto"/>
          </w:tcPr>
          <w:p w:rsidR="00CC4AF0" w:rsidRPr="00534E7C" w:rsidRDefault="00036629" w:rsidP="006C1AC1">
            <w:pPr>
              <w:ind w:left="170" w:right="170"/>
              <w:rPr>
                <w:color w:val="000000"/>
                <w:szCs w:val="21"/>
                <w:lang w:eastAsia="en-AU"/>
              </w:rPr>
            </w:pPr>
            <w:r>
              <w:t>ritonavir (</w:t>
            </w:r>
            <w:proofErr w:type="spellStart"/>
            <w:r>
              <w:t>Norvir</w:t>
            </w:r>
            <w:proofErr w:type="spellEnd"/>
            <w:r>
              <w:t>)</w:t>
            </w:r>
          </w:p>
        </w:tc>
      </w:tr>
      <w:tr w:rsidR="00CC4AF0" w:rsidTr="006C1AC1">
        <w:tc>
          <w:tcPr>
            <w:tcW w:w="1890" w:type="dxa"/>
            <w:shd w:val="clear" w:color="auto" w:fill="auto"/>
          </w:tcPr>
          <w:p w:rsidR="00CC4AF0" w:rsidRPr="00534E7C" w:rsidRDefault="00036629" w:rsidP="006C1AC1">
            <w:pPr>
              <w:ind w:left="170" w:right="170"/>
              <w:rPr>
                <w:color w:val="000000"/>
                <w:szCs w:val="21"/>
                <w:lang w:eastAsia="en-AU"/>
              </w:rPr>
            </w:pPr>
            <w:r>
              <w:t>SAE</w:t>
            </w:r>
          </w:p>
        </w:tc>
        <w:tc>
          <w:tcPr>
            <w:tcW w:w="6911" w:type="dxa"/>
            <w:shd w:val="clear" w:color="auto" w:fill="auto"/>
          </w:tcPr>
          <w:p w:rsidR="00CC4AF0" w:rsidRPr="00534E7C" w:rsidRDefault="00036629" w:rsidP="006C1AC1">
            <w:pPr>
              <w:ind w:left="170" w:right="170"/>
              <w:rPr>
                <w:color w:val="000000"/>
                <w:szCs w:val="21"/>
                <w:lang w:eastAsia="en-AU"/>
              </w:rPr>
            </w:pPr>
            <w:r>
              <w:t>serious adverse event</w:t>
            </w:r>
          </w:p>
        </w:tc>
      </w:tr>
      <w:tr w:rsidR="00CC4AF0" w:rsidTr="006C1AC1">
        <w:tc>
          <w:tcPr>
            <w:tcW w:w="1890" w:type="dxa"/>
            <w:shd w:val="clear" w:color="auto" w:fill="auto"/>
          </w:tcPr>
          <w:p w:rsidR="00CC4AF0" w:rsidRPr="00534E7C" w:rsidRDefault="00036629" w:rsidP="006C1AC1">
            <w:pPr>
              <w:ind w:left="170" w:right="170"/>
              <w:rPr>
                <w:color w:val="000000"/>
                <w:szCs w:val="21"/>
                <w:lang w:eastAsia="en-AU"/>
              </w:rPr>
            </w:pPr>
            <w:r>
              <w:t>SDMC</w:t>
            </w:r>
          </w:p>
        </w:tc>
        <w:tc>
          <w:tcPr>
            <w:tcW w:w="6911" w:type="dxa"/>
            <w:shd w:val="clear" w:color="auto" w:fill="auto"/>
          </w:tcPr>
          <w:p w:rsidR="00CC4AF0" w:rsidRPr="00534E7C" w:rsidRDefault="00036629" w:rsidP="006C1AC1">
            <w:pPr>
              <w:ind w:left="170" w:right="170"/>
              <w:rPr>
                <w:color w:val="000000"/>
                <w:szCs w:val="21"/>
                <w:lang w:eastAsia="en-AU"/>
              </w:rPr>
            </w:pPr>
            <w:r>
              <w:t>Statistical and Data Management Centre</w:t>
            </w:r>
          </w:p>
        </w:tc>
      </w:tr>
      <w:tr w:rsidR="00CC4AF0" w:rsidTr="006C1AC1">
        <w:tc>
          <w:tcPr>
            <w:tcW w:w="1890" w:type="dxa"/>
            <w:shd w:val="clear" w:color="auto" w:fill="auto"/>
          </w:tcPr>
          <w:p w:rsidR="00CC4AF0" w:rsidRPr="00534E7C" w:rsidRDefault="00036629" w:rsidP="006C1AC1">
            <w:pPr>
              <w:ind w:left="170" w:right="170"/>
              <w:rPr>
                <w:color w:val="000000"/>
                <w:szCs w:val="21"/>
                <w:lang w:eastAsia="en-AU"/>
              </w:rPr>
            </w:pPr>
            <w:r>
              <w:t>T</w:t>
            </w:r>
            <w:r>
              <w:rPr>
                <w:vertAlign w:val="subscript"/>
              </w:rPr>
              <w:t>1/2</w:t>
            </w:r>
          </w:p>
        </w:tc>
        <w:tc>
          <w:tcPr>
            <w:tcW w:w="6911" w:type="dxa"/>
            <w:shd w:val="clear" w:color="auto" w:fill="auto"/>
          </w:tcPr>
          <w:p w:rsidR="00CC4AF0" w:rsidRPr="00534E7C" w:rsidRDefault="00036629" w:rsidP="006C1AC1">
            <w:pPr>
              <w:ind w:left="170" w:right="170"/>
              <w:rPr>
                <w:color w:val="000000"/>
                <w:szCs w:val="21"/>
                <w:lang w:eastAsia="en-AU"/>
              </w:rPr>
            </w:pPr>
            <w:r>
              <w:t>elimination half-life</w:t>
            </w:r>
          </w:p>
        </w:tc>
      </w:tr>
      <w:tr w:rsidR="00CC4AF0" w:rsidTr="006C1AC1">
        <w:tc>
          <w:tcPr>
            <w:tcW w:w="1890" w:type="dxa"/>
            <w:shd w:val="clear" w:color="auto" w:fill="auto"/>
          </w:tcPr>
          <w:p w:rsidR="00CC4AF0" w:rsidRPr="00534E7C" w:rsidRDefault="00036629" w:rsidP="006C1AC1">
            <w:pPr>
              <w:ind w:left="170" w:right="170"/>
              <w:rPr>
                <w:color w:val="000000"/>
                <w:szCs w:val="21"/>
                <w:lang w:eastAsia="en-AU"/>
              </w:rPr>
            </w:pPr>
            <w:r>
              <w:t>TLOVR</w:t>
            </w:r>
          </w:p>
        </w:tc>
        <w:tc>
          <w:tcPr>
            <w:tcW w:w="6911" w:type="dxa"/>
            <w:shd w:val="clear" w:color="auto" w:fill="auto"/>
          </w:tcPr>
          <w:p w:rsidR="00CC4AF0" w:rsidRPr="00534E7C" w:rsidRDefault="00036629" w:rsidP="006C1AC1">
            <w:pPr>
              <w:ind w:left="170" w:right="170"/>
              <w:rPr>
                <w:color w:val="000000"/>
                <w:szCs w:val="21"/>
                <w:lang w:eastAsia="en-AU"/>
              </w:rPr>
            </w:pPr>
            <w:r>
              <w:t xml:space="preserve">time to loss of </w:t>
            </w:r>
            <w:proofErr w:type="spellStart"/>
            <w:r>
              <w:t>virologic</w:t>
            </w:r>
            <w:proofErr w:type="spellEnd"/>
            <w:r>
              <w:t xml:space="preserve"> response</w:t>
            </w:r>
          </w:p>
        </w:tc>
      </w:tr>
      <w:tr w:rsidR="00CC4AF0" w:rsidTr="006C1AC1">
        <w:tc>
          <w:tcPr>
            <w:tcW w:w="1890" w:type="dxa"/>
            <w:shd w:val="clear" w:color="auto" w:fill="auto"/>
          </w:tcPr>
          <w:p w:rsidR="00CC4AF0" w:rsidRPr="00534E7C" w:rsidRDefault="004241B2" w:rsidP="006C1AC1">
            <w:pPr>
              <w:ind w:left="170" w:right="170"/>
              <w:rPr>
                <w:color w:val="000000"/>
                <w:szCs w:val="21"/>
                <w:lang w:eastAsia="en-AU"/>
              </w:rPr>
            </w:pPr>
            <w:proofErr w:type="spellStart"/>
            <w:r>
              <w:t>T</w:t>
            </w:r>
            <w:r>
              <w:rPr>
                <w:vertAlign w:val="subscript"/>
              </w:rPr>
              <w:t>max</w:t>
            </w:r>
            <w:proofErr w:type="spellEnd"/>
          </w:p>
        </w:tc>
        <w:tc>
          <w:tcPr>
            <w:tcW w:w="6911" w:type="dxa"/>
            <w:shd w:val="clear" w:color="auto" w:fill="auto"/>
          </w:tcPr>
          <w:p w:rsidR="00CC4AF0" w:rsidRPr="00534E7C" w:rsidRDefault="004241B2" w:rsidP="006C1AC1">
            <w:pPr>
              <w:ind w:left="170" w:right="170"/>
              <w:rPr>
                <w:color w:val="000000"/>
                <w:szCs w:val="21"/>
                <w:lang w:eastAsia="en-AU"/>
              </w:rPr>
            </w:pPr>
            <w:r>
              <w:t>time to maximum plasma concentration</w:t>
            </w:r>
          </w:p>
        </w:tc>
      </w:tr>
      <w:tr w:rsidR="00CC4AF0" w:rsidTr="006C1AC1">
        <w:tc>
          <w:tcPr>
            <w:tcW w:w="1890" w:type="dxa"/>
            <w:shd w:val="clear" w:color="auto" w:fill="auto"/>
          </w:tcPr>
          <w:p w:rsidR="00CC4AF0" w:rsidRPr="00534E7C" w:rsidRDefault="004241B2" w:rsidP="006C1AC1">
            <w:pPr>
              <w:ind w:left="170" w:right="170"/>
              <w:rPr>
                <w:color w:val="000000"/>
                <w:szCs w:val="21"/>
                <w:lang w:eastAsia="en-AU"/>
              </w:rPr>
            </w:pPr>
            <w:r>
              <w:t>ZDV</w:t>
            </w:r>
          </w:p>
        </w:tc>
        <w:tc>
          <w:tcPr>
            <w:tcW w:w="6911" w:type="dxa"/>
            <w:shd w:val="clear" w:color="auto" w:fill="auto"/>
          </w:tcPr>
          <w:p w:rsidR="00CC4AF0" w:rsidRPr="00534E7C" w:rsidRDefault="004241B2" w:rsidP="006C1AC1">
            <w:pPr>
              <w:ind w:left="170" w:right="170"/>
              <w:rPr>
                <w:color w:val="000000"/>
                <w:szCs w:val="21"/>
                <w:lang w:eastAsia="en-AU"/>
              </w:rPr>
            </w:pPr>
            <w:proofErr w:type="spellStart"/>
            <w:r>
              <w:t>zidovudine</w:t>
            </w:r>
            <w:proofErr w:type="spellEnd"/>
          </w:p>
        </w:tc>
      </w:tr>
    </w:tbl>
    <w:p w:rsidR="00586F98" w:rsidRDefault="00586F98" w:rsidP="0035594E">
      <w:pPr>
        <w:pStyle w:val="Heading2"/>
        <w:rPr>
          <w:lang w:eastAsia="en-AU"/>
        </w:rPr>
      </w:pPr>
      <w:bookmarkStart w:id="8" w:name="_Toc351718900"/>
      <w:bookmarkStart w:id="9" w:name="_Toc355338635"/>
      <w:bookmarkStart w:id="10" w:name="_Toc391987961"/>
      <w:r>
        <w:rPr>
          <w:lang w:eastAsia="en-AU"/>
        </w:rPr>
        <w:t>Clinical rationale</w:t>
      </w:r>
      <w:bookmarkEnd w:id="10"/>
    </w:p>
    <w:p w:rsidR="00456FAD" w:rsidRDefault="00456FAD" w:rsidP="0035594E">
      <w:proofErr w:type="spellStart"/>
      <w:r>
        <w:t>Emtricitabine</w:t>
      </w:r>
      <w:proofErr w:type="spellEnd"/>
      <w:r>
        <w:t xml:space="preserve"> (</w:t>
      </w:r>
      <w:proofErr w:type="spellStart"/>
      <w:r>
        <w:t>Emtriva</w:t>
      </w:r>
      <w:proofErr w:type="spellEnd"/>
      <w:r>
        <w:t xml:space="preserve">, FTC) is an approved nucleoside </w:t>
      </w:r>
      <w:proofErr w:type="spellStart"/>
      <w:r>
        <w:t>transciptase</w:t>
      </w:r>
      <w:proofErr w:type="spellEnd"/>
      <w:r>
        <w:t xml:space="preserve"> inhibitor (NRTI) administrated once daily in combination with other antiretroviral agents for the treatment of human immunodeficiency virus type 1 (HIV-1) infection. The 200</w:t>
      </w:r>
      <w:r w:rsidR="006044A0">
        <w:t xml:space="preserve"> </w:t>
      </w:r>
      <w:r>
        <w:t>mg hard capsule formulation is approved in Australia for use</w:t>
      </w:r>
      <w:r w:rsidR="0035594E">
        <w:t xml:space="preserve"> in adult populations.</w:t>
      </w:r>
    </w:p>
    <w:p w:rsidR="00456FAD" w:rsidRDefault="00456FAD" w:rsidP="0035594E">
      <w:r>
        <w:t>The objective of this application is to provide data to support the extension of age indication to paediatric populations aged 12-17 years and weighting &gt;33kg. Data to support the application is from three 48-week pharmacokinetic, efficacy and safety studies in paediatric patients (studies FTC-203, FTC-202 and FTC-211). These studies involve 164 paediatric patients less than 18 years of age, with a median duration of exposure of 96.1 weeks.</w:t>
      </w:r>
    </w:p>
    <w:p w:rsidR="00456FAD" w:rsidRDefault="00456FAD" w:rsidP="0035594E">
      <w:r>
        <w:t>Paediatric HIV infection remains a major therapeutic challenge both in under-privileged se</w:t>
      </w:r>
      <w:r w:rsidR="00EE711D">
        <w:t>ttings and high-income countries</w:t>
      </w:r>
      <w:r>
        <w:t xml:space="preserve">. Although treatment of HIV in paediatric patients shares common characteristics with the adult population, there are considerations of particular importance to the paediatric population. Maximal suppression of viral replication and reduction and delay in the emergence of drug resistant viral variants is as important for children as it is for adults. Poor adherence is a major determinant of failure of highly active antiretroviral therapy (HAART) and suboptimal adherence is a common problem among children. Thus, any measures that may </w:t>
      </w:r>
      <w:r>
        <w:lastRenderedPageBreak/>
        <w:t>enhance adherence, such as ease of administration, palatability, and once-daily dosing, have the potential to make a substantial impact on therapeutic response in this population. In addition, a low risk of drug-drug interactions and the ability to administer medication with or without regard to food increase the versatility of antiretroviral regimen.</w:t>
      </w:r>
    </w:p>
    <w:p w:rsidR="006F0E7C" w:rsidRPr="0045396F" w:rsidRDefault="006F0E7C" w:rsidP="006F0E7C">
      <w:pPr>
        <w:ind w:left="567"/>
        <w:rPr>
          <w:i/>
        </w:rPr>
      </w:pPr>
      <w:r w:rsidRPr="0045396F">
        <w:rPr>
          <w:i/>
        </w:rPr>
        <w:t xml:space="preserve">Comment: The above summary is taken from the </w:t>
      </w:r>
      <w:r w:rsidR="00CF7DC7" w:rsidRPr="0045396F">
        <w:rPr>
          <w:i/>
        </w:rPr>
        <w:t>s</w:t>
      </w:r>
      <w:r w:rsidRPr="0045396F">
        <w:rPr>
          <w:i/>
        </w:rPr>
        <w:t>ponsor’s clinical summary.  The need for simple dosing regimens to improve patient compliance is an important consideration in adolescent medicine where the treatment of chronic disease and treatment compliance is a recognised challenge.</w:t>
      </w:r>
    </w:p>
    <w:p w:rsidR="00586F98" w:rsidRDefault="00586F98" w:rsidP="0035594E">
      <w:pPr>
        <w:pStyle w:val="Heading2"/>
        <w:rPr>
          <w:lang w:eastAsia="en-AU"/>
        </w:rPr>
      </w:pPr>
      <w:bookmarkStart w:id="11" w:name="_Toc391987962"/>
      <w:r>
        <w:rPr>
          <w:lang w:eastAsia="en-AU"/>
        </w:rPr>
        <w:t xml:space="preserve">Contents of </w:t>
      </w:r>
      <w:r w:rsidRPr="0035594E">
        <w:t>the</w:t>
      </w:r>
      <w:r>
        <w:rPr>
          <w:lang w:eastAsia="en-AU"/>
        </w:rPr>
        <w:t xml:space="preserve"> clinical dossier</w:t>
      </w:r>
      <w:bookmarkEnd w:id="8"/>
      <w:bookmarkEnd w:id="9"/>
      <w:bookmarkEnd w:id="11"/>
    </w:p>
    <w:p w:rsidR="00586F98" w:rsidRDefault="00586F98" w:rsidP="0035594E">
      <w:pPr>
        <w:pStyle w:val="Heading3"/>
      </w:pPr>
      <w:bookmarkStart w:id="12" w:name="_Toc391987963"/>
      <w:r>
        <w:t>Scope of the clinical dossier</w:t>
      </w:r>
      <w:bookmarkEnd w:id="12"/>
    </w:p>
    <w:p w:rsidR="00C402CF" w:rsidRDefault="00C402CF" w:rsidP="0035594E">
      <w:r>
        <w:t>The submission contained the following clinical information:</w:t>
      </w:r>
    </w:p>
    <w:p w:rsidR="00C402CF" w:rsidRPr="0035594E" w:rsidRDefault="00C402CF" w:rsidP="0035594E">
      <w:pPr>
        <w:pStyle w:val="ListBullet"/>
      </w:pPr>
      <w:r w:rsidRPr="0035594E">
        <w:t>3 pivotal efficacy/safety studies;</w:t>
      </w:r>
    </w:p>
    <w:p w:rsidR="00C402CF" w:rsidRPr="0035594E" w:rsidRDefault="00C402CF" w:rsidP="0035594E">
      <w:pPr>
        <w:pStyle w:val="ListBullet"/>
      </w:pPr>
      <w:r w:rsidRPr="0035594E">
        <w:t xml:space="preserve">Most recent Periodic Safety Update Report (PSUR) for </w:t>
      </w:r>
      <w:proofErr w:type="spellStart"/>
      <w:r w:rsidRPr="0035594E">
        <w:t>Emtriva</w:t>
      </w:r>
      <w:proofErr w:type="spellEnd"/>
      <w:r w:rsidRPr="0035594E">
        <w:t>, covering the period 3 April 2011 through to 2 April 2012.</w:t>
      </w:r>
    </w:p>
    <w:p w:rsidR="00586F98" w:rsidRDefault="00586F98" w:rsidP="0035594E">
      <w:pPr>
        <w:pStyle w:val="Heading3"/>
      </w:pPr>
      <w:bookmarkStart w:id="13" w:name="_Toc391987964"/>
      <w:r>
        <w:t>Paediatric data</w:t>
      </w:r>
      <w:bookmarkEnd w:id="13"/>
    </w:p>
    <w:p w:rsidR="00586F98" w:rsidRPr="00EB4415" w:rsidRDefault="00EB4415" w:rsidP="0035594E">
      <w:r w:rsidRPr="00EB4415">
        <w:t>The submission included paediatric efficacy and safety data.</w:t>
      </w:r>
    </w:p>
    <w:p w:rsidR="00586F98" w:rsidRDefault="00586F98" w:rsidP="0035594E">
      <w:pPr>
        <w:pStyle w:val="Heading3"/>
      </w:pPr>
      <w:bookmarkStart w:id="14" w:name="_Toc391987965"/>
      <w:r>
        <w:t>Good clinical practice</w:t>
      </w:r>
      <w:bookmarkEnd w:id="14"/>
    </w:p>
    <w:p w:rsidR="00586F98" w:rsidRPr="00EB4415" w:rsidRDefault="00EB4415" w:rsidP="0035594E">
      <w:r w:rsidRPr="00EB4415">
        <w:t>The applicant stated that all trials were conducted following contemporary Good Clinical Practice guidelines and considerations for the ethical treatment of human subjects.</w:t>
      </w:r>
    </w:p>
    <w:p w:rsidR="00586F98" w:rsidRDefault="00586F98" w:rsidP="0035594E">
      <w:pPr>
        <w:pStyle w:val="Heading2"/>
      </w:pPr>
      <w:bookmarkStart w:id="15" w:name="_Toc355338639"/>
      <w:bookmarkStart w:id="16" w:name="_Toc391987966"/>
      <w:r w:rsidRPr="0035594E">
        <w:t>Pharmacokinetics</w:t>
      </w:r>
      <w:bookmarkEnd w:id="15"/>
      <w:bookmarkEnd w:id="16"/>
      <w:r>
        <w:t xml:space="preserve"> </w:t>
      </w:r>
    </w:p>
    <w:p w:rsidR="00246349" w:rsidRDefault="00246349" w:rsidP="0035594E">
      <w:pPr>
        <w:pStyle w:val="Heading3"/>
      </w:pPr>
      <w:bookmarkStart w:id="17" w:name="_Ref271017296"/>
      <w:bookmarkStart w:id="18" w:name="_Ref271018924"/>
      <w:bookmarkStart w:id="19" w:name="_Ref271018934"/>
      <w:bookmarkStart w:id="20" w:name="_Toc272414614"/>
      <w:bookmarkStart w:id="21" w:name="_Toc290846238"/>
      <w:bookmarkStart w:id="22" w:name="_Toc342047580"/>
      <w:bookmarkStart w:id="23" w:name="_Toc391987967"/>
      <w:r>
        <w:t>Studies</w:t>
      </w:r>
      <w:bookmarkEnd w:id="17"/>
      <w:bookmarkEnd w:id="18"/>
      <w:bookmarkEnd w:id="19"/>
      <w:r>
        <w:t xml:space="preserve"> providing pharmacokinetic data</w:t>
      </w:r>
      <w:bookmarkEnd w:id="20"/>
      <w:bookmarkEnd w:id="21"/>
      <w:bookmarkEnd w:id="22"/>
      <w:bookmarkEnd w:id="23"/>
    </w:p>
    <w:p w:rsidR="00246349" w:rsidRPr="00246349" w:rsidRDefault="00246349" w:rsidP="0035594E">
      <w:r>
        <w:t xml:space="preserve">Table 1 </w:t>
      </w:r>
      <w:r w:rsidRPr="00246349">
        <w:t>shows the studies relating to each pharmacokinetic topic and the location of each study summary.</w:t>
      </w:r>
    </w:p>
    <w:p w:rsidR="005541A2" w:rsidRDefault="005541A2" w:rsidP="0035594E">
      <w:pPr>
        <w:pStyle w:val="TableTitle"/>
      </w:pPr>
      <w:r>
        <w:t>Table 1:</w:t>
      </w:r>
      <w:r w:rsidRPr="004C5C28">
        <w:t xml:space="preserve"> </w:t>
      </w:r>
      <w:r w:rsidRPr="0035594E">
        <w:t>Submitted</w:t>
      </w:r>
      <w:r w:rsidRPr="005541A2">
        <w:t xml:space="preserve"> pharmacokinetic studies</w:t>
      </w:r>
      <w:r>
        <w:t>.</w:t>
      </w:r>
    </w:p>
    <w:p w:rsidR="00586F98" w:rsidRDefault="00366D1C" w:rsidP="00586F98">
      <w:r>
        <w:rPr>
          <w:noProof/>
          <w:lang w:eastAsia="en-AU"/>
        </w:rPr>
        <w:drawing>
          <wp:inline distT="0" distB="0" distL="0" distR="0">
            <wp:extent cx="3644265" cy="642620"/>
            <wp:effectExtent l="0" t="0" r="0" b="5080"/>
            <wp:docPr id="19" name="Picture 1" descr="Table 1: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Submitted pharmacokinetic stud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4265" cy="642620"/>
                    </a:xfrm>
                    <a:prstGeom prst="rect">
                      <a:avLst/>
                    </a:prstGeom>
                    <a:noFill/>
                    <a:ln>
                      <a:noFill/>
                    </a:ln>
                  </pic:spPr>
                </pic:pic>
              </a:graphicData>
            </a:graphic>
          </wp:inline>
        </w:drawing>
      </w:r>
    </w:p>
    <w:p w:rsidR="00356065" w:rsidRDefault="00356065" w:rsidP="0035594E">
      <w:r>
        <w:t>None of the pharmacokinetic studies had deficiencies that excluded their results from consideration.</w:t>
      </w:r>
    </w:p>
    <w:p w:rsidR="00356065" w:rsidRDefault="00356065" w:rsidP="0035594E">
      <w:pPr>
        <w:pStyle w:val="Heading3"/>
      </w:pPr>
      <w:bookmarkStart w:id="24" w:name="_Ref269118175"/>
      <w:bookmarkStart w:id="25" w:name="_Toc272414616"/>
      <w:bookmarkStart w:id="26" w:name="_Toc290846239"/>
      <w:bookmarkStart w:id="27" w:name="_Toc342047582"/>
      <w:bookmarkStart w:id="28" w:name="_Toc391987968"/>
      <w:r>
        <w:t>Summary of pharmacokinetics</w:t>
      </w:r>
      <w:bookmarkEnd w:id="24"/>
      <w:bookmarkEnd w:id="25"/>
      <w:bookmarkEnd w:id="26"/>
      <w:bookmarkEnd w:id="27"/>
      <w:bookmarkEnd w:id="28"/>
    </w:p>
    <w:p w:rsidR="00356065" w:rsidRPr="00356065" w:rsidRDefault="00356065" w:rsidP="0035594E">
      <w:r w:rsidRPr="00356065">
        <w:t>The information in the following summary is derived from conventional pharmacokinetic studies unless otherwise stated.</w:t>
      </w:r>
    </w:p>
    <w:p w:rsidR="00356065" w:rsidRPr="00356065" w:rsidRDefault="00356065" w:rsidP="0035594E">
      <w:r w:rsidRPr="00356065">
        <w:t>Studies FTC-202, FTC-203 and FTC-211 provided information on pharmacokinetics.  The pharmacokinetic endpoints were:</w:t>
      </w:r>
    </w:p>
    <w:p w:rsidR="00356065" w:rsidRPr="0035594E" w:rsidRDefault="007B2E9A" w:rsidP="0035594E">
      <w:pPr>
        <w:pStyle w:val="ListBullet"/>
      </w:pPr>
      <w:r w:rsidRPr="0035594E">
        <w:lastRenderedPageBreak/>
        <w:t>Steady-state daily (0-24 h</w:t>
      </w:r>
      <w:r w:rsidR="00356065" w:rsidRPr="0035594E">
        <w:t>) plasma area under the concentration-time curve</w:t>
      </w:r>
      <w:r w:rsidR="00935D4B" w:rsidRPr="0035594E">
        <w:t xml:space="preserve"> </w:t>
      </w:r>
      <w:r w:rsidR="00356065" w:rsidRPr="0035594E">
        <w:t xml:space="preserve">(AUC) of </w:t>
      </w:r>
      <w:proofErr w:type="spellStart"/>
      <w:r w:rsidR="00356065" w:rsidRPr="0035594E">
        <w:t>emtricitabine</w:t>
      </w:r>
      <w:proofErr w:type="spellEnd"/>
      <w:r w:rsidR="00356065" w:rsidRPr="0035594E">
        <w:t xml:space="preserve"> performed at Week 2, and between Weeks 8 to 24 if dose adjustments were required</w:t>
      </w:r>
      <w:r w:rsidR="00935D4B" w:rsidRPr="0035594E">
        <w:t>;</w:t>
      </w:r>
    </w:p>
    <w:p w:rsidR="00356065" w:rsidRPr="0035594E" w:rsidRDefault="00356065" w:rsidP="0035594E">
      <w:pPr>
        <w:pStyle w:val="ListBullet"/>
      </w:pPr>
      <w:proofErr w:type="spellStart"/>
      <w:r w:rsidRPr="0035594E">
        <w:t>Emtricitabine</w:t>
      </w:r>
      <w:proofErr w:type="spellEnd"/>
      <w:r w:rsidRPr="0035594E">
        <w:t xml:space="preserve"> plasma trough concentration at steady state</w:t>
      </w:r>
      <w:r w:rsidR="00935D4B" w:rsidRPr="0035594E">
        <w:t>.</w:t>
      </w:r>
    </w:p>
    <w:p w:rsidR="00356065" w:rsidRPr="008348CD" w:rsidRDefault="00356065" w:rsidP="0035594E">
      <w:pPr>
        <w:pStyle w:val="Heading4"/>
      </w:pPr>
      <w:bookmarkStart w:id="29" w:name="_Toc241374292"/>
      <w:bookmarkStart w:id="30" w:name="_Ref271189131"/>
      <w:bookmarkStart w:id="31" w:name="_Ref271189136"/>
      <w:bookmarkStart w:id="32" w:name="_Toc272414625"/>
      <w:bookmarkStart w:id="33" w:name="_Toc290846248"/>
      <w:bookmarkStart w:id="34" w:name="_Toc342047583"/>
      <w:r w:rsidRPr="008348CD">
        <w:t>Pharmacokinetics in the target population</w:t>
      </w:r>
      <w:bookmarkEnd w:id="29"/>
      <w:bookmarkEnd w:id="30"/>
      <w:bookmarkEnd w:id="31"/>
      <w:bookmarkEnd w:id="32"/>
      <w:bookmarkEnd w:id="33"/>
      <w:bookmarkEnd w:id="34"/>
    </w:p>
    <w:p w:rsidR="00356065" w:rsidRDefault="00356065" w:rsidP="0035594E">
      <w:pPr>
        <w:pStyle w:val="Heading5"/>
      </w:pPr>
      <w:bookmarkStart w:id="35" w:name="_Toc342047584"/>
      <w:r>
        <w:t>Study FTC-202</w:t>
      </w:r>
      <w:bookmarkEnd w:id="35"/>
    </w:p>
    <w:p w:rsidR="00356065" w:rsidRPr="00356065" w:rsidRDefault="00356065" w:rsidP="0035594E">
      <w:r w:rsidRPr="00356065">
        <w:t xml:space="preserve">All subjects underwent </w:t>
      </w:r>
      <w:r w:rsidR="007B2E9A">
        <w:t>an intensive (0-24 h</w:t>
      </w:r>
      <w:r w:rsidRPr="00356065">
        <w:t xml:space="preserve">) pharmacokinetic study after 2 weeks on the recommended dose regimen in study FTC-202. Plasma samples were assayed for </w:t>
      </w:r>
      <w:proofErr w:type="spellStart"/>
      <w:r w:rsidRPr="00356065">
        <w:t>emtricitabine</w:t>
      </w:r>
      <w:proofErr w:type="spellEnd"/>
      <w:r w:rsidRPr="00356065">
        <w:t xml:space="preserve">, </w:t>
      </w:r>
      <w:proofErr w:type="spellStart"/>
      <w:r w:rsidRPr="00356065">
        <w:t>efavirenz</w:t>
      </w:r>
      <w:proofErr w:type="spellEnd"/>
      <w:r w:rsidRPr="00356065">
        <w:t xml:space="preserve"> and </w:t>
      </w:r>
      <w:proofErr w:type="spellStart"/>
      <w:r w:rsidRPr="00356065">
        <w:t>ddI</w:t>
      </w:r>
      <w:proofErr w:type="spellEnd"/>
      <w:r w:rsidRPr="00356065">
        <w:t xml:space="preserve">. For Age Groups 2 and 3, the need for dose adjustments was determined after the Week 2 pharmacokinetic data for the initial 8 subjects enrolled into these two age groups were analysed. No adjustment for </w:t>
      </w:r>
      <w:proofErr w:type="spellStart"/>
      <w:r w:rsidRPr="00356065">
        <w:t>emtricitabine</w:t>
      </w:r>
      <w:proofErr w:type="spellEnd"/>
      <w:r w:rsidRPr="00356065">
        <w:t xml:space="preserve"> was required.</w:t>
      </w:r>
    </w:p>
    <w:p w:rsidR="00356065" w:rsidRPr="0087517F" w:rsidRDefault="00356065" w:rsidP="0035594E">
      <w:pPr>
        <w:pStyle w:val="Heading6"/>
      </w:pPr>
      <w:r w:rsidRPr="0087517F">
        <w:t xml:space="preserve">Data </w:t>
      </w:r>
      <w:r w:rsidR="0035594E">
        <w:t>a</w:t>
      </w:r>
      <w:r w:rsidRPr="0087517F">
        <w:t>nalysis</w:t>
      </w:r>
    </w:p>
    <w:p w:rsidR="00356065" w:rsidRPr="00356065" w:rsidRDefault="00356065" w:rsidP="0035594E">
      <w:r w:rsidRPr="00356065">
        <w:t xml:space="preserve">The initial pharmacokinetic </w:t>
      </w:r>
      <w:proofErr w:type="spellStart"/>
      <w:r w:rsidRPr="00356065">
        <w:t>emtricitabine</w:t>
      </w:r>
      <w:proofErr w:type="spellEnd"/>
      <w:r w:rsidRPr="00356065">
        <w:t xml:space="preserve"> analysis was a non-compartmental evaluation to provide preliminary estimates of AUC, </w:t>
      </w:r>
      <w:proofErr w:type="spellStart"/>
      <w:r w:rsidRPr="00356065">
        <w:t>C</w:t>
      </w:r>
      <w:r w:rsidRPr="007B2E9A">
        <w:rPr>
          <w:vertAlign w:val="subscript"/>
        </w:rPr>
        <w:t>max</w:t>
      </w:r>
      <w:proofErr w:type="spellEnd"/>
      <w:r w:rsidRPr="00356065">
        <w:t xml:space="preserve">, </w:t>
      </w:r>
      <w:proofErr w:type="spellStart"/>
      <w:r w:rsidRPr="00356065">
        <w:t>T</w:t>
      </w:r>
      <w:r w:rsidRPr="007B2E9A">
        <w:rPr>
          <w:vertAlign w:val="subscript"/>
        </w:rPr>
        <w:t>max</w:t>
      </w:r>
      <w:proofErr w:type="spellEnd"/>
      <w:r w:rsidRPr="00356065">
        <w:t>, apparent half-life, and end of dosing interval concentrations. A two-compartment model with first-order absorption was selected for the best fit based on a predetermined set of criteria. Parameters calculated from the compartment analysis include an estimate of AUC</w:t>
      </w:r>
      <w:r w:rsidRPr="007E4B88">
        <w:rPr>
          <w:vertAlign w:val="subscript"/>
        </w:rPr>
        <w:t xml:space="preserve">0-24 </w:t>
      </w:r>
      <w:r w:rsidRPr="00356065">
        <w:t>and estimated oral clearance (CL/F). Summary statistics for all parameters include median, range, mean, and standard deviation.</w:t>
      </w:r>
    </w:p>
    <w:p w:rsidR="00356065" w:rsidRPr="0087517F" w:rsidRDefault="00356065" w:rsidP="0035594E">
      <w:pPr>
        <w:pStyle w:val="Heading6"/>
      </w:pPr>
      <w:r w:rsidRPr="0087517F">
        <w:t xml:space="preserve">Data </w:t>
      </w:r>
      <w:r w:rsidR="0035594E" w:rsidRPr="0035594E">
        <w:t>s</w:t>
      </w:r>
      <w:r w:rsidRPr="0035594E">
        <w:t>et</w:t>
      </w:r>
    </w:p>
    <w:p w:rsidR="00356065" w:rsidRPr="00356065" w:rsidRDefault="00356065" w:rsidP="0035594E">
      <w:r w:rsidRPr="00356065">
        <w:t xml:space="preserve">Pharmacokinetic evaluations were available for 31 children (17/21 subjects </w:t>
      </w:r>
      <w:r w:rsidR="001A3786">
        <w:t>in Group 2 and 14/16 in Group 3 (Table 2).</w:t>
      </w:r>
    </w:p>
    <w:p w:rsidR="00935D4B" w:rsidRDefault="00935D4B" w:rsidP="0035594E">
      <w:pPr>
        <w:pStyle w:val="TableTitle"/>
      </w:pPr>
      <w:r>
        <w:t>Table 2:</w:t>
      </w:r>
      <w:r w:rsidRPr="004C5C28">
        <w:t xml:space="preserve"> </w:t>
      </w:r>
      <w:r w:rsidRPr="00935D4B">
        <w:t xml:space="preserve">Summary </w:t>
      </w:r>
      <w:r w:rsidRPr="0035594E">
        <w:t>Demographic</w:t>
      </w:r>
      <w:r w:rsidRPr="00935D4B">
        <w:t xml:space="preserve"> and Dosing Information FTC-202</w:t>
      </w:r>
      <w:r>
        <w:t>.</w:t>
      </w:r>
    </w:p>
    <w:p w:rsidR="00356065" w:rsidRDefault="00366D1C" w:rsidP="00586F98">
      <w:r>
        <w:rPr>
          <w:noProof/>
          <w:lang w:eastAsia="en-AU"/>
        </w:rPr>
        <w:drawing>
          <wp:inline distT="0" distB="0" distL="0" distR="0">
            <wp:extent cx="3790315" cy="2359025"/>
            <wp:effectExtent l="0" t="0" r="635" b="3175"/>
            <wp:docPr id="1" name="Picture 2" descr="Table 2: Summary Demographic and Dosing Information FTC-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 Summary Demographic and Dosing Information FTC-2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315" cy="2359025"/>
                    </a:xfrm>
                    <a:prstGeom prst="rect">
                      <a:avLst/>
                    </a:prstGeom>
                    <a:noFill/>
                    <a:ln>
                      <a:noFill/>
                    </a:ln>
                  </pic:spPr>
                </pic:pic>
              </a:graphicData>
            </a:graphic>
          </wp:inline>
        </w:drawing>
      </w:r>
    </w:p>
    <w:p w:rsidR="007252E5" w:rsidRDefault="007252E5" w:rsidP="0035594E">
      <w:pPr>
        <w:pStyle w:val="Heading6"/>
      </w:pPr>
      <w:r>
        <w:t>Results</w:t>
      </w:r>
    </w:p>
    <w:p w:rsidR="007252E5" w:rsidRPr="007252E5" w:rsidRDefault="007252E5" w:rsidP="0035594E">
      <w:r w:rsidRPr="007252E5">
        <w:t xml:space="preserve">In paediatric subjects, the </w:t>
      </w:r>
      <w:proofErr w:type="spellStart"/>
      <w:r w:rsidRPr="007252E5">
        <w:t>emtricitabine</w:t>
      </w:r>
      <w:proofErr w:type="spellEnd"/>
      <w:r w:rsidRPr="007252E5">
        <w:t xml:space="preserve"> dosage regimen of 6</w:t>
      </w:r>
      <w:r w:rsidR="007E4B88">
        <w:t xml:space="preserve"> </w:t>
      </w:r>
      <w:r w:rsidRPr="007252E5">
        <w:t>mg/kg once daily, with a maximum of 200</w:t>
      </w:r>
      <w:r w:rsidR="00DF7D2C">
        <w:t xml:space="preserve"> </w:t>
      </w:r>
      <w:r w:rsidRPr="007252E5">
        <w:t>mg once daily was expected to achieve a t</w:t>
      </w:r>
      <w:r w:rsidR="00B94F32">
        <w:t xml:space="preserve">arget </w:t>
      </w:r>
      <w:r w:rsidR="0064660D">
        <w:t xml:space="preserve">daily </w:t>
      </w:r>
      <w:r w:rsidR="002F4A97">
        <w:t>AUC of at least 6 h</w:t>
      </w:r>
      <w:r w:rsidRPr="007252E5">
        <w:t>*µg/mL (the 10th percentile of the adult AUC given 200</w:t>
      </w:r>
      <w:r w:rsidR="007E4B88">
        <w:t xml:space="preserve"> </w:t>
      </w:r>
      <w:r w:rsidRPr="007252E5">
        <w:t xml:space="preserve">mg once daily).  Mean values for </w:t>
      </w:r>
      <w:proofErr w:type="spellStart"/>
      <w:r w:rsidRPr="007252E5">
        <w:t>emtricitabine</w:t>
      </w:r>
      <w:proofErr w:type="spellEnd"/>
      <w:r w:rsidRPr="007252E5">
        <w:t xml:space="preserve"> </w:t>
      </w:r>
      <w:proofErr w:type="spellStart"/>
      <w:r w:rsidRPr="007252E5">
        <w:t>pharmacokinectic</w:t>
      </w:r>
      <w:proofErr w:type="spellEnd"/>
      <w:r w:rsidRPr="007252E5">
        <w:t xml:space="preserve"> parameters at steady-state by age group are provided </w:t>
      </w:r>
      <w:r w:rsidR="00044CC1">
        <w:t>in Table 3</w:t>
      </w:r>
      <w:r w:rsidRPr="007252E5">
        <w:t>.</w:t>
      </w:r>
    </w:p>
    <w:p w:rsidR="00E71128" w:rsidRDefault="00E71128" w:rsidP="0035594E">
      <w:pPr>
        <w:pStyle w:val="TableTitle"/>
      </w:pPr>
      <w:r>
        <w:lastRenderedPageBreak/>
        <w:t>Table 3:</w:t>
      </w:r>
      <w:r w:rsidRPr="004C5C28">
        <w:t xml:space="preserve"> </w:t>
      </w:r>
      <w:r w:rsidRPr="00E71128">
        <w:t>Pharmacokinetic Parameters at Stead-State by Age Group</w:t>
      </w:r>
      <w:r>
        <w:t>.</w:t>
      </w:r>
    </w:p>
    <w:p w:rsidR="00935D4B" w:rsidRDefault="00366D1C" w:rsidP="00586F98">
      <w:r>
        <w:rPr>
          <w:noProof/>
          <w:lang w:eastAsia="en-AU"/>
        </w:rPr>
        <w:drawing>
          <wp:inline distT="0" distB="0" distL="0" distR="0">
            <wp:extent cx="4154805" cy="1040130"/>
            <wp:effectExtent l="0" t="0" r="0" b="7620"/>
            <wp:docPr id="3" name="Picture 3" descr="Table 3: Pharmacokinetic Parameters at Stead-State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3: Pharmacokinetic Parameters at Stead-State by Age Grou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4805" cy="1040130"/>
                    </a:xfrm>
                    <a:prstGeom prst="rect">
                      <a:avLst/>
                    </a:prstGeom>
                    <a:noFill/>
                    <a:ln>
                      <a:noFill/>
                    </a:ln>
                  </pic:spPr>
                </pic:pic>
              </a:graphicData>
            </a:graphic>
          </wp:inline>
        </w:drawing>
      </w:r>
    </w:p>
    <w:p w:rsidR="00B138EE" w:rsidRPr="00B138EE" w:rsidRDefault="00B138EE" w:rsidP="0035594E">
      <w:r w:rsidRPr="00B138EE">
        <w:t xml:space="preserve">The variability of </w:t>
      </w:r>
      <w:proofErr w:type="spellStart"/>
      <w:r w:rsidRPr="00B138EE">
        <w:t>AUC</w:t>
      </w:r>
      <w:r w:rsidRPr="00DF7D2C">
        <w:rPr>
          <w:vertAlign w:val="subscript"/>
        </w:rPr>
        <w:t>tau</w:t>
      </w:r>
      <w:proofErr w:type="spellEnd"/>
      <w:r w:rsidRPr="00B138EE">
        <w:t xml:space="preserve"> in the younger children (Age Group 2) is approximately 2-fold higher than in the older children, as reflected in the CV% for this parameter estimate. Some variability may be due to dosing of a liquid formulation, and part may be due to greater variability in </w:t>
      </w:r>
      <w:proofErr w:type="spellStart"/>
      <w:r w:rsidRPr="00B138EE">
        <w:t>emtricitabine</w:t>
      </w:r>
      <w:proofErr w:type="spellEnd"/>
      <w:r w:rsidRPr="00B138EE">
        <w:t xml:space="preserve"> clearance in younger children dosed on </w:t>
      </w:r>
      <w:proofErr w:type="gramStart"/>
      <w:r w:rsidRPr="00B138EE">
        <w:t>a</w:t>
      </w:r>
      <w:proofErr w:type="gramEnd"/>
      <w:r w:rsidRPr="00B138EE">
        <w:t xml:space="preserve"> mg/kg basis, rather than body surface area.</w:t>
      </w:r>
    </w:p>
    <w:p w:rsidR="00B138EE" w:rsidRPr="00B138EE" w:rsidRDefault="00B138EE" w:rsidP="0035594E">
      <w:r w:rsidRPr="00B138EE">
        <w:t xml:space="preserve">The mean plasma </w:t>
      </w:r>
      <w:proofErr w:type="spellStart"/>
      <w:r w:rsidRPr="00B138EE">
        <w:t>emtricitabine</w:t>
      </w:r>
      <w:proofErr w:type="spellEnd"/>
      <w:r w:rsidRPr="00B138EE">
        <w:t xml:space="preserve"> concentrations, by age group, are </w:t>
      </w:r>
      <w:r>
        <w:t>in Figure 1</w:t>
      </w:r>
      <w:r w:rsidRPr="00B138EE">
        <w:t>.</w:t>
      </w:r>
    </w:p>
    <w:p w:rsidR="00087B04" w:rsidRDefault="00087B04" w:rsidP="0035594E">
      <w:pPr>
        <w:pStyle w:val="FigureTitle"/>
      </w:pPr>
      <w:r w:rsidRPr="0035594E">
        <w:t>Figure</w:t>
      </w:r>
      <w:r>
        <w:t xml:space="preserve"> 1:</w:t>
      </w:r>
      <w:r w:rsidRPr="004C5C28">
        <w:t xml:space="preserve"> </w:t>
      </w:r>
      <w:r w:rsidR="00073850" w:rsidRPr="00073850">
        <w:t xml:space="preserve">Mean Plasma </w:t>
      </w:r>
      <w:proofErr w:type="spellStart"/>
      <w:r w:rsidR="00073850" w:rsidRPr="00073850">
        <w:t>Emtricitabine</w:t>
      </w:r>
      <w:proofErr w:type="spellEnd"/>
      <w:r w:rsidR="00073850" w:rsidRPr="00073850">
        <w:t xml:space="preserve"> Concentration Profiles</w:t>
      </w:r>
      <w:r>
        <w:t>.</w:t>
      </w:r>
    </w:p>
    <w:p w:rsidR="000C16A7" w:rsidRDefault="00366D1C" w:rsidP="00586F98">
      <w:r>
        <w:rPr>
          <w:noProof/>
          <w:lang w:eastAsia="en-AU"/>
        </w:rPr>
        <w:drawing>
          <wp:inline distT="0" distB="0" distL="0" distR="0">
            <wp:extent cx="3465195" cy="2418715"/>
            <wp:effectExtent l="0" t="0" r="1905" b="635"/>
            <wp:docPr id="4" name="Picture 4" descr="Figure 1: Mean Plasma Emtricitabine Concentration Pro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1: Mean Plasma Emtricitabine Concentration Profil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5195" cy="2418715"/>
                    </a:xfrm>
                    <a:prstGeom prst="rect">
                      <a:avLst/>
                    </a:prstGeom>
                    <a:noFill/>
                    <a:ln>
                      <a:noFill/>
                    </a:ln>
                  </pic:spPr>
                </pic:pic>
              </a:graphicData>
            </a:graphic>
          </wp:inline>
        </w:drawing>
      </w:r>
    </w:p>
    <w:p w:rsidR="00CF3AFF" w:rsidRPr="0062745F" w:rsidRDefault="00D601AF" w:rsidP="0062745F">
      <w:pPr>
        <w:ind w:left="720"/>
        <w:rPr>
          <w:i/>
        </w:rPr>
      </w:pPr>
      <w:r w:rsidRPr="0062745F">
        <w:rPr>
          <w:i/>
        </w:rPr>
        <w:t xml:space="preserve">Comment: Variability in dosing for the younger age group does not affect this evaluation (extension of age indication is for children &gt;12 years and capsule dosing (Age Group 3 only, 200mg daily). The </w:t>
      </w:r>
      <w:proofErr w:type="spellStart"/>
      <w:r w:rsidRPr="0062745F">
        <w:rPr>
          <w:i/>
        </w:rPr>
        <w:t>AUC</w:t>
      </w:r>
      <w:r w:rsidRPr="004711D5">
        <w:rPr>
          <w:i/>
          <w:vertAlign w:val="subscript"/>
        </w:rPr>
        <w:t>tau</w:t>
      </w:r>
      <w:proofErr w:type="spellEnd"/>
      <w:r w:rsidRPr="0062745F">
        <w:rPr>
          <w:i/>
        </w:rPr>
        <w:t xml:space="preserve"> for the older age group was 12.37 h*µg/mL which is higher than the minimum acceptable level of 6.00 </w:t>
      </w:r>
      <w:r w:rsidR="002F4A97">
        <w:rPr>
          <w:i/>
        </w:rPr>
        <w:t>h</w:t>
      </w:r>
      <w:r w:rsidRPr="0062745F">
        <w:rPr>
          <w:i/>
        </w:rPr>
        <w:t>*µg/</w:t>
      </w:r>
      <w:proofErr w:type="spellStart"/>
      <w:r w:rsidRPr="0062745F">
        <w:rPr>
          <w:i/>
        </w:rPr>
        <w:t>mL.</w:t>
      </w:r>
      <w:proofErr w:type="spellEnd"/>
    </w:p>
    <w:p w:rsidR="00A74E25" w:rsidRDefault="00A74E25" w:rsidP="0035594E">
      <w:pPr>
        <w:pStyle w:val="Heading5"/>
      </w:pPr>
      <w:bookmarkStart w:id="36" w:name="_Toc342047585"/>
      <w:r>
        <w:t>Study FTC-</w:t>
      </w:r>
      <w:r w:rsidRPr="0035594E">
        <w:t>203</w:t>
      </w:r>
      <w:bookmarkEnd w:id="36"/>
    </w:p>
    <w:p w:rsidR="00A74E25" w:rsidRPr="00A74E25" w:rsidRDefault="00A74E25" w:rsidP="0035594E">
      <w:r w:rsidRPr="00A74E25">
        <w:t>A full-profile pharmacokine</w:t>
      </w:r>
      <w:r w:rsidR="004711D5">
        <w:t>tic evaluation (24 h</w:t>
      </w:r>
      <w:r w:rsidRPr="00A74E25">
        <w:t xml:space="preserve"> collection) was obtained at Week 2 from the first 6 to 8 subje</w:t>
      </w:r>
      <w:r w:rsidR="0035594E">
        <w:t>cts enrolled in each age group.</w:t>
      </w:r>
    </w:p>
    <w:p w:rsidR="00A74E25" w:rsidRPr="00A74E25" w:rsidRDefault="00A74E25" w:rsidP="0035594E">
      <w:r w:rsidRPr="00A74E25">
        <w:t>Pharmacokinetic data was evaluable in 34/</w:t>
      </w:r>
      <w:r w:rsidR="004711D5">
        <w:t>36 subjects who provided 24 h</w:t>
      </w:r>
      <w:r w:rsidRPr="00A74E25">
        <w:t xml:space="preserve"> profiles: 13/16 subjects in Age Group 1, 9/68 in Age Group 2, 9/29 in Age Group 3 and 3/3 subjects in Age Group 4. All subjects in Age Groups 1 and 2 and 4 subjects in Age Group 3 received </w:t>
      </w:r>
      <w:proofErr w:type="spellStart"/>
      <w:r w:rsidRPr="00A74E25">
        <w:t>emtricitabine</w:t>
      </w:r>
      <w:proofErr w:type="spellEnd"/>
      <w:r w:rsidRPr="00A74E25">
        <w:t xml:space="preserve"> solution. Five subjects in Age Group 3 and 3 subjects in Age Group 4 received </w:t>
      </w:r>
      <w:proofErr w:type="spellStart"/>
      <w:r w:rsidRPr="00A74E25">
        <w:t>emtrici</w:t>
      </w:r>
      <w:r w:rsidR="0035594E">
        <w:t>tabine</w:t>
      </w:r>
      <w:proofErr w:type="spellEnd"/>
      <w:r w:rsidR="0035594E">
        <w:t xml:space="preserve"> capsules.</w:t>
      </w:r>
    </w:p>
    <w:p w:rsidR="00A74E25" w:rsidRDefault="00A74E25" w:rsidP="0035594E">
      <w:pPr>
        <w:pStyle w:val="Heading6"/>
      </w:pPr>
      <w:r>
        <w:t xml:space="preserve">Plasma </w:t>
      </w:r>
      <w:proofErr w:type="spellStart"/>
      <w:r w:rsidR="0035594E">
        <w:t>e</w:t>
      </w:r>
      <w:r>
        <w:t>mtricitabine</w:t>
      </w:r>
      <w:proofErr w:type="spellEnd"/>
      <w:r>
        <w:t xml:space="preserve"> </w:t>
      </w:r>
      <w:r w:rsidR="0035594E">
        <w:t>c</w:t>
      </w:r>
      <w:r>
        <w:t>oncentrations</w:t>
      </w:r>
    </w:p>
    <w:p w:rsidR="00A74E25" w:rsidRPr="00A74E25" w:rsidRDefault="00A74E25" w:rsidP="0035594E">
      <w:r w:rsidRPr="00A74E25">
        <w:t>The principal pharmacokinetic parameters by age group for subjects receiving oral solution and capsule</w:t>
      </w:r>
      <w:r w:rsidR="00C82572">
        <w:t xml:space="preserve">s combined are presented in </w:t>
      </w:r>
      <w:r w:rsidRPr="00A74E25">
        <w:t xml:space="preserve">Table </w:t>
      </w:r>
      <w:r w:rsidR="00C82572">
        <w:t>4</w:t>
      </w:r>
      <w:r>
        <w:t>.</w:t>
      </w:r>
    </w:p>
    <w:p w:rsidR="002D245C" w:rsidRDefault="002D245C" w:rsidP="00A52614">
      <w:pPr>
        <w:pStyle w:val="TableTitle"/>
      </w:pPr>
      <w:r>
        <w:lastRenderedPageBreak/>
        <w:t>Table 4:</w:t>
      </w:r>
      <w:r w:rsidRPr="004C5C28">
        <w:t xml:space="preserve"> </w:t>
      </w:r>
      <w:r w:rsidRPr="002D245C">
        <w:t>Pharmacokinetic Parameters at Stead-State by Age Group (FTC-203)</w:t>
      </w:r>
      <w:r>
        <w:t>.</w:t>
      </w:r>
    </w:p>
    <w:p w:rsidR="00D601AF" w:rsidRDefault="00366D1C" w:rsidP="0035594E">
      <w:r>
        <w:rPr>
          <w:noProof/>
          <w:lang w:eastAsia="en-AU"/>
        </w:rPr>
        <w:drawing>
          <wp:inline distT="0" distB="0" distL="0" distR="0">
            <wp:extent cx="4300220" cy="1377950"/>
            <wp:effectExtent l="0" t="0" r="5080" b="0"/>
            <wp:docPr id="5" name="Picture 5" descr="Table 4: Pharmacokinetic Parameters at Stead-State by Age Group (FTC-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4: Pharmacokinetic Parameters at Stead-State by Age Group (FTC-2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0220" cy="1377950"/>
                    </a:xfrm>
                    <a:prstGeom prst="rect">
                      <a:avLst/>
                    </a:prstGeom>
                    <a:noFill/>
                    <a:ln>
                      <a:noFill/>
                    </a:ln>
                  </pic:spPr>
                </pic:pic>
              </a:graphicData>
            </a:graphic>
          </wp:inline>
        </w:drawing>
      </w:r>
    </w:p>
    <w:p w:rsidR="00C22D23" w:rsidRPr="00C22D23" w:rsidRDefault="00C22D23" w:rsidP="0035594E">
      <w:r w:rsidRPr="00C22D23">
        <w:t xml:space="preserve">The study concluded that the </w:t>
      </w:r>
      <w:proofErr w:type="spellStart"/>
      <w:r w:rsidRPr="00C22D23">
        <w:t>emtricitabine</w:t>
      </w:r>
      <w:proofErr w:type="spellEnd"/>
      <w:r w:rsidRPr="00C22D23">
        <w:t xml:space="preserve"> exposure, expressed as </w:t>
      </w:r>
      <w:proofErr w:type="spellStart"/>
      <w:r w:rsidRPr="00C22D23">
        <w:t>AUCtau</w:t>
      </w:r>
      <w:proofErr w:type="spellEnd"/>
      <w:r w:rsidRPr="00C22D23">
        <w:t xml:space="preserve"> achieved in children receiving 6</w:t>
      </w:r>
      <w:r w:rsidR="000306EC">
        <w:t xml:space="preserve"> </w:t>
      </w:r>
      <w:r w:rsidRPr="00C22D23">
        <w:t>mg/kg daily or oral solution up to 200</w:t>
      </w:r>
      <w:r w:rsidR="000306EC">
        <w:t xml:space="preserve"> </w:t>
      </w:r>
      <w:r w:rsidRPr="00C22D23">
        <w:t>mg daily or in children &gt;33</w:t>
      </w:r>
      <w:r w:rsidR="00AD0E20">
        <w:t xml:space="preserve"> </w:t>
      </w:r>
      <w:r w:rsidRPr="00C22D23">
        <w:t>kg receiving a 200mg capsule daily is similar to exposure achieved in adults receiving a dose of 200</w:t>
      </w:r>
      <w:r w:rsidR="00AD0E20">
        <w:t xml:space="preserve"> </w:t>
      </w:r>
      <w:r w:rsidRPr="00C22D23">
        <w:t>mg daily.</w:t>
      </w:r>
    </w:p>
    <w:p w:rsidR="00C22D23" w:rsidRPr="0045396F" w:rsidRDefault="00C22D23" w:rsidP="00C22D23">
      <w:pPr>
        <w:ind w:left="720"/>
        <w:rPr>
          <w:i/>
        </w:rPr>
      </w:pPr>
      <w:r w:rsidRPr="0045396F">
        <w:rPr>
          <w:i/>
        </w:rPr>
        <w:t xml:space="preserve">Comment: The </w:t>
      </w:r>
      <w:proofErr w:type="spellStart"/>
      <w:r w:rsidRPr="0045396F">
        <w:rPr>
          <w:i/>
        </w:rPr>
        <w:t>AUCtau</w:t>
      </w:r>
      <w:proofErr w:type="spellEnd"/>
      <w:r w:rsidRPr="0045396F">
        <w:rPr>
          <w:i/>
        </w:rPr>
        <w:t xml:space="preserve"> for Group 4 (aged &gt; 12 years) is within the normal range of variation to that seen in FTC-202.</w:t>
      </w:r>
    </w:p>
    <w:p w:rsidR="00617691" w:rsidRDefault="00617691" w:rsidP="0035594E">
      <w:pPr>
        <w:pStyle w:val="Heading5"/>
      </w:pPr>
      <w:bookmarkStart w:id="37" w:name="_Toc342047586"/>
      <w:r w:rsidRPr="0035594E">
        <w:t>FTC</w:t>
      </w:r>
      <w:r>
        <w:t>-211</w:t>
      </w:r>
      <w:bookmarkEnd w:id="37"/>
    </w:p>
    <w:p w:rsidR="00617691" w:rsidRDefault="00617691" w:rsidP="0035594E">
      <w:r w:rsidRPr="00617691">
        <w:t>Week 2 pharmacokinetic evaluations are available for 15 of the 16 children entered in the study (1/1 subjects in Age Group 2, and 14/15 subjects in Age Group 3).  The subject in Age Group 2 was 12.8 years at study entry, just below the 13 year age limit for Age Group 3. All subjects received the 200mg capsule formulation with the exception of one subject in Age Group 3. The principal pharmacokinetic parameters for the subjects receiving the capsule format</w:t>
      </w:r>
      <w:r>
        <w:t>ion (n=14) are summarised in Table 5.</w:t>
      </w:r>
    </w:p>
    <w:p w:rsidR="00EC1DDF" w:rsidRDefault="00EC1DDF" w:rsidP="0035594E">
      <w:pPr>
        <w:pStyle w:val="TableTitle"/>
      </w:pPr>
      <w:r>
        <w:t>Table 5:</w:t>
      </w:r>
      <w:r w:rsidRPr="004C5C28">
        <w:t xml:space="preserve"> </w:t>
      </w:r>
      <w:r w:rsidRPr="00EC1DDF">
        <w:t>Pharmacokinetic Parameters at St</w:t>
      </w:r>
      <w:r>
        <w:t>ead</w:t>
      </w:r>
      <w:r w:rsidR="005B34FE">
        <w:t xml:space="preserve">y </w:t>
      </w:r>
      <w:r>
        <w:t xml:space="preserve">State by Age </w:t>
      </w:r>
      <w:r w:rsidRPr="0035594E">
        <w:t>Group</w:t>
      </w:r>
      <w:r>
        <w:t xml:space="preserve"> (FTC-211</w:t>
      </w:r>
      <w:r w:rsidRPr="002D245C">
        <w:t>)</w:t>
      </w:r>
      <w:r>
        <w:t>.</w:t>
      </w:r>
    </w:p>
    <w:p w:rsidR="00617691" w:rsidRPr="00617691" w:rsidRDefault="00366D1C" w:rsidP="00617691">
      <w:r>
        <w:rPr>
          <w:noProof/>
          <w:lang w:eastAsia="en-AU"/>
        </w:rPr>
        <w:drawing>
          <wp:inline distT="0" distB="0" distL="0" distR="0">
            <wp:extent cx="4121150" cy="1106805"/>
            <wp:effectExtent l="0" t="0" r="0" b="0"/>
            <wp:docPr id="6" name="Picture 6" descr="Table 5: Pharmacokinetic Parameters at Steady State by Age Group (FTC-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5: Pharmacokinetic Parameters at Steady State by Age Group (FTC-2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1150" cy="1106805"/>
                    </a:xfrm>
                    <a:prstGeom prst="rect">
                      <a:avLst/>
                    </a:prstGeom>
                    <a:noFill/>
                    <a:ln>
                      <a:noFill/>
                    </a:ln>
                  </pic:spPr>
                </pic:pic>
              </a:graphicData>
            </a:graphic>
          </wp:inline>
        </w:drawing>
      </w:r>
    </w:p>
    <w:p w:rsidR="007761AD" w:rsidRPr="007646C3" w:rsidRDefault="007761AD" w:rsidP="0035594E">
      <w:r w:rsidRPr="007646C3">
        <w:t xml:space="preserve">The </w:t>
      </w:r>
      <w:proofErr w:type="spellStart"/>
      <w:r w:rsidRPr="007646C3">
        <w:t>emtricitabine</w:t>
      </w:r>
      <w:proofErr w:type="spellEnd"/>
      <w:r w:rsidRPr="007646C3">
        <w:t xml:space="preserve"> dosage regimen for paediatric subjects in this study was expected to achieve a target daily AUC of at </w:t>
      </w:r>
      <w:r w:rsidR="00763DAF">
        <w:t>least 6 h</w:t>
      </w:r>
      <w:r w:rsidRPr="007646C3">
        <w:t>*µg/mL (the 10th percentile of the adult AUC given 200</w:t>
      </w:r>
      <w:r w:rsidR="00CA4839">
        <w:t xml:space="preserve"> </w:t>
      </w:r>
      <w:r w:rsidRPr="007646C3">
        <w:t>mg once daily). All subjects in this study achieved this minimum target exposu</w:t>
      </w:r>
      <w:r w:rsidR="00554C7E">
        <w:t>re level (range 7.16 to 16.246 h</w:t>
      </w:r>
      <w:r w:rsidRPr="007646C3">
        <w:t>*µg/mL).</w:t>
      </w:r>
    </w:p>
    <w:p w:rsidR="00C22D23" w:rsidRPr="0045396F" w:rsidRDefault="007761AD" w:rsidP="007646C3">
      <w:pPr>
        <w:ind w:left="720"/>
        <w:rPr>
          <w:i/>
        </w:rPr>
      </w:pPr>
      <w:r w:rsidRPr="0045396F">
        <w:rPr>
          <w:i/>
        </w:rPr>
        <w:t>Comment: Despite the smaller study numbers, Study FTC-</w:t>
      </w:r>
      <w:proofErr w:type="gramStart"/>
      <w:r w:rsidRPr="0045396F">
        <w:rPr>
          <w:i/>
        </w:rPr>
        <w:t>211,</w:t>
      </w:r>
      <w:proofErr w:type="gramEnd"/>
      <w:r w:rsidRPr="0045396F">
        <w:rPr>
          <w:i/>
        </w:rPr>
        <w:t xml:space="preserve"> has a study population that come the closest to approximating the target population in Australia. All subjects were 12 years and older and with the exception of one subject, all took the 200</w:t>
      </w:r>
      <w:r w:rsidR="00CA4839" w:rsidRPr="0045396F">
        <w:rPr>
          <w:i/>
        </w:rPr>
        <w:t xml:space="preserve"> </w:t>
      </w:r>
      <w:r w:rsidRPr="0045396F">
        <w:rPr>
          <w:i/>
        </w:rPr>
        <w:t>mg capsule as a daily dose. The PK data reflects the data seen in FTC-202, FTC-203 and adult populations.</w:t>
      </w:r>
    </w:p>
    <w:p w:rsidR="007646C3" w:rsidRPr="002D529F" w:rsidRDefault="007646C3" w:rsidP="0035594E">
      <w:pPr>
        <w:pStyle w:val="Heading4"/>
      </w:pPr>
      <w:bookmarkStart w:id="38" w:name="_Toc241374293"/>
      <w:bookmarkStart w:id="39" w:name="_Toc272414626"/>
      <w:bookmarkStart w:id="40" w:name="_Toc290846249"/>
      <w:bookmarkStart w:id="41" w:name="_Toc342047587"/>
      <w:r w:rsidRPr="002D529F">
        <w:t>Pharmacokinetics in other special populations</w:t>
      </w:r>
      <w:bookmarkEnd w:id="38"/>
      <w:bookmarkEnd w:id="39"/>
      <w:bookmarkEnd w:id="40"/>
      <w:bookmarkEnd w:id="41"/>
    </w:p>
    <w:p w:rsidR="007646C3" w:rsidRPr="002D529F" w:rsidRDefault="007646C3" w:rsidP="0035594E">
      <w:pPr>
        <w:pStyle w:val="Heading5"/>
      </w:pPr>
      <w:bookmarkStart w:id="42" w:name="_Toc272414628"/>
      <w:bookmarkStart w:id="43" w:name="_Toc290846251"/>
      <w:bookmarkStart w:id="44" w:name="_Toc342047588"/>
      <w:r w:rsidRPr="002D529F">
        <w:t>Pharmacokinetics in subjects with impaired renal function</w:t>
      </w:r>
      <w:bookmarkEnd w:id="42"/>
      <w:bookmarkEnd w:id="43"/>
      <w:bookmarkEnd w:id="44"/>
    </w:p>
    <w:p w:rsidR="007646C3" w:rsidRPr="00063214" w:rsidRDefault="007646C3" w:rsidP="0035594E">
      <w:pPr>
        <w:pStyle w:val="Heading6"/>
      </w:pPr>
      <w:r>
        <w:t>Study FTC-202</w:t>
      </w:r>
    </w:p>
    <w:p w:rsidR="007646C3" w:rsidRPr="007646C3" w:rsidRDefault="00297CB2" w:rsidP="0035594E">
      <w:r>
        <w:t xml:space="preserve">Subject # </w:t>
      </w:r>
      <w:r w:rsidR="00F03719">
        <w:t>[Information redacted]</w:t>
      </w:r>
      <w:r w:rsidR="007646C3" w:rsidRPr="007646C3">
        <w:t xml:space="preserve"> in Age Group 3 (age = 14.6 years) who received 200</w:t>
      </w:r>
      <w:r w:rsidR="00A85991">
        <w:t xml:space="preserve"> </w:t>
      </w:r>
      <w:r w:rsidR="007646C3" w:rsidRPr="007646C3">
        <w:t>mg capsules (4.5</w:t>
      </w:r>
      <w:r w:rsidR="00F03719">
        <w:t xml:space="preserve"> </w:t>
      </w:r>
      <w:r w:rsidR="007646C3" w:rsidRPr="007646C3">
        <w:t>mg/kg) had the hig</w:t>
      </w:r>
      <w:r w:rsidR="00763DAF">
        <w:t>hest AUC in the study at 36.30</w:t>
      </w:r>
      <w:r w:rsidR="00F03719">
        <w:t xml:space="preserve"> </w:t>
      </w:r>
      <w:r w:rsidR="00763DAF">
        <w:t>h</w:t>
      </w:r>
      <w:r w:rsidR="007646C3" w:rsidRPr="007646C3">
        <w:t>*µg/</w:t>
      </w:r>
      <w:proofErr w:type="spellStart"/>
      <w:r w:rsidR="007646C3" w:rsidRPr="007646C3">
        <w:t>mL.</w:t>
      </w:r>
      <w:proofErr w:type="spellEnd"/>
      <w:r w:rsidR="007646C3" w:rsidRPr="007646C3">
        <w:t xml:space="preserve"> At baseline, nephropathy was noted for this subject with a Grade 1 serum creatinine (1.3mg/</w:t>
      </w:r>
      <w:proofErr w:type="spellStart"/>
      <w:r w:rsidR="007646C3" w:rsidRPr="007646C3">
        <w:t>dL</w:t>
      </w:r>
      <w:proofErr w:type="spellEnd"/>
      <w:r w:rsidR="007646C3" w:rsidRPr="007646C3">
        <w:t>) and a Grade 1 uric acid (8.6 mg/</w:t>
      </w:r>
      <w:proofErr w:type="spellStart"/>
      <w:r w:rsidR="007646C3" w:rsidRPr="007646C3">
        <w:t>dL</w:t>
      </w:r>
      <w:proofErr w:type="spellEnd"/>
      <w:r w:rsidR="007646C3" w:rsidRPr="007646C3">
        <w:t>). This subject had reached Week 48 on study with a Grade 1 serum creatinine (1.0</w:t>
      </w:r>
      <w:r w:rsidR="00F03719">
        <w:t xml:space="preserve"> </w:t>
      </w:r>
      <w:r w:rsidR="007646C3" w:rsidRPr="007646C3">
        <w:t>mg/</w:t>
      </w:r>
      <w:proofErr w:type="spellStart"/>
      <w:r w:rsidR="007646C3" w:rsidRPr="007646C3">
        <w:t>dL</w:t>
      </w:r>
      <w:proofErr w:type="spellEnd"/>
      <w:r w:rsidR="007646C3" w:rsidRPr="007646C3">
        <w:t>) and Grade 1 triglycerides (314</w:t>
      </w:r>
      <w:r w:rsidR="00F03719">
        <w:t xml:space="preserve"> </w:t>
      </w:r>
      <w:r w:rsidR="007646C3" w:rsidRPr="007646C3">
        <w:t>mg/</w:t>
      </w:r>
      <w:proofErr w:type="spellStart"/>
      <w:r w:rsidR="007646C3" w:rsidRPr="007646C3">
        <w:t>dL</w:t>
      </w:r>
      <w:proofErr w:type="spellEnd"/>
      <w:r w:rsidR="007646C3" w:rsidRPr="007646C3">
        <w:t>). At Week 48, the HIV-RNA viral load for this subject was &lt;50 copies/</w:t>
      </w:r>
      <w:proofErr w:type="spellStart"/>
      <w:r w:rsidR="007646C3" w:rsidRPr="007646C3">
        <w:t>mL.</w:t>
      </w:r>
      <w:proofErr w:type="spellEnd"/>
      <w:r w:rsidR="007646C3" w:rsidRPr="007646C3">
        <w:t xml:space="preserve"> The high </w:t>
      </w:r>
      <w:proofErr w:type="spellStart"/>
      <w:r w:rsidR="007646C3" w:rsidRPr="007646C3">
        <w:t>emtricitabine</w:t>
      </w:r>
      <w:proofErr w:type="spellEnd"/>
      <w:r w:rsidR="007646C3" w:rsidRPr="007646C3">
        <w:t xml:space="preserve"> concentrations were likely attributable to decreased renal function caused by nephropathy.</w:t>
      </w:r>
    </w:p>
    <w:p w:rsidR="007761AD" w:rsidRPr="0045396F" w:rsidRDefault="007646C3" w:rsidP="007646C3">
      <w:pPr>
        <w:ind w:left="720"/>
        <w:rPr>
          <w:i/>
        </w:rPr>
      </w:pPr>
      <w:r w:rsidRPr="0045396F">
        <w:rPr>
          <w:i/>
        </w:rPr>
        <w:lastRenderedPageBreak/>
        <w:t xml:space="preserve">Comment: Increased levels of </w:t>
      </w:r>
      <w:proofErr w:type="spellStart"/>
      <w:r w:rsidRPr="0045396F">
        <w:rPr>
          <w:i/>
        </w:rPr>
        <w:t>emtricitabine</w:t>
      </w:r>
      <w:proofErr w:type="spellEnd"/>
      <w:r w:rsidRPr="0045396F">
        <w:rPr>
          <w:i/>
        </w:rPr>
        <w:t xml:space="preserve"> are known to occur in subjects with renal impairment. The current PI provides dosing adjustments for people with altered creatinine clearance.</w:t>
      </w:r>
    </w:p>
    <w:p w:rsidR="007646C3" w:rsidRPr="002D529F" w:rsidRDefault="007646C3" w:rsidP="0035594E">
      <w:pPr>
        <w:pStyle w:val="Heading5"/>
      </w:pPr>
      <w:bookmarkStart w:id="45" w:name="_Toc272414629"/>
      <w:bookmarkStart w:id="46" w:name="_Toc290846252"/>
      <w:bookmarkStart w:id="47" w:name="_Toc342047589"/>
      <w:r w:rsidRPr="002D529F">
        <w:t>Pharmacokinetics according to age</w:t>
      </w:r>
      <w:bookmarkEnd w:id="45"/>
      <w:bookmarkEnd w:id="46"/>
      <w:bookmarkEnd w:id="47"/>
    </w:p>
    <w:p w:rsidR="007646C3" w:rsidRPr="00E673AC" w:rsidRDefault="007646C3" w:rsidP="0035594E">
      <w:r w:rsidRPr="00E673AC">
        <w:t>A higher variability in pharmacokinetics in young children compared to adults is hypothesised to be due in part to greater variability in drug clearance and in part due to difficulties in administering a solution formation to young children.</w:t>
      </w:r>
    </w:p>
    <w:p w:rsidR="007646C3" w:rsidRPr="0045396F" w:rsidRDefault="007646C3" w:rsidP="00E673AC">
      <w:pPr>
        <w:ind w:left="720"/>
        <w:rPr>
          <w:i/>
        </w:rPr>
      </w:pPr>
      <w:r w:rsidRPr="0045396F">
        <w:rPr>
          <w:i/>
        </w:rPr>
        <w:t xml:space="preserve">Comment: This variability is not as pronounced in the older age groups (&gt;12 years). Based on the arguments laid out by the </w:t>
      </w:r>
      <w:r w:rsidR="00E673AC" w:rsidRPr="0045396F">
        <w:rPr>
          <w:i/>
        </w:rPr>
        <w:t>s</w:t>
      </w:r>
      <w:r w:rsidRPr="0045396F">
        <w:rPr>
          <w:i/>
        </w:rPr>
        <w:t>ponsor, this may be due to the use of the capsule formulation, in addition to a reduced variability in drug clearance in adolescents.</w:t>
      </w:r>
    </w:p>
    <w:p w:rsidR="007646C3" w:rsidRPr="0045396F" w:rsidRDefault="007646C3" w:rsidP="00E673AC">
      <w:pPr>
        <w:ind w:left="720"/>
        <w:rPr>
          <w:i/>
        </w:rPr>
      </w:pPr>
      <w:r w:rsidRPr="0045396F">
        <w:rPr>
          <w:i/>
        </w:rPr>
        <w:t>The increased variability seen in younger children does not affect this evaluation.</w:t>
      </w:r>
    </w:p>
    <w:p w:rsidR="00EB4415" w:rsidRPr="00F95526" w:rsidRDefault="00EB4415" w:rsidP="0035594E">
      <w:pPr>
        <w:pStyle w:val="Heading3"/>
      </w:pPr>
      <w:bookmarkStart w:id="48" w:name="_Toc241374296"/>
      <w:bookmarkStart w:id="49" w:name="_Ref269982040"/>
      <w:bookmarkStart w:id="50" w:name="_Ref271018704"/>
      <w:bookmarkStart w:id="51" w:name="_Ref271018755"/>
      <w:bookmarkStart w:id="52" w:name="_Toc272414635"/>
      <w:bookmarkStart w:id="53" w:name="_Toc290846258"/>
      <w:bookmarkStart w:id="54" w:name="_Toc342047590"/>
      <w:bookmarkStart w:id="55" w:name="_Toc391987969"/>
      <w:r w:rsidRPr="00F95526">
        <w:t xml:space="preserve">Evaluator’s overall conclusions on </w:t>
      </w:r>
      <w:r w:rsidRPr="0035594E">
        <w:t>pharmacokinetics</w:t>
      </w:r>
      <w:bookmarkEnd w:id="48"/>
      <w:bookmarkEnd w:id="49"/>
      <w:bookmarkEnd w:id="50"/>
      <w:bookmarkEnd w:id="51"/>
      <w:bookmarkEnd w:id="52"/>
      <w:bookmarkEnd w:id="53"/>
      <w:bookmarkEnd w:id="54"/>
      <w:bookmarkEnd w:id="55"/>
    </w:p>
    <w:p w:rsidR="00EB4415" w:rsidRPr="00F95526" w:rsidRDefault="00EB4415" w:rsidP="0035594E">
      <w:r>
        <w:t xml:space="preserve">Studies </w:t>
      </w:r>
      <w:r w:rsidRPr="00F95526">
        <w:t xml:space="preserve">FTC-202, FTC-203 and FTC-211 provide pharmacokinetic data to support the application. All studies assessed the </w:t>
      </w:r>
      <w:proofErr w:type="spellStart"/>
      <w:r w:rsidRPr="00F95526">
        <w:t>pharmacokinectics</w:t>
      </w:r>
      <w:proofErr w:type="spellEnd"/>
      <w:r w:rsidRPr="00F95526">
        <w:t xml:space="preserve"> of </w:t>
      </w:r>
      <w:proofErr w:type="spellStart"/>
      <w:r w:rsidRPr="00F95526">
        <w:t>emtricitabine</w:t>
      </w:r>
      <w:proofErr w:type="spellEnd"/>
      <w:r w:rsidRPr="00F95526">
        <w:t xml:space="preserve"> in paediatric populations, with FTC-211 having the greatest proportion of subject</w:t>
      </w:r>
      <w:r>
        <w:t>s in the target age range (&gt;12-</w:t>
      </w:r>
      <w:r w:rsidRPr="00F95526">
        <w:t xml:space="preserve">18 years of age). The </w:t>
      </w:r>
      <w:r>
        <w:t>a</w:t>
      </w:r>
      <w:r w:rsidRPr="00535482">
        <w:t xml:space="preserve">rea under the plasma concentration-time curve </w:t>
      </w:r>
      <w:r>
        <w:t>(</w:t>
      </w:r>
      <w:r w:rsidRPr="00F95526">
        <w:t>AUC</w:t>
      </w:r>
      <w:r>
        <w:t>)</w:t>
      </w:r>
      <w:r w:rsidRPr="00F95526">
        <w:t xml:space="preserve"> data was consistent across studies, with all studies achieving the minimu</w:t>
      </w:r>
      <w:r w:rsidR="006209D2">
        <w:t>m target exposure level of &gt; 6</w:t>
      </w:r>
      <w:r w:rsidRPr="00F95526">
        <w:t xml:space="preserve"> h*µg/mL).</w:t>
      </w:r>
      <w:r>
        <w:t xml:space="preserve"> </w:t>
      </w:r>
      <w:r w:rsidRPr="00F95526">
        <w:t>This level is considered to be the minimum acceptable level when compared agai</w:t>
      </w:r>
      <w:r w:rsidR="0035594E">
        <w:t>nst adult pharmacokinetic data.</w:t>
      </w:r>
    </w:p>
    <w:p w:rsidR="00EB4415" w:rsidRDefault="00EB4415" w:rsidP="0035594E">
      <w:r w:rsidRPr="00F95526">
        <w:t xml:space="preserve">The data did suggest some increased variability in the AUC data in FTC-202 and FTC-203, particularly in the younger age groups. It was suggested by the </w:t>
      </w:r>
      <w:r>
        <w:t>s</w:t>
      </w:r>
      <w:r w:rsidRPr="00F95526">
        <w:t>ponsor that this may have been due to differences in administration of a liquid formulation to a young population and/or altered pharmacokinetics in young children.</w:t>
      </w:r>
      <w:r>
        <w:t xml:space="preserve"> </w:t>
      </w:r>
      <w:r w:rsidRPr="00F95526">
        <w:t>This variability did not seem to be present amongst children &gt; 12 years, taking the capsule formulation</w:t>
      </w:r>
      <w:r>
        <w:t>.</w:t>
      </w:r>
    </w:p>
    <w:p w:rsidR="00586F98" w:rsidRDefault="00586F98" w:rsidP="0035594E">
      <w:pPr>
        <w:pStyle w:val="Heading2"/>
      </w:pPr>
      <w:bookmarkStart w:id="56" w:name="_Toc391987970"/>
      <w:r w:rsidRPr="0035594E">
        <w:t>Pharmacodynamics</w:t>
      </w:r>
      <w:bookmarkEnd w:id="56"/>
    </w:p>
    <w:p w:rsidR="00D66FCF" w:rsidRDefault="00D66FCF" w:rsidP="0035594E">
      <w:pPr>
        <w:pStyle w:val="Heading3"/>
      </w:pPr>
      <w:bookmarkStart w:id="57" w:name="_Toc272414637"/>
      <w:bookmarkStart w:id="58" w:name="_Toc290846260"/>
      <w:bookmarkStart w:id="59" w:name="_Toc342047592"/>
      <w:bookmarkStart w:id="60" w:name="_Toc391987971"/>
      <w:r>
        <w:t xml:space="preserve">Studies </w:t>
      </w:r>
      <w:r w:rsidRPr="0035594E">
        <w:t>providing</w:t>
      </w:r>
      <w:r>
        <w:t xml:space="preserve"> </w:t>
      </w:r>
      <w:proofErr w:type="spellStart"/>
      <w:r>
        <w:t>pharmacodynamic</w:t>
      </w:r>
      <w:proofErr w:type="spellEnd"/>
      <w:r>
        <w:t xml:space="preserve"> data</w:t>
      </w:r>
      <w:bookmarkEnd w:id="57"/>
      <w:bookmarkEnd w:id="58"/>
      <w:bookmarkEnd w:id="59"/>
      <w:bookmarkEnd w:id="60"/>
    </w:p>
    <w:p w:rsidR="00D66FCF" w:rsidRPr="00D66FCF" w:rsidRDefault="00D66FCF" w:rsidP="0035594E">
      <w:r w:rsidRPr="00D66FCF">
        <w:t xml:space="preserve">There was no </w:t>
      </w:r>
      <w:proofErr w:type="spellStart"/>
      <w:r w:rsidRPr="00D66FCF">
        <w:t>pharmacodynamic</w:t>
      </w:r>
      <w:proofErr w:type="spellEnd"/>
      <w:r w:rsidRPr="00D66FCF">
        <w:t xml:space="preserve"> data presented in the submission.</w:t>
      </w:r>
    </w:p>
    <w:p w:rsidR="00D66FCF" w:rsidRDefault="00D66FCF" w:rsidP="0035594E">
      <w:pPr>
        <w:pStyle w:val="Heading3"/>
      </w:pPr>
      <w:bookmarkStart w:id="61" w:name="_Ref269983272"/>
      <w:bookmarkStart w:id="62" w:name="_Toc272414648"/>
      <w:bookmarkStart w:id="63" w:name="_Toc290846270"/>
      <w:bookmarkStart w:id="64" w:name="_Toc342047593"/>
      <w:bookmarkStart w:id="65" w:name="_Toc391987972"/>
      <w:r>
        <w:t xml:space="preserve">Evaluator’s </w:t>
      </w:r>
      <w:r w:rsidRPr="0035594E">
        <w:t>overall</w:t>
      </w:r>
      <w:r>
        <w:t xml:space="preserve"> conclusions on pharmacodynamics</w:t>
      </w:r>
      <w:bookmarkEnd w:id="61"/>
      <w:bookmarkEnd w:id="62"/>
      <w:bookmarkEnd w:id="63"/>
      <w:bookmarkEnd w:id="64"/>
      <w:bookmarkEnd w:id="65"/>
    </w:p>
    <w:p w:rsidR="00D66FCF" w:rsidRPr="00D66FCF" w:rsidRDefault="00D66FCF" w:rsidP="0035594E">
      <w:r w:rsidRPr="00D66FCF">
        <w:t>Not applicable.</w:t>
      </w:r>
    </w:p>
    <w:p w:rsidR="00586F98" w:rsidRDefault="00C22678" w:rsidP="0035594E">
      <w:pPr>
        <w:pStyle w:val="Heading2"/>
      </w:pPr>
      <w:bookmarkStart w:id="66" w:name="_Toc391987973"/>
      <w:r>
        <w:t xml:space="preserve">Dosage </w:t>
      </w:r>
      <w:r w:rsidRPr="0035594E">
        <w:t>selection</w:t>
      </w:r>
      <w:r>
        <w:t xml:space="preserve"> for the pivotal studies</w:t>
      </w:r>
      <w:bookmarkEnd w:id="66"/>
    </w:p>
    <w:p w:rsidR="00C22678" w:rsidRPr="00586F98" w:rsidRDefault="003630A3" w:rsidP="0035594E">
      <w:pPr>
        <w:rPr>
          <w:lang w:eastAsia="ja-JP"/>
        </w:rPr>
      </w:pPr>
      <w:r>
        <w:t>The 200mg hard capsule, taken once daily</w:t>
      </w:r>
      <w:r w:rsidR="00493DD8">
        <w:t>,</w:t>
      </w:r>
      <w:r>
        <w:t xml:space="preserve"> has been selected as the dosage for paediatric patients &gt;33kg.</w:t>
      </w:r>
    </w:p>
    <w:p w:rsidR="00C22678" w:rsidRDefault="00C22678" w:rsidP="0035594E">
      <w:pPr>
        <w:pStyle w:val="Heading2"/>
      </w:pPr>
      <w:bookmarkStart w:id="67" w:name="_Toc391987974"/>
      <w:r>
        <w:lastRenderedPageBreak/>
        <w:t xml:space="preserve">Clinical </w:t>
      </w:r>
      <w:r w:rsidRPr="0035594E">
        <w:t>efficacy</w:t>
      </w:r>
      <w:bookmarkEnd w:id="67"/>
    </w:p>
    <w:p w:rsidR="00E706F6" w:rsidRDefault="00E706F6" w:rsidP="0035594E">
      <w:pPr>
        <w:pStyle w:val="Heading3"/>
      </w:pPr>
      <w:bookmarkStart w:id="68" w:name="_Toc342047596"/>
      <w:bookmarkStart w:id="69" w:name="_Toc391987975"/>
      <w:r>
        <w:t xml:space="preserve">Extension of </w:t>
      </w:r>
      <w:r w:rsidR="00223E94">
        <w:t>a</w:t>
      </w:r>
      <w:r w:rsidRPr="0035594E">
        <w:t>ge</w:t>
      </w:r>
      <w:bookmarkEnd w:id="68"/>
      <w:bookmarkEnd w:id="69"/>
    </w:p>
    <w:p w:rsidR="00C4139E" w:rsidRDefault="00E706F6" w:rsidP="0035594E">
      <w:proofErr w:type="spellStart"/>
      <w:r w:rsidRPr="00E706F6">
        <w:t>Emtricitabine</w:t>
      </w:r>
      <w:proofErr w:type="spellEnd"/>
      <w:r w:rsidRPr="00E706F6">
        <w:t xml:space="preserve"> is indicated for the treatment of HIV-1 infected adults and children in combination with other antiretroviral agents. The paediatric indication in the European Union was based on the results of an interim 24-week </w:t>
      </w:r>
      <w:r w:rsidR="00C4139E">
        <w:t>analysis of two ongoing studies:</w:t>
      </w:r>
    </w:p>
    <w:p w:rsidR="00C4139E" w:rsidRDefault="00E706F6" w:rsidP="0035594E">
      <w:pPr>
        <w:pStyle w:val="ListBullet"/>
      </w:pPr>
      <w:r w:rsidRPr="00E706F6">
        <w:t xml:space="preserve">FTC-203, which was </w:t>
      </w:r>
      <w:r w:rsidRPr="0035594E">
        <w:t>sp</w:t>
      </w:r>
      <w:r w:rsidR="00C4139E" w:rsidRPr="0035594E">
        <w:t>onsored</w:t>
      </w:r>
      <w:r w:rsidR="00C4139E">
        <w:t xml:space="preserve"> by the manufacturer, and</w:t>
      </w:r>
    </w:p>
    <w:p w:rsidR="00E706F6" w:rsidRPr="00E706F6" w:rsidRDefault="00E706F6" w:rsidP="0035594E">
      <w:pPr>
        <w:pStyle w:val="ListBullet"/>
      </w:pPr>
      <w:proofErr w:type="gramStart"/>
      <w:r w:rsidRPr="00E706F6">
        <w:t>a</w:t>
      </w:r>
      <w:proofErr w:type="gramEnd"/>
      <w:r w:rsidRPr="00E706F6">
        <w:t xml:space="preserve"> study conducted by the </w:t>
      </w:r>
      <w:r w:rsidRPr="0035594E">
        <w:t>Paediatrics</w:t>
      </w:r>
      <w:r w:rsidRPr="00E706F6">
        <w:t xml:space="preserve"> AIDS Clinical Trials Group (PACTG) and sponsored by the National Institute of Allergy and Infectious Disease (NIAID), referred </w:t>
      </w:r>
      <w:r w:rsidR="0035594E">
        <w:t>to hereafter as study FTC-202.</w:t>
      </w:r>
    </w:p>
    <w:p w:rsidR="00E706F6" w:rsidRPr="00E706F6" w:rsidRDefault="00E706F6" w:rsidP="0035594E">
      <w:r w:rsidRPr="00E706F6">
        <w:t>This submission, 48-week data are presented from three multiple-dose, pharmacokinetic (PK) efficacy and safety studies in paediatric HIV infected patients (FTC-203, FTC-202 and FTC-211).</w:t>
      </w:r>
    </w:p>
    <w:p w:rsidR="00E706F6" w:rsidRDefault="00E706F6" w:rsidP="0035594E">
      <w:pPr>
        <w:pStyle w:val="Heading4"/>
      </w:pPr>
      <w:bookmarkStart w:id="70" w:name="_Ref271037274"/>
      <w:bookmarkStart w:id="71" w:name="_Toc272414652"/>
      <w:bookmarkStart w:id="72" w:name="_Toc290846274"/>
      <w:bookmarkStart w:id="73" w:name="_Toc342047597"/>
      <w:r w:rsidRPr="0035594E">
        <w:t>Pivotal</w:t>
      </w:r>
      <w:r>
        <w:t xml:space="preserve"> efficacy studies</w:t>
      </w:r>
      <w:bookmarkEnd w:id="70"/>
      <w:bookmarkEnd w:id="71"/>
      <w:bookmarkEnd w:id="72"/>
      <w:bookmarkEnd w:id="73"/>
    </w:p>
    <w:p w:rsidR="00E706F6" w:rsidRPr="003C0A48" w:rsidRDefault="00E706F6" w:rsidP="0035594E">
      <w:pPr>
        <w:pStyle w:val="Heading5"/>
      </w:pPr>
      <w:bookmarkStart w:id="74" w:name="_Ref243301615"/>
      <w:bookmarkStart w:id="75" w:name="_Ref271040927"/>
      <w:bookmarkStart w:id="76" w:name="_Ref271040932"/>
      <w:bookmarkStart w:id="77" w:name="_Toc272414653"/>
      <w:bookmarkStart w:id="78" w:name="_Toc290846275"/>
      <w:bookmarkStart w:id="79" w:name="_Toc342047598"/>
      <w:r w:rsidRPr="0035594E">
        <w:t>Study</w:t>
      </w:r>
      <w:r>
        <w:t xml:space="preserve"> (or </w:t>
      </w:r>
      <w:r w:rsidR="00223E94">
        <w:t>s</w:t>
      </w:r>
      <w:r w:rsidRPr="003C0A48">
        <w:t xml:space="preserve">tudies) </w:t>
      </w:r>
      <w:bookmarkEnd w:id="74"/>
      <w:bookmarkEnd w:id="75"/>
      <w:bookmarkEnd w:id="76"/>
      <w:bookmarkEnd w:id="77"/>
      <w:bookmarkEnd w:id="78"/>
      <w:r>
        <w:t>FTC-202</w:t>
      </w:r>
      <w:bookmarkEnd w:id="79"/>
    </w:p>
    <w:p w:rsidR="00E706F6" w:rsidRPr="003C0A48" w:rsidRDefault="00E706F6" w:rsidP="0035594E">
      <w:pPr>
        <w:pStyle w:val="Heading6"/>
      </w:pPr>
      <w:r w:rsidRPr="0035594E">
        <w:t>Study</w:t>
      </w:r>
      <w:r w:rsidRPr="003C0A48">
        <w:t xml:space="preserve"> design, objectives, locations and dates</w:t>
      </w:r>
    </w:p>
    <w:p w:rsidR="00E706F6" w:rsidRPr="00E706F6" w:rsidRDefault="00E706F6" w:rsidP="0035594E">
      <w:r w:rsidRPr="00E706F6">
        <w:t xml:space="preserve">FTC-202 is an ongoing, multi-centre, open-label, nonrandomised study that was designed to evaluate the efficacy, safety and PK of </w:t>
      </w:r>
      <w:proofErr w:type="spellStart"/>
      <w:r w:rsidRPr="00E706F6">
        <w:t>emtricitabine</w:t>
      </w:r>
      <w:proofErr w:type="spellEnd"/>
      <w:r w:rsidRPr="00E706F6">
        <w:t xml:space="preserve"> in male and female patients in the following age groups: 3 months to &lt;36 months, 3 to 12 years and 13 to 21 years.</w:t>
      </w:r>
    </w:p>
    <w:p w:rsidR="00E706F6" w:rsidRPr="00E706F6" w:rsidRDefault="00E706F6" w:rsidP="0035594E">
      <w:r w:rsidRPr="00E706F6">
        <w:t>FTC-202 was undertaken by the Paediatric AIDS Clinical Trials Group in multiple centres in the United States.  Data analysis was performed by the Statistical and Data Management Centre at Harvard School of Public Health.</w:t>
      </w:r>
    </w:p>
    <w:p w:rsidR="00E706F6" w:rsidRPr="00E706F6" w:rsidRDefault="00E706F6" w:rsidP="0035594E">
      <w:r w:rsidRPr="00E706F6">
        <w:t>The main objectives were:</w:t>
      </w:r>
    </w:p>
    <w:p w:rsidR="00E706F6" w:rsidRPr="00E706F6" w:rsidRDefault="00E706F6" w:rsidP="0035594E">
      <w:pPr>
        <w:pStyle w:val="ListBullet"/>
      </w:pPr>
      <w:r w:rsidRPr="00E706F6">
        <w:t xml:space="preserve">To determine </w:t>
      </w:r>
      <w:r w:rsidRPr="0035594E">
        <w:t>the</w:t>
      </w:r>
      <w:r w:rsidRPr="00E706F6">
        <w:t xml:space="preserve"> long-term safety and tolerance of a regimen of </w:t>
      </w:r>
      <w:proofErr w:type="spellStart"/>
      <w:r w:rsidRPr="00E706F6">
        <w:t>emtricitabine</w:t>
      </w:r>
      <w:proofErr w:type="spellEnd"/>
      <w:r w:rsidRPr="00E706F6">
        <w:t xml:space="preserve"> + </w:t>
      </w:r>
      <w:proofErr w:type="spellStart"/>
      <w:r w:rsidRPr="00E706F6">
        <w:t>efavirenz</w:t>
      </w:r>
      <w:proofErr w:type="spellEnd"/>
      <w:r w:rsidRPr="00E706F6">
        <w:t xml:space="preserve"> + </w:t>
      </w:r>
      <w:proofErr w:type="spellStart"/>
      <w:r w:rsidRPr="00E706F6">
        <w:t>didanosine</w:t>
      </w:r>
      <w:proofErr w:type="spellEnd"/>
      <w:r w:rsidRPr="00E706F6">
        <w:t xml:space="preserve"> (FTV.EFV/</w:t>
      </w:r>
      <w:proofErr w:type="spellStart"/>
      <w:r w:rsidRPr="00E706F6">
        <w:t>ddI</w:t>
      </w:r>
      <w:proofErr w:type="spellEnd"/>
      <w:r w:rsidRPr="00E706F6">
        <w:t>) administered once daily in HIV infected paediatric patients who are naive, or have very limited exposure, to ART</w:t>
      </w:r>
    </w:p>
    <w:p w:rsidR="00E706F6" w:rsidRPr="00E706F6" w:rsidRDefault="00E706F6" w:rsidP="0035594E">
      <w:pPr>
        <w:pStyle w:val="ListBullet"/>
      </w:pPr>
      <w:r w:rsidRPr="00E706F6">
        <w:t xml:space="preserve">To determine </w:t>
      </w:r>
      <w:r w:rsidRPr="0035594E">
        <w:t>the</w:t>
      </w:r>
      <w:r w:rsidRPr="00E706F6">
        <w:t xml:space="preserve"> antiviral activity of a regimen of FTC/EFV/</w:t>
      </w:r>
      <w:proofErr w:type="spellStart"/>
      <w:r w:rsidRPr="00E706F6">
        <w:t>ddI</w:t>
      </w:r>
      <w:proofErr w:type="spellEnd"/>
      <w:r w:rsidRPr="00E706F6">
        <w:t xml:space="preserve"> administered once daily in treatment of naive or very limited antiretroviral-exposed paediatric patients</w:t>
      </w:r>
    </w:p>
    <w:p w:rsidR="00E706F6" w:rsidRPr="00E706F6" w:rsidRDefault="00E706F6" w:rsidP="0035594E">
      <w:r w:rsidRPr="00E706F6">
        <w:t>Secondary objectives were:</w:t>
      </w:r>
    </w:p>
    <w:p w:rsidR="00E706F6" w:rsidRPr="00E706F6" w:rsidRDefault="00E706F6" w:rsidP="0035594E">
      <w:r w:rsidRPr="00E706F6">
        <w:t>To examine in an exploratory analysis the relationship between antiretroviral systemic exposure for each of the three drugs (FTC/EFV/</w:t>
      </w:r>
      <w:proofErr w:type="spellStart"/>
      <w:r w:rsidRPr="00E706F6">
        <w:t>ddI</w:t>
      </w:r>
      <w:proofErr w:type="spellEnd"/>
      <w:r w:rsidRPr="00E706F6">
        <w:t>) and the anti-retroviral outcomes as determined by the extent and duration of suppression of plasma HIV-RNA</w:t>
      </w:r>
      <w:r w:rsidR="0035594E">
        <w:t>.</w:t>
      </w:r>
    </w:p>
    <w:p w:rsidR="00E706F6" w:rsidRPr="00E706F6" w:rsidRDefault="00E706F6" w:rsidP="0035594E">
      <w:proofErr w:type="gramStart"/>
      <w:r w:rsidRPr="00E706F6">
        <w:t xml:space="preserve">To determine the role of antiretroviral resistance in </w:t>
      </w:r>
      <w:proofErr w:type="spellStart"/>
      <w:r w:rsidRPr="00E706F6">
        <w:t>virologic</w:t>
      </w:r>
      <w:proofErr w:type="spellEnd"/>
      <w:r w:rsidRPr="00E706F6">
        <w:t xml:space="preserve"> failure of a once-daily treatment regimen of FTC/EFV/</w:t>
      </w:r>
      <w:proofErr w:type="spellStart"/>
      <w:r w:rsidRPr="00E706F6">
        <w:t>ddI</w:t>
      </w:r>
      <w:proofErr w:type="spellEnd"/>
      <w:r w:rsidRPr="00E706F6">
        <w:t xml:space="preserve">, and to evaluate the use of ultrasensitive HIV-RNA determination as an early indicator of </w:t>
      </w:r>
      <w:proofErr w:type="spellStart"/>
      <w:r w:rsidR="00EE0622">
        <w:t>virologic</w:t>
      </w:r>
      <w:proofErr w:type="spellEnd"/>
      <w:r w:rsidR="00EE0622">
        <w:t xml:space="preserve"> failure in treatment </w:t>
      </w:r>
      <w:r w:rsidRPr="00E706F6">
        <w:t>naive paediatric patients</w:t>
      </w:r>
      <w:r w:rsidR="0035594E">
        <w:t>.</w:t>
      </w:r>
      <w:proofErr w:type="gramEnd"/>
    </w:p>
    <w:p w:rsidR="00E706F6" w:rsidRPr="0045396F" w:rsidRDefault="00E706F6" w:rsidP="00EE0622">
      <w:pPr>
        <w:ind w:left="720"/>
        <w:rPr>
          <w:i/>
        </w:rPr>
      </w:pPr>
      <w:r w:rsidRPr="0045396F">
        <w:rPr>
          <w:i/>
        </w:rPr>
        <w:t>Comment: This study was designed as a Phase II efficacy and safety study. The objectives and endpoints are appropriate.</w:t>
      </w:r>
    </w:p>
    <w:p w:rsidR="00E706F6" w:rsidRPr="00F74419" w:rsidRDefault="00E706F6" w:rsidP="0035594E">
      <w:pPr>
        <w:pStyle w:val="Heading6"/>
      </w:pPr>
      <w:r w:rsidRPr="00F74419">
        <w:t>Inclusion and exclusion criteria</w:t>
      </w:r>
    </w:p>
    <w:p w:rsidR="00E706F6" w:rsidRPr="00F74419" w:rsidRDefault="00E706F6" w:rsidP="0035594E">
      <w:r w:rsidRPr="00F74419">
        <w:t>Eligible patients had documented HIV-1 infection, were ART-naive (no or very limited prior exposure to ART) and had a plasma HIV-1 RNA level of at least 5,000 copies/mL at screening.</w:t>
      </w:r>
    </w:p>
    <w:p w:rsidR="00E706F6" w:rsidRPr="00F74419" w:rsidRDefault="00E706F6" w:rsidP="0035594E">
      <w:r w:rsidRPr="00F74419">
        <w:t xml:space="preserve">Medically participants were required to have had no hypersensitivity to any component of the formulation of FTC, EFV or </w:t>
      </w:r>
      <w:proofErr w:type="spellStart"/>
      <w:r w:rsidRPr="00F74419">
        <w:t>ddI</w:t>
      </w:r>
      <w:proofErr w:type="spellEnd"/>
      <w:r w:rsidRPr="00F74419">
        <w:t xml:space="preserve">, no renal impairment, no presence of acute opportunistic or bacterial infection requiring systemic therapy at the time of enrolment, no chemotherapy for active malignancy within one year of screening and no pregnancy or breastfeeding, no Grade 3 </w:t>
      </w:r>
      <w:r w:rsidRPr="00F74419">
        <w:lastRenderedPageBreak/>
        <w:t>or above haemoglobin level, Grade 2 or above absolute neutrophil count or Grade 2 or abo</w:t>
      </w:r>
      <w:r w:rsidR="0035594E">
        <w:t>ve platelet count at screening.</w:t>
      </w:r>
    </w:p>
    <w:p w:rsidR="00E706F6" w:rsidRPr="0045396F" w:rsidRDefault="00E706F6" w:rsidP="00F74419">
      <w:pPr>
        <w:ind w:left="720"/>
        <w:rPr>
          <w:i/>
        </w:rPr>
      </w:pPr>
      <w:r w:rsidRPr="0045396F">
        <w:rPr>
          <w:i/>
        </w:rPr>
        <w:t>Comment: “very little or no exposure to ART” was defined as no exposure to ART except for in vitro exposure to maternal ART and/or post-natal prophylaxis for prevention of mother to child transmission of HIV.</w:t>
      </w:r>
    </w:p>
    <w:p w:rsidR="00E706F6" w:rsidRPr="004B259C" w:rsidRDefault="00E706F6" w:rsidP="0035594E">
      <w:pPr>
        <w:pStyle w:val="Heading6"/>
      </w:pPr>
      <w:r w:rsidRPr="004B259C">
        <w:t xml:space="preserve">Study </w:t>
      </w:r>
      <w:r w:rsidRPr="0035594E">
        <w:t>treatments</w:t>
      </w:r>
    </w:p>
    <w:p w:rsidR="00E706F6" w:rsidRPr="00AB1E72" w:rsidRDefault="00E706F6" w:rsidP="0035594E">
      <w:r w:rsidRPr="00AB1E72">
        <w:t xml:space="preserve">All patients received a triple-drug regimen comprising </w:t>
      </w:r>
      <w:proofErr w:type="spellStart"/>
      <w:r w:rsidRPr="00AB1E72">
        <w:t>emtricitabine</w:t>
      </w:r>
      <w:proofErr w:type="spellEnd"/>
      <w:r w:rsidRPr="00AB1E72">
        <w:t xml:space="preserve"> (6mg/kg once daily in capsule or oral-solution formation, up to a maximum of 200</w:t>
      </w:r>
      <w:r w:rsidR="007D2774">
        <w:t xml:space="preserve"> </w:t>
      </w:r>
      <w:r w:rsidRPr="00AB1E72">
        <w:t xml:space="preserve">mg once daily), </w:t>
      </w:r>
      <w:proofErr w:type="spellStart"/>
      <w:r w:rsidRPr="00AB1E72">
        <w:t>didanosine</w:t>
      </w:r>
      <w:proofErr w:type="spellEnd"/>
      <w:r w:rsidRPr="00AB1E72">
        <w:t xml:space="preserve"> (240mg/m2</w:t>
      </w:r>
      <w:r w:rsidR="007D2774">
        <w:t xml:space="preserve"> once daily, up to a </w:t>
      </w:r>
      <w:r w:rsidRPr="00AB1E72">
        <w:t>maximum of 400</w:t>
      </w:r>
      <w:r w:rsidR="007D2774">
        <w:t xml:space="preserve"> </w:t>
      </w:r>
      <w:r w:rsidRPr="00AB1E72">
        <w:t xml:space="preserve">mg once daily) and </w:t>
      </w:r>
      <w:proofErr w:type="spellStart"/>
      <w:r w:rsidRPr="00AB1E72">
        <w:t>efavirenz</w:t>
      </w:r>
      <w:proofErr w:type="spellEnd"/>
      <w:r w:rsidRPr="00AB1E72">
        <w:t xml:space="preserve"> (dosage based on body weight, up to a maximum of 600</w:t>
      </w:r>
      <w:r w:rsidR="007D2774">
        <w:t xml:space="preserve"> </w:t>
      </w:r>
      <w:r w:rsidRPr="00AB1E72">
        <w:t>mg once daily as a capsule or up to 720</w:t>
      </w:r>
      <w:r w:rsidR="007D2774">
        <w:t xml:space="preserve"> </w:t>
      </w:r>
      <w:r w:rsidRPr="00AB1E72">
        <w:t xml:space="preserve">mg once daily as an oral solution in age groups 2 and 3). All but three of the children who weighed less than 33 kg received the </w:t>
      </w:r>
      <w:proofErr w:type="spellStart"/>
      <w:r w:rsidRPr="00AB1E72">
        <w:t>emtriciabine</w:t>
      </w:r>
      <w:proofErr w:type="spellEnd"/>
      <w:r w:rsidRPr="00AB1E72">
        <w:t xml:space="preserve"> oral</w:t>
      </w:r>
      <w:r w:rsidR="00F95310">
        <w:t xml:space="preserve"> </w:t>
      </w:r>
      <w:r w:rsidRPr="00AB1E72">
        <w:t>solution formation and all others received the capsule formulation.</w:t>
      </w:r>
    </w:p>
    <w:p w:rsidR="00E706F6" w:rsidRPr="00AB1E72" w:rsidRDefault="00E706F6" w:rsidP="0035594E">
      <w:r w:rsidRPr="00AB1E72">
        <w:t>Treatment was administered on an outpatient basis, with patients returning to clinic for follow-up visits at Week 2, 4, 7 and every 4 weeks thereafter.</w:t>
      </w:r>
    </w:p>
    <w:p w:rsidR="00E706F6" w:rsidRPr="004B259C" w:rsidRDefault="00E706F6" w:rsidP="0035594E">
      <w:pPr>
        <w:pStyle w:val="Heading6"/>
      </w:pPr>
      <w:r w:rsidRPr="004B259C">
        <w:t>Efficacy variables and outcomes</w:t>
      </w:r>
    </w:p>
    <w:p w:rsidR="00E706F6" w:rsidRPr="00AB1E72" w:rsidRDefault="00E706F6" w:rsidP="00E21825">
      <w:r w:rsidRPr="00AB1E72">
        <w:t>The main efficacy variables were:</w:t>
      </w:r>
    </w:p>
    <w:p w:rsidR="00E706F6" w:rsidRPr="00AB1E72" w:rsidRDefault="00E706F6" w:rsidP="00E21825">
      <w:pPr>
        <w:pStyle w:val="ListBullet"/>
      </w:pPr>
      <w:r w:rsidRPr="00AB1E72">
        <w:t>Plasma HIV-1 RNA levels assessed at baseline and at every clinic visit using RT-PCR assay with standard and ultrasensitive specimen preparation providing lowest limit of quantitation (LLOQ) values of 400 and 50 copies/mL, respectively</w:t>
      </w:r>
    </w:p>
    <w:p w:rsidR="00E706F6" w:rsidRPr="00AB1E72" w:rsidRDefault="00E706F6" w:rsidP="00E21825">
      <w:pPr>
        <w:pStyle w:val="ListBullet"/>
      </w:pPr>
      <w:r w:rsidRPr="00AB1E72">
        <w:t>Absolute and percent CD4 counts were measured at baseline, weeks 4, 16, 24 and every 12 weeks thereafter</w:t>
      </w:r>
    </w:p>
    <w:p w:rsidR="00E706F6" w:rsidRPr="00AB1E72" w:rsidRDefault="00E706F6" w:rsidP="00E21825">
      <w:pPr>
        <w:pStyle w:val="ListBullet"/>
      </w:pPr>
      <w:r w:rsidRPr="00AB1E72">
        <w:t>Special immunology studies were performed a</w:t>
      </w:r>
      <w:r w:rsidR="00223E94">
        <w:t>t baseline, weeks 16, 24 and 48</w:t>
      </w:r>
    </w:p>
    <w:p w:rsidR="00E706F6" w:rsidRPr="00AB1E72" w:rsidRDefault="00E706F6" w:rsidP="00E21825">
      <w:pPr>
        <w:pStyle w:val="ListBullet"/>
      </w:pPr>
      <w:r w:rsidRPr="00AB1E72">
        <w:t xml:space="preserve">In case of </w:t>
      </w:r>
      <w:proofErr w:type="spellStart"/>
      <w:r w:rsidRPr="00AB1E72">
        <w:t>virologic</w:t>
      </w:r>
      <w:proofErr w:type="spellEnd"/>
      <w:r w:rsidRPr="00AB1E72">
        <w:t xml:space="preserve"> failure, descriptive analysis of genotypic mutations of HIV-1 with correlation with </w:t>
      </w:r>
      <w:proofErr w:type="spellStart"/>
      <w:r w:rsidRPr="00AB1E72">
        <w:t>virologic</w:t>
      </w:r>
      <w:proofErr w:type="spellEnd"/>
      <w:r w:rsidRPr="00AB1E72">
        <w:t>, pharmacologic and immunologic response markers</w:t>
      </w:r>
    </w:p>
    <w:p w:rsidR="00E706F6" w:rsidRPr="00AB1E72" w:rsidRDefault="00E706F6" w:rsidP="00E21825">
      <w:pPr>
        <w:pStyle w:val="ListBullet"/>
      </w:pPr>
      <w:r w:rsidRPr="00AB1E72">
        <w:t xml:space="preserve">Serial blood samples were obtained 0-24 hours </w:t>
      </w:r>
      <w:proofErr w:type="spellStart"/>
      <w:r w:rsidRPr="00AB1E72">
        <w:t>postdose</w:t>
      </w:r>
      <w:proofErr w:type="spellEnd"/>
      <w:r w:rsidRPr="00AB1E72">
        <w:t xml:space="preserve"> at Week 2 for determination of study drug concentrations; these data were used to calculate the PK parameters</w:t>
      </w:r>
    </w:p>
    <w:p w:rsidR="00E706F6" w:rsidRPr="00AB1E72" w:rsidRDefault="00E706F6" w:rsidP="00E21825">
      <w:pPr>
        <w:pStyle w:val="ListBullet"/>
      </w:pPr>
      <w:r w:rsidRPr="00AB1E72">
        <w:t>Cytochrome P450 3A (CYP3A) genotyping was collected at Week 4.</w:t>
      </w:r>
    </w:p>
    <w:p w:rsidR="00E706F6" w:rsidRPr="00AB1E72" w:rsidRDefault="00E706F6" w:rsidP="00E21825">
      <w:r w:rsidRPr="00AB1E72">
        <w:t>The primary efficacy endpoint was the proportion of patients at Week 48 and all other time points with plasma HIV-1 RNA levels &lt;400 copies/mL and &lt;50 copies/mL, evaluated using missing=failure (M=F) analysis. This method classified a patient with missing data (for any reason) as a “failure” for the cross-sectional Week 48 analysis.</w:t>
      </w:r>
    </w:p>
    <w:p w:rsidR="00E706F6" w:rsidRPr="00AB1E72" w:rsidRDefault="00E706F6" w:rsidP="00E21825">
      <w:r w:rsidRPr="00AB1E72">
        <w:t>Other efficacy outcomes included:</w:t>
      </w:r>
    </w:p>
    <w:p w:rsidR="00E706F6" w:rsidRPr="00AB1E72" w:rsidRDefault="00E706F6" w:rsidP="00E21825">
      <w:pPr>
        <w:pStyle w:val="ListBullet"/>
      </w:pPr>
      <w:r w:rsidRPr="00AB1E72">
        <w:t>Change from baseline in HIV-1 RNA levels at measured time points, tabulated using descriptive statistics</w:t>
      </w:r>
    </w:p>
    <w:p w:rsidR="00E706F6" w:rsidRPr="00AB1E72" w:rsidRDefault="00E706F6" w:rsidP="00E21825">
      <w:pPr>
        <w:pStyle w:val="ListBullet"/>
      </w:pPr>
      <w:r w:rsidRPr="00AB1E72">
        <w:t>Change from baseline in CD4 count (absolute and precent) at measured time points, tabulated using descriptive statistics</w:t>
      </w:r>
    </w:p>
    <w:p w:rsidR="00E706F6" w:rsidRPr="00AB1E72" w:rsidRDefault="00E706F6" w:rsidP="00E21825">
      <w:pPr>
        <w:pStyle w:val="ListBullet"/>
      </w:pPr>
      <w:r w:rsidRPr="00AB1E72">
        <w:t xml:space="preserve">The incidence or </w:t>
      </w:r>
      <w:proofErr w:type="spellStart"/>
      <w:r w:rsidRPr="00AB1E72">
        <w:t>virologic</w:t>
      </w:r>
      <w:proofErr w:type="spellEnd"/>
      <w:r w:rsidRPr="00AB1E72">
        <w:t xml:space="preserve"> failure; probability of </w:t>
      </w:r>
      <w:proofErr w:type="spellStart"/>
      <w:r w:rsidRPr="00AB1E72">
        <w:t>virologic</w:t>
      </w:r>
      <w:proofErr w:type="spellEnd"/>
      <w:r w:rsidRPr="00AB1E72">
        <w:t xml:space="preserve"> failure estimated using the Kaplan-Meier method</w:t>
      </w:r>
    </w:p>
    <w:p w:rsidR="00E706F6" w:rsidRPr="00D70D56" w:rsidRDefault="00E706F6" w:rsidP="00AB1E72">
      <w:pPr>
        <w:ind w:left="720"/>
        <w:rPr>
          <w:i/>
        </w:rPr>
      </w:pPr>
      <w:r w:rsidRPr="00D70D56">
        <w:rPr>
          <w:i/>
        </w:rPr>
        <w:t>Comment: Small sample size limits the ability to interpret the secondary efficacy outcomes however, HIV-1 RNA levels and CD4 counts follow similar patterns and should provide sufficient evidence to show the efficacy of the study drug.</w:t>
      </w:r>
    </w:p>
    <w:p w:rsidR="00E706F6" w:rsidRPr="004B259C" w:rsidRDefault="00E706F6" w:rsidP="00E21825">
      <w:pPr>
        <w:pStyle w:val="Heading6"/>
      </w:pPr>
      <w:r w:rsidRPr="004B259C">
        <w:t>Randomisation and blinding methods</w:t>
      </w:r>
    </w:p>
    <w:p w:rsidR="00E706F6" w:rsidRPr="00CC1AC4" w:rsidRDefault="00E706F6" w:rsidP="00E21825">
      <w:r w:rsidRPr="00CC1AC4">
        <w:t>This was an open-label, non-randomised study.  There was no blinding.</w:t>
      </w:r>
    </w:p>
    <w:p w:rsidR="00E706F6" w:rsidRDefault="00E706F6" w:rsidP="00E21825">
      <w:pPr>
        <w:pStyle w:val="Heading6"/>
      </w:pPr>
      <w:r>
        <w:lastRenderedPageBreak/>
        <w:t>Analysis populations</w:t>
      </w:r>
    </w:p>
    <w:p w:rsidR="00E706F6" w:rsidRPr="00CC1AC4" w:rsidRDefault="00E706F6" w:rsidP="00E21825">
      <w:r w:rsidRPr="00CC1AC4">
        <w:t>Participants were grouped into three age groups; Group 1 (3 months to &lt;36 months), Group 2 (3 years to 12 years) and Group 3 (13 years to 21 years).</w:t>
      </w:r>
    </w:p>
    <w:p w:rsidR="00E706F6" w:rsidRPr="00E21825" w:rsidRDefault="00E706F6" w:rsidP="00E21825">
      <w:pPr>
        <w:ind w:left="284"/>
        <w:rPr>
          <w:i/>
        </w:rPr>
      </w:pPr>
      <w:r w:rsidRPr="00E21825">
        <w:rPr>
          <w:i/>
        </w:rPr>
        <w:t>Comment: Only Group 3 analysis is relevant to this application.</w:t>
      </w:r>
    </w:p>
    <w:p w:rsidR="00E706F6" w:rsidRPr="004B259C" w:rsidDel="0081373E" w:rsidRDefault="00E706F6" w:rsidP="00E21825">
      <w:pPr>
        <w:pStyle w:val="Heading6"/>
      </w:pPr>
      <w:r w:rsidRPr="004B259C" w:rsidDel="0081373E">
        <w:t xml:space="preserve">Sample </w:t>
      </w:r>
      <w:r w:rsidRPr="00E21825" w:rsidDel="0081373E">
        <w:t>size</w:t>
      </w:r>
    </w:p>
    <w:p w:rsidR="00E706F6" w:rsidRPr="00CC1AC4" w:rsidRDefault="001A31EC" w:rsidP="00E21825">
      <w:r>
        <w:t xml:space="preserve">A total of </w:t>
      </w:r>
      <w:r w:rsidR="00E706F6" w:rsidRPr="00CC1AC4">
        <w:t>42 enrolled patients comprised the ITT population; 6 in Group 1, 21 in Group 2 and 16 in Group 3.</w:t>
      </w:r>
    </w:p>
    <w:p w:rsidR="00E706F6" w:rsidRPr="00D70D56" w:rsidDel="0081373E" w:rsidRDefault="00E706F6" w:rsidP="00CC1AC4">
      <w:pPr>
        <w:ind w:firstLine="720"/>
        <w:rPr>
          <w:i/>
        </w:rPr>
      </w:pPr>
      <w:r w:rsidRPr="00D70D56">
        <w:rPr>
          <w:i/>
        </w:rPr>
        <w:t>Comment: Only Group 3 analysis is relevant for this application</w:t>
      </w:r>
    </w:p>
    <w:p w:rsidR="00E706F6" w:rsidRPr="004B259C" w:rsidRDefault="00E706F6" w:rsidP="00E21825">
      <w:pPr>
        <w:pStyle w:val="Heading6"/>
      </w:pPr>
      <w:r w:rsidRPr="00E21825">
        <w:t>Statistical</w:t>
      </w:r>
      <w:r w:rsidRPr="004B259C">
        <w:t xml:space="preserve"> methods</w:t>
      </w:r>
    </w:p>
    <w:p w:rsidR="00E706F6" w:rsidRPr="00EB6CC4" w:rsidRDefault="00E706F6" w:rsidP="00E21825">
      <w:pPr>
        <w:pStyle w:val="ListBullet"/>
      </w:pPr>
      <w:proofErr w:type="spellStart"/>
      <w:r w:rsidRPr="00EB6CC4">
        <w:t>Clopper</w:t>
      </w:r>
      <w:proofErr w:type="spellEnd"/>
      <w:r w:rsidRPr="00EB6CC4">
        <w:t>-Pearson exact confidence intervals were used for proportion estimates.</w:t>
      </w:r>
    </w:p>
    <w:p w:rsidR="00E706F6" w:rsidRPr="00EB6CC4" w:rsidRDefault="00E706F6" w:rsidP="00E21825">
      <w:pPr>
        <w:pStyle w:val="ListBullet"/>
      </w:pPr>
      <w:r w:rsidRPr="00EB6CC4">
        <w:t>Kaplan-Meier method was used to plot over time the proportion of subjects with viral failure or a permanent discontinuation of study treatment other than completion of the protocol specified duration of treatment.</w:t>
      </w:r>
    </w:p>
    <w:p w:rsidR="00E706F6" w:rsidRPr="00EB6CC4" w:rsidRDefault="00E706F6" w:rsidP="00E21825">
      <w:pPr>
        <w:pStyle w:val="ListBullet"/>
      </w:pPr>
      <w:r w:rsidRPr="00EB6CC4">
        <w:t xml:space="preserve">Wilcoxon signed rank </w:t>
      </w:r>
      <w:r w:rsidRPr="00E21825">
        <w:t>test</w:t>
      </w:r>
      <w:r w:rsidRPr="00EB6CC4">
        <w:t xml:space="preserve"> is used to compa</w:t>
      </w:r>
      <w:r w:rsidR="00A66E09">
        <w:t>re the values of CD4 cell count</w:t>
      </w:r>
      <w:r w:rsidRPr="00EB6CC4">
        <w:t xml:space="preserve"> or percentage at two different time points.</w:t>
      </w:r>
    </w:p>
    <w:p w:rsidR="00E706F6" w:rsidRPr="00EB6CC4" w:rsidRDefault="00E706F6" w:rsidP="00E21825">
      <w:pPr>
        <w:pStyle w:val="ListBullet"/>
      </w:pPr>
      <w:r w:rsidRPr="00EB6CC4">
        <w:t>Confidence interval for the estimated median increase of CD4 cell count or percentage from study entry to any later time point is calculated by inverting the sign test using the binomial distribution.</w:t>
      </w:r>
    </w:p>
    <w:p w:rsidR="00E706F6" w:rsidRPr="00D70D56" w:rsidDel="0081373E" w:rsidRDefault="00E706F6" w:rsidP="00EB6CC4">
      <w:pPr>
        <w:ind w:firstLine="720"/>
        <w:rPr>
          <w:i/>
        </w:rPr>
      </w:pPr>
      <w:r w:rsidRPr="00D70D56">
        <w:rPr>
          <w:i/>
        </w:rPr>
        <w:t>Comment: Statistical methods seem appropriate.</w:t>
      </w:r>
    </w:p>
    <w:p w:rsidR="00E706F6" w:rsidRPr="004B259C" w:rsidRDefault="00E706F6" w:rsidP="00E21825">
      <w:pPr>
        <w:pStyle w:val="Heading6"/>
      </w:pPr>
      <w:r w:rsidRPr="00E21825">
        <w:t>Participant</w:t>
      </w:r>
      <w:r w:rsidRPr="004B259C">
        <w:t xml:space="preserve"> flow</w:t>
      </w:r>
    </w:p>
    <w:p w:rsidR="00E706F6" w:rsidRPr="00631C8A" w:rsidRDefault="00E706F6" w:rsidP="00631C8A">
      <w:r w:rsidRPr="00631C8A">
        <w:t xml:space="preserve">A total of 37 subjects from 16 sites were enrolled into Groups 2 and 3 of this study. The first was registered to this study on </w:t>
      </w:r>
      <w:r w:rsidR="00535899">
        <w:t>18 September</w:t>
      </w:r>
      <w:r w:rsidRPr="00631C8A">
        <w:t xml:space="preserve"> 2001, and the la</w:t>
      </w:r>
      <w:r w:rsidR="00535899">
        <w:t xml:space="preserve">st was registered on 23 October </w:t>
      </w:r>
      <w:r w:rsidR="00B544D3">
        <w:t xml:space="preserve">2002. </w:t>
      </w:r>
      <w:r w:rsidRPr="00631C8A">
        <w:t>The starting date of the study treatment was used as time 0 in all analyses. Of the 37 subjects, 21 were in Age Group 2 (3 to 12 years of age, inclusive), and 16 were in Age Group 3 (13 to 21 years of age, incl</w:t>
      </w:r>
      <w:r w:rsidR="00E21825">
        <w:t>usive).</w:t>
      </w:r>
    </w:p>
    <w:p w:rsidR="00E706F6" w:rsidRPr="00631C8A" w:rsidRDefault="00E706F6" w:rsidP="00E21825">
      <w:r w:rsidRPr="00631C8A">
        <w:t xml:space="preserve">Two subjects (with patient numbers </w:t>
      </w:r>
      <w:r w:rsidR="00A66E09">
        <w:t>[information redacted]</w:t>
      </w:r>
      <w:r w:rsidRPr="00631C8A">
        <w:t>) discontinued study treatment permanently before the week 2 intensive PK study. The team decided to enrol one more subject than the sample size specified by the protocol (36 for Groups 2 and 3 combined) to replace them for PK reasons. The other 35 subjects are evaluable for the PK analysis. For all analyses other than PK, all 37 subjects are included.</w:t>
      </w:r>
    </w:p>
    <w:p w:rsidR="00E706F6" w:rsidRPr="00631C8A" w:rsidRDefault="00E706F6" w:rsidP="00E21825">
      <w:r w:rsidRPr="00631C8A">
        <w:t>All 37 subjects who were enrolled on study started study treatment; 14 subjects discontinued study medication permanently prior to week 178. Of these 14 subjects, 5 had not reached the minimum treatment duration of 48 weeks, including 2 who discontinued the study treatment before the week 2 intensive PK study.</w:t>
      </w:r>
    </w:p>
    <w:p w:rsidR="00E706F6" w:rsidRPr="00631C8A" w:rsidRDefault="00E706F6" w:rsidP="00E21825">
      <w:r w:rsidRPr="00631C8A">
        <w:t>The first interim analysis was carried out after the first 13 subjects had completed the week 2 intensive pharmacokinetic study.</w:t>
      </w:r>
    </w:p>
    <w:p w:rsidR="00E706F6" w:rsidRPr="00631C8A" w:rsidRDefault="00E706F6" w:rsidP="00631C8A">
      <w:r w:rsidRPr="00631C8A">
        <w:t>Chemistry and liver function tests were scheduled at screening, study entry, weeks 2 and 4, every 4 weeks up to week 144 and every 12 weeks thereafter. Haematology tests were scheduled at screening, study entry, every four weeks from week 4 to week 24, every 8 weeks up to week 144 and every 12 weeks thereafter.</w:t>
      </w:r>
    </w:p>
    <w:p w:rsidR="00E706F6" w:rsidRDefault="00E706F6" w:rsidP="00E21825">
      <w:pPr>
        <w:pStyle w:val="Heading6"/>
      </w:pPr>
      <w:r>
        <w:t>Major protocol violations/</w:t>
      </w:r>
      <w:r w:rsidRPr="00E21825">
        <w:t>deviations</w:t>
      </w:r>
    </w:p>
    <w:p w:rsidR="00E706F6" w:rsidRPr="00631C8A" w:rsidRDefault="00631C8A" w:rsidP="00E21825">
      <w:r>
        <w:t xml:space="preserve">There were </w:t>
      </w:r>
      <w:r w:rsidR="00E706F6" w:rsidRPr="00631C8A">
        <w:t xml:space="preserve">28 of the 37 subjects </w:t>
      </w:r>
      <w:r>
        <w:t xml:space="preserve">who </w:t>
      </w:r>
      <w:r w:rsidR="00E706F6" w:rsidRPr="00631C8A">
        <w:t>had treatment modifications during the study (up to week 178); reasons for treatment modification included an increase in EFV dose following the first interim analysis pharmacokinetic results and temporary discontinuation due to adverse events.</w:t>
      </w:r>
      <w:r w:rsidR="00E21825">
        <w:t xml:space="preserve"> </w:t>
      </w:r>
      <w:r w:rsidR="00E706F6" w:rsidRPr="00631C8A">
        <w:lastRenderedPageBreak/>
        <w:t>The majority of treatment modifications appear to have been due to behavioural/lifestyle factors such as the subject not wanting to take medication, forgetting to take medication, being incarcerated and not having access to medication</w:t>
      </w:r>
      <w:r w:rsidR="00865240">
        <w:t>,</w:t>
      </w:r>
      <w:r w:rsidR="00E21825">
        <w:t xml:space="preserve"> etc.</w:t>
      </w:r>
    </w:p>
    <w:p w:rsidR="00E706F6" w:rsidRPr="00D70D56" w:rsidRDefault="00E706F6" w:rsidP="00631C8A">
      <w:pPr>
        <w:ind w:left="720"/>
        <w:rPr>
          <w:i/>
        </w:rPr>
      </w:pPr>
      <w:r w:rsidRPr="00D70D56">
        <w:rPr>
          <w:i/>
        </w:rPr>
        <w:t>Comment: Compliance with treatment for chronic illness is a recognised challenge of managing adolescent health issues and the problems with drug non-compliance and protocol violations should be viewed through this lens. The majority of treatment modifications (protocol violations) occurred after week 24 and would not have affected the PK analysis.  A change in treatment regimen for any reason (adverse event, failure, patient compliance) was classified as ‘treatment failure’ in the ITT analysis.  Medication non-compliance in all cases seemed to be associated with social factors and not adverse events (side effects) precipitat</w:t>
      </w:r>
      <w:r w:rsidR="00E21825">
        <w:rPr>
          <w:i/>
        </w:rPr>
        <w:t>ing poor drug-taking behaviour.</w:t>
      </w:r>
    </w:p>
    <w:p w:rsidR="00E706F6" w:rsidRPr="004B259C" w:rsidRDefault="00E706F6" w:rsidP="00E21825">
      <w:pPr>
        <w:pStyle w:val="Heading6"/>
      </w:pPr>
      <w:r w:rsidRPr="004B259C">
        <w:t xml:space="preserve">Baseline </w:t>
      </w:r>
      <w:r w:rsidRPr="00E21825">
        <w:t>data</w:t>
      </w:r>
    </w:p>
    <w:p w:rsidR="00E706F6" w:rsidRDefault="00E706F6" w:rsidP="00E21825">
      <w:r w:rsidRPr="00631C8A">
        <w:t>Seventeen of the 37 subjects (46%) were female. The median CD4 count was 310</w:t>
      </w:r>
      <w:r w:rsidR="00263F74">
        <w:t xml:space="preserve"> </w:t>
      </w:r>
      <w:r w:rsidRPr="00631C8A">
        <w:t>cells/µL (range 2 to 1,893 cells/µL), the median CD4 percentage was 17.0% (range 1.0% to 40.0%) and the median HIV-1 RNA level was 47,775 copies/mL (rang</w:t>
      </w:r>
      <w:r w:rsidR="00635574">
        <w:t>e 3,655 to 2,370,844 copies/mL) (Table 6).</w:t>
      </w:r>
    </w:p>
    <w:p w:rsidR="003355F8" w:rsidRDefault="003355F8" w:rsidP="00E21825">
      <w:pPr>
        <w:pStyle w:val="TableTitle"/>
      </w:pPr>
      <w:r>
        <w:t>Table 6:</w:t>
      </w:r>
      <w:r w:rsidRPr="004C5C28">
        <w:t xml:space="preserve"> </w:t>
      </w:r>
      <w:r w:rsidRPr="003355F8">
        <w:t>Study FTC-202 Baseline Subject Data</w:t>
      </w:r>
      <w:r>
        <w:t>.</w:t>
      </w:r>
    </w:p>
    <w:p w:rsidR="003355F8" w:rsidRDefault="00366D1C" w:rsidP="003355F8">
      <w:pPr>
        <w:pStyle w:val="FigureTitle"/>
      </w:pPr>
      <w:r>
        <w:rPr>
          <w:noProof/>
          <w:lang w:eastAsia="en-AU"/>
        </w:rPr>
        <w:drawing>
          <wp:inline distT="0" distB="0" distL="0" distR="0">
            <wp:extent cx="4558665" cy="3856355"/>
            <wp:effectExtent l="0" t="0" r="0" b="0"/>
            <wp:docPr id="7" name="Picture 7" descr="Table 6: Study FTC-202 Baseline Subjec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6: Study FTC-202 Baseline Subject Da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8665" cy="3856355"/>
                    </a:xfrm>
                    <a:prstGeom prst="rect">
                      <a:avLst/>
                    </a:prstGeom>
                    <a:noFill/>
                    <a:ln>
                      <a:noFill/>
                    </a:ln>
                  </pic:spPr>
                </pic:pic>
              </a:graphicData>
            </a:graphic>
          </wp:inline>
        </w:drawing>
      </w:r>
    </w:p>
    <w:p w:rsidR="00E706F6" w:rsidRPr="0045396F" w:rsidRDefault="00E706F6" w:rsidP="003355F8">
      <w:pPr>
        <w:ind w:left="720"/>
        <w:rPr>
          <w:i/>
        </w:rPr>
      </w:pPr>
      <w:r w:rsidRPr="0045396F">
        <w:rPr>
          <w:i/>
        </w:rPr>
        <w:t>Comment: Only 3 subjects were recruited in Age Group 3 (&gt; 12 years), this may be due to most children in this age group having already started treatment and therefore being excluded as they were classified as ART-experienced. Median age for Age Group 2 was 5.7 years and the median weight was 19.5</w:t>
      </w:r>
      <w:r w:rsidR="008D3EBC" w:rsidRPr="0045396F">
        <w:rPr>
          <w:i/>
        </w:rPr>
        <w:t xml:space="preserve"> </w:t>
      </w:r>
      <w:r w:rsidRPr="0045396F">
        <w:rPr>
          <w:i/>
        </w:rPr>
        <w:t>kg, this is significantly lower that the target age and weight range f</w:t>
      </w:r>
      <w:r w:rsidR="00107341" w:rsidRPr="0045396F">
        <w:rPr>
          <w:i/>
        </w:rPr>
        <w:t xml:space="preserve">or this evaluation (&gt; 12 years and </w:t>
      </w:r>
      <w:r w:rsidRPr="0045396F">
        <w:rPr>
          <w:i/>
        </w:rPr>
        <w:t>&gt; 33</w:t>
      </w:r>
      <w:r w:rsidR="00107341" w:rsidRPr="0045396F">
        <w:rPr>
          <w:i/>
        </w:rPr>
        <w:t xml:space="preserve"> </w:t>
      </w:r>
      <w:r w:rsidRPr="0045396F">
        <w:rPr>
          <w:i/>
        </w:rPr>
        <w:t xml:space="preserve">kg). Results from this study should be viewed as contributing to the overall assessment of the safety of </w:t>
      </w:r>
      <w:proofErr w:type="spellStart"/>
      <w:r w:rsidRPr="0045396F">
        <w:rPr>
          <w:i/>
        </w:rPr>
        <w:t>emtricitabine</w:t>
      </w:r>
      <w:proofErr w:type="spellEnd"/>
      <w:r w:rsidRPr="0045396F">
        <w:rPr>
          <w:i/>
        </w:rPr>
        <w:t xml:space="preserve"> in paediatric </w:t>
      </w:r>
      <w:proofErr w:type="gramStart"/>
      <w:r w:rsidRPr="0045396F">
        <w:rPr>
          <w:i/>
        </w:rPr>
        <w:t>populations,</w:t>
      </w:r>
      <w:proofErr w:type="gramEnd"/>
      <w:r w:rsidRPr="0045396F">
        <w:rPr>
          <w:i/>
        </w:rPr>
        <w:t xml:space="preserve"> however, individual patient data is not relevant to this specific evaluation.</w:t>
      </w:r>
    </w:p>
    <w:p w:rsidR="00E706F6" w:rsidRPr="00070C18" w:rsidRDefault="00E706F6" w:rsidP="00E21825">
      <w:pPr>
        <w:pStyle w:val="Heading6"/>
      </w:pPr>
      <w:r w:rsidRPr="00070C18">
        <w:lastRenderedPageBreak/>
        <w:t>Results for the primary efficacy outcome</w:t>
      </w:r>
    </w:p>
    <w:p w:rsidR="00E706F6" w:rsidRDefault="00E706F6" w:rsidP="00E21825">
      <w:r w:rsidRPr="00070C18">
        <w:t>At Week 48, of the 37 subjects enrolled in Age Groups 2 and</w:t>
      </w:r>
      <w:r>
        <w:t xml:space="preserve"> 3, 31 (proportion 0.81, 95%CI: 0.68 – 0.94) had viral load suppressed below 400 copies/mL at </w:t>
      </w:r>
      <w:r w:rsidR="00DA1B00">
        <w:t>W</w:t>
      </w:r>
      <w:r>
        <w:t>eek 48 and 27 (proportion 0.73, 95%CI: 0.56 – 0.86) had viral load suppressed below 50 copies/mL at the same time.</w:t>
      </w:r>
    </w:p>
    <w:p w:rsidR="00E706F6" w:rsidRDefault="00E706F6" w:rsidP="00E21825">
      <w:r>
        <w:t xml:space="preserve">For Group 3, 13 out of 16 (proportion: 0.81, 95%CI: 0.54 – 0.96) had viral load suppressed below 400 copies/mL at </w:t>
      </w:r>
      <w:r w:rsidR="00464530">
        <w:t>W</w:t>
      </w:r>
      <w:r>
        <w:t>eek 48, and all 13 subjects had viral load</w:t>
      </w:r>
      <w:r w:rsidR="00163E42">
        <w:t>s suppressed below 50 copies/mL (Figure 2).</w:t>
      </w:r>
    </w:p>
    <w:p w:rsidR="00A85A96" w:rsidRDefault="00A85A96" w:rsidP="00E21825">
      <w:pPr>
        <w:pStyle w:val="FigureTitle"/>
      </w:pPr>
      <w:r>
        <w:t>Figure 2:</w:t>
      </w:r>
      <w:r w:rsidRPr="004C5C28">
        <w:t xml:space="preserve"> </w:t>
      </w:r>
      <w:r w:rsidRPr="00A85A96">
        <w:t>Proportion of subjects with plasma HIV-1 RNA below Limit of Detection by Study Week</w:t>
      </w:r>
      <w:r>
        <w:t>.</w:t>
      </w:r>
    </w:p>
    <w:p w:rsidR="00A85A96" w:rsidRDefault="00366D1C" w:rsidP="00E21825">
      <w:r>
        <w:rPr>
          <w:noProof/>
          <w:lang w:eastAsia="en-AU"/>
        </w:rPr>
        <w:drawing>
          <wp:inline distT="0" distB="0" distL="0" distR="0">
            <wp:extent cx="3796665" cy="2895600"/>
            <wp:effectExtent l="0" t="0" r="0" b="0"/>
            <wp:docPr id="8" name="Picture 8" descr="Figure 2: Proportion of subjects with plasma HIV-1 RNA below Limit of Detection by Stud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2: Proportion of subjects with plasma HIV-1 RNA below Limit of Detection by Study Wee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6665" cy="2895600"/>
                    </a:xfrm>
                    <a:prstGeom prst="rect">
                      <a:avLst/>
                    </a:prstGeom>
                    <a:noFill/>
                    <a:ln>
                      <a:noFill/>
                    </a:ln>
                  </pic:spPr>
                </pic:pic>
              </a:graphicData>
            </a:graphic>
          </wp:inline>
        </w:drawing>
      </w:r>
    </w:p>
    <w:p w:rsidR="00E706F6" w:rsidRDefault="00366D1C" w:rsidP="00E21825">
      <w:pPr>
        <w:pStyle w:val="TableDescription"/>
      </w:pPr>
      <w:r>
        <w:rPr>
          <w:noProof/>
          <w:lang w:eastAsia="en-AU"/>
        </w:rPr>
        <w:drawing>
          <wp:inline distT="0" distB="0" distL="0" distR="0">
            <wp:extent cx="4651375" cy="721995"/>
            <wp:effectExtent l="0" t="0" r="0" b="1905"/>
            <wp:docPr id="9" name="Picture 9" descr="table 5-10 presents the median (range) change in log10 HIV-1RNA values from Baseline by study week for each age group and overall, which is also illustrated in figure 5-2. Change from baseline is calculated using all quantifiable measurements of plasma HIV-1 RNA ( including those &lt;50 copies/mL) provided by the University of California Pediatrics PACTG cor virology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5-10 presents the median (range) change in log10 HIV-1RNA values from Baseline by study week for each age group and overall, which is also illustrated in figure 5-2. Change from baseline is calculated using all quantifiable measurements of plasma HIV-1 RNA ( including those &lt;50 copies/mL) provided by the University of California Pediatrics PACTG cor virology laborato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1375" cy="721995"/>
                    </a:xfrm>
                    <a:prstGeom prst="rect">
                      <a:avLst/>
                    </a:prstGeom>
                    <a:noFill/>
                    <a:ln>
                      <a:noFill/>
                    </a:ln>
                  </pic:spPr>
                </pic:pic>
              </a:graphicData>
            </a:graphic>
          </wp:inline>
        </w:drawing>
      </w:r>
    </w:p>
    <w:p w:rsidR="00E706F6" w:rsidRPr="0045396F" w:rsidRDefault="00E706F6" w:rsidP="00A85A96">
      <w:pPr>
        <w:ind w:left="720"/>
        <w:rPr>
          <w:i/>
        </w:rPr>
      </w:pPr>
      <w:r w:rsidRPr="0045396F">
        <w:rPr>
          <w:i/>
        </w:rPr>
        <w:t xml:space="preserve">Comment: The proportion of subjects with HIV-1 suppression at </w:t>
      </w:r>
      <w:r w:rsidR="00A10A7D" w:rsidRPr="0045396F">
        <w:rPr>
          <w:i/>
        </w:rPr>
        <w:t>W</w:t>
      </w:r>
      <w:r w:rsidRPr="0045396F">
        <w:rPr>
          <w:i/>
        </w:rPr>
        <w:t xml:space="preserve">eek 48 is good and consistent across Age Groups suggesting good efficacy at the suggested drug dosing. HIV-1 levels below the level of detection appear relatively stable at </w:t>
      </w:r>
      <w:r w:rsidR="00A10A7D" w:rsidRPr="0045396F">
        <w:rPr>
          <w:i/>
        </w:rPr>
        <w:t>W</w:t>
      </w:r>
      <w:r w:rsidRPr="0045396F">
        <w:rPr>
          <w:i/>
        </w:rPr>
        <w:t>eek 48.</w:t>
      </w:r>
    </w:p>
    <w:p w:rsidR="00E706F6" w:rsidRPr="004B259C" w:rsidRDefault="00E706F6" w:rsidP="00DE1983">
      <w:pPr>
        <w:pStyle w:val="Heading6"/>
      </w:pPr>
      <w:r w:rsidRPr="00DE1983">
        <w:t>Results</w:t>
      </w:r>
      <w:r w:rsidRPr="004B259C">
        <w:t xml:space="preserve"> for other efficacy outcomes</w:t>
      </w:r>
    </w:p>
    <w:p w:rsidR="00E706F6" w:rsidRPr="00163E42" w:rsidRDefault="00E706F6" w:rsidP="00DE1983">
      <w:r w:rsidRPr="00163E42">
        <w:t xml:space="preserve">Figure 3 below shows the Kaplan-Meier estimates for the proportion of subjects who either had a confirmed HIV-1 RNA </w:t>
      </w:r>
      <w:proofErr w:type="gramStart"/>
      <w:r w:rsidRPr="00163E42">
        <w:t>above 400 copie</w:t>
      </w:r>
      <w:r w:rsidR="003C53FF">
        <w:t>s</w:t>
      </w:r>
      <w:r w:rsidRPr="00163E42">
        <w:t>/mL</w:t>
      </w:r>
      <w:proofErr w:type="gramEnd"/>
      <w:r w:rsidRPr="00163E42">
        <w:t xml:space="preserve"> or had permanently discontinued study treatment for any reason other than completion of the protocol specified duration of treatment. Subjects who completed the protocol specified period of follow-up on treatment with HIV-1 RNA &lt; 400 copies/mL were censored at their last a</w:t>
      </w:r>
      <w:r w:rsidR="00DE1983">
        <w:t>vailable HIV-1 RNA measurement.</w:t>
      </w:r>
    </w:p>
    <w:p w:rsidR="00163E42" w:rsidRDefault="00163E42" w:rsidP="00DE1983">
      <w:pPr>
        <w:pStyle w:val="FigureTitle"/>
      </w:pPr>
      <w:r>
        <w:lastRenderedPageBreak/>
        <w:t xml:space="preserve">Figure </w:t>
      </w:r>
      <w:r w:rsidR="00C43C1B">
        <w:t>3</w:t>
      </w:r>
      <w:r>
        <w:t>:</w:t>
      </w:r>
      <w:r w:rsidRPr="004C5C28">
        <w:t xml:space="preserve"> </w:t>
      </w:r>
      <w:r w:rsidR="00C43C1B" w:rsidRPr="00C43C1B">
        <w:t xml:space="preserve">Time to </w:t>
      </w:r>
      <w:r w:rsidR="00DE1983">
        <w:t>l</w:t>
      </w:r>
      <w:r w:rsidR="00C43C1B" w:rsidRPr="00C43C1B">
        <w:t xml:space="preserve">oss of </w:t>
      </w:r>
      <w:proofErr w:type="spellStart"/>
      <w:r w:rsidR="00DE1983">
        <w:t>v</w:t>
      </w:r>
      <w:r w:rsidR="00C43C1B" w:rsidRPr="00C43C1B">
        <w:t>irologic</w:t>
      </w:r>
      <w:proofErr w:type="spellEnd"/>
      <w:r w:rsidR="00C43C1B" w:rsidRPr="00C43C1B">
        <w:t xml:space="preserve"> </w:t>
      </w:r>
      <w:r w:rsidR="00DE1983">
        <w:t>r</w:t>
      </w:r>
      <w:r w:rsidR="00C43C1B" w:rsidRPr="00C43C1B">
        <w:t>esponse (Study FTC-202)</w:t>
      </w:r>
      <w:r>
        <w:t>.</w:t>
      </w:r>
    </w:p>
    <w:p w:rsidR="00E706F6" w:rsidRDefault="00366D1C" w:rsidP="00DE1983">
      <w:pPr>
        <w:keepNext/>
      </w:pPr>
      <w:r>
        <w:rPr>
          <w:noProof/>
          <w:lang w:eastAsia="en-AU"/>
        </w:rPr>
        <w:drawing>
          <wp:inline distT="0" distB="0" distL="0" distR="0">
            <wp:extent cx="4161155" cy="3114040"/>
            <wp:effectExtent l="0" t="0" r="0" b="0"/>
            <wp:docPr id="10" name="Picture 10" descr="Figure 3: Time to Loss of Virologic Response (Study FTC-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Time to Loss of Virologic Response (Study FTC-2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1155" cy="3114040"/>
                    </a:xfrm>
                    <a:prstGeom prst="rect">
                      <a:avLst/>
                    </a:prstGeom>
                    <a:noFill/>
                    <a:ln>
                      <a:noFill/>
                    </a:ln>
                  </pic:spPr>
                </pic:pic>
              </a:graphicData>
            </a:graphic>
          </wp:inline>
        </w:drawing>
      </w:r>
    </w:p>
    <w:p w:rsidR="00E706F6" w:rsidRPr="00EC6FDA" w:rsidRDefault="00E706F6" w:rsidP="00DE1983">
      <w:r w:rsidRPr="00EC6FDA">
        <w:t xml:space="preserve">Six subjects permanently discontinued the study treated on or before Week 48. All the other 31 subjects showed a decrease </w:t>
      </w:r>
      <w:proofErr w:type="gramStart"/>
      <w:r w:rsidRPr="00EC6FDA">
        <w:t xml:space="preserve">of at least 2 </w:t>
      </w:r>
      <w:r w:rsidR="009B295F">
        <w:t>l</w:t>
      </w:r>
      <w:r w:rsidRPr="00EC6FDA">
        <w:t>og</w:t>
      </w:r>
      <w:r w:rsidRPr="00496065">
        <w:rPr>
          <w:vertAlign w:val="subscript"/>
        </w:rPr>
        <w:t>10</w:t>
      </w:r>
      <w:r w:rsidRPr="00EC6FDA">
        <w:t xml:space="preserve"> copies/mL</w:t>
      </w:r>
      <w:proofErr w:type="gramEnd"/>
      <w:r w:rsidRPr="00EC6FDA">
        <w:t xml:space="preserve"> in the viral load from baseline to week 48. The median decrease in the logarithmic viral load at week 48 was estimated to be </w:t>
      </w:r>
      <w:proofErr w:type="gramStart"/>
      <w:r w:rsidRPr="00EC6FDA">
        <w:t xml:space="preserve">3.28 </w:t>
      </w:r>
      <w:r w:rsidR="009B295F">
        <w:t>l</w:t>
      </w:r>
      <w:r w:rsidRPr="00EC6FDA">
        <w:t>og</w:t>
      </w:r>
      <w:r w:rsidRPr="00496065">
        <w:rPr>
          <w:vertAlign w:val="subscript"/>
        </w:rPr>
        <w:t>10</w:t>
      </w:r>
      <w:r w:rsidR="00C43C1B" w:rsidRPr="00EC6FDA">
        <w:t xml:space="preserve"> copies/mL (95%CI 2.89-</w:t>
      </w:r>
      <w:r w:rsidRPr="00EC6FDA">
        <w:t xml:space="preserve">3.51 </w:t>
      </w:r>
      <w:r w:rsidR="009B295F">
        <w:t>l</w:t>
      </w:r>
      <w:r w:rsidRPr="00EC6FDA">
        <w:t>og</w:t>
      </w:r>
      <w:r w:rsidRPr="00496065">
        <w:rPr>
          <w:vertAlign w:val="subscript"/>
        </w:rPr>
        <w:t>10</w:t>
      </w:r>
      <w:r w:rsidRPr="00EC6FDA">
        <w:t xml:space="preserve"> copies/mL)</w:t>
      </w:r>
      <w:proofErr w:type="gramEnd"/>
      <w:r w:rsidRPr="00EC6FDA">
        <w:t>.</w:t>
      </w:r>
    </w:p>
    <w:p w:rsidR="00E706F6" w:rsidRPr="00EC6FDA" w:rsidRDefault="00E706F6" w:rsidP="00DE1983">
      <w:pPr>
        <w:pStyle w:val="Heading6"/>
      </w:pPr>
      <w:r w:rsidRPr="00EC6FDA">
        <w:t xml:space="preserve">CD4 </w:t>
      </w:r>
      <w:r w:rsidR="00DE1983">
        <w:t>c</w:t>
      </w:r>
      <w:r w:rsidRPr="00EC6FDA">
        <w:t xml:space="preserve">ell </w:t>
      </w:r>
      <w:r w:rsidR="00DE1983">
        <w:t>c</w:t>
      </w:r>
      <w:r w:rsidRPr="00EC6FDA">
        <w:t xml:space="preserve">ount and CD4 </w:t>
      </w:r>
      <w:r w:rsidR="00DE1983">
        <w:t>p</w:t>
      </w:r>
      <w:r w:rsidRPr="00EC6FDA">
        <w:t>ercentage</w:t>
      </w:r>
    </w:p>
    <w:p w:rsidR="00E706F6" w:rsidRPr="00EC6FDA" w:rsidRDefault="00E706F6" w:rsidP="00BB17F9">
      <w:r w:rsidRPr="00EC6FDA">
        <w:t>For the 31 subjects who had a CD4 cell count available at week 48, 29 had higher CD4 count at that time point than at baseline, with a median increase of 248 cells per µL (95% CI: 210 – 348). For the 31 subjects who had a CD4 percentage available at week 48, 30 had higher CD4 percentage at that time point compared with baseline, with a median increase of 13% (95%CO: 10%-18%).</w:t>
      </w:r>
    </w:p>
    <w:p w:rsidR="00E706F6" w:rsidRPr="00EC6FDA" w:rsidRDefault="00E706F6" w:rsidP="00BB17F9">
      <w:r w:rsidRPr="00EC6FDA">
        <w:t xml:space="preserve">The Wilcoxon signed rank test shows that the CD4 count was significantly higher at </w:t>
      </w:r>
      <w:r w:rsidR="00496065">
        <w:t>W</w:t>
      </w:r>
      <w:r w:rsidRPr="00EC6FDA">
        <w:t>eek 48 than at baseline (m&lt;0.0001) and that the CD4 percentage was also significantly higher at week 48 than at baseline (p&lt;0.0001).</w:t>
      </w:r>
    </w:p>
    <w:p w:rsidR="00E706F6" w:rsidRPr="0045396F" w:rsidRDefault="00E706F6" w:rsidP="00EC6FDA">
      <w:pPr>
        <w:ind w:left="720"/>
        <w:rPr>
          <w:i/>
        </w:rPr>
      </w:pPr>
      <w:r w:rsidRPr="0045396F">
        <w:rPr>
          <w:i/>
        </w:rPr>
        <w:t>Comment: In an ART-naive population CD4 cell counts should increase if treatment is efficacious. A median increase in baseline CD4 cell count of 248 cells per µL is a good surrogate for drug efficacy and supports the primary endpoint results.</w:t>
      </w:r>
    </w:p>
    <w:p w:rsidR="00E706F6" w:rsidRPr="008F0B5F" w:rsidRDefault="00E706F6" w:rsidP="00BB17F9">
      <w:pPr>
        <w:pStyle w:val="Heading5"/>
      </w:pPr>
      <w:bookmarkStart w:id="80" w:name="_Toc290846276"/>
      <w:bookmarkStart w:id="81" w:name="_Toc342047599"/>
      <w:r w:rsidRPr="003C0A48">
        <w:t>S</w:t>
      </w:r>
      <w:r>
        <w:t xml:space="preserve">tudy (or </w:t>
      </w:r>
      <w:r w:rsidR="00223E94">
        <w:t>s</w:t>
      </w:r>
      <w:r w:rsidRPr="003C0A48">
        <w:t xml:space="preserve">tudies) </w:t>
      </w:r>
      <w:bookmarkEnd w:id="80"/>
      <w:r>
        <w:t>FTC-203</w:t>
      </w:r>
      <w:bookmarkEnd w:id="81"/>
    </w:p>
    <w:p w:rsidR="00E706F6" w:rsidRPr="003C0A48" w:rsidRDefault="00E706F6" w:rsidP="00BB17F9">
      <w:pPr>
        <w:pStyle w:val="Heading6"/>
      </w:pPr>
      <w:r w:rsidRPr="003C0A48">
        <w:t xml:space="preserve">Study </w:t>
      </w:r>
      <w:r w:rsidRPr="00BB17F9">
        <w:t>design</w:t>
      </w:r>
      <w:r w:rsidRPr="003C0A48">
        <w:t>, objectives, locations and dates</w:t>
      </w:r>
    </w:p>
    <w:p w:rsidR="00E706F6" w:rsidRPr="009F66D1" w:rsidRDefault="00E706F6" w:rsidP="00BB17F9">
      <w:r w:rsidRPr="009F66D1">
        <w:t xml:space="preserve">Ongoing, multicentre, open-label, non-randomised Phase II study of </w:t>
      </w:r>
      <w:proofErr w:type="spellStart"/>
      <w:r w:rsidRPr="009F66D1">
        <w:t>emtricitabine</w:t>
      </w:r>
      <w:proofErr w:type="spellEnd"/>
      <w:r w:rsidRPr="009F66D1">
        <w:t xml:space="preserve"> in ART-naive and ART-expe</w:t>
      </w:r>
      <w:r w:rsidR="00CD6724">
        <w:t>rienced patients aged 3 months to</w:t>
      </w:r>
      <w:r w:rsidRPr="009F66D1">
        <w:t xml:space="preserve"> 17 years. Patients were treated for at least 48 weeks.</w:t>
      </w:r>
    </w:p>
    <w:p w:rsidR="00E706F6" w:rsidRPr="009F66D1" w:rsidRDefault="00E706F6" w:rsidP="00BB17F9">
      <w:r w:rsidRPr="009F66D1">
        <w:t>Three main objectives were:</w:t>
      </w:r>
    </w:p>
    <w:p w:rsidR="00E706F6" w:rsidRPr="009F66D1" w:rsidRDefault="00E706F6" w:rsidP="00BB17F9">
      <w:pPr>
        <w:pStyle w:val="ListBullet"/>
      </w:pPr>
      <w:r w:rsidRPr="009F66D1">
        <w:t xml:space="preserve">To obtain long-term </w:t>
      </w:r>
      <w:r w:rsidRPr="00BB17F9">
        <w:t>safety</w:t>
      </w:r>
      <w:r w:rsidRPr="009F66D1">
        <w:t xml:space="preserve"> experience for antiretroviral regimens containing </w:t>
      </w:r>
      <w:proofErr w:type="spellStart"/>
      <w:r w:rsidRPr="009F66D1">
        <w:t>emtricitabine</w:t>
      </w:r>
      <w:proofErr w:type="spellEnd"/>
      <w:r w:rsidRPr="009F66D1">
        <w:t xml:space="preserve"> in HIV-1 infected paediatric patients</w:t>
      </w:r>
    </w:p>
    <w:p w:rsidR="00E706F6" w:rsidRPr="009F66D1" w:rsidRDefault="00E706F6" w:rsidP="00BB17F9">
      <w:pPr>
        <w:pStyle w:val="ListBullet"/>
      </w:pPr>
      <w:r w:rsidRPr="009F66D1">
        <w:t xml:space="preserve">To obtain antiviral </w:t>
      </w:r>
      <w:r w:rsidRPr="00BB17F9">
        <w:t>activity</w:t>
      </w:r>
      <w:r w:rsidRPr="009F66D1">
        <w:t xml:space="preserve"> data for antiretroviral regimens containing </w:t>
      </w:r>
      <w:proofErr w:type="spellStart"/>
      <w:r w:rsidRPr="009F66D1">
        <w:t>emtricitabine</w:t>
      </w:r>
      <w:proofErr w:type="spellEnd"/>
      <w:r w:rsidRPr="009F66D1">
        <w:t xml:space="preserve"> in HIV-1 infected paediatric patients</w:t>
      </w:r>
    </w:p>
    <w:p w:rsidR="00E706F6" w:rsidRPr="009F66D1" w:rsidRDefault="00E706F6" w:rsidP="00BB17F9">
      <w:pPr>
        <w:pStyle w:val="ListBullet"/>
      </w:pPr>
      <w:r w:rsidRPr="009F66D1">
        <w:lastRenderedPageBreak/>
        <w:t xml:space="preserve">To determine the steady-state </w:t>
      </w:r>
      <w:proofErr w:type="spellStart"/>
      <w:r w:rsidRPr="009F66D1">
        <w:t>emtricitabine</w:t>
      </w:r>
      <w:proofErr w:type="spellEnd"/>
      <w:r w:rsidRPr="009F66D1">
        <w:t xml:space="preserve"> concentrations in HIV-1 infected paediatric patients and, if necessary, to refine the dose of </w:t>
      </w:r>
      <w:proofErr w:type="spellStart"/>
      <w:r w:rsidRPr="009F66D1">
        <w:t>emtricitabine</w:t>
      </w:r>
      <w:proofErr w:type="spellEnd"/>
      <w:r w:rsidRPr="009F66D1">
        <w:t xml:space="preserve"> to achieve plasma concentrations comparable to those in adults given 200 mg </w:t>
      </w:r>
      <w:proofErr w:type="spellStart"/>
      <w:r w:rsidRPr="009F66D1">
        <w:t>emtricitabine</w:t>
      </w:r>
      <w:proofErr w:type="spellEnd"/>
      <w:r w:rsidRPr="009F66D1">
        <w:t xml:space="preserve"> once daily</w:t>
      </w:r>
      <w:r w:rsidR="00BB17F9">
        <w:t>.</w:t>
      </w:r>
    </w:p>
    <w:p w:rsidR="00E706F6" w:rsidRPr="004B259C" w:rsidRDefault="00E706F6" w:rsidP="00BB17F9">
      <w:pPr>
        <w:pStyle w:val="Heading6"/>
      </w:pPr>
      <w:r w:rsidRPr="004B259C">
        <w:t>Inclusion and exclusion criteria</w:t>
      </w:r>
    </w:p>
    <w:p w:rsidR="00E706F6" w:rsidRPr="00377094" w:rsidRDefault="00E706F6" w:rsidP="00BB17F9">
      <w:r w:rsidRPr="00377094">
        <w:t>All participants had documented HIV-1 infection and an absolute CD4 cell count of more than 200cells/mm</w:t>
      </w:r>
      <w:r w:rsidRPr="00377094">
        <w:rPr>
          <w:vertAlign w:val="superscript"/>
        </w:rPr>
        <w:t>3</w:t>
      </w:r>
      <w:r w:rsidRPr="00377094">
        <w:t xml:space="preserve"> at screening. ART-naive patients had no or very limited prior exposure to ART (peri-natal prophylaxis only) and a plasma HIV-1 RNA level </w:t>
      </w:r>
      <w:proofErr w:type="gramStart"/>
      <w:r w:rsidRPr="00377094">
        <w:t>of 5,000 to 600,000 copies/mL at screening</w:t>
      </w:r>
      <w:proofErr w:type="gramEnd"/>
      <w:r w:rsidRPr="00377094">
        <w:t xml:space="preserve">.  ART-experienced patients were stable on a lamivudine-containing ART regimen for at least 3 months and had a plasma HIV-1 RNA level </w:t>
      </w:r>
      <w:proofErr w:type="gramStart"/>
      <w:r w:rsidRPr="00377094">
        <w:t>of ≤ 400 copies/mL at screening</w:t>
      </w:r>
      <w:proofErr w:type="gramEnd"/>
      <w:r w:rsidRPr="00377094">
        <w:t>.</w:t>
      </w:r>
    </w:p>
    <w:p w:rsidR="00E706F6" w:rsidRPr="004B259C" w:rsidRDefault="00E706F6" w:rsidP="00BB17F9">
      <w:pPr>
        <w:pStyle w:val="Heading6"/>
      </w:pPr>
      <w:r w:rsidRPr="004B259C">
        <w:t xml:space="preserve">Study </w:t>
      </w:r>
      <w:r w:rsidRPr="00BB17F9">
        <w:t>treatments</w:t>
      </w:r>
    </w:p>
    <w:p w:rsidR="00E706F6" w:rsidRPr="006A6E50" w:rsidRDefault="00E706F6" w:rsidP="00BB17F9">
      <w:r w:rsidRPr="006A6E50">
        <w:t xml:space="preserve">ART-naive patients received </w:t>
      </w:r>
      <w:proofErr w:type="spellStart"/>
      <w:r w:rsidRPr="006A6E50">
        <w:t>emtricitabine</w:t>
      </w:r>
      <w:proofErr w:type="spellEnd"/>
      <w:r w:rsidRPr="006A6E50">
        <w:t xml:space="preserve"> (oral solution or capsule formulation), </w:t>
      </w:r>
      <w:proofErr w:type="spellStart"/>
      <w:r w:rsidRPr="006A6E50">
        <w:t>stavudine</w:t>
      </w:r>
      <w:proofErr w:type="spellEnd"/>
      <w:r w:rsidRPr="006A6E50">
        <w:t xml:space="preserve"> and </w:t>
      </w:r>
      <w:proofErr w:type="spellStart"/>
      <w:r w:rsidRPr="006A6E50">
        <w:t>lopinavir</w:t>
      </w:r>
      <w:proofErr w:type="spellEnd"/>
      <w:r w:rsidRPr="006A6E50">
        <w:t xml:space="preserve">/ritonavir.  ART-experienced patients had the lamivudine in their existing ART regimen replaced with </w:t>
      </w:r>
      <w:proofErr w:type="spellStart"/>
      <w:r w:rsidRPr="006A6E50">
        <w:t>emtricitabine</w:t>
      </w:r>
      <w:proofErr w:type="spellEnd"/>
      <w:r w:rsidRPr="006A6E50">
        <w:t xml:space="preserve">.  For the older age groups, </w:t>
      </w:r>
      <w:proofErr w:type="spellStart"/>
      <w:r w:rsidRPr="006A6E50">
        <w:t>emtricitabine</w:t>
      </w:r>
      <w:proofErr w:type="spellEnd"/>
      <w:r w:rsidRPr="006A6E50">
        <w:t xml:space="preserve"> was supplied as a 200mg capsule administered, once daily.</w:t>
      </w:r>
    </w:p>
    <w:p w:rsidR="00E706F6" w:rsidRPr="006A6E50" w:rsidRDefault="00E706F6" w:rsidP="00BB17F9">
      <w:r w:rsidRPr="006A6E50">
        <w:t xml:space="preserve">All subjects were treated for an initial period of 48 weeks, provided they did not meet the study drug discontinuation criteria. After completing the Week 48 study evaluations, individual subjects could continue to receive </w:t>
      </w:r>
      <w:proofErr w:type="spellStart"/>
      <w:r w:rsidRPr="006A6E50">
        <w:t>emtricitabine</w:t>
      </w:r>
      <w:proofErr w:type="spellEnd"/>
      <w:r w:rsidRPr="006A6E50">
        <w:t xml:space="preserve"> until the drug was available via market distribution.</w:t>
      </w:r>
    </w:p>
    <w:p w:rsidR="00E706F6" w:rsidRPr="004B259C" w:rsidRDefault="00E706F6" w:rsidP="00BB17F9">
      <w:pPr>
        <w:pStyle w:val="Heading6"/>
      </w:pPr>
      <w:r w:rsidRPr="004B259C">
        <w:t xml:space="preserve">Efficacy </w:t>
      </w:r>
      <w:r w:rsidRPr="00BB17F9">
        <w:t>variables</w:t>
      </w:r>
      <w:r w:rsidRPr="004B259C">
        <w:t xml:space="preserve"> and outcomes</w:t>
      </w:r>
    </w:p>
    <w:p w:rsidR="00E706F6" w:rsidRPr="002063B9" w:rsidRDefault="00E706F6" w:rsidP="002063B9">
      <w:r w:rsidRPr="002063B9">
        <w:t>The main efficacy variables were:</w:t>
      </w:r>
    </w:p>
    <w:p w:rsidR="00E706F6" w:rsidRPr="004B259C" w:rsidRDefault="00E706F6" w:rsidP="002063B9">
      <w:pPr>
        <w:pStyle w:val="ListBullet"/>
      </w:pPr>
      <w:r>
        <w:t>HIV-1 RNA measured at screening, baseline and at every clinic visit (monthly) thereafter until 48 weeks</w:t>
      </w:r>
    </w:p>
    <w:p w:rsidR="00E706F6" w:rsidRDefault="00E706F6" w:rsidP="002063B9">
      <w:pPr>
        <w:pStyle w:val="ListBullet"/>
      </w:pPr>
      <w:r>
        <w:t>CD4 cell count measured at screening, baseline and every 12 weeks throughout the study (absolute and percent)</w:t>
      </w:r>
    </w:p>
    <w:p w:rsidR="00E706F6" w:rsidRDefault="00E706F6" w:rsidP="002063B9">
      <w:pPr>
        <w:pStyle w:val="ListBullet"/>
      </w:pPr>
      <w:r>
        <w:t>Clinical Disease monitored at every clinic visit</w:t>
      </w:r>
    </w:p>
    <w:p w:rsidR="00E706F6" w:rsidRPr="00AC3AB0" w:rsidRDefault="00E706F6" w:rsidP="00AC3AB0">
      <w:r w:rsidRPr="00AC3AB0">
        <w:t xml:space="preserve">The primary efficacy outcome was the proportion of patients with suppression of plasma HIV-1 RNA to below the LLOQ for the assay i.e. ≤ 400 and ≤ 50 copies/mL for the standard and ultrasensitive tests, respectively, at Week 48, evaluated using </w:t>
      </w:r>
      <w:proofErr w:type="spellStart"/>
      <w:r w:rsidRPr="00AC3AB0">
        <w:t>noncompleter</w:t>
      </w:r>
      <w:proofErr w:type="spellEnd"/>
      <w:r w:rsidRPr="00AC3AB0">
        <w:t>=failure (NC=F) analysis.</w:t>
      </w:r>
    </w:p>
    <w:p w:rsidR="00E706F6" w:rsidRPr="00AC3AB0" w:rsidRDefault="00E706F6" w:rsidP="00AC3AB0">
      <w:r w:rsidRPr="00AC3AB0">
        <w:t>Other efficacy outcomes included:</w:t>
      </w:r>
    </w:p>
    <w:p w:rsidR="00E706F6" w:rsidRPr="004B259C" w:rsidRDefault="00E706F6" w:rsidP="00AC3AB0">
      <w:pPr>
        <w:pStyle w:val="ListBullet"/>
      </w:pPr>
      <w:r>
        <w:t>The change from baseline in HIV-1 RNA levels at the measured time points (in ART-naive patients only)</w:t>
      </w:r>
    </w:p>
    <w:p w:rsidR="00E706F6" w:rsidRPr="004B259C" w:rsidRDefault="00E706F6" w:rsidP="00AC3AB0">
      <w:pPr>
        <w:pStyle w:val="ListBullet"/>
      </w:pPr>
      <w:r>
        <w:t>The change in baseline in CD4 cell co</w:t>
      </w:r>
      <w:r w:rsidR="00864BAE">
        <w:t xml:space="preserve">unts (absolute and precent) at </w:t>
      </w:r>
      <w:r>
        <w:t>t</w:t>
      </w:r>
      <w:r w:rsidR="00864BAE">
        <w:t>h</w:t>
      </w:r>
      <w:r>
        <w:t>e measured time points. In addition, an age-adjusted analysis of change in CD4 was performed.</w:t>
      </w:r>
    </w:p>
    <w:p w:rsidR="00E706F6" w:rsidRDefault="00E706F6" w:rsidP="00AC3AB0">
      <w:pPr>
        <w:pStyle w:val="ListBullet"/>
      </w:pPr>
      <w:r>
        <w:t xml:space="preserve">The proportion of </w:t>
      </w:r>
      <w:proofErr w:type="spellStart"/>
      <w:r>
        <w:t>virologic</w:t>
      </w:r>
      <w:proofErr w:type="spellEnd"/>
      <w:r>
        <w:t xml:space="preserve"> failure by Week 48</w:t>
      </w:r>
    </w:p>
    <w:p w:rsidR="00E706F6" w:rsidRDefault="00E706F6" w:rsidP="00AC3AB0">
      <w:pPr>
        <w:pStyle w:val="ListBullet"/>
      </w:pPr>
      <w:r>
        <w:t>The proportion of patients experiencing clinical disease progression by Week 48.</w:t>
      </w:r>
    </w:p>
    <w:p w:rsidR="00E706F6" w:rsidRPr="00AC3AB0" w:rsidRDefault="00E706F6" w:rsidP="00AC3AB0">
      <w:pPr>
        <w:ind w:left="720"/>
        <w:rPr>
          <w:i/>
        </w:rPr>
      </w:pPr>
      <w:r w:rsidRPr="00AC3AB0">
        <w:rPr>
          <w:i/>
        </w:rPr>
        <w:t>Comment: Efficacy variables are similar to FTC-202, FTC-211 allowing easy comparison across studies. Efficacy variables are appropriate for HIV-1 drug efficacy trial.</w:t>
      </w:r>
    </w:p>
    <w:p w:rsidR="00E706F6" w:rsidRPr="004B259C" w:rsidRDefault="00E706F6" w:rsidP="00AC3AB0">
      <w:pPr>
        <w:pStyle w:val="Heading6"/>
      </w:pPr>
      <w:r w:rsidRPr="004B259C">
        <w:t>Randomisation and blinding methods</w:t>
      </w:r>
    </w:p>
    <w:p w:rsidR="00E706F6" w:rsidRPr="00AC3AB0" w:rsidRDefault="00E706F6" w:rsidP="00AC3AB0">
      <w:r w:rsidRPr="00AC3AB0">
        <w:t>There was no randomisation or blinding.</w:t>
      </w:r>
    </w:p>
    <w:p w:rsidR="00E706F6" w:rsidRDefault="00E706F6" w:rsidP="00AC3AB0">
      <w:pPr>
        <w:pStyle w:val="Heading6"/>
      </w:pPr>
      <w:r>
        <w:lastRenderedPageBreak/>
        <w:t>Analysis populations</w:t>
      </w:r>
    </w:p>
    <w:p w:rsidR="00E706F6" w:rsidRPr="00AC3AB0" w:rsidRDefault="00E706F6" w:rsidP="00BB17F9">
      <w:r w:rsidRPr="00AC3AB0">
        <w:t>Participants were grouped into four groups according to age;</w:t>
      </w:r>
      <w:r w:rsidR="009B295F">
        <w:t xml:space="preserve"> groups 1-</w:t>
      </w:r>
      <w:r w:rsidRPr="00AC3AB0">
        <w:t>3 were children aged 3 months – 12 years and are not relevant for this application. Group 4 included</w:t>
      </w:r>
      <w:r w:rsidR="00BB17F9">
        <w:t xml:space="preserve"> children aged 13 to 17 years.</w:t>
      </w:r>
    </w:p>
    <w:p w:rsidR="00E706F6" w:rsidRPr="004B259C" w:rsidDel="0081373E" w:rsidRDefault="00E706F6" w:rsidP="00BB17F9">
      <w:pPr>
        <w:pStyle w:val="Heading6"/>
      </w:pPr>
      <w:r w:rsidRPr="004B259C" w:rsidDel="0081373E">
        <w:t>Sample size</w:t>
      </w:r>
    </w:p>
    <w:p w:rsidR="00E706F6" w:rsidRPr="00AC3AB0" w:rsidDel="0081373E" w:rsidRDefault="00E706F6" w:rsidP="00BB17F9">
      <w:r w:rsidRPr="00AC3AB0">
        <w:t>A total of 117 patients were enrolled and data from 116 patients were analysed (71 ART-naive and 45 ART-experienced).</w:t>
      </w:r>
    </w:p>
    <w:p w:rsidR="00E706F6" w:rsidRPr="004B259C" w:rsidRDefault="00E706F6" w:rsidP="00BB17F9">
      <w:pPr>
        <w:pStyle w:val="Heading6"/>
      </w:pPr>
      <w:r w:rsidRPr="004B259C">
        <w:t>Statistical methods</w:t>
      </w:r>
    </w:p>
    <w:p w:rsidR="00E706F6" w:rsidRPr="00AC3AB0" w:rsidRDefault="00E706F6" w:rsidP="00BB17F9">
      <w:r w:rsidRPr="00AC3AB0">
        <w:t xml:space="preserve">Statistical analyses for safety and anti-HIV activity are presented by subject population (ART-naive and ART-experienced subjects). In addition, for each ART population, analyses are presented by age group (see below) and </w:t>
      </w:r>
      <w:proofErr w:type="spellStart"/>
      <w:r w:rsidRPr="00AC3AB0">
        <w:t>emtricitabine</w:t>
      </w:r>
      <w:proofErr w:type="spellEnd"/>
      <w:r w:rsidRPr="00AC3AB0">
        <w:t xml:space="preserve"> dosage form (liquid/capsule).</w:t>
      </w:r>
    </w:p>
    <w:p w:rsidR="00E706F6" w:rsidRPr="00AC3AB0" w:rsidRDefault="00E706F6" w:rsidP="00BB17F9">
      <w:pPr>
        <w:pStyle w:val="ListBullet"/>
      </w:pPr>
      <w:r w:rsidRPr="00AC3AB0">
        <w:t xml:space="preserve">Age </w:t>
      </w:r>
      <w:r w:rsidRPr="00BB17F9">
        <w:t>Group</w:t>
      </w:r>
      <w:r w:rsidRPr="00AC3AB0">
        <w:t xml:space="preserve"> 1: from 3 to 24 months of age, inclusive</w:t>
      </w:r>
    </w:p>
    <w:p w:rsidR="00E706F6" w:rsidRPr="00AC3AB0" w:rsidRDefault="00E706F6" w:rsidP="00BB17F9">
      <w:pPr>
        <w:pStyle w:val="ListBullet"/>
      </w:pPr>
      <w:r w:rsidRPr="00AC3AB0">
        <w:t xml:space="preserve">Age </w:t>
      </w:r>
      <w:r w:rsidRPr="00BB17F9">
        <w:t>Group</w:t>
      </w:r>
      <w:r w:rsidRPr="00AC3AB0">
        <w:t xml:space="preserve"> 2: from 25 months to 6 years of age, inclusive</w:t>
      </w:r>
    </w:p>
    <w:p w:rsidR="00E706F6" w:rsidRPr="00AC3AB0" w:rsidRDefault="00E706F6" w:rsidP="00BB17F9">
      <w:pPr>
        <w:pStyle w:val="ListBullet"/>
      </w:pPr>
      <w:r w:rsidRPr="00AC3AB0">
        <w:t xml:space="preserve">Age </w:t>
      </w:r>
      <w:r w:rsidRPr="00BB17F9">
        <w:t>Group</w:t>
      </w:r>
      <w:r w:rsidRPr="00AC3AB0">
        <w:t xml:space="preserve"> 3: from 7 to 12 years of age, inclusive</w:t>
      </w:r>
    </w:p>
    <w:p w:rsidR="00E706F6" w:rsidRPr="00AC3AB0" w:rsidRDefault="00E706F6" w:rsidP="00BB17F9">
      <w:pPr>
        <w:pStyle w:val="ListBullet"/>
      </w:pPr>
      <w:r w:rsidRPr="00AC3AB0">
        <w:t xml:space="preserve">Age </w:t>
      </w:r>
      <w:r w:rsidRPr="00BB17F9">
        <w:t>Group</w:t>
      </w:r>
      <w:r w:rsidRPr="00AC3AB0">
        <w:t xml:space="preserve"> 4: from 13 to 17 years of age, inclusive.</w:t>
      </w:r>
    </w:p>
    <w:p w:rsidR="00E706F6" w:rsidRPr="00AC3AB0" w:rsidRDefault="00E706F6" w:rsidP="00BB17F9">
      <w:r w:rsidRPr="00AC3AB0">
        <w:t xml:space="preserve">Analyses was conducted according to the intent-to-treat (ITT) principle using all data collected; the ITT population of defined as all patients who received at least one (1) dose of the study drug, </w:t>
      </w:r>
      <w:proofErr w:type="spellStart"/>
      <w:r w:rsidRPr="00AC3AB0">
        <w:t>emtricitabine</w:t>
      </w:r>
      <w:proofErr w:type="spellEnd"/>
      <w:r w:rsidRPr="00AC3AB0">
        <w:t>, regardless of whether or not the patient completed the planned duration of the study.</w:t>
      </w:r>
    </w:p>
    <w:p w:rsidR="00E706F6" w:rsidRPr="00AC3AB0" w:rsidRDefault="00E706F6" w:rsidP="00BB17F9">
      <w:proofErr w:type="spellStart"/>
      <w:r w:rsidRPr="00AC3AB0">
        <w:t>Virologic</w:t>
      </w:r>
      <w:proofErr w:type="spellEnd"/>
      <w:r w:rsidRPr="00AC3AB0">
        <w:t xml:space="preserve"> response parameters that were continuous data (e.g. HIV-1 RNA) are summarised by the mean, standard error, median, minimum and maximum. Categorical data (e.g. proportion of subjects with plasma HIV-1 RNA below the LLOQ at Week 48) are summarised by the number and percent of subjects belonging to a specific classification. Time-to-event methods (e.g. Kaplan-Meier estimates) were used to summarise time-to-event data.</w:t>
      </w:r>
    </w:p>
    <w:p w:rsidR="00E706F6" w:rsidRPr="00AC3AB0" w:rsidRDefault="00E706F6" w:rsidP="00AC3AB0">
      <w:pPr>
        <w:ind w:left="720"/>
        <w:rPr>
          <w:i/>
        </w:rPr>
      </w:pPr>
      <w:r w:rsidRPr="00AC3AB0">
        <w:rPr>
          <w:i/>
        </w:rPr>
        <w:t>Comment: Statistical considerations are appropriate. The Group 4 subject population is most relevant for this evaluation.</w:t>
      </w:r>
    </w:p>
    <w:p w:rsidR="00E706F6" w:rsidRPr="004B259C" w:rsidRDefault="00E706F6" w:rsidP="00BB17F9">
      <w:pPr>
        <w:pStyle w:val="Heading6"/>
      </w:pPr>
      <w:r w:rsidRPr="004B259C">
        <w:t>Participant flow</w:t>
      </w:r>
    </w:p>
    <w:p w:rsidR="00E706F6" w:rsidRPr="00C20657" w:rsidRDefault="00E706F6" w:rsidP="00BB17F9">
      <w:r w:rsidRPr="00C20657">
        <w:t xml:space="preserve">A total of 117 subjects were enrolled into the study and received at least one dose of the study drug, </w:t>
      </w:r>
      <w:proofErr w:type="spellStart"/>
      <w:r w:rsidRPr="00C20657">
        <w:t>emtricitabine</w:t>
      </w:r>
      <w:proofErr w:type="spellEnd"/>
      <w:r w:rsidRPr="00C20657">
        <w:t>. One subject was found to be HIV negative on repeat testing and their data were censored from the analysis. Thus, the ITT Population comprised data from 116 subjects, 71 ART-naive and 45 ART-experienced.</w:t>
      </w:r>
    </w:p>
    <w:p w:rsidR="002937F5" w:rsidRDefault="002937F5" w:rsidP="00BB17F9">
      <w:pPr>
        <w:pStyle w:val="TableTitle"/>
      </w:pPr>
      <w:proofErr w:type="gramStart"/>
      <w:r>
        <w:t>Table 7:</w:t>
      </w:r>
      <w:r w:rsidRPr="004C5C28">
        <w:t xml:space="preserve"> </w:t>
      </w:r>
      <w:r w:rsidRPr="00BB17F9">
        <w:t>Schedule</w:t>
      </w:r>
      <w:r w:rsidRPr="002937F5">
        <w:t xml:space="preserve"> of </w:t>
      </w:r>
      <w:r w:rsidR="00BB17F9">
        <w:t>s</w:t>
      </w:r>
      <w:r w:rsidRPr="002937F5">
        <w:t xml:space="preserve">tudy </w:t>
      </w:r>
      <w:r w:rsidR="00BB17F9">
        <w:t>a</w:t>
      </w:r>
      <w:r w:rsidRPr="002937F5">
        <w:t>ssessments (FTC-203)</w:t>
      </w:r>
      <w:r>
        <w:t>.</w:t>
      </w:r>
      <w:proofErr w:type="gramEnd"/>
    </w:p>
    <w:p w:rsidR="00E706F6" w:rsidRDefault="00366D1C" w:rsidP="00BB17F9">
      <w:r>
        <w:rPr>
          <w:noProof/>
          <w:lang w:eastAsia="en-AU"/>
        </w:rPr>
        <w:drawing>
          <wp:inline distT="0" distB="0" distL="0" distR="0">
            <wp:extent cx="5539105" cy="2186305"/>
            <wp:effectExtent l="0" t="0" r="4445" b="4445"/>
            <wp:docPr id="11" name="Picture 11" descr="Table 7: Schedule of Study Assessments (FTC-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7: Schedule of Study Assessments (FTC-2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9105" cy="2186305"/>
                    </a:xfrm>
                    <a:prstGeom prst="rect">
                      <a:avLst/>
                    </a:prstGeom>
                    <a:noFill/>
                    <a:ln>
                      <a:noFill/>
                    </a:ln>
                  </pic:spPr>
                </pic:pic>
              </a:graphicData>
            </a:graphic>
          </wp:inline>
        </w:drawing>
      </w:r>
    </w:p>
    <w:p w:rsidR="00E706F6" w:rsidRDefault="00E706F6" w:rsidP="00BB17F9">
      <w:pPr>
        <w:pStyle w:val="Heading6"/>
      </w:pPr>
      <w:r>
        <w:lastRenderedPageBreak/>
        <w:t>Major protocol violations/deviations</w:t>
      </w:r>
    </w:p>
    <w:p w:rsidR="00E706F6" w:rsidRPr="00C20657" w:rsidRDefault="00E706F6" w:rsidP="00BB17F9">
      <w:r w:rsidRPr="00C20657">
        <w:t xml:space="preserve">Of the 116 subjects in the ITT population, 99 (85.3%) subjects were still on study at the data cut-off date when the last subject completed through Week 48. Of the 17 (14.6%) subjects who had discontinued the study, 8 (11.3%) subjects were ART-naive and 9 (20.0%) were ART-experienced. The CRF-recorded reasons for premature discontinuation of ART-naive subjects were </w:t>
      </w:r>
      <w:proofErr w:type="spellStart"/>
      <w:r w:rsidRPr="00C20657">
        <w:t>virologic</w:t>
      </w:r>
      <w:proofErr w:type="spellEnd"/>
      <w:r w:rsidRPr="00C20657">
        <w:t xml:space="preserve"> failure (3), investigator and/or subject decision (2), adverse event (1), loss to follow up (1) and “other” (1). The CRF-recorded reasons for premature discontinuation of ART-experienced subjects were </w:t>
      </w:r>
      <w:proofErr w:type="spellStart"/>
      <w:r w:rsidRPr="00C20657">
        <w:t>virologic</w:t>
      </w:r>
      <w:proofErr w:type="spellEnd"/>
      <w:r w:rsidRPr="00C20657">
        <w:t xml:space="preserve"> failure (2), investigator and/or subject decision to withdraw (2), loss to follow up (2), “other” (2) and adverse event (1).</w:t>
      </w:r>
    </w:p>
    <w:p w:rsidR="00E706F6" w:rsidRPr="0045396F" w:rsidRDefault="00E706F6" w:rsidP="00C20657">
      <w:pPr>
        <w:ind w:firstLine="720"/>
        <w:rPr>
          <w:i/>
        </w:rPr>
      </w:pPr>
      <w:r w:rsidRPr="0045396F">
        <w:rPr>
          <w:i/>
        </w:rPr>
        <w:t>Comment: There were no significant protocol violations/deviations</w:t>
      </w:r>
    </w:p>
    <w:p w:rsidR="00E706F6" w:rsidRPr="004B259C" w:rsidRDefault="00E706F6" w:rsidP="00BB17F9">
      <w:pPr>
        <w:pStyle w:val="Heading6"/>
      </w:pPr>
      <w:r w:rsidRPr="004B259C">
        <w:t>Baseline data</w:t>
      </w:r>
    </w:p>
    <w:p w:rsidR="00E706F6" w:rsidRPr="00C20657" w:rsidRDefault="00E706F6" w:rsidP="00BB17F9">
      <w:r w:rsidRPr="00C20657">
        <w:t>A total of 117 subjects were enrolled in this study between 12 study centres located in the USA (8 centres), South Africa (2 centres), Mexico (1 centre) and Panama (1 centre).  There were 71 ART-naive subjects (number of subjects in Age Groups 1 to 4 were 13, 45, 13 and 0, respectively) and a total of 45 ART-experienced subjects (number of subjects in Age Groups 1 to 4 were 3, 23, 16 and 3, respectively).</w:t>
      </w:r>
    </w:p>
    <w:p w:rsidR="00E706F6" w:rsidRPr="00C20657" w:rsidRDefault="00E706F6" w:rsidP="00BB17F9">
      <w:r w:rsidRPr="00C20657">
        <w:t xml:space="preserve">The majority (n=80, 69.0%) of subjects were black with an even number of female and male participants (number of female participants is 61 (52.6%). The mean age was 5.8 years with a range of 0.3 – 15.9 years. Median baseline CD4+ cell count was 817cells/mm3 and median HIV-1 RNA was </w:t>
      </w:r>
      <w:proofErr w:type="gramStart"/>
      <w:r w:rsidRPr="00C20657">
        <w:t>4.53 log</w:t>
      </w:r>
      <w:r w:rsidRPr="009B295F">
        <w:rPr>
          <w:vertAlign w:val="subscript"/>
        </w:rPr>
        <w:t>10</w:t>
      </w:r>
      <w:r w:rsidRPr="00C20657">
        <w:t xml:space="preserve"> copies/</w:t>
      </w:r>
      <w:proofErr w:type="spellStart"/>
      <w:r w:rsidRPr="00C20657">
        <w:t>mL</w:t>
      </w:r>
      <w:proofErr w:type="gramEnd"/>
      <w:r w:rsidRPr="00C20657">
        <w:t>.</w:t>
      </w:r>
      <w:proofErr w:type="spellEnd"/>
      <w:r w:rsidRPr="00C20657">
        <w:t xml:space="preserve">  Twenty-two (22/116, 19.0%) subjects had a history of a CDC Class C cent, with Mycobacterium tuberculosis the most common Class C event</w:t>
      </w:r>
      <w:r w:rsidR="00BB17F9">
        <w:t xml:space="preserve"> reported in 9 (7.8%) subjects.</w:t>
      </w:r>
    </w:p>
    <w:p w:rsidR="00E706F6" w:rsidRPr="00C20657" w:rsidRDefault="00E706F6" w:rsidP="00BB17F9">
      <w:r w:rsidRPr="00C20657">
        <w:t xml:space="preserve">The majority of subjects received the oral solution formation of </w:t>
      </w:r>
      <w:proofErr w:type="spellStart"/>
      <w:r w:rsidRPr="00C20657">
        <w:t>emtricitabine</w:t>
      </w:r>
      <w:proofErr w:type="spellEnd"/>
      <w:r w:rsidRPr="00C20657">
        <w:t>.</w:t>
      </w:r>
    </w:p>
    <w:p w:rsidR="00E706F6" w:rsidRPr="0045396F" w:rsidRDefault="00E706F6" w:rsidP="00C20657">
      <w:pPr>
        <w:ind w:left="720"/>
        <w:rPr>
          <w:i/>
        </w:rPr>
      </w:pPr>
      <w:r w:rsidRPr="0045396F">
        <w:rPr>
          <w:i/>
        </w:rPr>
        <w:t xml:space="preserve">Comment: Subjects in study FTC-203 are younger and more likely to have taken the oral solution formation compared to the target population for </w:t>
      </w:r>
      <w:proofErr w:type="spellStart"/>
      <w:r w:rsidRPr="0045396F">
        <w:rPr>
          <w:i/>
        </w:rPr>
        <w:t>emtricitabine</w:t>
      </w:r>
      <w:proofErr w:type="spellEnd"/>
      <w:r w:rsidRPr="0045396F">
        <w:rPr>
          <w:i/>
        </w:rPr>
        <w:t xml:space="preserve"> in Australia.</w:t>
      </w:r>
    </w:p>
    <w:p w:rsidR="00E706F6" w:rsidRPr="004B259C" w:rsidRDefault="00E706F6" w:rsidP="00BB17F9">
      <w:pPr>
        <w:pStyle w:val="Heading6"/>
      </w:pPr>
      <w:r w:rsidRPr="004B259C">
        <w:t>Results for the primary efficacy outcome</w:t>
      </w:r>
    </w:p>
    <w:p w:rsidR="00E706F6" w:rsidRPr="003A513C" w:rsidRDefault="00E706F6" w:rsidP="00BB17F9">
      <w:r w:rsidRPr="003A513C">
        <w:t>Using the ITT analysis, at Week 48, overall 90.3% (92.6% naive stratum, 86.7% experienced stratum) of subjects achieved and/or maintained suppression of plasma HIV-1 RNA to ≤400 copies/mL through Week 48.</w:t>
      </w:r>
    </w:p>
    <w:p w:rsidR="00E706F6" w:rsidRPr="003A513C" w:rsidRDefault="00E706F6" w:rsidP="00BB17F9">
      <w:r w:rsidRPr="003A513C">
        <w:t xml:space="preserve">Based on the time to loss of </w:t>
      </w:r>
      <w:proofErr w:type="spellStart"/>
      <w:r w:rsidRPr="003A513C">
        <w:t>virologic</w:t>
      </w:r>
      <w:proofErr w:type="spellEnd"/>
      <w:r w:rsidRPr="003A513C">
        <w:t xml:space="preserve"> response (TLOVR) algorithm, overall 89.7% (104/116) subjects achieved and/or maintained suppression of plasma HIV-1 RNA</w:t>
      </w:r>
      <w:r w:rsidR="00BB17F9">
        <w:t xml:space="preserve"> </w:t>
      </w:r>
      <w:proofErr w:type="gramStart"/>
      <w:r w:rsidR="00BB17F9">
        <w:t>to ≤ 400 copies/mL at Week 48</w:t>
      </w:r>
      <w:proofErr w:type="gramEnd"/>
      <w:r w:rsidR="00BB17F9">
        <w:t>.</w:t>
      </w:r>
    </w:p>
    <w:p w:rsidR="00E706F6" w:rsidRDefault="00E706F6" w:rsidP="00BB17F9">
      <w:r w:rsidRPr="003A513C">
        <w:t>The proportion of patients also achieving and maintaining suppression of plasma HIV-1 RNA to ≤</w:t>
      </w:r>
      <w:r w:rsidR="0059038F">
        <w:rPr>
          <w:rFonts w:cs="Symbol"/>
        </w:rPr>
        <w:t xml:space="preserve"> </w:t>
      </w:r>
      <w:r w:rsidRPr="003A513C">
        <w:t>50 copies/mL at Week</w:t>
      </w:r>
      <w:r w:rsidR="00BB17F9">
        <w:t xml:space="preserve"> 48 was 75.9% (88/116) overall.</w:t>
      </w:r>
    </w:p>
    <w:p w:rsidR="00E706F6" w:rsidRPr="0045396F" w:rsidRDefault="00E706F6" w:rsidP="002937F5">
      <w:pPr>
        <w:ind w:left="720"/>
        <w:rPr>
          <w:i/>
        </w:rPr>
      </w:pPr>
      <w:r w:rsidRPr="0045396F">
        <w:rPr>
          <w:i/>
        </w:rPr>
        <w:t>Comment: Reference ranges for the proportion of subjects achieving and maintaining suppression are not provided and would provide more meaningful data than a single point estimate.</w:t>
      </w:r>
    </w:p>
    <w:p w:rsidR="00E706F6" w:rsidRPr="004B259C" w:rsidRDefault="00E706F6" w:rsidP="00BB17F9">
      <w:pPr>
        <w:pStyle w:val="Heading6"/>
      </w:pPr>
      <w:r w:rsidRPr="004B259C">
        <w:t>Results for other efficacy outcomes</w:t>
      </w:r>
    </w:p>
    <w:p w:rsidR="00E706F6" w:rsidRDefault="00E706F6" w:rsidP="00BB17F9">
      <w:pPr>
        <w:pStyle w:val="Heading7"/>
      </w:pPr>
      <w:r>
        <w:t xml:space="preserve">HIV-1 RNA </w:t>
      </w:r>
      <w:r w:rsidR="00BB17F9">
        <w:t>s</w:t>
      </w:r>
      <w:r>
        <w:t xml:space="preserve">tratified </w:t>
      </w:r>
      <w:r w:rsidR="00BB17F9">
        <w:t>a</w:t>
      </w:r>
      <w:r>
        <w:t>nalysis</w:t>
      </w:r>
    </w:p>
    <w:p w:rsidR="00E706F6" w:rsidRPr="00682FB2" w:rsidRDefault="00E706F6" w:rsidP="00BB17F9">
      <w:r w:rsidRPr="00682FB2">
        <w:t>The proportion of subjects in the naive stratum achieving HIV-1 RNA to ≤400 copies/mL at Week 48 was 93.0% (66/71) and in the experienced stratum is was 84.4% (38/45). The proportion of subjects with HIV-1 RNA suppression to ≤50 copies/mL at Week 48 was 78.9% (56/71) in the naive stratum and 71.1% (32/45) in the experienced s</w:t>
      </w:r>
      <w:r w:rsidR="00BB17F9">
        <w:t>tratum.</w:t>
      </w:r>
    </w:p>
    <w:p w:rsidR="00E706F6" w:rsidRPr="00682FB2" w:rsidRDefault="00E706F6" w:rsidP="00BB17F9">
      <w:r w:rsidRPr="00682FB2">
        <w:t xml:space="preserve">The incidence of TLOVR-defined </w:t>
      </w:r>
      <w:proofErr w:type="spellStart"/>
      <w:r w:rsidRPr="00682FB2">
        <w:t>virologic</w:t>
      </w:r>
      <w:proofErr w:type="spellEnd"/>
      <w:r w:rsidRPr="00682FB2">
        <w:t xml:space="preserve"> failure at Week 48 was 6.9% (8/116) overall, and 4.2% (3/71) in the naive stratum and 11.1% (5/45) in the experienced stratum.</w:t>
      </w:r>
    </w:p>
    <w:p w:rsidR="00E706F6" w:rsidRPr="00682FB2" w:rsidRDefault="00E706F6" w:rsidP="00BB17F9">
      <w:r w:rsidRPr="00682FB2">
        <w:lastRenderedPageBreak/>
        <w:t>Within the naive stratum, the proportion of subjects achieving and maintain a plasma HIV-1 RNA viral load of ≤400 copies/mL at Week 48 was generally consistent across the three applicable age groups, with values of 92.3% (12/13), 95.6% (43/45) and 84.6% (11/13) in Age Groups 1 to 3, respectively. Within the experienced stratum, the numbers of subjects in Age Groups 1 and 4 were too small (n=3 each) to be meaningful. However the majority of ART-experienced subjects in Age Groups 2 and 3 maintained suppression of plasma HIV-1 RNA viral load at ≤400 copies/mL through Week 48 as defined by the TLOVR algorithm, with values of 91.3% (21/23) and 81.3% (13/16), respectively.</w:t>
      </w:r>
    </w:p>
    <w:p w:rsidR="00E706F6" w:rsidRDefault="00E706F6" w:rsidP="00BB17F9">
      <w:pPr>
        <w:pStyle w:val="Heading7"/>
      </w:pPr>
      <w:r>
        <w:t>Change in HIV-1 RNA Viral Load from Baseline:</w:t>
      </w:r>
    </w:p>
    <w:p w:rsidR="00E706F6" w:rsidRPr="00682FB2" w:rsidRDefault="00E706F6" w:rsidP="00BB17F9">
      <w:r w:rsidRPr="00682FB2">
        <w:t>Within the naive stratum, significant decreased in HIV-1 RNA viral load were achieved through Week 48 across all three applicable age groups. Using a last observation carried forward (LOCF) analysis, median changes of -3.72, -3.24 and -2.82 log</w:t>
      </w:r>
      <w:r w:rsidRPr="009B295F">
        <w:rPr>
          <w:vertAlign w:val="subscript"/>
        </w:rPr>
        <w:t>10</w:t>
      </w:r>
      <w:r w:rsidRPr="00682FB2">
        <w:t xml:space="preserve"> copies/mL from baseline were recorded for Age Groups 1 to 3, respectively, with an overall median change from -3.22 log</w:t>
      </w:r>
      <w:r w:rsidRPr="009B295F">
        <w:rPr>
          <w:vertAlign w:val="subscript"/>
        </w:rPr>
        <w:t>10</w:t>
      </w:r>
      <w:r w:rsidRPr="00682FB2">
        <w:t xml:space="preserve"> copies/</w:t>
      </w:r>
      <w:proofErr w:type="spellStart"/>
      <w:r w:rsidRPr="00682FB2">
        <w:t>mL.</w:t>
      </w:r>
      <w:proofErr w:type="spellEnd"/>
    </w:p>
    <w:p w:rsidR="00E706F6" w:rsidRDefault="00E706F6" w:rsidP="00BB17F9">
      <w:pPr>
        <w:pStyle w:val="Heading7"/>
      </w:pPr>
      <w:r>
        <w:t xml:space="preserve">Change in CD4+ </w:t>
      </w:r>
      <w:r w:rsidR="00BB17F9">
        <w:t>c</w:t>
      </w:r>
      <w:r>
        <w:t xml:space="preserve">ell </w:t>
      </w:r>
      <w:r w:rsidR="00BB17F9">
        <w:t>c</w:t>
      </w:r>
      <w:r>
        <w:t xml:space="preserve">ounts from </w:t>
      </w:r>
      <w:r w:rsidR="00BB17F9">
        <w:t>b</w:t>
      </w:r>
      <w:r>
        <w:t>aseline:</w:t>
      </w:r>
    </w:p>
    <w:p w:rsidR="00E706F6" w:rsidRPr="00682FB2" w:rsidRDefault="00E706F6" w:rsidP="00BB17F9">
      <w:r w:rsidRPr="00682FB2">
        <w:t>Using LOCF analysis, the overall (all age groups) median (range) change in absolute and percent CD4+ cell counts were +313 (-512 to +1,5121) cells/mm</w:t>
      </w:r>
      <w:r w:rsidRPr="00630C59">
        <w:rPr>
          <w:vertAlign w:val="superscript"/>
        </w:rPr>
        <w:t>3</w:t>
      </w:r>
      <w:r w:rsidRPr="00682FB2">
        <w:t xml:space="preserve"> and +10.8 (-4.6 to +33.8)% for ART-naive subjects. For ART</w:t>
      </w:r>
      <w:r w:rsidR="00630C59">
        <w:t xml:space="preserve"> </w:t>
      </w:r>
      <w:r w:rsidRPr="00682FB2">
        <w:t>experienced subjects the results were -59.5 (-945 to +712) cells/mm</w:t>
      </w:r>
      <w:r w:rsidRPr="00630C59">
        <w:rPr>
          <w:vertAlign w:val="superscript"/>
        </w:rPr>
        <w:t>3</w:t>
      </w:r>
      <w:r w:rsidR="003F5A15">
        <w:t xml:space="preserve"> and +2.7 (-10.8 to +12.6</w:t>
      </w:r>
      <w:proofErr w:type="gramStart"/>
      <w:r w:rsidR="003F5A15">
        <w:t>)%</w:t>
      </w:r>
      <w:proofErr w:type="gramEnd"/>
      <w:r w:rsidR="003F5A15">
        <w:t xml:space="preserve">. </w:t>
      </w:r>
      <w:r w:rsidRPr="00682FB2">
        <w:t>The same general trend was seen for CD4+ cell counts within each population with l</w:t>
      </w:r>
      <w:r w:rsidR="00BB17F9">
        <w:t>ooking at different age groups.</w:t>
      </w:r>
    </w:p>
    <w:p w:rsidR="00E706F6" w:rsidRPr="0045396F" w:rsidRDefault="00E706F6" w:rsidP="00682FB2">
      <w:pPr>
        <w:ind w:left="720"/>
        <w:rPr>
          <w:i/>
        </w:rPr>
      </w:pPr>
      <w:r w:rsidRPr="0045396F">
        <w:rPr>
          <w:i/>
        </w:rPr>
        <w:t xml:space="preserve">Comment: No stratification of analysis was undertaken by Age Group alone (stratification occurred for treatment stratum (naive versus experienced </w:t>
      </w:r>
      <w:r w:rsidR="009B295F" w:rsidRPr="0045396F">
        <w:rPr>
          <w:b/>
          <w:i/>
        </w:rPr>
        <w:t>and</w:t>
      </w:r>
      <w:r w:rsidRPr="0045396F">
        <w:rPr>
          <w:i/>
        </w:rPr>
        <w:t xml:space="preserve"> Age Group). This made the groups analysed small leading to non-meaningful results, particularly as they relate to the &gt; 12 years age group (Age Group 4). The small numbers of subjects recruited into Group 4 makes interpreting results for this group, in general, problematic.</w:t>
      </w:r>
    </w:p>
    <w:p w:rsidR="00E706F6" w:rsidRPr="0045396F" w:rsidRDefault="00E706F6" w:rsidP="00BB17F9">
      <w:r w:rsidRPr="0045396F">
        <w:t>CD4+ percent change is not reported for the individual age groups despite CD4+ count being reported. It is possible that these results were not reported due to unfavourable data.</w:t>
      </w:r>
    </w:p>
    <w:p w:rsidR="00E706F6" w:rsidRPr="00C511BB" w:rsidRDefault="00E706F6" w:rsidP="00BB17F9">
      <w:pPr>
        <w:pStyle w:val="Heading4"/>
      </w:pPr>
      <w:bookmarkStart w:id="82" w:name="_Ref271037188"/>
      <w:bookmarkStart w:id="83" w:name="_Ref271037210"/>
      <w:bookmarkStart w:id="84" w:name="_Toc272414655"/>
      <w:bookmarkStart w:id="85" w:name="_Toc290846277"/>
      <w:bookmarkStart w:id="86" w:name="_Toc342047600"/>
      <w:bookmarkStart w:id="87" w:name="_Toc241374311"/>
      <w:bookmarkStart w:id="88" w:name="_Ref243294291"/>
      <w:r w:rsidRPr="00C511BB">
        <w:t>Other efficacy studies</w:t>
      </w:r>
      <w:bookmarkEnd w:id="82"/>
      <w:bookmarkEnd w:id="83"/>
      <w:bookmarkEnd w:id="84"/>
      <w:bookmarkEnd w:id="85"/>
      <w:bookmarkEnd w:id="86"/>
    </w:p>
    <w:p w:rsidR="00E706F6" w:rsidRPr="003A513C" w:rsidRDefault="00E706F6" w:rsidP="00BB17F9">
      <w:pPr>
        <w:pStyle w:val="Heading5"/>
      </w:pPr>
      <w:bookmarkStart w:id="89" w:name="_Toc342047601"/>
      <w:bookmarkEnd w:id="87"/>
      <w:bookmarkEnd w:id="88"/>
      <w:r w:rsidRPr="003A513C">
        <w:t>FTC-211</w:t>
      </w:r>
      <w:bookmarkEnd w:id="89"/>
    </w:p>
    <w:p w:rsidR="00E706F6" w:rsidRPr="003C0A48" w:rsidRDefault="00E706F6" w:rsidP="00BB17F9">
      <w:pPr>
        <w:pStyle w:val="Heading6"/>
      </w:pPr>
      <w:r w:rsidRPr="003C0A48">
        <w:t>Study design, objectives, locations and dates</w:t>
      </w:r>
    </w:p>
    <w:p w:rsidR="00E706F6" w:rsidRPr="00C511BB" w:rsidRDefault="00E706F6" w:rsidP="00BB17F9">
      <w:r w:rsidRPr="00C511BB">
        <w:t xml:space="preserve">This was a multicentre, open-label, non-randomised study that evaluated the safety, pharmacokinetics and efficacy of </w:t>
      </w:r>
      <w:proofErr w:type="spellStart"/>
      <w:r w:rsidRPr="00C511BB">
        <w:t>emtricitabine</w:t>
      </w:r>
      <w:proofErr w:type="spellEnd"/>
      <w:r w:rsidRPr="00C511BB">
        <w:t xml:space="preserve"> in ART-naive and ART-experienced male or female patients from 3 months – 17 years of age. The study ran from November 2002 to July 2004 in two study centres in Romania and followed subjects for a minimum of 48 weeks.</w:t>
      </w:r>
    </w:p>
    <w:p w:rsidR="00E706F6" w:rsidRPr="00C511BB" w:rsidRDefault="00E706F6" w:rsidP="00BB17F9">
      <w:r w:rsidRPr="00C511BB">
        <w:t>The main objectives were:</w:t>
      </w:r>
    </w:p>
    <w:p w:rsidR="00E706F6" w:rsidRPr="00C511BB" w:rsidRDefault="00E706F6" w:rsidP="00BB17F9">
      <w:pPr>
        <w:pStyle w:val="ListBullet"/>
      </w:pPr>
      <w:r w:rsidRPr="00C511BB">
        <w:t xml:space="preserve">To obtain safety experience for </w:t>
      </w:r>
      <w:r w:rsidRPr="00BB17F9">
        <w:t>antiretroviral</w:t>
      </w:r>
      <w:r w:rsidRPr="00C511BB">
        <w:t xml:space="preserve"> regiments containing </w:t>
      </w:r>
      <w:proofErr w:type="spellStart"/>
      <w:r w:rsidRPr="00C511BB">
        <w:t>emtricitabine</w:t>
      </w:r>
      <w:proofErr w:type="spellEnd"/>
      <w:r w:rsidRPr="00C511BB">
        <w:t xml:space="preserve"> in HIV-1 infected paediatric subjects</w:t>
      </w:r>
    </w:p>
    <w:p w:rsidR="00E706F6" w:rsidRPr="00C511BB" w:rsidRDefault="00E706F6" w:rsidP="00BB17F9">
      <w:pPr>
        <w:pStyle w:val="ListBullet"/>
      </w:pPr>
      <w:r w:rsidRPr="00C511BB">
        <w:t xml:space="preserve">To determine the stead-state </w:t>
      </w:r>
      <w:proofErr w:type="spellStart"/>
      <w:r w:rsidRPr="00BB17F9">
        <w:t>emtricitabine</w:t>
      </w:r>
      <w:proofErr w:type="spellEnd"/>
      <w:r w:rsidRPr="00C511BB">
        <w:t xml:space="preserve"> concentrations in HI</w:t>
      </w:r>
      <w:r w:rsidR="002A26EE">
        <w:t>V</w:t>
      </w:r>
      <w:r w:rsidRPr="00C511BB">
        <w:t xml:space="preserve">-1 infected paediatric subjects and, if necessary, to refine </w:t>
      </w:r>
      <w:r w:rsidRPr="00BB17F9">
        <w:t>the</w:t>
      </w:r>
      <w:r w:rsidRPr="00C511BB">
        <w:t xml:space="preserve"> dose of </w:t>
      </w:r>
      <w:proofErr w:type="spellStart"/>
      <w:r w:rsidRPr="00C511BB">
        <w:t>emtricitabine</w:t>
      </w:r>
      <w:proofErr w:type="spellEnd"/>
      <w:r w:rsidRPr="00C511BB">
        <w:t xml:space="preserve"> to achieve plasma concentrations comparable to those in adults given 2100</w:t>
      </w:r>
      <w:r w:rsidR="002A26EE">
        <w:t xml:space="preserve"> </w:t>
      </w:r>
      <w:r w:rsidRPr="00C511BB">
        <w:t xml:space="preserve">mg </w:t>
      </w:r>
      <w:proofErr w:type="spellStart"/>
      <w:r w:rsidRPr="00C511BB">
        <w:t>emtricitabine</w:t>
      </w:r>
      <w:proofErr w:type="spellEnd"/>
      <w:r w:rsidRPr="00C511BB">
        <w:t xml:space="preserve"> once daily</w:t>
      </w:r>
    </w:p>
    <w:p w:rsidR="00E706F6" w:rsidRPr="00C511BB" w:rsidRDefault="00E706F6" w:rsidP="00BB17F9">
      <w:pPr>
        <w:pStyle w:val="ListBullet"/>
      </w:pPr>
      <w:r w:rsidRPr="00C511BB">
        <w:t xml:space="preserve">To obtain antiretroviral activity data </w:t>
      </w:r>
      <w:r w:rsidRPr="00BB17F9">
        <w:t>for</w:t>
      </w:r>
      <w:r w:rsidRPr="00C511BB">
        <w:t xml:space="preserve"> antiretroviral regimens containing </w:t>
      </w:r>
      <w:proofErr w:type="spellStart"/>
      <w:r w:rsidRPr="00C511BB">
        <w:t>emtricitabine</w:t>
      </w:r>
      <w:proofErr w:type="spellEnd"/>
      <w:r w:rsidRPr="00C511BB">
        <w:t xml:space="preserve"> in HIV-1 infected paediatric subjects</w:t>
      </w:r>
      <w:r w:rsidR="00BB17F9">
        <w:t>.</w:t>
      </w:r>
    </w:p>
    <w:p w:rsidR="00E706F6" w:rsidRPr="004B259C" w:rsidRDefault="00E706F6" w:rsidP="00BB17F9">
      <w:pPr>
        <w:pStyle w:val="Heading6"/>
      </w:pPr>
      <w:r w:rsidRPr="004B259C">
        <w:t xml:space="preserve">Inclusion </w:t>
      </w:r>
      <w:r w:rsidRPr="00BB17F9">
        <w:t>and</w:t>
      </w:r>
      <w:r w:rsidRPr="004B259C">
        <w:t xml:space="preserve"> exclusion criteria</w:t>
      </w:r>
    </w:p>
    <w:p w:rsidR="00E706F6" w:rsidRPr="00711FC4" w:rsidRDefault="00E706F6" w:rsidP="00BB17F9">
      <w:r w:rsidRPr="00711FC4">
        <w:t>Patients were enrolled in the following age groups; Group</w:t>
      </w:r>
      <w:r w:rsidR="0034188C">
        <w:t xml:space="preserve"> </w:t>
      </w:r>
      <w:r w:rsidRPr="00711FC4">
        <w:t xml:space="preserve">1 (3 months to 24 months), Group 2 (7-12 years) and Group 3 (13-17 years). Eligible patients had documented HIV-1 infection and an absolute CD4 cell count </w:t>
      </w:r>
      <w:proofErr w:type="gramStart"/>
      <w:r w:rsidRPr="00711FC4">
        <w:t>of at least 200 cells/mm</w:t>
      </w:r>
      <w:r w:rsidRPr="00711FC4">
        <w:rPr>
          <w:vertAlign w:val="superscript"/>
        </w:rPr>
        <w:t>3</w:t>
      </w:r>
      <w:r w:rsidRPr="00711FC4">
        <w:t xml:space="preserve"> at screening</w:t>
      </w:r>
      <w:proofErr w:type="gramEnd"/>
      <w:r w:rsidRPr="00711FC4">
        <w:t>.</w:t>
      </w:r>
    </w:p>
    <w:p w:rsidR="00E706F6" w:rsidRPr="00711FC4" w:rsidRDefault="00E706F6" w:rsidP="00BB17F9">
      <w:r w:rsidRPr="00711FC4">
        <w:lastRenderedPageBreak/>
        <w:t xml:space="preserve">ART-naive patients were to have no or very limited prior exposure to ART (peri-natal prophylaxis ≤56 days and/or postnatal </w:t>
      </w:r>
      <w:proofErr w:type="spellStart"/>
      <w:r w:rsidRPr="00711FC4">
        <w:t>zidovudine</w:t>
      </w:r>
      <w:proofErr w:type="spellEnd"/>
      <w:r w:rsidRPr="00711FC4">
        <w:t xml:space="preserve"> treatment ≤6 weeks) and a plasma HIV-1 RNA level of at least 5,000 copies/mL at screening (and ≤600,000 copies/mL in patie</w:t>
      </w:r>
      <w:r w:rsidR="00BB17F9">
        <w:t>nts at least 7 years of age).</w:t>
      </w:r>
    </w:p>
    <w:p w:rsidR="00E706F6" w:rsidRPr="00711FC4" w:rsidRDefault="00E706F6" w:rsidP="00BB17F9">
      <w:r w:rsidRPr="00711FC4">
        <w:t>ART-experienced patients were to have no previous treatment with an ART regimen that included lamivudine or an NNRTI; they were also required to have a screening plasma HIV-1 RNA level of ≤ 600,000 copies/</w:t>
      </w:r>
      <w:proofErr w:type="spellStart"/>
      <w:r w:rsidRPr="00711FC4">
        <w:t>mL.</w:t>
      </w:r>
      <w:proofErr w:type="spellEnd"/>
    </w:p>
    <w:p w:rsidR="00E706F6" w:rsidRPr="004B259C" w:rsidRDefault="00E706F6" w:rsidP="00BB17F9">
      <w:pPr>
        <w:pStyle w:val="Heading6"/>
      </w:pPr>
      <w:r w:rsidRPr="004B259C">
        <w:t>Study treatments</w:t>
      </w:r>
    </w:p>
    <w:p w:rsidR="00E706F6" w:rsidRPr="00030574" w:rsidRDefault="00E706F6" w:rsidP="00BB17F9">
      <w:r w:rsidRPr="00030574">
        <w:t xml:space="preserve">Subjects received a combination of </w:t>
      </w:r>
      <w:proofErr w:type="spellStart"/>
      <w:r w:rsidRPr="00030574">
        <w:t>emtricitabine</w:t>
      </w:r>
      <w:proofErr w:type="spellEnd"/>
      <w:r w:rsidRPr="00030574">
        <w:t xml:space="preserve">, </w:t>
      </w:r>
      <w:proofErr w:type="spellStart"/>
      <w:r w:rsidRPr="00030574">
        <w:t>didanosine</w:t>
      </w:r>
      <w:proofErr w:type="spellEnd"/>
      <w:r w:rsidRPr="00030574">
        <w:t xml:space="preserve"> and </w:t>
      </w:r>
      <w:proofErr w:type="spellStart"/>
      <w:r w:rsidRPr="00030574">
        <w:t>efavirenz</w:t>
      </w:r>
      <w:proofErr w:type="spellEnd"/>
      <w:r w:rsidRPr="00030574">
        <w:t xml:space="preserve"> based on body weight up to a maximum of 200mg QD </w:t>
      </w:r>
      <w:proofErr w:type="spellStart"/>
      <w:r w:rsidRPr="00030574">
        <w:t>emtricitabine</w:t>
      </w:r>
      <w:proofErr w:type="spellEnd"/>
      <w:r w:rsidRPr="00030574">
        <w:t xml:space="preserve">, 400mg QD </w:t>
      </w:r>
      <w:proofErr w:type="spellStart"/>
      <w:r w:rsidRPr="00030574">
        <w:t>didanosine</w:t>
      </w:r>
      <w:proofErr w:type="spellEnd"/>
      <w:r w:rsidRPr="00030574">
        <w:t xml:space="preserve"> and 600mg QD </w:t>
      </w:r>
      <w:proofErr w:type="spellStart"/>
      <w:r w:rsidRPr="00030574">
        <w:t>efavirenz</w:t>
      </w:r>
      <w:proofErr w:type="spellEnd"/>
      <w:r w:rsidRPr="00030574">
        <w:t>.</w:t>
      </w:r>
    </w:p>
    <w:p w:rsidR="00E706F6" w:rsidRPr="004B259C" w:rsidRDefault="00E706F6" w:rsidP="00BB17F9">
      <w:pPr>
        <w:pStyle w:val="Heading6"/>
      </w:pPr>
      <w:r w:rsidRPr="004B259C">
        <w:t>Efficacy variables and outcomes</w:t>
      </w:r>
    </w:p>
    <w:p w:rsidR="00E706F6" w:rsidRPr="00030574" w:rsidRDefault="00E706F6" w:rsidP="00BB17F9">
      <w:r w:rsidRPr="00030574">
        <w:t>The main efficacy variables were:</w:t>
      </w:r>
    </w:p>
    <w:p w:rsidR="00E706F6" w:rsidRPr="00030574" w:rsidRDefault="00E706F6" w:rsidP="00BB17F9">
      <w:pPr>
        <w:pStyle w:val="ListBullet"/>
      </w:pPr>
      <w:r w:rsidRPr="00030574">
        <w:t>Plasma HIV-1 RNA levels were obtained at screening, baseline and at every scheduled clinic visits thereafter (every 4 weeks)</w:t>
      </w:r>
    </w:p>
    <w:p w:rsidR="00E706F6" w:rsidRPr="00030574" w:rsidRDefault="00E706F6" w:rsidP="00BB17F9">
      <w:pPr>
        <w:pStyle w:val="ListBullet"/>
      </w:pPr>
      <w:r w:rsidRPr="00030574">
        <w:t xml:space="preserve">CD4 cell </w:t>
      </w:r>
      <w:r w:rsidRPr="00BB17F9">
        <w:t>count</w:t>
      </w:r>
      <w:r w:rsidRPr="00030574">
        <w:t xml:space="preserve"> measured at screening, baseline and every</w:t>
      </w:r>
      <w:r w:rsidR="00E57ADB">
        <w:t xml:space="preserve"> </w:t>
      </w:r>
      <w:r w:rsidRPr="00030574">
        <w:t>12 weeks thereafter</w:t>
      </w:r>
    </w:p>
    <w:p w:rsidR="00E706F6" w:rsidRPr="00030574" w:rsidRDefault="00E706F6" w:rsidP="00BB17F9">
      <w:pPr>
        <w:pStyle w:val="ListBullet"/>
      </w:pPr>
      <w:r w:rsidRPr="00030574">
        <w:t xml:space="preserve">Full-profile blood sampling for plasma concentrations of </w:t>
      </w:r>
      <w:proofErr w:type="spellStart"/>
      <w:r w:rsidRPr="00030574">
        <w:t>emtricitabine</w:t>
      </w:r>
      <w:proofErr w:type="spellEnd"/>
      <w:r w:rsidRPr="00030574">
        <w:t xml:space="preserve"> was performed at Week 2 for up to 10 subjects per age group.</w:t>
      </w:r>
    </w:p>
    <w:p w:rsidR="00E706F6" w:rsidRPr="00030574" w:rsidRDefault="00E706F6" w:rsidP="00BB17F9">
      <w:pPr>
        <w:pStyle w:val="ListBullet"/>
      </w:pPr>
      <w:proofErr w:type="spellStart"/>
      <w:r w:rsidRPr="00030574">
        <w:t>Trough</w:t>
      </w:r>
      <w:proofErr w:type="spellEnd"/>
      <w:r w:rsidRPr="00030574">
        <w:t xml:space="preserve"> </w:t>
      </w:r>
      <w:r w:rsidRPr="00BB17F9">
        <w:t>blood</w:t>
      </w:r>
      <w:r w:rsidRPr="00030574">
        <w:t xml:space="preserve"> samples for plasma concentrations of </w:t>
      </w:r>
      <w:proofErr w:type="spellStart"/>
      <w:r w:rsidRPr="00030574">
        <w:t>emtricitabine</w:t>
      </w:r>
      <w:proofErr w:type="spellEnd"/>
      <w:r w:rsidRPr="00030574">
        <w:t xml:space="preserve"> were collected from all subj</w:t>
      </w:r>
      <w:r w:rsidR="00BB17F9">
        <w:t>ects at Weeks 8, 16, 24 and 36.</w:t>
      </w:r>
    </w:p>
    <w:p w:rsidR="00E706F6" w:rsidRPr="00030574" w:rsidRDefault="00E706F6" w:rsidP="00BB17F9">
      <w:r w:rsidRPr="00030574">
        <w:t>The primary efficacy outcome was the proportion of patients with suppression of plasma HIV-1 RNA to below the LLOQ for the assay i.e. ≤ 400 and ≤ 50 copies/mL for the standard and ultrasensitive tests, respectively, at Week 48, evaluated using non-completer=failure (NC=F) analysis.</w:t>
      </w:r>
    </w:p>
    <w:p w:rsidR="00E706F6" w:rsidRPr="00030574" w:rsidRDefault="00E706F6" w:rsidP="00BB17F9">
      <w:r w:rsidRPr="00030574">
        <w:t>Other efficacy outcomes included:</w:t>
      </w:r>
    </w:p>
    <w:p w:rsidR="00E706F6" w:rsidRPr="00030574" w:rsidRDefault="00E706F6" w:rsidP="00BB17F9">
      <w:pPr>
        <w:pStyle w:val="ListBullet"/>
      </w:pPr>
      <w:r w:rsidRPr="00030574">
        <w:t>The change from baseline in HIV-1 RNA levels at the measured time points</w:t>
      </w:r>
    </w:p>
    <w:p w:rsidR="00E706F6" w:rsidRPr="00030574" w:rsidRDefault="00E706F6" w:rsidP="00BB17F9">
      <w:pPr>
        <w:pStyle w:val="ListBullet"/>
      </w:pPr>
      <w:r w:rsidRPr="00030574">
        <w:t>The change in baseline in CD4 cell counts (absolute and percent) at the measured time points.</w:t>
      </w:r>
    </w:p>
    <w:p w:rsidR="00E706F6" w:rsidRPr="00030574" w:rsidRDefault="00E706F6" w:rsidP="00BB17F9">
      <w:pPr>
        <w:pStyle w:val="ListBullet"/>
      </w:pPr>
      <w:r w:rsidRPr="00030574">
        <w:t xml:space="preserve">The incidence of </w:t>
      </w:r>
      <w:proofErr w:type="spellStart"/>
      <w:r w:rsidRPr="00030574">
        <w:t>virologic</w:t>
      </w:r>
      <w:proofErr w:type="spellEnd"/>
      <w:r w:rsidRPr="00030574">
        <w:t xml:space="preserve"> failure </w:t>
      </w:r>
      <w:r w:rsidRPr="00BB17F9">
        <w:t>by</w:t>
      </w:r>
      <w:r w:rsidRPr="00030574">
        <w:t xml:space="preserve"> Week 48</w:t>
      </w:r>
    </w:p>
    <w:p w:rsidR="00E706F6" w:rsidRPr="00030574" w:rsidRDefault="00E706F6" w:rsidP="00BB17F9">
      <w:pPr>
        <w:pStyle w:val="ListBullet"/>
      </w:pPr>
      <w:r w:rsidRPr="00030574">
        <w:t xml:space="preserve">The incidence of patients </w:t>
      </w:r>
      <w:r w:rsidRPr="00BB17F9">
        <w:t>experiencing</w:t>
      </w:r>
      <w:r w:rsidRPr="00030574">
        <w:t xml:space="preserve"> clinical disease progression by Week 48.</w:t>
      </w:r>
    </w:p>
    <w:p w:rsidR="00E706F6" w:rsidRPr="00030574" w:rsidRDefault="00E706F6" w:rsidP="00030574">
      <w:pPr>
        <w:ind w:left="720"/>
        <w:rPr>
          <w:i/>
        </w:rPr>
      </w:pPr>
      <w:r w:rsidRPr="00030574">
        <w:rPr>
          <w:i/>
        </w:rPr>
        <w:t>Comment: Efficacy outcomes are similar to FTC-202 and FTC-203 allowing comparison across studies</w:t>
      </w:r>
      <w:r w:rsidR="00BB17F9">
        <w:rPr>
          <w:i/>
        </w:rPr>
        <w:t>.</w:t>
      </w:r>
    </w:p>
    <w:p w:rsidR="00E706F6" w:rsidRPr="004B259C" w:rsidRDefault="00E706F6" w:rsidP="00BB17F9">
      <w:pPr>
        <w:pStyle w:val="Heading6"/>
      </w:pPr>
      <w:r w:rsidRPr="004B259C">
        <w:t>Randomisation and blinding methods</w:t>
      </w:r>
    </w:p>
    <w:p w:rsidR="00E706F6" w:rsidRPr="00E16F88" w:rsidRDefault="00E706F6" w:rsidP="00E16F88">
      <w:r w:rsidRPr="00E16F88">
        <w:t>There was no blinding or randomisation.</w:t>
      </w:r>
    </w:p>
    <w:p w:rsidR="00E706F6" w:rsidRDefault="00E706F6" w:rsidP="00BB17F9">
      <w:pPr>
        <w:pStyle w:val="Heading6"/>
      </w:pPr>
      <w:r>
        <w:t xml:space="preserve">Analysis </w:t>
      </w:r>
      <w:r w:rsidRPr="00BB17F9">
        <w:t>populations</w:t>
      </w:r>
    </w:p>
    <w:p w:rsidR="00E706F6" w:rsidRPr="00E16F88" w:rsidRDefault="00E706F6" w:rsidP="00E16F88">
      <w:r w:rsidRPr="00E16F88">
        <w:t>Subjects were analysed based on an ITT population.</w:t>
      </w:r>
    </w:p>
    <w:p w:rsidR="00E706F6" w:rsidRPr="004B259C" w:rsidDel="0081373E" w:rsidRDefault="00E706F6" w:rsidP="00E16F88">
      <w:pPr>
        <w:pStyle w:val="Heading6"/>
      </w:pPr>
      <w:r w:rsidRPr="004B259C" w:rsidDel="0081373E">
        <w:t>Sample size</w:t>
      </w:r>
    </w:p>
    <w:p w:rsidR="00E706F6" w:rsidRPr="00E16F88" w:rsidDel="0081373E" w:rsidRDefault="00E706F6" w:rsidP="00E16F88">
      <w:r w:rsidRPr="00E16F88">
        <w:t>There w</w:t>
      </w:r>
      <w:r w:rsidR="009757B0">
        <w:t>ere</w:t>
      </w:r>
      <w:r w:rsidRPr="00E16F88">
        <w:t xml:space="preserve"> no formal sample size calculations; based on experience with other paediatrics studies, it was anticipated that a sample size of 30 to 50 subjects would provide sufficient data to characterise the safety, pharmacokinetic profile and antiviral activity of </w:t>
      </w:r>
      <w:proofErr w:type="spellStart"/>
      <w:r w:rsidRPr="00E16F88">
        <w:t>emtricitabine</w:t>
      </w:r>
      <w:proofErr w:type="spellEnd"/>
      <w:r w:rsidRPr="00E16F88">
        <w:t xml:space="preserve"> in</w:t>
      </w:r>
      <w:r w:rsidR="00990251">
        <w:t xml:space="preserve"> </w:t>
      </w:r>
      <w:r w:rsidRPr="00E16F88">
        <w:t>a paediatric population.</w:t>
      </w:r>
    </w:p>
    <w:p w:rsidR="00E706F6" w:rsidRPr="00E16F88" w:rsidRDefault="009757B0" w:rsidP="00BB17F9">
      <w:r>
        <w:lastRenderedPageBreak/>
        <w:t xml:space="preserve">A total of </w:t>
      </w:r>
      <w:r w:rsidR="00E706F6" w:rsidRPr="00E16F88">
        <w:t>16 enrolled patients at two centres comprised the ITT population. Once patient was enrolled in Group 2 a</w:t>
      </w:r>
      <w:r w:rsidR="00BB17F9">
        <w:t>nd 15 were enrolled in Group 3.</w:t>
      </w:r>
    </w:p>
    <w:p w:rsidR="00E706F6" w:rsidRPr="0045396F" w:rsidDel="0081373E" w:rsidRDefault="00E706F6" w:rsidP="00E16F88">
      <w:pPr>
        <w:ind w:left="720"/>
        <w:rPr>
          <w:i/>
        </w:rPr>
      </w:pPr>
      <w:r w:rsidRPr="0045396F">
        <w:rPr>
          <w:i/>
        </w:rPr>
        <w:t xml:space="preserve">Comment: It is not clear from the study report why enrolment was stopped at 16 subjects despite an initial anticipated sample size of 30 to 50 people. Given that no formal sample size calculations were undertaken the significance of the reduction in </w:t>
      </w:r>
      <w:proofErr w:type="gramStart"/>
      <w:r w:rsidRPr="0045396F">
        <w:rPr>
          <w:i/>
        </w:rPr>
        <w:t>subjects</w:t>
      </w:r>
      <w:proofErr w:type="gramEnd"/>
      <w:r w:rsidRPr="0045396F">
        <w:rPr>
          <w:i/>
        </w:rPr>
        <w:t xml:space="preserve"> numbers is unclear although the robustness of results is likely to have been affected.</w:t>
      </w:r>
    </w:p>
    <w:p w:rsidR="00E706F6" w:rsidRPr="004B259C" w:rsidRDefault="00E706F6" w:rsidP="00BB17F9">
      <w:pPr>
        <w:pStyle w:val="Heading6"/>
      </w:pPr>
      <w:r w:rsidRPr="004B259C">
        <w:t xml:space="preserve">Statistical </w:t>
      </w:r>
      <w:r w:rsidRPr="00BB17F9">
        <w:t>methods</w:t>
      </w:r>
    </w:p>
    <w:p w:rsidR="00E706F6" w:rsidRPr="005738F4" w:rsidRDefault="00E706F6" w:rsidP="005738F4">
      <w:r w:rsidRPr="005738F4">
        <w:t xml:space="preserve">Safety and efficacy analyses were conducted according to the ITT population. The ITT population was defined as all subjects who received at least 1 dose of the study drug, </w:t>
      </w:r>
      <w:proofErr w:type="spellStart"/>
      <w:r w:rsidRPr="005738F4">
        <w:t>emtricitabine</w:t>
      </w:r>
      <w:proofErr w:type="spellEnd"/>
      <w:r w:rsidRPr="005738F4">
        <w:t>.</w:t>
      </w:r>
    </w:p>
    <w:p w:rsidR="00E706F6" w:rsidRDefault="00E706F6" w:rsidP="00BB17F9">
      <w:pPr>
        <w:pStyle w:val="Heading7"/>
      </w:pPr>
      <w:r>
        <w:t xml:space="preserve">Primary </w:t>
      </w:r>
      <w:r w:rsidR="00BB17F9">
        <w:t>e</w:t>
      </w:r>
      <w:r w:rsidRPr="00BB17F9">
        <w:t>fficacy</w:t>
      </w:r>
      <w:r>
        <w:t xml:space="preserve"> </w:t>
      </w:r>
      <w:r w:rsidR="00BB17F9">
        <w:t>p</w:t>
      </w:r>
      <w:r>
        <w:t>arameters</w:t>
      </w:r>
    </w:p>
    <w:p w:rsidR="00E706F6" w:rsidRPr="005738F4" w:rsidRDefault="00E706F6" w:rsidP="005738F4">
      <w:r w:rsidRPr="005738F4">
        <w:t>The number and percentage of subjects not meeting the defined efficacy endpoints are summarised, along with 95% confidence intervals for the percentage. Any subject that was missing an HIV-1 RNA value at Week 48 was considered a failure, unless the missing data point was preceded (at Week 44) and followed (at Week 52) by a value that was less than 50 copies/</w:t>
      </w:r>
      <w:proofErr w:type="spellStart"/>
      <w:r w:rsidRPr="005738F4">
        <w:t>mL.</w:t>
      </w:r>
      <w:proofErr w:type="spellEnd"/>
      <w:r w:rsidRPr="005738F4">
        <w:t xml:space="preserve"> In this case, the missing data point was censored.</w:t>
      </w:r>
    </w:p>
    <w:p w:rsidR="00E706F6" w:rsidRDefault="00E706F6" w:rsidP="00931B7E">
      <w:pPr>
        <w:pStyle w:val="Heading7"/>
      </w:pPr>
      <w:r>
        <w:t xml:space="preserve">Secondary </w:t>
      </w:r>
      <w:r w:rsidR="00931B7E">
        <w:t>e</w:t>
      </w:r>
      <w:r>
        <w:t xml:space="preserve">fficacy </w:t>
      </w:r>
      <w:r w:rsidR="00931B7E">
        <w:t>p</w:t>
      </w:r>
      <w:r w:rsidRPr="00931B7E">
        <w:t>arameters</w:t>
      </w:r>
    </w:p>
    <w:p w:rsidR="00E706F6" w:rsidRPr="005738F4" w:rsidRDefault="00E706F6" w:rsidP="00931B7E">
      <w:r w:rsidRPr="005738F4">
        <w:t>Summary statistics (n, mean, median, minimum, maximum and inter-quartile range) were displayed with proportions provided in percentage with 95% confidence intervals.</w:t>
      </w:r>
    </w:p>
    <w:p w:rsidR="00E706F6" w:rsidRPr="005738F4" w:rsidRDefault="00E706F6" w:rsidP="00931B7E">
      <w:r w:rsidRPr="005738F4">
        <w:t xml:space="preserve">The proportion of </w:t>
      </w:r>
      <w:proofErr w:type="spellStart"/>
      <w:r w:rsidRPr="005738F4">
        <w:t>virologic</w:t>
      </w:r>
      <w:proofErr w:type="spellEnd"/>
      <w:r w:rsidRPr="005738F4">
        <w:t xml:space="preserve"> failures that occurred during the study was summarised. </w:t>
      </w:r>
      <w:proofErr w:type="spellStart"/>
      <w:r w:rsidRPr="005738F4">
        <w:t>Virologic</w:t>
      </w:r>
      <w:proofErr w:type="spellEnd"/>
      <w:r w:rsidRPr="005738F4">
        <w:t xml:space="preserve"> failure was defined as not having at least one plasma HIV-1 RNA ≤400 copies/mL by Week 24. A loss of </w:t>
      </w:r>
      <w:proofErr w:type="spellStart"/>
      <w:r w:rsidRPr="005738F4">
        <w:t>virologic</w:t>
      </w:r>
      <w:proofErr w:type="spellEnd"/>
      <w:r w:rsidRPr="005738F4">
        <w:t xml:space="preserve"> response was defined as having &gt; 1 log</w:t>
      </w:r>
      <w:r w:rsidR="006B657F" w:rsidRPr="006B657F">
        <w:rPr>
          <w:vertAlign w:val="subscript"/>
        </w:rPr>
        <w:t>10</w:t>
      </w:r>
      <w:r w:rsidRPr="005738F4">
        <w:t xml:space="preserve"> increase from nadir on 2 consecutive HIV-1 RNA measurements, preferably within 1 month of each other or &lt; 400 copies/Ml plasma HIV-1 RNA measured on 3 consecutive visits over approximately 2 months while on study drugs(s) after having had at least 2 consecutive plasma HIV-1 RNA measurements at ≤ 400 copies/</w:t>
      </w:r>
      <w:proofErr w:type="spellStart"/>
      <w:r w:rsidRPr="005738F4">
        <w:t>mL.</w:t>
      </w:r>
      <w:proofErr w:type="spellEnd"/>
    </w:p>
    <w:p w:rsidR="00E706F6" w:rsidRDefault="00E706F6" w:rsidP="00931B7E">
      <w:pPr>
        <w:pStyle w:val="Heading7"/>
      </w:pPr>
      <w:r>
        <w:t xml:space="preserve">Safety </w:t>
      </w:r>
      <w:r w:rsidR="00931B7E">
        <w:t>p</w:t>
      </w:r>
      <w:r>
        <w:t>arameters</w:t>
      </w:r>
    </w:p>
    <w:p w:rsidR="00E706F6" w:rsidRPr="00211CF6" w:rsidRDefault="00E706F6" w:rsidP="00931B7E">
      <w:r w:rsidRPr="00211CF6">
        <w:t>Safety data were analysed by incidences (frequencies) of events/abnormalities or descriptive statistical summaries (n, mean, SD, median, min, max). These data were compiled for all ITT subjects. Descriptive statistics are provided for selected laboratory evaluations.</w:t>
      </w:r>
    </w:p>
    <w:p w:rsidR="00E706F6" w:rsidRPr="004B259C" w:rsidRDefault="00E706F6" w:rsidP="00931B7E">
      <w:pPr>
        <w:pStyle w:val="Heading6"/>
      </w:pPr>
      <w:r w:rsidRPr="00931B7E">
        <w:t>Participant</w:t>
      </w:r>
      <w:r w:rsidRPr="004B259C">
        <w:t xml:space="preserve"> flow</w:t>
      </w:r>
    </w:p>
    <w:p w:rsidR="00E706F6" w:rsidRPr="00211CF6" w:rsidRDefault="00E706F6" w:rsidP="00931B7E">
      <w:r w:rsidRPr="00211CF6">
        <w:t>Of the 16 subjects in the ITT population, 16 (93.8%) subjects completed the study through Week 48. One subject decided to withdraw from the study on the first day of dosing.</w:t>
      </w:r>
    </w:p>
    <w:p w:rsidR="00E706F6" w:rsidRDefault="00E706F6" w:rsidP="00931B7E">
      <w:pPr>
        <w:pStyle w:val="Heading6"/>
      </w:pPr>
      <w:r>
        <w:t>Major protocol violations/deviations</w:t>
      </w:r>
    </w:p>
    <w:p w:rsidR="00E706F6" w:rsidRPr="00211CF6" w:rsidRDefault="00E706F6" w:rsidP="00931B7E">
      <w:proofErr w:type="gramStart"/>
      <w:r w:rsidRPr="00211CF6">
        <w:t>None</w:t>
      </w:r>
      <w:r w:rsidR="00211CF6">
        <w:t>.</w:t>
      </w:r>
      <w:proofErr w:type="gramEnd"/>
    </w:p>
    <w:p w:rsidR="00E706F6" w:rsidRPr="004B259C" w:rsidRDefault="00E706F6" w:rsidP="00931B7E">
      <w:pPr>
        <w:pStyle w:val="Heading6"/>
      </w:pPr>
      <w:r w:rsidRPr="00931B7E">
        <w:t>Baseline</w:t>
      </w:r>
      <w:r w:rsidRPr="004B259C">
        <w:t xml:space="preserve"> data</w:t>
      </w:r>
    </w:p>
    <w:p w:rsidR="00E706F6" w:rsidRPr="00211CF6" w:rsidRDefault="00E706F6" w:rsidP="00931B7E">
      <w:r w:rsidRPr="00211CF6">
        <w:t xml:space="preserve">All subjects were </w:t>
      </w:r>
      <w:proofErr w:type="spellStart"/>
      <w:proofErr w:type="gramStart"/>
      <w:r w:rsidRPr="00211CF6">
        <w:t>caucasian</w:t>
      </w:r>
      <w:proofErr w:type="spellEnd"/>
      <w:proofErr w:type="gramEnd"/>
      <w:r w:rsidRPr="00211CF6">
        <w:t xml:space="preserve"> and half (50%) were female. Mean age was 14.1 years (range 12.8 to 15.2 years). Median baseline plasma HIV-1 precent CD4+ cell counts were 373 cells/mm</w:t>
      </w:r>
      <w:r w:rsidRPr="00211CF6">
        <w:rPr>
          <w:vertAlign w:val="superscript"/>
        </w:rPr>
        <w:t>3</w:t>
      </w:r>
      <w:r w:rsidRPr="00211CF6">
        <w:t xml:space="preserve"> (range: 200.0 to 1100 cells/mm</w:t>
      </w:r>
      <w:r w:rsidRPr="00211CF6">
        <w:rPr>
          <w:vertAlign w:val="superscript"/>
        </w:rPr>
        <w:t>3</w:t>
      </w:r>
      <w:r w:rsidRPr="00211CF6">
        <w:t>) and 23% (range 16 to 38%), respectively. All but one subject was ART-naive.</w:t>
      </w:r>
    </w:p>
    <w:p w:rsidR="00E706F6" w:rsidRPr="0045396F" w:rsidRDefault="00E706F6" w:rsidP="00211CF6">
      <w:pPr>
        <w:ind w:left="720"/>
        <w:rPr>
          <w:i/>
        </w:rPr>
      </w:pPr>
      <w:r w:rsidRPr="0045396F">
        <w:rPr>
          <w:i/>
        </w:rPr>
        <w:t>Comment: This data set provides the most number of subjects aged &gt; 12 years who were ART-naive.</w:t>
      </w:r>
    </w:p>
    <w:p w:rsidR="00E706F6" w:rsidRPr="004B259C" w:rsidRDefault="00E706F6" w:rsidP="00931B7E">
      <w:pPr>
        <w:pStyle w:val="Heading6"/>
      </w:pPr>
      <w:r w:rsidRPr="004B259C">
        <w:lastRenderedPageBreak/>
        <w:t xml:space="preserve">Results for the </w:t>
      </w:r>
      <w:r w:rsidRPr="00931B7E">
        <w:t>primary</w:t>
      </w:r>
      <w:r w:rsidRPr="004B259C">
        <w:t xml:space="preserve"> efficacy outcome</w:t>
      </w:r>
    </w:p>
    <w:p w:rsidR="00E706F6" w:rsidRPr="004375DA" w:rsidRDefault="00E706F6" w:rsidP="00931B7E">
      <w:r w:rsidRPr="004375DA">
        <w:t>At Week 48, 75% of patients (12/16) had plasma HIV-1 RNA levels ≤ 50 copies/mL (ITT, NC=F analysis). All but one patients achieved suppression of plasma HIV-1 RNA to ≤ 400 copies/mL, approximately 94% overall.</w:t>
      </w:r>
    </w:p>
    <w:p w:rsidR="00E706F6" w:rsidRPr="004375DA" w:rsidRDefault="00E706F6" w:rsidP="00931B7E">
      <w:r w:rsidRPr="004375DA">
        <w:t xml:space="preserve">Based on the TLOVR algorithm, 69% (11/16) and 56% (9/16) of the patients achieved suppression of plasma HIV-1 RNA to ≤ </w:t>
      </w:r>
      <w:proofErr w:type="gramStart"/>
      <w:r w:rsidRPr="004375DA">
        <w:t>400 copies/mL</w:t>
      </w:r>
      <w:proofErr w:type="gramEnd"/>
      <w:r w:rsidRPr="004375DA">
        <w:t xml:space="preserve"> and ≤ 50 copies/mL, respectively.</w:t>
      </w:r>
    </w:p>
    <w:p w:rsidR="00E706F6" w:rsidRPr="0045396F" w:rsidRDefault="00E706F6" w:rsidP="004375DA">
      <w:pPr>
        <w:ind w:left="720"/>
        <w:rPr>
          <w:i/>
        </w:rPr>
      </w:pPr>
      <w:r w:rsidRPr="0045396F">
        <w:rPr>
          <w:i/>
        </w:rPr>
        <w:t>Comment: HIV-1 RNA level results for FTC-211 are similar to results reported in FTC-202 and FTC-203.</w:t>
      </w:r>
    </w:p>
    <w:p w:rsidR="00E706F6" w:rsidRPr="004B259C" w:rsidRDefault="00E706F6" w:rsidP="00931B7E">
      <w:pPr>
        <w:pStyle w:val="Heading6"/>
      </w:pPr>
      <w:r w:rsidRPr="004B259C">
        <w:t xml:space="preserve">Results for </w:t>
      </w:r>
      <w:r w:rsidRPr="00931B7E">
        <w:t>other</w:t>
      </w:r>
      <w:r w:rsidRPr="004B259C">
        <w:t xml:space="preserve"> efficacy outcomes</w:t>
      </w:r>
    </w:p>
    <w:p w:rsidR="00E706F6" w:rsidRPr="008905B7" w:rsidRDefault="00E706F6" w:rsidP="00931B7E">
      <w:r w:rsidRPr="008905B7">
        <w:t>A decrease in HIV-1 RNA levels was achieved through Week 48 with a median value of -3.03 log10 copies/mL (range -4.05 to -2.30). The median (range) changes in absolute and precent CD4 cell counts were 201 (-107 to 366) cells/mm</w:t>
      </w:r>
      <w:r w:rsidRPr="008905B7">
        <w:rPr>
          <w:vertAlign w:val="superscript"/>
        </w:rPr>
        <w:t>3</w:t>
      </w:r>
      <w:r w:rsidRPr="008905B7">
        <w:t xml:space="preserve"> and 8% (3% to 29%), respectively.</w:t>
      </w:r>
    </w:p>
    <w:p w:rsidR="00E706F6" w:rsidRPr="00223E94" w:rsidRDefault="00E706F6" w:rsidP="00223E94">
      <w:pPr>
        <w:pStyle w:val="Heading7"/>
      </w:pPr>
      <w:proofErr w:type="spellStart"/>
      <w:r w:rsidRPr="00223E94">
        <w:t>Virologic</w:t>
      </w:r>
      <w:proofErr w:type="spellEnd"/>
      <w:r w:rsidRPr="00223E94">
        <w:t xml:space="preserve"> </w:t>
      </w:r>
      <w:r w:rsidR="00931B7E" w:rsidRPr="00223E94">
        <w:t>f</w:t>
      </w:r>
      <w:r w:rsidRPr="00223E94">
        <w:t>ailure</w:t>
      </w:r>
    </w:p>
    <w:p w:rsidR="00E706F6" w:rsidRPr="005630AA" w:rsidRDefault="00E706F6" w:rsidP="00931B7E">
      <w:r w:rsidRPr="005630AA">
        <w:t xml:space="preserve">One subject met the protocol defined </w:t>
      </w:r>
      <w:proofErr w:type="spellStart"/>
      <w:r w:rsidRPr="005630AA">
        <w:t>virologic</w:t>
      </w:r>
      <w:proofErr w:type="spellEnd"/>
      <w:r w:rsidRPr="005630AA">
        <w:t xml:space="preserve"> failure but did not discontinue the study. Per the TLOVR algorithm, 5 subjects were defined as </w:t>
      </w:r>
      <w:proofErr w:type="spellStart"/>
      <w:r w:rsidRPr="005630AA">
        <w:t>virologic</w:t>
      </w:r>
      <w:proofErr w:type="spellEnd"/>
      <w:r w:rsidRPr="005630AA">
        <w:t xml:space="preserve"> failure using the 400 copies/mL, threshold, including 4 subjects due to HIV-1 RNA rebound and 1 subject who withdrew consent.</w:t>
      </w:r>
    </w:p>
    <w:p w:rsidR="00E706F6" w:rsidRPr="00223E94" w:rsidRDefault="00E706F6" w:rsidP="00223E94">
      <w:pPr>
        <w:pStyle w:val="Heading7"/>
      </w:pPr>
      <w:r w:rsidRPr="00223E94">
        <w:t xml:space="preserve">CD4+ </w:t>
      </w:r>
      <w:r w:rsidR="00931B7E" w:rsidRPr="00223E94">
        <w:t>c</w:t>
      </w:r>
      <w:r w:rsidRPr="00223E94">
        <w:t xml:space="preserve">ell </w:t>
      </w:r>
      <w:r w:rsidR="00931B7E" w:rsidRPr="00223E94">
        <w:t>c</w:t>
      </w:r>
      <w:r w:rsidRPr="00223E94">
        <w:t>ounts</w:t>
      </w:r>
    </w:p>
    <w:p w:rsidR="00E706F6" w:rsidRPr="005630AA" w:rsidRDefault="00E706F6" w:rsidP="00931B7E">
      <w:r w:rsidRPr="005630AA">
        <w:t>The overall median</w:t>
      </w:r>
      <w:r w:rsidR="00797842">
        <w:t xml:space="preserve"> (range) change in absolute</w:t>
      </w:r>
      <w:r w:rsidRPr="005630AA">
        <w:t xml:space="preserve"> and percent CD4+ cell count was +201 (-107 to +366) cells/mm</w:t>
      </w:r>
      <w:r w:rsidRPr="005630AA">
        <w:rPr>
          <w:vertAlign w:val="superscript"/>
        </w:rPr>
        <w:t>3</w:t>
      </w:r>
      <w:r w:rsidRPr="005630AA">
        <w:t xml:space="preserve"> and +8 (+3 to +29)%, respectively.</w:t>
      </w:r>
    </w:p>
    <w:p w:rsidR="00E706F6" w:rsidRDefault="00E706F6" w:rsidP="00931B7E">
      <w:pPr>
        <w:pStyle w:val="Heading3"/>
      </w:pPr>
      <w:bookmarkStart w:id="90" w:name="_Toc241374312"/>
      <w:bookmarkStart w:id="91" w:name="_Toc272414656"/>
      <w:bookmarkStart w:id="92" w:name="_Toc290846281"/>
      <w:bookmarkStart w:id="93" w:name="_Toc342047602"/>
      <w:bookmarkStart w:id="94" w:name="_Toc391987976"/>
      <w:r>
        <w:t>Analyses performed ac</w:t>
      </w:r>
      <w:r w:rsidR="00DB0C38">
        <w:t xml:space="preserve">ross trials (pooled &amp; </w:t>
      </w:r>
      <w:proofErr w:type="gramStart"/>
      <w:r w:rsidR="00DB0C38">
        <w:t>meta</w:t>
      </w:r>
      <w:proofErr w:type="gramEnd"/>
      <w:r w:rsidR="00DB0C38">
        <w:t xml:space="preserve"> </w:t>
      </w:r>
      <w:r>
        <w:t>analyses)</w:t>
      </w:r>
      <w:bookmarkEnd w:id="90"/>
      <w:bookmarkEnd w:id="91"/>
      <w:bookmarkEnd w:id="92"/>
      <w:bookmarkEnd w:id="93"/>
      <w:bookmarkEnd w:id="94"/>
    </w:p>
    <w:p w:rsidR="00E706F6" w:rsidRDefault="00E706F6" w:rsidP="00931B7E">
      <w:r w:rsidRPr="00DB0C38">
        <w:t xml:space="preserve">A comparison and analyses of the results across the three trials (202, 203 </w:t>
      </w:r>
      <w:r w:rsidR="00B64BD7">
        <w:t>and 211) is provided in the</w:t>
      </w:r>
      <w:r w:rsidRPr="00DB0C38">
        <w:t xml:space="preserve"> ‘Clini</w:t>
      </w:r>
      <w:r w:rsidR="00B64BD7">
        <w:t>cal Summary’ component of the submission (Table</w:t>
      </w:r>
      <w:r w:rsidR="00202E62">
        <w:t xml:space="preserve"> 8</w:t>
      </w:r>
      <w:r w:rsidR="00B64BD7">
        <w:t>).</w:t>
      </w:r>
    </w:p>
    <w:p w:rsidR="00202E62" w:rsidRDefault="00202E62" w:rsidP="00931B7E">
      <w:pPr>
        <w:pStyle w:val="TableTitle"/>
      </w:pPr>
      <w:proofErr w:type="gramStart"/>
      <w:r>
        <w:t>Table 8:</w:t>
      </w:r>
      <w:r w:rsidRPr="004C5C28">
        <w:t xml:space="preserve"> </w:t>
      </w:r>
      <w:r w:rsidR="006231DF" w:rsidRPr="006231DF">
        <w:t xml:space="preserve">Summary of </w:t>
      </w:r>
      <w:r w:rsidR="00931B7E">
        <w:t>p</w:t>
      </w:r>
      <w:r w:rsidR="006231DF" w:rsidRPr="006231DF">
        <w:t xml:space="preserve">atient </w:t>
      </w:r>
      <w:r w:rsidR="00931B7E">
        <w:t>d</w:t>
      </w:r>
      <w:r w:rsidR="006231DF" w:rsidRPr="006231DF">
        <w:t>isposition by Study at Week 48</w:t>
      </w:r>
      <w:r>
        <w:t>.</w:t>
      </w:r>
      <w:proofErr w:type="gramEnd"/>
    </w:p>
    <w:p w:rsidR="00202E62" w:rsidRPr="00DB0C38" w:rsidRDefault="00366D1C" w:rsidP="00DB0C38">
      <w:r>
        <w:rPr>
          <w:noProof/>
          <w:lang w:eastAsia="en-AU"/>
        </w:rPr>
        <w:drawing>
          <wp:inline distT="0" distB="0" distL="0" distR="0">
            <wp:extent cx="5009515" cy="1848485"/>
            <wp:effectExtent l="0" t="0" r="635" b="0"/>
            <wp:docPr id="12" name="Picture 12" descr="Table 8: Summary of Patient Disposition by Study at We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8: Summary of Patient Disposition by Study at Week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9515" cy="1848485"/>
                    </a:xfrm>
                    <a:prstGeom prst="rect">
                      <a:avLst/>
                    </a:prstGeom>
                    <a:noFill/>
                    <a:ln>
                      <a:noFill/>
                    </a:ln>
                  </pic:spPr>
                </pic:pic>
              </a:graphicData>
            </a:graphic>
          </wp:inline>
        </w:drawing>
      </w:r>
    </w:p>
    <w:p w:rsidR="00223E94" w:rsidRDefault="00E706F6" w:rsidP="00931B7E">
      <w:pPr>
        <w:pStyle w:val="TableDescription"/>
      </w:pPr>
      <w:proofErr w:type="gramStart"/>
      <w:r>
        <w:rPr>
          <w:vertAlign w:val="superscript"/>
        </w:rPr>
        <w:t>a</w:t>
      </w:r>
      <w:proofErr w:type="gramEnd"/>
      <w:r>
        <w:t xml:space="preserve"> One patient was not HIV infected and was therefore censored from all analyses</w:t>
      </w:r>
    </w:p>
    <w:p w:rsidR="00E706F6" w:rsidRDefault="00E706F6" w:rsidP="00931B7E">
      <w:pPr>
        <w:pStyle w:val="TableDescription"/>
      </w:pPr>
      <w:proofErr w:type="gramStart"/>
      <w:r>
        <w:rPr>
          <w:vertAlign w:val="superscript"/>
        </w:rPr>
        <w:t>b</w:t>
      </w:r>
      <w:proofErr w:type="gramEnd"/>
      <w:r>
        <w:t xml:space="preserve"> Precent of ITT population</w:t>
      </w:r>
    </w:p>
    <w:p w:rsidR="00E706F6" w:rsidRDefault="00E706F6" w:rsidP="00931B7E">
      <w:pPr>
        <w:pStyle w:val="Heading4"/>
      </w:pPr>
      <w:r w:rsidRPr="00931B7E">
        <w:t>Demographics</w:t>
      </w:r>
    </w:p>
    <w:p w:rsidR="00E706F6" w:rsidRPr="005742ED" w:rsidRDefault="00E706F6" w:rsidP="00931B7E">
      <w:r w:rsidRPr="005742ED">
        <w:t>In FTC-202 and FTC-203, the majority of patients were black, whereas all patients enrolled in FTC-211 were white. In FTC-203, approximately half of the patients were enrolled at two study sties in South Africa, whereas in FTC-202, all patients were enrolled at 16 study sties in the USA and in FRC-211, all patients were enrolled at two study sites in Romania.</w:t>
      </w:r>
    </w:p>
    <w:p w:rsidR="00E706F6" w:rsidRPr="005742ED" w:rsidRDefault="00E706F6" w:rsidP="00931B7E">
      <w:r w:rsidRPr="005742ED">
        <w:t>Approximately half of the patients were male in each study; patient age ranged from 3 months to 21.1 years. In study FTC-203, 61.2% of patients were ART-naive. In FTC-202, all patients were ART-naive (36/37 had had no previous ART exposure at all) and in FTC-211 all but one was ART-naive.</w:t>
      </w:r>
    </w:p>
    <w:p w:rsidR="00E706F6" w:rsidRDefault="00E706F6" w:rsidP="00931B7E">
      <w:pPr>
        <w:pStyle w:val="Heading4"/>
      </w:pPr>
      <w:r w:rsidRPr="00BD4FCD">
        <w:lastRenderedPageBreak/>
        <w:t xml:space="preserve">Primary </w:t>
      </w:r>
      <w:r w:rsidR="00931B7E">
        <w:t>e</w:t>
      </w:r>
      <w:r w:rsidRPr="00931B7E">
        <w:t>fficacy</w:t>
      </w:r>
      <w:r w:rsidRPr="00BD4FCD">
        <w:t xml:space="preserve"> </w:t>
      </w:r>
      <w:r w:rsidR="00931B7E">
        <w:t>o</w:t>
      </w:r>
      <w:r w:rsidRPr="00BD4FCD">
        <w:t>utcomes</w:t>
      </w:r>
    </w:p>
    <w:p w:rsidR="00975680" w:rsidRDefault="00975680" w:rsidP="00931B7E">
      <w:r>
        <w:t>These are shown in Table 9.</w:t>
      </w:r>
    </w:p>
    <w:p w:rsidR="00E51A7B" w:rsidRDefault="00E51A7B" w:rsidP="00931B7E">
      <w:pPr>
        <w:pStyle w:val="TableTitle"/>
      </w:pPr>
      <w:proofErr w:type="gramStart"/>
      <w:r>
        <w:t xml:space="preserve">Table </w:t>
      </w:r>
      <w:r w:rsidR="00DE0408">
        <w:t>9</w:t>
      </w:r>
      <w:r>
        <w:t>:</w:t>
      </w:r>
      <w:r w:rsidRPr="004C5C28">
        <w:t xml:space="preserve"> </w:t>
      </w:r>
      <w:r>
        <w:t>Primary efficacy outcomes.</w:t>
      </w:r>
      <w:proofErr w:type="gramEnd"/>
    </w:p>
    <w:p w:rsidR="00E51A7B" w:rsidRPr="00975680" w:rsidRDefault="00366D1C" w:rsidP="00975680">
      <w:r>
        <w:rPr>
          <w:noProof/>
          <w:lang w:eastAsia="en-AU"/>
        </w:rPr>
        <w:drawing>
          <wp:inline distT="0" distB="0" distL="0" distR="0">
            <wp:extent cx="5002530" cy="2524760"/>
            <wp:effectExtent l="0" t="0" r="7620" b="8890"/>
            <wp:docPr id="13" name="Picture 13" descr="Table 9: Primary efficac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9: Primary efficacy outcom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2530" cy="2524760"/>
                    </a:xfrm>
                    <a:prstGeom prst="rect">
                      <a:avLst/>
                    </a:prstGeom>
                    <a:noFill/>
                    <a:ln>
                      <a:noFill/>
                    </a:ln>
                  </pic:spPr>
                </pic:pic>
              </a:graphicData>
            </a:graphic>
          </wp:inline>
        </w:drawing>
      </w:r>
    </w:p>
    <w:p w:rsidR="00E706F6" w:rsidRPr="0045396F" w:rsidRDefault="00E706F6" w:rsidP="005742ED">
      <w:pPr>
        <w:ind w:left="720"/>
        <w:rPr>
          <w:i/>
        </w:rPr>
      </w:pPr>
      <w:r w:rsidRPr="0045396F">
        <w:rPr>
          <w:i/>
        </w:rPr>
        <w:t>Comment: Results of the primary efficacy outcomes are comparable across studies with minor variation within the bounds of expected variability.</w:t>
      </w:r>
    </w:p>
    <w:p w:rsidR="0045396F" w:rsidRPr="0045396F" w:rsidRDefault="0045396F" w:rsidP="00931B7E">
      <w:pPr>
        <w:pStyle w:val="Heading3"/>
      </w:pPr>
      <w:bookmarkStart w:id="95" w:name="_Toc391987977"/>
      <w:r w:rsidRPr="0045396F">
        <w:t xml:space="preserve">Evaluator’s conclusions on </w:t>
      </w:r>
      <w:r w:rsidR="00931B7E">
        <w:t>e</w:t>
      </w:r>
      <w:r w:rsidRPr="0045396F">
        <w:t xml:space="preserve">xtension of </w:t>
      </w:r>
      <w:r w:rsidR="00931B7E">
        <w:t>a</w:t>
      </w:r>
      <w:r w:rsidRPr="0045396F">
        <w:t>ge indication</w:t>
      </w:r>
      <w:bookmarkEnd w:id="95"/>
    </w:p>
    <w:p w:rsidR="00766976" w:rsidRPr="00ED1FE9" w:rsidRDefault="00766976" w:rsidP="00931B7E">
      <w:r w:rsidRPr="00ED1FE9">
        <w:t xml:space="preserve">The three studies present efficacy data on the use of </w:t>
      </w:r>
      <w:proofErr w:type="spellStart"/>
      <w:r w:rsidRPr="00ED1FE9">
        <w:t>emtricitabine</w:t>
      </w:r>
      <w:proofErr w:type="spellEnd"/>
      <w:r w:rsidRPr="00ED1FE9">
        <w:t xml:space="preserve"> for the treatment of HIV-1 infection in paediatric populations. All studies present data to 48 weeks, with the proportion of subjects with HIV-1 viral loads &lt; 400 copies/mL above 80 and &lt; 50 copies/mL above 70.</w:t>
      </w:r>
      <w:r>
        <w:t xml:space="preserve"> </w:t>
      </w:r>
      <w:r w:rsidRPr="00ED1FE9">
        <w:t xml:space="preserve">All studies used a conservative missing equals failure </w:t>
      </w:r>
      <w:r>
        <w:t xml:space="preserve">(M = </w:t>
      </w:r>
      <w:r w:rsidRPr="00ED1FE9">
        <w:t>F), intention to treat analysis and the true suppression rate may be higher.</w:t>
      </w:r>
      <w:r>
        <w:t xml:space="preserve"> </w:t>
      </w:r>
      <w:r w:rsidRPr="00ED1FE9">
        <w:t xml:space="preserve">Consistent with other </w:t>
      </w:r>
      <w:proofErr w:type="spellStart"/>
      <w:r w:rsidRPr="00ED1FE9">
        <w:t>anti</w:t>
      </w:r>
      <w:r>
        <w:t xml:space="preserve"> </w:t>
      </w:r>
      <w:r w:rsidRPr="00ED1FE9">
        <w:t>viral</w:t>
      </w:r>
      <w:proofErr w:type="spellEnd"/>
      <w:r w:rsidRPr="00ED1FE9">
        <w:t xml:space="preserve"> medications</w:t>
      </w:r>
      <w:r>
        <w:t>,</w:t>
      </w:r>
      <w:r w:rsidRPr="00ED1FE9">
        <w:t xml:space="preserve"> there appears to be a small percentage of children who did not respond to </w:t>
      </w:r>
      <w:proofErr w:type="spellStart"/>
      <w:r w:rsidRPr="00ED1FE9">
        <w:t>emtricitabine</w:t>
      </w:r>
      <w:proofErr w:type="spellEnd"/>
      <w:r w:rsidRPr="00ED1FE9">
        <w:t xml:space="preserve"> and required their </w:t>
      </w:r>
      <w:proofErr w:type="spellStart"/>
      <w:r w:rsidRPr="00ED1FE9">
        <w:t>anti</w:t>
      </w:r>
      <w:r>
        <w:t xml:space="preserve"> </w:t>
      </w:r>
      <w:r w:rsidRPr="00ED1FE9">
        <w:t>retroviral</w:t>
      </w:r>
      <w:proofErr w:type="spellEnd"/>
      <w:r w:rsidRPr="00ED1FE9">
        <w:t xml:space="preserve"> medication to be changed (</w:t>
      </w:r>
      <w:proofErr w:type="spellStart"/>
      <w:r w:rsidRPr="00ED1FE9">
        <w:t>emtricitabine</w:t>
      </w:r>
      <w:proofErr w:type="spellEnd"/>
      <w:r w:rsidRPr="00ED1FE9">
        <w:t xml:space="preserve"> stopped) within the first two months of commencing treatment; there did not appear to be any difference in the number of responders between the </w:t>
      </w:r>
      <w:proofErr w:type="spellStart"/>
      <w:r>
        <w:t>a</w:t>
      </w:r>
      <w:r w:rsidRPr="00B7365E">
        <w:t>nti</w:t>
      </w:r>
      <w:r>
        <w:t xml:space="preserve"> </w:t>
      </w:r>
      <w:r w:rsidRPr="00B7365E">
        <w:t>retroviral</w:t>
      </w:r>
      <w:proofErr w:type="spellEnd"/>
      <w:r w:rsidRPr="00B7365E">
        <w:t xml:space="preserve"> </w:t>
      </w:r>
      <w:r>
        <w:t>t</w:t>
      </w:r>
      <w:r w:rsidRPr="00B7365E">
        <w:t xml:space="preserve">herapy </w:t>
      </w:r>
      <w:r>
        <w:t>(</w:t>
      </w:r>
      <w:r w:rsidRPr="00ED1FE9">
        <w:t>ART</w:t>
      </w:r>
      <w:r>
        <w:t xml:space="preserve">) </w:t>
      </w:r>
      <w:r w:rsidRPr="00ED1FE9">
        <w:t>naive and ART</w:t>
      </w:r>
      <w:r>
        <w:t xml:space="preserve"> </w:t>
      </w:r>
      <w:r w:rsidRPr="00ED1FE9">
        <w:t xml:space="preserve">experienced groups. In addition to the </w:t>
      </w:r>
      <w:proofErr w:type="spellStart"/>
      <w:r w:rsidRPr="00ED1FE9">
        <w:t>non</w:t>
      </w:r>
      <w:r>
        <w:t xml:space="preserve"> </w:t>
      </w:r>
      <w:r w:rsidRPr="00ED1FE9">
        <w:t>responders</w:t>
      </w:r>
      <w:proofErr w:type="spellEnd"/>
      <w:r w:rsidRPr="00ED1FE9">
        <w:t xml:space="preserve">, a small percentage of children withdrew from the trial prior to Week 48 due to </w:t>
      </w:r>
      <w:proofErr w:type="spellStart"/>
      <w:r w:rsidRPr="00ED1FE9">
        <w:t>non</w:t>
      </w:r>
      <w:r>
        <w:t xml:space="preserve"> </w:t>
      </w:r>
      <w:r w:rsidRPr="00ED1FE9">
        <w:t>compliance</w:t>
      </w:r>
      <w:proofErr w:type="spellEnd"/>
      <w:r w:rsidRPr="00ED1FE9">
        <w:t xml:space="preserve"> with the medication.</w:t>
      </w:r>
      <w:r>
        <w:t xml:space="preserve"> </w:t>
      </w:r>
      <w:r w:rsidRPr="00ED1FE9">
        <w:t>For the majority of cases this appears to have been due to an overall lack of motivation/interest in treatment rather than being secondary to adverse effects/symptoms.</w:t>
      </w:r>
      <w:r>
        <w:t xml:space="preserve"> </w:t>
      </w:r>
      <w:r w:rsidRPr="00ED1FE9">
        <w:t xml:space="preserve">Poor treatment compliance is a common problem in the management of adolescent chronic disease and the rates of </w:t>
      </w:r>
      <w:proofErr w:type="spellStart"/>
      <w:r w:rsidRPr="00ED1FE9">
        <w:t>non</w:t>
      </w:r>
      <w:r>
        <w:t xml:space="preserve"> </w:t>
      </w:r>
      <w:r w:rsidRPr="00ED1FE9">
        <w:t>compliance</w:t>
      </w:r>
      <w:proofErr w:type="spellEnd"/>
      <w:r w:rsidRPr="00ED1FE9">
        <w:t xml:space="preserve"> may reflect this challenge.</w:t>
      </w:r>
    </w:p>
    <w:p w:rsidR="00766976" w:rsidRPr="00586F98" w:rsidRDefault="00766976" w:rsidP="00931B7E">
      <w:pPr>
        <w:rPr>
          <w:lang w:eastAsia="ja-JP"/>
        </w:rPr>
      </w:pPr>
      <w:r w:rsidRPr="00ED1FE9">
        <w:t>From the data presented</w:t>
      </w:r>
      <w:r>
        <w:t>,</w:t>
      </w:r>
      <w:r w:rsidRPr="00ED1FE9">
        <w:t xml:space="preserve"> no efficacy issue has been identified preventing an extension of age indication to children aged &gt; 12 years and weighing &gt; 33</w:t>
      </w:r>
      <w:r>
        <w:t xml:space="preserve"> </w:t>
      </w:r>
      <w:r w:rsidRPr="00ED1FE9">
        <w:t>kg. The small study numbers prevent a more rigorous and robus</w:t>
      </w:r>
      <w:r>
        <w:t xml:space="preserve">t analysis of efficacy results; </w:t>
      </w:r>
      <w:r w:rsidRPr="00ED1FE9">
        <w:t xml:space="preserve">however, the results of </w:t>
      </w:r>
      <w:r>
        <w:t>S</w:t>
      </w:r>
      <w:r w:rsidRPr="00ED1FE9">
        <w:t xml:space="preserve">tudies FTC-202, FTC-203 and FTC-211 broadly align with those seen in the </w:t>
      </w:r>
      <w:proofErr w:type="spellStart"/>
      <w:r w:rsidRPr="00ED1FE9">
        <w:t>pre</w:t>
      </w:r>
      <w:r>
        <w:t xml:space="preserve"> </w:t>
      </w:r>
      <w:r w:rsidRPr="00ED1FE9">
        <w:t>market</w:t>
      </w:r>
      <w:proofErr w:type="spellEnd"/>
      <w:r w:rsidRPr="00ED1FE9">
        <w:t xml:space="preserve"> clinical studies undertaken for </w:t>
      </w:r>
      <w:proofErr w:type="spellStart"/>
      <w:r w:rsidRPr="00ED1FE9">
        <w:t>emtricitabine</w:t>
      </w:r>
      <w:proofErr w:type="spellEnd"/>
      <w:r w:rsidRPr="00ED1FE9">
        <w:t xml:space="preserve"> in adult populations</w:t>
      </w:r>
      <w:r>
        <w:t>.</w:t>
      </w:r>
    </w:p>
    <w:p w:rsidR="00C22678" w:rsidRDefault="00C22678" w:rsidP="00931B7E">
      <w:pPr>
        <w:pStyle w:val="Heading2"/>
      </w:pPr>
      <w:bookmarkStart w:id="96" w:name="_Toc391987978"/>
      <w:r>
        <w:t xml:space="preserve">Clinical </w:t>
      </w:r>
      <w:r w:rsidRPr="00931B7E">
        <w:t>safety</w:t>
      </w:r>
      <w:bookmarkEnd w:id="96"/>
    </w:p>
    <w:p w:rsidR="00842DA6" w:rsidRPr="002E5F0B" w:rsidRDefault="00842DA6" w:rsidP="002E5F0B">
      <w:pPr>
        <w:pStyle w:val="Heading3"/>
      </w:pPr>
      <w:bookmarkStart w:id="97" w:name="_Toc272414659"/>
      <w:bookmarkStart w:id="98" w:name="_Toc290846284"/>
      <w:bookmarkStart w:id="99" w:name="_Toc342047605"/>
      <w:bookmarkStart w:id="100" w:name="_Toc391987979"/>
      <w:r w:rsidRPr="002E5F0B">
        <w:t>Studies providing evaluable safety data</w:t>
      </w:r>
      <w:bookmarkEnd w:id="97"/>
      <w:bookmarkEnd w:id="98"/>
      <w:bookmarkEnd w:id="99"/>
      <w:bookmarkEnd w:id="100"/>
    </w:p>
    <w:p w:rsidR="00842DA6" w:rsidRPr="002E5F0B" w:rsidRDefault="00842DA6" w:rsidP="00931B7E">
      <w:bookmarkStart w:id="101" w:name="_Ref268776745"/>
      <w:r w:rsidRPr="002E5F0B">
        <w:t>The following studies provided evaluable safety data: FTC-202, FTC-203 and FTC-211</w:t>
      </w:r>
      <w:r w:rsidR="006B657F">
        <w:t>.</w:t>
      </w:r>
    </w:p>
    <w:p w:rsidR="00842DA6" w:rsidRPr="00027276" w:rsidRDefault="00842DA6" w:rsidP="00931B7E">
      <w:pPr>
        <w:pStyle w:val="Heading4"/>
      </w:pPr>
      <w:r w:rsidRPr="00027276">
        <w:lastRenderedPageBreak/>
        <w:t xml:space="preserve">Pivotal </w:t>
      </w:r>
      <w:r w:rsidRPr="00931B7E">
        <w:t>efficacy</w:t>
      </w:r>
      <w:r w:rsidRPr="00027276">
        <w:t xml:space="preserve"> studies</w:t>
      </w:r>
      <w:bookmarkEnd w:id="101"/>
    </w:p>
    <w:p w:rsidR="00842DA6" w:rsidRPr="002E5F0B" w:rsidRDefault="00842DA6" w:rsidP="00931B7E">
      <w:r w:rsidRPr="002E5F0B">
        <w:t>In the pivotal efficacy studies, the following safety data were collected:</w:t>
      </w:r>
    </w:p>
    <w:p w:rsidR="00842DA6" w:rsidRPr="002E5F0B" w:rsidRDefault="00842DA6" w:rsidP="00931B7E">
      <w:pPr>
        <w:pStyle w:val="ListBullet"/>
      </w:pPr>
      <w:r w:rsidRPr="002E5F0B">
        <w:t xml:space="preserve">General adverse </w:t>
      </w:r>
      <w:r w:rsidRPr="00931B7E">
        <w:t>events</w:t>
      </w:r>
      <w:r w:rsidRPr="002E5F0B">
        <w:t xml:space="preserve"> (AEs) were assessed during every clinic</w:t>
      </w:r>
      <w:r w:rsidR="006B657F">
        <w:t>al visit</w:t>
      </w:r>
    </w:p>
    <w:p w:rsidR="00842DA6" w:rsidRPr="002E5F0B" w:rsidRDefault="00842DA6" w:rsidP="00931B7E">
      <w:pPr>
        <w:pStyle w:val="ListBullet"/>
      </w:pPr>
      <w:r w:rsidRPr="002E5F0B">
        <w:t xml:space="preserve">Laboratory </w:t>
      </w:r>
      <w:r w:rsidRPr="00931B7E">
        <w:t>markers</w:t>
      </w:r>
      <w:r w:rsidRPr="002E5F0B">
        <w:t xml:space="preserve"> were monitored during every clinical visit</w:t>
      </w:r>
    </w:p>
    <w:p w:rsidR="00842DA6" w:rsidRPr="00840122" w:rsidRDefault="00842DA6" w:rsidP="00931B7E">
      <w:pPr>
        <w:pStyle w:val="Heading4"/>
      </w:pPr>
      <w:r w:rsidRPr="00027276">
        <w:t xml:space="preserve">Pivotal </w:t>
      </w:r>
      <w:r w:rsidRPr="00931B7E">
        <w:t>studies</w:t>
      </w:r>
      <w:r w:rsidRPr="00027276">
        <w:t xml:space="preserve"> that assessed </w:t>
      </w:r>
      <w:r>
        <w:t>safety as a primary outcome</w:t>
      </w:r>
    </w:p>
    <w:p w:rsidR="00842DA6" w:rsidRPr="002E5F0B" w:rsidRDefault="00842DA6" w:rsidP="00931B7E">
      <w:r w:rsidRPr="002E5F0B">
        <w:t>No studies assessed safety as a primary outcome.</w:t>
      </w:r>
    </w:p>
    <w:p w:rsidR="00842DA6" w:rsidRDefault="00842DA6" w:rsidP="00931B7E">
      <w:pPr>
        <w:pStyle w:val="Heading3"/>
      </w:pPr>
      <w:bookmarkStart w:id="102" w:name="_Ref269204367"/>
      <w:bookmarkStart w:id="103" w:name="_Ref271195835"/>
      <w:bookmarkStart w:id="104" w:name="_Ref271195841"/>
      <w:bookmarkStart w:id="105" w:name="_Toc272414660"/>
      <w:bookmarkStart w:id="106" w:name="_Toc290846285"/>
      <w:bookmarkStart w:id="107" w:name="_Toc342047606"/>
      <w:bookmarkStart w:id="108" w:name="_Toc391987980"/>
      <w:r>
        <w:t xml:space="preserve">Studies </w:t>
      </w:r>
      <w:r w:rsidRPr="00931B7E">
        <w:t>that</w:t>
      </w:r>
      <w:r w:rsidRPr="00027276">
        <w:t xml:space="preserve"> assessed </w:t>
      </w:r>
      <w:r>
        <w:t>safety as an outcome</w:t>
      </w:r>
      <w:bookmarkEnd w:id="102"/>
      <w:bookmarkEnd w:id="103"/>
      <w:bookmarkEnd w:id="104"/>
      <w:bookmarkEnd w:id="105"/>
      <w:bookmarkEnd w:id="106"/>
      <w:bookmarkEnd w:id="107"/>
      <w:bookmarkEnd w:id="108"/>
    </w:p>
    <w:p w:rsidR="00842DA6" w:rsidRPr="00E7288C" w:rsidRDefault="00842DA6" w:rsidP="00931B7E">
      <w:pPr>
        <w:pStyle w:val="Heading4"/>
      </w:pPr>
      <w:bookmarkStart w:id="109" w:name="_Ref290844188"/>
      <w:bookmarkStart w:id="110" w:name="_Toc290846286"/>
      <w:bookmarkStart w:id="111" w:name="_Toc342047607"/>
      <w:r w:rsidRPr="00E7288C">
        <w:t xml:space="preserve">Study </w:t>
      </w:r>
      <w:bookmarkEnd w:id="109"/>
      <w:bookmarkEnd w:id="110"/>
      <w:r w:rsidRPr="00E7288C">
        <w:t>FTC-203</w:t>
      </w:r>
      <w:bookmarkEnd w:id="111"/>
    </w:p>
    <w:p w:rsidR="00842DA6" w:rsidRPr="00E7288C" w:rsidRDefault="00842DA6" w:rsidP="00931B7E">
      <w:pPr>
        <w:pStyle w:val="Heading5"/>
      </w:pPr>
      <w:bookmarkStart w:id="112" w:name="_Toc290846287"/>
      <w:bookmarkStart w:id="113" w:name="_Toc342047608"/>
      <w:r w:rsidRPr="00E7288C">
        <w:t xml:space="preserve">Study </w:t>
      </w:r>
      <w:r w:rsidRPr="00931B7E">
        <w:t>design</w:t>
      </w:r>
      <w:r w:rsidRPr="00E7288C">
        <w:t>, objectives, locations and dates</w:t>
      </w:r>
      <w:bookmarkEnd w:id="112"/>
      <w:bookmarkEnd w:id="113"/>
    </w:p>
    <w:p w:rsidR="00842DA6" w:rsidRPr="00673D31" w:rsidRDefault="008952DA" w:rsidP="00931B7E">
      <w:r w:rsidRPr="00673D31">
        <w:t xml:space="preserve">These were described in the ‘Clinical efficacy’ section. </w:t>
      </w:r>
      <w:r w:rsidR="00842DA6" w:rsidRPr="00673D31">
        <w:t>Safety outcomes were monitored at each clinic visit (every 4 weeks to Week 48, and every 12 weeks thereafter).</w:t>
      </w:r>
    </w:p>
    <w:p w:rsidR="00842DA6" w:rsidRPr="00E7288C" w:rsidRDefault="00842DA6" w:rsidP="00931B7E">
      <w:pPr>
        <w:pStyle w:val="Heading5"/>
      </w:pPr>
      <w:bookmarkStart w:id="114" w:name="_Toc290846290"/>
      <w:bookmarkStart w:id="115" w:name="_Toc342047609"/>
      <w:r w:rsidRPr="00E7288C">
        <w:t>Safety variables and outcomes</w:t>
      </w:r>
      <w:bookmarkEnd w:id="114"/>
      <w:bookmarkEnd w:id="115"/>
    </w:p>
    <w:p w:rsidR="00842DA6" w:rsidRPr="00B46C1C" w:rsidRDefault="00842DA6" w:rsidP="00931B7E">
      <w:r w:rsidRPr="00B46C1C">
        <w:t>The main efficacy variables were:</w:t>
      </w:r>
    </w:p>
    <w:p w:rsidR="00842DA6" w:rsidRPr="00B46C1C" w:rsidRDefault="00842DA6" w:rsidP="00931B7E">
      <w:pPr>
        <w:pStyle w:val="ListBullet"/>
      </w:pPr>
      <w:r w:rsidRPr="00B46C1C">
        <w:t>Tolerability Failure (cessation of study treatment due to safety related concerns).</w:t>
      </w:r>
    </w:p>
    <w:p w:rsidR="00842DA6" w:rsidRPr="00B46C1C" w:rsidRDefault="00842DA6" w:rsidP="00931B7E">
      <w:pPr>
        <w:pStyle w:val="ListBullet"/>
      </w:pPr>
      <w:r w:rsidRPr="00B46C1C">
        <w:t xml:space="preserve">Serious adverse </w:t>
      </w:r>
      <w:r w:rsidRPr="00931B7E">
        <w:t>events</w:t>
      </w:r>
    </w:p>
    <w:p w:rsidR="00842DA6" w:rsidRPr="00B46C1C" w:rsidRDefault="00842DA6" w:rsidP="00931B7E">
      <w:pPr>
        <w:pStyle w:val="ListBullet"/>
      </w:pPr>
      <w:r w:rsidRPr="00B46C1C">
        <w:t xml:space="preserve">Grade 3-4 </w:t>
      </w:r>
      <w:r w:rsidRPr="00931B7E">
        <w:t>laboratory</w:t>
      </w:r>
      <w:r w:rsidRPr="00B46C1C">
        <w:t xml:space="preserve"> abnormality</w:t>
      </w:r>
    </w:p>
    <w:p w:rsidR="00842DA6" w:rsidRPr="00B46C1C" w:rsidRDefault="00842DA6" w:rsidP="00931B7E">
      <w:r w:rsidRPr="00B46C1C">
        <w:t>The primary efficacy outcome was tolerability failure, defined as withdrawal from study medication due to safety related concerns (e.g. severe and/or life-threatening adverse events requiring removal from study treatment).</w:t>
      </w:r>
    </w:p>
    <w:p w:rsidR="00842DA6" w:rsidRPr="00B46C1C" w:rsidRDefault="00842DA6" w:rsidP="00931B7E">
      <w:r w:rsidRPr="00B46C1C">
        <w:t>Other efficacy outcomes included:</w:t>
      </w:r>
    </w:p>
    <w:p w:rsidR="00842DA6" w:rsidRPr="004B259C" w:rsidRDefault="00842DA6" w:rsidP="00931B7E">
      <w:pPr>
        <w:pStyle w:val="ListBullet"/>
      </w:pPr>
      <w:r>
        <w:t xml:space="preserve">Serious adverse </w:t>
      </w:r>
      <w:r w:rsidRPr="00931B7E">
        <w:t>events</w:t>
      </w:r>
    </w:p>
    <w:p w:rsidR="00842DA6" w:rsidRPr="004B259C" w:rsidRDefault="00842DA6" w:rsidP="00931B7E">
      <w:pPr>
        <w:pStyle w:val="ListBullet"/>
      </w:pPr>
      <w:r>
        <w:t xml:space="preserve">Grade 3-4 </w:t>
      </w:r>
      <w:r w:rsidRPr="00931B7E">
        <w:t>laboratory</w:t>
      </w:r>
      <w:r>
        <w:t xml:space="preserve"> abnormalities</w:t>
      </w:r>
    </w:p>
    <w:p w:rsidR="00842DA6" w:rsidRPr="00095A52" w:rsidRDefault="00842DA6" w:rsidP="00931B7E">
      <w:pPr>
        <w:pStyle w:val="Heading5"/>
      </w:pPr>
      <w:bookmarkStart w:id="116" w:name="_Toc342047610"/>
      <w:r w:rsidRPr="00931B7E">
        <w:t>Summary</w:t>
      </w:r>
      <w:r w:rsidRPr="00095A52">
        <w:t xml:space="preserve"> of </w:t>
      </w:r>
      <w:r w:rsidR="00931B7E">
        <w:t>s</w:t>
      </w:r>
      <w:r w:rsidRPr="00095A52">
        <w:t xml:space="preserve">afety </w:t>
      </w:r>
      <w:r w:rsidR="00931B7E">
        <w:t>r</w:t>
      </w:r>
      <w:r w:rsidRPr="00095A52">
        <w:t>esults</w:t>
      </w:r>
      <w:bookmarkEnd w:id="116"/>
    </w:p>
    <w:p w:rsidR="00842DA6" w:rsidRDefault="00B46C1C" w:rsidP="00931B7E">
      <w:r>
        <w:t xml:space="preserve">Overall, </w:t>
      </w:r>
      <w:r w:rsidR="00842DA6" w:rsidRPr="00B46C1C">
        <w:t>3 of the 116 (2.6%) study subjects ceased treatment with the study drug due to tolerability failure through data cut-off.  Data cut-off extended beyond the Week 48 efficacy end-point (through to Week 96).  At data cut-off there had been 19 (26.8%) serious adverse events in the ART-naive population and 5 (11.1%) in the ART-experienced population.  There were 5 (7.0%) and 5 (11.1%) grade 3-4 laboratory abnormalities over the same period in the ART-naive and ART-experienced populations,</w:t>
      </w:r>
      <w:r w:rsidR="00DE0408">
        <w:t xml:space="preserve"> respectively (Table 10).</w:t>
      </w:r>
    </w:p>
    <w:p w:rsidR="00DE0408" w:rsidRDefault="00DE0408" w:rsidP="00931B7E">
      <w:pPr>
        <w:pStyle w:val="TableTitle"/>
      </w:pPr>
      <w:proofErr w:type="gramStart"/>
      <w:r>
        <w:t>Table 10:</w:t>
      </w:r>
      <w:r w:rsidRPr="004C5C28">
        <w:t xml:space="preserve"> </w:t>
      </w:r>
      <w:r w:rsidR="00F050A5" w:rsidRPr="00F050A5">
        <w:t xml:space="preserve">Summary of </w:t>
      </w:r>
      <w:r w:rsidR="00931B7E">
        <w:t>s</w:t>
      </w:r>
      <w:r w:rsidR="00F050A5" w:rsidRPr="00F050A5">
        <w:t xml:space="preserve">afety </w:t>
      </w:r>
      <w:r w:rsidR="00931B7E">
        <w:t>r</w:t>
      </w:r>
      <w:r w:rsidR="00F050A5" w:rsidRPr="00F050A5">
        <w:t>esult at Week 96 (FTC-203)</w:t>
      </w:r>
      <w:r>
        <w:t>.</w:t>
      </w:r>
      <w:proofErr w:type="gramEnd"/>
    </w:p>
    <w:p w:rsidR="00DE0408" w:rsidRPr="00B46C1C" w:rsidRDefault="00366D1C" w:rsidP="00B46C1C">
      <w:r>
        <w:rPr>
          <w:noProof/>
          <w:lang w:eastAsia="en-AU"/>
        </w:rPr>
        <w:drawing>
          <wp:inline distT="0" distB="0" distL="0" distR="0">
            <wp:extent cx="4340225" cy="1934845"/>
            <wp:effectExtent l="0" t="0" r="3175" b="8255"/>
            <wp:docPr id="14" name="Picture 14" descr="Table 10: Summary of Safety Result at Week 96 (FTC-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10: Summary of Safety Result at Week 96 (FTC-2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0225" cy="1934845"/>
                    </a:xfrm>
                    <a:prstGeom prst="rect">
                      <a:avLst/>
                    </a:prstGeom>
                    <a:noFill/>
                    <a:ln>
                      <a:noFill/>
                    </a:ln>
                  </pic:spPr>
                </pic:pic>
              </a:graphicData>
            </a:graphic>
          </wp:inline>
        </w:drawing>
      </w:r>
    </w:p>
    <w:p w:rsidR="00842DA6" w:rsidRPr="00095A52" w:rsidRDefault="00842DA6" w:rsidP="00931B7E">
      <w:pPr>
        <w:pStyle w:val="Heading5"/>
      </w:pPr>
      <w:bookmarkStart w:id="117" w:name="_Toc290846298"/>
      <w:bookmarkStart w:id="118" w:name="_Toc342047611"/>
      <w:r w:rsidRPr="00931B7E">
        <w:lastRenderedPageBreak/>
        <w:t>Results</w:t>
      </w:r>
      <w:r w:rsidRPr="00095A52">
        <w:t xml:space="preserve"> for the primary safety outcome</w:t>
      </w:r>
      <w:bookmarkEnd w:id="117"/>
      <w:r w:rsidRPr="00095A52">
        <w:t xml:space="preserve"> (tolerability failure)</w:t>
      </w:r>
      <w:bookmarkEnd w:id="118"/>
    </w:p>
    <w:p w:rsidR="00842DA6" w:rsidRPr="0015108B" w:rsidRDefault="00842DA6" w:rsidP="00931B7E">
      <w:r w:rsidRPr="0015108B">
        <w:t>The overall incidence of tolerability failure through Week 48 and through data cut-off (Week 96) were 2 out of 166 (1.7%) and 3 out of 166 (2.6%), respectively. The two subjects (1 ART-naive, 1 ART-experienced) who discontinued treatment with the study drug due to an adverse event prior to Week 48 stopped due to anaemia (Grade 3 low haemoglobin) and pancreatitis. The third subject classified as tolerability failure died shortly after being diagnosed with acute myeloid leukaemia.</w:t>
      </w:r>
    </w:p>
    <w:p w:rsidR="00842DA6" w:rsidRDefault="00842DA6" w:rsidP="00931B7E">
      <w:pPr>
        <w:pStyle w:val="Heading4"/>
      </w:pPr>
      <w:bookmarkStart w:id="119" w:name="_Toc342047612"/>
      <w:r>
        <w:t>FTC-</w:t>
      </w:r>
      <w:r w:rsidRPr="00931B7E">
        <w:t>202</w:t>
      </w:r>
      <w:bookmarkEnd w:id="119"/>
    </w:p>
    <w:p w:rsidR="00842DA6" w:rsidRPr="00E7288C" w:rsidRDefault="00842DA6" w:rsidP="00931B7E">
      <w:pPr>
        <w:pStyle w:val="Heading5"/>
      </w:pPr>
      <w:bookmarkStart w:id="120" w:name="_Toc342047613"/>
      <w:r w:rsidRPr="00931B7E">
        <w:t>Study</w:t>
      </w:r>
      <w:r w:rsidRPr="00E7288C">
        <w:t xml:space="preserve"> design, objectives, locations and dates</w:t>
      </w:r>
      <w:bookmarkEnd w:id="120"/>
    </w:p>
    <w:p w:rsidR="00842DA6" w:rsidRPr="000525AD" w:rsidRDefault="0015108B" w:rsidP="00931B7E">
      <w:r w:rsidRPr="000525AD">
        <w:t xml:space="preserve">These were described in the ‘Clinical efficacy’ section. </w:t>
      </w:r>
      <w:r w:rsidR="00842DA6" w:rsidRPr="000525AD">
        <w:t>Safety outcomes were monitored at each clinic visit (every 4 weeks to Week 48, and every 12 weeks thereafter).</w:t>
      </w:r>
    </w:p>
    <w:p w:rsidR="00842DA6" w:rsidRPr="00E7288C" w:rsidRDefault="00842DA6" w:rsidP="00931B7E">
      <w:pPr>
        <w:pStyle w:val="Heading5"/>
      </w:pPr>
      <w:bookmarkStart w:id="121" w:name="_Toc342047614"/>
      <w:r w:rsidRPr="00931B7E">
        <w:t>Safety</w:t>
      </w:r>
      <w:r w:rsidRPr="00E7288C">
        <w:t xml:space="preserve"> variables and outcomes</w:t>
      </w:r>
      <w:bookmarkEnd w:id="121"/>
    </w:p>
    <w:p w:rsidR="00842DA6" w:rsidRPr="000525AD" w:rsidRDefault="00842DA6" w:rsidP="000525AD">
      <w:r w:rsidRPr="000525AD">
        <w:t>The main efficacy variables were:</w:t>
      </w:r>
    </w:p>
    <w:p w:rsidR="00842DA6" w:rsidRPr="000525AD" w:rsidRDefault="00842DA6" w:rsidP="00931B7E">
      <w:pPr>
        <w:pStyle w:val="ListBullet"/>
      </w:pPr>
      <w:r w:rsidRPr="000525AD">
        <w:t xml:space="preserve">Laboratory </w:t>
      </w:r>
      <w:r w:rsidRPr="00931B7E">
        <w:t>abnormalities</w:t>
      </w:r>
      <w:r w:rsidRPr="000525AD">
        <w:t xml:space="preserve"> measured at study entry, </w:t>
      </w:r>
      <w:r w:rsidR="006B657F">
        <w:t>W</w:t>
      </w:r>
      <w:r w:rsidRPr="000525AD">
        <w:t xml:space="preserve">eeks 2 and 4 and every 4 weeks thereafter up to </w:t>
      </w:r>
      <w:r w:rsidR="00096BB4">
        <w:t>W</w:t>
      </w:r>
      <w:r w:rsidRPr="000525AD">
        <w:t>eek 144.</w:t>
      </w:r>
    </w:p>
    <w:p w:rsidR="00842DA6" w:rsidRPr="000525AD" w:rsidRDefault="00842DA6" w:rsidP="00931B7E">
      <w:pPr>
        <w:pStyle w:val="ListBullet"/>
      </w:pPr>
      <w:r w:rsidRPr="000525AD">
        <w:t xml:space="preserve">Subject </w:t>
      </w:r>
      <w:r w:rsidRPr="00931B7E">
        <w:t>clinical</w:t>
      </w:r>
      <w:r w:rsidRPr="000525AD">
        <w:t xml:space="preserve"> signs and symptoms</w:t>
      </w:r>
    </w:p>
    <w:p w:rsidR="00842DA6" w:rsidRPr="000525AD" w:rsidRDefault="00842DA6" w:rsidP="00931B7E">
      <w:r w:rsidRPr="000525AD">
        <w:t>Other efficacy outcomes included:</w:t>
      </w:r>
    </w:p>
    <w:p w:rsidR="00842DA6" w:rsidRPr="000525AD" w:rsidRDefault="00842DA6" w:rsidP="00931B7E">
      <w:pPr>
        <w:pStyle w:val="ListBullet"/>
      </w:pPr>
      <w:r w:rsidRPr="000525AD">
        <w:t>Death</w:t>
      </w:r>
    </w:p>
    <w:p w:rsidR="00842DA6" w:rsidRPr="000525AD" w:rsidRDefault="00842DA6" w:rsidP="00931B7E">
      <w:pPr>
        <w:pStyle w:val="ListBullet"/>
      </w:pPr>
      <w:r w:rsidRPr="00931B7E">
        <w:t>Serious</w:t>
      </w:r>
      <w:r w:rsidRPr="000525AD">
        <w:t xml:space="preserve"> adverse events</w:t>
      </w:r>
    </w:p>
    <w:p w:rsidR="00842DA6" w:rsidRPr="000525AD" w:rsidRDefault="00842DA6" w:rsidP="00931B7E">
      <w:pPr>
        <w:pStyle w:val="ListBullet"/>
      </w:pPr>
      <w:r w:rsidRPr="000525AD">
        <w:t>Grade 3-4 laboratory abnormalities</w:t>
      </w:r>
    </w:p>
    <w:p w:rsidR="00842DA6" w:rsidRPr="009175E6" w:rsidRDefault="00842DA6" w:rsidP="00931B7E">
      <w:pPr>
        <w:pStyle w:val="Heading5"/>
      </w:pPr>
      <w:bookmarkStart w:id="122" w:name="_Toc342047615"/>
      <w:r w:rsidRPr="009175E6">
        <w:t xml:space="preserve">Summary of </w:t>
      </w:r>
      <w:r w:rsidR="00931B7E">
        <w:t>s</w:t>
      </w:r>
      <w:r w:rsidRPr="009175E6">
        <w:t xml:space="preserve">afety </w:t>
      </w:r>
      <w:r w:rsidR="00931B7E">
        <w:t>r</w:t>
      </w:r>
      <w:r w:rsidRPr="009175E6">
        <w:t>esults</w:t>
      </w:r>
      <w:bookmarkEnd w:id="122"/>
    </w:p>
    <w:p w:rsidR="00842DA6" w:rsidRPr="00733AFD" w:rsidRDefault="00842DA6" w:rsidP="00931B7E">
      <w:r w:rsidRPr="00733AFD">
        <w:t xml:space="preserve">The study treatment appeared to be well tolerated; of the 37 subjects enrolled in Age Groups 2 and 3, five (14%; 95% CI: 5% ~ 29%) experienced one or more Grade 3 or 4 laboratory abnormalities or signs and symptoms that were judged by the study team to be possibly or probably </w:t>
      </w:r>
      <w:r w:rsidR="00931B7E">
        <w:t>related to the study treatment.</w:t>
      </w:r>
    </w:p>
    <w:p w:rsidR="00842DA6" w:rsidRPr="009175E6" w:rsidRDefault="00842DA6" w:rsidP="00931B7E">
      <w:pPr>
        <w:pStyle w:val="Heading5"/>
      </w:pPr>
      <w:bookmarkStart w:id="123" w:name="_Toc342047616"/>
      <w:r w:rsidRPr="009175E6">
        <w:t xml:space="preserve">Results for the </w:t>
      </w:r>
      <w:r w:rsidRPr="00931B7E">
        <w:t>primary</w:t>
      </w:r>
      <w:r w:rsidRPr="009175E6">
        <w:t xml:space="preserve"> safety outcome</w:t>
      </w:r>
      <w:bookmarkEnd w:id="123"/>
    </w:p>
    <w:p w:rsidR="00842DA6" w:rsidRPr="00733AFD" w:rsidRDefault="00842DA6" w:rsidP="00931B7E">
      <w:r w:rsidRPr="00733AFD">
        <w:t>See above for a summary of the primary safety outcome.</w:t>
      </w:r>
    </w:p>
    <w:p w:rsidR="00842DA6" w:rsidRPr="008C131E" w:rsidRDefault="001E4C5C" w:rsidP="00931B7E">
      <w:pPr>
        <w:pStyle w:val="ListBullet"/>
      </w:pPr>
      <w:r>
        <w:t xml:space="preserve">Subject </w:t>
      </w:r>
      <w:r w:rsidR="004A4AEE">
        <w:t xml:space="preserve"># </w:t>
      </w:r>
      <w:r w:rsidR="006C624F">
        <w:t>[</w:t>
      </w:r>
      <w:r>
        <w:t>i</w:t>
      </w:r>
      <w:r w:rsidR="006C624F">
        <w:t>nformation redacted]</w:t>
      </w:r>
      <w:r w:rsidR="00842DA6" w:rsidRPr="008C131E">
        <w:t xml:space="preserve"> had a Grade 3 gamma </w:t>
      </w:r>
      <w:proofErr w:type="spellStart"/>
      <w:r w:rsidR="00842DA6" w:rsidRPr="008C131E">
        <w:t>glutamyl</w:t>
      </w:r>
      <w:proofErr w:type="spellEnd"/>
      <w:r w:rsidR="00842DA6" w:rsidRPr="008C131E">
        <w:t xml:space="preserve"> </w:t>
      </w:r>
      <w:proofErr w:type="spellStart"/>
      <w:r w:rsidR="00842DA6" w:rsidRPr="008C131E">
        <w:t>transferase</w:t>
      </w:r>
      <w:proofErr w:type="spellEnd"/>
      <w:r w:rsidR="00842DA6" w:rsidRPr="008C131E">
        <w:t xml:space="preserve"> (GGT) value at week 3, which was followed by two Grade 4 GGT tests at weeks 4 and 5. This subject had a Grade 2 GGT at study entry. The GGT abnormality resolved to Grade 1 at week 9 and to a normal value at week 12. These </w:t>
      </w:r>
      <w:r w:rsidR="00842DA6" w:rsidRPr="00931B7E">
        <w:t>abnormal</w:t>
      </w:r>
      <w:r w:rsidR="00842DA6" w:rsidRPr="008C131E">
        <w:t xml:space="preserve"> GGT values were attributed to the study treatment by the SAE office, but were judged to be not related to t</w:t>
      </w:r>
      <w:r w:rsidR="00931B7E">
        <w:t>he study treatment by the team.</w:t>
      </w:r>
    </w:p>
    <w:p w:rsidR="00842DA6" w:rsidRPr="008C131E" w:rsidRDefault="00B26497" w:rsidP="00931B7E">
      <w:pPr>
        <w:pStyle w:val="ListBullet"/>
      </w:pPr>
      <w:r>
        <w:t>Subject # [</w:t>
      </w:r>
      <w:r w:rsidRPr="00931B7E">
        <w:t>information</w:t>
      </w:r>
      <w:r>
        <w:t xml:space="preserve"> redacted]</w:t>
      </w:r>
      <w:r w:rsidRPr="008C131E">
        <w:t xml:space="preserve"> </w:t>
      </w:r>
      <w:r w:rsidR="00842DA6" w:rsidRPr="008C131E">
        <w:t>had a Grade 4 low glucose at week 11, which resolved to normal four days later. This abnormality was judged to be possibly or probably related to the study treatment by both the site and the team. The same patient had a Grade 4 low fasting blood sugar (with the value 0 mg/</w:t>
      </w:r>
      <w:proofErr w:type="spellStart"/>
      <w:r w:rsidR="00842DA6" w:rsidRPr="008C131E">
        <w:t>dL</w:t>
      </w:r>
      <w:proofErr w:type="spellEnd"/>
      <w:r w:rsidR="00842DA6" w:rsidRPr="008C131E">
        <w:t>) at week 24, but the same sample processed at the local lab of the site showed a normal value. This Grade 4 abnormality was judged to be not related to the study treatment by both the site and the team. This test was repeated at week 36 and a normal value was obtained.</w:t>
      </w:r>
    </w:p>
    <w:p w:rsidR="00842DA6" w:rsidRPr="008C131E" w:rsidRDefault="00B26497" w:rsidP="008C131E">
      <w:pPr>
        <w:pStyle w:val="ListBullet"/>
      </w:pPr>
      <w:r>
        <w:t>Subject # [information redacted]</w:t>
      </w:r>
      <w:r w:rsidRPr="008C131E">
        <w:t xml:space="preserve"> </w:t>
      </w:r>
      <w:r w:rsidR="00842DA6" w:rsidRPr="008C131E">
        <w:t>had a Grade 3 low glucose at week 60, which resolved at th</w:t>
      </w:r>
      <w:r w:rsidR="00931B7E">
        <w:t>e next visit to a normal value.</w:t>
      </w:r>
    </w:p>
    <w:p w:rsidR="00842DA6" w:rsidRPr="008C131E" w:rsidRDefault="00B26497" w:rsidP="008C131E">
      <w:pPr>
        <w:pStyle w:val="ListBullet"/>
      </w:pPr>
      <w:r>
        <w:t>Subject # [information redacted]</w:t>
      </w:r>
      <w:r w:rsidRPr="008C131E">
        <w:t xml:space="preserve"> </w:t>
      </w:r>
      <w:r w:rsidR="00842DA6" w:rsidRPr="008C131E">
        <w:t xml:space="preserve">had two Grade 3 elevated CPK values on two consecutive days </w:t>
      </w:r>
      <w:proofErr w:type="spellStart"/>
      <w:r w:rsidR="00842DA6" w:rsidRPr="008C131E">
        <w:t>at</w:t>
      </w:r>
      <w:proofErr w:type="spellEnd"/>
      <w:r w:rsidR="00842DA6" w:rsidRPr="008C131E">
        <w:t xml:space="preserve"> week 4, which caused temporary discontinuation of all study drugs. The elevated </w:t>
      </w:r>
      <w:r w:rsidR="00842DA6" w:rsidRPr="008C131E">
        <w:lastRenderedPageBreak/>
        <w:t>CPK resolved to a normal value at week 9. These CPK abnormalities were judged to be possibly or probably related</w:t>
      </w:r>
      <w:r w:rsidR="008C131E">
        <w:t>.</w:t>
      </w:r>
    </w:p>
    <w:p w:rsidR="00842DA6" w:rsidRPr="009175E6" w:rsidRDefault="00842DA6" w:rsidP="00733AFD">
      <w:pPr>
        <w:pStyle w:val="Heading5"/>
      </w:pPr>
      <w:bookmarkStart w:id="124" w:name="_Toc342047617"/>
      <w:r w:rsidRPr="009175E6">
        <w:t>Results for other safety outcomes</w:t>
      </w:r>
      <w:bookmarkEnd w:id="124"/>
    </w:p>
    <w:p w:rsidR="00842DA6" w:rsidRPr="00733AFD" w:rsidRDefault="00842DA6" w:rsidP="00931B7E">
      <w:r w:rsidRPr="00733AFD">
        <w:t xml:space="preserve">The study required that signs and symptoms of Grade 2 or higher, all central nervous system (CNS) symptoms, and any grade nausea, vomiting or abdominal pain when associated with any elevation of serum fractionated pancreatic amylase or lipase be reported. Eight subjects (21.6%) had signs or symptoms of Grade 3 or Grade 4. The signs and symptoms of three subjects were judged to be probably or possibly related to study treatment. The Grade 3 dizziness of subject </w:t>
      </w:r>
      <w:r w:rsidR="008E3B22">
        <w:t># [information redacted]</w:t>
      </w:r>
      <w:r w:rsidRPr="00733AFD">
        <w:t xml:space="preserve"> was judged to be possibly or probably related to the study treatment by both the team and the site. The Grade 3 abnormal dreams and mental status bizarre thinking experienced by subject </w:t>
      </w:r>
      <w:r w:rsidR="00E15504">
        <w:t># [information redacted]</w:t>
      </w:r>
      <w:r w:rsidR="00E15504" w:rsidRPr="008C131E">
        <w:t xml:space="preserve"> </w:t>
      </w:r>
      <w:r w:rsidRPr="00733AFD">
        <w:t xml:space="preserve">was judged possible related by both the team and the site. The grade 3 rash of subject </w:t>
      </w:r>
      <w:r w:rsidR="00E15504">
        <w:t># [information redacted]</w:t>
      </w:r>
      <w:r w:rsidRPr="00733AFD">
        <w:t xml:space="preserve"> was judged to be possibly or probably related to the study treatment by both the team and the site. This event led to permanent discontinuation of the study treatment. All the other grade 3 or 4 abnormalities were judged by the team to be not related to the study treatment.</w:t>
      </w:r>
    </w:p>
    <w:p w:rsidR="00842DA6" w:rsidRDefault="00842DA6" w:rsidP="00931B7E">
      <w:pPr>
        <w:pStyle w:val="Heading4"/>
      </w:pPr>
      <w:bookmarkStart w:id="125" w:name="_Toc342047618"/>
      <w:r>
        <w:t>FTC-211</w:t>
      </w:r>
      <w:bookmarkEnd w:id="125"/>
    </w:p>
    <w:p w:rsidR="00842DA6" w:rsidRDefault="00842DA6" w:rsidP="00931B7E">
      <w:pPr>
        <w:pStyle w:val="Heading5"/>
      </w:pPr>
      <w:bookmarkStart w:id="126" w:name="_Toc342047619"/>
      <w:r>
        <w:t>Study design, objectives, locations and dates</w:t>
      </w:r>
      <w:bookmarkEnd w:id="126"/>
    </w:p>
    <w:p w:rsidR="00842DA6" w:rsidRPr="00733AFD" w:rsidRDefault="00842DA6" w:rsidP="00931B7E">
      <w:r w:rsidRPr="00733AFD">
        <w:t>The safety analysis was based on data collected from all 16 subjects in the ITT population through Week 48.  Overall the median time on study treatment was 337 days (range: 1 to 337); one subject being on the study for one day.</w:t>
      </w:r>
    </w:p>
    <w:p w:rsidR="00842DA6" w:rsidRPr="00733AFD" w:rsidRDefault="00842DA6" w:rsidP="00931B7E">
      <w:r w:rsidRPr="00733AFD">
        <w:t xml:space="preserve">Further details on the study design can be found in </w:t>
      </w:r>
      <w:r w:rsidR="00733AFD">
        <w:t>the ‘Clinical efficacy’ section</w:t>
      </w:r>
      <w:r w:rsidRPr="00733AFD">
        <w:t>.</w:t>
      </w:r>
    </w:p>
    <w:p w:rsidR="00842DA6" w:rsidRDefault="00842DA6" w:rsidP="00931B7E">
      <w:pPr>
        <w:pStyle w:val="Heading5"/>
      </w:pPr>
      <w:bookmarkStart w:id="127" w:name="_Toc342047620"/>
      <w:r>
        <w:t>Safety variables and outcomes</w:t>
      </w:r>
      <w:bookmarkEnd w:id="127"/>
    </w:p>
    <w:p w:rsidR="00842DA6" w:rsidRPr="00441AA4" w:rsidRDefault="00842DA6" w:rsidP="00931B7E">
      <w:r w:rsidRPr="00441AA4">
        <w:t>The main efficacy variables were:</w:t>
      </w:r>
    </w:p>
    <w:p w:rsidR="00842DA6" w:rsidRPr="00441AA4" w:rsidRDefault="00842DA6" w:rsidP="00931B7E">
      <w:pPr>
        <w:pStyle w:val="ListBullet"/>
      </w:pPr>
      <w:r w:rsidRPr="00931B7E">
        <w:t>Tolerability</w:t>
      </w:r>
      <w:r w:rsidRPr="00441AA4">
        <w:t xml:space="preserve"> failure</w:t>
      </w:r>
    </w:p>
    <w:p w:rsidR="00842DA6" w:rsidRPr="00441AA4" w:rsidRDefault="00842DA6" w:rsidP="00931B7E">
      <w:pPr>
        <w:pStyle w:val="ListBullet"/>
      </w:pPr>
      <w:r w:rsidRPr="00441AA4">
        <w:t>Serious adverse events (Grade 3 or 4 severity)</w:t>
      </w:r>
    </w:p>
    <w:p w:rsidR="00842DA6" w:rsidRDefault="00842DA6" w:rsidP="00931B7E">
      <w:pPr>
        <w:pStyle w:val="Heading5"/>
      </w:pPr>
      <w:bookmarkStart w:id="128" w:name="_Toc342047621"/>
      <w:r>
        <w:t>Summary of safety variables</w:t>
      </w:r>
      <w:bookmarkEnd w:id="128"/>
    </w:p>
    <w:p w:rsidR="00842DA6" w:rsidRPr="00441AA4" w:rsidRDefault="00842DA6" w:rsidP="00931B7E">
      <w:r w:rsidRPr="00441AA4">
        <w:t>Overall</w:t>
      </w:r>
      <w:r w:rsidR="00441AA4">
        <w:t>,</w:t>
      </w:r>
      <w:r w:rsidRPr="00441AA4">
        <w:t xml:space="preserve"> there were no study deaths or tolerability failures and one serious adverse event during the trial period. 10 (62.5%) subjects experienced at least one adverse event during the study. The most frequently reported adverse events were: pharyngitis (n=4, 25%), rash (n=3, 18.8%), conjunctivitis (n=2, 12.5%), interstitial pneumonia (n=2, 12.5%), accidental injury (n=2, 12.5%), pain (n=2, 12.5%) and hypertension (n=2, 12.5).</w:t>
      </w:r>
    </w:p>
    <w:p w:rsidR="00842DA6" w:rsidRPr="00441AA4" w:rsidRDefault="00842DA6" w:rsidP="00931B7E">
      <w:r w:rsidRPr="00441AA4">
        <w:t xml:space="preserve">Two subjects had an adverse event assessed by the Investigator as possibly or probably drug related. The drug-related adverse events were </w:t>
      </w:r>
      <w:proofErr w:type="spellStart"/>
      <w:r w:rsidRPr="00441AA4">
        <w:t>leukopaenia</w:t>
      </w:r>
      <w:proofErr w:type="spellEnd"/>
      <w:r w:rsidRPr="00441AA4">
        <w:t xml:space="preserve"> (n=1) and rash (n=1).</w:t>
      </w:r>
    </w:p>
    <w:p w:rsidR="00842DA6" w:rsidRDefault="00842DA6" w:rsidP="00931B7E">
      <w:pPr>
        <w:pStyle w:val="Heading5"/>
      </w:pPr>
      <w:bookmarkStart w:id="129" w:name="_Toc342047622"/>
      <w:r>
        <w:t>Results for the primary safety outcome (tolerability failure)</w:t>
      </w:r>
      <w:bookmarkEnd w:id="129"/>
    </w:p>
    <w:p w:rsidR="00842DA6" w:rsidRPr="00B239DE" w:rsidRDefault="00842DA6" w:rsidP="00931B7E">
      <w:r w:rsidRPr="00B239DE">
        <w:t>No subjects discontinued the study for adverse events</w:t>
      </w:r>
    </w:p>
    <w:p w:rsidR="00842DA6" w:rsidRPr="009969B8" w:rsidRDefault="00842DA6" w:rsidP="00931B7E">
      <w:pPr>
        <w:pStyle w:val="Heading5"/>
      </w:pPr>
      <w:bookmarkStart w:id="130" w:name="_Toc342047623"/>
      <w:r>
        <w:t>Results of other safety outcomes</w:t>
      </w:r>
      <w:bookmarkEnd w:id="130"/>
    </w:p>
    <w:p w:rsidR="00842DA6" w:rsidRPr="00B239DE" w:rsidRDefault="00842DA6" w:rsidP="00931B7E">
      <w:r w:rsidRPr="00B239DE">
        <w:t>No subjects died during the stu</w:t>
      </w:r>
      <w:r w:rsidR="00AA610A">
        <w:t>dy. Overall, one (6.3%) subject</w:t>
      </w:r>
      <w:r w:rsidRPr="00B239DE">
        <w:t xml:space="preserve"> (</w:t>
      </w:r>
      <w:r w:rsidR="00AA610A">
        <w:t>a [information redacted]</w:t>
      </w:r>
      <w:r w:rsidRPr="00B239DE">
        <w:t xml:space="preserve"> AR</w:t>
      </w:r>
      <w:r w:rsidR="00840283">
        <w:t>T naive subjects) experienced a</w:t>
      </w:r>
      <w:r w:rsidRPr="00B239DE">
        <w:t xml:space="preserve"> SAE through Week 48. The subjects experienced an episode of mumps/</w:t>
      </w:r>
      <w:proofErr w:type="spellStart"/>
      <w:r w:rsidRPr="00B239DE">
        <w:t>orchitis</w:t>
      </w:r>
      <w:proofErr w:type="spellEnd"/>
      <w:r w:rsidRPr="00B239DE">
        <w:t xml:space="preserve"> that was assessed as not related to study drug by the Investigator.</w:t>
      </w:r>
    </w:p>
    <w:p w:rsidR="00842DA6" w:rsidRDefault="00842DA6" w:rsidP="00931B7E">
      <w:pPr>
        <w:pStyle w:val="Heading3"/>
      </w:pPr>
      <w:bookmarkStart w:id="131" w:name="_Toc241374318"/>
      <w:bookmarkStart w:id="132" w:name="_Ref271196630"/>
      <w:bookmarkStart w:id="133" w:name="_Toc272414662"/>
      <w:bookmarkStart w:id="134" w:name="_Toc290846300"/>
      <w:bookmarkStart w:id="135" w:name="_Toc342047624"/>
      <w:bookmarkStart w:id="136" w:name="_Toc391987981"/>
      <w:r w:rsidRPr="00931B7E">
        <w:t>Patient</w:t>
      </w:r>
      <w:r>
        <w:t xml:space="preserve"> exposure</w:t>
      </w:r>
      <w:bookmarkEnd w:id="131"/>
      <w:bookmarkEnd w:id="132"/>
      <w:bookmarkEnd w:id="133"/>
      <w:bookmarkEnd w:id="134"/>
      <w:bookmarkEnd w:id="135"/>
      <w:bookmarkEnd w:id="136"/>
    </w:p>
    <w:p w:rsidR="00842DA6" w:rsidRPr="004B27A0" w:rsidRDefault="00842DA6" w:rsidP="00931B7E">
      <w:r w:rsidRPr="004B27A0">
        <w:t xml:space="preserve">Patient exposure was identical for all three studies; subjects received </w:t>
      </w:r>
      <w:proofErr w:type="spellStart"/>
      <w:r w:rsidRPr="004B27A0">
        <w:t>emtricitabine</w:t>
      </w:r>
      <w:proofErr w:type="spellEnd"/>
      <w:r w:rsidRPr="004B27A0">
        <w:t xml:space="preserve"> in combination with other retroviral medications daily for 48 weeks for the treatment of HIV-1 infection.</w:t>
      </w:r>
    </w:p>
    <w:p w:rsidR="00842DA6" w:rsidRDefault="00842DA6" w:rsidP="00931B7E">
      <w:pPr>
        <w:pStyle w:val="Heading3"/>
      </w:pPr>
      <w:bookmarkStart w:id="137" w:name="_Toc241374319"/>
      <w:bookmarkStart w:id="138" w:name="_Ref271044764"/>
      <w:bookmarkStart w:id="139" w:name="_Toc272414663"/>
      <w:bookmarkStart w:id="140" w:name="_Toc290846301"/>
      <w:bookmarkStart w:id="141" w:name="_Toc342047625"/>
      <w:bookmarkStart w:id="142" w:name="_Toc391987982"/>
      <w:r w:rsidRPr="00931B7E">
        <w:lastRenderedPageBreak/>
        <w:t>Adverse</w:t>
      </w:r>
      <w:r>
        <w:t xml:space="preserve"> events</w:t>
      </w:r>
      <w:bookmarkEnd w:id="137"/>
      <w:bookmarkEnd w:id="138"/>
      <w:bookmarkEnd w:id="139"/>
      <w:bookmarkEnd w:id="140"/>
      <w:bookmarkEnd w:id="141"/>
      <w:bookmarkEnd w:id="142"/>
    </w:p>
    <w:p w:rsidR="00842DA6" w:rsidRPr="00C27CB6" w:rsidRDefault="00842DA6" w:rsidP="00931B7E">
      <w:pPr>
        <w:pStyle w:val="Heading4"/>
      </w:pPr>
      <w:bookmarkStart w:id="143" w:name="_Ref272317284"/>
      <w:bookmarkStart w:id="144" w:name="_Ref272333565"/>
      <w:bookmarkStart w:id="145" w:name="_Toc272414664"/>
      <w:bookmarkStart w:id="146" w:name="_Toc290846302"/>
      <w:bookmarkStart w:id="147" w:name="_Toc342047626"/>
      <w:r>
        <w:t xml:space="preserve">All </w:t>
      </w:r>
      <w:r w:rsidRPr="00931B7E">
        <w:t>adverse</w:t>
      </w:r>
      <w:r>
        <w:t xml:space="preserve"> events (irrespective of relationship to study treatment)</w:t>
      </w:r>
      <w:bookmarkEnd w:id="143"/>
      <w:bookmarkEnd w:id="144"/>
      <w:bookmarkEnd w:id="145"/>
      <w:bookmarkEnd w:id="146"/>
      <w:bookmarkEnd w:id="147"/>
    </w:p>
    <w:p w:rsidR="00842DA6" w:rsidRPr="004B27A0" w:rsidRDefault="00842DA6" w:rsidP="00931B7E">
      <w:pPr>
        <w:pStyle w:val="Heading5"/>
      </w:pPr>
      <w:r w:rsidRPr="00931B7E">
        <w:t>FTC</w:t>
      </w:r>
      <w:r w:rsidRPr="004B27A0">
        <w:t>-202</w:t>
      </w:r>
    </w:p>
    <w:p w:rsidR="00842DA6" w:rsidRPr="004B27A0" w:rsidRDefault="00842DA6" w:rsidP="00931B7E">
      <w:r w:rsidRPr="004B27A0">
        <w:t xml:space="preserve">Thirty-three subjects (89.2%) experienced a new diagnosis during the study. The majority were judged to be not related to the study drug. Two cases (erythema </w:t>
      </w:r>
      <w:proofErr w:type="spellStart"/>
      <w:r w:rsidRPr="004B27A0">
        <w:t>multiforme</w:t>
      </w:r>
      <w:proofErr w:type="spellEnd"/>
      <w:r w:rsidRPr="004B27A0">
        <w:t xml:space="preserve"> and mild peripheral neuropathy) were judged as being possibly or probably related to the study drugs.</w:t>
      </w:r>
    </w:p>
    <w:p w:rsidR="00842DA6" w:rsidRPr="004B27A0" w:rsidRDefault="00842DA6" w:rsidP="00931B7E">
      <w:pPr>
        <w:pStyle w:val="Heading5"/>
      </w:pPr>
      <w:r w:rsidRPr="00931B7E">
        <w:t>FTC</w:t>
      </w:r>
      <w:r w:rsidRPr="004B27A0">
        <w:t>-203</w:t>
      </w:r>
    </w:p>
    <w:p w:rsidR="00842DA6" w:rsidRDefault="00842DA6" w:rsidP="00931B7E">
      <w:r w:rsidRPr="004B27A0">
        <w:t>The most frequent (≥ 10% incidence in either ART stratum) adverse events by body system a</w:t>
      </w:r>
      <w:r w:rsidR="004B27A0">
        <w:t>nd ART stratum are listed in Table 11.</w:t>
      </w:r>
    </w:p>
    <w:p w:rsidR="004B27A0" w:rsidRDefault="004B27A0" w:rsidP="00931B7E">
      <w:pPr>
        <w:pStyle w:val="TableTitle"/>
      </w:pPr>
      <w:proofErr w:type="gramStart"/>
      <w:r>
        <w:lastRenderedPageBreak/>
        <w:t>Table 1</w:t>
      </w:r>
      <w:r w:rsidR="00255245">
        <w:t>1</w:t>
      </w:r>
      <w:r>
        <w:t>:</w:t>
      </w:r>
      <w:r w:rsidRPr="004C5C28">
        <w:t xml:space="preserve"> </w:t>
      </w:r>
      <w:r w:rsidR="00255245" w:rsidRPr="00255245">
        <w:t xml:space="preserve">Frequent </w:t>
      </w:r>
      <w:r w:rsidR="00931B7E">
        <w:t>a</w:t>
      </w:r>
      <w:r w:rsidR="00255245" w:rsidRPr="00255245">
        <w:t xml:space="preserve">dverse </w:t>
      </w:r>
      <w:r w:rsidR="00931B7E">
        <w:t>e</w:t>
      </w:r>
      <w:r w:rsidR="00255245" w:rsidRPr="00255245">
        <w:t xml:space="preserve">vents by </w:t>
      </w:r>
      <w:r w:rsidR="00931B7E">
        <w:t>b</w:t>
      </w:r>
      <w:r w:rsidR="00255245" w:rsidRPr="00255245">
        <w:t xml:space="preserve">ody </w:t>
      </w:r>
      <w:r w:rsidR="00931B7E">
        <w:t>s</w:t>
      </w:r>
      <w:r w:rsidR="00255245" w:rsidRPr="00255245">
        <w:t>ystem</w:t>
      </w:r>
      <w:r>
        <w:t>.</w:t>
      </w:r>
      <w:proofErr w:type="gramEnd"/>
    </w:p>
    <w:p w:rsidR="004B27A0" w:rsidRPr="004B27A0" w:rsidRDefault="00366D1C" w:rsidP="00931B7E">
      <w:r>
        <w:rPr>
          <w:noProof/>
          <w:lang w:eastAsia="en-AU"/>
        </w:rPr>
        <w:drawing>
          <wp:inline distT="0" distB="0" distL="0" distR="0">
            <wp:extent cx="4976495" cy="6964045"/>
            <wp:effectExtent l="0" t="0" r="0" b="8255"/>
            <wp:docPr id="15" name="Picture 15" descr="Table 11: Frequent Adverse Events by Bod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11: Frequent Adverse Events by Body Syst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6495" cy="6964045"/>
                    </a:xfrm>
                    <a:prstGeom prst="rect">
                      <a:avLst/>
                    </a:prstGeom>
                    <a:noFill/>
                    <a:ln>
                      <a:noFill/>
                    </a:ln>
                  </pic:spPr>
                </pic:pic>
              </a:graphicData>
            </a:graphic>
          </wp:inline>
        </w:drawing>
      </w:r>
    </w:p>
    <w:p w:rsidR="00842DA6" w:rsidRPr="00AD09C2" w:rsidRDefault="00842DA6" w:rsidP="00931B7E">
      <w:r w:rsidRPr="00AD09C2">
        <w:t xml:space="preserve">Nearly all (97.0%) subjects experienced at least one adverse event through the data cut-off, including in all 71 (100%) ART-naive subjects and 42/45 (93.3%) </w:t>
      </w:r>
      <w:proofErr w:type="gramStart"/>
      <w:r w:rsidRPr="00AD09C2">
        <w:t>ART-experienced subjects.</w:t>
      </w:r>
      <w:proofErr w:type="gramEnd"/>
      <w:r w:rsidRPr="00AD09C2">
        <w:t xml:space="preserve"> Overall, the most frequent adverse events reported were infection (68.1%), cough increased (42.2%), skin discoloration (38.8%), rhinitis (32.8%), vomiting (32.8%) and otitis media (31.9%).</w:t>
      </w:r>
    </w:p>
    <w:p w:rsidR="00842DA6" w:rsidRDefault="00842DA6" w:rsidP="00AD09C2">
      <w:pPr>
        <w:pStyle w:val="Heading5"/>
      </w:pPr>
      <w:bookmarkStart w:id="148" w:name="_Toc342047627"/>
      <w:r>
        <w:t>FTC-211</w:t>
      </w:r>
      <w:bookmarkEnd w:id="148"/>
    </w:p>
    <w:p w:rsidR="00842DA6" w:rsidRPr="00AD09C2" w:rsidRDefault="006A56FC" w:rsidP="00AD09C2">
      <w:r w:rsidRPr="00AD09C2">
        <w:t xml:space="preserve">A total of </w:t>
      </w:r>
      <w:r w:rsidR="00842DA6" w:rsidRPr="00AD09C2">
        <w:t xml:space="preserve">10 (62.5%) subjects experienced at least one adverse event during the study. The most frequently reported adverse events were: pharyngitis (n=4, 25%), rash (n=3, 18.8%), </w:t>
      </w:r>
      <w:r w:rsidR="00842DA6" w:rsidRPr="00AD09C2">
        <w:lastRenderedPageBreak/>
        <w:t>conjunctivitis (n=2, 12.5%), interstitial pneumonia (n=2, 12.5%), accidental injury (n=2, 12.5%), pain (n=2, 12.5%) and hypertension (n=2, 12.5).</w:t>
      </w:r>
    </w:p>
    <w:p w:rsidR="00842DA6" w:rsidRPr="00D12012" w:rsidRDefault="00842DA6" w:rsidP="00AD09C2">
      <w:pPr>
        <w:pStyle w:val="Heading4"/>
      </w:pPr>
      <w:bookmarkStart w:id="149" w:name="_Ref272333567"/>
      <w:bookmarkStart w:id="150" w:name="_Toc272414665"/>
      <w:bookmarkStart w:id="151" w:name="_Toc290846303"/>
      <w:bookmarkStart w:id="152" w:name="_Toc342047628"/>
      <w:r>
        <w:t>Treatment-related adverse events (adverse drug reactions)</w:t>
      </w:r>
      <w:bookmarkEnd w:id="149"/>
      <w:bookmarkEnd w:id="150"/>
      <w:bookmarkEnd w:id="151"/>
      <w:bookmarkEnd w:id="152"/>
    </w:p>
    <w:p w:rsidR="00842DA6" w:rsidRPr="00AD09C2" w:rsidRDefault="00842DA6" w:rsidP="00AD09C2">
      <w:pPr>
        <w:pStyle w:val="Heading5"/>
      </w:pPr>
      <w:r w:rsidRPr="00AD09C2">
        <w:t>FTC-202</w:t>
      </w:r>
    </w:p>
    <w:p w:rsidR="00842DA6" w:rsidRDefault="00842DA6" w:rsidP="00AD09C2">
      <w:r w:rsidRPr="00AD09C2">
        <w:t>Of the 37 subjects enrolled in Age Groups 2 and 3, give (14%, 95%CI 3-25%) experienced one or more Grade 3 or 4 laboratory abnormality, sign or symptoms that was judged by the study team to be possibly or probably</w:t>
      </w:r>
      <w:r w:rsidR="008E3B22">
        <w:t xml:space="preserve"> related to the study treatment (Table 12).</w:t>
      </w:r>
    </w:p>
    <w:p w:rsidR="001865D6" w:rsidRDefault="001865D6" w:rsidP="00931B7E">
      <w:pPr>
        <w:pStyle w:val="TableTitle"/>
      </w:pPr>
      <w:proofErr w:type="gramStart"/>
      <w:r>
        <w:t>Table 12:</w:t>
      </w:r>
      <w:r w:rsidRPr="004C5C28">
        <w:t xml:space="preserve"> </w:t>
      </w:r>
      <w:r w:rsidRPr="001865D6">
        <w:t>Treatment-related adverse events (FTC-202)</w:t>
      </w:r>
      <w:r>
        <w:t>.</w:t>
      </w:r>
      <w:proofErr w:type="gramEnd"/>
    </w:p>
    <w:p w:rsidR="001865D6" w:rsidRPr="00AD09C2" w:rsidRDefault="00366D1C" w:rsidP="00AD09C2">
      <w:r>
        <w:rPr>
          <w:noProof/>
          <w:lang w:eastAsia="en-AU"/>
        </w:rPr>
        <w:drawing>
          <wp:inline distT="0" distB="0" distL="0" distR="0">
            <wp:extent cx="4479290" cy="1828800"/>
            <wp:effectExtent l="0" t="0" r="0" b="0"/>
            <wp:docPr id="16" name="Picture 16" descr="Table 12: Treatment-related adverse events (FTC-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12: Treatment-related adverse events (FTC-2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9290" cy="1828800"/>
                    </a:xfrm>
                    <a:prstGeom prst="rect">
                      <a:avLst/>
                    </a:prstGeom>
                    <a:noFill/>
                    <a:ln>
                      <a:noFill/>
                    </a:ln>
                  </pic:spPr>
                </pic:pic>
              </a:graphicData>
            </a:graphic>
          </wp:inline>
        </w:drawing>
      </w:r>
    </w:p>
    <w:p w:rsidR="00842DA6" w:rsidRPr="005F5739" w:rsidRDefault="00842DA6" w:rsidP="005F5739">
      <w:pPr>
        <w:pStyle w:val="Heading5"/>
      </w:pPr>
      <w:r w:rsidRPr="005F5739">
        <w:t>FTC-203</w:t>
      </w:r>
    </w:p>
    <w:p w:rsidR="00842DA6" w:rsidRPr="005F5739" w:rsidRDefault="00842DA6" w:rsidP="005F5739">
      <w:r w:rsidRPr="005F5739">
        <w:t xml:space="preserve">Overall, 58 (50.0%) subjects had at least one adverse events assessed by the Investigator as possibly or probably drug related; the incidence of drug-related adverse events was about three-fold higher in the ART-naive subjects (67.6%), as compared to ART-experienced subjects (22.2%). In ART-naive subjects, drug-related adverse events occurring at ≥5% frequency were skin discolouration (53.5%) and vomiting (18.3%). In ART-experienced subjects, drug-related adverse events occurring ≥5% frequency was </w:t>
      </w:r>
      <w:proofErr w:type="spellStart"/>
      <w:r w:rsidRPr="005F5739">
        <w:t>leukopaenia</w:t>
      </w:r>
      <w:proofErr w:type="spellEnd"/>
      <w:r w:rsidRPr="005F5739">
        <w:t>, which was reported in 3 (6.7%) subjects.</w:t>
      </w:r>
    </w:p>
    <w:p w:rsidR="00842DA6" w:rsidRDefault="00F43E78" w:rsidP="005F5739">
      <w:r>
        <w:t>Table 13</w:t>
      </w:r>
      <w:r w:rsidR="00842DA6" w:rsidRPr="005F5739">
        <w:t xml:space="preserve"> summarises the most frequent (≥5%) possibly or probably drug-related adverse events by body system and ART stratum.</w:t>
      </w:r>
    </w:p>
    <w:p w:rsidR="00C3150A" w:rsidRDefault="00C3150A" w:rsidP="00A52614">
      <w:pPr>
        <w:pStyle w:val="TableTitle"/>
      </w:pPr>
      <w:proofErr w:type="gramStart"/>
      <w:r>
        <w:t>Table 13:</w:t>
      </w:r>
      <w:r w:rsidRPr="004C5C28">
        <w:t xml:space="preserve"> </w:t>
      </w:r>
      <w:r w:rsidRPr="00C3150A">
        <w:t xml:space="preserve">Possibly or </w:t>
      </w:r>
      <w:r w:rsidR="00931B7E">
        <w:t>p</w:t>
      </w:r>
      <w:r w:rsidRPr="00C3150A">
        <w:t xml:space="preserve">robably </w:t>
      </w:r>
      <w:r w:rsidR="00931B7E">
        <w:t>d</w:t>
      </w:r>
      <w:r w:rsidRPr="00C3150A">
        <w:t>rug-</w:t>
      </w:r>
      <w:r w:rsidR="00931B7E">
        <w:t>r</w:t>
      </w:r>
      <w:r w:rsidRPr="00C3150A">
        <w:t xml:space="preserve">elated </w:t>
      </w:r>
      <w:r w:rsidR="00525856">
        <w:t>a</w:t>
      </w:r>
      <w:r w:rsidRPr="00C3150A">
        <w:t xml:space="preserve">dverse </w:t>
      </w:r>
      <w:r w:rsidR="00525856">
        <w:t>e</w:t>
      </w:r>
      <w:r w:rsidRPr="00C3150A">
        <w:t xml:space="preserve">vents by ART </w:t>
      </w:r>
      <w:r w:rsidR="00525856">
        <w:t>s</w:t>
      </w:r>
      <w:r w:rsidRPr="00C3150A">
        <w:t>tratum</w:t>
      </w:r>
      <w:r>
        <w:t>.</w:t>
      </w:r>
      <w:proofErr w:type="gramEnd"/>
    </w:p>
    <w:p w:rsidR="00C3150A" w:rsidRPr="005F5739" w:rsidRDefault="00366D1C" w:rsidP="00525856">
      <w:r>
        <w:rPr>
          <w:noProof/>
          <w:lang w:eastAsia="en-AU"/>
        </w:rPr>
        <w:drawing>
          <wp:inline distT="0" distB="0" distL="0" distR="0">
            <wp:extent cx="4525645" cy="2816225"/>
            <wp:effectExtent l="0" t="0" r="8255" b="3175"/>
            <wp:docPr id="17" name="Picture 17" descr="Table 13: Possibly or Probably Drug-Related Adverse Events by ART Str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3: Possibly or Probably Drug-Related Adverse Events by ART Stratu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5645" cy="2816225"/>
                    </a:xfrm>
                    <a:prstGeom prst="rect">
                      <a:avLst/>
                    </a:prstGeom>
                    <a:noFill/>
                    <a:ln>
                      <a:noFill/>
                    </a:ln>
                  </pic:spPr>
                </pic:pic>
              </a:graphicData>
            </a:graphic>
          </wp:inline>
        </w:drawing>
      </w:r>
    </w:p>
    <w:p w:rsidR="00842DA6" w:rsidRDefault="00842DA6" w:rsidP="00ED3FE3">
      <w:pPr>
        <w:pStyle w:val="Heading5"/>
      </w:pPr>
      <w:bookmarkStart w:id="153" w:name="_Toc342047629"/>
      <w:r>
        <w:lastRenderedPageBreak/>
        <w:t>FTC-211</w:t>
      </w:r>
      <w:bookmarkEnd w:id="153"/>
    </w:p>
    <w:p w:rsidR="00842DA6" w:rsidRPr="00ED3FE3" w:rsidRDefault="00842DA6" w:rsidP="00ED3FE3">
      <w:r w:rsidRPr="00ED3FE3">
        <w:t xml:space="preserve">Two subjects had an adverse event assessed by the Investigator as possibly or probably drug related. The drug-related adverse events were </w:t>
      </w:r>
      <w:proofErr w:type="spellStart"/>
      <w:r w:rsidRPr="00ED3FE3">
        <w:t>leukopaenia</w:t>
      </w:r>
      <w:proofErr w:type="spellEnd"/>
      <w:r w:rsidRPr="00ED3FE3">
        <w:t xml:space="preserve"> (n=1) and rash (n=1). Both events were respectively Grade 3 and Grade 2 and both events resolved during the study drug treatment period.</w:t>
      </w:r>
    </w:p>
    <w:p w:rsidR="00842DA6" w:rsidRPr="00213E77" w:rsidRDefault="00842DA6" w:rsidP="00ED3FE3">
      <w:pPr>
        <w:pStyle w:val="Heading4"/>
      </w:pPr>
      <w:bookmarkStart w:id="154" w:name="_Toc241374320"/>
      <w:bookmarkStart w:id="155" w:name="_Ref272333507"/>
      <w:bookmarkStart w:id="156" w:name="_Toc272414666"/>
      <w:bookmarkStart w:id="157" w:name="_Toc290846304"/>
      <w:bookmarkStart w:id="158" w:name="_Toc342047630"/>
      <w:r>
        <w:t>Deaths and other serious adverse events</w:t>
      </w:r>
      <w:bookmarkEnd w:id="154"/>
      <w:bookmarkEnd w:id="155"/>
      <w:bookmarkEnd w:id="156"/>
      <w:bookmarkEnd w:id="157"/>
      <w:bookmarkEnd w:id="158"/>
    </w:p>
    <w:p w:rsidR="00842DA6" w:rsidRPr="00ED3FE3" w:rsidRDefault="00842DA6" w:rsidP="00ED3FE3">
      <w:pPr>
        <w:pStyle w:val="Heading5"/>
      </w:pPr>
      <w:r w:rsidRPr="00ED3FE3">
        <w:t>FTC-202</w:t>
      </w:r>
    </w:p>
    <w:p w:rsidR="00842DA6" w:rsidRPr="00ED3FE3" w:rsidRDefault="00842DA6" w:rsidP="00ED3FE3">
      <w:r w:rsidRPr="00ED3FE3">
        <w:t>There were no deaths during the study period.</w:t>
      </w:r>
    </w:p>
    <w:p w:rsidR="00842DA6" w:rsidRPr="00ED3FE3" w:rsidRDefault="00842DA6" w:rsidP="00ED3FE3">
      <w:pPr>
        <w:pStyle w:val="Heading5"/>
      </w:pPr>
      <w:r w:rsidRPr="00ED3FE3">
        <w:t>FTC-203</w:t>
      </w:r>
    </w:p>
    <w:p w:rsidR="00842DA6" w:rsidRPr="00037A3E" w:rsidRDefault="00842DA6" w:rsidP="00ED3FE3">
      <w:pPr>
        <w:pStyle w:val="Heading6"/>
      </w:pPr>
      <w:r>
        <w:t>Deaths</w:t>
      </w:r>
    </w:p>
    <w:p w:rsidR="00842DA6" w:rsidRPr="00ED3FE3" w:rsidRDefault="00842DA6" w:rsidP="00525856">
      <w:r w:rsidRPr="00ED3FE3">
        <w:t xml:space="preserve">One subject died during the study; </w:t>
      </w:r>
      <w:r w:rsidR="0032124E" w:rsidRPr="00ED3FE3">
        <w:t xml:space="preserve">subject # [information redacted] </w:t>
      </w:r>
      <w:r w:rsidRPr="00ED3FE3">
        <w:t xml:space="preserve">was a </w:t>
      </w:r>
      <w:r w:rsidR="00D70D56">
        <w:t>[information redacted]</w:t>
      </w:r>
      <w:r w:rsidRPr="00ED3FE3">
        <w:t xml:space="preserve"> who was enrolled in the naive stratum and died approximately 1 year after study enrolment after initiating treatment with </w:t>
      </w:r>
      <w:proofErr w:type="spellStart"/>
      <w:r w:rsidRPr="00ED3FE3">
        <w:t>emtricitabine</w:t>
      </w:r>
      <w:proofErr w:type="spellEnd"/>
      <w:r w:rsidRPr="00ED3FE3">
        <w:t xml:space="preserve">, </w:t>
      </w:r>
      <w:proofErr w:type="spellStart"/>
      <w:r w:rsidRPr="00ED3FE3">
        <w:t>lopinavir</w:t>
      </w:r>
      <w:proofErr w:type="spellEnd"/>
      <w:r w:rsidRPr="00ED3FE3">
        <w:t xml:space="preserve">/ritonavir and </w:t>
      </w:r>
      <w:proofErr w:type="spellStart"/>
      <w:r w:rsidRPr="00ED3FE3">
        <w:t>stavudine</w:t>
      </w:r>
      <w:proofErr w:type="spellEnd"/>
      <w:r w:rsidRPr="00ED3FE3">
        <w:t>. Sho</w:t>
      </w:r>
      <w:r w:rsidR="00237A44">
        <w:t>rtly prior to death the subject</w:t>
      </w:r>
      <w:r w:rsidRPr="00ED3FE3">
        <w:t xml:space="preserve"> was diagnosed with acute myeloid </w:t>
      </w:r>
      <w:proofErr w:type="spellStart"/>
      <w:r w:rsidRPr="00ED3FE3">
        <w:t>leukemia</w:t>
      </w:r>
      <w:proofErr w:type="spellEnd"/>
      <w:r w:rsidRPr="00ED3FE3">
        <w:t>, which the Investigatory had assessed as remotely related to her study medications</w:t>
      </w:r>
      <w:r w:rsidR="00237A44">
        <w:t>. The subject</w:t>
      </w:r>
      <w:r w:rsidRPr="00ED3FE3">
        <w:t xml:space="preserve"> died prior to the commencement of chemotherapy.</w:t>
      </w:r>
    </w:p>
    <w:p w:rsidR="00842DA6" w:rsidRDefault="00842DA6" w:rsidP="00525856">
      <w:pPr>
        <w:pStyle w:val="Heading6"/>
      </w:pPr>
      <w:r w:rsidRPr="00525856">
        <w:t>Severe</w:t>
      </w:r>
      <w:r>
        <w:t xml:space="preserve"> </w:t>
      </w:r>
      <w:r w:rsidR="00525856">
        <w:t>a</w:t>
      </w:r>
      <w:r>
        <w:t xml:space="preserve">dverse </w:t>
      </w:r>
      <w:r w:rsidR="00525856">
        <w:t>e</w:t>
      </w:r>
      <w:r>
        <w:t>vents</w:t>
      </w:r>
    </w:p>
    <w:p w:rsidR="00842DA6" w:rsidRPr="00E7288C" w:rsidRDefault="00842DA6" w:rsidP="00525856">
      <w:r w:rsidRPr="00E7288C">
        <w:t>Overall, 24 (20.7%) subjects had experienced at least one S</w:t>
      </w:r>
      <w:r w:rsidR="008C131E">
        <w:t xml:space="preserve">AE through the data cut-off for </w:t>
      </w:r>
      <w:r w:rsidRPr="00E7288C">
        <w:t>this report (4 May 2004), including 19 (26.8%) A</w:t>
      </w:r>
      <w:r w:rsidR="008C131E">
        <w:t xml:space="preserve">RT-naïve subjects and 5 (11.1%) </w:t>
      </w:r>
      <w:proofErr w:type="gramStart"/>
      <w:r w:rsidRPr="00E7288C">
        <w:t>ART-experienced subjects.</w:t>
      </w:r>
      <w:proofErr w:type="gramEnd"/>
    </w:p>
    <w:p w:rsidR="00842DA6" w:rsidRPr="00E7288C" w:rsidRDefault="00842DA6" w:rsidP="00525856">
      <w:r w:rsidRPr="00E7288C">
        <w:t>The only specific SAEs that occurred in more than 1 subject were pneumonia, which occurred in 7 (6.0%) subjects, hepatitis A, which occurred in 4 (3.4%) subjects, accidental injury and pharyngitis, each of which occurred in 3 (2.6%) subjects, and pancreatitis, which</w:t>
      </w:r>
      <w:r w:rsidR="00525856">
        <w:t xml:space="preserve"> occurred in 2 (1.7%) subjects.</w:t>
      </w:r>
    </w:p>
    <w:p w:rsidR="00842DA6" w:rsidRDefault="00842DA6" w:rsidP="00525856">
      <w:r w:rsidRPr="00E7288C">
        <w:t>Three (2.6%) subjects, 2 ART-naïve and 1 ART-experienced, had an SAE that was assessed by the reporting Investigator as possibly or probably related to study drug</w:t>
      </w:r>
      <w:r>
        <w:t>:</w:t>
      </w:r>
    </w:p>
    <w:p w:rsidR="00842DA6" w:rsidRPr="00E7288C" w:rsidRDefault="00EB5E93" w:rsidP="00525856">
      <w:pPr>
        <w:pStyle w:val="ListBullet"/>
      </w:pPr>
      <w:r>
        <w:t>Subject # [</w:t>
      </w:r>
      <w:r w:rsidRPr="00525856">
        <w:t>information</w:t>
      </w:r>
      <w:r>
        <w:t xml:space="preserve"> redacted]</w:t>
      </w:r>
      <w:r w:rsidR="00842DA6" w:rsidRPr="00E7288C">
        <w:t xml:space="preserve">, an ART-experienced, </w:t>
      </w:r>
      <w:r w:rsidR="00395DE5">
        <w:t xml:space="preserve">[information redacted] </w:t>
      </w:r>
      <w:r w:rsidR="00842DA6" w:rsidRPr="00E7288C">
        <w:t xml:space="preserve">receiving </w:t>
      </w:r>
      <w:proofErr w:type="spellStart"/>
      <w:r w:rsidR="00842DA6" w:rsidRPr="00E7288C">
        <w:t>emtricitabine</w:t>
      </w:r>
      <w:proofErr w:type="spellEnd"/>
      <w:r w:rsidR="00842DA6" w:rsidRPr="00E7288C">
        <w:t xml:space="preserve"> oral</w:t>
      </w:r>
      <w:r w:rsidR="00842DA6">
        <w:t xml:space="preserve"> </w:t>
      </w:r>
      <w:r w:rsidR="00842DA6" w:rsidRPr="00E7288C">
        <w:t xml:space="preserve">solution, had an anaemia (Grade 3 low haemoglobin) that the Investigator assessed as probably related to the use of </w:t>
      </w:r>
      <w:proofErr w:type="spellStart"/>
      <w:r w:rsidR="00842DA6" w:rsidRPr="00E7288C">
        <w:t>emtricitabine</w:t>
      </w:r>
      <w:proofErr w:type="spellEnd"/>
      <w:r w:rsidR="00842DA6" w:rsidRPr="00E7288C">
        <w:t xml:space="preserve"> and unrelated to the use of either of her background antiretroviral medications, </w:t>
      </w:r>
      <w:proofErr w:type="spellStart"/>
      <w:r w:rsidR="00842DA6" w:rsidRPr="00E7288C">
        <w:t>nelfinavir</w:t>
      </w:r>
      <w:proofErr w:type="spellEnd"/>
      <w:r w:rsidR="00842DA6" w:rsidRPr="00E7288C">
        <w:t xml:space="preserve"> and </w:t>
      </w:r>
      <w:proofErr w:type="spellStart"/>
      <w:r w:rsidR="00842DA6" w:rsidRPr="00E7288C">
        <w:t>zidovudine</w:t>
      </w:r>
      <w:proofErr w:type="spellEnd"/>
      <w:r w:rsidR="00842DA6" w:rsidRPr="00E7288C">
        <w:t>.</w:t>
      </w:r>
    </w:p>
    <w:p w:rsidR="00842DA6" w:rsidRPr="00E7288C" w:rsidRDefault="00EB5E93" w:rsidP="00525856">
      <w:pPr>
        <w:pStyle w:val="ListBullet"/>
      </w:pPr>
      <w:r>
        <w:t>Subject # [</w:t>
      </w:r>
      <w:r w:rsidRPr="00525856">
        <w:t>information</w:t>
      </w:r>
      <w:r>
        <w:t xml:space="preserve"> redacted], </w:t>
      </w:r>
      <w:r w:rsidR="00842DA6" w:rsidRPr="00E7288C">
        <w:t xml:space="preserve">an ART-naïve, </w:t>
      </w:r>
      <w:r w:rsidR="00C41682">
        <w:t>[information redacted]</w:t>
      </w:r>
      <w:r w:rsidR="00D81CE4">
        <w:t xml:space="preserve"> </w:t>
      </w:r>
      <w:r w:rsidR="00842DA6" w:rsidRPr="00E7288C">
        <w:t xml:space="preserve">receiving </w:t>
      </w:r>
      <w:proofErr w:type="spellStart"/>
      <w:r w:rsidR="00842DA6" w:rsidRPr="00E7288C">
        <w:t>emtricitabine</w:t>
      </w:r>
      <w:proofErr w:type="spellEnd"/>
      <w:r w:rsidR="00842DA6" w:rsidRPr="00E7288C">
        <w:t xml:space="preserve"> capsules,</w:t>
      </w:r>
      <w:r w:rsidR="00842DA6">
        <w:t xml:space="preserve"> </w:t>
      </w:r>
      <w:r w:rsidR="00842DA6" w:rsidRPr="00E7288C">
        <w:t xml:space="preserve">experienced pancreatitis that the reporting Investigator assessed as possibly related to the use of </w:t>
      </w:r>
      <w:proofErr w:type="spellStart"/>
      <w:r w:rsidR="00842DA6" w:rsidRPr="00E7288C">
        <w:t>emtricitabine</w:t>
      </w:r>
      <w:proofErr w:type="spellEnd"/>
      <w:r w:rsidR="00842DA6" w:rsidRPr="00E7288C">
        <w:t xml:space="preserve"> and </w:t>
      </w:r>
      <w:proofErr w:type="spellStart"/>
      <w:r w:rsidR="00842DA6" w:rsidRPr="00E7288C">
        <w:t>stavudine</w:t>
      </w:r>
      <w:proofErr w:type="spellEnd"/>
      <w:r w:rsidR="00842DA6" w:rsidRPr="00E7288C">
        <w:t xml:space="preserve"> and remotely related to the use of </w:t>
      </w:r>
      <w:proofErr w:type="spellStart"/>
      <w:r w:rsidR="00842DA6" w:rsidRPr="00E7288C">
        <w:t>lopinavir</w:t>
      </w:r>
      <w:proofErr w:type="spellEnd"/>
      <w:r w:rsidR="00842DA6" w:rsidRPr="00E7288C">
        <w:t>/ritonavir.</w:t>
      </w:r>
    </w:p>
    <w:p w:rsidR="00842DA6" w:rsidRPr="00E7288C" w:rsidRDefault="00842DA6" w:rsidP="00525856">
      <w:pPr>
        <w:pStyle w:val="ListBullet2"/>
      </w:pPr>
      <w:r w:rsidRPr="00E7288C">
        <w:t xml:space="preserve">Both of </w:t>
      </w:r>
      <w:r w:rsidRPr="00525856">
        <w:t>these</w:t>
      </w:r>
      <w:r w:rsidRPr="00E7288C">
        <w:t xml:space="preserve"> events led to the premature discontinuation of the study drug, </w:t>
      </w:r>
      <w:proofErr w:type="spellStart"/>
      <w:r w:rsidRPr="00E7288C">
        <w:t>emtricitabine</w:t>
      </w:r>
      <w:proofErr w:type="spellEnd"/>
      <w:r w:rsidRPr="00E7288C">
        <w:t>,</w:t>
      </w:r>
      <w:r>
        <w:t xml:space="preserve"> </w:t>
      </w:r>
      <w:r w:rsidRPr="00E7288C">
        <w:t xml:space="preserve">and the removal </w:t>
      </w:r>
      <w:r w:rsidR="00525856">
        <w:t>of the subjects from the study.</w:t>
      </w:r>
    </w:p>
    <w:p w:rsidR="00842DA6" w:rsidRPr="00E7288C" w:rsidRDefault="009253F6" w:rsidP="00525856">
      <w:pPr>
        <w:pStyle w:val="ListBullet"/>
      </w:pPr>
      <w:r>
        <w:t xml:space="preserve">Subject # [information redacted], </w:t>
      </w:r>
      <w:r w:rsidR="00842DA6" w:rsidRPr="00E7288C">
        <w:t xml:space="preserve">an ART-naïve, </w:t>
      </w:r>
      <w:r w:rsidR="00E72787">
        <w:t xml:space="preserve">[information </w:t>
      </w:r>
      <w:r w:rsidR="00E72787" w:rsidRPr="00525856">
        <w:t>redacted</w:t>
      </w:r>
      <w:r w:rsidR="00E72787">
        <w:t>]</w:t>
      </w:r>
      <w:r w:rsidR="00842DA6" w:rsidRPr="00E7288C">
        <w:t xml:space="preserve"> receiving </w:t>
      </w:r>
      <w:proofErr w:type="spellStart"/>
      <w:r w:rsidR="00842DA6" w:rsidRPr="00E7288C">
        <w:t>emtricitabine</w:t>
      </w:r>
      <w:proofErr w:type="spellEnd"/>
      <w:r w:rsidR="00842DA6" w:rsidRPr="00E7288C">
        <w:t xml:space="preserve"> oral solution,</w:t>
      </w:r>
      <w:r w:rsidR="00842DA6">
        <w:t xml:space="preserve"> </w:t>
      </w:r>
      <w:r w:rsidR="00842DA6" w:rsidRPr="00E7288C">
        <w:t xml:space="preserve">experienced pancreatitis that the reporting Investigator assessed as possibly related to the use of </w:t>
      </w:r>
      <w:proofErr w:type="spellStart"/>
      <w:r w:rsidR="00842DA6" w:rsidRPr="00E7288C">
        <w:t>emtricitabine</w:t>
      </w:r>
      <w:proofErr w:type="spellEnd"/>
      <w:r w:rsidR="00842DA6" w:rsidRPr="00E7288C">
        <w:t xml:space="preserve">, probably related to the use of </w:t>
      </w:r>
      <w:proofErr w:type="spellStart"/>
      <w:r w:rsidR="00842DA6" w:rsidRPr="00E7288C">
        <w:t>stavudine</w:t>
      </w:r>
      <w:proofErr w:type="spellEnd"/>
      <w:r w:rsidR="00842DA6" w:rsidRPr="00E7288C">
        <w:t xml:space="preserve"> and remotely related to the use of </w:t>
      </w:r>
      <w:proofErr w:type="spellStart"/>
      <w:r w:rsidR="00842DA6" w:rsidRPr="00E7288C">
        <w:t>lopinavir</w:t>
      </w:r>
      <w:proofErr w:type="spellEnd"/>
      <w:r w:rsidR="00842DA6" w:rsidRPr="00E7288C">
        <w:t>/ritonavir. The subject permanently discontinued treatment with the study medications.</w:t>
      </w:r>
    </w:p>
    <w:p w:rsidR="00842DA6" w:rsidRDefault="00842DA6" w:rsidP="00525856">
      <w:pPr>
        <w:pStyle w:val="Heading5"/>
      </w:pPr>
      <w:bookmarkStart w:id="159" w:name="_Toc342047631"/>
      <w:r>
        <w:t>FTC-211</w:t>
      </w:r>
      <w:bookmarkEnd w:id="159"/>
    </w:p>
    <w:p w:rsidR="00842DA6" w:rsidRPr="00ED3FE3" w:rsidRDefault="00842DA6" w:rsidP="00525856">
      <w:r w:rsidRPr="00ED3FE3">
        <w:t>There were no study deaths and one (1) serious adverse event. The subject developed mumps/</w:t>
      </w:r>
      <w:proofErr w:type="spellStart"/>
      <w:r w:rsidRPr="00ED3FE3">
        <w:t>orchitis</w:t>
      </w:r>
      <w:proofErr w:type="spellEnd"/>
      <w:r w:rsidRPr="00ED3FE3">
        <w:t xml:space="preserve"> that was assessed as not being related to the study medication.</w:t>
      </w:r>
    </w:p>
    <w:p w:rsidR="00842DA6" w:rsidRPr="008F73B4" w:rsidRDefault="00842DA6" w:rsidP="00ED3FE3">
      <w:pPr>
        <w:pStyle w:val="Heading4"/>
      </w:pPr>
      <w:bookmarkStart w:id="160" w:name="_Toc241374325"/>
      <w:bookmarkStart w:id="161" w:name="_Ref272333477"/>
      <w:bookmarkStart w:id="162" w:name="_Toc272414667"/>
      <w:bookmarkStart w:id="163" w:name="_Toc290846305"/>
      <w:bookmarkStart w:id="164" w:name="_Toc342047632"/>
      <w:r>
        <w:lastRenderedPageBreak/>
        <w:t>Discontinuation due to adverse events</w:t>
      </w:r>
      <w:bookmarkEnd w:id="160"/>
      <w:bookmarkEnd w:id="161"/>
      <w:bookmarkEnd w:id="162"/>
      <w:bookmarkEnd w:id="163"/>
      <w:bookmarkEnd w:id="164"/>
    </w:p>
    <w:p w:rsidR="00842DA6" w:rsidRPr="00ED3FE3" w:rsidRDefault="00842DA6" w:rsidP="00ED3FE3">
      <w:pPr>
        <w:pStyle w:val="Heading5"/>
      </w:pPr>
      <w:r w:rsidRPr="00ED3FE3">
        <w:t>FTC-202</w:t>
      </w:r>
    </w:p>
    <w:p w:rsidR="00842DA6" w:rsidRPr="00ED3FE3" w:rsidRDefault="00842DA6" w:rsidP="00ED3FE3">
      <w:r w:rsidRPr="00ED3FE3">
        <w:t>Details are not specified in the study report</w:t>
      </w:r>
      <w:r w:rsidR="00525856">
        <w:t>.</w:t>
      </w:r>
    </w:p>
    <w:p w:rsidR="00842DA6" w:rsidRPr="00ED3FE3" w:rsidRDefault="00842DA6" w:rsidP="00ED3FE3">
      <w:pPr>
        <w:pStyle w:val="Heading5"/>
      </w:pPr>
      <w:r w:rsidRPr="00ED3FE3">
        <w:t>FTC-203</w:t>
      </w:r>
    </w:p>
    <w:p w:rsidR="00842DA6" w:rsidRPr="00ED3FE3" w:rsidRDefault="00842DA6" w:rsidP="00525856">
      <w:r w:rsidRPr="00ED3FE3">
        <w:t xml:space="preserve">Two subjects discontinued due to adverse events and there was one death which was assessed as being possibly or probably related to the use of </w:t>
      </w:r>
      <w:proofErr w:type="spellStart"/>
      <w:r w:rsidRPr="00ED3FE3">
        <w:t>emtricitabine</w:t>
      </w:r>
      <w:proofErr w:type="spellEnd"/>
      <w:r w:rsidRPr="00ED3FE3">
        <w:t xml:space="preserve">; 2 cases of pancreatitis and 1 acute myeloid leukaemia resulted in permanent discontinuation of the study drug. Details are available in </w:t>
      </w:r>
      <w:r w:rsidR="00ED3FE3">
        <w:t>an earlier paragraph of the ‘Clinical safety’ section</w:t>
      </w:r>
      <w:r w:rsidRPr="00ED3FE3">
        <w:t>.</w:t>
      </w:r>
    </w:p>
    <w:p w:rsidR="00842DA6" w:rsidRDefault="00842DA6" w:rsidP="00525856">
      <w:pPr>
        <w:pStyle w:val="Heading5"/>
      </w:pPr>
      <w:bookmarkStart w:id="165" w:name="_Toc342047633"/>
      <w:r>
        <w:t>FTC-211</w:t>
      </w:r>
      <w:bookmarkEnd w:id="165"/>
    </w:p>
    <w:p w:rsidR="00842DA6" w:rsidRPr="00312D04" w:rsidRDefault="00842DA6" w:rsidP="00525856">
      <w:r w:rsidRPr="00312D04">
        <w:t>There were no study discontinuations due to adverse events</w:t>
      </w:r>
      <w:r w:rsidR="00312D04">
        <w:t>.</w:t>
      </w:r>
    </w:p>
    <w:p w:rsidR="00842DA6" w:rsidRDefault="00842DA6" w:rsidP="00525856">
      <w:pPr>
        <w:pStyle w:val="Heading3"/>
      </w:pPr>
      <w:bookmarkStart w:id="166" w:name="_Toc241374321"/>
      <w:bookmarkStart w:id="167" w:name="_Ref271044780"/>
      <w:bookmarkStart w:id="168" w:name="_Ref271196640"/>
      <w:bookmarkStart w:id="169" w:name="_Ref272333085"/>
      <w:bookmarkStart w:id="170" w:name="_Toc272414668"/>
      <w:bookmarkStart w:id="171" w:name="_Toc290846306"/>
      <w:bookmarkStart w:id="172" w:name="_Toc342047634"/>
      <w:bookmarkStart w:id="173" w:name="_Toc391987983"/>
      <w:r>
        <w:t>Laboratory tests</w:t>
      </w:r>
      <w:bookmarkEnd w:id="166"/>
      <w:bookmarkEnd w:id="167"/>
      <w:bookmarkEnd w:id="168"/>
      <w:bookmarkEnd w:id="169"/>
      <w:bookmarkEnd w:id="170"/>
      <w:bookmarkEnd w:id="171"/>
      <w:bookmarkEnd w:id="172"/>
      <w:bookmarkEnd w:id="173"/>
    </w:p>
    <w:p w:rsidR="00842DA6" w:rsidRPr="007F1AA9" w:rsidRDefault="00842DA6" w:rsidP="00525856">
      <w:r w:rsidRPr="007F1AA9">
        <w:t xml:space="preserve">Almost all (15/16, 93.8%) subjects </w:t>
      </w:r>
      <w:r w:rsidR="002B7D71">
        <w:t xml:space="preserve">in Study FTC-211 </w:t>
      </w:r>
      <w:r w:rsidRPr="007F1AA9">
        <w:t>had at least one treatment-emergent laboratory abnormality (Grade 1 to 4). Treatment emergent Grade 3 or 4 laboratory abnormalities wer</w:t>
      </w:r>
      <w:r w:rsidR="00FA5E7E" w:rsidRPr="007F1AA9">
        <w:t>e reported in 6 subjects (</w:t>
      </w:r>
      <w:proofErr w:type="spellStart"/>
      <w:r w:rsidR="00FA5E7E" w:rsidRPr="007F1AA9">
        <w:t>neutro</w:t>
      </w:r>
      <w:r w:rsidRPr="007F1AA9">
        <w:t>paenia</w:t>
      </w:r>
      <w:proofErr w:type="spellEnd"/>
      <w:r w:rsidRPr="007F1AA9">
        <w:t xml:space="preserve"> (2</w:t>
      </w:r>
      <w:r w:rsidR="00525856">
        <w:t>), serum amylase increase (4)).</w:t>
      </w:r>
    </w:p>
    <w:p w:rsidR="00842DA6" w:rsidRDefault="00842DA6" w:rsidP="00525856">
      <w:pPr>
        <w:pStyle w:val="Heading4"/>
      </w:pPr>
      <w:bookmarkStart w:id="174" w:name="_Toc272414669"/>
      <w:bookmarkStart w:id="175" w:name="_Toc290846307"/>
      <w:bookmarkStart w:id="176" w:name="_Toc342047635"/>
      <w:r>
        <w:t>Liver function</w:t>
      </w:r>
      <w:bookmarkEnd w:id="174"/>
      <w:bookmarkEnd w:id="175"/>
      <w:bookmarkEnd w:id="176"/>
    </w:p>
    <w:p w:rsidR="007F1AA9" w:rsidRDefault="00842DA6" w:rsidP="00525856">
      <w:pPr>
        <w:pStyle w:val="Heading5"/>
      </w:pPr>
      <w:r>
        <w:t>FTC-203</w:t>
      </w:r>
    </w:p>
    <w:p w:rsidR="00842DA6" w:rsidRPr="007F1AA9" w:rsidRDefault="00842DA6" w:rsidP="00525856">
      <w:r w:rsidRPr="007F1AA9">
        <w:t>There were no reports of Grade 3 or 4 changes in liver function</w:t>
      </w:r>
      <w:r w:rsidR="00522332">
        <w:t>.</w:t>
      </w:r>
    </w:p>
    <w:p w:rsidR="00842DA6" w:rsidRPr="007F1AA9" w:rsidRDefault="007F1AA9" w:rsidP="00525856">
      <w:r>
        <w:t xml:space="preserve">A total of </w:t>
      </w:r>
      <w:r w:rsidR="00842DA6" w:rsidRPr="007F1AA9">
        <w:t>7 subjects had Grade 3 or 4 laboratory abnormalities during the study period.</w:t>
      </w:r>
    </w:p>
    <w:p w:rsidR="00842DA6" w:rsidRDefault="00842DA6" w:rsidP="00525856">
      <w:pPr>
        <w:pStyle w:val="Heading5"/>
      </w:pPr>
      <w:r>
        <w:t>FTC-2011</w:t>
      </w:r>
    </w:p>
    <w:p w:rsidR="00842DA6" w:rsidRPr="00E87A20" w:rsidRDefault="00842DA6" w:rsidP="00525856">
      <w:r w:rsidRPr="00E87A20">
        <w:t>Grade 3 serum amylase increase was reported in three (n=3) subjects</w:t>
      </w:r>
      <w:r w:rsidR="00E87A20">
        <w:t>.</w:t>
      </w:r>
    </w:p>
    <w:p w:rsidR="00842DA6" w:rsidRPr="00E87A20" w:rsidRDefault="00842DA6" w:rsidP="00525856">
      <w:r w:rsidRPr="00E87A20">
        <w:t>Grade 4 serum amylase increase was reported in one (n=1) subject</w:t>
      </w:r>
      <w:r w:rsidR="00E87A20">
        <w:t>.</w:t>
      </w:r>
    </w:p>
    <w:p w:rsidR="00842DA6" w:rsidRPr="00CF119F" w:rsidRDefault="00842DA6" w:rsidP="00525856">
      <w:pPr>
        <w:pStyle w:val="Heading4"/>
      </w:pPr>
      <w:bookmarkStart w:id="177" w:name="_Toc272414672"/>
      <w:bookmarkStart w:id="178" w:name="_Toc290846310"/>
      <w:bookmarkStart w:id="179" w:name="_Toc342047636"/>
      <w:r w:rsidRPr="00CF119F">
        <w:t>Haematology</w:t>
      </w:r>
      <w:bookmarkEnd w:id="177"/>
      <w:bookmarkEnd w:id="178"/>
      <w:bookmarkEnd w:id="179"/>
    </w:p>
    <w:p w:rsidR="00842DA6" w:rsidRPr="00C76FFE" w:rsidRDefault="00842DA6" w:rsidP="00525856">
      <w:pPr>
        <w:pStyle w:val="Heading5"/>
      </w:pPr>
      <w:r w:rsidRPr="00C76FFE">
        <w:t>FTC-211</w:t>
      </w:r>
    </w:p>
    <w:p w:rsidR="00842DA6" w:rsidRPr="00CF119F" w:rsidRDefault="00842DA6" w:rsidP="00525856">
      <w:r w:rsidRPr="00CF119F">
        <w:t xml:space="preserve">Grade 3 </w:t>
      </w:r>
      <w:proofErr w:type="spellStart"/>
      <w:r w:rsidRPr="00CF119F">
        <w:t>neutropaenia</w:t>
      </w:r>
      <w:proofErr w:type="spellEnd"/>
      <w:r w:rsidRPr="00CF119F">
        <w:t xml:space="preserve"> was reported in one subject and a Grade 4 </w:t>
      </w:r>
      <w:proofErr w:type="spellStart"/>
      <w:r w:rsidRPr="00CF119F">
        <w:t>neutropaenia</w:t>
      </w:r>
      <w:proofErr w:type="spellEnd"/>
      <w:r w:rsidRPr="00CF119F">
        <w:t xml:space="preserve"> was reported in one subject.</w:t>
      </w:r>
    </w:p>
    <w:p w:rsidR="00842DA6" w:rsidRPr="00514CC1" w:rsidRDefault="00842DA6" w:rsidP="00525856">
      <w:pPr>
        <w:pStyle w:val="Heading4"/>
      </w:pPr>
      <w:bookmarkStart w:id="180" w:name="_Toc342047637"/>
      <w:r w:rsidRPr="00514CC1">
        <w:t>Hyperpigmentation</w:t>
      </w:r>
      <w:bookmarkEnd w:id="180"/>
    </w:p>
    <w:p w:rsidR="00842DA6" w:rsidRPr="00CF119F" w:rsidRDefault="00842DA6" w:rsidP="00525856">
      <w:r w:rsidRPr="00CF119F">
        <w:t xml:space="preserve">During the clinical development program for </w:t>
      </w:r>
      <w:proofErr w:type="spellStart"/>
      <w:r w:rsidRPr="00CF119F">
        <w:t>emtricitabine</w:t>
      </w:r>
      <w:proofErr w:type="spellEnd"/>
      <w:r w:rsidRPr="00CF119F">
        <w:t xml:space="preserve">, hyperpigmentation events, usually affecting the hands and/or the feet, in particular the palms and soles, and more rarely the nails and tongue, were observed more frequently in adult patients treated with </w:t>
      </w:r>
      <w:proofErr w:type="spellStart"/>
      <w:r w:rsidRPr="00CF119F">
        <w:t>emtricitabine</w:t>
      </w:r>
      <w:proofErr w:type="spellEnd"/>
      <w:r w:rsidRPr="00CF119F">
        <w:t xml:space="preserve">, as compared to patients treated in the comparator arms. The frequency of these hyperpigmentation events in HIV-infected adult patients treated with </w:t>
      </w:r>
      <w:proofErr w:type="spellStart"/>
      <w:r w:rsidRPr="00CF119F">
        <w:t>emtricitabine</w:t>
      </w:r>
      <w:proofErr w:type="spellEnd"/>
      <w:r w:rsidRPr="00CF119F">
        <w:t xml:space="preserve"> was low overall, at 29 of 814 patients (3.6%), and occurred predominantly in patients of black racial origin (25/29 cases). The incidence of skin discoloration in black HIV-infected adult patients across the three studies was 7.8% (25/319).</w:t>
      </w:r>
    </w:p>
    <w:p w:rsidR="00842DA6" w:rsidRPr="00CF119F" w:rsidRDefault="00842DA6" w:rsidP="00525856">
      <w:pPr>
        <w:pStyle w:val="Heading5"/>
      </w:pPr>
      <w:r w:rsidRPr="00CF119F">
        <w:t>FTC-202</w:t>
      </w:r>
    </w:p>
    <w:p w:rsidR="00842DA6" w:rsidRPr="00CF119F" w:rsidRDefault="00842DA6" w:rsidP="00525856">
      <w:r w:rsidRPr="00CF119F">
        <w:t>Not details provided.</w:t>
      </w:r>
    </w:p>
    <w:p w:rsidR="00842DA6" w:rsidRPr="00CF119F" w:rsidRDefault="00842DA6" w:rsidP="00525856">
      <w:pPr>
        <w:pStyle w:val="Heading5"/>
      </w:pPr>
      <w:r w:rsidRPr="00CF119F">
        <w:t>FTC-203</w:t>
      </w:r>
    </w:p>
    <w:p w:rsidR="00842DA6" w:rsidRPr="00CF119F" w:rsidRDefault="00842DA6" w:rsidP="00525856">
      <w:r w:rsidRPr="00CF119F">
        <w:t xml:space="preserve">In this study (FTC-203) skin discolouration was reported in 39 (54.9%) subjects in the naive stratum, all located in South Africa, and 6 (13.3%) subjects in the experienced stratum, all located in the USA. The events were similar to those reported in adult patients treated with </w:t>
      </w:r>
      <w:proofErr w:type="spellStart"/>
      <w:r w:rsidRPr="00CF119F">
        <w:t>emtricitabine</w:t>
      </w:r>
      <w:proofErr w:type="spellEnd"/>
      <w:r w:rsidRPr="00CF119F">
        <w:t xml:space="preserve">. All skin discolouration events were non-serious, asymptomatic and, with one </w:t>
      </w:r>
      <w:r w:rsidRPr="00CF119F">
        <w:lastRenderedPageBreak/>
        <w:t xml:space="preserve">exception, mild in severity.  All subjects were of black African descent (African-American or South African).  In 38/39 (97.4%) of naive stratum cases and 3/6 (50%) of experienced stratum cases the events were assessed as being possibly or probably related to the study drug. In the three non-drug related cases in the experience stratum, the hyperpigmentation was assessed as being (1) </w:t>
      </w:r>
      <w:proofErr w:type="spellStart"/>
      <w:r w:rsidRPr="00CF119F">
        <w:t>hyperpigmented</w:t>
      </w:r>
      <w:proofErr w:type="spellEnd"/>
      <w:r w:rsidRPr="00CF119F">
        <w:t xml:space="preserve"> burn scars, (2) cafe-au-</w:t>
      </w:r>
      <w:proofErr w:type="spellStart"/>
      <w:r w:rsidRPr="00CF119F">
        <w:t>lait</w:t>
      </w:r>
      <w:proofErr w:type="spellEnd"/>
      <w:r w:rsidRPr="00CF119F">
        <w:t xml:space="preserve"> spot and (3) </w:t>
      </w:r>
      <w:proofErr w:type="spellStart"/>
      <w:r w:rsidRPr="00CF119F">
        <w:t>ancanthosis</w:t>
      </w:r>
      <w:proofErr w:type="spellEnd"/>
      <w:r w:rsidRPr="00CF119F">
        <w:t xml:space="preserve"> </w:t>
      </w:r>
      <w:proofErr w:type="spellStart"/>
      <w:r w:rsidRPr="00CF119F">
        <w:t>nigracans</w:t>
      </w:r>
      <w:proofErr w:type="spellEnd"/>
      <w:r w:rsidRPr="00CF119F">
        <w:t xml:space="preserve"> in a subjects with a significa</w:t>
      </w:r>
      <w:r w:rsidR="00525856">
        <w:t>nt family history of diabetes.</w:t>
      </w:r>
    </w:p>
    <w:p w:rsidR="00842DA6" w:rsidRPr="00CF119F" w:rsidRDefault="00842DA6" w:rsidP="00525856">
      <w:r w:rsidRPr="00CF119F">
        <w:t xml:space="preserve">At the time of data cut-off 16/42 (38.1%) subjects had reported resolution of the hyper-pigmentation while they continued treatment with </w:t>
      </w:r>
      <w:proofErr w:type="spellStart"/>
      <w:r w:rsidRPr="00CF119F">
        <w:t>emtricitabine</w:t>
      </w:r>
      <w:proofErr w:type="spellEnd"/>
      <w:r w:rsidRPr="00CF119F">
        <w:t>. 4 subjects with hyper-pigmentation prematurely discontinued the study (for other reasons); the hyper-pigmentation in these subjects resolved following the cessation of treatment.</w:t>
      </w:r>
    </w:p>
    <w:p w:rsidR="00842DA6" w:rsidRDefault="00842DA6" w:rsidP="00525856">
      <w:pPr>
        <w:pStyle w:val="Heading5"/>
      </w:pPr>
      <w:bookmarkStart w:id="181" w:name="_Toc342047638"/>
      <w:r>
        <w:t>FTC-211</w:t>
      </w:r>
      <w:bookmarkEnd w:id="181"/>
    </w:p>
    <w:p w:rsidR="00842DA6" w:rsidRPr="00CF119F" w:rsidRDefault="00842DA6" w:rsidP="00525856">
      <w:r w:rsidRPr="00CF119F">
        <w:t xml:space="preserve">There were no reports of </w:t>
      </w:r>
      <w:proofErr w:type="spellStart"/>
      <w:r w:rsidRPr="00CF119F">
        <w:t>emtricitabine</w:t>
      </w:r>
      <w:proofErr w:type="spellEnd"/>
      <w:r w:rsidRPr="00CF119F">
        <w:t>-related skin discolouration in this population of Caucasian paediatric subjects.</w:t>
      </w:r>
    </w:p>
    <w:p w:rsidR="00842DA6" w:rsidRDefault="00842DA6" w:rsidP="00525856">
      <w:pPr>
        <w:pStyle w:val="Heading3"/>
      </w:pPr>
      <w:bookmarkStart w:id="182" w:name="_Toc241374326"/>
      <w:bookmarkStart w:id="183" w:name="_Ref272333048"/>
      <w:bookmarkStart w:id="184" w:name="_Toc272414679"/>
      <w:bookmarkStart w:id="185" w:name="_Toc290846317"/>
      <w:bookmarkStart w:id="186" w:name="_Toc342047639"/>
      <w:bookmarkStart w:id="187" w:name="_Toc391987984"/>
      <w:r>
        <w:t>Post-marketing experience</w:t>
      </w:r>
      <w:bookmarkEnd w:id="182"/>
      <w:bookmarkEnd w:id="183"/>
      <w:bookmarkEnd w:id="184"/>
      <w:bookmarkEnd w:id="185"/>
      <w:bookmarkEnd w:id="186"/>
      <w:bookmarkEnd w:id="187"/>
    </w:p>
    <w:p w:rsidR="00842DA6" w:rsidRPr="00CF119F" w:rsidRDefault="00842DA6" w:rsidP="00525856">
      <w:r w:rsidRPr="00CF119F">
        <w:t xml:space="preserve">A </w:t>
      </w:r>
      <w:r w:rsidR="00CF119F">
        <w:t>PSUR</w:t>
      </w:r>
      <w:r w:rsidRPr="00CF119F">
        <w:t xml:space="preserve"> for </w:t>
      </w:r>
      <w:proofErr w:type="spellStart"/>
      <w:r w:rsidRPr="00CF119F">
        <w:t>E</w:t>
      </w:r>
      <w:r w:rsidR="00CF119F">
        <w:t>mtriva</w:t>
      </w:r>
      <w:proofErr w:type="spellEnd"/>
      <w:r w:rsidR="001133F3">
        <w:t xml:space="preserve"> was submitted for the period </w:t>
      </w:r>
      <w:r w:rsidRPr="00CF119F">
        <w:t>3 April 2</w:t>
      </w:r>
      <w:r w:rsidR="001133F3">
        <w:t xml:space="preserve">011 to </w:t>
      </w:r>
      <w:r w:rsidRPr="00CF119F">
        <w:t>2 April 2012.</w:t>
      </w:r>
    </w:p>
    <w:p w:rsidR="00842DA6" w:rsidRPr="00CF119F" w:rsidRDefault="002B7D71" w:rsidP="00CF119F">
      <w:proofErr w:type="spellStart"/>
      <w:r w:rsidRPr="00CF119F">
        <w:t>E</w:t>
      </w:r>
      <w:r>
        <w:t>mtriva</w:t>
      </w:r>
      <w:proofErr w:type="spellEnd"/>
      <w:r w:rsidR="00842DA6" w:rsidRPr="00CF119F">
        <w:t xml:space="preserve"> w</w:t>
      </w:r>
      <w:r w:rsidR="002B4908">
        <w:t xml:space="preserve">as first approved in the US on </w:t>
      </w:r>
      <w:r w:rsidR="00842DA6" w:rsidRPr="00CF119F">
        <w:t xml:space="preserve">2 July 2003; since first approval, </w:t>
      </w:r>
      <w:proofErr w:type="spellStart"/>
      <w:r w:rsidR="00842DA6" w:rsidRPr="00CF119F">
        <w:t>cululative</w:t>
      </w:r>
      <w:proofErr w:type="spellEnd"/>
      <w:r w:rsidR="00842DA6" w:rsidRPr="00CF119F">
        <w:t xml:space="preserve"> exposure is estimated to be 116,638 patient-years of treatment, including 12,024 patient-years during the period of this safety update.  A total of 25 medically confirmed case reports were received during the safety period including 20 serious and 5 non-serious events.</w:t>
      </w:r>
    </w:p>
    <w:p w:rsidR="00842DA6" w:rsidRPr="004634BA" w:rsidRDefault="00842DA6" w:rsidP="004634BA">
      <w:pPr>
        <w:pStyle w:val="Heading3"/>
      </w:pPr>
      <w:bookmarkStart w:id="188" w:name="_Ref272333005"/>
      <w:bookmarkStart w:id="189" w:name="_Toc272414680"/>
      <w:bookmarkStart w:id="190" w:name="_Toc290846318"/>
      <w:bookmarkStart w:id="191" w:name="_Toc342047640"/>
      <w:bookmarkStart w:id="192" w:name="_Toc391987985"/>
      <w:r w:rsidRPr="004634BA">
        <w:t>Safety issues with the potential for major regulatory imp</w:t>
      </w:r>
      <w:bookmarkEnd w:id="188"/>
      <w:bookmarkEnd w:id="189"/>
      <w:r w:rsidRPr="004634BA">
        <w:t>act</w:t>
      </w:r>
      <w:bookmarkEnd w:id="190"/>
      <w:bookmarkEnd w:id="191"/>
      <w:bookmarkEnd w:id="192"/>
    </w:p>
    <w:p w:rsidR="00842DA6" w:rsidRPr="004634BA" w:rsidRDefault="00842DA6" w:rsidP="00525856">
      <w:pPr>
        <w:pStyle w:val="Heading4"/>
      </w:pPr>
      <w:bookmarkStart w:id="193" w:name="_Toc272414681"/>
      <w:bookmarkStart w:id="194" w:name="_Toc290846319"/>
      <w:bookmarkStart w:id="195" w:name="_Toc342047641"/>
      <w:r w:rsidRPr="004634BA">
        <w:t>Liver toxicity</w:t>
      </w:r>
      <w:bookmarkEnd w:id="193"/>
      <w:bookmarkEnd w:id="194"/>
      <w:bookmarkEnd w:id="195"/>
    </w:p>
    <w:p w:rsidR="00842DA6" w:rsidRPr="004634BA" w:rsidRDefault="00842DA6" w:rsidP="00525856">
      <w:r w:rsidRPr="004634BA">
        <w:t>A cumulative review of cases involving the event term ‘</w:t>
      </w:r>
      <w:proofErr w:type="spellStart"/>
      <w:r w:rsidRPr="004634BA">
        <w:t>cyolytic</w:t>
      </w:r>
      <w:proofErr w:type="spellEnd"/>
      <w:r w:rsidRPr="004634BA">
        <w:t xml:space="preserve"> hepatitis’ was prompted following a request from a regulatory agency; six cases were identified, all originating in France. In four cases, the patient received other medications that have been associated with hepatitis. In one case there was a negative </w:t>
      </w:r>
      <w:proofErr w:type="spellStart"/>
      <w:r w:rsidRPr="004634BA">
        <w:t>dechallenge</w:t>
      </w:r>
      <w:proofErr w:type="spellEnd"/>
      <w:r w:rsidRPr="004634BA">
        <w:t xml:space="preserve"> to </w:t>
      </w:r>
      <w:proofErr w:type="spellStart"/>
      <w:r w:rsidRPr="004634BA">
        <w:t>emtricitabine</w:t>
      </w:r>
      <w:proofErr w:type="spellEnd"/>
      <w:r w:rsidRPr="004634BA">
        <w:t xml:space="preserve"> suggesting an alternative </w:t>
      </w:r>
      <w:proofErr w:type="spellStart"/>
      <w:r w:rsidRPr="004634BA">
        <w:t>etiology</w:t>
      </w:r>
      <w:proofErr w:type="spellEnd"/>
      <w:r w:rsidRPr="004634BA">
        <w:t xml:space="preserve">. In the final case, the onset of </w:t>
      </w:r>
      <w:proofErr w:type="spellStart"/>
      <w:r w:rsidRPr="004634BA">
        <w:t>cytolytic</w:t>
      </w:r>
      <w:proofErr w:type="spellEnd"/>
      <w:r w:rsidRPr="004634BA">
        <w:t xml:space="preserve"> hepatitis was prior to the patient commencing </w:t>
      </w:r>
      <w:proofErr w:type="spellStart"/>
      <w:r w:rsidRPr="004634BA">
        <w:t>emtricitabine</w:t>
      </w:r>
      <w:proofErr w:type="spellEnd"/>
      <w:r w:rsidRPr="004634BA">
        <w:t>.</w:t>
      </w:r>
    </w:p>
    <w:p w:rsidR="00842DA6" w:rsidRPr="004634BA" w:rsidRDefault="00842DA6" w:rsidP="00525856">
      <w:r w:rsidRPr="004634BA">
        <w:t xml:space="preserve">Based on the findings and a literature search no changes to </w:t>
      </w:r>
      <w:proofErr w:type="spellStart"/>
      <w:r w:rsidRPr="004634BA">
        <w:t>E</w:t>
      </w:r>
      <w:r w:rsidR="002B4908">
        <w:t>mtriva</w:t>
      </w:r>
      <w:proofErr w:type="spellEnd"/>
      <w:r w:rsidRPr="004634BA">
        <w:t xml:space="preserve"> listings were considered necessary.</w:t>
      </w:r>
    </w:p>
    <w:p w:rsidR="00842DA6" w:rsidRPr="002D2861" w:rsidRDefault="00842DA6" w:rsidP="00525856">
      <w:pPr>
        <w:pStyle w:val="Heading4"/>
      </w:pPr>
      <w:bookmarkStart w:id="196" w:name="_Toc272414682"/>
      <w:bookmarkStart w:id="197" w:name="_Toc290846320"/>
      <w:bookmarkStart w:id="198" w:name="_Toc342047642"/>
      <w:r w:rsidRPr="002D2861">
        <w:t>Haematological toxicity</w:t>
      </w:r>
      <w:bookmarkEnd w:id="196"/>
      <w:bookmarkEnd w:id="197"/>
      <w:r w:rsidRPr="002D2861">
        <w:t xml:space="preserve"> (</w:t>
      </w:r>
      <w:r w:rsidR="00525856">
        <w:t>l</w:t>
      </w:r>
      <w:r w:rsidRPr="002D2861">
        <w:t xml:space="preserve">actic </w:t>
      </w:r>
      <w:r w:rsidR="00525856">
        <w:t>a</w:t>
      </w:r>
      <w:r w:rsidRPr="00525856">
        <w:t>cidosis</w:t>
      </w:r>
      <w:r w:rsidRPr="002D2861">
        <w:t>)</w:t>
      </w:r>
      <w:bookmarkEnd w:id="198"/>
    </w:p>
    <w:p w:rsidR="00842DA6" w:rsidRPr="004634BA" w:rsidRDefault="00842DA6" w:rsidP="00525856">
      <w:r w:rsidRPr="004634BA">
        <w:t xml:space="preserve">A cumulative review of cases of lactic acidosis was promoted following a request from a regulatory agency; 15 relevant cases were identified. In eleven cases, either the use of concomitant medications (metformin and/or </w:t>
      </w:r>
      <w:proofErr w:type="spellStart"/>
      <w:r w:rsidRPr="004634BA">
        <w:t>stavudine</w:t>
      </w:r>
      <w:proofErr w:type="spellEnd"/>
      <w:r w:rsidRPr="004634BA">
        <w:t>) or the patient’s underlying/</w:t>
      </w:r>
      <w:proofErr w:type="spellStart"/>
      <w:r w:rsidRPr="004634BA">
        <w:t>intercurrent</w:t>
      </w:r>
      <w:proofErr w:type="spellEnd"/>
      <w:r w:rsidRPr="004634BA">
        <w:t xml:space="preserve"> illness provided a possible alternative cause for the event. In two reports, the data did not support NRTI associated lactic acidosis. The remaining two reports contained insufficient information to assess causality.</w:t>
      </w:r>
    </w:p>
    <w:p w:rsidR="00842DA6" w:rsidRPr="004634BA" w:rsidRDefault="00842DA6" w:rsidP="00525856">
      <w:r w:rsidRPr="004634BA">
        <w:t>Based on the findings no update was considered necessary.</w:t>
      </w:r>
    </w:p>
    <w:p w:rsidR="00842DA6" w:rsidRPr="002D2861" w:rsidRDefault="00842DA6" w:rsidP="00525856">
      <w:pPr>
        <w:pStyle w:val="Heading3"/>
      </w:pPr>
      <w:bookmarkStart w:id="199" w:name="_Toc272414686"/>
      <w:bookmarkStart w:id="200" w:name="_Ref273005527"/>
      <w:bookmarkStart w:id="201" w:name="_Toc290846324"/>
      <w:bookmarkStart w:id="202" w:name="_Toc342047643"/>
      <w:bookmarkStart w:id="203" w:name="_Toc391987986"/>
      <w:r w:rsidRPr="002D2861">
        <w:t>Other safety issues</w:t>
      </w:r>
      <w:bookmarkEnd w:id="199"/>
      <w:bookmarkEnd w:id="200"/>
      <w:bookmarkEnd w:id="201"/>
      <w:bookmarkEnd w:id="202"/>
      <w:bookmarkEnd w:id="203"/>
    </w:p>
    <w:p w:rsidR="00842DA6" w:rsidRPr="002D2861" w:rsidRDefault="00842DA6" w:rsidP="00525856">
      <w:pPr>
        <w:pStyle w:val="Heading4"/>
      </w:pPr>
      <w:bookmarkStart w:id="204" w:name="_Toc241374322"/>
      <w:bookmarkStart w:id="205" w:name="_Ref272331212"/>
      <w:bookmarkStart w:id="206" w:name="_Toc272414687"/>
      <w:bookmarkStart w:id="207" w:name="_Toc290846325"/>
      <w:bookmarkStart w:id="208" w:name="_Toc342047644"/>
      <w:r w:rsidRPr="002D2861">
        <w:t>Safety in special populations</w:t>
      </w:r>
      <w:bookmarkEnd w:id="204"/>
      <w:bookmarkEnd w:id="205"/>
      <w:bookmarkEnd w:id="206"/>
      <w:bookmarkEnd w:id="207"/>
      <w:r w:rsidRPr="002D2861">
        <w:t xml:space="preserve"> (</w:t>
      </w:r>
      <w:r w:rsidR="00525856">
        <w:t>p</w:t>
      </w:r>
      <w:r w:rsidRPr="00525856">
        <w:t>aediatrics</w:t>
      </w:r>
      <w:r w:rsidRPr="002D2861">
        <w:t>)</w:t>
      </w:r>
      <w:bookmarkEnd w:id="208"/>
    </w:p>
    <w:p w:rsidR="00842DA6" w:rsidRPr="004634BA" w:rsidRDefault="00842DA6" w:rsidP="00525856">
      <w:r w:rsidRPr="004634BA">
        <w:t xml:space="preserve">Study GS-US-162-0112 is a rollover study to provide subjects completing the FTC-203 study in South Africa with continued access to </w:t>
      </w:r>
      <w:proofErr w:type="spellStart"/>
      <w:r w:rsidR="00AC4C9C" w:rsidRPr="004634BA">
        <w:t>E</w:t>
      </w:r>
      <w:r w:rsidR="00AC4C9C">
        <w:t>mtriva</w:t>
      </w:r>
      <w:proofErr w:type="spellEnd"/>
      <w:r w:rsidRPr="004634BA">
        <w:t xml:space="preserve">. The </w:t>
      </w:r>
      <w:r w:rsidR="008B18F2">
        <w:t>m</w:t>
      </w:r>
      <w:r w:rsidRPr="004634BA">
        <w:t xml:space="preserve">edian follow-up for FTC-203 is 164 weeks. The objectives of Study-0112 are to provide FTC-203 participants with continued access to </w:t>
      </w:r>
      <w:proofErr w:type="spellStart"/>
      <w:r w:rsidR="00FA05DF" w:rsidRPr="004634BA">
        <w:t>E</w:t>
      </w:r>
      <w:r w:rsidR="00FA05DF">
        <w:t>mtriva</w:t>
      </w:r>
      <w:proofErr w:type="spellEnd"/>
      <w:r w:rsidRPr="004634BA">
        <w:t xml:space="preserve"> and to collect long-term safety information on </w:t>
      </w:r>
      <w:proofErr w:type="spellStart"/>
      <w:r w:rsidR="00AC4C9C" w:rsidRPr="004634BA">
        <w:t>E</w:t>
      </w:r>
      <w:r w:rsidR="00AC4C9C">
        <w:t>mtriva</w:t>
      </w:r>
      <w:proofErr w:type="spellEnd"/>
      <w:r w:rsidRPr="004634BA">
        <w:t xml:space="preserve"> use in paediatric populations. Data collection is limited to the reporting of AEs that (1) meet the criteria for an SAE, (2) result </w:t>
      </w:r>
      <w:r w:rsidRPr="004634BA">
        <w:lastRenderedPageBreak/>
        <w:t xml:space="preserve">in permanent discontinuation of the study drug, </w:t>
      </w:r>
      <w:proofErr w:type="spellStart"/>
      <w:r w:rsidRPr="004634BA">
        <w:t>emtricitabine</w:t>
      </w:r>
      <w:proofErr w:type="spellEnd"/>
      <w:r w:rsidRPr="004634BA">
        <w:t xml:space="preserve"> and/or (3) are associated with skin discolouration (hyperpigmentation).</w:t>
      </w:r>
    </w:p>
    <w:p w:rsidR="00842DA6" w:rsidRPr="004634BA" w:rsidRDefault="00842DA6" w:rsidP="00525856">
      <w:r w:rsidRPr="004634BA">
        <w:t>There were no reports of SAEs during the presented PSUR time period.</w:t>
      </w:r>
    </w:p>
    <w:p w:rsidR="00842DA6" w:rsidRPr="002D2861" w:rsidRDefault="00842DA6" w:rsidP="00525856">
      <w:pPr>
        <w:pStyle w:val="Heading4"/>
      </w:pPr>
      <w:bookmarkStart w:id="209" w:name="_Toc241374324"/>
      <w:bookmarkStart w:id="210" w:name="_Ref272331214"/>
      <w:bookmarkStart w:id="211" w:name="_Toc272414688"/>
      <w:bookmarkStart w:id="212" w:name="_Toc290846326"/>
      <w:bookmarkStart w:id="213" w:name="_Toc342047645"/>
      <w:r w:rsidRPr="002D2861">
        <w:t xml:space="preserve">Safety related to drug-drug </w:t>
      </w:r>
      <w:r w:rsidRPr="00525856">
        <w:t>interactions</w:t>
      </w:r>
      <w:r w:rsidRPr="002D2861">
        <w:t xml:space="preserve"> and other interactions</w:t>
      </w:r>
      <w:bookmarkEnd w:id="209"/>
      <w:bookmarkEnd w:id="210"/>
      <w:bookmarkEnd w:id="211"/>
      <w:bookmarkEnd w:id="212"/>
      <w:bookmarkEnd w:id="213"/>
    </w:p>
    <w:p w:rsidR="00842DA6" w:rsidRPr="004634BA" w:rsidRDefault="00842DA6" w:rsidP="00525856">
      <w:r w:rsidRPr="004634BA">
        <w:t>There was one report of a po</w:t>
      </w:r>
      <w:r w:rsidR="00B64A10">
        <w:t>ssible drug-drug interaction. One</w:t>
      </w:r>
      <w:r w:rsidRPr="004634BA">
        <w:t xml:space="preserve"> </w:t>
      </w:r>
      <w:r w:rsidR="00CB3F81">
        <w:t>[information redacted]</w:t>
      </w:r>
      <w:r w:rsidRPr="004634BA">
        <w:t xml:space="preserve"> female was using </w:t>
      </w:r>
      <w:proofErr w:type="spellStart"/>
      <w:r w:rsidRPr="004634BA">
        <w:t>etonogestrel</w:t>
      </w:r>
      <w:proofErr w:type="spellEnd"/>
      <w:r w:rsidR="008B18F2">
        <w:t xml:space="preserve"> implants for contraception. Two-and-a-half</w:t>
      </w:r>
      <w:r w:rsidRPr="004634BA">
        <w:t xml:space="preserve"> years after starting </w:t>
      </w:r>
      <w:proofErr w:type="spellStart"/>
      <w:r w:rsidRPr="004634BA">
        <w:t>etonogestrel</w:t>
      </w:r>
      <w:proofErr w:type="spellEnd"/>
      <w:r w:rsidRPr="004634BA">
        <w:t xml:space="preserve">, the patient underwent a right salpingectomy for an ectopic pregnancy. Nine months later, the patient underwent left salpingectomy for a second ectopic pregnancy. </w:t>
      </w:r>
      <w:proofErr w:type="spellStart"/>
      <w:r w:rsidRPr="004634BA">
        <w:t>Etopic</w:t>
      </w:r>
      <w:proofErr w:type="spellEnd"/>
      <w:r w:rsidRPr="004634BA">
        <w:t xml:space="preserve"> pregnancies have been associated with the use of </w:t>
      </w:r>
      <w:proofErr w:type="spellStart"/>
      <w:r w:rsidRPr="004634BA">
        <w:t>etonogestrel</w:t>
      </w:r>
      <w:proofErr w:type="spellEnd"/>
      <w:r w:rsidRPr="004634BA">
        <w:t xml:space="preserve">. A drug-drug interaction between the concomitant medication </w:t>
      </w:r>
      <w:proofErr w:type="spellStart"/>
      <w:r w:rsidRPr="004634BA">
        <w:t>efavirenz</w:t>
      </w:r>
      <w:proofErr w:type="spellEnd"/>
      <w:r w:rsidRPr="004634BA">
        <w:t xml:space="preserve"> (CYP3A4 inducer) and </w:t>
      </w:r>
      <w:proofErr w:type="spellStart"/>
      <w:r w:rsidRPr="004634BA">
        <w:t>etonogestrel</w:t>
      </w:r>
      <w:proofErr w:type="spellEnd"/>
      <w:r w:rsidRPr="004634BA">
        <w:t xml:space="preserve"> (CYP3A4 substrate) has not been demonstrated but it also, theoretically, possible.</w:t>
      </w:r>
    </w:p>
    <w:p w:rsidR="004E5C5E" w:rsidRPr="00E74B96" w:rsidRDefault="004E5C5E" w:rsidP="00525856">
      <w:pPr>
        <w:pStyle w:val="Heading3"/>
      </w:pPr>
      <w:bookmarkStart w:id="214" w:name="_Toc241374328"/>
      <w:bookmarkStart w:id="215" w:name="_Toc272414691"/>
      <w:bookmarkStart w:id="216" w:name="_Toc290846329"/>
      <w:bookmarkStart w:id="217" w:name="_Toc342047646"/>
      <w:bookmarkStart w:id="218" w:name="_Toc391987987"/>
      <w:r w:rsidRPr="00E74B96">
        <w:t>Evaluator’s overall conclusions on clinical safety</w:t>
      </w:r>
      <w:bookmarkEnd w:id="214"/>
      <w:bookmarkEnd w:id="215"/>
      <w:bookmarkEnd w:id="216"/>
      <w:bookmarkEnd w:id="217"/>
      <w:bookmarkEnd w:id="218"/>
    </w:p>
    <w:p w:rsidR="004E5C5E" w:rsidRPr="00125BB1" w:rsidRDefault="004E5C5E" w:rsidP="00525856">
      <w:bookmarkStart w:id="219" w:name="_Toc163441387"/>
      <w:r w:rsidRPr="00125BB1">
        <w:t xml:space="preserve">All three studies presented data on the clinical safety of </w:t>
      </w:r>
      <w:proofErr w:type="spellStart"/>
      <w:r w:rsidRPr="00125BB1">
        <w:t>emtricitabine</w:t>
      </w:r>
      <w:proofErr w:type="spellEnd"/>
      <w:r w:rsidRPr="00125BB1">
        <w:t xml:space="preserve"> when use in paediatric patients. Over the 48 week study period</w:t>
      </w:r>
      <w:r>
        <w:t>,</w:t>
      </w:r>
      <w:r w:rsidRPr="00125BB1">
        <w:t xml:space="preserve"> the majority of patients experienced at least one adverse event</w:t>
      </w:r>
      <w:r>
        <w:t xml:space="preserve"> (AE)</w:t>
      </w:r>
      <w:r w:rsidRPr="00125BB1">
        <w:t xml:space="preserve">. Most </w:t>
      </w:r>
      <w:r>
        <w:t>AE</w:t>
      </w:r>
      <w:r w:rsidRPr="00125BB1">
        <w:t xml:space="preserve">s were classified as Class 1 or 2 events; the majority of </w:t>
      </w:r>
      <w:r>
        <w:t>AEs</w:t>
      </w:r>
      <w:r w:rsidRPr="00125BB1">
        <w:t xml:space="preserve"> were also consistent with the burden of disease in paediatric populations (respiratory illness, skin complaints, </w:t>
      </w:r>
      <w:proofErr w:type="gramStart"/>
      <w:r w:rsidRPr="00125BB1">
        <w:t>gastrointestinal</w:t>
      </w:r>
      <w:proofErr w:type="gramEnd"/>
      <w:r w:rsidRPr="00125BB1">
        <w:t xml:space="preserve"> illness) and were classified by the study investigators as being probably not related to the study medication. Approximately 10% of subjects experienced an </w:t>
      </w:r>
      <w:r>
        <w:t>AE</w:t>
      </w:r>
      <w:r w:rsidRPr="00125BB1">
        <w:t xml:space="preserve"> that was deemed to be probably or possibly related to the study medication. Again, the vast majority of these were Class 1 or 2 events </w:t>
      </w:r>
      <w:r>
        <w:t xml:space="preserve">that </w:t>
      </w:r>
      <w:r w:rsidRPr="00125BB1">
        <w:t>resolved without a ch</w:t>
      </w:r>
      <w:r w:rsidR="00525856">
        <w:t>ange in the study medication.</w:t>
      </w:r>
    </w:p>
    <w:p w:rsidR="004E5C5E" w:rsidRPr="00125BB1" w:rsidRDefault="004E5C5E" w:rsidP="00525856">
      <w:r w:rsidRPr="00125BB1">
        <w:t xml:space="preserve">There were several Class 3 and 4 </w:t>
      </w:r>
      <w:r>
        <w:t>AEs</w:t>
      </w:r>
      <w:r w:rsidRPr="00125BB1">
        <w:t xml:space="preserve"> that were considered to be possibly or probably related to the study medication. In one case, the subject required permanent discontinuation from the study drug in order for the laboratory findings (elevated GGT) reverted to normal levels.</w:t>
      </w:r>
      <w:r>
        <w:t xml:space="preserve"> </w:t>
      </w:r>
      <w:r w:rsidRPr="00125BB1">
        <w:t>Skin hyperpigmentation was seen in several dark</w:t>
      </w:r>
      <w:r>
        <w:t xml:space="preserve"> </w:t>
      </w:r>
      <w:r w:rsidRPr="00125BB1">
        <w:t xml:space="preserve">skinned patients receiving </w:t>
      </w:r>
      <w:proofErr w:type="spellStart"/>
      <w:r w:rsidRPr="00125BB1">
        <w:t>emtricitabine</w:t>
      </w:r>
      <w:proofErr w:type="spellEnd"/>
      <w:r w:rsidRPr="00125BB1">
        <w:t xml:space="preserve">. In approximately half the cases, the skin condition resolved without change to </w:t>
      </w:r>
      <w:r>
        <w:t>the study medication;</w:t>
      </w:r>
      <w:r w:rsidRPr="00125BB1">
        <w:t xml:space="preserve"> in the other cases</w:t>
      </w:r>
      <w:r>
        <w:t>,</w:t>
      </w:r>
      <w:r w:rsidRPr="00125BB1">
        <w:t xml:space="preserve"> the hyperpigmentation resolved following cessation of the drug at study end.</w:t>
      </w:r>
    </w:p>
    <w:p w:rsidR="004E5C5E" w:rsidRPr="00125BB1" w:rsidRDefault="004E5C5E" w:rsidP="00525856">
      <w:r w:rsidRPr="00125BB1">
        <w:t>There was one study death (acute myeloid leukaemia) this case was not thought to be related to the study medication.</w:t>
      </w:r>
    </w:p>
    <w:p w:rsidR="004E5C5E" w:rsidRPr="00125BB1" w:rsidRDefault="004E5C5E" w:rsidP="00525856">
      <w:r w:rsidRPr="00125BB1">
        <w:t>Overall, the safety profile of the drug was consistent with the know side-effect profile in adult populations. Adverse events with antiretroviral medications include elevated liver toxicity, hypoglycaemia and skin hyperpigmentation. These conditions require careful monitoring by the prescribing physician.</w:t>
      </w:r>
    </w:p>
    <w:p w:rsidR="004E5C5E" w:rsidRPr="00125BB1" w:rsidRDefault="004E5C5E" w:rsidP="00525856">
      <w:r w:rsidRPr="00125BB1">
        <w:t>Given the small number of paediatric patients studied</w:t>
      </w:r>
      <w:r>
        <w:t>,</w:t>
      </w:r>
      <w:r w:rsidRPr="00125BB1">
        <w:t xml:space="preserve"> it is possible that safety issues with </w:t>
      </w:r>
      <w:proofErr w:type="spellStart"/>
      <w:r w:rsidRPr="00125BB1">
        <w:t>emtricitabine</w:t>
      </w:r>
      <w:proofErr w:type="spellEnd"/>
      <w:r w:rsidRPr="00125BB1">
        <w:t xml:space="preserve"> when used in paediatric populations were</w:t>
      </w:r>
      <w:r>
        <w:t xml:space="preserve"> not been identified in the </w:t>
      </w:r>
      <w:proofErr w:type="spellStart"/>
      <w:r>
        <w:t xml:space="preserve">pre </w:t>
      </w:r>
      <w:r w:rsidRPr="00125BB1">
        <w:t>market</w:t>
      </w:r>
      <w:proofErr w:type="spellEnd"/>
      <w:r w:rsidRPr="00125BB1">
        <w:t xml:space="preserve"> assess</w:t>
      </w:r>
      <w:r>
        <w:t xml:space="preserve">ment undertaken by the sponsor; </w:t>
      </w:r>
      <w:r w:rsidRPr="00125BB1">
        <w:t xml:space="preserve">however, the safety requirements for an extension of </w:t>
      </w:r>
      <w:r>
        <w:t xml:space="preserve">indication of this nature (that is, </w:t>
      </w:r>
      <w:r w:rsidRPr="00125BB1">
        <w:t>extension of age indication from a drug found to be safe and efficacious in an adult population) have been met.</w:t>
      </w:r>
    </w:p>
    <w:p w:rsidR="00C22678" w:rsidRDefault="00C22678" w:rsidP="00525856">
      <w:pPr>
        <w:pStyle w:val="Heading2"/>
      </w:pPr>
      <w:bookmarkStart w:id="220" w:name="_Toc391987988"/>
      <w:bookmarkEnd w:id="219"/>
      <w:r>
        <w:t xml:space="preserve">First round benefit-risk </w:t>
      </w:r>
      <w:r w:rsidRPr="00525856">
        <w:t>assessment</w:t>
      </w:r>
      <w:bookmarkEnd w:id="220"/>
    </w:p>
    <w:p w:rsidR="00803A16" w:rsidRDefault="00803A16" w:rsidP="00525856">
      <w:pPr>
        <w:pStyle w:val="Heading3"/>
      </w:pPr>
      <w:bookmarkStart w:id="221" w:name="_Toc236802592"/>
      <w:bookmarkStart w:id="222" w:name="_Toc241374331"/>
      <w:bookmarkStart w:id="223" w:name="_Ref272160836"/>
      <w:bookmarkStart w:id="224" w:name="_Toc272414693"/>
      <w:bookmarkStart w:id="225" w:name="_Toc290846331"/>
      <w:bookmarkStart w:id="226" w:name="_Toc342047648"/>
      <w:bookmarkStart w:id="227" w:name="_Toc391987989"/>
      <w:r>
        <w:t xml:space="preserve">First round assessment of </w:t>
      </w:r>
      <w:r w:rsidRPr="00525856">
        <w:t>benefits</w:t>
      </w:r>
      <w:bookmarkEnd w:id="221"/>
      <w:bookmarkEnd w:id="222"/>
      <w:bookmarkEnd w:id="223"/>
      <w:bookmarkEnd w:id="224"/>
      <w:bookmarkEnd w:id="225"/>
      <w:bookmarkEnd w:id="226"/>
      <w:bookmarkEnd w:id="227"/>
    </w:p>
    <w:p w:rsidR="00803A16" w:rsidRPr="00832946" w:rsidRDefault="00803A16" w:rsidP="00525856">
      <w:r w:rsidRPr="00832946">
        <w:t xml:space="preserve">The benefits of </w:t>
      </w:r>
      <w:proofErr w:type="spellStart"/>
      <w:r w:rsidRPr="00832946">
        <w:t>emtricitabine</w:t>
      </w:r>
      <w:proofErr w:type="spellEnd"/>
      <w:r w:rsidRPr="00832946">
        <w:t xml:space="preserve"> in the proposed usage are:</w:t>
      </w:r>
    </w:p>
    <w:p w:rsidR="00803A16" w:rsidRPr="00832946" w:rsidRDefault="00803A16" w:rsidP="00525856">
      <w:pPr>
        <w:pStyle w:val="ListBullet"/>
      </w:pPr>
      <w:r w:rsidRPr="00832946">
        <w:t xml:space="preserve">Provide additional choice of antiretroviral </w:t>
      </w:r>
      <w:r w:rsidRPr="00525856">
        <w:t>medications</w:t>
      </w:r>
      <w:r w:rsidRPr="00832946">
        <w:t xml:space="preserve"> for use in the adolescent population</w:t>
      </w:r>
      <w:r>
        <w:t>;</w:t>
      </w:r>
    </w:p>
    <w:p w:rsidR="00803A16" w:rsidRPr="00832946" w:rsidRDefault="00803A16" w:rsidP="00525856">
      <w:pPr>
        <w:pStyle w:val="ListBullet"/>
      </w:pPr>
      <w:r>
        <w:lastRenderedPageBreak/>
        <w:t>Daily dosing regimen;</w:t>
      </w:r>
    </w:p>
    <w:p w:rsidR="00803A16" w:rsidRPr="00832946" w:rsidRDefault="00803A16" w:rsidP="00525856">
      <w:pPr>
        <w:pStyle w:val="ListBullet"/>
      </w:pPr>
      <w:r w:rsidRPr="00832946">
        <w:t xml:space="preserve">Pharmacokinetics reflect adult dosing and </w:t>
      </w:r>
      <w:r w:rsidRPr="00525856">
        <w:t>pharmacokinetic</w:t>
      </w:r>
      <w:r w:rsidRPr="00832946">
        <w:t xml:space="preserve"> parameters</w:t>
      </w:r>
      <w:r>
        <w:t>; and</w:t>
      </w:r>
    </w:p>
    <w:p w:rsidR="00803A16" w:rsidRPr="00832946" w:rsidRDefault="00803A16" w:rsidP="00525856">
      <w:pPr>
        <w:pStyle w:val="ListBullet"/>
      </w:pPr>
      <w:r w:rsidRPr="00832946">
        <w:t xml:space="preserve">Efficacious in majority of paediatric patients </w:t>
      </w:r>
      <w:r w:rsidRPr="00525856">
        <w:t>to</w:t>
      </w:r>
      <w:r w:rsidRPr="00832946">
        <w:t xml:space="preserve"> </w:t>
      </w:r>
      <w:r>
        <w:t>W</w:t>
      </w:r>
      <w:r w:rsidRPr="00832946">
        <w:t xml:space="preserve">eek 48 (relatively low numbers of </w:t>
      </w:r>
      <w:proofErr w:type="spellStart"/>
      <w:r w:rsidRPr="00832946">
        <w:t>non</w:t>
      </w:r>
      <w:r>
        <w:t xml:space="preserve"> </w:t>
      </w:r>
      <w:r w:rsidRPr="00832946">
        <w:t>responders</w:t>
      </w:r>
      <w:proofErr w:type="spellEnd"/>
      <w:r w:rsidRPr="00832946">
        <w:t>)</w:t>
      </w:r>
      <w:r>
        <w:t>.</w:t>
      </w:r>
    </w:p>
    <w:p w:rsidR="00803A16" w:rsidRDefault="00803A16" w:rsidP="00525856">
      <w:pPr>
        <w:pStyle w:val="Heading3"/>
      </w:pPr>
      <w:bookmarkStart w:id="228" w:name="_Toc236802596"/>
      <w:bookmarkStart w:id="229" w:name="_Toc241374334"/>
      <w:bookmarkStart w:id="230" w:name="_Ref272160964"/>
      <w:bookmarkStart w:id="231" w:name="_Toc272414694"/>
      <w:bookmarkStart w:id="232" w:name="_Toc290846332"/>
      <w:bookmarkStart w:id="233" w:name="_Toc342047649"/>
      <w:bookmarkStart w:id="234" w:name="_Toc391987990"/>
      <w:r>
        <w:t>First round assessment of risks</w:t>
      </w:r>
      <w:bookmarkEnd w:id="228"/>
      <w:bookmarkEnd w:id="229"/>
      <w:bookmarkEnd w:id="230"/>
      <w:bookmarkEnd w:id="231"/>
      <w:bookmarkEnd w:id="232"/>
      <w:bookmarkEnd w:id="233"/>
      <w:bookmarkEnd w:id="234"/>
    </w:p>
    <w:p w:rsidR="00803A16" w:rsidRPr="00832946" w:rsidRDefault="00803A16" w:rsidP="00525856">
      <w:r w:rsidRPr="00832946">
        <w:t xml:space="preserve">The risks of </w:t>
      </w:r>
      <w:proofErr w:type="spellStart"/>
      <w:r w:rsidRPr="00832946">
        <w:t>emtricitabine</w:t>
      </w:r>
      <w:proofErr w:type="spellEnd"/>
      <w:r w:rsidRPr="00832946">
        <w:t xml:space="preserve"> in the proposed usage are:</w:t>
      </w:r>
    </w:p>
    <w:p w:rsidR="00803A16" w:rsidRPr="00832946" w:rsidRDefault="00803A16" w:rsidP="00525856">
      <w:pPr>
        <w:pStyle w:val="ListBullet"/>
      </w:pPr>
      <w:r w:rsidRPr="00832946">
        <w:t xml:space="preserve">Dosing window is narrow; virological failure </w:t>
      </w:r>
      <w:r w:rsidRPr="00525856">
        <w:t>can</w:t>
      </w:r>
      <w:r w:rsidRPr="00832946">
        <w:t xml:space="preserve"> occur with inconsistent pill</w:t>
      </w:r>
      <w:r>
        <w:t xml:space="preserve"> </w:t>
      </w:r>
      <w:r w:rsidRPr="00832946">
        <w:t xml:space="preserve">taking or treatment </w:t>
      </w:r>
      <w:proofErr w:type="spellStart"/>
      <w:r w:rsidRPr="00832946">
        <w:t>non</w:t>
      </w:r>
      <w:r>
        <w:t xml:space="preserve"> </w:t>
      </w:r>
      <w:r w:rsidRPr="00832946">
        <w:t>compliance</w:t>
      </w:r>
      <w:proofErr w:type="spellEnd"/>
      <w:r>
        <w:t>;</w:t>
      </w:r>
    </w:p>
    <w:p w:rsidR="00803A16" w:rsidRPr="00832946" w:rsidRDefault="00803A16" w:rsidP="00525856">
      <w:pPr>
        <w:pStyle w:val="ListBullet"/>
      </w:pPr>
      <w:r w:rsidRPr="00832946">
        <w:t xml:space="preserve">Skin hyperpigmentation a </w:t>
      </w:r>
      <w:proofErr w:type="spellStart"/>
      <w:r w:rsidRPr="00832946">
        <w:t>well recognised</w:t>
      </w:r>
      <w:proofErr w:type="spellEnd"/>
      <w:r w:rsidRPr="00832946">
        <w:t xml:space="preserve"> </w:t>
      </w:r>
      <w:r w:rsidRPr="00525856">
        <w:t>adverse</w:t>
      </w:r>
      <w:r w:rsidRPr="00832946">
        <w:t xml:space="preserve"> event, particularly in dark</w:t>
      </w:r>
      <w:r>
        <w:t xml:space="preserve"> </w:t>
      </w:r>
      <w:r w:rsidRPr="00832946">
        <w:t>skinned subjects</w:t>
      </w:r>
      <w:r>
        <w:t>;</w:t>
      </w:r>
    </w:p>
    <w:p w:rsidR="00803A16" w:rsidRPr="00832946" w:rsidRDefault="00803A16" w:rsidP="00525856">
      <w:pPr>
        <w:pStyle w:val="ListBullet"/>
      </w:pPr>
      <w:r w:rsidRPr="00832946">
        <w:t>Elevated LFTs a common side</w:t>
      </w:r>
      <w:r>
        <w:t xml:space="preserve"> </w:t>
      </w:r>
      <w:r w:rsidRPr="00832946">
        <w:t>effect</w:t>
      </w:r>
      <w:r>
        <w:t>; and</w:t>
      </w:r>
    </w:p>
    <w:p w:rsidR="00803A16" w:rsidRPr="00832946" w:rsidRDefault="00803A16" w:rsidP="00525856">
      <w:pPr>
        <w:pStyle w:val="ListBullet"/>
      </w:pPr>
      <w:r w:rsidRPr="00832946">
        <w:t xml:space="preserve">Renal impairment increases </w:t>
      </w:r>
      <w:proofErr w:type="spellStart"/>
      <w:r w:rsidRPr="00832946">
        <w:t>half</w:t>
      </w:r>
      <w:r>
        <w:t xml:space="preserve"> </w:t>
      </w:r>
      <w:r w:rsidRPr="00832946">
        <w:t>life</w:t>
      </w:r>
      <w:proofErr w:type="spellEnd"/>
      <w:r w:rsidRPr="00832946">
        <w:t>, requires modified dosing regimen</w:t>
      </w:r>
      <w:r>
        <w:t>.</w:t>
      </w:r>
    </w:p>
    <w:p w:rsidR="00803A16" w:rsidRDefault="00803A16" w:rsidP="00525856">
      <w:pPr>
        <w:pStyle w:val="Heading3"/>
      </w:pPr>
      <w:bookmarkStart w:id="235" w:name="_Toc236802597"/>
      <w:bookmarkStart w:id="236" w:name="_Toc241374335"/>
      <w:bookmarkStart w:id="237" w:name="_Toc272414695"/>
      <w:bookmarkStart w:id="238" w:name="_Toc290846333"/>
      <w:bookmarkStart w:id="239" w:name="_Toc342047650"/>
      <w:bookmarkStart w:id="240" w:name="_Toc391987991"/>
      <w:r>
        <w:t>First round assessment of benefit-risk balance</w:t>
      </w:r>
      <w:bookmarkEnd w:id="235"/>
      <w:bookmarkEnd w:id="236"/>
      <w:bookmarkEnd w:id="237"/>
      <w:bookmarkEnd w:id="238"/>
      <w:bookmarkEnd w:id="239"/>
      <w:bookmarkEnd w:id="240"/>
    </w:p>
    <w:p w:rsidR="00803A16" w:rsidRPr="00832946" w:rsidRDefault="00803A16" w:rsidP="00525856">
      <w:r w:rsidRPr="00832946">
        <w:t xml:space="preserve">The benefit-risk balance of </w:t>
      </w:r>
      <w:proofErr w:type="spellStart"/>
      <w:r w:rsidRPr="00832946">
        <w:t>emtricitabine</w:t>
      </w:r>
      <w:proofErr w:type="spellEnd"/>
      <w:r w:rsidRPr="00832946">
        <w:t>, given the proposed usage, is favourable.</w:t>
      </w:r>
    </w:p>
    <w:p w:rsidR="00C22678" w:rsidRDefault="00C22678" w:rsidP="00525856">
      <w:pPr>
        <w:pStyle w:val="Heading2"/>
      </w:pPr>
      <w:bookmarkStart w:id="241" w:name="_Toc391987992"/>
      <w:r>
        <w:t xml:space="preserve">First round </w:t>
      </w:r>
      <w:r w:rsidRPr="00525856">
        <w:t>recommendation</w:t>
      </w:r>
      <w:r>
        <w:t xml:space="preserve"> regarding authorisation</w:t>
      </w:r>
      <w:bookmarkEnd w:id="241"/>
    </w:p>
    <w:p w:rsidR="00803A16" w:rsidRPr="00832946" w:rsidRDefault="00803A16" w:rsidP="00525856">
      <w:r w:rsidRPr="00832946">
        <w:t xml:space="preserve">The studies presented in this application provide evidence of the safety, tolerability and efficacy of </w:t>
      </w:r>
      <w:proofErr w:type="spellStart"/>
      <w:r w:rsidRPr="00832946">
        <w:t>emtricitabine</w:t>
      </w:r>
      <w:proofErr w:type="spellEnd"/>
      <w:r w:rsidRPr="00832946">
        <w:t xml:space="preserve"> when used for the treatment of HIV-1 infection in paediatric patients. Although the paediatric dataset is small</w:t>
      </w:r>
      <w:r>
        <w:t>,</w:t>
      </w:r>
      <w:r w:rsidRPr="00832946">
        <w:t xml:space="preserve"> it has not identified any new </w:t>
      </w:r>
      <w:r>
        <w:t>AE</w:t>
      </w:r>
      <w:r w:rsidRPr="00832946">
        <w:t xml:space="preserve">s to those detected in the </w:t>
      </w:r>
      <w:proofErr w:type="spellStart"/>
      <w:r w:rsidRPr="00832946">
        <w:t>pre</w:t>
      </w:r>
      <w:r>
        <w:t xml:space="preserve"> </w:t>
      </w:r>
      <w:r w:rsidRPr="00832946">
        <w:t>market</w:t>
      </w:r>
      <w:proofErr w:type="spellEnd"/>
      <w:r w:rsidRPr="00832946">
        <w:t xml:space="preserve"> clinical trials undertaken in adult subjects.</w:t>
      </w:r>
      <w:r>
        <w:t xml:space="preserve"> </w:t>
      </w:r>
      <w:r w:rsidRPr="00832946">
        <w:t>However, given the low paediatric study numbers</w:t>
      </w:r>
      <w:r>
        <w:t>,</w:t>
      </w:r>
      <w:r w:rsidRPr="00832946">
        <w:t xml:space="preserve"> it is possible that </w:t>
      </w:r>
      <w:r>
        <w:t>S</w:t>
      </w:r>
      <w:r w:rsidRPr="00832946">
        <w:t xml:space="preserve">tudies FTC-202, FTC-203 and FTC-211 failed to detect </w:t>
      </w:r>
      <w:r>
        <w:t>AEs</w:t>
      </w:r>
      <w:r w:rsidRPr="00832946">
        <w:t xml:space="preserve"> and efficacy issues due to inadequate power.</w:t>
      </w:r>
    </w:p>
    <w:p w:rsidR="00803A16" w:rsidRPr="00832946" w:rsidRDefault="00803A16" w:rsidP="00525856">
      <w:proofErr w:type="spellStart"/>
      <w:r w:rsidRPr="00832946">
        <w:t>Emtricitabine</w:t>
      </w:r>
      <w:proofErr w:type="spellEnd"/>
      <w:r w:rsidRPr="00832946">
        <w:t xml:space="preserve"> has been available on the European and US markets since 2003 for paediatric use. Since 2003</w:t>
      </w:r>
      <w:r>
        <w:t>,</w:t>
      </w:r>
      <w:r w:rsidRPr="00832946">
        <w:t xml:space="preserve"> there has been no major safety alert requiring regulatory action.</w:t>
      </w:r>
    </w:p>
    <w:p w:rsidR="00803A16" w:rsidRPr="00607D19" w:rsidRDefault="00803A16" w:rsidP="00525856">
      <w:r w:rsidRPr="00607D19">
        <w:t xml:space="preserve">The evaluator recommends that </w:t>
      </w:r>
      <w:proofErr w:type="spellStart"/>
      <w:r w:rsidRPr="00607D19">
        <w:t>emtricitabine</w:t>
      </w:r>
      <w:proofErr w:type="spellEnd"/>
      <w:r w:rsidRPr="00607D19">
        <w:t xml:space="preserve"> be approved for use in children aged &gt; 12 years and weighing more than 33 kg for use in HIV-1 infection in combination with other antiretroviral agents provided that the grammatical error in the Consumer Medicine Information (CMI) is corrected.</w:t>
      </w:r>
    </w:p>
    <w:p w:rsidR="00C22678" w:rsidRDefault="00C22678" w:rsidP="00525856">
      <w:pPr>
        <w:pStyle w:val="Heading2"/>
      </w:pPr>
      <w:bookmarkStart w:id="242" w:name="_Toc391987993"/>
      <w:r>
        <w:t>Clinical questions</w:t>
      </w:r>
      <w:bookmarkEnd w:id="242"/>
    </w:p>
    <w:p w:rsidR="00803A16" w:rsidRPr="00125BB1" w:rsidRDefault="00803A16" w:rsidP="00525856">
      <w:r>
        <w:t>The e</w:t>
      </w:r>
      <w:r w:rsidRPr="00125BB1">
        <w:t>valuator has no clinical questions.</w:t>
      </w:r>
    </w:p>
    <w:p w:rsidR="00C618F7" w:rsidRDefault="00C618F7" w:rsidP="00525856">
      <w:pPr>
        <w:pStyle w:val="Heading2"/>
      </w:pPr>
      <w:bookmarkStart w:id="243" w:name="_Toc391987994"/>
      <w:r>
        <w:t>References</w:t>
      </w:r>
      <w:bookmarkEnd w:id="243"/>
    </w:p>
    <w:p w:rsidR="00C618F7" w:rsidRPr="00586F98" w:rsidRDefault="00320788" w:rsidP="00525856">
      <w:pPr>
        <w:rPr>
          <w:lang w:eastAsia="ja-JP"/>
        </w:rPr>
      </w:pPr>
      <w:proofErr w:type="gramStart"/>
      <w:r>
        <w:rPr>
          <w:lang w:eastAsia="ja-JP"/>
        </w:rPr>
        <w:t>None.</w:t>
      </w:r>
      <w:proofErr w:type="gramEnd"/>
    </w:p>
    <w:bookmarkEnd w:id="0"/>
    <w:bookmarkEnd w:id="1"/>
    <w:bookmarkEnd w:id="3"/>
    <w:p w:rsidR="003D1E62" w:rsidRPr="001D043B" w:rsidRDefault="003D1E62" w:rsidP="002666AC">
      <w:pPr>
        <w:sectPr w:rsidR="003D1E62" w:rsidRPr="001D043B" w:rsidSect="008D770F">
          <w:headerReference w:type="even" r:id="rId32"/>
          <w:headerReference w:type="default" r:id="rId33"/>
          <w:footerReference w:type="default" r:id="rId34"/>
          <w:headerReference w:type="first" r:id="rId35"/>
          <w:footerReference w:type="first" r:id="rId36"/>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37"/>
      <w:headerReference w:type="default" r:id="rId38"/>
      <w:footerReference w:type="default" r:id="rId39"/>
      <w:headerReference w:type="first" r:id="rId40"/>
      <w:footerReference w:type="first" r:id="rId41"/>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9AE" w:rsidRDefault="004529AE" w:rsidP="00C40A36">
      <w:pPr>
        <w:spacing w:after="0"/>
      </w:pPr>
      <w:r>
        <w:separator/>
      </w:r>
    </w:p>
  </w:endnote>
  <w:endnote w:type="continuationSeparator" w:id="0">
    <w:p w:rsidR="004529AE" w:rsidRDefault="004529A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7E6E27" w:rsidRPr="00487162" w:rsidTr="0053625B">
      <w:trPr>
        <w:trHeight w:val="269"/>
      </w:trPr>
      <w:tc>
        <w:tcPr>
          <w:tcW w:w="7938" w:type="dxa"/>
          <w:tcMar>
            <w:top w:w="142" w:type="dxa"/>
            <w:bottom w:w="0" w:type="dxa"/>
          </w:tcMar>
        </w:tcPr>
        <w:p w:rsidR="007E6E27" w:rsidRPr="00487162" w:rsidRDefault="007E6E27" w:rsidP="00586F98">
          <w:pPr>
            <w:pStyle w:val="Footer"/>
          </w:pPr>
          <w:r>
            <w:t>Submission</w:t>
          </w:r>
          <w:r w:rsidRPr="00487162">
            <w:t xml:space="preserve"> </w:t>
          </w:r>
          <w:r w:rsidR="00E120C0" w:rsidRPr="00E120C0">
            <w:t xml:space="preserve">PM-2012-02513-3-2 </w:t>
          </w:r>
          <w:r>
            <w:t>Extract from the Clinical Evaluation Re</w:t>
          </w:r>
          <w:r w:rsidR="00E120C0">
            <w:t xml:space="preserve">port for </w:t>
          </w:r>
          <w:proofErr w:type="spellStart"/>
          <w:r w:rsidR="00E120C0">
            <w:t>Emtriva</w:t>
          </w:r>
          <w:proofErr w:type="spellEnd"/>
        </w:p>
      </w:tc>
      <w:tc>
        <w:tcPr>
          <w:tcW w:w="923" w:type="dxa"/>
          <w:tcMar>
            <w:top w:w="142" w:type="dxa"/>
            <w:bottom w:w="0" w:type="dxa"/>
          </w:tcMar>
        </w:tcPr>
        <w:p w:rsidR="007E6E27" w:rsidRPr="00487162" w:rsidRDefault="007E6E27" w:rsidP="00D855D4">
          <w:pPr>
            <w:pStyle w:val="Footer"/>
            <w:jc w:val="right"/>
          </w:pPr>
          <w:r w:rsidRPr="00487162">
            <w:t xml:space="preserve">Page </w:t>
          </w:r>
          <w:r>
            <w:t>2</w:t>
          </w:r>
          <w:r w:rsidRPr="00487162">
            <w:t xml:space="preserve"> of </w:t>
          </w:r>
          <w:r w:rsidR="00602B78">
            <w:fldChar w:fldCharType="begin"/>
          </w:r>
          <w:r w:rsidR="00602B78">
            <w:instrText xml:space="preserve"> NUMPAGES  \* Arabic </w:instrText>
          </w:r>
          <w:r w:rsidR="00602B78">
            <w:fldChar w:fldCharType="separate"/>
          </w:r>
          <w:r w:rsidR="00602B78">
            <w:rPr>
              <w:noProof/>
            </w:rPr>
            <w:t>37</w:t>
          </w:r>
          <w:r w:rsidR="00602B78">
            <w:rPr>
              <w:noProof/>
            </w:rPr>
            <w:fldChar w:fldCharType="end"/>
          </w:r>
        </w:p>
      </w:tc>
    </w:tr>
  </w:tbl>
  <w:p w:rsidR="007E6E27" w:rsidRDefault="007E6E27"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7E6E27" w:rsidRPr="00487162" w:rsidTr="00586F98">
      <w:trPr>
        <w:trHeight w:val="269"/>
      </w:trPr>
      <w:tc>
        <w:tcPr>
          <w:tcW w:w="7655" w:type="dxa"/>
          <w:tcMar>
            <w:top w:w="142" w:type="dxa"/>
            <w:bottom w:w="0" w:type="dxa"/>
          </w:tcMar>
        </w:tcPr>
        <w:p w:rsidR="007E6E27" w:rsidRPr="00487162" w:rsidRDefault="007E6E27" w:rsidP="00D855D4">
          <w:pPr>
            <w:pStyle w:val="Footer"/>
          </w:pPr>
          <w:r>
            <w:t>Submission</w:t>
          </w:r>
          <w:r w:rsidRPr="00487162">
            <w:t xml:space="preserve"> </w:t>
          </w:r>
          <w:r w:rsidR="00E120C0" w:rsidRPr="00E120C0">
            <w:t>PM-2012-02513-3-2</w:t>
          </w:r>
          <w:r>
            <w:t xml:space="preserve"> Extract from the Clin</w:t>
          </w:r>
          <w:r w:rsidR="00E120C0">
            <w:t xml:space="preserve">ical Evaluation Report for </w:t>
          </w:r>
          <w:proofErr w:type="spellStart"/>
          <w:r w:rsidR="00E120C0">
            <w:t>Emtriva</w:t>
          </w:r>
          <w:proofErr w:type="spellEnd"/>
        </w:p>
      </w:tc>
      <w:tc>
        <w:tcPr>
          <w:tcW w:w="1206" w:type="dxa"/>
          <w:tcMar>
            <w:top w:w="142" w:type="dxa"/>
            <w:bottom w:w="0" w:type="dxa"/>
          </w:tcMar>
        </w:tcPr>
        <w:p w:rsidR="007E6E27" w:rsidRPr="00487162" w:rsidRDefault="007E6E27" w:rsidP="00E45619">
          <w:pPr>
            <w:pStyle w:val="Footer"/>
            <w:jc w:val="right"/>
          </w:pPr>
          <w:r w:rsidRPr="00487162">
            <w:t xml:space="preserve">Page </w:t>
          </w:r>
          <w:r w:rsidR="004924E0">
            <w:fldChar w:fldCharType="begin"/>
          </w:r>
          <w:r w:rsidR="004924E0">
            <w:instrText>PAGE</w:instrText>
          </w:r>
          <w:r w:rsidR="004924E0">
            <w:fldChar w:fldCharType="separate"/>
          </w:r>
          <w:r w:rsidR="00602B78">
            <w:rPr>
              <w:noProof/>
            </w:rPr>
            <w:t>4</w:t>
          </w:r>
          <w:r w:rsidR="004924E0">
            <w:fldChar w:fldCharType="end"/>
          </w:r>
          <w:r w:rsidRPr="00487162">
            <w:t xml:space="preserve"> of </w:t>
          </w:r>
          <w:r w:rsidR="00602B78">
            <w:fldChar w:fldCharType="begin"/>
          </w:r>
          <w:r w:rsidR="00602B78">
            <w:instrText xml:space="preserve"> NUMPAGES  \* Arabic </w:instrText>
          </w:r>
          <w:r w:rsidR="00602B78">
            <w:fldChar w:fldCharType="separate"/>
          </w:r>
          <w:r w:rsidR="00602B78">
            <w:rPr>
              <w:noProof/>
            </w:rPr>
            <w:t>37</w:t>
          </w:r>
          <w:r w:rsidR="00602B78">
            <w:rPr>
              <w:noProof/>
            </w:rPr>
            <w:fldChar w:fldCharType="end"/>
          </w:r>
        </w:p>
      </w:tc>
    </w:tr>
  </w:tbl>
  <w:p w:rsidR="007E6E27" w:rsidRDefault="007E6E27"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E6E27" w:rsidRPr="00487162" w:rsidTr="00E45619">
      <w:trPr>
        <w:trHeight w:val="269"/>
      </w:trPr>
      <w:tc>
        <w:tcPr>
          <w:tcW w:w="4519" w:type="dxa"/>
          <w:tcBorders>
            <w:top w:val="single" w:sz="4" w:space="0" w:color="auto"/>
          </w:tcBorders>
          <w:tcMar>
            <w:top w:w="142" w:type="dxa"/>
            <w:bottom w:w="0" w:type="dxa"/>
          </w:tcMar>
        </w:tcPr>
        <w:p w:rsidR="007E6E27" w:rsidRPr="00487162" w:rsidRDefault="007E6E27" w:rsidP="00FE1DEE">
          <w:pPr>
            <w:pStyle w:val="Footer"/>
          </w:pPr>
          <w:r w:rsidRPr="00487162">
            <w:t>Document title, Part #, Section # - Section title</w:t>
          </w:r>
        </w:p>
        <w:p w:rsidR="007E6E27" w:rsidRPr="00487162" w:rsidRDefault="007E6E27" w:rsidP="00FE1DEE">
          <w:pPr>
            <w:pStyle w:val="Footer"/>
          </w:pPr>
          <w:r w:rsidRPr="00487162">
            <w:t>V1.0 October 2010</w:t>
          </w:r>
        </w:p>
      </w:tc>
      <w:tc>
        <w:tcPr>
          <w:tcW w:w="4342" w:type="dxa"/>
          <w:tcBorders>
            <w:top w:val="single" w:sz="4" w:space="0" w:color="auto"/>
          </w:tcBorders>
          <w:tcMar>
            <w:top w:w="142" w:type="dxa"/>
            <w:bottom w:w="0" w:type="dxa"/>
          </w:tcMar>
        </w:tcPr>
        <w:p w:rsidR="007E6E27" w:rsidRPr="00487162" w:rsidRDefault="007E6E27" w:rsidP="00E45619">
          <w:pPr>
            <w:pStyle w:val="Footer"/>
            <w:jc w:val="right"/>
          </w:pPr>
          <w:r w:rsidRPr="00487162">
            <w:t xml:space="preserve">Page </w:t>
          </w:r>
          <w:r w:rsidR="004924E0">
            <w:fldChar w:fldCharType="begin"/>
          </w:r>
          <w:r w:rsidR="004924E0">
            <w:instrText xml:space="preserve"> PAGE   \* MERGEFORMAT </w:instrText>
          </w:r>
          <w:r w:rsidR="004924E0">
            <w:fldChar w:fldCharType="separate"/>
          </w:r>
          <w:r w:rsidRPr="00487162">
            <w:rPr>
              <w:noProof/>
            </w:rPr>
            <w:t>3</w:t>
          </w:r>
          <w:r w:rsidR="004924E0">
            <w:fldChar w:fldCharType="end"/>
          </w:r>
          <w:r w:rsidRPr="00487162">
            <w:t xml:space="preserve"> of </w:t>
          </w:r>
          <w:r w:rsidR="00602B78">
            <w:fldChar w:fldCharType="begin"/>
          </w:r>
          <w:r w:rsidR="00602B78">
            <w:instrText xml:space="preserve"> NUMPAGES  </w:instrText>
          </w:r>
          <w:r w:rsidR="00602B78">
            <w:fldChar w:fldCharType="separate"/>
          </w:r>
          <w:r w:rsidR="00D85536">
            <w:rPr>
              <w:noProof/>
            </w:rPr>
            <w:t>27</w:t>
          </w:r>
          <w:r w:rsidR="00602B78">
            <w:rPr>
              <w:noProof/>
            </w:rPr>
            <w:fldChar w:fldCharType="end"/>
          </w:r>
        </w:p>
      </w:tc>
    </w:tr>
  </w:tbl>
  <w:p w:rsidR="007E6E27" w:rsidRDefault="007E6E2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7E6E27" w:rsidRPr="00487162" w:rsidTr="008D770F">
      <w:trPr>
        <w:trHeight w:hRule="exact" w:val="564"/>
      </w:trPr>
      <w:tc>
        <w:tcPr>
          <w:tcW w:w="9175" w:type="dxa"/>
        </w:tcPr>
        <w:p w:rsidR="007E6E27" w:rsidRPr="00487162" w:rsidRDefault="007E6E27" w:rsidP="008E7846">
          <w:pPr>
            <w:pStyle w:val="TGASignoff"/>
          </w:pPr>
          <w:r w:rsidRPr="00487162">
            <w:t>Therapeutic Goods Administration</w:t>
          </w:r>
        </w:p>
      </w:tc>
    </w:tr>
    <w:tr w:rsidR="007E6E27" w:rsidRPr="00487162" w:rsidTr="00E45619">
      <w:trPr>
        <w:trHeight w:val="1221"/>
      </w:trPr>
      <w:tc>
        <w:tcPr>
          <w:tcW w:w="9175" w:type="dxa"/>
          <w:tcMar>
            <w:top w:w="28" w:type="dxa"/>
          </w:tcMar>
        </w:tcPr>
        <w:p w:rsidR="007E6E27" w:rsidRPr="00487162" w:rsidRDefault="007E6E27" w:rsidP="00E45619">
          <w:pPr>
            <w:pStyle w:val="Address"/>
          </w:pPr>
          <w:r w:rsidRPr="00487162">
            <w:t>PO Box 100 Woden ACT 2606 Australia</w:t>
          </w:r>
        </w:p>
        <w:p w:rsidR="007E6E27" w:rsidRPr="00487162" w:rsidRDefault="007E6E27"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7E6E27" w:rsidRPr="008D770F" w:rsidRDefault="00602B78" w:rsidP="008D770F">
          <w:pPr>
            <w:pStyle w:val="Address"/>
            <w:spacing w:line="260" w:lineRule="atLeast"/>
            <w:rPr>
              <w:b/>
              <w:color w:val="0000FF"/>
              <w:u w:val="single"/>
            </w:rPr>
          </w:pPr>
          <w:hyperlink r:id="rId2" w:history="1">
            <w:r w:rsidR="003B1113" w:rsidRPr="007C06C7">
              <w:rPr>
                <w:rStyle w:val="Hyperlink"/>
                <w:b/>
              </w:rPr>
              <w:t>http://www.tga.gov.au</w:t>
            </w:r>
          </w:hyperlink>
        </w:p>
      </w:tc>
    </w:tr>
  </w:tbl>
  <w:p w:rsidR="007E6E27" w:rsidRDefault="007E6E27"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E6E27" w:rsidTr="0010601F">
      <w:trPr>
        <w:trHeight w:val="108"/>
      </w:trPr>
      <w:tc>
        <w:tcPr>
          <w:tcW w:w="8875" w:type="dxa"/>
          <w:gridSpan w:val="2"/>
          <w:tcBorders>
            <w:bottom w:val="single" w:sz="4" w:space="0" w:color="auto"/>
          </w:tcBorders>
          <w:tcMar>
            <w:right w:w="284" w:type="dxa"/>
          </w:tcMar>
        </w:tcPr>
        <w:p w:rsidR="007E6E27" w:rsidRDefault="007E6E27" w:rsidP="006E08B3">
          <w:pPr>
            <w:pStyle w:val="Heading3"/>
          </w:pPr>
          <w:r>
            <w:t>Copyright</w:t>
          </w:r>
        </w:p>
        <w:p w:rsidR="007E6E27" w:rsidRDefault="007E6E27" w:rsidP="006E08B3">
          <w:r>
            <w:rPr>
              <w:rFonts w:cs="Arial"/>
            </w:rPr>
            <w:t>©</w:t>
          </w:r>
          <w:r>
            <w:t xml:space="preserve"> Commonwealth of Australia [add year]</w:t>
          </w:r>
        </w:p>
        <w:p w:rsidR="007E6E27" w:rsidRDefault="007E6E27" w:rsidP="006E08B3"/>
        <w:p w:rsidR="007E6E27" w:rsidRDefault="007E6E2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E6E27" w:rsidRDefault="007E6E27" w:rsidP="006E08B3"/>
        <w:p w:rsidR="007E6E27" w:rsidRDefault="007E6E27" w:rsidP="006E08B3">
          <w:pPr>
            <w:pStyle w:val="Heading3"/>
          </w:pPr>
          <w:r>
            <w:t>Confidentiality</w:t>
          </w:r>
        </w:p>
        <w:p w:rsidR="007E6E27" w:rsidRDefault="007E6E2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E6E27" w:rsidRDefault="007E6E27" w:rsidP="006E08B3"/>
        <w:p w:rsidR="007E6E27" w:rsidRDefault="007E6E27" w:rsidP="006E08B3">
          <w:r>
            <w:t>For submission made by individuals, all personal details, other than your name, will be removed from your submission before it is published on the TGA’s Internet site.</w:t>
          </w:r>
        </w:p>
        <w:p w:rsidR="007E6E27" w:rsidRDefault="007E6E27" w:rsidP="006E08B3"/>
        <w:p w:rsidR="007E6E27" w:rsidRDefault="007E6E2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E6E27" w:rsidTr="0010601F">
      <w:trPr>
        <w:trHeight w:val="417"/>
      </w:trPr>
      <w:tc>
        <w:tcPr>
          <w:tcW w:w="4519" w:type="dxa"/>
          <w:tcBorders>
            <w:top w:val="single" w:sz="4" w:space="0" w:color="auto"/>
          </w:tcBorders>
          <w:tcMar>
            <w:top w:w="142" w:type="dxa"/>
            <w:bottom w:w="0" w:type="dxa"/>
          </w:tcMar>
        </w:tcPr>
        <w:p w:rsidR="007E6E27" w:rsidRDefault="007E6E27" w:rsidP="006E08B3">
          <w:r>
            <w:t>Document title, Part #, Section # - Section title</w:t>
          </w:r>
        </w:p>
        <w:p w:rsidR="007E6E27" w:rsidRDefault="007E6E27" w:rsidP="006E08B3">
          <w:r>
            <w:t>V1.0 October 2010</w:t>
          </w:r>
        </w:p>
      </w:tc>
      <w:tc>
        <w:tcPr>
          <w:tcW w:w="4356" w:type="dxa"/>
          <w:tcBorders>
            <w:top w:val="single" w:sz="4" w:space="0" w:color="auto"/>
          </w:tcBorders>
          <w:tcMar>
            <w:top w:w="142" w:type="dxa"/>
            <w:bottom w:w="0" w:type="dxa"/>
          </w:tcMar>
        </w:tcPr>
        <w:p w:rsidR="007E6E27" w:rsidRDefault="007E6E27" w:rsidP="006E08B3">
          <w:pPr>
            <w:jc w:val="right"/>
          </w:pPr>
          <w:r>
            <w:t xml:space="preserve">Page </w:t>
          </w:r>
          <w:r w:rsidR="004924E0">
            <w:fldChar w:fldCharType="begin"/>
          </w:r>
          <w:r w:rsidR="004924E0">
            <w:instrText xml:space="preserve"> PAGE   \* MERGEFORMAT </w:instrText>
          </w:r>
          <w:r w:rsidR="004924E0">
            <w:fldChar w:fldCharType="separate"/>
          </w:r>
          <w:r>
            <w:rPr>
              <w:noProof/>
            </w:rPr>
            <w:t>1</w:t>
          </w:r>
          <w:r w:rsidR="004924E0">
            <w:fldChar w:fldCharType="end"/>
          </w:r>
          <w:r>
            <w:t xml:space="preserve"> of </w:t>
          </w:r>
          <w:r w:rsidR="00602B78">
            <w:fldChar w:fldCharType="begin"/>
          </w:r>
          <w:r w:rsidR="00602B78">
            <w:instrText xml:space="preserve"> NUMPAGES  \* Arabic </w:instrText>
          </w:r>
          <w:r w:rsidR="00602B78">
            <w:fldChar w:fldCharType="separate"/>
          </w:r>
          <w:r w:rsidR="00D85536">
            <w:rPr>
              <w:noProof/>
            </w:rPr>
            <w:t>27</w:t>
          </w:r>
          <w:r w:rsidR="00602B78">
            <w:rPr>
              <w:noProof/>
            </w:rPr>
            <w:fldChar w:fldCharType="end"/>
          </w:r>
          <w:r>
            <w:t xml:space="preserve">  </w:t>
          </w:r>
        </w:p>
      </w:tc>
    </w:tr>
  </w:tbl>
  <w:p w:rsidR="007E6E27" w:rsidRDefault="007E6E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9AE" w:rsidRDefault="004529AE" w:rsidP="00C40A36">
      <w:pPr>
        <w:spacing w:after="0"/>
      </w:pPr>
      <w:r>
        <w:separator/>
      </w:r>
    </w:p>
  </w:footnote>
  <w:footnote w:type="continuationSeparator" w:id="0">
    <w:p w:rsidR="004529AE" w:rsidRDefault="004529AE"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366D1C">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68565" cy="10706100"/>
          <wp:effectExtent l="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E27" w:rsidRDefault="00366D1C" w:rsidP="00593AD1">
    <w:pPr>
      <w:pStyle w:val="HeaderNoLine"/>
    </w:pPr>
    <w:r>
      <w:rPr>
        <w:noProof/>
        <w:lang w:eastAsia="en-AU"/>
      </w:rPr>
      <w:drawing>
        <wp:inline distT="0" distB="0" distL="0" distR="0">
          <wp:extent cx="5400040" cy="7633335"/>
          <wp:effectExtent l="0" t="0" r="0" b="5715"/>
          <wp:docPr id="18" name="Picture 18"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333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E27" w:rsidRDefault="007E6E27" w:rsidP="006E08B3">
    <w:r>
      <w:t>Therapeutic Goods Administration</w:t>
    </w:r>
  </w:p>
  <w:p w:rsidR="007E6E27" w:rsidRDefault="007E6E2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A2D0654"/>
    <w:multiLevelType w:val="hybridMultilevel"/>
    <w:tmpl w:val="D1A07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3D25636"/>
    <w:multiLevelType w:val="hybridMultilevel"/>
    <w:tmpl w:val="39F87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066740A"/>
    <w:multiLevelType w:val="hybridMultilevel"/>
    <w:tmpl w:val="3702D520"/>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0D03231"/>
    <w:multiLevelType w:val="hybridMultilevel"/>
    <w:tmpl w:val="7CE4BB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2B44459"/>
    <w:multiLevelType w:val="hybridMultilevel"/>
    <w:tmpl w:val="9E908F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4C9D5856"/>
    <w:multiLevelType w:val="hybridMultilevel"/>
    <w:tmpl w:val="2C123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522D50F2"/>
    <w:multiLevelType w:val="hybridMultilevel"/>
    <w:tmpl w:val="195C4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B8D0C3A"/>
    <w:multiLevelType w:val="hybridMultilevel"/>
    <w:tmpl w:val="647EC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8">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9">
    <w:nsid w:val="7CA22459"/>
    <w:multiLevelType w:val="hybridMultilevel"/>
    <w:tmpl w:val="2EA6F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9"/>
  </w:num>
  <w:num w:numId="26">
    <w:abstractNumId w:val="13"/>
  </w:num>
  <w:num w:numId="27">
    <w:abstractNumId w:val="16"/>
  </w:num>
  <w:num w:numId="28">
    <w:abstractNumId w:val="17"/>
  </w:num>
  <w:num w:numId="29">
    <w:abstractNumId w:val="18"/>
  </w:num>
  <w:num w:numId="30">
    <w:abstractNumId w:val="18"/>
  </w:num>
  <w:num w:numId="31">
    <w:abstractNumId w:val="18"/>
  </w:num>
  <w:num w:numId="3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9"/>
  </w:num>
  <w:num w:numId="34">
    <w:abstractNumId w:val="8"/>
  </w:num>
  <w:num w:numId="35">
    <w:abstractNumId w:val="15"/>
  </w:num>
  <w:num w:numId="36">
    <w:abstractNumId w:val="10"/>
  </w:num>
  <w:num w:numId="37">
    <w:abstractNumId w:val="12"/>
  </w:num>
  <w:num w:numId="38">
    <w:abstractNumId w:val="7"/>
  </w:num>
  <w:num w:numId="39">
    <w:abstractNumId w:val="4"/>
  </w:num>
  <w:num w:numId="40">
    <w:abstractNumId w:val="14"/>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E7C"/>
    <w:rsid w:val="00002031"/>
    <w:rsid w:val="00004734"/>
    <w:rsid w:val="00006B22"/>
    <w:rsid w:val="0001276A"/>
    <w:rsid w:val="000246AE"/>
    <w:rsid w:val="00025C67"/>
    <w:rsid w:val="00030574"/>
    <w:rsid w:val="000306EC"/>
    <w:rsid w:val="00033058"/>
    <w:rsid w:val="00036629"/>
    <w:rsid w:val="00040659"/>
    <w:rsid w:val="00040ACB"/>
    <w:rsid w:val="0004323C"/>
    <w:rsid w:val="00044CC1"/>
    <w:rsid w:val="000525AD"/>
    <w:rsid w:val="00054285"/>
    <w:rsid w:val="0005559E"/>
    <w:rsid w:val="00073850"/>
    <w:rsid w:val="00074B1E"/>
    <w:rsid w:val="00077775"/>
    <w:rsid w:val="00087B04"/>
    <w:rsid w:val="00090471"/>
    <w:rsid w:val="00095CEF"/>
    <w:rsid w:val="00096BB4"/>
    <w:rsid w:val="000A3AED"/>
    <w:rsid w:val="000A63AF"/>
    <w:rsid w:val="000B3532"/>
    <w:rsid w:val="000B3A75"/>
    <w:rsid w:val="000C16A7"/>
    <w:rsid w:val="000C690F"/>
    <w:rsid w:val="000D1295"/>
    <w:rsid w:val="000D391B"/>
    <w:rsid w:val="000D3D6D"/>
    <w:rsid w:val="000D4FC7"/>
    <w:rsid w:val="000F02F9"/>
    <w:rsid w:val="000F4869"/>
    <w:rsid w:val="000F5B42"/>
    <w:rsid w:val="000F6E6F"/>
    <w:rsid w:val="00104613"/>
    <w:rsid w:val="0010601F"/>
    <w:rsid w:val="00107341"/>
    <w:rsid w:val="0010788A"/>
    <w:rsid w:val="00107A31"/>
    <w:rsid w:val="00110EA5"/>
    <w:rsid w:val="00112F56"/>
    <w:rsid w:val="001133F3"/>
    <w:rsid w:val="00125318"/>
    <w:rsid w:val="001305A2"/>
    <w:rsid w:val="00133238"/>
    <w:rsid w:val="00137529"/>
    <w:rsid w:val="0014197B"/>
    <w:rsid w:val="001447CD"/>
    <w:rsid w:val="0015108B"/>
    <w:rsid w:val="001516B1"/>
    <w:rsid w:val="00154EBB"/>
    <w:rsid w:val="00156316"/>
    <w:rsid w:val="00163E42"/>
    <w:rsid w:val="00164898"/>
    <w:rsid w:val="00165389"/>
    <w:rsid w:val="0017078F"/>
    <w:rsid w:val="0017693F"/>
    <w:rsid w:val="0018110E"/>
    <w:rsid w:val="00181684"/>
    <w:rsid w:val="001843C6"/>
    <w:rsid w:val="001850E0"/>
    <w:rsid w:val="001865D6"/>
    <w:rsid w:val="001908EB"/>
    <w:rsid w:val="001A2158"/>
    <w:rsid w:val="001A31EC"/>
    <w:rsid w:val="001A3786"/>
    <w:rsid w:val="001A525F"/>
    <w:rsid w:val="001B09F9"/>
    <w:rsid w:val="001B6448"/>
    <w:rsid w:val="001C35E8"/>
    <w:rsid w:val="001E07CF"/>
    <w:rsid w:val="001E4C5C"/>
    <w:rsid w:val="001E59F1"/>
    <w:rsid w:val="001F3DD5"/>
    <w:rsid w:val="001F49EB"/>
    <w:rsid w:val="001F6B54"/>
    <w:rsid w:val="001F6CBA"/>
    <w:rsid w:val="00201D4E"/>
    <w:rsid w:val="00202E62"/>
    <w:rsid w:val="002063B9"/>
    <w:rsid w:val="002076C9"/>
    <w:rsid w:val="00211CF6"/>
    <w:rsid w:val="00220B8A"/>
    <w:rsid w:val="00223E94"/>
    <w:rsid w:val="002257F3"/>
    <w:rsid w:val="00233456"/>
    <w:rsid w:val="002339A5"/>
    <w:rsid w:val="00235827"/>
    <w:rsid w:val="00237A44"/>
    <w:rsid w:val="00246349"/>
    <w:rsid w:val="00255245"/>
    <w:rsid w:val="00257848"/>
    <w:rsid w:val="00263F74"/>
    <w:rsid w:val="002666AC"/>
    <w:rsid w:val="0027084A"/>
    <w:rsid w:val="00286434"/>
    <w:rsid w:val="00286C59"/>
    <w:rsid w:val="00292113"/>
    <w:rsid w:val="002937F5"/>
    <w:rsid w:val="002942D1"/>
    <w:rsid w:val="0029501A"/>
    <w:rsid w:val="00297CB2"/>
    <w:rsid w:val="002A26EE"/>
    <w:rsid w:val="002B1638"/>
    <w:rsid w:val="002B4908"/>
    <w:rsid w:val="002B7D71"/>
    <w:rsid w:val="002C1295"/>
    <w:rsid w:val="002C63ED"/>
    <w:rsid w:val="002D06E3"/>
    <w:rsid w:val="002D245C"/>
    <w:rsid w:val="002D6161"/>
    <w:rsid w:val="002D656B"/>
    <w:rsid w:val="002E4C9A"/>
    <w:rsid w:val="002E5F0B"/>
    <w:rsid w:val="002F11F8"/>
    <w:rsid w:val="002F3F56"/>
    <w:rsid w:val="002F44B5"/>
    <w:rsid w:val="002F4A97"/>
    <w:rsid w:val="002F4C25"/>
    <w:rsid w:val="002F510F"/>
    <w:rsid w:val="00301A24"/>
    <w:rsid w:val="00311AC0"/>
    <w:rsid w:val="00312D04"/>
    <w:rsid w:val="00320788"/>
    <w:rsid w:val="0032124E"/>
    <w:rsid w:val="00321A46"/>
    <w:rsid w:val="0032583B"/>
    <w:rsid w:val="00327883"/>
    <w:rsid w:val="00335504"/>
    <w:rsid w:val="003355F8"/>
    <w:rsid w:val="0034188C"/>
    <w:rsid w:val="003521E8"/>
    <w:rsid w:val="0035594E"/>
    <w:rsid w:val="00356065"/>
    <w:rsid w:val="003630A3"/>
    <w:rsid w:val="00366D1C"/>
    <w:rsid w:val="003728F3"/>
    <w:rsid w:val="0037496E"/>
    <w:rsid w:val="0037623D"/>
    <w:rsid w:val="00377094"/>
    <w:rsid w:val="003824E3"/>
    <w:rsid w:val="00386150"/>
    <w:rsid w:val="003874CE"/>
    <w:rsid w:val="00390900"/>
    <w:rsid w:val="00395DE5"/>
    <w:rsid w:val="00396C92"/>
    <w:rsid w:val="003A405B"/>
    <w:rsid w:val="003A65D3"/>
    <w:rsid w:val="003A7F6C"/>
    <w:rsid w:val="003B1113"/>
    <w:rsid w:val="003B4D60"/>
    <w:rsid w:val="003B634F"/>
    <w:rsid w:val="003B7E39"/>
    <w:rsid w:val="003C53FF"/>
    <w:rsid w:val="003C58DC"/>
    <w:rsid w:val="003D0A3B"/>
    <w:rsid w:val="003D1E62"/>
    <w:rsid w:val="003E2486"/>
    <w:rsid w:val="003E3208"/>
    <w:rsid w:val="003F0B04"/>
    <w:rsid w:val="003F5A15"/>
    <w:rsid w:val="0040134E"/>
    <w:rsid w:val="00412863"/>
    <w:rsid w:val="00415D59"/>
    <w:rsid w:val="004241B2"/>
    <w:rsid w:val="004375DA"/>
    <w:rsid w:val="0043797D"/>
    <w:rsid w:val="00440A2D"/>
    <w:rsid w:val="00441AA4"/>
    <w:rsid w:val="004529AE"/>
    <w:rsid w:val="0045396F"/>
    <w:rsid w:val="004564A7"/>
    <w:rsid w:val="00456FAD"/>
    <w:rsid w:val="004617BF"/>
    <w:rsid w:val="004634BA"/>
    <w:rsid w:val="00463658"/>
    <w:rsid w:val="00464530"/>
    <w:rsid w:val="004678D4"/>
    <w:rsid w:val="004711D5"/>
    <w:rsid w:val="004722CC"/>
    <w:rsid w:val="004924E0"/>
    <w:rsid w:val="004936E4"/>
    <w:rsid w:val="00493DD8"/>
    <w:rsid w:val="00494E60"/>
    <w:rsid w:val="00496065"/>
    <w:rsid w:val="00497487"/>
    <w:rsid w:val="004A0839"/>
    <w:rsid w:val="004A4AEE"/>
    <w:rsid w:val="004A7E13"/>
    <w:rsid w:val="004B27A0"/>
    <w:rsid w:val="004B7B76"/>
    <w:rsid w:val="004C2DCA"/>
    <w:rsid w:val="004E5C5E"/>
    <w:rsid w:val="004E6A9C"/>
    <w:rsid w:val="004F0F38"/>
    <w:rsid w:val="00501921"/>
    <w:rsid w:val="005032A5"/>
    <w:rsid w:val="00522332"/>
    <w:rsid w:val="00525856"/>
    <w:rsid w:val="00530354"/>
    <w:rsid w:val="00534E7C"/>
    <w:rsid w:val="00535899"/>
    <w:rsid w:val="0053625B"/>
    <w:rsid w:val="0054317B"/>
    <w:rsid w:val="005434C6"/>
    <w:rsid w:val="00543B39"/>
    <w:rsid w:val="00544B57"/>
    <w:rsid w:val="00550096"/>
    <w:rsid w:val="005541A2"/>
    <w:rsid w:val="00554C7E"/>
    <w:rsid w:val="00557D99"/>
    <w:rsid w:val="00557FF9"/>
    <w:rsid w:val="005630AA"/>
    <w:rsid w:val="005738F4"/>
    <w:rsid w:val="005742ED"/>
    <w:rsid w:val="00576378"/>
    <w:rsid w:val="00577945"/>
    <w:rsid w:val="00577E38"/>
    <w:rsid w:val="00585322"/>
    <w:rsid w:val="005857C6"/>
    <w:rsid w:val="00586F98"/>
    <w:rsid w:val="0059038F"/>
    <w:rsid w:val="00592F6E"/>
    <w:rsid w:val="00593AD1"/>
    <w:rsid w:val="005A3593"/>
    <w:rsid w:val="005A68B6"/>
    <w:rsid w:val="005B34FE"/>
    <w:rsid w:val="005C5570"/>
    <w:rsid w:val="005C79A4"/>
    <w:rsid w:val="005C7D99"/>
    <w:rsid w:val="005D5442"/>
    <w:rsid w:val="005F5739"/>
    <w:rsid w:val="00602B78"/>
    <w:rsid w:val="00603F32"/>
    <w:rsid w:val="006044A0"/>
    <w:rsid w:val="00617691"/>
    <w:rsid w:val="00620406"/>
    <w:rsid w:val="006209D2"/>
    <w:rsid w:val="006231DF"/>
    <w:rsid w:val="006258AC"/>
    <w:rsid w:val="0062745F"/>
    <w:rsid w:val="00630C59"/>
    <w:rsid w:val="00631C8A"/>
    <w:rsid w:val="00632398"/>
    <w:rsid w:val="00635574"/>
    <w:rsid w:val="00640FC3"/>
    <w:rsid w:val="00642020"/>
    <w:rsid w:val="00646206"/>
    <w:rsid w:val="0064660D"/>
    <w:rsid w:val="0065337B"/>
    <w:rsid w:val="0065419D"/>
    <w:rsid w:val="006604D8"/>
    <w:rsid w:val="006617F0"/>
    <w:rsid w:val="00664A5B"/>
    <w:rsid w:val="00667F41"/>
    <w:rsid w:val="00673D31"/>
    <w:rsid w:val="006763D2"/>
    <w:rsid w:val="00680C08"/>
    <w:rsid w:val="00682FB2"/>
    <w:rsid w:val="006931B1"/>
    <w:rsid w:val="006A15C0"/>
    <w:rsid w:val="006A36F4"/>
    <w:rsid w:val="006A56FC"/>
    <w:rsid w:val="006A6E50"/>
    <w:rsid w:val="006B657F"/>
    <w:rsid w:val="006C130C"/>
    <w:rsid w:val="006C1AC1"/>
    <w:rsid w:val="006C3E2A"/>
    <w:rsid w:val="006C624F"/>
    <w:rsid w:val="006C642F"/>
    <w:rsid w:val="006D03E5"/>
    <w:rsid w:val="006D5D3E"/>
    <w:rsid w:val="006E08B3"/>
    <w:rsid w:val="006E6F2E"/>
    <w:rsid w:val="006F0E7C"/>
    <w:rsid w:val="006F17AC"/>
    <w:rsid w:val="006F1D37"/>
    <w:rsid w:val="006F2796"/>
    <w:rsid w:val="006F2DCF"/>
    <w:rsid w:val="006F572E"/>
    <w:rsid w:val="007046D6"/>
    <w:rsid w:val="00705DB0"/>
    <w:rsid w:val="00707CD0"/>
    <w:rsid w:val="00711FC4"/>
    <w:rsid w:val="00722B57"/>
    <w:rsid w:val="007252E5"/>
    <w:rsid w:val="007256C7"/>
    <w:rsid w:val="00733AFD"/>
    <w:rsid w:val="0074253D"/>
    <w:rsid w:val="0074429B"/>
    <w:rsid w:val="007513B4"/>
    <w:rsid w:val="007615BC"/>
    <w:rsid w:val="00762807"/>
    <w:rsid w:val="00762F05"/>
    <w:rsid w:val="00763DAF"/>
    <w:rsid w:val="007646C3"/>
    <w:rsid w:val="007652FF"/>
    <w:rsid w:val="00766976"/>
    <w:rsid w:val="00770EF1"/>
    <w:rsid w:val="00773EF7"/>
    <w:rsid w:val="007749FC"/>
    <w:rsid w:val="00774E1D"/>
    <w:rsid w:val="007761AD"/>
    <w:rsid w:val="0077675A"/>
    <w:rsid w:val="00780355"/>
    <w:rsid w:val="00785721"/>
    <w:rsid w:val="00793A59"/>
    <w:rsid w:val="00797842"/>
    <w:rsid w:val="007A2D5C"/>
    <w:rsid w:val="007B2E9A"/>
    <w:rsid w:val="007B6E9F"/>
    <w:rsid w:val="007C1216"/>
    <w:rsid w:val="007C1AF7"/>
    <w:rsid w:val="007D2774"/>
    <w:rsid w:val="007E20BE"/>
    <w:rsid w:val="007E3ABB"/>
    <w:rsid w:val="007E4B88"/>
    <w:rsid w:val="007E6E27"/>
    <w:rsid w:val="007F1AA9"/>
    <w:rsid w:val="007F6B92"/>
    <w:rsid w:val="00803A16"/>
    <w:rsid w:val="00805D27"/>
    <w:rsid w:val="00821776"/>
    <w:rsid w:val="008321F5"/>
    <w:rsid w:val="00832369"/>
    <w:rsid w:val="00834660"/>
    <w:rsid w:val="00836BC2"/>
    <w:rsid w:val="00840283"/>
    <w:rsid w:val="008414A0"/>
    <w:rsid w:val="00842DA6"/>
    <w:rsid w:val="0085641B"/>
    <w:rsid w:val="00857136"/>
    <w:rsid w:val="00861E6E"/>
    <w:rsid w:val="00864BAE"/>
    <w:rsid w:val="00865240"/>
    <w:rsid w:val="00870AD8"/>
    <w:rsid w:val="00882B65"/>
    <w:rsid w:val="00886D15"/>
    <w:rsid w:val="00887DD8"/>
    <w:rsid w:val="008905B7"/>
    <w:rsid w:val="008952DA"/>
    <w:rsid w:val="00896018"/>
    <w:rsid w:val="008960DD"/>
    <w:rsid w:val="0089635C"/>
    <w:rsid w:val="008A2B9D"/>
    <w:rsid w:val="008A5E0B"/>
    <w:rsid w:val="008A6D59"/>
    <w:rsid w:val="008B18F2"/>
    <w:rsid w:val="008B4B03"/>
    <w:rsid w:val="008B596F"/>
    <w:rsid w:val="008B5A3E"/>
    <w:rsid w:val="008B74D1"/>
    <w:rsid w:val="008C131E"/>
    <w:rsid w:val="008C159F"/>
    <w:rsid w:val="008C1623"/>
    <w:rsid w:val="008C1850"/>
    <w:rsid w:val="008C4B6C"/>
    <w:rsid w:val="008C51A9"/>
    <w:rsid w:val="008D3EBC"/>
    <w:rsid w:val="008D770F"/>
    <w:rsid w:val="008E3B22"/>
    <w:rsid w:val="008E7846"/>
    <w:rsid w:val="008F1CCC"/>
    <w:rsid w:val="008F2967"/>
    <w:rsid w:val="008F6943"/>
    <w:rsid w:val="00902A21"/>
    <w:rsid w:val="00906075"/>
    <w:rsid w:val="00920330"/>
    <w:rsid w:val="009219D7"/>
    <w:rsid w:val="00922D53"/>
    <w:rsid w:val="00923B70"/>
    <w:rsid w:val="00924482"/>
    <w:rsid w:val="009253F6"/>
    <w:rsid w:val="00930237"/>
    <w:rsid w:val="00931B7E"/>
    <w:rsid w:val="00935D4B"/>
    <w:rsid w:val="00946EA5"/>
    <w:rsid w:val="0095160F"/>
    <w:rsid w:val="00963C08"/>
    <w:rsid w:val="00975680"/>
    <w:rsid w:val="009757B0"/>
    <w:rsid w:val="0098585A"/>
    <w:rsid w:val="0098669D"/>
    <w:rsid w:val="00990251"/>
    <w:rsid w:val="009A4CED"/>
    <w:rsid w:val="009A690D"/>
    <w:rsid w:val="009B1D12"/>
    <w:rsid w:val="009B295F"/>
    <w:rsid w:val="009B416B"/>
    <w:rsid w:val="009C4BD5"/>
    <w:rsid w:val="009D7B77"/>
    <w:rsid w:val="009E0BB0"/>
    <w:rsid w:val="009E3FBB"/>
    <w:rsid w:val="009F66D1"/>
    <w:rsid w:val="009F68EC"/>
    <w:rsid w:val="00A102E4"/>
    <w:rsid w:val="00A10A7D"/>
    <w:rsid w:val="00A12C42"/>
    <w:rsid w:val="00A14DF7"/>
    <w:rsid w:val="00A206FB"/>
    <w:rsid w:val="00A235D9"/>
    <w:rsid w:val="00A24A85"/>
    <w:rsid w:val="00A25F6C"/>
    <w:rsid w:val="00A3246D"/>
    <w:rsid w:val="00A329E6"/>
    <w:rsid w:val="00A36FA7"/>
    <w:rsid w:val="00A43D8C"/>
    <w:rsid w:val="00A44512"/>
    <w:rsid w:val="00A446B3"/>
    <w:rsid w:val="00A475B7"/>
    <w:rsid w:val="00A47AF7"/>
    <w:rsid w:val="00A47C3E"/>
    <w:rsid w:val="00A50226"/>
    <w:rsid w:val="00A52614"/>
    <w:rsid w:val="00A60BAD"/>
    <w:rsid w:val="00A66E09"/>
    <w:rsid w:val="00A74E25"/>
    <w:rsid w:val="00A85991"/>
    <w:rsid w:val="00A85A96"/>
    <w:rsid w:val="00A964D1"/>
    <w:rsid w:val="00AA0ED0"/>
    <w:rsid w:val="00AA3499"/>
    <w:rsid w:val="00AA610A"/>
    <w:rsid w:val="00AB1E72"/>
    <w:rsid w:val="00AB417E"/>
    <w:rsid w:val="00AC2B40"/>
    <w:rsid w:val="00AC2BB2"/>
    <w:rsid w:val="00AC2C3C"/>
    <w:rsid w:val="00AC3AB0"/>
    <w:rsid w:val="00AC4C9C"/>
    <w:rsid w:val="00AC512D"/>
    <w:rsid w:val="00AD09C2"/>
    <w:rsid w:val="00AD0E20"/>
    <w:rsid w:val="00AE01C2"/>
    <w:rsid w:val="00AE2CDF"/>
    <w:rsid w:val="00AE65EB"/>
    <w:rsid w:val="00AE67A7"/>
    <w:rsid w:val="00AF1D94"/>
    <w:rsid w:val="00AF60C5"/>
    <w:rsid w:val="00B009C6"/>
    <w:rsid w:val="00B01548"/>
    <w:rsid w:val="00B02208"/>
    <w:rsid w:val="00B138EE"/>
    <w:rsid w:val="00B1425E"/>
    <w:rsid w:val="00B2192F"/>
    <w:rsid w:val="00B21D29"/>
    <w:rsid w:val="00B239DE"/>
    <w:rsid w:val="00B25034"/>
    <w:rsid w:val="00B26497"/>
    <w:rsid w:val="00B33588"/>
    <w:rsid w:val="00B33863"/>
    <w:rsid w:val="00B37D17"/>
    <w:rsid w:val="00B40D84"/>
    <w:rsid w:val="00B4175E"/>
    <w:rsid w:val="00B42034"/>
    <w:rsid w:val="00B452CE"/>
    <w:rsid w:val="00B46C1C"/>
    <w:rsid w:val="00B544D3"/>
    <w:rsid w:val="00B54C25"/>
    <w:rsid w:val="00B64A10"/>
    <w:rsid w:val="00B64BD7"/>
    <w:rsid w:val="00B66895"/>
    <w:rsid w:val="00B76B91"/>
    <w:rsid w:val="00B77EB1"/>
    <w:rsid w:val="00B811C6"/>
    <w:rsid w:val="00B85A87"/>
    <w:rsid w:val="00B92E08"/>
    <w:rsid w:val="00B94F32"/>
    <w:rsid w:val="00B96EBE"/>
    <w:rsid w:val="00BB17F9"/>
    <w:rsid w:val="00BC622A"/>
    <w:rsid w:val="00BD45E3"/>
    <w:rsid w:val="00BD78CD"/>
    <w:rsid w:val="00BE0A78"/>
    <w:rsid w:val="00BE32D5"/>
    <w:rsid w:val="00BE6252"/>
    <w:rsid w:val="00BE79F0"/>
    <w:rsid w:val="00BF046D"/>
    <w:rsid w:val="00BF0A98"/>
    <w:rsid w:val="00BF1190"/>
    <w:rsid w:val="00BF5D04"/>
    <w:rsid w:val="00C1164D"/>
    <w:rsid w:val="00C16861"/>
    <w:rsid w:val="00C20657"/>
    <w:rsid w:val="00C22678"/>
    <w:rsid w:val="00C22D23"/>
    <w:rsid w:val="00C3150A"/>
    <w:rsid w:val="00C3183B"/>
    <w:rsid w:val="00C34D11"/>
    <w:rsid w:val="00C402CF"/>
    <w:rsid w:val="00C404A6"/>
    <w:rsid w:val="00C40A36"/>
    <w:rsid w:val="00C4139E"/>
    <w:rsid w:val="00C41682"/>
    <w:rsid w:val="00C43C1B"/>
    <w:rsid w:val="00C44419"/>
    <w:rsid w:val="00C45E7B"/>
    <w:rsid w:val="00C471B1"/>
    <w:rsid w:val="00C511BB"/>
    <w:rsid w:val="00C54277"/>
    <w:rsid w:val="00C618F7"/>
    <w:rsid w:val="00C6316B"/>
    <w:rsid w:val="00C634A9"/>
    <w:rsid w:val="00C64586"/>
    <w:rsid w:val="00C70D53"/>
    <w:rsid w:val="00C70DFA"/>
    <w:rsid w:val="00C73D0B"/>
    <w:rsid w:val="00C772FF"/>
    <w:rsid w:val="00C801AF"/>
    <w:rsid w:val="00C80256"/>
    <w:rsid w:val="00C811C0"/>
    <w:rsid w:val="00C82572"/>
    <w:rsid w:val="00C82AC3"/>
    <w:rsid w:val="00C95B56"/>
    <w:rsid w:val="00CA4839"/>
    <w:rsid w:val="00CB3828"/>
    <w:rsid w:val="00CB3F81"/>
    <w:rsid w:val="00CB6BC0"/>
    <w:rsid w:val="00CC1AC4"/>
    <w:rsid w:val="00CC1B7C"/>
    <w:rsid w:val="00CC4AF0"/>
    <w:rsid w:val="00CC727F"/>
    <w:rsid w:val="00CD510A"/>
    <w:rsid w:val="00CD6724"/>
    <w:rsid w:val="00CF05DE"/>
    <w:rsid w:val="00CF119F"/>
    <w:rsid w:val="00CF15C3"/>
    <w:rsid w:val="00CF2B6F"/>
    <w:rsid w:val="00CF3AFF"/>
    <w:rsid w:val="00CF58B6"/>
    <w:rsid w:val="00CF7DC7"/>
    <w:rsid w:val="00D017ED"/>
    <w:rsid w:val="00D040D3"/>
    <w:rsid w:val="00D04C65"/>
    <w:rsid w:val="00D10782"/>
    <w:rsid w:val="00D224FE"/>
    <w:rsid w:val="00D53A31"/>
    <w:rsid w:val="00D601AF"/>
    <w:rsid w:val="00D6493E"/>
    <w:rsid w:val="00D66FCF"/>
    <w:rsid w:val="00D70D56"/>
    <w:rsid w:val="00D7301E"/>
    <w:rsid w:val="00D81CE4"/>
    <w:rsid w:val="00D83AE1"/>
    <w:rsid w:val="00D85536"/>
    <w:rsid w:val="00D855D4"/>
    <w:rsid w:val="00D93466"/>
    <w:rsid w:val="00DA1124"/>
    <w:rsid w:val="00DA1B00"/>
    <w:rsid w:val="00DA43B2"/>
    <w:rsid w:val="00DB0BB9"/>
    <w:rsid w:val="00DB0C38"/>
    <w:rsid w:val="00DB75B7"/>
    <w:rsid w:val="00DC6E02"/>
    <w:rsid w:val="00DE02AE"/>
    <w:rsid w:val="00DE0408"/>
    <w:rsid w:val="00DE1983"/>
    <w:rsid w:val="00DF1D7F"/>
    <w:rsid w:val="00DF3105"/>
    <w:rsid w:val="00DF4BE4"/>
    <w:rsid w:val="00DF7D2C"/>
    <w:rsid w:val="00E02FB4"/>
    <w:rsid w:val="00E07F15"/>
    <w:rsid w:val="00E07F80"/>
    <w:rsid w:val="00E120C0"/>
    <w:rsid w:val="00E15504"/>
    <w:rsid w:val="00E16F88"/>
    <w:rsid w:val="00E20571"/>
    <w:rsid w:val="00E21825"/>
    <w:rsid w:val="00E235F7"/>
    <w:rsid w:val="00E23659"/>
    <w:rsid w:val="00E239D4"/>
    <w:rsid w:val="00E26130"/>
    <w:rsid w:val="00E2741C"/>
    <w:rsid w:val="00E27BEA"/>
    <w:rsid w:val="00E40B22"/>
    <w:rsid w:val="00E45619"/>
    <w:rsid w:val="00E4588F"/>
    <w:rsid w:val="00E46DA3"/>
    <w:rsid w:val="00E51469"/>
    <w:rsid w:val="00E51A7B"/>
    <w:rsid w:val="00E51BB1"/>
    <w:rsid w:val="00E53F4F"/>
    <w:rsid w:val="00E55FCF"/>
    <w:rsid w:val="00E57ADB"/>
    <w:rsid w:val="00E624A5"/>
    <w:rsid w:val="00E673AC"/>
    <w:rsid w:val="00E706F6"/>
    <w:rsid w:val="00E70AB1"/>
    <w:rsid w:val="00E71128"/>
    <w:rsid w:val="00E72787"/>
    <w:rsid w:val="00E7344E"/>
    <w:rsid w:val="00E86DBD"/>
    <w:rsid w:val="00E87A20"/>
    <w:rsid w:val="00E936E3"/>
    <w:rsid w:val="00EB0798"/>
    <w:rsid w:val="00EB40AD"/>
    <w:rsid w:val="00EB4415"/>
    <w:rsid w:val="00EB586E"/>
    <w:rsid w:val="00EB5E93"/>
    <w:rsid w:val="00EB5FC8"/>
    <w:rsid w:val="00EB6CC4"/>
    <w:rsid w:val="00EC1DDF"/>
    <w:rsid w:val="00EC6FDA"/>
    <w:rsid w:val="00ED3CAD"/>
    <w:rsid w:val="00ED3FE3"/>
    <w:rsid w:val="00ED5A41"/>
    <w:rsid w:val="00ED5DD2"/>
    <w:rsid w:val="00EE0622"/>
    <w:rsid w:val="00EE1703"/>
    <w:rsid w:val="00EE1DE8"/>
    <w:rsid w:val="00EE711D"/>
    <w:rsid w:val="00F033EC"/>
    <w:rsid w:val="00F03719"/>
    <w:rsid w:val="00F04F68"/>
    <w:rsid w:val="00F050A5"/>
    <w:rsid w:val="00F12670"/>
    <w:rsid w:val="00F14B27"/>
    <w:rsid w:val="00F3148D"/>
    <w:rsid w:val="00F325C5"/>
    <w:rsid w:val="00F32FE0"/>
    <w:rsid w:val="00F35298"/>
    <w:rsid w:val="00F43E78"/>
    <w:rsid w:val="00F47333"/>
    <w:rsid w:val="00F47E37"/>
    <w:rsid w:val="00F53C07"/>
    <w:rsid w:val="00F54B65"/>
    <w:rsid w:val="00F640B6"/>
    <w:rsid w:val="00F65A46"/>
    <w:rsid w:val="00F70180"/>
    <w:rsid w:val="00F74419"/>
    <w:rsid w:val="00F80E40"/>
    <w:rsid w:val="00F848D9"/>
    <w:rsid w:val="00F95310"/>
    <w:rsid w:val="00FA05DF"/>
    <w:rsid w:val="00FA5B82"/>
    <w:rsid w:val="00FA5E7E"/>
    <w:rsid w:val="00FA610D"/>
    <w:rsid w:val="00FA639E"/>
    <w:rsid w:val="00FC25E4"/>
    <w:rsid w:val="00FC4EF7"/>
    <w:rsid w:val="00FE16E7"/>
    <w:rsid w:val="00FE1DEE"/>
    <w:rsid w:val="00FF2126"/>
    <w:rsid w:val="00FF5755"/>
    <w:rsid w:val="00FF69BE"/>
    <w:rsid w:val="00FF69DB"/>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842DA6"/>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586F98"/>
    <w:rPr>
      <w:rFonts w:ascii="Arial" w:eastAsia="Times New Roman" w:hAnsi="Arial" w:cs="Times New Roman"/>
      <w:b/>
      <w:bCs/>
      <w:sz w:val="32"/>
      <w:szCs w:val="26"/>
      <w:lang w:eastAsia="ja-JP"/>
    </w:rPr>
  </w:style>
  <w:style w:type="character" w:customStyle="1" w:styleId="Heading3Char">
    <w:name w:val="Heading 3 Char"/>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23E94"/>
    <w:pPr>
      <w:keepNext/>
      <w:spacing w:line="220" w:lineRule="atLeast"/>
    </w:pPr>
    <w:rPr>
      <w:b/>
    </w:rPr>
  </w:style>
  <w:style w:type="character" w:customStyle="1" w:styleId="Heading4Char">
    <w:name w:val="Heading 4 Char"/>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0F02F9"/>
    <w:rPr>
      <w:rFonts w:ascii="Cambria" w:eastAsia="Times New Roman" w:hAnsi="Cambria" w:cs="Times New Roman"/>
      <w:b/>
      <w:bCs/>
      <w:i/>
      <w:color w:val="001523"/>
      <w:szCs w:val="21"/>
    </w:rPr>
  </w:style>
  <w:style w:type="character" w:customStyle="1" w:styleId="Heading6Char">
    <w:name w:val="Heading 6 Char"/>
    <w:link w:val="Heading6"/>
    <w:uiPriority w:val="9"/>
    <w:rsid w:val="000F02F9"/>
    <w:rPr>
      <w:rFonts w:ascii="Cambria" w:eastAsia="Times New Roman" w:hAnsi="Cambria" w:cs="Times New Roman"/>
      <w:bCs/>
      <w:i/>
      <w:szCs w:val="21"/>
    </w:rPr>
  </w:style>
  <w:style w:type="character" w:customStyle="1" w:styleId="Heading7Char">
    <w:name w:val="Heading 7 Char"/>
    <w:link w:val="Heading7"/>
    <w:uiPriority w:val="9"/>
    <w:rsid w:val="000F02F9"/>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223E94"/>
    <w:pPr>
      <w:spacing w:before="0" w:line="240" w:lineRule="auto"/>
    </w:pPr>
    <w:rPr>
      <w:szCs w:val="19"/>
    </w:rPr>
  </w:style>
  <w:style w:type="table" w:styleId="TableGrid">
    <w:name w:val="Table Grid"/>
    <w:basedOn w:val="TableNormal"/>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Bullet1">
    <w:name w:val="Bullet 1"/>
    <w:basedOn w:val="Normal"/>
    <w:rsid w:val="00E706F6"/>
    <w:pPr>
      <w:numPr>
        <w:numId w:val="34"/>
      </w:numPr>
      <w:spacing w:after="0" w:line="240" w:lineRule="auto"/>
    </w:pPr>
    <w:rPr>
      <w:rFonts w:eastAsia="Times New Roman"/>
      <w:kern w:val="24"/>
      <w:szCs w:val="24"/>
      <w:lang w:eastAsia="en-AU"/>
    </w:rPr>
  </w:style>
  <w:style w:type="character" w:customStyle="1" w:styleId="Heading8Char">
    <w:name w:val="Heading 8 Char"/>
    <w:link w:val="Heading8"/>
    <w:uiPriority w:val="9"/>
    <w:semiHidden/>
    <w:rsid w:val="00842DA6"/>
    <w:rPr>
      <w:rFonts w:ascii="Calibri" w:eastAsia="Times New Roman" w:hAnsi="Calibri" w:cs="Times New Roman"/>
      <w:i/>
      <w:i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842DA6"/>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586F98"/>
    <w:rPr>
      <w:rFonts w:ascii="Arial" w:eastAsia="Times New Roman" w:hAnsi="Arial" w:cs="Times New Roman"/>
      <w:b/>
      <w:bCs/>
      <w:sz w:val="32"/>
      <w:szCs w:val="26"/>
      <w:lang w:eastAsia="ja-JP"/>
    </w:rPr>
  </w:style>
  <w:style w:type="character" w:customStyle="1" w:styleId="Heading3Char">
    <w:name w:val="Heading 3 Char"/>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23E94"/>
    <w:pPr>
      <w:keepNext/>
      <w:spacing w:line="220" w:lineRule="atLeast"/>
    </w:pPr>
    <w:rPr>
      <w:b/>
    </w:rPr>
  </w:style>
  <w:style w:type="character" w:customStyle="1" w:styleId="Heading4Char">
    <w:name w:val="Heading 4 Char"/>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0F02F9"/>
    <w:rPr>
      <w:rFonts w:ascii="Cambria" w:eastAsia="Times New Roman" w:hAnsi="Cambria" w:cs="Times New Roman"/>
      <w:b/>
      <w:bCs/>
      <w:i/>
      <w:color w:val="001523"/>
      <w:szCs w:val="21"/>
    </w:rPr>
  </w:style>
  <w:style w:type="character" w:customStyle="1" w:styleId="Heading6Char">
    <w:name w:val="Heading 6 Char"/>
    <w:link w:val="Heading6"/>
    <w:uiPriority w:val="9"/>
    <w:rsid w:val="000F02F9"/>
    <w:rPr>
      <w:rFonts w:ascii="Cambria" w:eastAsia="Times New Roman" w:hAnsi="Cambria" w:cs="Times New Roman"/>
      <w:bCs/>
      <w:i/>
      <w:szCs w:val="21"/>
    </w:rPr>
  </w:style>
  <w:style w:type="character" w:customStyle="1" w:styleId="Heading7Char">
    <w:name w:val="Heading 7 Char"/>
    <w:link w:val="Heading7"/>
    <w:uiPriority w:val="9"/>
    <w:rsid w:val="000F02F9"/>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223E94"/>
    <w:pPr>
      <w:spacing w:before="0" w:line="240" w:lineRule="auto"/>
    </w:pPr>
    <w:rPr>
      <w:szCs w:val="19"/>
    </w:rPr>
  </w:style>
  <w:style w:type="table" w:styleId="TableGrid">
    <w:name w:val="Table Grid"/>
    <w:basedOn w:val="TableNormal"/>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Bullet1">
    <w:name w:val="Bullet 1"/>
    <w:basedOn w:val="Normal"/>
    <w:rsid w:val="00E706F6"/>
    <w:pPr>
      <w:numPr>
        <w:numId w:val="34"/>
      </w:numPr>
      <w:spacing w:after="0" w:line="240" w:lineRule="auto"/>
    </w:pPr>
    <w:rPr>
      <w:rFonts w:eastAsia="Times New Roman"/>
      <w:kern w:val="24"/>
      <w:szCs w:val="24"/>
      <w:lang w:eastAsia="en-AU"/>
    </w:rPr>
  </w:style>
  <w:style w:type="character" w:customStyle="1" w:styleId="Heading8Char">
    <w:name w:val="Heading 8 Char"/>
    <w:link w:val="Heading8"/>
    <w:uiPriority w:val="9"/>
    <w:semiHidden/>
    <w:rsid w:val="00842DA6"/>
    <w:rPr>
      <w:rFonts w:ascii="Calibri" w:eastAsia="Times New Roman" w:hAnsi="Calibri" w:cs="Times New Roman"/>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4.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jpeg"/><Relationship Id="rId32" Type="http://schemas.openxmlformats.org/officeDocument/2006/relationships/header" Target="header3.xml"/><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3.xml"/><Relationship Id="rId10" Type="http://schemas.openxmlformats.org/officeDocument/2006/relationships/hyperlink" Target="http://www.tga.gov.au/hp/information-medicines-pi.htm" TargetMode="Externa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5.xml"/><Relationship Id="rId43"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C653E-C58F-487E-8BBF-81FAA00E7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t0T4437I.DOTX</Template>
  <TotalTime>30</TotalTime>
  <Pages>37</Pages>
  <Words>11984</Words>
  <Characters>65916</Characters>
  <Application>Microsoft Office Word</Application>
  <DocSecurity>0</DocSecurity>
  <Lines>1198</Lines>
  <Paragraphs>564</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Emtricitabine</vt:lpstr>
    </vt:vector>
  </TitlesOfParts>
  <Company>Department of Health Therapeutic Goods Administration</Company>
  <LinksUpToDate>false</LinksUpToDate>
  <CharactersWithSpaces>77336</CharactersWithSpaces>
  <SharedDoc>false</SharedDoc>
  <HLinks>
    <vt:vector size="240" baseType="variant">
      <vt:variant>
        <vt:i4>1966142</vt:i4>
      </vt:variant>
      <vt:variant>
        <vt:i4>215</vt:i4>
      </vt:variant>
      <vt:variant>
        <vt:i4>0</vt:i4>
      </vt:variant>
      <vt:variant>
        <vt:i4>5</vt:i4>
      </vt:variant>
      <vt:variant>
        <vt:lpwstr/>
      </vt:variant>
      <vt:variant>
        <vt:lpwstr>_Toc391899512</vt:lpwstr>
      </vt:variant>
      <vt:variant>
        <vt:i4>1966142</vt:i4>
      </vt:variant>
      <vt:variant>
        <vt:i4>209</vt:i4>
      </vt:variant>
      <vt:variant>
        <vt:i4>0</vt:i4>
      </vt:variant>
      <vt:variant>
        <vt:i4>5</vt:i4>
      </vt:variant>
      <vt:variant>
        <vt:lpwstr/>
      </vt:variant>
      <vt:variant>
        <vt:lpwstr>_Toc391899511</vt:lpwstr>
      </vt:variant>
      <vt:variant>
        <vt:i4>1966142</vt:i4>
      </vt:variant>
      <vt:variant>
        <vt:i4>203</vt:i4>
      </vt:variant>
      <vt:variant>
        <vt:i4>0</vt:i4>
      </vt:variant>
      <vt:variant>
        <vt:i4>5</vt:i4>
      </vt:variant>
      <vt:variant>
        <vt:lpwstr/>
      </vt:variant>
      <vt:variant>
        <vt:lpwstr>_Toc391899510</vt:lpwstr>
      </vt:variant>
      <vt:variant>
        <vt:i4>2031678</vt:i4>
      </vt:variant>
      <vt:variant>
        <vt:i4>197</vt:i4>
      </vt:variant>
      <vt:variant>
        <vt:i4>0</vt:i4>
      </vt:variant>
      <vt:variant>
        <vt:i4>5</vt:i4>
      </vt:variant>
      <vt:variant>
        <vt:lpwstr/>
      </vt:variant>
      <vt:variant>
        <vt:lpwstr>_Toc391899509</vt:lpwstr>
      </vt:variant>
      <vt:variant>
        <vt:i4>2031678</vt:i4>
      </vt:variant>
      <vt:variant>
        <vt:i4>191</vt:i4>
      </vt:variant>
      <vt:variant>
        <vt:i4>0</vt:i4>
      </vt:variant>
      <vt:variant>
        <vt:i4>5</vt:i4>
      </vt:variant>
      <vt:variant>
        <vt:lpwstr/>
      </vt:variant>
      <vt:variant>
        <vt:lpwstr>_Toc391899508</vt:lpwstr>
      </vt:variant>
      <vt:variant>
        <vt:i4>2031678</vt:i4>
      </vt:variant>
      <vt:variant>
        <vt:i4>185</vt:i4>
      </vt:variant>
      <vt:variant>
        <vt:i4>0</vt:i4>
      </vt:variant>
      <vt:variant>
        <vt:i4>5</vt:i4>
      </vt:variant>
      <vt:variant>
        <vt:lpwstr/>
      </vt:variant>
      <vt:variant>
        <vt:lpwstr>_Toc391899507</vt:lpwstr>
      </vt:variant>
      <vt:variant>
        <vt:i4>2031678</vt:i4>
      </vt:variant>
      <vt:variant>
        <vt:i4>179</vt:i4>
      </vt:variant>
      <vt:variant>
        <vt:i4>0</vt:i4>
      </vt:variant>
      <vt:variant>
        <vt:i4>5</vt:i4>
      </vt:variant>
      <vt:variant>
        <vt:lpwstr/>
      </vt:variant>
      <vt:variant>
        <vt:lpwstr>_Toc391899506</vt:lpwstr>
      </vt:variant>
      <vt:variant>
        <vt:i4>2031678</vt:i4>
      </vt:variant>
      <vt:variant>
        <vt:i4>173</vt:i4>
      </vt:variant>
      <vt:variant>
        <vt:i4>0</vt:i4>
      </vt:variant>
      <vt:variant>
        <vt:i4>5</vt:i4>
      </vt:variant>
      <vt:variant>
        <vt:lpwstr/>
      </vt:variant>
      <vt:variant>
        <vt:lpwstr>_Toc391899505</vt:lpwstr>
      </vt:variant>
      <vt:variant>
        <vt:i4>2031678</vt:i4>
      </vt:variant>
      <vt:variant>
        <vt:i4>167</vt:i4>
      </vt:variant>
      <vt:variant>
        <vt:i4>0</vt:i4>
      </vt:variant>
      <vt:variant>
        <vt:i4>5</vt:i4>
      </vt:variant>
      <vt:variant>
        <vt:lpwstr/>
      </vt:variant>
      <vt:variant>
        <vt:lpwstr>_Toc391899504</vt:lpwstr>
      </vt:variant>
      <vt:variant>
        <vt:i4>2031678</vt:i4>
      </vt:variant>
      <vt:variant>
        <vt:i4>161</vt:i4>
      </vt:variant>
      <vt:variant>
        <vt:i4>0</vt:i4>
      </vt:variant>
      <vt:variant>
        <vt:i4>5</vt:i4>
      </vt:variant>
      <vt:variant>
        <vt:lpwstr/>
      </vt:variant>
      <vt:variant>
        <vt:lpwstr>_Toc391899503</vt:lpwstr>
      </vt:variant>
      <vt:variant>
        <vt:i4>2031678</vt:i4>
      </vt:variant>
      <vt:variant>
        <vt:i4>155</vt:i4>
      </vt:variant>
      <vt:variant>
        <vt:i4>0</vt:i4>
      </vt:variant>
      <vt:variant>
        <vt:i4>5</vt:i4>
      </vt:variant>
      <vt:variant>
        <vt:lpwstr/>
      </vt:variant>
      <vt:variant>
        <vt:lpwstr>_Toc391899502</vt:lpwstr>
      </vt:variant>
      <vt:variant>
        <vt:i4>2031678</vt:i4>
      </vt:variant>
      <vt:variant>
        <vt:i4>149</vt:i4>
      </vt:variant>
      <vt:variant>
        <vt:i4>0</vt:i4>
      </vt:variant>
      <vt:variant>
        <vt:i4>5</vt:i4>
      </vt:variant>
      <vt:variant>
        <vt:lpwstr/>
      </vt:variant>
      <vt:variant>
        <vt:lpwstr>_Toc391899501</vt:lpwstr>
      </vt:variant>
      <vt:variant>
        <vt:i4>2031678</vt:i4>
      </vt:variant>
      <vt:variant>
        <vt:i4>143</vt:i4>
      </vt:variant>
      <vt:variant>
        <vt:i4>0</vt:i4>
      </vt:variant>
      <vt:variant>
        <vt:i4>5</vt:i4>
      </vt:variant>
      <vt:variant>
        <vt:lpwstr/>
      </vt:variant>
      <vt:variant>
        <vt:lpwstr>_Toc391899500</vt:lpwstr>
      </vt:variant>
      <vt:variant>
        <vt:i4>1441855</vt:i4>
      </vt:variant>
      <vt:variant>
        <vt:i4>137</vt:i4>
      </vt:variant>
      <vt:variant>
        <vt:i4>0</vt:i4>
      </vt:variant>
      <vt:variant>
        <vt:i4>5</vt:i4>
      </vt:variant>
      <vt:variant>
        <vt:lpwstr/>
      </vt:variant>
      <vt:variant>
        <vt:lpwstr>_Toc391899499</vt:lpwstr>
      </vt:variant>
      <vt:variant>
        <vt:i4>1441855</vt:i4>
      </vt:variant>
      <vt:variant>
        <vt:i4>131</vt:i4>
      </vt:variant>
      <vt:variant>
        <vt:i4>0</vt:i4>
      </vt:variant>
      <vt:variant>
        <vt:i4>5</vt:i4>
      </vt:variant>
      <vt:variant>
        <vt:lpwstr/>
      </vt:variant>
      <vt:variant>
        <vt:lpwstr>_Toc391899498</vt:lpwstr>
      </vt:variant>
      <vt:variant>
        <vt:i4>1441855</vt:i4>
      </vt:variant>
      <vt:variant>
        <vt:i4>125</vt:i4>
      </vt:variant>
      <vt:variant>
        <vt:i4>0</vt:i4>
      </vt:variant>
      <vt:variant>
        <vt:i4>5</vt:i4>
      </vt:variant>
      <vt:variant>
        <vt:lpwstr/>
      </vt:variant>
      <vt:variant>
        <vt:lpwstr>_Toc391899497</vt:lpwstr>
      </vt:variant>
      <vt:variant>
        <vt:i4>1441855</vt:i4>
      </vt:variant>
      <vt:variant>
        <vt:i4>119</vt:i4>
      </vt:variant>
      <vt:variant>
        <vt:i4>0</vt:i4>
      </vt:variant>
      <vt:variant>
        <vt:i4>5</vt:i4>
      </vt:variant>
      <vt:variant>
        <vt:lpwstr/>
      </vt:variant>
      <vt:variant>
        <vt:lpwstr>_Toc391899496</vt:lpwstr>
      </vt:variant>
      <vt:variant>
        <vt:i4>1441855</vt:i4>
      </vt:variant>
      <vt:variant>
        <vt:i4>113</vt:i4>
      </vt:variant>
      <vt:variant>
        <vt:i4>0</vt:i4>
      </vt:variant>
      <vt:variant>
        <vt:i4>5</vt:i4>
      </vt:variant>
      <vt:variant>
        <vt:lpwstr/>
      </vt:variant>
      <vt:variant>
        <vt:lpwstr>_Toc391899495</vt:lpwstr>
      </vt:variant>
      <vt:variant>
        <vt:i4>1441855</vt:i4>
      </vt:variant>
      <vt:variant>
        <vt:i4>107</vt:i4>
      </vt:variant>
      <vt:variant>
        <vt:i4>0</vt:i4>
      </vt:variant>
      <vt:variant>
        <vt:i4>5</vt:i4>
      </vt:variant>
      <vt:variant>
        <vt:lpwstr/>
      </vt:variant>
      <vt:variant>
        <vt:lpwstr>_Toc391899494</vt:lpwstr>
      </vt:variant>
      <vt:variant>
        <vt:i4>1441855</vt:i4>
      </vt:variant>
      <vt:variant>
        <vt:i4>101</vt:i4>
      </vt:variant>
      <vt:variant>
        <vt:i4>0</vt:i4>
      </vt:variant>
      <vt:variant>
        <vt:i4>5</vt:i4>
      </vt:variant>
      <vt:variant>
        <vt:lpwstr/>
      </vt:variant>
      <vt:variant>
        <vt:lpwstr>_Toc391899493</vt:lpwstr>
      </vt:variant>
      <vt:variant>
        <vt:i4>1441855</vt:i4>
      </vt:variant>
      <vt:variant>
        <vt:i4>95</vt:i4>
      </vt:variant>
      <vt:variant>
        <vt:i4>0</vt:i4>
      </vt:variant>
      <vt:variant>
        <vt:i4>5</vt:i4>
      </vt:variant>
      <vt:variant>
        <vt:lpwstr/>
      </vt:variant>
      <vt:variant>
        <vt:lpwstr>_Toc391899492</vt:lpwstr>
      </vt:variant>
      <vt:variant>
        <vt:i4>1441855</vt:i4>
      </vt:variant>
      <vt:variant>
        <vt:i4>89</vt:i4>
      </vt:variant>
      <vt:variant>
        <vt:i4>0</vt:i4>
      </vt:variant>
      <vt:variant>
        <vt:i4>5</vt:i4>
      </vt:variant>
      <vt:variant>
        <vt:lpwstr/>
      </vt:variant>
      <vt:variant>
        <vt:lpwstr>_Toc391899491</vt:lpwstr>
      </vt:variant>
      <vt:variant>
        <vt:i4>1441855</vt:i4>
      </vt:variant>
      <vt:variant>
        <vt:i4>83</vt:i4>
      </vt:variant>
      <vt:variant>
        <vt:i4>0</vt:i4>
      </vt:variant>
      <vt:variant>
        <vt:i4>5</vt:i4>
      </vt:variant>
      <vt:variant>
        <vt:lpwstr/>
      </vt:variant>
      <vt:variant>
        <vt:lpwstr>_Toc391899490</vt:lpwstr>
      </vt:variant>
      <vt:variant>
        <vt:i4>1507391</vt:i4>
      </vt:variant>
      <vt:variant>
        <vt:i4>77</vt:i4>
      </vt:variant>
      <vt:variant>
        <vt:i4>0</vt:i4>
      </vt:variant>
      <vt:variant>
        <vt:i4>5</vt:i4>
      </vt:variant>
      <vt:variant>
        <vt:lpwstr/>
      </vt:variant>
      <vt:variant>
        <vt:lpwstr>_Toc391899489</vt:lpwstr>
      </vt:variant>
      <vt:variant>
        <vt:i4>1507391</vt:i4>
      </vt:variant>
      <vt:variant>
        <vt:i4>71</vt:i4>
      </vt:variant>
      <vt:variant>
        <vt:i4>0</vt:i4>
      </vt:variant>
      <vt:variant>
        <vt:i4>5</vt:i4>
      </vt:variant>
      <vt:variant>
        <vt:lpwstr/>
      </vt:variant>
      <vt:variant>
        <vt:lpwstr>_Toc391899488</vt:lpwstr>
      </vt:variant>
      <vt:variant>
        <vt:i4>1507391</vt:i4>
      </vt:variant>
      <vt:variant>
        <vt:i4>65</vt:i4>
      </vt:variant>
      <vt:variant>
        <vt:i4>0</vt:i4>
      </vt:variant>
      <vt:variant>
        <vt:i4>5</vt:i4>
      </vt:variant>
      <vt:variant>
        <vt:lpwstr/>
      </vt:variant>
      <vt:variant>
        <vt:lpwstr>_Toc391899487</vt:lpwstr>
      </vt:variant>
      <vt:variant>
        <vt:i4>1507391</vt:i4>
      </vt:variant>
      <vt:variant>
        <vt:i4>59</vt:i4>
      </vt:variant>
      <vt:variant>
        <vt:i4>0</vt:i4>
      </vt:variant>
      <vt:variant>
        <vt:i4>5</vt:i4>
      </vt:variant>
      <vt:variant>
        <vt:lpwstr/>
      </vt:variant>
      <vt:variant>
        <vt:lpwstr>_Toc391899486</vt:lpwstr>
      </vt:variant>
      <vt:variant>
        <vt:i4>1507391</vt:i4>
      </vt:variant>
      <vt:variant>
        <vt:i4>53</vt:i4>
      </vt:variant>
      <vt:variant>
        <vt:i4>0</vt:i4>
      </vt:variant>
      <vt:variant>
        <vt:i4>5</vt:i4>
      </vt:variant>
      <vt:variant>
        <vt:lpwstr/>
      </vt:variant>
      <vt:variant>
        <vt:lpwstr>_Toc391899485</vt:lpwstr>
      </vt:variant>
      <vt:variant>
        <vt:i4>1507391</vt:i4>
      </vt:variant>
      <vt:variant>
        <vt:i4>47</vt:i4>
      </vt:variant>
      <vt:variant>
        <vt:i4>0</vt:i4>
      </vt:variant>
      <vt:variant>
        <vt:i4>5</vt:i4>
      </vt:variant>
      <vt:variant>
        <vt:lpwstr/>
      </vt:variant>
      <vt:variant>
        <vt:lpwstr>_Toc391899484</vt:lpwstr>
      </vt:variant>
      <vt:variant>
        <vt:i4>1507391</vt:i4>
      </vt:variant>
      <vt:variant>
        <vt:i4>41</vt:i4>
      </vt:variant>
      <vt:variant>
        <vt:i4>0</vt:i4>
      </vt:variant>
      <vt:variant>
        <vt:i4>5</vt:i4>
      </vt:variant>
      <vt:variant>
        <vt:lpwstr/>
      </vt:variant>
      <vt:variant>
        <vt:lpwstr>_Toc391899483</vt:lpwstr>
      </vt:variant>
      <vt:variant>
        <vt:i4>1507391</vt:i4>
      </vt:variant>
      <vt:variant>
        <vt:i4>35</vt:i4>
      </vt:variant>
      <vt:variant>
        <vt:i4>0</vt:i4>
      </vt:variant>
      <vt:variant>
        <vt:i4>5</vt:i4>
      </vt:variant>
      <vt:variant>
        <vt:lpwstr/>
      </vt:variant>
      <vt:variant>
        <vt:lpwstr>_Toc391899482</vt:lpwstr>
      </vt:variant>
      <vt:variant>
        <vt:i4>1507391</vt:i4>
      </vt:variant>
      <vt:variant>
        <vt:i4>29</vt:i4>
      </vt:variant>
      <vt:variant>
        <vt:i4>0</vt:i4>
      </vt:variant>
      <vt:variant>
        <vt:i4>5</vt:i4>
      </vt:variant>
      <vt:variant>
        <vt:lpwstr/>
      </vt:variant>
      <vt:variant>
        <vt:lpwstr>_Toc391899481</vt:lpwstr>
      </vt:variant>
      <vt:variant>
        <vt:i4>1507391</vt:i4>
      </vt:variant>
      <vt:variant>
        <vt:i4>23</vt:i4>
      </vt:variant>
      <vt:variant>
        <vt:i4>0</vt:i4>
      </vt:variant>
      <vt:variant>
        <vt:i4>5</vt:i4>
      </vt:variant>
      <vt:variant>
        <vt:lpwstr/>
      </vt:variant>
      <vt:variant>
        <vt:lpwstr>_Toc391899480</vt:lpwstr>
      </vt:variant>
      <vt:variant>
        <vt:i4>1572927</vt:i4>
      </vt:variant>
      <vt:variant>
        <vt:i4>17</vt:i4>
      </vt:variant>
      <vt:variant>
        <vt:i4>0</vt:i4>
      </vt:variant>
      <vt:variant>
        <vt:i4>5</vt:i4>
      </vt:variant>
      <vt:variant>
        <vt:lpwstr/>
      </vt:variant>
      <vt:variant>
        <vt:lpwstr>_Toc391899479</vt:lpwstr>
      </vt:variant>
      <vt:variant>
        <vt:i4>1572927</vt:i4>
      </vt:variant>
      <vt:variant>
        <vt:i4>11</vt:i4>
      </vt:variant>
      <vt:variant>
        <vt:i4>0</vt:i4>
      </vt:variant>
      <vt:variant>
        <vt:i4>5</vt:i4>
      </vt:variant>
      <vt:variant>
        <vt:lpwstr/>
      </vt:variant>
      <vt:variant>
        <vt:lpwstr>_Toc391899478</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Emtricitabine</dc:title>
  <dc:subject>prescription medicine regulation</dc:subject>
  <dc:creator>Therapeutic Goods Administration</dc:creator>
  <cp:keywords>clinical, evaluation, report, medicine, assessment, regulation, australia, emtricitabine, emtriva, gilead, sciences</cp:keywords>
  <cp:lastModifiedBy>dixonj</cp:lastModifiedBy>
  <cp:revision>4</cp:revision>
  <cp:lastPrinted>2010-12-20T23:59:00Z</cp:lastPrinted>
  <dcterms:created xsi:type="dcterms:W3CDTF">2014-06-30T05:12:00Z</dcterms:created>
  <dcterms:modified xsi:type="dcterms:W3CDTF">2014-07-01T04:23:00Z</dcterms:modified>
</cp:coreProperties>
</file>