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October 2017"/>
      </w:tblPr>
      <w:tblGrid>
        <w:gridCol w:w="3652"/>
      </w:tblGrid>
      <w:tr w:rsidR="008E7846" w:rsidRPr="00487162" w14:paraId="0D961580" w14:textId="77777777" w:rsidTr="00BF1190">
        <w:trPr>
          <w:trHeight w:val="1863"/>
        </w:trPr>
        <w:tc>
          <w:tcPr>
            <w:tcW w:w="3652" w:type="dxa"/>
            <w:tcBorders>
              <w:top w:val="nil"/>
              <w:left w:val="nil"/>
              <w:bottom w:val="nil"/>
              <w:right w:val="nil"/>
            </w:tcBorders>
          </w:tcPr>
          <w:p w14:paraId="5C0A2E10" w14:textId="42975150" w:rsidR="008E7846" w:rsidRPr="00096AA7" w:rsidRDefault="002C7955" w:rsidP="00096AA7">
            <w:pPr>
              <w:rPr>
                <w:rFonts w:ascii="Arial" w:hAnsi="Arial" w:cs="Arial"/>
                <w:b/>
                <w:color w:val="002C47"/>
                <w:sz w:val="36"/>
                <w:szCs w:val="36"/>
              </w:rPr>
            </w:pPr>
            <w:r>
              <w:rPr>
                <w:rFonts w:ascii="Arial" w:hAnsi="Arial" w:cs="Arial"/>
                <w:b/>
                <w:color w:val="002C47"/>
                <w:sz w:val="36"/>
                <w:szCs w:val="36"/>
              </w:rPr>
              <w:t>October 2017</w:t>
            </w:r>
          </w:p>
        </w:tc>
      </w:tr>
    </w:tbl>
    <w:tbl>
      <w:tblPr>
        <w:tblpPr w:leftFromText="180" w:rightFromText="180" w:vertAnchor="page" w:tblpY="3316"/>
        <w:tblW w:w="9079" w:type="dxa"/>
        <w:tblLayout w:type="fixed"/>
        <w:tblLook w:val="04A0" w:firstRow="1" w:lastRow="0" w:firstColumn="1" w:lastColumn="0" w:noHBand="0" w:noVBand="1"/>
        <w:tblDescription w:val="October 2017"/>
      </w:tblPr>
      <w:tblGrid>
        <w:gridCol w:w="9079"/>
      </w:tblGrid>
      <w:tr w:rsidR="0032583B" w:rsidRPr="00A964D1" w14:paraId="546D8387" w14:textId="77777777" w:rsidTr="0032583B">
        <w:trPr>
          <w:trHeight w:val="868"/>
        </w:trPr>
        <w:tc>
          <w:tcPr>
            <w:tcW w:w="9079" w:type="dxa"/>
          </w:tcPr>
          <w:p w14:paraId="51C38260" w14:textId="5CC73324" w:rsidR="0032583B" w:rsidRPr="00A964D1" w:rsidRDefault="0032583B" w:rsidP="00B77306">
            <w:pPr>
              <w:pStyle w:val="Title"/>
              <w:rPr>
                <w:color w:val="FFFFFF" w:themeColor="background1"/>
              </w:rPr>
            </w:pPr>
            <w:r w:rsidRPr="00A964D1">
              <w:rPr>
                <w:color w:val="FFFFFF" w:themeColor="background1"/>
              </w:rPr>
              <w:t xml:space="preserve">Australian </w:t>
            </w:r>
            <w:r w:rsidR="00B77306">
              <w:rPr>
                <w:color w:val="FFFFFF" w:themeColor="background1"/>
              </w:rPr>
              <w:t>Public Assessment Report for</w:t>
            </w:r>
            <w:r w:rsidR="00106DED">
              <w:rPr>
                <w:color w:val="FFFFFF" w:themeColor="background1"/>
              </w:rPr>
              <w:t xml:space="preserve"> E</w:t>
            </w:r>
            <w:r w:rsidR="00F55059">
              <w:rPr>
                <w:color w:val="FFFFFF" w:themeColor="background1"/>
              </w:rPr>
              <w:t>mpagliflozin</w:t>
            </w:r>
          </w:p>
        </w:tc>
      </w:tr>
      <w:tr w:rsidR="0032583B" w:rsidRPr="00B64760" w14:paraId="3EFD98DC" w14:textId="77777777" w:rsidTr="0032583B">
        <w:tc>
          <w:tcPr>
            <w:tcW w:w="9079" w:type="dxa"/>
          </w:tcPr>
          <w:p w14:paraId="085BA60B" w14:textId="40DF658C" w:rsidR="0032583B" w:rsidRPr="008E7846" w:rsidRDefault="0032583B" w:rsidP="00EC5A69">
            <w:pPr>
              <w:pStyle w:val="Subtitle"/>
              <w:ind w:left="0"/>
              <w:rPr>
                <w:color w:val="FFFFFF" w:themeColor="background1"/>
              </w:rPr>
            </w:pPr>
            <w:r w:rsidRPr="008E7846">
              <w:rPr>
                <w:color w:val="FFFFFF" w:themeColor="background1"/>
              </w:rPr>
              <w:t xml:space="preserve">Proprietary Product Name: </w:t>
            </w:r>
            <w:r w:rsidR="00B77306">
              <w:rPr>
                <w:color w:val="FFFFFF" w:themeColor="background1"/>
              </w:rPr>
              <w:t>Jardiance</w:t>
            </w:r>
          </w:p>
        </w:tc>
      </w:tr>
      <w:tr w:rsidR="0032583B" w:rsidRPr="00B64760" w14:paraId="6045B732" w14:textId="77777777" w:rsidTr="0032583B">
        <w:trPr>
          <w:trHeight w:val="486"/>
        </w:trPr>
        <w:tc>
          <w:tcPr>
            <w:tcW w:w="9079" w:type="dxa"/>
          </w:tcPr>
          <w:p w14:paraId="21DE17D9" w14:textId="6101E396" w:rsidR="0032583B" w:rsidRPr="008E7846" w:rsidRDefault="0032583B" w:rsidP="00EC5A69">
            <w:pPr>
              <w:pStyle w:val="Subtitle"/>
              <w:ind w:left="0"/>
              <w:rPr>
                <w:color w:val="FFFFFF" w:themeColor="background1"/>
              </w:rPr>
            </w:pPr>
            <w:r w:rsidRPr="008E7846">
              <w:rPr>
                <w:color w:val="FFFFFF" w:themeColor="background1"/>
              </w:rPr>
              <w:t xml:space="preserve">Sponsor: </w:t>
            </w:r>
            <w:r w:rsidR="00106DED">
              <w:rPr>
                <w:color w:val="FFFFFF" w:themeColor="background1"/>
              </w:rPr>
              <w:t>Boehringer Ingelheim Pty Ltd</w:t>
            </w:r>
          </w:p>
        </w:tc>
      </w:tr>
    </w:tbl>
    <w:p w14:paraId="6D91F16C" w14:textId="14C24360" w:rsidR="008E7846" w:rsidRPr="0085156D" w:rsidRDefault="008E7846" w:rsidP="0085156D">
      <w:r w:rsidRPr="0085156D">
        <w:br w:type="page"/>
      </w:r>
    </w:p>
    <w:p w14:paraId="12E7AA88" w14:textId="77777777" w:rsidR="008E7846" w:rsidRPr="001F6CBA" w:rsidRDefault="008E7846" w:rsidP="008E7846">
      <w:pPr>
        <w:pStyle w:val="NonTOCHeading2"/>
      </w:pPr>
      <w:r w:rsidRPr="001F6CBA">
        <w:lastRenderedPageBreak/>
        <w:t>About the Therapeutic Goods Administration (TGA)</w:t>
      </w:r>
    </w:p>
    <w:p w14:paraId="5C85E544" w14:textId="77777777" w:rsidR="008E7846" w:rsidRDefault="008E7846" w:rsidP="006513E6">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17B954F2" w14:textId="77777777" w:rsidR="008E7846" w:rsidRDefault="00C80137" w:rsidP="006513E6">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3BFC8954" w14:textId="77777777" w:rsidR="008E7846" w:rsidRDefault="008E7846" w:rsidP="006513E6">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622D24F2" w14:textId="77777777" w:rsidR="008E7846" w:rsidRDefault="008E7846" w:rsidP="006513E6">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78EF320D" w14:textId="77777777" w:rsidR="00441C3F" w:rsidRDefault="008E7846" w:rsidP="006513E6">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0B600A45" w14:textId="77777777" w:rsidR="008E7846" w:rsidRDefault="008E7846" w:rsidP="00875A6B">
      <w:pPr>
        <w:pStyle w:val="NonTOCHeading2"/>
      </w:pPr>
      <w:r>
        <w:t>About AusPARs</w:t>
      </w:r>
    </w:p>
    <w:p w14:paraId="7E76C21E" w14:textId="77777777" w:rsidR="008E7846" w:rsidRDefault="008E7846" w:rsidP="006513E6">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2D01FCEC" w14:textId="77777777" w:rsidR="008E7846" w:rsidRDefault="008E7846" w:rsidP="006513E6">
      <w:pPr>
        <w:pStyle w:val="ListBullet"/>
        <w:numPr>
          <w:ilvl w:val="0"/>
          <w:numId w:val="1"/>
        </w:numPr>
        <w:ind w:left="357" w:hanging="357"/>
      </w:pPr>
      <w:r>
        <w:t>AusPARs are prepared and published by the TGA.</w:t>
      </w:r>
    </w:p>
    <w:p w14:paraId="4050C5AC" w14:textId="77777777" w:rsidR="008E7846" w:rsidRDefault="008E7846" w:rsidP="006513E6">
      <w:pPr>
        <w:pStyle w:val="ListBullet"/>
        <w:numPr>
          <w:ilvl w:val="0"/>
          <w:numId w:val="1"/>
        </w:numPr>
        <w:ind w:left="357" w:hanging="357"/>
      </w:pPr>
      <w:r>
        <w:t>An AusPAR is prepared for submissions that relate to new chemical entities, generic medicines, major variations and extensions of indications.</w:t>
      </w:r>
    </w:p>
    <w:p w14:paraId="75BC2C73" w14:textId="77777777" w:rsidR="008E7846" w:rsidRDefault="008E7846" w:rsidP="006513E6">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4F02373B" w14:textId="77777777" w:rsidR="00B452CE" w:rsidRDefault="008E7846" w:rsidP="006513E6">
      <w:pPr>
        <w:pStyle w:val="ListBullet"/>
        <w:numPr>
          <w:ilvl w:val="0"/>
          <w:numId w:val="1"/>
        </w:numPr>
        <w:ind w:left="357" w:hanging="357"/>
      </w:pPr>
      <w:r>
        <w:t>A new AusPAR will be developed to reflect changes to indications and/or major variations to a prescription medicine subject to evaluation by the TGA.</w:t>
      </w:r>
    </w:p>
    <w:p w14:paraId="230DAB3A" w14:textId="77777777" w:rsidR="00924482" w:rsidRPr="00DF1D7F" w:rsidRDefault="00924482" w:rsidP="00F54B65">
      <w:pPr>
        <w:pStyle w:val="LegalSubheading"/>
        <w:spacing w:before="3120"/>
      </w:pPr>
      <w:r w:rsidRPr="00DF1D7F">
        <w:t>Copyright</w:t>
      </w:r>
    </w:p>
    <w:p w14:paraId="5E6E8CE9" w14:textId="3D273ACB" w:rsidR="00924482" w:rsidRDefault="00924482" w:rsidP="00924482">
      <w:pPr>
        <w:pStyle w:val="LegalCopy"/>
      </w:pPr>
      <w:r w:rsidRPr="00191B3B">
        <w:rPr>
          <w:rFonts w:cs="Arial"/>
          <w:lang w:val="en-GB"/>
        </w:rPr>
        <w:t>© Comm</w:t>
      </w:r>
      <w:r>
        <w:rPr>
          <w:rFonts w:cs="Arial"/>
          <w:lang w:val="en-GB"/>
        </w:rPr>
        <w:t>onwealth of Australia 201</w:t>
      </w:r>
      <w:r w:rsidR="007F2E71">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14:paraId="5220B35D"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B8DE621" w14:textId="77777777" w:rsidR="0089635C" w:rsidRPr="0089635C" w:rsidRDefault="0089635C" w:rsidP="0010788A">
          <w:pPr>
            <w:pStyle w:val="Contents"/>
          </w:pPr>
          <w:r w:rsidRPr="0010788A">
            <w:t>Contents</w:t>
          </w:r>
        </w:p>
        <w:bookmarkStart w:id="2" w:name="_GoBack"/>
        <w:bookmarkEnd w:id="2"/>
        <w:p w14:paraId="1520D566" w14:textId="77777777" w:rsidR="00A66BD0"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97906631" w:history="1">
            <w:r w:rsidR="00A66BD0" w:rsidRPr="004B2B0F">
              <w:rPr>
                <w:rStyle w:val="Hyperlink"/>
                <w:noProof/>
              </w:rPr>
              <w:t>Common abbreviations</w:t>
            </w:r>
            <w:r w:rsidR="00A66BD0">
              <w:rPr>
                <w:noProof/>
                <w:webHidden/>
              </w:rPr>
              <w:tab/>
            </w:r>
            <w:r w:rsidR="00A66BD0">
              <w:rPr>
                <w:noProof/>
                <w:webHidden/>
              </w:rPr>
              <w:fldChar w:fldCharType="begin"/>
            </w:r>
            <w:r w:rsidR="00A66BD0">
              <w:rPr>
                <w:noProof/>
                <w:webHidden/>
              </w:rPr>
              <w:instrText xml:space="preserve"> PAGEREF _Toc497906631 \h </w:instrText>
            </w:r>
            <w:r w:rsidR="00A66BD0">
              <w:rPr>
                <w:noProof/>
                <w:webHidden/>
              </w:rPr>
            </w:r>
            <w:r w:rsidR="00A66BD0">
              <w:rPr>
                <w:noProof/>
                <w:webHidden/>
              </w:rPr>
              <w:fldChar w:fldCharType="separate"/>
            </w:r>
            <w:r w:rsidR="00A66BD0">
              <w:rPr>
                <w:noProof/>
                <w:webHidden/>
              </w:rPr>
              <w:t>4</w:t>
            </w:r>
            <w:r w:rsidR="00A66BD0">
              <w:rPr>
                <w:noProof/>
                <w:webHidden/>
              </w:rPr>
              <w:fldChar w:fldCharType="end"/>
            </w:r>
          </w:hyperlink>
        </w:p>
        <w:p w14:paraId="27A76866" w14:textId="77777777" w:rsidR="00A66BD0" w:rsidRDefault="00A66BD0">
          <w:pPr>
            <w:pStyle w:val="TOC2"/>
            <w:rPr>
              <w:rFonts w:asciiTheme="minorHAnsi" w:eastAsiaTheme="minorEastAsia" w:hAnsiTheme="minorHAnsi" w:cstheme="minorBidi"/>
              <w:b w:val="0"/>
              <w:noProof/>
              <w:sz w:val="22"/>
              <w:lang w:eastAsia="en-AU"/>
            </w:rPr>
          </w:pPr>
          <w:hyperlink w:anchor="_Toc497906632" w:history="1">
            <w:r w:rsidRPr="004B2B0F">
              <w:rPr>
                <w:rStyle w:val="Hyperlink"/>
                <w:noProof/>
              </w:rPr>
              <w:t>I. Introduction to product submission</w:t>
            </w:r>
            <w:r>
              <w:rPr>
                <w:noProof/>
                <w:webHidden/>
              </w:rPr>
              <w:tab/>
            </w:r>
            <w:r>
              <w:rPr>
                <w:noProof/>
                <w:webHidden/>
              </w:rPr>
              <w:fldChar w:fldCharType="begin"/>
            </w:r>
            <w:r>
              <w:rPr>
                <w:noProof/>
                <w:webHidden/>
              </w:rPr>
              <w:instrText xml:space="preserve"> PAGEREF _Toc497906632 \h </w:instrText>
            </w:r>
            <w:r>
              <w:rPr>
                <w:noProof/>
                <w:webHidden/>
              </w:rPr>
            </w:r>
            <w:r>
              <w:rPr>
                <w:noProof/>
                <w:webHidden/>
              </w:rPr>
              <w:fldChar w:fldCharType="separate"/>
            </w:r>
            <w:r>
              <w:rPr>
                <w:noProof/>
                <w:webHidden/>
              </w:rPr>
              <w:t>7</w:t>
            </w:r>
            <w:r>
              <w:rPr>
                <w:noProof/>
                <w:webHidden/>
              </w:rPr>
              <w:fldChar w:fldCharType="end"/>
            </w:r>
          </w:hyperlink>
        </w:p>
        <w:p w14:paraId="5C5CC953" w14:textId="77777777" w:rsidR="00A66BD0" w:rsidRDefault="00A66BD0">
          <w:pPr>
            <w:pStyle w:val="TOC3"/>
            <w:rPr>
              <w:rFonts w:asciiTheme="minorHAnsi" w:eastAsiaTheme="minorEastAsia" w:hAnsiTheme="minorHAnsi" w:cstheme="minorBidi"/>
              <w:noProof/>
              <w:lang w:eastAsia="en-AU"/>
            </w:rPr>
          </w:pPr>
          <w:hyperlink w:anchor="_Toc497906633" w:history="1">
            <w:r w:rsidRPr="004B2B0F">
              <w:rPr>
                <w:rStyle w:val="Hyperlink"/>
                <w:noProof/>
                <w:lang w:eastAsia="en-AU"/>
              </w:rPr>
              <w:t>Submission details</w:t>
            </w:r>
            <w:r>
              <w:rPr>
                <w:noProof/>
                <w:webHidden/>
              </w:rPr>
              <w:tab/>
            </w:r>
            <w:r>
              <w:rPr>
                <w:noProof/>
                <w:webHidden/>
              </w:rPr>
              <w:fldChar w:fldCharType="begin"/>
            </w:r>
            <w:r>
              <w:rPr>
                <w:noProof/>
                <w:webHidden/>
              </w:rPr>
              <w:instrText xml:space="preserve"> PAGEREF _Toc497906633 \h </w:instrText>
            </w:r>
            <w:r>
              <w:rPr>
                <w:noProof/>
                <w:webHidden/>
              </w:rPr>
            </w:r>
            <w:r>
              <w:rPr>
                <w:noProof/>
                <w:webHidden/>
              </w:rPr>
              <w:fldChar w:fldCharType="separate"/>
            </w:r>
            <w:r>
              <w:rPr>
                <w:noProof/>
                <w:webHidden/>
              </w:rPr>
              <w:t>7</w:t>
            </w:r>
            <w:r>
              <w:rPr>
                <w:noProof/>
                <w:webHidden/>
              </w:rPr>
              <w:fldChar w:fldCharType="end"/>
            </w:r>
          </w:hyperlink>
        </w:p>
        <w:p w14:paraId="6EA45ECC" w14:textId="77777777" w:rsidR="00A66BD0" w:rsidRDefault="00A66BD0">
          <w:pPr>
            <w:pStyle w:val="TOC3"/>
            <w:rPr>
              <w:rFonts w:asciiTheme="minorHAnsi" w:eastAsiaTheme="minorEastAsia" w:hAnsiTheme="minorHAnsi" w:cstheme="minorBidi"/>
              <w:noProof/>
              <w:lang w:eastAsia="en-AU"/>
            </w:rPr>
          </w:pPr>
          <w:hyperlink w:anchor="_Toc497906634" w:history="1">
            <w:r w:rsidRPr="004B2B0F">
              <w:rPr>
                <w:rStyle w:val="Hyperlink"/>
                <w:noProof/>
              </w:rPr>
              <w:t>Product background</w:t>
            </w:r>
            <w:r>
              <w:rPr>
                <w:noProof/>
                <w:webHidden/>
              </w:rPr>
              <w:tab/>
            </w:r>
            <w:r>
              <w:rPr>
                <w:noProof/>
                <w:webHidden/>
              </w:rPr>
              <w:fldChar w:fldCharType="begin"/>
            </w:r>
            <w:r>
              <w:rPr>
                <w:noProof/>
                <w:webHidden/>
              </w:rPr>
              <w:instrText xml:space="preserve"> PAGEREF _Toc497906634 \h </w:instrText>
            </w:r>
            <w:r>
              <w:rPr>
                <w:noProof/>
                <w:webHidden/>
              </w:rPr>
            </w:r>
            <w:r>
              <w:rPr>
                <w:noProof/>
                <w:webHidden/>
              </w:rPr>
              <w:fldChar w:fldCharType="separate"/>
            </w:r>
            <w:r>
              <w:rPr>
                <w:noProof/>
                <w:webHidden/>
              </w:rPr>
              <w:t>7</w:t>
            </w:r>
            <w:r>
              <w:rPr>
                <w:noProof/>
                <w:webHidden/>
              </w:rPr>
              <w:fldChar w:fldCharType="end"/>
            </w:r>
          </w:hyperlink>
        </w:p>
        <w:p w14:paraId="32D5BCA9" w14:textId="77777777" w:rsidR="00A66BD0" w:rsidRDefault="00A66BD0">
          <w:pPr>
            <w:pStyle w:val="TOC3"/>
            <w:rPr>
              <w:rFonts w:asciiTheme="minorHAnsi" w:eastAsiaTheme="minorEastAsia" w:hAnsiTheme="minorHAnsi" w:cstheme="minorBidi"/>
              <w:noProof/>
              <w:lang w:eastAsia="en-AU"/>
            </w:rPr>
          </w:pPr>
          <w:hyperlink w:anchor="_Toc497906635" w:history="1">
            <w:r w:rsidRPr="004B2B0F">
              <w:rPr>
                <w:rStyle w:val="Hyperlink"/>
                <w:noProof/>
              </w:rPr>
              <w:t>Regulatory status</w:t>
            </w:r>
            <w:r>
              <w:rPr>
                <w:noProof/>
                <w:webHidden/>
              </w:rPr>
              <w:tab/>
            </w:r>
            <w:r>
              <w:rPr>
                <w:noProof/>
                <w:webHidden/>
              </w:rPr>
              <w:fldChar w:fldCharType="begin"/>
            </w:r>
            <w:r>
              <w:rPr>
                <w:noProof/>
                <w:webHidden/>
              </w:rPr>
              <w:instrText xml:space="preserve"> PAGEREF _Toc497906635 \h </w:instrText>
            </w:r>
            <w:r>
              <w:rPr>
                <w:noProof/>
                <w:webHidden/>
              </w:rPr>
            </w:r>
            <w:r>
              <w:rPr>
                <w:noProof/>
                <w:webHidden/>
              </w:rPr>
              <w:fldChar w:fldCharType="separate"/>
            </w:r>
            <w:r>
              <w:rPr>
                <w:noProof/>
                <w:webHidden/>
              </w:rPr>
              <w:t>9</w:t>
            </w:r>
            <w:r>
              <w:rPr>
                <w:noProof/>
                <w:webHidden/>
              </w:rPr>
              <w:fldChar w:fldCharType="end"/>
            </w:r>
          </w:hyperlink>
        </w:p>
        <w:p w14:paraId="4CB35F4F" w14:textId="77777777" w:rsidR="00A66BD0" w:rsidRDefault="00A66BD0">
          <w:pPr>
            <w:pStyle w:val="TOC3"/>
            <w:rPr>
              <w:rFonts w:asciiTheme="minorHAnsi" w:eastAsiaTheme="minorEastAsia" w:hAnsiTheme="minorHAnsi" w:cstheme="minorBidi"/>
              <w:noProof/>
              <w:lang w:eastAsia="en-AU"/>
            </w:rPr>
          </w:pPr>
          <w:hyperlink w:anchor="_Toc497906636" w:history="1">
            <w:r w:rsidRPr="004B2B0F">
              <w:rPr>
                <w:rStyle w:val="Hyperlink"/>
                <w:noProof/>
              </w:rPr>
              <w:t>Product Information</w:t>
            </w:r>
            <w:r>
              <w:rPr>
                <w:noProof/>
                <w:webHidden/>
              </w:rPr>
              <w:tab/>
            </w:r>
            <w:r>
              <w:rPr>
                <w:noProof/>
                <w:webHidden/>
              </w:rPr>
              <w:fldChar w:fldCharType="begin"/>
            </w:r>
            <w:r>
              <w:rPr>
                <w:noProof/>
                <w:webHidden/>
              </w:rPr>
              <w:instrText xml:space="preserve"> PAGEREF _Toc497906636 \h </w:instrText>
            </w:r>
            <w:r>
              <w:rPr>
                <w:noProof/>
                <w:webHidden/>
              </w:rPr>
            </w:r>
            <w:r>
              <w:rPr>
                <w:noProof/>
                <w:webHidden/>
              </w:rPr>
              <w:fldChar w:fldCharType="separate"/>
            </w:r>
            <w:r>
              <w:rPr>
                <w:noProof/>
                <w:webHidden/>
              </w:rPr>
              <w:t>9</w:t>
            </w:r>
            <w:r>
              <w:rPr>
                <w:noProof/>
                <w:webHidden/>
              </w:rPr>
              <w:fldChar w:fldCharType="end"/>
            </w:r>
          </w:hyperlink>
        </w:p>
        <w:p w14:paraId="185C3138" w14:textId="77777777" w:rsidR="00A66BD0" w:rsidRDefault="00A66BD0">
          <w:pPr>
            <w:pStyle w:val="TOC2"/>
            <w:rPr>
              <w:rFonts w:asciiTheme="minorHAnsi" w:eastAsiaTheme="minorEastAsia" w:hAnsiTheme="minorHAnsi" w:cstheme="minorBidi"/>
              <w:b w:val="0"/>
              <w:noProof/>
              <w:sz w:val="22"/>
              <w:lang w:eastAsia="en-AU"/>
            </w:rPr>
          </w:pPr>
          <w:hyperlink w:anchor="_Toc497906637" w:history="1">
            <w:r w:rsidRPr="004B2B0F">
              <w:rPr>
                <w:rStyle w:val="Hyperlink"/>
                <w:noProof/>
              </w:rPr>
              <w:t>II. Quality findings</w:t>
            </w:r>
            <w:r>
              <w:rPr>
                <w:noProof/>
                <w:webHidden/>
              </w:rPr>
              <w:tab/>
            </w:r>
            <w:r>
              <w:rPr>
                <w:noProof/>
                <w:webHidden/>
              </w:rPr>
              <w:fldChar w:fldCharType="begin"/>
            </w:r>
            <w:r>
              <w:rPr>
                <w:noProof/>
                <w:webHidden/>
              </w:rPr>
              <w:instrText xml:space="preserve"> PAGEREF _Toc497906637 \h </w:instrText>
            </w:r>
            <w:r>
              <w:rPr>
                <w:noProof/>
                <w:webHidden/>
              </w:rPr>
            </w:r>
            <w:r>
              <w:rPr>
                <w:noProof/>
                <w:webHidden/>
              </w:rPr>
              <w:fldChar w:fldCharType="separate"/>
            </w:r>
            <w:r>
              <w:rPr>
                <w:noProof/>
                <w:webHidden/>
              </w:rPr>
              <w:t>9</w:t>
            </w:r>
            <w:r>
              <w:rPr>
                <w:noProof/>
                <w:webHidden/>
              </w:rPr>
              <w:fldChar w:fldCharType="end"/>
            </w:r>
          </w:hyperlink>
        </w:p>
        <w:p w14:paraId="23D8EAD1" w14:textId="77777777" w:rsidR="00A66BD0" w:rsidRDefault="00A66BD0">
          <w:pPr>
            <w:pStyle w:val="TOC2"/>
            <w:rPr>
              <w:rFonts w:asciiTheme="minorHAnsi" w:eastAsiaTheme="minorEastAsia" w:hAnsiTheme="minorHAnsi" w:cstheme="minorBidi"/>
              <w:b w:val="0"/>
              <w:noProof/>
              <w:sz w:val="22"/>
              <w:lang w:eastAsia="en-AU"/>
            </w:rPr>
          </w:pPr>
          <w:hyperlink w:anchor="_Toc497906638" w:history="1">
            <w:r w:rsidRPr="004B2B0F">
              <w:rPr>
                <w:rStyle w:val="Hyperlink"/>
                <w:noProof/>
              </w:rPr>
              <w:t>III. Nonclinical findings</w:t>
            </w:r>
            <w:r>
              <w:rPr>
                <w:noProof/>
                <w:webHidden/>
              </w:rPr>
              <w:tab/>
            </w:r>
            <w:r>
              <w:rPr>
                <w:noProof/>
                <w:webHidden/>
              </w:rPr>
              <w:fldChar w:fldCharType="begin"/>
            </w:r>
            <w:r>
              <w:rPr>
                <w:noProof/>
                <w:webHidden/>
              </w:rPr>
              <w:instrText xml:space="preserve"> PAGEREF _Toc497906638 \h </w:instrText>
            </w:r>
            <w:r>
              <w:rPr>
                <w:noProof/>
                <w:webHidden/>
              </w:rPr>
            </w:r>
            <w:r>
              <w:rPr>
                <w:noProof/>
                <w:webHidden/>
              </w:rPr>
              <w:fldChar w:fldCharType="separate"/>
            </w:r>
            <w:r>
              <w:rPr>
                <w:noProof/>
                <w:webHidden/>
              </w:rPr>
              <w:t>9</w:t>
            </w:r>
            <w:r>
              <w:rPr>
                <w:noProof/>
                <w:webHidden/>
              </w:rPr>
              <w:fldChar w:fldCharType="end"/>
            </w:r>
          </w:hyperlink>
        </w:p>
        <w:p w14:paraId="53B5139D" w14:textId="77777777" w:rsidR="00A66BD0" w:rsidRDefault="00A66BD0">
          <w:pPr>
            <w:pStyle w:val="TOC2"/>
            <w:rPr>
              <w:rFonts w:asciiTheme="minorHAnsi" w:eastAsiaTheme="minorEastAsia" w:hAnsiTheme="minorHAnsi" w:cstheme="minorBidi"/>
              <w:b w:val="0"/>
              <w:noProof/>
              <w:sz w:val="22"/>
              <w:lang w:eastAsia="en-AU"/>
            </w:rPr>
          </w:pPr>
          <w:hyperlink w:anchor="_Toc497906639" w:history="1">
            <w:r w:rsidRPr="004B2B0F">
              <w:rPr>
                <w:rStyle w:val="Hyperlink"/>
                <w:noProof/>
              </w:rPr>
              <w:t>IV. Clinical findings</w:t>
            </w:r>
            <w:r>
              <w:rPr>
                <w:noProof/>
                <w:webHidden/>
              </w:rPr>
              <w:tab/>
            </w:r>
            <w:r>
              <w:rPr>
                <w:noProof/>
                <w:webHidden/>
              </w:rPr>
              <w:fldChar w:fldCharType="begin"/>
            </w:r>
            <w:r>
              <w:rPr>
                <w:noProof/>
                <w:webHidden/>
              </w:rPr>
              <w:instrText xml:space="preserve"> PAGEREF _Toc497906639 \h </w:instrText>
            </w:r>
            <w:r>
              <w:rPr>
                <w:noProof/>
                <w:webHidden/>
              </w:rPr>
            </w:r>
            <w:r>
              <w:rPr>
                <w:noProof/>
                <w:webHidden/>
              </w:rPr>
              <w:fldChar w:fldCharType="separate"/>
            </w:r>
            <w:r>
              <w:rPr>
                <w:noProof/>
                <w:webHidden/>
              </w:rPr>
              <w:t>9</w:t>
            </w:r>
            <w:r>
              <w:rPr>
                <w:noProof/>
                <w:webHidden/>
              </w:rPr>
              <w:fldChar w:fldCharType="end"/>
            </w:r>
          </w:hyperlink>
        </w:p>
        <w:p w14:paraId="64BE5702" w14:textId="77777777" w:rsidR="00A66BD0" w:rsidRDefault="00A66BD0">
          <w:pPr>
            <w:pStyle w:val="TOC3"/>
            <w:rPr>
              <w:rFonts w:asciiTheme="minorHAnsi" w:eastAsiaTheme="minorEastAsia" w:hAnsiTheme="minorHAnsi" w:cstheme="minorBidi"/>
              <w:noProof/>
              <w:lang w:eastAsia="en-AU"/>
            </w:rPr>
          </w:pPr>
          <w:hyperlink w:anchor="_Toc497906640" w:history="1">
            <w:r w:rsidRPr="004B2B0F">
              <w:rPr>
                <w:rStyle w:val="Hyperlink"/>
                <w:noProof/>
              </w:rPr>
              <w:t>Introduction</w:t>
            </w:r>
            <w:r>
              <w:rPr>
                <w:noProof/>
                <w:webHidden/>
              </w:rPr>
              <w:tab/>
            </w:r>
            <w:r>
              <w:rPr>
                <w:noProof/>
                <w:webHidden/>
              </w:rPr>
              <w:fldChar w:fldCharType="begin"/>
            </w:r>
            <w:r>
              <w:rPr>
                <w:noProof/>
                <w:webHidden/>
              </w:rPr>
              <w:instrText xml:space="preserve"> PAGEREF _Toc497906640 \h </w:instrText>
            </w:r>
            <w:r>
              <w:rPr>
                <w:noProof/>
                <w:webHidden/>
              </w:rPr>
            </w:r>
            <w:r>
              <w:rPr>
                <w:noProof/>
                <w:webHidden/>
              </w:rPr>
              <w:fldChar w:fldCharType="separate"/>
            </w:r>
            <w:r>
              <w:rPr>
                <w:noProof/>
                <w:webHidden/>
              </w:rPr>
              <w:t>10</w:t>
            </w:r>
            <w:r>
              <w:rPr>
                <w:noProof/>
                <w:webHidden/>
              </w:rPr>
              <w:fldChar w:fldCharType="end"/>
            </w:r>
          </w:hyperlink>
        </w:p>
        <w:p w14:paraId="751CD3EC" w14:textId="77777777" w:rsidR="00A66BD0" w:rsidRDefault="00A66BD0">
          <w:pPr>
            <w:pStyle w:val="TOC3"/>
            <w:rPr>
              <w:rFonts w:asciiTheme="minorHAnsi" w:eastAsiaTheme="minorEastAsia" w:hAnsiTheme="minorHAnsi" w:cstheme="minorBidi"/>
              <w:noProof/>
              <w:lang w:eastAsia="en-AU"/>
            </w:rPr>
          </w:pPr>
          <w:hyperlink w:anchor="_Toc497906641" w:history="1">
            <w:r w:rsidRPr="004B2B0F">
              <w:rPr>
                <w:rStyle w:val="Hyperlink"/>
                <w:noProof/>
              </w:rPr>
              <w:t>Pharmacokinetics</w:t>
            </w:r>
            <w:r>
              <w:rPr>
                <w:noProof/>
                <w:webHidden/>
              </w:rPr>
              <w:tab/>
            </w:r>
            <w:r>
              <w:rPr>
                <w:noProof/>
                <w:webHidden/>
              </w:rPr>
              <w:fldChar w:fldCharType="begin"/>
            </w:r>
            <w:r>
              <w:rPr>
                <w:noProof/>
                <w:webHidden/>
              </w:rPr>
              <w:instrText xml:space="preserve"> PAGEREF _Toc497906641 \h </w:instrText>
            </w:r>
            <w:r>
              <w:rPr>
                <w:noProof/>
                <w:webHidden/>
              </w:rPr>
            </w:r>
            <w:r>
              <w:rPr>
                <w:noProof/>
                <w:webHidden/>
              </w:rPr>
              <w:fldChar w:fldCharType="separate"/>
            </w:r>
            <w:r>
              <w:rPr>
                <w:noProof/>
                <w:webHidden/>
              </w:rPr>
              <w:t>12</w:t>
            </w:r>
            <w:r>
              <w:rPr>
                <w:noProof/>
                <w:webHidden/>
              </w:rPr>
              <w:fldChar w:fldCharType="end"/>
            </w:r>
          </w:hyperlink>
        </w:p>
        <w:p w14:paraId="6DFAE9A9" w14:textId="77777777" w:rsidR="00A66BD0" w:rsidRDefault="00A66BD0">
          <w:pPr>
            <w:pStyle w:val="TOC3"/>
            <w:rPr>
              <w:rFonts w:asciiTheme="minorHAnsi" w:eastAsiaTheme="minorEastAsia" w:hAnsiTheme="minorHAnsi" w:cstheme="minorBidi"/>
              <w:noProof/>
              <w:lang w:eastAsia="en-AU"/>
            </w:rPr>
          </w:pPr>
          <w:hyperlink w:anchor="_Toc497906642" w:history="1">
            <w:r w:rsidRPr="004B2B0F">
              <w:rPr>
                <w:rStyle w:val="Hyperlink"/>
                <w:noProof/>
              </w:rPr>
              <w:t>Pharmacodynamics</w:t>
            </w:r>
            <w:r>
              <w:rPr>
                <w:noProof/>
                <w:webHidden/>
              </w:rPr>
              <w:tab/>
            </w:r>
            <w:r>
              <w:rPr>
                <w:noProof/>
                <w:webHidden/>
              </w:rPr>
              <w:fldChar w:fldCharType="begin"/>
            </w:r>
            <w:r>
              <w:rPr>
                <w:noProof/>
                <w:webHidden/>
              </w:rPr>
              <w:instrText xml:space="preserve"> PAGEREF _Toc497906642 \h </w:instrText>
            </w:r>
            <w:r>
              <w:rPr>
                <w:noProof/>
                <w:webHidden/>
              </w:rPr>
            </w:r>
            <w:r>
              <w:rPr>
                <w:noProof/>
                <w:webHidden/>
              </w:rPr>
              <w:fldChar w:fldCharType="separate"/>
            </w:r>
            <w:r>
              <w:rPr>
                <w:noProof/>
                <w:webHidden/>
              </w:rPr>
              <w:t>12</w:t>
            </w:r>
            <w:r>
              <w:rPr>
                <w:noProof/>
                <w:webHidden/>
              </w:rPr>
              <w:fldChar w:fldCharType="end"/>
            </w:r>
          </w:hyperlink>
        </w:p>
        <w:p w14:paraId="4DE2EC02" w14:textId="77777777" w:rsidR="00A66BD0" w:rsidRDefault="00A66BD0">
          <w:pPr>
            <w:pStyle w:val="TOC3"/>
            <w:rPr>
              <w:rFonts w:asciiTheme="minorHAnsi" w:eastAsiaTheme="minorEastAsia" w:hAnsiTheme="minorHAnsi" w:cstheme="minorBidi"/>
              <w:noProof/>
              <w:lang w:eastAsia="en-AU"/>
            </w:rPr>
          </w:pPr>
          <w:hyperlink w:anchor="_Toc497906643" w:history="1">
            <w:r w:rsidRPr="004B2B0F">
              <w:rPr>
                <w:rStyle w:val="Hyperlink"/>
                <w:noProof/>
              </w:rPr>
              <w:t>Dosage selection for the pivotal studies</w:t>
            </w:r>
            <w:r>
              <w:rPr>
                <w:noProof/>
                <w:webHidden/>
              </w:rPr>
              <w:tab/>
            </w:r>
            <w:r>
              <w:rPr>
                <w:noProof/>
                <w:webHidden/>
              </w:rPr>
              <w:fldChar w:fldCharType="begin"/>
            </w:r>
            <w:r>
              <w:rPr>
                <w:noProof/>
                <w:webHidden/>
              </w:rPr>
              <w:instrText xml:space="preserve"> PAGEREF _Toc497906643 \h </w:instrText>
            </w:r>
            <w:r>
              <w:rPr>
                <w:noProof/>
                <w:webHidden/>
              </w:rPr>
            </w:r>
            <w:r>
              <w:rPr>
                <w:noProof/>
                <w:webHidden/>
              </w:rPr>
              <w:fldChar w:fldCharType="separate"/>
            </w:r>
            <w:r>
              <w:rPr>
                <w:noProof/>
                <w:webHidden/>
              </w:rPr>
              <w:t>12</w:t>
            </w:r>
            <w:r>
              <w:rPr>
                <w:noProof/>
                <w:webHidden/>
              </w:rPr>
              <w:fldChar w:fldCharType="end"/>
            </w:r>
          </w:hyperlink>
        </w:p>
        <w:p w14:paraId="1584ED0F" w14:textId="77777777" w:rsidR="00A66BD0" w:rsidRDefault="00A66BD0">
          <w:pPr>
            <w:pStyle w:val="TOC3"/>
            <w:rPr>
              <w:rFonts w:asciiTheme="minorHAnsi" w:eastAsiaTheme="minorEastAsia" w:hAnsiTheme="minorHAnsi" w:cstheme="minorBidi"/>
              <w:noProof/>
              <w:lang w:eastAsia="en-AU"/>
            </w:rPr>
          </w:pPr>
          <w:hyperlink w:anchor="_Toc497906644" w:history="1">
            <w:r w:rsidRPr="004B2B0F">
              <w:rPr>
                <w:rStyle w:val="Hyperlink"/>
                <w:noProof/>
              </w:rPr>
              <w:t>Efficacy</w:t>
            </w:r>
            <w:r>
              <w:rPr>
                <w:noProof/>
                <w:webHidden/>
              </w:rPr>
              <w:tab/>
            </w:r>
            <w:r>
              <w:rPr>
                <w:noProof/>
                <w:webHidden/>
              </w:rPr>
              <w:fldChar w:fldCharType="begin"/>
            </w:r>
            <w:r>
              <w:rPr>
                <w:noProof/>
                <w:webHidden/>
              </w:rPr>
              <w:instrText xml:space="preserve"> PAGEREF _Toc497906644 \h </w:instrText>
            </w:r>
            <w:r>
              <w:rPr>
                <w:noProof/>
                <w:webHidden/>
              </w:rPr>
            </w:r>
            <w:r>
              <w:rPr>
                <w:noProof/>
                <w:webHidden/>
              </w:rPr>
              <w:fldChar w:fldCharType="separate"/>
            </w:r>
            <w:r>
              <w:rPr>
                <w:noProof/>
                <w:webHidden/>
              </w:rPr>
              <w:t>12</w:t>
            </w:r>
            <w:r>
              <w:rPr>
                <w:noProof/>
                <w:webHidden/>
              </w:rPr>
              <w:fldChar w:fldCharType="end"/>
            </w:r>
          </w:hyperlink>
        </w:p>
        <w:p w14:paraId="2787143E" w14:textId="77777777" w:rsidR="00A66BD0" w:rsidRDefault="00A66BD0">
          <w:pPr>
            <w:pStyle w:val="TOC3"/>
            <w:rPr>
              <w:rFonts w:asciiTheme="minorHAnsi" w:eastAsiaTheme="minorEastAsia" w:hAnsiTheme="minorHAnsi" w:cstheme="minorBidi"/>
              <w:noProof/>
              <w:lang w:eastAsia="en-AU"/>
            </w:rPr>
          </w:pPr>
          <w:hyperlink w:anchor="_Toc497906645" w:history="1">
            <w:r w:rsidRPr="004B2B0F">
              <w:rPr>
                <w:rStyle w:val="Hyperlink"/>
                <w:noProof/>
              </w:rPr>
              <w:t>Safety</w:t>
            </w:r>
            <w:r>
              <w:rPr>
                <w:noProof/>
                <w:webHidden/>
              </w:rPr>
              <w:tab/>
            </w:r>
            <w:r>
              <w:rPr>
                <w:noProof/>
                <w:webHidden/>
              </w:rPr>
              <w:fldChar w:fldCharType="begin"/>
            </w:r>
            <w:r>
              <w:rPr>
                <w:noProof/>
                <w:webHidden/>
              </w:rPr>
              <w:instrText xml:space="preserve"> PAGEREF _Toc497906645 \h </w:instrText>
            </w:r>
            <w:r>
              <w:rPr>
                <w:noProof/>
                <w:webHidden/>
              </w:rPr>
            </w:r>
            <w:r>
              <w:rPr>
                <w:noProof/>
                <w:webHidden/>
              </w:rPr>
              <w:fldChar w:fldCharType="separate"/>
            </w:r>
            <w:r>
              <w:rPr>
                <w:noProof/>
                <w:webHidden/>
              </w:rPr>
              <w:t>15</w:t>
            </w:r>
            <w:r>
              <w:rPr>
                <w:noProof/>
                <w:webHidden/>
              </w:rPr>
              <w:fldChar w:fldCharType="end"/>
            </w:r>
          </w:hyperlink>
        </w:p>
        <w:p w14:paraId="0420666B" w14:textId="77777777" w:rsidR="00A66BD0" w:rsidRDefault="00A66BD0">
          <w:pPr>
            <w:pStyle w:val="TOC3"/>
            <w:rPr>
              <w:rFonts w:asciiTheme="minorHAnsi" w:eastAsiaTheme="minorEastAsia" w:hAnsiTheme="minorHAnsi" w:cstheme="minorBidi"/>
              <w:noProof/>
              <w:lang w:eastAsia="en-AU"/>
            </w:rPr>
          </w:pPr>
          <w:hyperlink w:anchor="_Toc497906646" w:history="1">
            <w:r w:rsidRPr="004B2B0F">
              <w:rPr>
                <w:rStyle w:val="Hyperlink"/>
                <w:noProof/>
              </w:rPr>
              <w:t>First Round Benefit-Risk Assessment</w:t>
            </w:r>
            <w:r>
              <w:rPr>
                <w:noProof/>
                <w:webHidden/>
              </w:rPr>
              <w:tab/>
            </w:r>
            <w:r>
              <w:rPr>
                <w:noProof/>
                <w:webHidden/>
              </w:rPr>
              <w:fldChar w:fldCharType="begin"/>
            </w:r>
            <w:r>
              <w:rPr>
                <w:noProof/>
                <w:webHidden/>
              </w:rPr>
              <w:instrText xml:space="preserve"> PAGEREF _Toc497906646 \h </w:instrText>
            </w:r>
            <w:r>
              <w:rPr>
                <w:noProof/>
                <w:webHidden/>
              </w:rPr>
            </w:r>
            <w:r>
              <w:rPr>
                <w:noProof/>
                <w:webHidden/>
              </w:rPr>
              <w:fldChar w:fldCharType="separate"/>
            </w:r>
            <w:r>
              <w:rPr>
                <w:noProof/>
                <w:webHidden/>
              </w:rPr>
              <w:t>17</w:t>
            </w:r>
            <w:r>
              <w:rPr>
                <w:noProof/>
                <w:webHidden/>
              </w:rPr>
              <w:fldChar w:fldCharType="end"/>
            </w:r>
          </w:hyperlink>
        </w:p>
        <w:p w14:paraId="6A05CCD1" w14:textId="77777777" w:rsidR="00A66BD0" w:rsidRDefault="00A66BD0">
          <w:pPr>
            <w:pStyle w:val="TOC3"/>
            <w:rPr>
              <w:rFonts w:asciiTheme="minorHAnsi" w:eastAsiaTheme="minorEastAsia" w:hAnsiTheme="minorHAnsi" w:cstheme="minorBidi"/>
              <w:noProof/>
              <w:lang w:eastAsia="en-AU"/>
            </w:rPr>
          </w:pPr>
          <w:hyperlink w:anchor="_Toc497906647" w:history="1">
            <w:r w:rsidRPr="004B2B0F">
              <w:rPr>
                <w:rStyle w:val="Hyperlink"/>
                <w:noProof/>
              </w:rPr>
              <w:t>First Round Recommendation Regarding Authorisation</w:t>
            </w:r>
            <w:r>
              <w:rPr>
                <w:noProof/>
                <w:webHidden/>
              </w:rPr>
              <w:tab/>
            </w:r>
            <w:r>
              <w:rPr>
                <w:noProof/>
                <w:webHidden/>
              </w:rPr>
              <w:fldChar w:fldCharType="begin"/>
            </w:r>
            <w:r>
              <w:rPr>
                <w:noProof/>
                <w:webHidden/>
              </w:rPr>
              <w:instrText xml:space="preserve"> PAGEREF _Toc497906647 \h </w:instrText>
            </w:r>
            <w:r>
              <w:rPr>
                <w:noProof/>
                <w:webHidden/>
              </w:rPr>
            </w:r>
            <w:r>
              <w:rPr>
                <w:noProof/>
                <w:webHidden/>
              </w:rPr>
              <w:fldChar w:fldCharType="separate"/>
            </w:r>
            <w:r>
              <w:rPr>
                <w:noProof/>
                <w:webHidden/>
              </w:rPr>
              <w:t>18</w:t>
            </w:r>
            <w:r>
              <w:rPr>
                <w:noProof/>
                <w:webHidden/>
              </w:rPr>
              <w:fldChar w:fldCharType="end"/>
            </w:r>
          </w:hyperlink>
        </w:p>
        <w:p w14:paraId="7B8F65BC" w14:textId="77777777" w:rsidR="00A66BD0" w:rsidRDefault="00A66BD0">
          <w:pPr>
            <w:pStyle w:val="TOC3"/>
            <w:rPr>
              <w:rFonts w:asciiTheme="minorHAnsi" w:eastAsiaTheme="minorEastAsia" w:hAnsiTheme="minorHAnsi" w:cstheme="minorBidi"/>
              <w:noProof/>
              <w:lang w:eastAsia="en-AU"/>
            </w:rPr>
          </w:pPr>
          <w:hyperlink w:anchor="_Toc497906648" w:history="1">
            <w:r w:rsidRPr="004B2B0F">
              <w:rPr>
                <w:rStyle w:val="Hyperlink"/>
                <w:noProof/>
              </w:rPr>
              <w:t>Clinical Questions</w:t>
            </w:r>
            <w:r>
              <w:rPr>
                <w:noProof/>
                <w:webHidden/>
              </w:rPr>
              <w:tab/>
            </w:r>
            <w:r>
              <w:rPr>
                <w:noProof/>
                <w:webHidden/>
              </w:rPr>
              <w:fldChar w:fldCharType="begin"/>
            </w:r>
            <w:r>
              <w:rPr>
                <w:noProof/>
                <w:webHidden/>
              </w:rPr>
              <w:instrText xml:space="preserve"> PAGEREF _Toc497906648 \h </w:instrText>
            </w:r>
            <w:r>
              <w:rPr>
                <w:noProof/>
                <w:webHidden/>
              </w:rPr>
            </w:r>
            <w:r>
              <w:rPr>
                <w:noProof/>
                <w:webHidden/>
              </w:rPr>
              <w:fldChar w:fldCharType="separate"/>
            </w:r>
            <w:r>
              <w:rPr>
                <w:noProof/>
                <w:webHidden/>
              </w:rPr>
              <w:t>20</w:t>
            </w:r>
            <w:r>
              <w:rPr>
                <w:noProof/>
                <w:webHidden/>
              </w:rPr>
              <w:fldChar w:fldCharType="end"/>
            </w:r>
          </w:hyperlink>
        </w:p>
        <w:p w14:paraId="473EC825" w14:textId="77777777" w:rsidR="00A66BD0" w:rsidRDefault="00A66BD0">
          <w:pPr>
            <w:pStyle w:val="TOC3"/>
            <w:rPr>
              <w:rFonts w:asciiTheme="minorHAnsi" w:eastAsiaTheme="minorEastAsia" w:hAnsiTheme="minorHAnsi" w:cstheme="minorBidi"/>
              <w:noProof/>
              <w:lang w:eastAsia="en-AU"/>
            </w:rPr>
          </w:pPr>
          <w:hyperlink w:anchor="_Toc497906649" w:history="1">
            <w:r w:rsidRPr="004B2B0F">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_Toc497906649 \h </w:instrText>
            </w:r>
            <w:r>
              <w:rPr>
                <w:noProof/>
                <w:webHidden/>
              </w:rPr>
            </w:r>
            <w:r>
              <w:rPr>
                <w:noProof/>
                <w:webHidden/>
              </w:rPr>
              <w:fldChar w:fldCharType="separate"/>
            </w:r>
            <w:r>
              <w:rPr>
                <w:noProof/>
                <w:webHidden/>
              </w:rPr>
              <w:t>20</w:t>
            </w:r>
            <w:r>
              <w:rPr>
                <w:noProof/>
                <w:webHidden/>
              </w:rPr>
              <w:fldChar w:fldCharType="end"/>
            </w:r>
          </w:hyperlink>
        </w:p>
        <w:p w14:paraId="4E910E07" w14:textId="77777777" w:rsidR="00A66BD0" w:rsidRDefault="00A66BD0">
          <w:pPr>
            <w:pStyle w:val="TOC3"/>
            <w:rPr>
              <w:rFonts w:asciiTheme="minorHAnsi" w:eastAsiaTheme="minorEastAsia" w:hAnsiTheme="minorHAnsi" w:cstheme="minorBidi"/>
              <w:noProof/>
              <w:lang w:eastAsia="en-AU"/>
            </w:rPr>
          </w:pPr>
          <w:hyperlink w:anchor="_Toc497906650" w:history="1">
            <w:r w:rsidRPr="004B2B0F">
              <w:rPr>
                <w:rStyle w:val="Hyperlink"/>
                <w:noProof/>
              </w:rPr>
              <w:t>Second Round Benefit-Risk Assessment</w:t>
            </w:r>
            <w:r>
              <w:rPr>
                <w:noProof/>
                <w:webHidden/>
              </w:rPr>
              <w:tab/>
            </w:r>
            <w:r>
              <w:rPr>
                <w:noProof/>
                <w:webHidden/>
              </w:rPr>
              <w:fldChar w:fldCharType="begin"/>
            </w:r>
            <w:r>
              <w:rPr>
                <w:noProof/>
                <w:webHidden/>
              </w:rPr>
              <w:instrText xml:space="preserve"> PAGEREF _Toc497906650 \h </w:instrText>
            </w:r>
            <w:r>
              <w:rPr>
                <w:noProof/>
                <w:webHidden/>
              </w:rPr>
            </w:r>
            <w:r>
              <w:rPr>
                <w:noProof/>
                <w:webHidden/>
              </w:rPr>
              <w:fldChar w:fldCharType="separate"/>
            </w:r>
            <w:r>
              <w:rPr>
                <w:noProof/>
                <w:webHidden/>
              </w:rPr>
              <w:t>20</w:t>
            </w:r>
            <w:r>
              <w:rPr>
                <w:noProof/>
                <w:webHidden/>
              </w:rPr>
              <w:fldChar w:fldCharType="end"/>
            </w:r>
          </w:hyperlink>
        </w:p>
        <w:p w14:paraId="2DD41389" w14:textId="77777777" w:rsidR="00A66BD0" w:rsidRDefault="00A66BD0">
          <w:pPr>
            <w:pStyle w:val="TOC2"/>
            <w:rPr>
              <w:rFonts w:asciiTheme="minorHAnsi" w:eastAsiaTheme="minorEastAsia" w:hAnsiTheme="minorHAnsi" w:cstheme="minorBidi"/>
              <w:b w:val="0"/>
              <w:noProof/>
              <w:sz w:val="22"/>
              <w:lang w:eastAsia="en-AU"/>
            </w:rPr>
          </w:pPr>
          <w:hyperlink w:anchor="_Toc497906651" w:history="1">
            <w:r w:rsidRPr="004B2B0F">
              <w:rPr>
                <w:rStyle w:val="Hyperlink"/>
                <w:noProof/>
              </w:rPr>
              <w:t>V. Pharmacovigilance findings</w:t>
            </w:r>
            <w:r>
              <w:rPr>
                <w:noProof/>
                <w:webHidden/>
              </w:rPr>
              <w:tab/>
            </w:r>
            <w:r>
              <w:rPr>
                <w:noProof/>
                <w:webHidden/>
              </w:rPr>
              <w:fldChar w:fldCharType="begin"/>
            </w:r>
            <w:r>
              <w:rPr>
                <w:noProof/>
                <w:webHidden/>
              </w:rPr>
              <w:instrText xml:space="preserve"> PAGEREF _Toc497906651 \h </w:instrText>
            </w:r>
            <w:r>
              <w:rPr>
                <w:noProof/>
                <w:webHidden/>
              </w:rPr>
            </w:r>
            <w:r>
              <w:rPr>
                <w:noProof/>
                <w:webHidden/>
              </w:rPr>
              <w:fldChar w:fldCharType="separate"/>
            </w:r>
            <w:r>
              <w:rPr>
                <w:noProof/>
                <w:webHidden/>
              </w:rPr>
              <w:t>22</w:t>
            </w:r>
            <w:r>
              <w:rPr>
                <w:noProof/>
                <w:webHidden/>
              </w:rPr>
              <w:fldChar w:fldCharType="end"/>
            </w:r>
          </w:hyperlink>
        </w:p>
        <w:p w14:paraId="3BFE4550" w14:textId="77777777" w:rsidR="00A66BD0" w:rsidRDefault="00A66BD0">
          <w:pPr>
            <w:pStyle w:val="TOC3"/>
            <w:rPr>
              <w:rFonts w:asciiTheme="minorHAnsi" w:eastAsiaTheme="minorEastAsia" w:hAnsiTheme="minorHAnsi" w:cstheme="minorBidi"/>
              <w:noProof/>
              <w:lang w:eastAsia="en-AU"/>
            </w:rPr>
          </w:pPr>
          <w:hyperlink w:anchor="_Toc497906652" w:history="1">
            <w:r w:rsidRPr="004B2B0F">
              <w:rPr>
                <w:rStyle w:val="Hyperlink"/>
                <w:noProof/>
                <w:lang w:eastAsia="en-AU"/>
              </w:rPr>
              <w:t>Risk management plan</w:t>
            </w:r>
            <w:r>
              <w:rPr>
                <w:noProof/>
                <w:webHidden/>
              </w:rPr>
              <w:tab/>
            </w:r>
            <w:r>
              <w:rPr>
                <w:noProof/>
                <w:webHidden/>
              </w:rPr>
              <w:fldChar w:fldCharType="begin"/>
            </w:r>
            <w:r>
              <w:rPr>
                <w:noProof/>
                <w:webHidden/>
              </w:rPr>
              <w:instrText xml:space="preserve"> PAGEREF _Toc497906652 \h </w:instrText>
            </w:r>
            <w:r>
              <w:rPr>
                <w:noProof/>
                <w:webHidden/>
              </w:rPr>
            </w:r>
            <w:r>
              <w:rPr>
                <w:noProof/>
                <w:webHidden/>
              </w:rPr>
              <w:fldChar w:fldCharType="separate"/>
            </w:r>
            <w:r>
              <w:rPr>
                <w:noProof/>
                <w:webHidden/>
              </w:rPr>
              <w:t>22</w:t>
            </w:r>
            <w:r>
              <w:rPr>
                <w:noProof/>
                <w:webHidden/>
              </w:rPr>
              <w:fldChar w:fldCharType="end"/>
            </w:r>
          </w:hyperlink>
        </w:p>
        <w:p w14:paraId="24B5E009" w14:textId="77777777" w:rsidR="00A66BD0" w:rsidRDefault="00A66BD0">
          <w:pPr>
            <w:pStyle w:val="TOC2"/>
            <w:rPr>
              <w:rFonts w:asciiTheme="minorHAnsi" w:eastAsiaTheme="minorEastAsia" w:hAnsiTheme="minorHAnsi" w:cstheme="minorBidi"/>
              <w:b w:val="0"/>
              <w:noProof/>
              <w:sz w:val="22"/>
              <w:lang w:eastAsia="en-AU"/>
            </w:rPr>
          </w:pPr>
          <w:hyperlink w:anchor="_Toc497906653" w:history="1">
            <w:r w:rsidRPr="004B2B0F">
              <w:rPr>
                <w:rStyle w:val="Hyperlink"/>
                <w:noProof/>
              </w:rPr>
              <w:t>VI. Overall conclusion and risk/benefit assessment</w:t>
            </w:r>
            <w:r>
              <w:rPr>
                <w:noProof/>
                <w:webHidden/>
              </w:rPr>
              <w:tab/>
            </w:r>
            <w:r>
              <w:rPr>
                <w:noProof/>
                <w:webHidden/>
              </w:rPr>
              <w:fldChar w:fldCharType="begin"/>
            </w:r>
            <w:r>
              <w:rPr>
                <w:noProof/>
                <w:webHidden/>
              </w:rPr>
              <w:instrText xml:space="preserve"> PAGEREF _Toc497906653 \h </w:instrText>
            </w:r>
            <w:r>
              <w:rPr>
                <w:noProof/>
                <w:webHidden/>
              </w:rPr>
            </w:r>
            <w:r>
              <w:rPr>
                <w:noProof/>
                <w:webHidden/>
              </w:rPr>
              <w:fldChar w:fldCharType="separate"/>
            </w:r>
            <w:r>
              <w:rPr>
                <w:noProof/>
                <w:webHidden/>
              </w:rPr>
              <w:t>23</w:t>
            </w:r>
            <w:r>
              <w:rPr>
                <w:noProof/>
                <w:webHidden/>
              </w:rPr>
              <w:fldChar w:fldCharType="end"/>
            </w:r>
          </w:hyperlink>
        </w:p>
        <w:p w14:paraId="7060882B" w14:textId="77777777" w:rsidR="00A66BD0" w:rsidRDefault="00A66BD0">
          <w:pPr>
            <w:pStyle w:val="TOC3"/>
            <w:rPr>
              <w:rFonts w:asciiTheme="minorHAnsi" w:eastAsiaTheme="minorEastAsia" w:hAnsiTheme="minorHAnsi" w:cstheme="minorBidi"/>
              <w:noProof/>
              <w:lang w:eastAsia="en-AU"/>
            </w:rPr>
          </w:pPr>
          <w:hyperlink w:anchor="_Toc497906654" w:history="1">
            <w:r w:rsidRPr="004B2B0F">
              <w:rPr>
                <w:rStyle w:val="Hyperlink"/>
                <w:noProof/>
              </w:rPr>
              <w:t>Quality</w:t>
            </w:r>
            <w:r>
              <w:rPr>
                <w:noProof/>
                <w:webHidden/>
              </w:rPr>
              <w:tab/>
            </w:r>
            <w:r>
              <w:rPr>
                <w:noProof/>
                <w:webHidden/>
              </w:rPr>
              <w:fldChar w:fldCharType="begin"/>
            </w:r>
            <w:r>
              <w:rPr>
                <w:noProof/>
                <w:webHidden/>
              </w:rPr>
              <w:instrText xml:space="preserve"> PAGEREF _Toc497906654 \h </w:instrText>
            </w:r>
            <w:r>
              <w:rPr>
                <w:noProof/>
                <w:webHidden/>
              </w:rPr>
            </w:r>
            <w:r>
              <w:rPr>
                <w:noProof/>
                <w:webHidden/>
              </w:rPr>
              <w:fldChar w:fldCharType="separate"/>
            </w:r>
            <w:r>
              <w:rPr>
                <w:noProof/>
                <w:webHidden/>
              </w:rPr>
              <w:t>23</w:t>
            </w:r>
            <w:r>
              <w:rPr>
                <w:noProof/>
                <w:webHidden/>
              </w:rPr>
              <w:fldChar w:fldCharType="end"/>
            </w:r>
          </w:hyperlink>
        </w:p>
        <w:p w14:paraId="4254BDBA" w14:textId="77777777" w:rsidR="00A66BD0" w:rsidRDefault="00A66BD0">
          <w:pPr>
            <w:pStyle w:val="TOC3"/>
            <w:rPr>
              <w:rFonts w:asciiTheme="minorHAnsi" w:eastAsiaTheme="minorEastAsia" w:hAnsiTheme="minorHAnsi" w:cstheme="minorBidi"/>
              <w:noProof/>
              <w:lang w:eastAsia="en-AU"/>
            </w:rPr>
          </w:pPr>
          <w:hyperlink w:anchor="_Toc497906655" w:history="1">
            <w:r w:rsidRPr="004B2B0F">
              <w:rPr>
                <w:rStyle w:val="Hyperlink"/>
                <w:noProof/>
              </w:rPr>
              <w:t>Nonclinical</w:t>
            </w:r>
            <w:r>
              <w:rPr>
                <w:noProof/>
                <w:webHidden/>
              </w:rPr>
              <w:tab/>
            </w:r>
            <w:r>
              <w:rPr>
                <w:noProof/>
                <w:webHidden/>
              </w:rPr>
              <w:fldChar w:fldCharType="begin"/>
            </w:r>
            <w:r>
              <w:rPr>
                <w:noProof/>
                <w:webHidden/>
              </w:rPr>
              <w:instrText xml:space="preserve"> PAGEREF _Toc497906655 \h </w:instrText>
            </w:r>
            <w:r>
              <w:rPr>
                <w:noProof/>
                <w:webHidden/>
              </w:rPr>
            </w:r>
            <w:r>
              <w:rPr>
                <w:noProof/>
                <w:webHidden/>
              </w:rPr>
              <w:fldChar w:fldCharType="separate"/>
            </w:r>
            <w:r>
              <w:rPr>
                <w:noProof/>
                <w:webHidden/>
              </w:rPr>
              <w:t>23</w:t>
            </w:r>
            <w:r>
              <w:rPr>
                <w:noProof/>
                <w:webHidden/>
              </w:rPr>
              <w:fldChar w:fldCharType="end"/>
            </w:r>
          </w:hyperlink>
        </w:p>
        <w:p w14:paraId="47FF55D2" w14:textId="77777777" w:rsidR="00A66BD0" w:rsidRDefault="00A66BD0">
          <w:pPr>
            <w:pStyle w:val="TOC3"/>
            <w:rPr>
              <w:rFonts w:asciiTheme="minorHAnsi" w:eastAsiaTheme="minorEastAsia" w:hAnsiTheme="minorHAnsi" w:cstheme="minorBidi"/>
              <w:noProof/>
              <w:lang w:eastAsia="en-AU"/>
            </w:rPr>
          </w:pPr>
          <w:hyperlink w:anchor="_Toc497906656" w:history="1">
            <w:r w:rsidRPr="004B2B0F">
              <w:rPr>
                <w:rStyle w:val="Hyperlink"/>
                <w:noProof/>
              </w:rPr>
              <w:t>Clinical</w:t>
            </w:r>
            <w:r>
              <w:rPr>
                <w:noProof/>
                <w:webHidden/>
              </w:rPr>
              <w:tab/>
            </w:r>
            <w:r>
              <w:rPr>
                <w:noProof/>
                <w:webHidden/>
              </w:rPr>
              <w:fldChar w:fldCharType="begin"/>
            </w:r>
            <w:r>
              <w:rPr>
                <w:noProof/>
                <w:webHidden/>
              </w:rPr>
              <w:instrText xml:space="preserve"> PAGEREF _Toc497906656 \h </w:instrText>
            </w:r>
            <w:r>
              <w:rPr>
                <w:noProof/>
                <w:webHidden/>
              </w:rPr>
            </w:r>
            <w:r>
              <w:rPr>
                <w:noProof/>
                <w:webHidden/>
              </w:rPr>
              <w:fldChar w:fldCharType="separate"/>
            </w:r>
            <w:r>
              <w:rPr>
                <w:noProof/>
                <w:webHidden/>
              </w:rPr>
              <w:t>24</w:t>
            </w:r>
            <w:r>
              <w:rPr>
                <w:noProof/>
                <w:webHidden/>
              </w:rPr>
              <w:fldChar w:fldCharType="end"/>
            </w:r>
          </w:hyperlink>
        </w:p>
        <w:p w14:paraId="298C3D8B" w14:textId="77777777" w:rsidR="00A66BD0" w:rsidRDefault="00A66BD0">
          <w:pPr>
            <w:pStyle w:val="TOC3"/>
            <w:rPr>
              <w:rFonts w:asciiTheme="minorHAnsi" w:eastAsiaTheme="minorEastAsia" w:hAnsiTheme="minorHAnsi" w:cstheme="minorBidi"/>
              <w:noProof/>
              <w:lang w:eastAsia="en-AU"/>
            </w:rPr>
          </w:pPr>
          <w:hyperlink w:anchor="_Toc497906657" w:history="1">
            <w:r w:rsidRPr="004B2B0F">
              <w:rPr>
                <w:rStyle w:val="Hyperlink"/>
                <w:noProof/>
              </w:rPr>
              <w:t>Efficacy</w:t>
            </w:r>
            <w:r>
              <w:rPr>
                <w:noProof/>
                <w:webHidden/>
              </w:rPr>
              <w:tab/>
            </w:r>
            <w:r>
              <w:rPr>
                <w:noProof/>
                <w:webHidden/>
              </w:rPr>
              <w:fldChar w:fldCharType="begin"/>
            </w:r>
            <w:r>
              <w:rPr>
                <w:noProof/>
                <w:webHidden/>
              </w:rPr>
              <w:instrText xml:space="preserve"> PAGEREF _Toc497906657 \h </w:instrText>
            </w:r>
            <w:r>
              <w:rPr>
                <w:noProof/>
                <w:webHidden/>
              </w:rPr>
            </w:r>
            <w:r>
              <w:rPr>
                <w:noProof/>
                <w:webHidden/>
              </w:rPr>
              <w:fldChar w:fldCharType="separate"/>
            </w:r>
            <w:r>
              <w:rPr>
                <w:noProof/>
                <w:webHidden/>
              </w:rPr>
              <w:t>24</w:t>
            </w:r>
            <w:r>
              <w:rPr>
                <w:noProof/>
                <w:webHidden/>
              </w:rPr>
              <w:fldChar w:fldCharType="end"/>
            </w:r>
          </w:hyperlink>
        </w:p>
        <w:p w14:paraId="0421D8B0" w14:textId="77777777" w:rsidR="00A66BD0" w:rsidRDefault="00A66BD0">
          <w:pPr>
            <w:pStyle w:val="TOC3"/>
            <w:rPr>
              <w:rFonts w:asciiTheme="minorHAnsi" w:eastAsiaTheme="minorEastAsia" w:hAnsiTheme="minorHAnsi" w:cstheme="minorBidi"/>
              <w:noProof/>
              <w:lang w:eastAsia="en-AU"/>
            </w:rPr>
          </w:pPr>
          <w:hyperlink w:anchor="_Toc497906658" w:history="1">
            <w:r w:rsidRPr="004B2B0F">
              <w:rPr>
                <w:rStyle w:val="Hyperlink"/>
                <w:noProof/>
              </w:rPr>
              <w:t>Safety</w:t>
            </w:r>
            <w:r>
              <w:rPr>
                <w:noProof/>
                <w:webHidden/>
              </w:rPr>
              <w:tab/>
            </w:r>
            <w:r>
              <w:rPr>
                <w:noProof/>
                <w:webHidden/>
              </w:rPr>
              <w:fldChar w:fldCharType="begin"/>
            </w:r>
            <w:r>
              <w:rPr>
                <w:noProof/>
                <w:webHidden/>
              </w:rPr>
              <w:instrText xml:space="preserve"> PAGEREF _Toc497906658 \h </w:instrText>
            </w:r>
            <w:r>
              <w:rPr>
                <w:noProof/>
                <w:webHidden/>
              </w:rPr>
            </w:r>
            <w:r>
              <w:rPr>
                <w:noProof/>
                <w:webHidden/>
              </w:rPr>
              <w:fldChar w:fldCharType="separate"/>
            </w:r>
            <w:r>
              <w:rPr>
                <w:noProof/>
                <w:webHidden/>
              </w:rPr>
              <w:t>31</w:t>
            </w:r>
            <w:r>
              <w:rPr>
                <w:noProof/>
                <w:webHidden/>
              </w:rPr>
              <w:fldChar w:fldCharType="end"/>
            </w:r>
          </w:hyperlink>
        </w:p>
        <w:p w14:paraId="21828D97" w14:textId="77777777" w:rsidR="00A66BD0" w:rsidRDefault="00A66BD0">
          <w:pPr>
            <w:pStyle w:val="TOC3"/>
            <w:rPr>
              <w:rFonts w:asciiTheme="minorHAnsi" w:eastAsiaTheme="minorEastAsia" w:hAnsiTheme="minorHAnsi" w:cstheme="minorBidi"/>
              <w:noProof/>
              <w:lang w:eastAsia="en-AU"/>
            </w:rPr>
          </w:pPr>
          <w:hyperlink w:anchor="_Toc497906659" w:history="1">
            <w:r w:rsidRPr="004B2B0F">
              <w:rPr>
                <w:rStyle w:val="Hyperlink"/>
                <w:noProof/>
              </w:rPr>
              <w:t>Risk Management Plan</w:t>
            </w:r>
            <w:r>
              <w:rPr>
                <w:noProof/>
                <w:webHidden/>
              </w:rPr>
              <w:tab/>
            </w:r>
            <w:r>
              <w:rPr>
                <w:noProof/>
                <w:webHidden/>
              </w:rPr>
              <w:fldChar w:fldCharType="begin"/>
            </w:r>
            <w:r>
              <w:rPr>
                <w:noProof/>
                <w:webHidden/>
              </w:rPr>
              <w:instrText xml:space="preserve"> PAGEREF _Toc497906659 \h </w:instrText>
            </w:r>
            <w:r>
              <w:rPr>
                <w:noProof/>
                <w:webHidden/>
              </w:rPr>
            </w:r>
            <w:r>
              <w:rPr>
                <w:noProof/>
                <w:webHidden/>
              </w:rPr>
              <w:fldChar w:fldCharType="separate"/>
            </w:r>
            <w:r>
              <w:rPr>
                <w:noProof/>
                <w:webHidden/>
              </w:rPr>
              <w:t>35</w:t>
            </w:r>
            <w:r>
              <w:rPr>
                <w:noProof/>
                <w:webHidden/>
              </w:rPr>
              <w:fldChar w:fldCharType="end"/>
            </w:r>
          </w:hyperlink>
        </w:p>
        <w:p w14:paraId="287E8F6E" w14:textId="77777777" w:rsidR="00A66BD0" w:rsidRDefault="00A66BD0">
          <w:pPr>
            <w:pStyle w:val="TOC3"/>
            <w:rPr>
              <w:rFonts w:asciiTheme="minorHAnsi" w:eastAsiaTheme="minorEastAsia" w:hAnsiTheme="minorHAnsi" w:cstheme="minorBidi"/>
              <w:noProof/>
              <w:lang w:eastAsia="en-AU"/>
            </w:rPr>
          </w:pPr>
          <w:hyperlink w:anchor="_Toc497906660" w:history="1">
            <w:r w:rsidRPr="004B2B0F">
              <w:rPr>
                <w:rStyle w:val="Hyperlink"/>
                <w:noProof/>
              </w:rPr>
              <w:t>Risk-benefit analysis</w:t>
            </w:r>
            <w:r>
              <w:rPr>
                <w:noProof/>
                <w:webHidden/>
              </w:rPr>
              <w:tab/>
            </w:r>
            <w:r>
              <w:rPr>
                <w:noProof/>
                <w:webHidden/>
              </w:rPr>
              <w:fldChar w:fldCharType="begin"/>
            </w:r>
            <w:r>
              <w:rPr>
                <w:noProof/>
                <w:webHidden/>
              </w:rPr>
              <w:instrText xml:space="preserve"> PAGEREF _Toc497906660 \h </w:instrText>
            </w:r>
            <w:r>
              <w:rPr>
                <w:noProof/>
                <w:webHidden/>
              </w:rPr>
            </w:r>
            <w:r>
              <w:rPr>
                <w:noProof/>
                <w:webHidden/>
              </w:rPr>
              <w:fldChar w:fldCharType="separate"/>
            </w:r>
            <w:r>
              <w:rPr>
                <w:noProof/>
                <w:webHidden/>
              </w:rPr>
              <w:t>35</w:t>
            </w:r>
            <w:r>
              <w:rPr>
                <w:noProof/>
                <w:webHidden/>
              </w:rPr>
              <w:fldChar w:fldCharType="end"/>
            </w:r>
          </w:hyperlink>
        </w:p>
        <w:p w14:paraId="1A5143EF" w14:textId="77777777" w:rsidR="00A66BD0" w:rsidRDefault="00A66BD0">
          <w:pPr>
            <w:pStyle w:val="TOC3"/>
            <w:rPr>
              <w:rFonts w:asciiTheme="minorHAnsi" w:eastAsiaTheme="minorEastAsia" w:hAnsiTheme="minorHAnsi" w:cstheme="minorBidi"/>
              <w:noProof/>
              <w:lang w:eastAsia="en-AU"/>
            </w:rPr>
          </w:pPr>
          <w:hyperlink w:anchor="_Toc497906661" w:history="1">
            <w:r w:rsidRPr="004B2B0F">
              <w:rPr>
                <w:rStyle w:val="Hyperlink"/>
                <w:noProof/>
              </w:rPr>
              <w:t>Outcome</w:t>
            </w:r>
            <w:r>
              <w:rPr>
                <w:noProof/>
                <w:webHidden/>
              </w:rPr>
              <w:tab/>
            </w:r>
            <w:r>
              <w:rPr>
                <w:noProof/>
                <w:webHidden/>
              </w:rPr>
              <w:fldChar w:fldCharType="begin"/>
            </w:r>
            <w:r>
              <w:rPr>
                <w:noProof/>
                <w:webHidden/>
              </w:rPr>
              <w:instrText xml:space="preserve"> PAGEREF _Toc497906661 \h </w:instrText>
            </w:r>
            <w:r>
              <w:rPr>
                <w:noProof/>
                <w:webHidden/>
              </w:rPr>
            </w:r>
            <w:r>
              <w:rPr>
                <w:noProof/>
                <w:webHidden/>
              </w:rPr>
              <w:fldChar w:fldCharType="separate"/>
            </w:r>
            <w:r>
              <w:rPr>
                <w:noProof/>
                <w:webHidden/>
              </w:rPr>
              <w:t>45</w:t>
            </w:r>
            <w:r>
              <w:rPr>
                <w:noProof/>
                <w:webHidden/>
              </w:rPr>
              <w:fldChar w:fldCharType="end"/>
            </w:r>
          </w:hyperlink>
        </w:p>
        <w:p w14:paraId="3AA7DA8D" w14:textId="77777777" w:rsidR="00A66BD0" w:rsidRDefault="00A66BD0">
          <w:pPr>
            <w:pStyle w:val="TOC2"/>
            <w:rPr>
              <w:rFonts w:asciiTheme="minorHAnsi" w:eastAsiaTheme="minorEastAsia" w:hAnsiTheme="minorHAnsi" w:cstheme="minorBidi"/>
              <w:b w:val="0"/>
              <w:noProof/>
              <w:sz w:val="22"/>
              <w:lang w:eastAsia="en-AU"/>
            </w:rPr>
          </w:pPr>
          <w:hyperlink w:anchor="_Toc497906662" w:history="1">
            <w:r w:rsidRPr="004B2B0F">
              <w:rPr>
                <w:rStyle w:val="Hyperlink"/>
                <w:noProof/>
              </w:rPr>
              <w:t>Attachment 1. Product Information</w:t>
            </w:r>
            <w:r>
              <w:rPr>
                <w:noProof/>
                <w:webHidden/>
              </w:rPr>
              <w:tab/>
            </w:r>
            <w:r>
              <w:rPr>
                <w:noProof/>
                <w:webHidden/>
              </w:rPr>
              <w:fldChar w:fldCharType="begin"/>
            </w:r>
            <w:r>
              <w:rPr>
                <w:noProof/>
                <w:webHidden/>
              </w:rPr>
              <w:instrText xml:space="preserve"> PAGEREF _Toc497906662 \h </w:instrText>
            </w:r>
            <w:r>
              <w:rPr>
                <w:noProof/>
                <w:webHidden/>
              </w:rPr>
            </w:r>
            <w:r>
              <w:rPr>
                <w:noProof/>
                <w:webHidden/>
              </w:rPr>
              <w:fldChar w:fldCharType="separate"/>
            </w:r>
            <w:r>
              <w:rPr>
                <w:noProof/>
                <w:webHidden/>
              </w:rPr>
              <w:t>46</w:t>
            </w:r>
            <w:r>
              <w:rPr>
                <w:noProof/>
                <w:webHidden/>
              </w:rPr>
              <w:fldChar w:fldCharType="end"/>
            </w:r>
          </w:hyperlink>
        </w:p>
        <w:p w14:paraId="54782BF0" w14:textId="77777777" w:rsidR="00A66BD0" w:rsidRDefault="00A66BD0">
          <w:pPr>
            <w:pStyle w:val="TOC2"/>
            <w:rPr>
              <w:rFonts w:asciiTheme="minorHAnsi" w:eastAsiaTheme="minorEastAsia" w:hAnsiTheme="minorHAnsi" w:cstheme="minorBidi"/>
              <w:b w:val="0"/>
              <w:noProof/>
              <w:sz w:val="22"/>
              <w:lang w:eastAsia="en-AU"/>
            </w:rPr>
          </w:pPr>
          <w:hyperlink w:anchor="_Toc497906663" w:history="1">
            <w:r w:rsidRPr="004B2B0F">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_Toc497906663 \h </w:instrText>
            </w:r>
            <w:r>
              <w:rPr>
                <w:noProof/>
                <w:webHidden/>
              </w:rPr>
            </w:r>
            <w:r>
              <w:rPr>
                <w:noProof/>
                <w:webHidden/>
              </w:rPr>
              <w:fldChar w:fldCharType="separate"/>
            </w:r>
            <w:r>
              <w:rPr>
                <w:noProof/>
                <w:webHidden/>
              </w:rPr>
              <w:t>46</w:t>
            </w:r>
            <w:r>
              <w:rPr>
                <w:noProof/>
                <w:webHidden/>
              </w:rPr>
              <w:fldChar w:fldCharType="end"/>
            </w:r>
          </w:hyperlink>
        </w:p>
        <w:p w14:paraId="1212B1E6" w14:textId="77777777" w:rsidR="003A7F6C" w:rsidRPr="00B811C6" w:rsidRDefault="00DB6124" w:rsidP="00B811C6">
          <w:pPr>
            <w:pStyle w:val="TOC2"/>
          </w:pPr>
          <w:r>
            <w:fldChar w:fldCharType="end"/>
          </w:r>
        </w:p>
      </w:sdtContent>
    </w:sdt>
    <w:bookmarkStart w:id="3" w:name="_Toc314842482" w:displacedByCustomXml="prev"/>
    <w:p w14:paraId="723F903B" w14:textId="77777777" w:rsidR="00FD119B" w:rsidRDefault="00FD119B">
      <w:pPr>
        <w:spacing w:before="0" w:after="200" w:line="0" w:lineRule="auto"/>
      </w:pPr>
      <w:r>
        <w:br w:type="page"/>
      </w:r>
    </w:p>
    <w:p w14:paraId="0B8D12CF" w14:textId="77777777"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497906631"/>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Description w:val="Common abbreviations table"/>
      </w:tblPr>
      <w:tblGrid>
        <w:gridCol w:w="1809"/>
        <w:gridCol w:w="6911"/>
      </w:tblGrid>
      <w:tr w:rsidR="00F516EA" w:rsidRPr="00FD119B" w14:paraId="70357CF3"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5BBA119D" w14:textId="77777777" w:rsidR="00F516EA" w:rsidRPr="00FD119B" w:rsidRDefault="00F516EA" w:rsidP="00FD119B">
            <w:pPr>
              <w:keepNext w:val="0"/>
              <w:ind w:left="0" w:right="0"/>
              <w:rPr>
                <w:szCs w:val="22"/>
                <w:lang w:eastAsia="en-US"/>
              </w:rPr>
            </w:pPr>
            <w:r w:rsidRPr="00FD119B">
              <w:rPr>
                <w:szCs w:val="22"/>
                <w:lang w:eastAsia="en-US"/>
              </w:rPr>
              <w:t>Abbreviation</w:t>
            </w:r>
          </w:p>
        </w:tc>
        <w:tc>
          <w:tcPr>
            <w:tcW w:w="6911" w:type="dxa"/>
          </w:tcPr>
          <w:p w14:paraId="0C428D5A" w14:textId="77777777" w:rsidR="00F516EA" w:rsidRPr="00FD119B" w:rsidRDefault="00F516EA" w:rsidP="00FD119B">
            <w:pPr>
              <w:keepNext w:val="0"/>
              <w:ind w:left="0" w:right="0"/>
              <w:rPr>
                <w:szCs w:val="22"/>
                <w:lang w:eastAsia="en-US"/>
              </w:rPr>
            </w:pPr>
            <w:r w:rsidRPr="00FD119B">
              <w:rPr>
                <w:szCs w:val="22"/>
                <w:lang w:eastAsia="en-US"/>
              </w:rPr>
              <w:t>Meaning</w:t>
            </w:r>
          </w:p>
        </w:tc>
      </w:tr>
      <w:tr w:rsidR="00F516EA" w:rsidRPr="00FD119B" w14:paraId="021F8C55" w14:textId="77777777" w:rsidTr="00FD119B">
        <w:tc>
          <w:tcPr>
            <w:tcW w:w="1809" w:type="dxa"/>
          </w:tcPr>
          <w:p w14:paraId="2B55DBEF" w14:textId="77777777" w:rsidR="00F516EA" w:rsidRDefault="00F516EA" w:rsidP="00FD119B">
            <w:r>
              <w:t>ACEi</w:t>
            </w:r>
          </w:p>
        </w:tc>
        <w:tc>
          <w:tcPr>
            <w:tcW w:w="6911" w:type="dxa"/>
          </w:tcPr>
          <w:p w14:paraId="17E332C6" w14:textId="77777777" w:rsidR="00F516EA" w:rsidRDefault="00F516EA" w:rsidP="00FD119B">
            <w:r>
              <w:rPr>
                <w:lang w:val="en-GB"/>
              </w:rPr>
              <w:t xml:space="preserve">Angiotensin converting </w:t>
            </w:r>
            <w:r w:rsidRPr="006769C1">
              <w:rPr>
                <w:lang w:val="en-GB"/>
              </w:rPr>
              <w:t>enzyme</w:t>
            </w:r>
            <w:r>
              <w:rPr>
                <w:lang w:val="en-GB"/>
              </w:rPr>
              <w:t xml:space="preserve"> inhibitor</w:t>
            </w:r>
          </w:p>
        </w:tc>
      </w:tr>
      <w:tr w:rsidR="00F516EA" w:rsidRPr="00FD119B" w14:paraId="257C798B" w14:textId="77777777" w:rsidTr="00FD119B">
        <w:tc>
          <w:tcPr>
            <w:tcW w:w="1809" w:type="dxa"/>
          </w:tcPr>
          <w:p w14:paraId="0F57476A" w14:textId="77777777" w:rsidR="00F516EA" w:rsidRDefault="00F516EA" w:rsidP="00FD119B">
            <w:r>
              <w:t>AESI</w:t>
            </w:r>
          </w:p>
        </w:tc>
        <w:tc>
          <w:tcPr>
            <w:tcW w:w="6911" w:type="dxa"/>
          </w:tcPr>
          <w:p w14:paraId="225B5945" w14:textId="77777777" w:rsidR="00F516EA" w:rsidRDefault="00F516EA" w:rsidP="00FD119B">
            <w:r>
              <w:t>Adverse events of special interest</w:t>
            </w:r>
          </w:p>
        </w:tc>
      </w:tr>
      <w:tr w:rsidR="00F516EA" w:rsidRPr="00FD119B" w14:paraId="784167AC" w14:textId="77777777" w:rsidTr="00FD119B">
        <w:tc>
          <w:tcPr>
            <w:tcW w:w="1809" w:type="dxa"/>
          </w:tcPr>
          <w:p w14:paraId="334F9C4B" w14:textId="77777777" w:rsidR="00F516EA" w:rsidRDefault="00F516EA" w:rsidP="00FD119B">
            <w:r>
              <w:t>ARB</w:t>
            </w:r>
          </w:p>
        </w:tc>
        <w:tc>
          <w:tcPr>
            <w:tcW w:w="6911" w:type="dxa"/>
          </w:tcPr>
          <w:p w14:paraId="102BB813" w14:textId="77777777" w:rsidR="00F516EA" w:rsidRDefault="00F516EA" w:rsidP="00FD119B">
            <w:r>
              <w:t>Angiotensin receptor blocker</w:t>
            </w:r>
          </w:p>
        </w:tc>
      </w:tr>
      <w:tr w:rsidR="00F516EA" w:rsidRPr="00FD119B" w14:paraId="1EF68229" w14:textId="77777777" w:rsidTr="00FD119B">
        <w:tc>
          <w:tcPr>
            <w:tcW w:w="1809" w:type="dxa"/>
          </w:tcPr>
          <w:p w14:paraId="00332939" w14:textId="77777777" w:rsidR="00F516EA" w:rsidRPr="00FD119B" w:rsidRDefault="00F516EA" w:rsidP="00FD119B">
            <w:r>
              <w:t>ARTG</w:t>
            </w:r>
          </w:p>
        </w:tc>
        <w:tc>
          <w:tcPr>
            <w:tcW w:w="6911" w:type="dxa"/>
          </w:tcPr>
          <w:p w14:paraId="45C12D5F" w14:textId="77777777" w:rsidR="00F516EA" w:rsidRPr="00FD119B" w:rsidRDefault="00F516EA" w:rsidP="00FD119B">
            <w:r>
              <w:t>Australian Register of Therapeutic Goods</w:t>
            </w:r>
          </w:p>
        </w:tc>
      </w:tr>
      <w:tr w:rsidR="00E846BE" w:rsidRPr="00FD119B" w14:paraId="14DE54FC" w14:textId="77777777" w:rsidTr="00FD119B">
        <w:tc>
          <w:tcPr>
            <w:tcW w:w="1809" w:type="dxa"/>
          </w:tcPr>
          <w:p w14:paraId="040E59CC" w14:textId="306F08E3" w:rsidR="00E846BE" w:rsidRDefault="00E846BE" w:rsidP="00FD119B">
            <w:r>
              <w:t>ASA</w:t>
            </w:r>
          </w:p>
        </w:tc>
        <w:tc>
          <w:tcPr>
            <w:tcW w:w="6911" w:type="dxa"/>
          </w:tcPr>
          <w:p w14:paraId="35979FE8" w14:textId="7113C904" w:rsidR="00E846BE" w:rsidRDefault="00E846BE" w:rsidP="00FD119B">
            <w:r>
              <w:t>Australian Specific Annex</w:t>
            </w:r>
            <w:r w:rsidR="005E7273">
              <w:t>e</w:t>
            </w:r>
          </w:p>
        </w:tc>
      </w:tr>
      <w:tr w:rsidR="00F516EA" w:rsidRPr="00FD119B" w14:paraId="67CBC642" w14:textId="77777777" w:rsidTr="00FD119B">
        <w:tc>
          <w:tcPr>
            <w:tcW w:w="1809" w:type="dxa"/>
          </w:tcPr>
          <w:p w14:paraId="71EC2F4A" w14:textId="77777777" w:rsidR="00F516EA" w:rsidRDefault="00F516EA" w:rsidP="00FD119B">
            <w:r>
              <w:t>BMI</w:t>
            </w:r>
          </w:p>
        </w:tc>
        <w:tc>
          <w:tcPr>
            <w:tcW w:w="6911" w:type="dxa"/>
          </w:tcPr>
          <w:p w14:paraId="0CDF2644" w14:textId="77777777" w:rsidR="00F516EA" w:rsidRDefault="00F516EA" w:rsidP="00FD119B">
            <w:r>
              <w:t>Body mass index</w:t>
            </w:r>
          </w:p>
        </w:tc>
      </w:tr>
      <w:tr w:rsidR="00F516EA" w:rsidRPr="00FD119B" w14:paraId="78299CD6" w14:textId="77777777" w:rsidTr="00FD119B">
        <w:tc>
          <w:tcPr>
            <w:tcW w:w="1809" w:type="dxa"/>
          </w:tcPr>
          <w:p w14:paraId="0F81BDBA" w14:textId="77777777" w:rsidR="00F516EA" w:rsidRDefault="00F516EA" w:rsidP="00FD119B">
            <w:r>
              <w:t>BP</w:t>
            </w:r>
          </w:p>
        </w:tc>
        <w:tc>
          <w:tcPr>
            <w:tcW w:w="6911" w:type="dxa"/>
          </w:tcPr>
          <w:p w14:paraId="7F5843AF" w14:textId="77777777" w:rsidR="00F516EA" w:rsidRDefault="00F516EA" w:rsidP="00FD119B">
            <w:r>
              <w:t>Blood pressure</w:t>
            </w:r>
          </w:p>
        </w:tc>
      </w:tr>
      <w:tr w:rsidR="00F516EA" w:rsidRPr="00FD119B" w14:paraId="631ED813" w14:textId="77777777" w:rsidTr="00FD119B">
        <w:tc>
          <w:tcPr>
            <w:tcW w:w="1809" w:type="dxa"/>
          </w:tcPr>
          <w:p w14:paraId="6F72BF24" w14:textId="77777777" w:rsidR="00F516EA" w:rsidRDefault="00F516EA" w:rsidP="00FD119B">
            <w:r>
              <w:t>CAC</w:t>
            </w:r>
          </w:p>
        </w:tc>
        <w:tc>
          <w:tcPr>
            <w:tcW w:w="6911" w:type="dxa"/>
          </w:tcPr>
          <w:p w14:paraId="201BBC98" w14:textId="77777777" w:rsidR="00F516EA" w:rsidRDefault="00F516EA" w:rsidP="00FD119B">
            <w:r>
              <w:t>C</w:t>
            </w:r>
            <w:r w:rsidRPr="00965090">
              <w:t>oronary artery calcification</w:t>
            </w:r>
          </w:p>
        </w:tc>
      </w:tr>
      <w:tr w:rsidR="00F516EA" w:rsidRPr="00FD119B" w14:paraId="6AE0DC1E" w14:textId="77777777" w:rsidTr="00FD119B">
        <w:tc>
          <w:tcPr>
            <w:tcW w:w="1809" w:type="dxa"/>
          </w:tcPr>
          <w:p w14:paraId="31544E55" w14:textId="77777777" w:rsidR="00F516EA" w:rsidRDefault="00F516EA" w:rsidP="00FD119B">
            <w:r>
              <w:t>CDER</w:t>
            </w:r>
          </w:p>
        </w:tc>
        <w:tc>
          <w:tcPr>
            <w:tcW w:w="6911" w:type="dxa"/>
          </w:tcPr>
          <w:p w14:paraId="0A4DEF45" w14:textId="77777777" w:rsidR="00F516EA" w:rsidRDefault="00F516EA" w:rsidP="00FD119B">
            <w:r>
              <w:t>Cent</w:t>
            </w:r>
            <w:r w:rsidRPr="00965090">
              <w:t>e</w:t>
            </w:r>
            <w:r>
              <w:t>rs</w:t>
            </w:r>
            <w:r w:rsidRPr="00965090">
              <w:t xml:space="preserve"> for Drug Evaluation and Research</w:t>
            </w:r>
            <w:r>
              <w:t xml:space="preserve"> (US)</w:t>
            </w:r>
          </w:p>
        </w:tc>
      </w:tr>
      <w:tr w:rsidR="00F516EA" w:rsidRPr="00FD119B" w14:paraId="78901354" w14:textId="77777777" w:rsidTr="00FD119B">
        <w:tc>
          <w:tcPr>
            <w:tcW w:w="1809" w:type="dxa"/>
          </w:tcPr>
          <w:p w14:paraId="4F6951A0" w14:textId="77777777" w:rsidR="00F516EA" w:rsidRDefault="00F516EA" w:rsidP="00FD119B">
            <w:r>
              <w:t>CKD</w:t>
            </w:r>
          </w:p>
        </w:tc>
        <w:tc>
          <w:tcPr>
            <w:tcW w:w="6911" w:type="dxa"/>
          </w:tcPr>
          <w:p w14:paraId="166D422A" w14:textId="77777777" w:rsidR="00F516EA" w:rsidRDefault="00F516EA" w:rsidP="00FD119B">
            <w:r>
              <w:t>Chronic kidney disease</w:t>
            </w:r>
          </w:p>
        </w:tc>
      </w:tr>
      <w:tr w:rsidR="00F516EA" w:rsidRPr="00FD119B" w14:paraId="111A0F21" w14:textId="77777777" w:rsidTr="00FD119B">
        <w:tc>
          <w:tcPr>
            <w:tcW w:w="1809" w:type="dxa"/>
          </w:tcPr>
          <w:p w14:paraId="4A42880F" w14:textId="77777777" w:rsidR="00F516EA" w:rsidRDefault="00F516EA" w:rsidP="00FD119B">
            <w:r>
              <w:t>CT</w:t>
            </w:r>
          </w:p>
        </w:tc>
        <w:tc>
          <w:tcPr>
            <w:tcW w:w="6911" w:type="dxa"/>
          </w:tcPr>
          <w:p w14:paraId="756A7BBE" w14:textId="77777777" w:rsidR="00F516EA" w:rsidRPr="006854F8" w:rsidRDefault="00F516EA" w:rsidP="006854F8">
            <w:pPr>
              <w:rPr>
                <w:lang w:val="en-GB"/>
              </w:rPr>
            </w:pPr>
            <w:r>
              <w:rPr>
                <w:lang w:val="en-GB"/>
              </w:rPr>
              <w:t>Computeris</w:t>
            </w:r>
            <w:r w:rsidRPr="006854F8">
              <w:rPr>
                <w:lang w:val="en-GB"/>
              </w:rPr>
              <w:t>ed tomography</w:t>
            </w:r>
          </w:p>
        </w:tc>
      </w:tr>
      <w:tr w:rsidR="00A55718" w:rsidRPr="00FD119B" w14:paraId="6B2ED93C" w14:textId="77777777" w:rsidTr="00FD119B">
        <w:tc>
          <w:tcPr>
            <w:tcW w:w="1809" w:type="dxa"/>
          </w:tcPr>
          <w:p w14:paraId="5614252D" w14:textId="7F50C4FC" w:rsidR="00A55718" w:rsidRDefault="00A55718" w:rsidP="00FD119B">
            <w:r>
              <w:t>CV</w:t>
            </w:r>
          </w:p>
        </w:tc>
        <w:tc>
          <w:tcPr>
            <w:tcW w:w="6911" w:type="dxa"/>
          </w:tcPr>
          <w:p w14:paraId="5DE311CD" w14:textId="58A1F0DB" w:rsidR="00A55718" w:rsidRDefault="00A55718" w:rsidP="006854F8">
            <w:pPr>
              <w:rPr>
                <w:lang w:val="en-GB"/>
              </w:rPr>
            </w:pPr>
            <w:r>
              <w:rPr>
                <w:lang w:val="en-GB"/>
              </w:rPr>
              <w:t>Cardiovascular</w:t>
            </w:r>
          </w:p>
        </w:tc>
      </w:tr>
      <w:tr w:rsidR="00F516EA" w:rsidRPr="00FD119B" w14:paraId="2A0E60CF" w14:textId="77777777" w:rsidTr="00FD119B">
        <w:tc>
          <w:tcPr>
            <w:tcW w:w="1809" w:type="dxa"/>
          </w:tcPr>
          <w:p w14:paraId="2FC31611" w14:textId="77777777" w:rsidR="00F516EA" w:rsidRDefault="00F516EA" w:rsidP="00FD119B">
            <w:r>
              <w:t>DBP</w:t>
            </w:r>
          </w:p>
        </w:tc>
        <w:tc>
          <w:tcPr>
            <w:tcW w:w="6911" w:type="dxa"/>
          </w:tcPr>
          <w:p w14:paraId="6A32630A" w14:textId="77777777" w:rsidR="00F516EA" w:rsidRDefault="00F516EA" w:rsidP="00FD119B">
            <w:r>
              <w:t>Diastolic blood pressure</w:t>
            </w:r>
          </w:p>
        </w:tc>
      </w:tr>
      <w:tr w:rsidR="00F516EA" w:rsidRPr="00FD119B" w14:paraId="260AA22B" w14:textId="77777777" w:rsidTr="00FD119B">
        <w:tc>
          <w:tcPr>
            <w:tcW w:w="1809" w:type="dxa"/>
          </w:tcPr>
          <w:p w14:paraId="04A4A771" w14:textId="77777777" w:rsidR="00F516EA" w:rsidRPr="00FD119B" w:rsidRDefault="00F516EA" w:rsidP="00FD119B">
            <w:r>
              <w:t>DCCT</w:t>
            </w:r>
          </w:p>
        </w:tc>
        <w:tc>
          <w:tcPr>
            <w:tcW w:w="6911" w:type="dxa"/>
          </w:tcPr>
          <w:p w14:paraId="3BB83D0B" w14:textId="77777777" w:rsidR="00F516EA" w:rsidRPr="00FD119B" w:rsidRDefault="00F516EA" w:rsidP="00FD119B">
            <w:r w:rsidRPr="002A7C25">
              <w:rPr>
                <w:lang w:val="en-GB"/>
              </w:rPr>
              <w:t>Diabetes Control and Complications Trial</w:t>
            </w:r>
          </w:p>
        </w:tc>
      </w:tr>
      <w:tr w:rsidR="00F516EA" w:rsidRPr="00FD119B" w14:paraId="7323D5BB" w14:textId="77777777" w:rsidTr="00FD119B">
        <w:tc>
          <w:tcPr>
            <w:tcW w:w="1809" w:type="dxa"/>
          </w:tcPr>
          <w:p w14:paraId="00FC16EE" w14:textId="77777777" w:rsidR="00F516EA" w:rsidRDefault="00F516EA" w:rsidP="00FD119B">
            <w:r>
              <w:t>DKA</w:t>
            </w:r>
          </w:p>
        </w:tc>
        <w:tc>
          <w:tcPr>
            <w:tcW w:w="6911" w:type="dxa"/>
          </w:tcPr>
          <w:p w14:paraId="62084AA0" w14:textId="77777777" w:rsidR="00F516EA" w:rsidRDefault="00F516EA" w:rsidP="00FD119B">
            <w:r>
              <w:t>Diabetic ketoacidosis</w:t>
            </w:r>
          </w:p>
        </w:tc>
      </w:tr>
      <w:tr w:rsidR="00F516EA" w:rsidRPr="00FD119B" w14:paraId="691AC08A" w14:textId="77777777" w:rsidTr="00FD119B">
        <w:tc>
          <w:tcPr>
            <w:tcW w:w="1809" w:type="dxa"/>
          </w:tcPr>
          <w:p w14:paraId="40CB6B08" w14:textId="77777777" w:rsidR="00F516EA" w:rsidRPr="00FD119B" w:rsidRDefault="00F516EA" w:rsidP="00FD119B">
            <w:r>
              <w:t>DPP-4</w:t>
            </w:r>
          </w:p>
        </w:tc>
        <w:tc>
          <w:tcPr>
            <w:tcW w:w="6911" w:type="dxa"/>
          </w:tcPr>
          <w:p w14:paraId="56D5F4BC" w14:textId="77777777" w:rsidR="00F516EA" w:rsidRPr="00FD119B" w:rsidRDefault="00F516EA" w:rsidP="00FD119B">
            <w:r>
              <w:rPr>
                <w:lang w:val="en-GB"/>
              </w:rPr>
              <w:t>D</w:t>
            </w:r>
            <w:r w:rsidRPr="000E1577">
              <w:rPr>
                <w:lang w:val="en-GB"/>
              </w:rPr>
              <w:t>ipeptidyl peptidase-4</w:t>
            </w:r>
          </w:p>
        </w:tc>
      </w:tr>
      <w:tr w:rsidR="00F516EA" w:rsidRPr="00FD119B" w14:paraId="719892E8" w14:textId="77777777" w:rsidTr="00FD119B">
        <w:tc>
          <w:tcPr>
            <w:tcW w:w="1809" w:type="dxa"/>
          </w:tcPr>
          <w:p w14:paraId="42594BB8" w14:textId="77777777" w:rsidR="00F516EA" w:rsidRDefault="00F516EA" w:rsidP="00FD119B">
            <w:r>
              <w:t>ECG</w:t>
            </w:r>
          </w:p>
        </w:tc>
        <w:tc>
          <w:tcPr>
            <w:tcW w:w="6911" w:type="dxa"/>
          </w:tcPr>
          <w:p w14:paraId="76BAA6A9" w14:textId="77777777" w:rsidR="00F516EA" w:rsidRDefault="00F516EA" w:rsidP="00FD119B">
            <w:r>
              <w:t>Electrocardiograph</w:t>
            </w:r>
          </w:p>
        </w:tc>
      </w:tr>
      <w:tr w:rsidR="00F516EA" w:rsidRPr="00FD119B" w14:paraId="115ECD9C" w14:textId="77777777" w:rsidTr="00FD119B">
        <w:tc>
          <w:tcPr>
            <w:tcW w:w="1809" w:type="dxa"/>
          </w:tcPr>
          <w:p w14:paraId="0548D5AE" w14:textId="77777777" w:rsidR="00F516EA" w:rsidRPr="00FD119B" w:rsidRDefault="00F516EA" w:rsidP="00FD119B">
            <w:r>
              <w:t>EDIC</w:t>
            </w:r>
          </w:p>
        </w:tc>
        <w:tc>
          <w:tcPr>
            <w:tcW w:w="6911" w:type="dxa"/>
          </w:tcPr>
          <w:p w14:paraId="563A3061" w14:textId="77777777" w:rsidR="00F516EA" w:rsidRPr="00FD119B" w:rsidRDefault="00F516EA" w:rsidP="00FD119B">
            <w:r w:rsidRPr="002A7C25">
              <w:rPr>
                <w:lang w:val="en-GB"/>
              </w:rPr>
              <w:t>Epidemiology of Diabetes Interventions and Complications</w:t>
            </w:r>
            <w:r>
              <w:rPr>
                <w:lang w:val="en-GB"/>
              </w:rPr>
              <w:t xml:space="preserve"> study</w:t>
            </w:r>
          </w:p>
        </w:tc>
      </w:tr>
      <w:tr w:rsidR="00F516EA" w:rsidRPr="00FD119B" w14:paraId="3AA81C31" w14:textId="77777777" w:rsidTr="00FD119B">
        <w:tc>
          <w:tcPr>
            <w:tcW w:w="1809" w:type="dxa"/>
          </w:tcPr>
          <w:p w14:paraId="7D02A160" w14:textId="77777777" w:rsidR="00F516EA" w:rsidRDefault="00F516EA" w:rsidP="00FD119B">
            <w:r>
              <w:t>eGFR</w:t>
            </w:r>
          </w:p>
        </w:tc>
        <w:tc>
          <w:tcPr>
            <w:tcW w:w="6911" w:type="dxa"/>
          </w:tcPr>
          <w:p w14:paraId="68F5D98E" w14:textId="77777777" w:rsidR="00F516EA" w:rsidRDefault="00F516EA" w:rsidP="00FD119B">
            <w:r>
              <w:t>Estimated glomerular filtrate rate</w:t>
            </w:r>
          </w:p>
        </w:tc>
      </w:tr>
      <w:tr w:rsidR="00F516EA" w:rsidRPr="00FD119B" w14:paraId="6A0F19EC" w14:textId="77777777" w:rsidTr="00FD119B">
        <w:tc>
          <w:tcPr>
            <w:tcW w:w="1809" w:type="dxa"/>
          </w:tcPr>
          <w:p w14:paraId="5E4E4416" w14:textId="77777777" w:rsidR="00F516EA" w:rsidRPr="00FD119B" w:rsidRDefault="00F516EA" w:rsidP="00FD119B">
            <w:r>
              <w:t>EMA</w:t>
            </w:r>
          </w:p>
        </w:tc>
        <w:tc>
          <w:tcPr>
            <w:tcW w:w="6911" w:type="dxa"/>
          </w:tcPr>
          <w:p w14:paraId="7B96FA59" w14:textId="77777777" w:rsidR="00F516EA" w:rsidRPr="00FD119B" w:rsidRDefault="00F516EA" w:rsidP="00FD119B">
            <w:r>
              <w:t>European Medicines Agency</w:t>
            </w:r>
          </w:p>
        </w:tc>
      </w:tr>
      <w:tr w:rsidR="00F516EA" w:rsidRPr="00FD119B" w14:paraId="11EDF6BD" w14:textId="77777777" w:rsidTr="00FD119B">
        <w:tc>
          <w:tcPr>
            <w:tcW w:w="1809" w:type="dxa"/>
          </w:tcPr>
          <w:p w14:paraId="60625AA9" w14:textId="77777777" w:rsidR="00F516EA" w:rsidRDefault="00F516EA" w:rsidP="00FD119B">
            <w:r w:rsidRPr="00FC267F">
              <w:t>ESRD</w:t>
            </w:r>
          </w:p>
        </w:tc>
        <w:tc>
          <w:tcPr>
            <w:tcW w:w="6911" w:type="dxa"/>
          </w:tcPr>
          <w:p w14:paraId="383CDCC3" w14:textId="77777777" w:rsidR="00F516EA" w:rsidRDefault="00F516EA" w:rsidP="00FD119B">
            <w:r>
              <w:t>End stage renal disease</w:t>
            </w:r>
          </w:p>
        </w:tc>
      </w:tr>
      <w:tr w:rsidR="00F516EA" w:rsidRPr="00FD119B" w14:paraId="529BEF94" w14:textId="77777777" w:rsidTr="00FD119B">
        <w:tc>
          <w:tcPr>
            <w:tcW w:w="1809" w:type="dxa"/>
          </w:tcPr>
          <w:p w14:paraId="711F7897" w14:textId="77777777" w:rsidR="00F516EA" w:rsidRPr="00FD119B" w:rsidRDefault="00F516EA" w:rsidP="00FD119B">
            <w:r>
              <w:t>EU</w:t>
            </w:r>
          </w:p>
        </w:tc>
        <w:tc>
          <w:tcPr>
            <w:tcW w:w="6911" w:type="dxa"/>
          </w:tcPr>
          <w:p w14:paraId="5F622114" w14:textId="77777777" w:rsidR="00F516EA" w:rsidRPr="00FD119B" w:rsidRDefault="00F516EA" w:rsidP="00FD119B">
            <w:r>
              <w:t>European Union</w:t>
            </w:r>
          </w:p>
        </w:tc>
      </w:tr>
      <w:tr w:rsidR="00F516EA" w:rsidRPr="00FD119B" w14:paraId="50190711" w14:textId="77777777" w:rsidTr="00FD119B">
        <w:tc>
          <w:tcPr>
            <w:tcW w:w="1809" w:type="dxa"/>
          </w:tcPr>
          <w:p w14:paraId="4342EF82" w14:textId="77777777" w:rsidR="00F516EA" w:rsidRPr="00FD119B" w:rsidRDefault="00F516EA" w:rsidP="00FD119B">
            <w:r>
              <w:t>FDA</w:t>
            </w:r>
          </w:p>
        </w:tc>
        <w:tc>
          <w:tcPr>
            <w:tcW w:w="6911" w:type="dxa"/>
          </w:tcPr>
          <w:p w14:paraId="79EB39E5" w14:textId="77777777" w:rsidR="00F516EA" w:rsidRPr="00FD119B" w:rsidRDefault="00F516EA" w:rsidP="00FD119B">
            <w:r>
              <w:t>Food and Drug Administration (US)</w:t>
            </w:r>
          </w:p>
        </w:tc>
      </w:tr>
      <w:tr w:rsidR="00F516EA" w:rsidRPr="00FD119B" w14:paraId="1297158D" w14:textId="77777777" w:rsidTr="00FD119B">
        <w:tc>
          <w:tcPr>
            <w:tcW w:w="1809" w:type="dxa"/>
          </w:tcPr>
          <w:p w14:paraId="6B310132" w14:textId="77777777" w:rsidR="00F516EA" w:rsidRDefault="00F516EA" w:rsidP="00FD119B">
            <w:r>
              <w:t>GCP</w:t>
            </w:r>
          </w:p>
        </w:tc>
        <w:tc>
          <w:tcPr>
            <w:tcW w:w="6911" w:type="dxa"/>
          </w:tcPr>
          <w:p w14:paraId="5207DC31" w14:textId="77777777" w:rsidR="00F516EA" w:rsidRDefault="00F516EA" w:rsidP="00FD119B">
            <w:r>
              <w:t>Good Clinical Practice</w:t>
            </w:r>
          </w:p>
        </w:tc>
      </w:tr>
      <w:tr w:rsidR="00F516EA" w:rsidRPr="00FD119B" w14:paraId="7C4319E7" w14:textId="77777777" w:rsidTr="00FD119B">
        <w:tc>
          <w:tcPr>
            <w:tcW w:w="1809" w:type="dxa"/>
          </w:tcPr>
          <w:p w14:paraId="49227C38" w14:textId="77777777" w:rsidR="00F516EA" w:rsidRPr="00FD119B" w:rsidRDefault="00F516EA" w:rsidP="00FD119B">
            <w:r>
              <w:t>GLP-1</w:t>
            </w:r>
          </w:p>
        </w:tc>
        <w:tc>
          <w:tcPr>
            <w:tcW w:w="6911" w:type="dxa"/>
          </w:tcPr>
          <w:p w14:paraId="4B043A73" w14:textId="77777777" w:rsidR="00F516EA" w:rsidRPr="00FD119B" w:rsidRDefault="00F516EA" w:rsidP="00FD119B">
            <w:r>
              <w:t>Glucagon-like peptide-1</w:t>
            </w:r>
          </w:p>
        </w:tc>
      </w:tr>
      <w:tr w:rsidR="00F516EA" w:rsidRPr="00FD119B" w14:paraId="6E1FFC73" w14:textId="77777777" w:rsidTr="00FD119B">
        <w:tc>
          <w:tcPr>
            <w:tcW w:w="1809" w:type="dxa"/>
          </w:tcPr>
          <w:p w14:paraId="3545A1BD" w14:textId="77777777" w:rsidR="00F516EA" w:rsidRDefault="00F516EA" w:rsidP="00FD119B">
            <w:r>
              <w:lastRenderedPageBreak/>
              <w:t>HbA1c</w:t>
            </w:r>
          </w:p>
        </w:tc>
        <w:tc>
          <w:tcPr>
            <w:tcW w:w="6911" w:type="dxa"/>
          </w:tcPr>
          <w:p w14:paraId="4B5A9C03" w14:textId="77777777" w:rsidR="00F516EA" w:rsidRDefault="00F516EA" w:rsidP="00FD119B">
            <w:r>
              <w:rPr>
                <w:lang w:val="en-GB"/>
              </w:rPr>
              <w:t>G</w:t>
            </w:r>
            <w:r w:rsidRPr="00B404E2">
              <w:rPr>
                <w:lang w:val="en-GB"/>
              </w:rPr>
              <w:t>lycosylated haemoglobin</w:t>
            </w:r>
          </w:p>
        </w:tc>
      </w:tr>
      <w:tr w:rsidR="00F516EA" w:rsidRPr="00FD119B" w14:paraId="6676A1A6" w14:textId="77777777" w:rsidTr="00FD119B">
        <w:tc>
          <w:tcPr>
            <w:tcW w:w="1809" w:type="dxa"/>
          </w:tcPr>
          <w:p w14:paraId="5C24AE0E" w14:textId="77777777" w:rsidR="00F516EA" w:rsidRDefault="00F516EA" w:rsidP="00FD119B">
            <w:r>
              <w:t>HDL</w:t>
            </w:r>
          </w:p>
        </w:tc>
        <w:tc>
          <w:tcPr>
            <w:tcW w:w="6911" w:type="dxa"/>
          </w:tcPr>
          <w:p w14:paraId="063626AE" w14:textId="77777777" w:rsidR="00F516EA" w:rsidRDefault="00F516EA" w:rsidP="00FD119B">
            <w:r>
              <w:t>High density lipoprotein</w:t>
            </w:r>
          </w:p>
        </w:tc>
      </w:tr>
      <w:tr w:rsidR="00F516EA" w:rsidRPr="00FD119B" w14:paraId="0249D645" w14:textId="77777777" w:rsidTr="00FD119B">
        <w:tc>
          <w:tcPr>
            <w:tcW w:w="1809" w:type="dxa"/>
          </w:tcPr>
          <w:p w14:paraId="70243F3C" w14:textId="77777777" w:rsidR="00F516EA" w:rsidRDefault="00F516EA" w:rsidP="00FD119B">
            <w:r>
              <w:t>IC</w:t>
            </w:r>
            <w:r w:rsidRPr="00B2387F">
              <w:rPr>
                <w:vertAlign w:val="subscript"/>
              </w:rPr>
              <w:t>50</w:t>
            </w:r>
          </w:p>
        </w:tc>
        <w:tc>
          <w:tcPr>
            <w:tcW w:w="6911" w:type="dxa"/>
          </w:tcPr>
          <w:p w14:paraId="399ACA26" w14:textId="77777777" w:rsidR="00F516EA" w:rsidRPr="00B2387F" w:rsidRDefault="00F516EA" w:rsidP="00B2387F">
            <w:pPr>
              <w:rPr>
                <w:lang w:val="en-GB"/>
              </w:rPr>
            </w:pPr>
            <w:r>
              <w:rPr>
                <w:bCs/>
                <w:lang w:val="en-GB"/>
              </w:rPr>
              <w:t>H</w:t>
            </w:r>
            <w:r w:rsidRPr="00B2387F">
              <w:rPr>
                <w:bCs/>
                <w:lang w:val="en-GB"/>
              </w:rPr>
              <w:t>alf maximal inhibitory concentration</w:t>
            </w:r>
          </w:p>
        </w:tc>
      </w:tr>
      <w:tr w:rsidR="00F516EA" w:rsidRPr="00FD119B" w14:paraId="39451F90" w14:textId="77777777" w:rsidTr="00FD119B">
        <w:tc>
          <w:tcPr>
            <w:tcW w:w="1809" w:type="dxa"/>
          </w:tcPr>
          <w:p w14:paraId="65ADCCF6" w14:textId="77777777" w:rsidR="00F516EA" w:rsidRDefault="00F516EA" w:rsidP="00FD119B">
            <w:r>
              <w:t>ICH</w:t>
            </w:r>
          </w:p>
        </w:tc>
        <w:tc>
          <w:tcPr>
            <w:tcW w:w="6911" w:type="dxa"/>
          </w:tcPr>
          <w:p w14:paraId="579CE68A" w14:textId="77777777" w:rsidR="00F516EA" w:rsidRDefault="00F516EA" w:rsidP="00FD119B">
            <w:r w:rsidRPr="00AA150A">
              <w:rPr>
                <w:lang w:eastAsia="ja-JP"/>
              </w:rPr>
              <w:t>International C</w:t>
            </w:r>
            <w:r>
              <w:rPr>
                <w:lang w:eastAsia="ja-JP"/>
              </w:rPr>
              <w:t>onference on H</w:t>
            </w:r>
            <w:r w:rsidRPr="00AA150A">
              <w:rPr>
                <w:lang w:eastAsia="ja-JP"/>
              </w:rPr>
              <w:t>armonisation</w:t>
            </w:r>
          </w:p>
        </w:tc>
      </w:tr>
      <w:tr w:rsidR="00F516EA" w:rsidRPr="00FD119B" w14:paraId="5C144B6B" w14:textId="77777777" w:rsidTr="00FD119B">
        <w:tc>
          <w:tcPr>
            <w:tcW w:w="1809" w:type="dxa"/>
          </w:tcPr>
          <w:p w14:paraId="2BD8B294" w14:textId="77777777" w:rsidR="00F516EA" w:rsidRDefault="00F516EA" w:rsidP="00FD119B">
            <w:r>
              <w:t>IEC</w:t>
            </w:r>
          </w:p>
        </w:tc>
        <w:tc>
          <w:tcPr>
            <w:tcW w:w="6911" w:type="dxa"/>
          </w:tcPr>
          <w:p w14:paraId="33479462" w14:textId="77777777" w:rsidR="00F516EA" w:rsidRDefault="00F516EA" w:rsidP="00FD119B">
            <w:r w:rsidRPr="00836761">
              <w:t>Independent Ethics Committee</w:t>
            </w:r>
          </w:p>
        </w:tc>
      </w:tr>
      <w:tr w:rsidR="00F516EA" w:rsidRPr="00FD119B" w14:paraId="46299155" w14:textId="77777777" w:rsidTr="00FD119B">
        <w:tc>
          <w:tcPr>
            <w:tcW w:w="1809" w:type="dxa"/>
          </w:tcPr>
          <w:p w14:paraId="119E1D38" w14:textId="77777777" w:rsidR="00F516EA" w:rsidRDefault="00F516EA" w:rsidP="00FD119B">
            <w:r>
              <w:t>IRB</w:t>
            </w:r>
          </w:p>
        </w:tc>
        <w:tc>
          <w:tcPr>
            <w:tcW w:w="6911" w:type="dxa"/>
          </w:tcPr>
          <w:p w14:paraId="79D39C8C" w14:textId="77777777" w:rsidR="00F516EA" w:rsidRDefault="00F516EA" w:rsidP="00FD119B">
            <w:r w:rsidRPr="00AA150A">
              <w:rPr>
                <w:lang w:eastAsia="ja-JP"/>
              </w:rPr>
              <w:t>Institutional Review Board</w:t>
            </w:r>
          </w:p>
        </w:tc>
      </w:tr>
      <w:tr w:rsidR="00F516EA" w:rsidRPr="00FD119B" w14:paraId="63858E00" w14:textId="77777777" w:rsidTr="00FD119B">
        <w:tc>
          <w:tcPr>
            <w:tcW w:w="1809" w:type="dxa"/>
          </w:tcPr>
          <w:p w14:paraId="43B94810" w14:textId="77777777" w:rsidR="00F516EA" w:rsidRDefault="00F516EA" w:rsidP="00FD119B">
            <w:r>
              <w:t>LDL</w:t>
            </w:r>
          </w:p>
        </w:tc>
        <w:tc>
          <w:tcPr>
            <w:tcW w:w="6911" w:type="dxa"/>
          </w:tcPr>
          <w:p w14:paraId="360E7404" w14:textId="77777777" w:rsidR="00F516EA" w:rsidRDefault="00F516EA" w:rsidP="00FD119B">
            <w:r>
              <w:t>Low density lipoprotein</w:t>
            </w:r>
          </w:p>
        </w:tc>
      </w:tr>
      <w:tr w:rsidR="00F516EA" w:rsidRPr="00FD119B" w14:paraId="43D5EEEC" w14:textId="77777777" w:rsidTr="00FD119B">
        <w:tc>
          <w:tcPr>
            <w:tcW w:w="1809" w:type="dxa"/>
          </w:tcPr>
          <w:p w14:paraId="15A579F5" w14:textId="77777777" w:rsidR="00F516EA" w:rsidRDefault="00F516EA" w:rsidP="00FD119B">
            <w:r>
              <w:t>MACE</w:t>
            </w:r>
          </w:p>
        </w:tc>
        <w:tc>
          <w:tcPr>
            <w:tcW w:w="6911" w:type="dxa"/>
          </w:tcPr>
          <w:p w14:paraId="08446B52" w14:textId="77777777" w:rsidR="00F516EA" w:rsidRDefault="00F516EA" w:rsidP="00FD119B">
            <w:r>
              <w:t>Major Adverse Cardiac Event</w:t>
            </w:r>
          </w:p>
        </w:tc>
      </w:tr>
      <w:tr w:rsidR="00F516EA" w:rsidRPr="00FD119B" w14:paraId="2EB5AB6B" w14:textId="77777777" w:rsidTr="00FD119B">
        <w:tc>
          <w:tcPr>
            <w:tcW w:w="1809" w:type="dxa"/>
          </w:tcPr>
          <w:p w14:paraId="013BAE2D" w14:textId="77777777" w:rsidR="00F516EA" w:rsidRPr="00FD119B" w:rsidRDefault="00F516EA" w:rsidP="00FD119B">
            <w:r>
              <w:t>MI</w:t>
            </w:r>
          </w:p>
        </w:tc>
        <w:tc>
          <w:tcPr>
            <w:tcW w:w="6911" w:type="dxa"/>
          </w:tcPr>
          <w:p w14:paraId="6995B10A" w14:textId="77777777" w:rsidR="00F516EA" w:rsidRPr="00FD119B" w:rsidRDefault="00F516EA" w:rsidP="00FD119B">
            <w:r>
              <w:t>Myocardial infarction</w:t>
            </w:r>
          </w:p>
        </w:tc>
      </w:tr>
      <w:tr w:rsidR="00B41FA5" w:rsidRPr="00FD119B" w14:paraId="6768280A" w14:textId="77777777" w:rsidTr="00FD119B">
        <w:tc>
          <w:tcPr>
            <w:tcW w:w="1809" w:type="dxa"/>
          </w:tcPr>
          <w:p w14:paraId="787678C7" w14:textId="21D4EBD0" w:rsidR="00B41FA5" w:rsidRDefault="00B41FA5" w:rsidP="00FD119B">
            <w:r>
              <w:t>MMRM</w:t>
            </w:r>
          </w:p>
        </w:tc>
        <w:tc>
          <w:tcPr>
            <w:tcW w:w="6911" w:type="dxa"/>
          </w:tcPr>
          <w:p w14:paraId="74046373" w14:textId="00675EC9" w:rsidR="00B41FA5" w:rsidRDefault="00B41FA5" w:rsidP="00FD119B">
            <w:r>
              <w:t>Mixed model repeated measures</w:t>
            </w:r>
          </w:p>
        </w:tc>
      </w:tr>
      <w:tr w:rsidR="00F516EA" w:rsidRPr="00FD119B" w14:paraId="4D44FA9E" w14:textId="77777777" w:rsidTr="00FD119B">
        <w:tc>
          <w:tcPr>
            <w:tcW w:w="1809" w:type="dxa"/>
          </w:tcPr>
          <w:p w14:paraId="0A7E0490" w14:textId="77777777" w:rsidR="00F516EA" w:rsidRDefault="00F516EA" w:rsidP="00FD119B">
            <w:r>
              <w:t>MRFIT</w:t>
            </w:r>
          </w:p>
        </w:tc>
        <w:tc>
          <w:tcPr>
            <w:tcW w:w="6911" w:type="dxa"/>
          </w:tcPr>
          <w:p w14:paraId="1F81AFE0" w14:textId="77777777" w:rsidR="00F516EA" w:rsidRDefault="00F516EA" w:rsidP="00FD119B">
            <w:r>
              <w:t>Multiple Risk Factor Intervention Trial</w:t>
            </w:r>
          </w:p>
        </w:tc>
      </w:tr>
      <w:tr w:rsidR="00F516EA" w:rsidRPr="00FD119B" w14:paraId="2775EEC8" w14:textId="77777777" w:rsidTr="00FD119B">
        <w:tc>
          <w:tcPr>
            <w:tcW w:w="1809" w:type="dxa"/>
          </w:tcPr>
          <w:p w14:paraId="2F365FA6" w14:textId="7256293F" w:rsidR="00F516EA" w:rsidRDefault="00F516EA" w:rsidP="00FD119B">
            <w:r>
              <w:t>NNH</w:t>
            </w:r>
          </w:p>
        </w:tc>
        <w:tc>
          <w:tcPr>
            <w:tcW w:w="6911" w:type="dxa"/>
          </w:tcPr>
          <w:p w14:paraId="5400381F" w14:textId="6E7957BC" w:rsidR="00F516EA" w:rsidRDefault="00F516EA" w:rsidP="00FD119B">
            <w:r>
              <w:t>Number needed to harm</w:t>
            </w:r>
          </w:p>
        </w:tc>
      </w:tr>
      <w:tr w:rsidR="00F516EA" w:rsidRPr="00FD119B" w14:paraId="3C2720F1" w14:textId="77777777" w:rsidTr="00FD119B">
        <w:tc>
          <w:tcPr>
            <w:tcW w:w="1809" w:type="dxa"/>
          </w:tcPr>
          <w:p w14:paraId="6A4F5BDC" w14:textId="77777777" w:rsidR="00F516EA" w:rsidRDefault="00F516EA" w:rsidP="00FD119B">
            <w:r>
              <w:t>NNT</w:t>
            </w:r>
          </w:p>
        </w:tc>
        <w:tc>
          <w:tcPr>
            <w:tcW w:w="6911" w:type="dxa"/>
          </w:tcPr>
          <w:p w14:paraId="0183E64F" w14:textId="77777777" w:rsidR="00F516EA" w:rsidRDefault="00F516EA" w:rsidP="00FD119B">
            <w:r>
              <w:t>Number needed to treat</w:t>
            </w:r>
          </w:p>
        </w:tc>
      </w:tr>
      <w:tr w:rsidR="00F516EA" w:rsidRPr="00FD119B" w14:paraId="1A83506B" w14:textId="77777777" w:rsidTr="00FD119B">
        <w:tc>
          <w:tcPr>
            <w:tcW w:w="1809" w:type="dxa"/>
          </w:tcPr>
          <w:p w14:paraId="442798E4" w14:textId="77777777" w:rsidR="00F516EA" w:rsidRDefault="00F516EA" w:rsidP="00FD119B">
            <w:r>
              <w:t>PDCO</w:t>
            </w:r>
          </w:p>
        </w:tc>
        <w:tc>
          <w:tcPr>
            <w:tcW w:w="6911" w:type="dxa"/>
          </w:tcPr>
          <w:p w14:paraId="3E2131E1" w14:textId="77777777" w:rsidR="00F516EA" w:rsidRDefault="00F516EA" w:rsidP="00FD119B">
            <w:r>
              <w:t>Paediatric Committee (EMA)</w:t>
            </w:r>
          </w:p>
        </w:tc>
      </w:tr>
      <w:tr w:rsidR="00F516EA" w:rsidRPr="00FD119B" w14:paraId="71467E2A" w14:textId="77777777" w:rsidTr="00FD119B">
        <w:tc>
          <w:tcPr>
            <w:tcW w:w="1809" w:type="dxa"/>
          </w:tcPr>
          <w:p w14:paraId="3AB0DDE1" w14:textId="77777777" w:rsidR="00F516EA" w:rsidRDefault="00F516EA" w:rsidP="00FD119B">
            <w:r>
              <w:t>PI</w:t>
            </w:r>
          </w:p>
        </w:tc>
        <w:tc>
          <w:tcPr>
            <w:tcW w:w="6911" w:type="dxa"/>
          </w:tcPr>
          <w:p w14:paraId="2E3CE5BE" w14:textId="77777777" w:rsidR="00F516EA" w:rsidRDefault="00F516EA" w:rsidP="00FD119B">
            <w:r>
              <w:t>Product Information</w:t>
            </w:r>
          </w:p>
        </w:tc>
      </w:tr>
      <w:tr w:rsidR="00F516EA" w:rsidRPr="00FD119B" w14:paraId="34176740" w14:textId="77777777" w:rsidTr="00FD119B">
        <w:tc>
          <w:tcPr>
            <w:tcW w:w="1809" w:type="dxa"/>
          </w:tcPr>
          <w:p w14:paraId="386310C9" w14:textId="77777777" w:rsidR="00F516EA" w:rsidRDefault="00F516EA" w:rsidP="00FD119B">
            <w:r>
              <w:t>PIP</w:t>
            </w:r>
          </w:p>
        </w:tc>
        <w:tc>
          <w:tcPr>
            <w:tcW w:w="6911" w:type="dxa"/>
          </w:tcPr>
          <w:p w14:paraId="4B87CEDA" w14:textId="77777777" w:rsidR="00F516EA" w:rsidRDefault="00F516EA" w:rsidP="00FD119B">
            <w:r>
              <w:t>Paediatric investigation plan</w:t>
            </w:r>
          </w:p>
        </w:tc>
      </w:tr>
      <w:tr w:rsidR="00F516EA" w:rsidRPr="00FD119B" w14:paraId="27C31BD4" w14:textId="77777777" w:rsidTr="00FD119B">
        <w:tc>
          <w:tcPr>
            <w:tcW w:w="1809" w:type="dxa"/>
          </w:tcPr>
          <w:p w14:paraId="00E0C4DE" w14:textId="77777777" w:rsidR="00F516EA" w:rsidRDefault="00F516EA" w:rsidP="00FD119B">
            <w:r>
              <w:t>PVD</w:t>
            </w:r>
          </w:p>
        </w:tc>
        <w:tc>
          <w:tcPr>
            <w:tcW w:w="6911" w:type="dxa"/>
          </w:tcPr>
          <w:p w14:paraId="49ED181E" w14:textId="77777777" w:rsidR="00F516EA" w:rsidRDefault="00F516EA" w:rsidP="00FD119B">
            <w:r>
              <w:t>Peripheral vascular disease</w:t>
            </w:r>
          </w:p>
        </w:tc>
      </w:tr>
      <w:tr w:rsidR="00F516EA" w:rsidRPr="00FD119B" w14:paraId="7A0ADE92" w14:textId="77777777" w:rsidTr="00FD119B">
        <w:tc>
          <w:tcPr>
            <w:tcW w:w="1809" w:type="dxa"/>
          </w:tcPr>
          <w:p w14:paraId="030F6CA9" w14:textId="77777777" w:rsidR="00F516EA" w:rsidRPr="00FD119B" w:rsidRDefault="00F516EA" w:rsidP="00FD119B">
            <w:r>
              <w:t>RCT</w:t>
            </w:r>
          </w:p>
        </w:tc>
        <w:tc>
          <w:tcPr>
            <w:tcW w:w="6911" w:type="dxa"/>
          </w:tcPr>
          <w:p w14:paraId="01C83E4E" w14:textId="77777777" w:rsidR="00F516EA" w:rsidRPr="00FD119B" w:rsidRDefault="00F516EA" w:rsidP="00FD119B">
            <w:r>
              <w:t>Randomised control trial</w:t>
            </w:r>
          </w:p>
        </w:tc>
      </w:tr>
      <w:tr w:rsidR="00F516EA" w:rsidRPr="00FD119B" w14:paraId="7E5639F4" w14:textId="77777777" w:rsidTr="00FD119B">
        <w:tc>
          <w:tcPr>
            <w:tcW w:w="1809" w:type="dxa"/>
          </w:tcPr>
          <w:p w14:paraId="0E098CA3" w14:textId="77777777" w:rsidR="00F516EA" w:rsidRDefault="00F516EA" w:rsidP="00FD119B">
            <w:r>
              <w:t>SBP</w:t>
            </w:r>
          </w:p>
        </w:tc>
        <w:tc>
          <w:tcPr>
            <w:tcW w:w="6911" w:type="dxa"/>
          </w:tcPr>
          <w:p w14:paraId="1F64EFF5" w14:textId="77777777" w:rsidR="00F516EA" w:rsidRDefault="00F516EA" w:rsidP="00FD119B">
            <w:r>
              <w:t>Systolic blood pressure</w:t>
            </w:r>
          </w:p>
        </w:tc>
      </w:tr>
      <w:tr w:rsidR="00F516EA" w:rsidRPr="00FD119B" w14:paraId="0345AD59" w14:textId="77777777" w:rsidTr="00FD119B">
        <w:tc>
          <w:tcPr>
            <w:tcW w:w="1809" w:type="dxa"/>
          </w:tcPr>
          <w:p w14:paraId="4CFA4F6F" w14:textId="77777777" w:rsidR="00F516EA" w:rsidRDefault="00F516EA" w:rsidP="00FD119B">
            <w:r>
              <w:t>SGLT1</w:t>
            </w:r>
          </w:p>
        </w:tc>
        <w:tc>
          <w:tcPr>
            <w:tcW w:w="6911" w:type="dxa"/>
          </w:tcPr>
          <w:p w14:paraId="39C630AA" w14:textId="77777777" w:rsidR="00F516EA" w:rsidRDefault="00F516EA" w:rsidP="00FD119B">
            <w:r>
              <w:rPr>
                <w:bCs/>
                <w:lang w:val="en-GB"/>
              </w:rPr>
              <w:t>Sodium-glucose c</w:t>
            </w:r>
            <w:r w:rsidRPr="005A0F41">
              <w:rPr>
                <w:bCs/>
                <w:szCs w:val="22"/>
                <w:lang w:val="en-GB"/>
              </w:rPr>
              <w:t>otransporter-</w:t>
            </w:r>
            <w:r>
              <w:rPr>
                <w:bCs/>
                <w:szCs w:val="22"/>
                <w:lang w:val="en-GB"/>
              </w:rPr>
              <w:t>1</w:t>
            </w:r>
          </w:p>
        </w:tc>
      </w:tr>
      <w:tr w:rsidR="00F516EA" w:rsidRPr="00FD119B" w14:paraId="76EBA05E" w14:textId="77777777" w:rsidTr="00FD119B">
        <w:tc>
          <w:tcPr>
            <w:tcW w:w="1809" w:type="dxa"/>
          </w:tcPr>
          <w:p w14:paraId="2317DCAA" w14:textId="77777777" w:rsidR="00F516EA" w:rsidRPr="00FD119B" w:rsidRDefault="00F516EA" w:rsidP="00FD119B">
            <w:r>
              <w:t>SGLT2</w:t>
            </w:r>
          </w:p>
        </w:tc>
        <w:tc>
          <w:tcPr>
            <w:tcW w:w="6911" w:type="dxa"/>
          </w:tcPr>
          <w:p w14:paraId="65793B7A" w14:textId="77777777" w:rsidR="00F516EA" w:rsidRPr="00FD119B" w:rsidRDefault="00F516EA" w:rsidP="00FD119B">
            <w:r>
              <w:rPr>
                <w:bCs/>
                <w:lang w:val="en-GB"/>
              </w:rPr>
              <w:t>Sodium-glucose c</w:t>
            </w:r>
            <w:r w:rsidRPr="005A0F41">
              <w:rPr>
                <w:bCs/>
                <w:szCs w:val="22"/>
                <w:lang w:val="en-GB"/>
              </w:rPr>
              <w:t>otransporter-2</w:t>
            </w:r>
          </w:p>
        </w:tc>
      </w:tr>
      <w:tr w:rsidR="00F516EA" w:rsidRPr="00FD119B" w14:paraId="6080926E" w14:textId="77777777" w:rsidTr="00FD119B">
        <w:tc>
          <w:tcPr>
            <w:tcW w:w="1809" w:type="dxa"/>
          </w:tcPr>
          <w:p w14:paraId="48742950" w14:textId="77777777" w:rsidR="00F516EA" w:rsidRDefault="00F516EA" w:rsidP="00FD119B">
            <w:r>
              <w:t>STI</w:t>
            </w:r>
          </w:p>
        </w:tc>
        <w:tc>
          <w:tcPr>
            <w:tcW w:w="6911" w:type="dxa"/>
          </w:tcPr>
          <w:p w14:paraId="2B61C2F2" w14:textId="77777777" w:rsidR="00F516EA" w:rsidRDefault="00F516EA" w:rsidP="00FD119B">
            <w:r>
              <w:t>Sexually transmitted infection</w:t>
            </w:r>
          </w:p>
        </w:tc>
      </w:tr>
      <w:tr w:rsidR="00F516EA" w:rsidRPr="00FD119B" w14:paraId="6527BBF9" w14:textId="77777777" w:rsidTr="00FD119B">
        <w:tc>
          <w:tcPr>
            <w:tcW w:w="1809" w:type="dxa"/>
          </w:tcPr>
          <w:p w14:paraId="3F7E81F8" w14:textId="77777777" w:rsidR="00F516EA" w:rsidRPr="00FD119B" w:rsidRDefault="00F516EA" w:rsidP="00FD119B">
            <w:r>
              <w:t>T2DM</w:t>
            </w:r>
          </w:p>
        </w:tc>
        <w:tc>
          <w:tcPr>
            <w:tcW w:w="6911" w:type="dxa"/>
          </w:tcPr>
          <w:p w14:paraId="734CD22B" w14:textId="77777777" w:rsidR="00F516EA" w:rsidRPr="00FD119B" w:rsidRDefault="00F516EA" w:rsidP="00FD119B">
            <w:r>
              <w:t>Type 2 diabetes mellitus</w:t>
            </w:r>
          </w:p>
        </w:tc>
      </w:tr>
      <w:tr w:rsidR="00F516EA" w:rsidRPr="00FD119B" w14:paraId="0278C906" w14:textId="77777777" w:rsidTr="00FD119B">
        <w:tc>
          <w:tcPr>
            <w:tcW w:w="1809" w:type="dxa"/>
          </w:tcPr>
          <w:p w14:paraId="40631F24" w14:textId="77777777" w:rsidR="00F516EA" w:rsidRDefault="00F516EA" w:rsidP="00FD119B">
            <w:r>
              <w:t>TIA</w:t>
            </w:r>
          </w:p>
        </w:tc>
        <w:tc>
          <w:tcPr>
            <w:tcW w:w="6911" w:type="dxa"/>
          </w:tcPr>
          <w:p w14:paraId="35AE8032" w14:textId="77777777" w:rsidR="00F516EA" w:rsidRDefault="00F516EA" w:rsidP="00FD119B">
            <w:r>
              <w:t>Transient ischemic attack</w:t>
            </w:r>
          </w:p>
        </w:tc>
      </w:tr>
      <w:tr w:rsidR="00F516EA" w:rsidRPr="00FD119B" w14:paraId="4C7EAA12" w14:textId="77777777" w:rsidTr="00FD119B">
        <w:tc>
          <w:tcPr>
            <w:tcW w:w="1809" w:type="dxa"/>
          </w:tcPr>
          <w:p w14:paraId="6EC489E6" w14:textId="77777777" w:rsidR="00F516EA" w:rsidRDefault="00F516EA" w:rsidP="00FD119B">
            <w:r>
              <w:t>t</w:t>
            </w:r>
            <w:r w:rsidRPr="00FC267F">
              <w:rPr>
                <w:vertAlign w:val="subscript"/>
              </w:rPr>
              <w:t>max</w:t>
            </w:r>
          </w:p>
        </w:tc>
        <w:tc>
          <w:tcPr>
            <w:tcW w:w="6911" w:type="dxa"/>
          </w:tcPr>
          <w:p w14:paraId="04EB2888" w14:textId="77777777" w:rsidR="00F516EA" w:rsidRDefault="00F516EA" w:rsidP="00FD119B">
            <w:r>
              <w:t>Time to maximal concentration</w:t>
            </w:r>
          </w:p>
        </w:tc>
      </w:tr>
      <w:tr w:rsidR="00F516EA" w:rsidRPr="00FD119B" w14:paraId="69F3FFB3" w14:textId="77777777" w:rsidTr="00FD119B">
        <w:tc>
          <w:tcPr>
            <w:tcW w:w="1809" w:type="dxa"/>
          </w:tcPr>
          <w:p w14:paraId="324F4503" w14:textId="77777777" w:rsidR="00F516EA" w:rsidRDefault="00F516EA" w:rsidP="00FD119B">
            <w:r>
              <w:t>UACR</w:t>
            </w:r>
          </w:p>
        </w:tc>
        <w:tc>
          <w:tcPr>
            <w:tcW w:w="6911" w:type="dxa"/>
          </w:tcPr>
          <w:p w14:paraId="26176114" w14:textId="77777777" w:rsidR="00F516EA" w:rsidRDefault="00F516EA" w:rsidP="00FD119B">
            <w:r>
              <w:rPr>
                <w:lang w:val="en-GB"/>
              </w:rPr>
              <w:t>Urine albumin to creatinine r</w:t>
            </w:r>
            <w:r w:rsidRPr="00982750">
              <w:rPr>
                <w:lang w:val="en-GB"/>
              </w:rPr>
              <w:t>atio</w:t>
            </w:r>
          </w:p>
        </w:tc>
      </w:tr>
      <w:tr w:rsidR="00F516EA" w:rsidRPr="00FD119B" w14:paraId="3B561580" w14:textId="77777777" w:rsidTr="00FD119B">
        <w:tc>
          <w:tcPr>
            <w:tcW w:w="1809" w:type="dxa"/>
          </w:tcPr>
          <w:p w14:paraId="50A56226" w14:textId="77777777" w:rsidR="00F516EA" w:rsidRPr="00FD119B" w:rsidRDefault="00F516EA" w:rsidP="00FD119B">
            <w:r w:rsidRPr="005A0F41">
              <w:lastRenderedPageBreak/>
              <w:t>UKPDS</w:t>
            </w:r>
          </w:p>
        </w:tc>
        <w:tc>
          <w:tcPr>
            <w:tcW w:w="6911" w:type="dxa"/>
          </w:tcPr>
          <w:p w14:paraId="73B329C3" w14:textId="77777777" w:rsidR="00F516EA" w:rsidRPr="000530C4" w:rsidRDefault="00F516EA" w:rsidP="000530C4">
            <w:pPr>
              <w:rPr>
                <w:lang w:val="en-GB"/>
              </w:rPr>
            </w:pPr>
            <w:r>
              <w:rPr>
                <w:lang w:val="en-GB"/>
              </w:rPr>
              <w:t>United Kingdom</w:t>
            </w:r>
            <w:r w:rsidRPr="000530C4">
              <w:rPr>
                <w:lang w:val="en-GB"/>
              </w:rPr>
              <w:t xml:space="preserve"> Prospective Diabetes Study</w:t>
            </w:r>
          </w:p>
        </w:tc>
      </w:tr>
      <w:tr w:rsidR="00F516EA" w:rsidRPr="00FD119B" w14:paraId="03B01C98" w14:textId="77777777" w:rsidTr="00FD119B">
        <w:tc>
          <w:tcPr>
            <w:tcW w:w="1809" w:type="dxa"/>
          </w:tcPr>
          <w:p w14:paraId="7083AC7C" w14:textId="77777777" w:rsidR="00F516EA" w:rsidRPr="00FD119B" w:rsidRDefault="00F516EA" w:rsidP="00FD119B">
            <w:r>
              <w:t>US</w:t>
            </w:r>
          </w:p>
        </w:tc>
        <w:tc>
          <w:tcPr>
            <w:tcW w:w="6911" w:type="dxa"/>
          </w:tcPr>
          <w:p w14:paraId="067CFAD9" w14:textId="77777777" w:rsidR="00F516EA" w:rsidRPr="00FD119B" w:rsidRDefault="00F516EA" w:rsidP="00FD119B">
            <w:r>
              <w:t>United States</w:t>
            </w:r>
          </w:p>
        </w:tc>
      </w:tr>
      <w:tr w:rsidR="00F516EA" w:rsidRPr="00FD119B" w14:paraId="4884989E" w14:textId="77777777" w:rsidTr="00FD119B">
        <w:tc>
          <w:tcPr>
            <w:tcW w:w="1809" w:type="dxa"/>
          </w:tcPr>
          <w:p w14:paraId="1645AAD2" w14:textId="77777777" w:rsidR="00F516EA" w:rsidRDefault="00F516EA" w:rsidP="00FD119B">
            <w:r>
              <w:t>UTI</w:t>
            </w:r>
          </w:p>
        </w:tc>
        <w:tc>
          <w:tcPr>
            <w:tcW w:w="6911" w:type="dxa"/>
          </w:tcPr>
          <w:p w14:paraId="09B6E53A" w14:textId="77777777" w:rsidR="00F516EA" w:rsidRDefault="00F516EA" w:rsidP="00FD119B">
            <w:r>
              <w:t>Urinary tract infection</w:t>
            </w:r>
          </w:p>
        </w:tc>
      </w:tr>
    </w:tbl>
    <w:p w14:paraId="70A73F02" w14:textId="77777777" w:rsidR="008E7846" w:rsidRDefault="00F53C07" w:rsidP="007F2E71">
      <w:pPr>
        <w:pStyle w:val="Heading2"/>
        <w:pageBreakBefore/>
      </w:pPr>
      <w:bookmarkStart w:id="9" w:name="_Toc497906632"/>
      <w:r>
        <w:lastRenderedPageBreak/>
        <w:t>I.</w:t>
      </w:r>
      <w:r w:rsidR="008E7846">
        <w:t xml:space="preserve"> Introduction to product submission</w:t>
      </w:r>
      <w:bookmarkEnd w:id="3"/>
      <w:bookmarkEnd w:id="0"/>
      <w:bookmarkEnd w:id="9"/>
    </w:p>
    <w:p w14:paraId="5B293399" w14:textId="77777777" w:rsidR="008E7846" w:rsidRDefault="008E7846" w:rsidP="008E7846">
      <w:pPr>
        <w:pStyle w:val="Heading3"/>
        <w:rPr>
          <w:lang w:eastAsia="en-AU"/>
        </w:rPr>
      </w:pPr>
      <w:bookmarkStart w:id="10" w:name="_Toc247691502"/>
      <w:bookmarkStart w:id="11" w:name="_Toc314842483"/>
      <w:bookmarkStart w:id="12" w:name="_Toc497906633"/>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307"/>
        <w:gridCol w:w="283"/>
      </w:tblGrid>
      <w:tr w:rsidR="008E7846" w:rsidRPr="003D1E62" w14:paraId="16327530" w14:textId="77777777" w:rsidTr="007F2E71">
        <w:trPr>
          <w:trHeight w:hRule="exact" w:val="454"/>
        </w:trPr>
        <w:tc>
          <w:tcPr>
            <w:tcW w:w="2907" w:type="dxa"/>
          </w:tcPr>
          <w:p w14:paraId="56AD68CB" w14:textId="77777777" w:rsidR="008E7846" w:rsidRPr="003D1E62" w:rsidRDefault="001B5C90" w:rsidP="001B5C90">
            <w:pPr>
              <w:rPr>
                <w:i/>
              </w:rPr>
            </w:pPr>
            <w:r>
              <w:rPr>
                <w:i/>
              </w:rPr>
              <w:t>Type of s</w:t>
            </w:r>
            <w:r w:rsidR="008E7846" w:rsidRPr="003D1E62">
              <w:rPr>
                <w:i/>
              </w:rPr>
              <w:t>ubmission</w:t>
            </w:r>
            <w:r>
              <w:rPr>
                <w:i/>
              </w:rPr>
              <w:t>:</w:t>
            </w:r>
          </w:p>
        </w:tc>
        <w:tc>
          <w:tcPr>
            <w:tcW w:w="6590" w:type="dxa"/>
            <w:gridSpan w:val="2"/>
          </w:tcPr>
          <w:p w14:paraId="559A2962" w14:textId="56A98B51" w:rsidR="008E7846" w:rsidRPr="003D1E62" w:rsidRDefault="001634C0" w:rsidP="001634C0">
            <w:r>
              <w:t>Extension of indication</w:t>
            </w:r>
          </w:p>
        </w:tc>
      </w:tr>
      <w:tr w:rsidR="008E7846" w:rsidRPr="003D1E62" w14:paraId="2768DE0F" w14:textId="77777777" w:rsidTr="007F2E71">
        <w:trPr>
          <w:trHeight w:hRule="exact" w:val="454"/>
        </w:trPr>
        <w:tc>
          <w:tcPr>
            <w:tcW w:w="2907" w:type="dxa"/>
          </w:tcPr>
          <w:p w14:paraId="28C66B16" w14:textId="77777777" w:rsidR="008E7846" w:rsidRPr="003D1E62" w:rsidRDefault="008E7846" w:rsidP="003D1E62">
            <w:r w:rsidRPr="003D1E62">
              <w:rPr>
                <w:i/>
              </w:rPr>
              <w:t>Decision</w:t>
            </w:r>
            <w:r w:rsidRPr="003D1E62">
              <w:t>:</w:t>
            </w:r>
          </w:p>
        </w:tc>
        <w:tc>
          <w:tcPr>
            <w:tcW w:w="6590" w:type="dxa"/>
            <w:gridSpan w:val="2"/>
          </w:tcPr>
          <w:p w14:paraId="5F06EAC1" w14:textId="35D4D7D8" w:rsidR="008E7846" w:rsidRPr="003D1E62" w:rsidRDefault="001634C0" w:rsidP="001634C0">
            <w:r>
              <w:t>Approved</w:t>
            </w:r>
          </w:p>
        </w:tc>
      </w:tr>
      <w:tr w:rsidR="008E7846" w:rsidRPr="003D1E62" w14:paraId="027C2F30" w14:textId="77777777" w:rsidTr="007F2E71">
        <w:trPr>
          <w:trHeight w:hRule="exact" w:val="454"/>
        </w:trPr>
        <w:tc>
          <w:tcPr>
            <w:tcW w:w="2907" w:type="dxa"/>
          </w:tcPr>
          <w:p w14:paraId="7D1BA728"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14:paraId="28E8B533" w14:textId="2998E42A" w:rsidR="008E7846" w:rsidRPr="003D1E62" w:rsidRDefault="00106DED" w:rsidP="001B5C90">
            <w:r>
              <w:t>6 January 2017</w:t>
            </w:r>
          </w:p>
        </w:tc>
      </w:tr>
      <w:tr w:rsidR="00ED2922" w:rsidRPr="003D1E62" w14:paraId="4E3253A4" w14:textId="77777777" w:rsidTr="007F2E71">
        <w:trPr>
          <w:trHeight w:hRule="exact" w:val="454"/>
        </w:trPr>
        <w:tc>
          <w:tcPr>
            <w:tcW w:w="2907" w:type="dxa"/>
          </w:tcPr>
          <w:p w14:paraId="712AE6C1" w14:textId="77777777" w:rsidR="00ED2922" w:rsidRPr="00441C3F" w:rsidRDefault="00ED2922" w:rsidP="001B5C90">
            <w:pPr>
              <w:rPr>
                <w:i/>
              </w:rPr>
            </w:pPr>
            <w:r w:rsidRPr="00441C3F">
              <w:rPr>
                <w:i/>
              </w:rPr>
              <w:t>Date of entry onto ARTG</w:t>
            </w:r>
          </w:p>
        </w:tc>
        <w:tc>
          <w:tcPr>
            <w:tcW w:w="6590" w:type="dxa"/>
            <w:gridSpan w:val="2"/>
          </w:tcPr>
          <w:p w14:paraId="15E35B4D" w14:textId="4F76940C" w:rsidR="00ED2922" w:rsidRPr="00441C3F" w:rsidRDefault="00F80EA8" w:rsidP="00EC463D">
            <w:pPr>
              <w:rPr>
                <w:i/>
              </w:rPr>
            </w:pPr>
            <w:r>
              <w:t>18 January 2017</w:t>
            </w:r>
          </w:p>
        </w:tc>
      </w:tr>
      <w:tr w:rsidR="008E7846" w:rsidRPr="00487162" w14:paraId="405AA0E1" w14:textId="77777777" w:rsidTr="007F2E71">
        <w:trPr>
          <w:gridAfter w:val="1"/>
          <w:wAfter w:w="283" w:type="dxa"/>
        </w:trPr>
        <w:tc>
          <w:tcPr>
            <w:tcW w:w="2907" w:type="dxa"/>
          </w:tcPr>
          <w:p w14:paraId="00F82FAD" w14:textId="793137A7" w:rsidR="008E7846" w:rsidRPr="00487162" w:rsidRDefault="00106DED" w:rsidP="00E45619">
            <w:pPr>
              <w:rPr>
                <w:i/>
              </w:rPr>
            </w:pPr>
            <w:r>
              <w:rPr>
                <w:i/>
              </w:rPr>
              <w:t>Active ingredient</w:t>
            </w:r>
            <w:r w:rsidR="001B5C90">
              <w:rPr>
                <w:i/>
              </w:rPr>
              <w:t>:</w:t>
            </w:r>
          </w:p>
        </w:tc>
        <w:tc>
          <w:tcPr>
            <w:tcW w:w="6307" w:type="dxa"/>
          </w:tcPr>
          <w:p w14:paraId="4C49A563" w14:textId="051596AE" w:rsidR="008E7846" w:rsidRPr="00487162" w:rsidRDefault="00106DED" w:rsidP="00E45619">
            <w:r>
              <w:t>Empagliflozin</w:t>
            </w:r>
          </w:p>
        </w:tc>
      </w:tr>
      <w:tr w:rsidR="008E7846" w:rsidRPr="00487162" w14:paraId="02BEE92D" w14:textId="77777777" w:rsidTr="007F2E71">
        <w:trPr>
          <w:gridAfter w:val="1"/>
          <w:wAfter w:w="283" w:type="dxa"/>
        </w:trPr>
        <w:tc>
          <w:tcPr>
            <w:tcW w:w="2907" w:type="dxa"/>
          </w:tcPr>
          <w:p w14:paraId="6FDABBD7" w14:textId="21CB8913" w:rsidR="008E7846" w:rsidRPr="00487162" w:rsidRDefault="008E7846" w:rsidP="001B5C90">
            <w:pPr>
              <w:rPr>
                <w:i/>
              </w:rPr>
            </w:pPr>
            <w:r w:rsidRPr="00487162">
              <w:rPr>
                <w:i/>
              </w:rPr>
              <w:t>Product</w:t>
            </w:r>
            <w:r w:rsidR="00106DED">
              <w:rPr>
                <w:i/>
              </w:rPr>
              <w:t xml:space="preserve"> name</w:t>
            </w:r>
            <w:r w:rsidR="001B5C90">
              <w:rPr>
                <w:i/>
              </w:rPr>
              <w:t>:</w:t>
            </w:r>
          </w:p>
        </w:tc>
        <w:tc>
          <w:tcPr>
            <w:tcW w:w="6307" w:type="dxa"/>
          </w:tcPr>
          <w:p w14:paraId="35651AB9" w14:textId="628CFD28" w:rsidR="008E7846" w:rsidRPr="00487162" w:rsidRDefault="00106DED" w:rsidP="00E45619">
            <w:r>
              <w:t>Jardiance</w:t>
            </w:r>
          </w:p>
        </w:tc>
      </w:tr>
      <w:tr w:rsidR="008E7846" w:rsidRPr="00487162" w14:paraId="0DD94069" w14:textId="77777777" w:rsidTr="007F2E71">
        <w:trPr>
          <w:gridAfter w:val="1"/>
          <w:wAfter w:w="283" w:type="dxa"/>
        </w:trPr>
        <w:tc>
          <w:tcPr>
            <w:tcW w:w="2907" w:type="dxa"/>
          </w:tcPr>
          <w:p w14:paraId="71041F23"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462B7FF9" w14:textId="5CF9DBBC" w:rsidR="008E7846" w:rsidRPr="00487162" w:rsidRDefault="00106DED" w:rsidP="00E45619">
            <w:r>
              <w:t>Boehringer Ingelheim Pty Ltd</w:t>
            </w:r>
            <w:r>
              <w:br/>
              <w:t>78 Waterloo Road</w:t>
            </w:r>
            <w:r>
              <w:br/>
              <w:t>North Ryde NSW 2113</w:t>
            </w:r>
          </w:p>
        </w:tc>
      </w:tr>
      <w:tr w:rsidR="008E7846" w:rsidRPr="00487162" w14:paraId="6E2D3B35" w14:textId="77777777" w:rsidTr="007F2E71">
        <w:trPr>
          <w:gridAfter w:val="1"/>
          <w:wAfter w:w="283" w:type="dxa"/>
        </w:trPr>
        <w:tc>
          <w:tcPr>
            <w:tcW w:w="2907" w:type="dxa"/>
          </w:tcPr>
          <w:p w14:paraId="6288C486" w14:textId="77777777" w:rsidR="008E7846" w:rsidRPr="00487162" w:rsidRDefault="001B5C90" w:rsidP="00E45619">
            <w:pPr>
              <w:rPr>
                <w:i/>
              </w:rPr>
            </w:pPr>
            <w:r>
              <w:rPr>
                <w:i/>
              </w:rPr>
              <w:t>Dose form(s):</w:t>
            </w:r>
          </w:p>
        </w:tc>
        <w:tc>
          <w:tcPr>
            <w:tcW w:w="6307" w:type="dxa"/>
          </w:tcPr>
          <w:p w14:paraId="33E8345A" w14:textId="25E0E7D5" w:rsidR="008E7846" w:rsidRPr="00487162" w:rsidRDefault="00106DED" w:rsidP="00E45619">
            <w:r>
              <w:t>Film-coated tablet</w:t>
            </w:r>
          </w:p>
        </w:tc>
      </w:tr>
      <w:tr w:rsidR="008E7846" w:rsidRPr="00487162" w14:paraId="1B6719F9" w14:textId="77777777" w:rsidTr="007F2E71">
        <w:trPr>
          <w:gridAfter w:val="1"/>
          <w:wAfter w:w="283" w:type="dxa"/>
        </w:trPr>
        <w:tc>
          <w:tcPr>
            <w:tcW w:w="2907" w:type="dxa"/>
          </w:tcPr>
          <w:p w14:paraId="58454A47" w14:textId="77777777" w:rsidR="008E7846" w:rsidRPr="00487162" w:rsidRDefault="008E7846" w:rsidP="00E45619">
            <w:pPr>
              <w:rPr>
                <w:i/>
              </w:rPr>
            </w:pPr>
            <w:r w:rsidRPr="00487162">
              <w:rPr>
                <w:i/>
              </w:rPr>
              <w:t xml:space="preserve">Strength(s): </w:t>
            </w:r>
          </w:p>
        </w:tc>
        <w:tc>
          <w:tcPr>
            <w:tcW w:w="6307" w:type="dxa"/>
          </w:tcPr>
          <w:p w14:paraId="753F6087" w14:textId="516A2694" w:rsidR="008E7846" w:rsidRPr="00487162" w:rsidRDefault="00106DED" w:rsidP="00E45619">
            <w:r>
              <w:t>10 mg, and 25 mg</w:t>
            </w:r>
          </w:p>
        </w:tc>
      </w:tr>
      <w:tr w:rsidR="008E7846" w:rsidRPr="00487162" w14:paraId="79E27C29" w14:textId="77777777" w:rsidTr="007F2E71">
        <w:trPr>
          <w:gridAfter w:val="1"/>
          <w:wAfter w:w="283" w:type="dxa"/>
        </w:trPr>
        <w:tc>
          <w:tcPr>
            <w:tcW w:w="2907" w:type="dxa"/>
          </w:tcPr>
          <w:p w14:paraId="5D5C33E8" w14:textId="77777777" w:rsidR="008E7846" w:rsidRPr="00487162" w:rsidRDefault="008E7846" w:rsidP="00E45619">
            <w:pPr>
              <w:rPr>
                <w:i/>
              </w:rPr>
            </w:pPr>
            <w:r w:rsidRPr="00487162">
              <w:rPr>
                <w:i/>
              </w:rPr>
              <w:t>Container(s):</w:t>
            </w:r>
          </w:p>
        </w:tc>
        <w:tc>
          <w:tcPr>
            <w:tcW w:w="6307" w:type="dxa"/>
          </w:tcPr>
          <w:p w14:paraId="35402BF1" w14:textId="6050FA3E" w:rsidR="008E7846" w:rsidRPr="00487162" w:rsidRDefault="00106DED" w:rsidP="00E45619">
            <w:r>
              <w:t>Blister pack</w:t>
            </w:r>
          </w:p>
        </w:tc>
      </w:tr>
      <w:tr w:rsidR="008E7846" w:rsidRPr="00487162" w14:paraId="5F2EA496" w14:textId="77777777" w:rsidTr="007F2E71">
        <w:trPr>
          <w:gridAfter w:val="1"/>
          <w:wAfter w:w="283" w:type="dxa"/>
        </w:trPr>
        <w:tc>
          <w:tcPr>
            <w:tcW w:w="2907" w:type="dxa"/>
          </w:tcPr>
          <w:p w14:paraId="00C23945" w14:textId="77777777" w:rsidR="008E7846" w:rsidRPr="00487162" w:rsidRDefault="008E7846" w:rsidP="00E45619">
            <w:pPr>
              <w:rPr>
                <w:i/>
              </w:rPr>
            </w:pPr>
            <w:r w:rsidRPr="00487162">
              <w:rPr>
                <w:i/>
              </w:rPr>
              <w:t>Pack size(s):</w:t>
            </w:r>
          </w:p>
        </w:tc>
        <w:tc>
          <w:tcPr>
            <w:tcW w:w="6307" w:type="dxa"/>
          </w:tcPr>
          <w:p w14:paraId="361BAFA9" w14:textId="7E14B6EB" w:rsidR="008E7846" w:rsidRPr="00487162" w:rsidRDefault="00D80266" w:rsidP="003457E1">
            <w:r>
              <w:t>10</w:t>
            </w:r>
            <w:r w:rsidR="003457E1">
              <w:t>, and 30 tablets</w:t>
            </w:r>
          </w:p>
        </w:tc>
      </w:tr>
      <w:tr w:rsidR="008E7846" w:rsidRPr="00487162" w14:paraId="20CF8B3A" w14:textId="77777777" w:rsidTr="007F2E71">
        <w:trPr>
          <w:gridAfter w:val="1"/>
          <w:wAfter w:w="283" w:type="dxa"/>
        </w:trPr>
        <w:tc>
          <w:tcPr>
            <w:tcW w:w="2907" w:type="dxa"/>
          </w:tcPr>
          <w:p w14:paraId="1B6CEAA8"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1864692D" w14:textId="652EE11A" w:rsidR="00702B48" w:rsidRPr="00702B48" w:rsidRDefault="00702B48" w:rsidP="00702B48">
            <w:pPr>
              <w:rPr>
                <w:i/>
                <w:lang w:val="en-GB"/>
              </w:rPr>
            </w:pPr>
            <w:r w:rsidRPr="00702B48">
              <w:rPr>
                <w:i/>
                <w:lang w:val="en-GB"/>
              </w:rPr>
              <w:t>‘Jardiance is indicated in patients with type 2 diabetes mellitus and established cardiovascular disease to reduce the risk of cardiovascular death (see Clinical Trials)</w:t>
            </w:r>
          </w:p>
          <w:p w14:paraId="3C72F28B" w14:textId="53447E39" w:rsidR="008E7846" w:rsidRPr="00702B48" w:rsidRDefault="00702B48" w:rsidP="00702B48">
            <w:pPr>
              <w:rPr>
                <w:lang w:val="en-GB"/>
              </w:rPr>
            </w:pPr>
            <w:r w:rsidRPr="00702B48">
              <w:rPr>
                <w:i/>
                <w:lang w:val="en-GB"/>
              </w:rPr>
              <w:t>To prevent cardiovascular deaths, Jardiance should be used in conjunction with other measures to reduce cardiovascular risk in line with the current standard of care.’</w:t>
            </w:r>
          </w:p>
        </w:tc>
      </w:tr>
      <w:tr w:rsidR="008E7846" w:rsidRPr="00487162" w14:paraId="7EF591CB" w14:textId="77777777" w:rsidTr="007F2E71">
        <w:trPr>
          <w:gridAfter w:val="1"/>
          <w:wAfter w:w="283" w:type="dxa"/>
        </w:trPr>
        <w:tc>
          <w:tcPr>
            <w:tcW w:w="2907" w:type="dxa"/>
          </w:tcPr>
          <w:p w14:paraId="551CE38C" w14:textId="7B3F3F8E" w:rsidR="008E7846" w:rsidRPr="00487162" w:rsidRDefault="00106DED" w:rsidP="00E45619">
            <w:pPr>
              <w:rPr>
                <w:i/>
              </w:rPr>
            </w:pPr>
            <w:r>
              <w:rPr>
                <w:i/>
              </w:rPr>
              <w:t>Route</w:t>
            </w:r>
            <w:r w:rsidR="008E7846" w:rsidRPr="00487162">
              <w:rPr>
                <w:i/>
              </w:rPr>
              <w:t xml:space="preserve"> of administration:</w:t>
            </w:r>
          </w:p>
        </w:tc>
        <w:tc>
          <w:tcPr>
            <w:tcW w:w="6307" w:type="dxa"/>
          </w:tcPr>
          <w:p w14:paraId="50524388" w14:textId="26023325" w:rsidR="008E7846" w:rsidRPr="00487162" w:rsidRDefault="00106DED" w:rsidP="00E45619">
            <w:r>
              <w:t>Oral</w:t>
            </w:r>
          </w:p>
        </w:tc>
      </w:tr>
      <w:tr w:rsidR="008E7846" w:rsidRPr="00487162" w14:paraId="155D6D9E" w14:textId="77777777" w:rsidTr="007F2E71">
        <w:trPr>
          <w:gridAfter w:val="1"/>
          <w:wAfter w:w="283" w:type="dxa"/>
        </w:trPr>
        <w:tc>
          <w:tcPr>
            <w:tcW w:w="2907" w:type="dxa"/>
          </w:tcPr>
          <w:p w14:paraId="2DE70D56" w14:textId="77777777" w:rsidR="008E7846" w:rsidRPr="00487162" w:rsidRDefault="008E7846" w:rsidP="00E45619">
            <w:pPr>
              <w:rPr>
                <w:i/>
              </w:rPr>
            </w:pPr>
            <w:r w:rsidRPr="00487162">
              <w:rPr>
                <w:i/>
              </w:rPr>
              <w:t>Dosage:</w:t>
            </w:r>
          </w:p>
        </w:tc>
        <w:tc>
          <w:tcPr>
            <w:tcW w:w="6307" w:type="dxa"/>
          </w:tcPr>
          <w:p w14:paraId="13F767FF" w14:textId="6AABBC9B" w:rsidR="008E7846" w:rsidRPr="00C0750F" w:rsidRDefault="00C0750F" w:rsidP="00C0750F">
            <w:pPr>
              <w:rPr>
                <w:lang w:val="en-GB"/>
              </w:rPr>
            </w:pPr>
            <w:r w:rsidRPr="00C0750F">
              <w:rPr>
                <w:lang w:val="en-GB"/>
              </w:rPr>
              <w:t>The recommended starting dose of J</w:t>
            </w:r>
            <w:r>
              <w:rPr>
                <w:lang w:val="en-GB"/>
              </w:rPr>
              <w:t>ardiance</w:t>
            </w:r>
            <w:r w:rsidRPr="00C0750F">
              <w:rPr>
                <w:lang w:val="en-GB"/>
              </w:rPr>
              <w:t xml:space="preserve"> is 10 mg once daily. In patients tolerating empagliflozin 10 mg once daily and requiring additional glycaemic control, the dose can be increased to 25 mg once daily.</w:t>
            </w:r>
          </w:p>
        </w:tc>
      </w:tr>
      <w:tr w:rsidR="008E7846" w:rsidRPr="00487162" w14:paraId="64DFFF78" w14:textId="77777777" w:rsidTr="007F2E71">
        <w:trPr>
          <w:gridAfter w:val="1"/>
          <w:wAfter w:w="283" w:type="dxa"/>
        </w:trPr>
        <w:tc>
          <w:tcPr>
            <w:tcW w:w="2907" w:type="dxa"/>
          </w:tcPr>
          <w:p w14:paraId="3C4300EB" w14:textId="1DFB6EDB" w:rsidR="008E7846" w:rsidRPr="00487162" w:rsidRDefault="008E7846" w:rsidP="001B5C90">
            <w:pPr>
              <w:rPr>
                <w:i/>
              </w:rPr>
            </w:pPr>
            <w:r w:rsidRPr="00487162">
              <w:rPr>
                <w:i/>
              </w:rPr>
              <w:t xml:space="preserve">ARTG </w:t>
            </w:r>
            <w:r w:rsidR="001B5C90">
              <w:rPr>
                <w:i/>
              </w:rPr>
              <w:t>n</w:t>
            </w:r>
            <w:r w:rsidR="00106DED">
              <w:rPr>
                <w:i/>
              </w:rPr>
              <w:t>umbers</w:t>
            </w:r>
            <w:r w:rsidR="001B5C90">
              <w:rPr>
                <w:i/>
              </w:rPr>
              <w:t>:</w:t>
            </w:r>
          </w:p>
        </w:tc>
        <w:tc>
          <w:tcPr>
            <w:tcW w:w="6307" w:type="dxa"/>
          </w:tcPr>
          <w:p w14:paraId="72785781" w14:textId="41F68A67" w:rsidR="00106DED" w:rsidRPr="00106DED" w:rsidRDefault="00106DED" w:rsidP="00D05902">
            <w:pPr>
              <w:rPr>
                <w:lang w:val="en-GB"/>
              </w:rPr>
            </w:pPr>
            <w:r>
              <w:rPr>
                <w:lang w:val="en-GB"/>
              </w:rPr>
              <w:t>AUST R 208829</w:t>
            </w:r>
          </w:p>
          <w:p w14:paraId="71870BE3" w14:textId="4B1B6569" w:rsidR="008E7846" w:rsidRPr="00487162" w:rsidRDefault="00106DED" w:rsidP="00E45619">
            <w:r>
              <w:t>AUST R 208827</w:t>
            </w:r>
          </w:p>
        </w:tc>
      </w:tr>
    </w:tbl>
    <w:p w14:paraId="0058901D" w14:textId="77777777" w:rsidR="008E7846" w:rsidRDefault="008E7846" w:rsidP="008E7846">
      <w:pPr>
        <w:pStyle w:val="Heading3"/>
      </w:pPr>
      <w:bookmarkStart w:id="13" w:name="_Toc247691503"/>
      <w:bookmarkStart w:id="14" w:name="_Toc314842484"/>
      <w:bookmarkStart w:id="15" w:name="_Toc497906634"/>
      <w:r>
        <w:t>Product background</w:t>
      </w:r>
      <w:bookmarkEnd w:id="13"/>
      <w:bookmarkEnd w:id="14"/>
      <w:bookmarkEnd w:id="15"/>
    </w:p>
    <w:p w14:paraId="609D6321" w14:textId="661AE380" w:rsidR="008E7846" w:rsidRDefault="00940A89" w:rsidP="00940A89">
      <w:r w:rsidRPr="00940A89">
        <w:t xml:space="preserve">This AusPAR describes the application by the sponsor to register </w:t>
      </w:r>
      <w:r w:rsidR="00F35650">
        <w:t>empagliflozin</w:t>
      </w:r>
      <w:r w:rsidRPr="00940A89">
        <w:t xml:space="preserve"> f</w:t>
      </w:r>
      <w:r w:rsidR="00F35650">
        <w:t>or the following indication:</w:t>
      </w:r>
    </w:p>
    <w:p w14:paraId="2B928473" w14:textId="45F56610" w:rsidR="00F35650" w:rsidRPr="00F35650" w:rsidRDefault="00F35650" w:rsidP="00F35650">
      <w:pPr>
        <w:ind w:left="720"/>
        <w:rPr>
          <w:i/>
        </w:rPr>
      </w:pPr>
      <w:r w:rsidRPr="00F35650">
        <w:rPr>
          <w:i/>
        </w:rPr>
        <w:t>‘Prevention of cardiovascular events</w:t>
      </w:r>
    </w:p>
    <w:p w14:paraId="72297FC8" w14:textId="71EEE044" w:rsidR="00F35650" w:rsidRPr="00F35650" w:rsidRDefault="00F35650" w:rsidP="00F35650">
      <w:pPr>
        <w:ind w:left="720"/>
        <w:rPr>
          <w:i/>
        </w:rPr>
      </w:pPr>
      <w:r w:rsidRPr="00F35650">
        <w:rPr>
          <w:i/>
        </w:rPr>
        <w:lastRenderedPageBreak/>
        <w:t>Jardiance is indicated in patients with type 2 diabetes mellitus and high cardiovascular risk to reduce the risk of:</w:t>
      </w:r>
    </w:p>
    <w:p w14:paraId="3D180E5F" w14:textId="6BA36D31" w:rsidR="00F35650" w:rsidRPr="00434FAF" w:rsidRDefault="00F35650" w:rsidP="00AC3FAE">
      <w:pPr>
        <w:pStyle w:val="ListBullet3"/>
        <w:numPr>
          <w:ilvl w:val="0"/>
          <w:numId w:val="0"/>
        </w:numPr>
        <w:ind w:left="1080"/>
        <w:rPr>
          <w:i/>
        </w:rPr>
      </w:pPr>
      <w:r w:rsidRPr="00434FAF">
        <w:rPr>
          <w:i/>
        </w:rPr>
        <w:t>All-cause mortality by reducing cardiovascular death</w:t>
      </w:r>
    </w:p>
    <w:p w14:paraId="0C63A76E" w14:textId="0EE85CF1" w:rsidR="00F35650" w:rsidRPr="00434FAF" w:rsidRDefault="00F35650" w:rsidP="00AC3FAE">
      <w:pPr>
        <w:pStyle w:val="ListBullet3"/>
        <w:numPr>
          <w:ilvl w:val="0"/>
          <w:numId w:val="0"/>
        </w:numPr>
        <w:ind w:left="1080"/>
        <w:rPr>
          <w:i/>
        </w:rPr>
      </w:pPr>
      <w:r w:rsidRPr="00434FAF">
        <w:rPr>
          <w:i/>
        </w:rPr>
        <w:t>Cardiovascular death or hospitalisation for heart failure.’</w:t>
      </w:r>
    </w:p>
    <w:p w14:paraId="60927EBB" w14:textId="77777777" w:rsidR="00F35650" w:rsidRDefault="00F35650" w:rsidP="00F35650">
      <w:r>
        <w:t>The sponsor also proposes to:</w:t>
      </w:r>
    </w:p>
    <w:p w14:paraId="1B3BCAC6" w14:textId="333917EA" w:rsidR="00F35650" w:rsidRPr="00F35650" w:rsidRDefault="00F35650" w:rsidP="00F35650">
      <w:pPr>
        <w:ind w:left="720"/>
        <w:rPr>
          <w:i/>
        </w:rPr>
      </w:pPr>
      <w:r w:rsidRPr="00F35650">
        <w:rPr>
          <w:i/>
          <w:lang w:val="en-GB"/>
        </w:rPr>
        <w:t>‘</w:t>
      </w:r>
      <w:proofErr w:type="gramStart"/>
      <w:r w:rsidRPr="00F35650">
        <w:rPr>
          <w:i/>
          <w:lang w:val="en-GB"/>
        </w:rPr>
        <w:t>widen</w:t>
      </w:r>
      <w:proofErr w:type="gramEnd"/>
      <w:r w:rsidRPr="00F35650">
        <w:rPr>
          <w:i/>
          <w:lang w:val="en-GB"/>
        </w:rPr>
        <w:t xml:space="preserve"> the usage of Jardiance to include patients with moderate renal impairment (eGFR ≥ 30 mL/min/1.73 m</w:t>
      </w:r>
      <w:r w:rsidRPr="00F35650">
        <w:rPr>
          <w:i/>
          <w:vertAlign w:val="superscript"/>
          <w:lang w:val="en-GB"/>
        </w:rPr>
        <w:t>2</w:t>
      </w:r>
      <w:r w:rsidRPr="00F35650">
        <w:rPr>
          <w:i/>
          <w:lang w:val="en-GB"/>
        </w:rPr>
        <w:t>)</w:t>
      </w:r>
      <w:r w:rsidR="00434FAF">
        <w:rPr>
          <w:i/>
          <w:lang w:val="en-GB"/>
        </w:rPr>
        <w:t>.</w:t>
      </w:r>
      <w:r w:rsidRPr="00F35650">
        <w:rPr>
          <w:i/>
          <w:lang w:val="en-GB"/>
        </w:rPr>
        <w:t>’</w:t>
      </w:r>
    </w:p>
    <w:p w14:paraId="7DADE987" w14:textId="04445D2E" w:rsidR="005A0F41" w:rsidRPr="000E1577" w:rsidRDefault="005A0F41" w:rsidP="000E1577">
      <w:pPr>
        <w:rPr>
          <w:lang w:val="en-GB"/>
        </w:rPr>
      </w:pPr>
      <w:r w:rsidRPr="005A0F41">
        <w:t xml:space="preserve">Empagliflozin was listed on the </w:t>
      </w:r>
      <w:r>
        <w:t>Australian Register of Therapeutic Goods (</w:t>
      </w:r>
      <w:r w:rsidRPr="005A0F41">
        <w:t>ARTG</w:t>
      </w:r>
      <w:r>
        <w:t>)</w:t>
      </w:r>
      <w:r w:rsidRPr="005A0F41">
        <w:t xml:space="preserve"> in April 2014 for use in type 2 diabetes</w:t>
      </w:r>
      <w:r w:rsidR="000530C4">
        <w:t xml:space="preserve"> mellitus (T2DM)</w:t>
      </w:r>
      <w:r w:rsidRPr="005A0F41">
        <w:t xml:space="preserve"> to improve glycaemic control. Current clinical guidelines for treatment of diabetes suggest initial therapy with metformin.</w:t>
      </w:r>
      <w:r>
        <w:t xml:space="preserve"> E</w:t>
      </w:r>
      <w:r w:rsidRPr="005A0F41">
        <w:t>mpagliflozin</w:t>
      </w:r>
      <w:r>
        <w:t xml:space="preserve"> and other </w:t>
      </w:r>
      <w:r>
        <w:rPr>
          <w:bCs/>
          <w:lang w:val="en-GB"/>
        </w:rPr>
        <w:t>sodium-glucose c</w:t>
      </w:r>
      <w:r w:rsidRPr="005A0F41">
        <w:rPr>
          <w:bCs/>
          <w:lang w:val="en-GB"/>
        </w:rPr>
        <w:t>otransporter-2 (SGLT2)</w:t>
      </w:r>
      <w:r>
        <w:rPr>
          <w:bCs/>
          <w:lang w:val="en-GB"/>
        </w:rPr>
        <w:t xml:space="preserve"> </w:t>
      </w:r>
      <w:r w:rsidRPr="005A0F41">
        <w:t xml:space="preserve">inhibitors are second line therapy (along with sulphonylureas, </w:t>
      </w:r>
      <w:r w:rsidR="000E1577">
        <w:rPr>
          <w:lang w:val="en-GB"/>
        </w:rPr>
        <w:t>d</w:t>
      </w:r>
      <w:r w:rsidR="000E1577" w:rsidRPr="000E1577">
        <w:rPr>
          <w:lang w:val="en-GB"/>
        </w:rPr>
        <w:t xml:space="preserve">ipeptidyl peptidase-4 </w:t>
      </w:r>
      <w:r w:rsidR="000E1577">
        <w:rPr>
          <w:lang w:val="en-GB"/>
        </w:rPr>
        <w:t xml:space="preserve">(DPP-4) </w:t>
      </w:r>
      <w:r w:rsidR="000E1577" w:rsidRPr="000E1577">
        <w:rPr>
          <w:lang w:val="en-GB"/>
        </w:rPr>
        <w:t>inhibitor</w:t>
      </w:r>
      <w:r w:rsidR="000E1577">
        <w:t>s</w:t>
      </w:r>
      <w:r w:rsidRPr="005A0F41">
        <w:t xml:space="preserve">, </w:t>
      </w:r>
      <w:r w:rsidR="000E1577">
        <w:t>glucagon-like peptide-1 (GLP-1)</w:t>
      </w:r>
      <w:r w:rsidRPr="005A0F41">
        <w:t xml:space="preserve"> agonists, </w:t>
      </w:r>
      <w:proofErr w:type="spellStart"/>
      <w:r w:rsidRPr="005A0F41">
        <w:t>thiazolidinediones</w:t>
      </w:r>
      <w:proofErr w:type="spellEnd"/>
      <w:r w:rsidRPr="005A0F41">
        <w:t xml:space="preserve"> and insulin)</w:t>
      </w:r>
      <w:proofErr w:type="gramStart"/>
      <w:r w:rsidRPr="005A0F41">
        <w:t>.</w:t>
      </w:r>
      <w:r w:rsidRPr="005A0F41">
        <w:rPr>
          <w:vertAlign w:val="superscript"/>
        </w:rPr>
        <w:footnoteReference w:id="1"/>
      </w:r>
      <w:r w:rsidRPr="005A0F41">
        <w:rPr>
          <w:vertAlign w:val="superscript"/>
        </w:rPr>
        <w:t>,</w:t>
      </w:r>
      <w:proofErr w:type="gramEnd"/>
      <w:r w:rsidRPr="005A0F41">
        <w:rPr>
          <w:vertAlign w:val="superscript"/>
        </w:rPr>
        <w:footnoteReference w:id="2"/>
      </w:r>
    </w:p>
    <w:p w14:paraId="756CFF8F" w14:textId="77777777" w:rsidR="007F2E71" w:rsidRDefault="005A0F41" w:rsidP="000530C4">
      <w:r w:rsidRPr="005A0F41">
        <w:t xml:space="preserve">Drugs used in </w:t>
      </w:r>
      <w:r w:rsidR="00992D4B">
        <w:t>T2DM</w:t>
      </w:r>
      <w:r w:rsidRPr="005A0F41">
        <w:t xml:space="preserve"> have historically been approved for the indication of improvement in glycaemic control. This could be considered a surrogate endpoint. The prevention of morbidity and mortality in diabetes also involves reducing the risk of microvascular and macrovascular disease. In the </w:t>
      </w:r>
      <w:r w:rsidR="002A7C25" w:rsidRPr="002A7C25">
        <w:rPr>
          <w:lang w:val="en-GB"/>
        </w:rPr>
        <w:t xml:space="preserve">Diabetes Control and Complications Trial </w:t>
      </w:r>
      <w:r w:rsidR="002A7C25">
        <w:rPr>
          <w:lang w:val="en-GB"/>
        </w:rPr>
        <w:t>(</w:t>
      </w:r>
      <w:r w:rsidRPr="005A0F41">
        <w:t>DCCT</w:t>
      </w:r>
      <w:r w:rsidR="002A7C25">
        <w:t>)</w:t>
      </w:r>
      <w:r w:rsidRPr="005A0F41">
        <w:t xml:space="preserve"> and </w:t>
      </w:r>
      <w:r w:rsidR="002A7C25" w:rsidRPr="002A7C25">
        <w:rPr>
          <w:lang w:val="en-GB"/>
        </w:rPr>
        <w:t xml:space="preserve">Epidemiology of Diabetes Interventions and Complications </w:t>
      </w:r>
      <w:r w:rsidR="002A7C25">
        <w:rPr>
          <w:lang w:val="en-GB"/>
        </w:rPr>
        <w:t>(</w:t>
      </w:r>
      <w:r w:rsidRPr="005A0F41">
        <w:t>EDIC</w:t>
      </w:r>
      <w:r w:rsidR="002A7C25">
        <w:t>)</w:t>
      </w:r>
      <w:r w:rsidRPr="005A0F41">
        <w:t xml:space="preserve"> studies, improvements in glycaemic control were shown to reduce the progression of microvascular disease. Until recently, there </w:t>
      </w:r>
      <w:r w:rsidR="00641A63" w:rsidRPr="005A0F41">
        <w:t>h</w:t>
      </w:r>
      <w:r w:rsidR="00641A63">
        <w:t>ave</w:t>
      </w:r>
      <w:r w:rsidR="00641A63" w:rsidRPr="005A0F41">
        <w:t xml:space="preserve"> </w:t>
      </w:r>
      <w:r w:rsidRPr="005A0F41">
        <w:t xml:space="preserve">been very few well conducted studies evaluating the cardiovascular benefits of blood glucose lowering medications. In the </w:t>
      </w:r>
      <w:r w:rsidR="000530C4" w:rsidRPr="000530C4">
        <w:rPr>
          <w:lang w:val="en-GB"/>
        </w:rPr>
        <w:t>U</w:t>
      </w:r>
      <w:r w:rsidR="000530C4">
        <w:rPr>
          <w:lang w:val="en-GB"/>
        </w:rPr>
        <w:t>nited Kingdom</w:t>
      </w:r>
      <w:r w:rsidR="000530C4" w:rsidRPr="000530C4">
        <w:rPr>
          <w:lang w:val="en-GB"/>
        </w:rPr>
        <w:t xml:space="preserve"> Prospective Diabetes Study</w:t>
      </w:r>
      <w:r w:rsidR="000530C4">
        <w:rPr>
          <w:lang w:val="en-GB"/>
        </w:rPr>
        <w:t xml:space="preserve"> (</w:t>
      </w:r>
      <w:r w:rsidRPr="005A0F41">
        <w:t>UKPDS</w:t>
      </w:r>
      <w:r w:rsidR="000530C4">
        <w:t>)</w:t>
      </w:r>
      <w:r w:rsidRPr="005A0F41">
        <w:t xml:space="preserve">, metformin was shown to reduce cardiovascular outcomes in newly diagnosed patients T2DM followed for 10 years. However other studies have not replicated these findings. A number of studies have shown a reduction in weight, </w:t>
      </w:r>
      <w:r w:rsidR="00D819B2">
        <w:t>blood pressure (</w:t>
      </w:r>
      <w:r w:rsidRPr="005A0F41">
        <w:t>BP</w:t>
      </w:r>
      <w:r w:rsidR="00D819B2">
        <w:t>)</w:t>
      </w:r>
      <w:r w:rsidRPr="005A0F41">
        <w:t>, lipids and surrogate markers of insulin resistance and endothelial dysfunction.</w:t>
      </w:r>
    </w:p>
    <w:p w14:paraId="13E4D9CE" w14:textId="027B1EE1" w:rsidR="005A0F41" w:rsidRPr="002A7C25" w:rsidRDefault="005A0F41" w:rsidP="000530C4">
      <w:pPr>
        <w:rPr>
          <w:lang w:val="en-GB"/>
        </w:rPr>
      </w:pPr>
      <w:r w:rsidRPr="005A0F41">
        <w:t xml:space="preserve">There are a number of factors which could explain differing results observational cohorts and clinical trials, including year of study (and how intensive cardiovascular risk reduction was at that time), early versus late diabetes, baseline cardiovascular risk, allocation bias as the therapy, use of active versus placebo controls and duration of follow up. There has been no </w:t>
      </w:r>
      <w:r w:rsidR="00992D4B">
        <w:t>randomised control trial (</w:t>
      </w:r>
      <w:r w:rsidRPr="005A0F41">
        <w:t>RCT</w:t>
      </w:r>
      <w:r w:rsidR="00992D4B">
        <w:t>)</w:t>
      </w:r>
      <w:r w:rsidRPr="005A0F41">
        <w:t xml:space="preserve"> of sulphonylurea therapy on cardiovascular outcomes</w:t>
      </w:r>
      <w:r w:rsidR="00641A63">
        <w:t>;</w:t>
      </w:r>
      <w:r w:rsidR="00641A63" w:rsidRPr="005A0F41">
        <w:t xml:space="preserve"> </w:t>
      </w:r>
      <w:r w:rsidRPr="005A0F41">
        <w:t xml:space="preserve">the available evidence suggests a neutral or negative effect. The alpha glucosidase inhibitors have had a positive effect on cardiovascular events in patients with impaired glucose tolerance. Rosiglitazone has been associated with an increased risk of heart failure but is probably neutral in terms of macrovascular disease. In the PROactive study, Pioglitazone (compared to placebo) showed a numerical but not statistically significant reduction in all-cause mortality, non-fatal </w:t>
      </w:r>
      <w:r w:rsidR="00992D4B">
        <w:t>myocardial infarction (</w:t>
      </w:r>
      <w:r w:rsidRPr="005A0F41">
        <w:t>MI</w:t>
      </w:r>
      <w:r w:rsidR="00992D4B">
        <w:t>)</w:t>
      </w:r>
      <w:r w:rsidRPr="005A0F41">
        <w:t>, acute coronary syndrome, stroke, coronary or limb arteries endovascular or surgical intervention and amputation; but a positive result for the secondary endpoint composite all-cause mortality, non-fatal MI and stroke. It could be that this study was not powered for the primary outcome.</w:t>
      </w:r>
    </w:p>
    <w:p w14:paraId="4D846DC1" w14:textId="6D209AB0" w:rsidR="005A0F41" w:rsidRPr="005A0F41" w:rsidRDefault="005A0F41" w:rsidP="005A0F41">
      <w:r w:rsidRPr="005A0F41">
        <w:t>In 2008</w:t>
      </w:r>
      <w:r w:rsidR="002204BD">
        <w:t>,</w:t>
      </w:r>
      <w:r w:rsidRPr="005A0F41">
        <w:t xml:space="preserve"> the </w:t>
      </w:r>
      <w:r w:rsidR="00992D4B">
        <w:t xml:space="preserve">United States (US) Food and Drug Administration (FDA) </w:t>
      </w:r>
      <w:r w:rsidRPr="005A0F41">
        <w:t xml:space="preserve">mandated that all new drugs </w:t>
      </w:r>
      <w:r w:rsidR="005E09F3">
        <w:t>registered for T2DM have a long-</w:t>
      </w:r>
      <w:r w:rsidRPr="005A0F41">
        <w:t>term study aimed at confirming non-inferiority to placebo for cardiovascular safety. That is, T2D</w:t>
      </w:r>
      <w:r w:rsidR="005E09F3">
        <w:t>M</w:t>
      </w:r>
      <w:r w:rsidRPr="005A0F41">
        <w:t xml:space="preserve"> medicines are approved in the United States via a 2-step FDA process:</w:t>
      </w:r>
    </w:p>
    <w:p w14:paraId="6C736E9C" w14:textId="77777777" w:rsidR="005A0F41" w:rsidRPr="005A0F41" w:rsidRDefault="005A0F41" w:rsidP="00434FAF">
      <w:pPr>
        <w:pStyle w:val="ListBullet"/>
      </w:pPr>
      <w:r w:rsidRPr="005A0F41">
        <w:lastRenderedPageBreak/>
        <w:t>At the point of approval, data from the pre-market studies should show that the upper limit of the confidence interval for the risk ratio (versus comparators) for cardiovascular events is less than 1.8.</w:t>
      </w:r>
    </w:p>
    <w:p w14:paraId="23674D49" w14:textId="77777777" w:rsidR="005A0F41" w:rsidRPr="005A0F41" w:rsidRDefault="005A0F41" w:rsidP="00434FAF">
      <w:pPr>
        <w:pStyle w:val="ListBullet"/>
      </w:pPr>
      <w:r w:rsidRPr="005A0F41">
        <w:t>Post-approval (post-market), the FDA guidelines mandate that more randomised data should be collected to show that the upper bound is less than 1.3.</w:t>
      </w:r>
    </w:p>
    <w:p w14:paraId="1F6B445F" w14:textId="2D9AF11D" w:rsidR="00F35650" w:rsidRPr="00F35650" w:rsidRDefault="005A0F41" w:rsidP="00F35650">
      <w:r w:rsidRPr="005A0F41">
        <w:t xml:space="preserve">Three post-marketing studies have been reported on for three of the gliptins (EXAMINE, SAVOR, TECOS) and, broadly speaking, have shown non-inferiority to placebo for cardiovascular safety. The EMPA-REG study </w:t>
      </w:r>
      <w:r w:rsidR="00434FAF">
        <w:t xml:space="preserve">for empagliflozin </w:t>
      </w:r>
      <w:r w:rsidRPr="005A0F41">
        <w:t xml:space="preserve">is the first randomised post-approval (post-marketing) study for </w:t>
      </w:r>
      <w:r w:rsidR="00434FAF">
        <w:t>a SGLT</w:t>
      </w:r>
      <w:r w:rsidRPr="005A0F41">
        <w:t>2 inhibitor. A long-term study for canagliflozin (CANVAS) and dapagliflozin is currently underway. A reduction in all</w:t>
      </w:r>
      <w:r w:rsidR="00D819B2">
        <w:t>-</w:t>
      </w:r>
      <w:r w:rsidRPr="005A0F41">
        <w:t>cause mortality and cardiovascular mortality was also demonstrated for liraglutide (a GLP-1 agonist) in the LEADER study.</w:t>
      </w:r>
      <w:r w:rsidRPr="005A0F41">
        <w:rPr>
          <w:vertAlign w:val="superscript"/>
        </w:rPr>
        <w:footnoteReference w:id="3"/>
      </w:r>
    </w:p>
    <w:p w14:paraId="5F150A17" w14:textId="77777777" w:rsidR="008E7846" w:rsidRPr="003F31A2" w:rsidRDefault="00386150" w:rsidP="008E7846">
      <w:pPr>
        <w:pStyle w:val="Heading3"/>
      </w:pPr>
      <w:bookmarkStart w:id="16" w:name="_Toc314842485"/>
      <w:bookmarkStart w:id="17" w:name="_Toc247691504"/>
      <w:bookmarkStart w:id="18" w:name="_Toc497906635"/>
      <w:r>
        <w:t>Regulatory s</w:t>
      </w:r>
      <w:r w:rsidR="008E7846">
        <w:t>tatus</w:t>
      </w:r>
      <w:bookmarkEnd w:id="16"/>
      <w:bookmarkEnd w:id="17"/>
      <w:bookmarkEnd w:id="18"/>
    </w:p>
    <w:p w14:paraId="4530F949" w14:textId="5D98B646" w:rsidR="00940A89" w:rsidRDefault="00940A89" w:rsidP="00940A89">
      <w:bookmarkStart w:id="19" w:name="_Toc247691505"/>
      <w:bookmarkStart w:id="20" w:name="_Toc314842486"/>
      <w:r w:rsidRPr="00940A89">
        <w:t xml:space="preserve">The product received initial registration on the </w:t>
      </w:r>
      <w:r w:rsidR="00434FAF">
        <w:t>ARTG on April 2015.</w:t>
      </w:r>
    </w:p>
    <w:p w14:paraId="1C98AD1A" w14:textId="77777777" w:rsidR="007F2E71" w:rsidRDefault="00434FAF" w:rsidP="00434FAF">
      <w:r w:rsidRPr="00434FAF">
        <w:t xml:space="preserve">Similar submissions to extend the indications of empagliflozin for cardiovascular protection and use in renal impairment have been made by the sponsor to the </w:t>
      </w:r>
      <w:r>
        <w:t>European Medicines Agency (</w:t>
      </w:r>
      <w:r w:rsidRPr="00434FAF">
        <w:t>EMA</w:t>
      </w:r>
      <w:r>
        <w:t>)</w:t>
      </w:r>
      <w:r w:rsidRPr="00434FAF">
        <w:t xml:space="preserve">, FDA, Health Canada and SwissMedic. The </w:t>
      </w:r>
      <w:r>
        <w:t>D</w:t>
      </w:r>
      <w:r w:rsidRPr="00434FAF">
        <w:t>elegate has considered the EMA’s 120 day report and the sponsor’s response.</w:t>
      </w:r>
    </w:p>
    <w:p w14:paraId="56173FB1" w14:textId="485C6080" w:rsidR="00434FAF" w:rsidRPr="00434FAF" w:rsidRDefault="00434FAF" w:rsidP="00434FAF">
      <w:r>
        <w:t>The p</w:t>
      </w:r>
      <w:r w:rsidRPr="00434FAF">
        <w:t xml:space="preserve">roposed indication in the </w:t>
      </w:r>
      <w:r>
        <w:t>European Union (</w:t>
      </w:r>
      <w:r w:rsidRPr="00434FAF">
        <w:t>EU</w:t>
      </w:r>
      <w:r>
        <w:t>) is</w:t>
      </w:r>
      <w:r w:rsidRPr="00434FAF">
        <w:t>:</w:t>
      </w:r>
    </w:p>
    <w:p w14:paraId="54F349A8" w14:textId="77777777" w:rsidR="00434FAF" w:rsidRPr="00434FAF" w:rsidRDefault="00434FAF" w:rsidP="00434FAF">
      <w:pPr>
        <w:ind w:left="720"/>
        <w:rPr>
          <w:i/>
        </w:rPr>
      </w:pPr>
      <w:r w:rsidRPr="00434FAF">
        <w:rPr>
          <w:i/>
        </w:rPr>
        <w:t>‘Prevention of cardiovascular events:</w:t>
      </w:r>
    </w:p>
    <w:p w14:paraId="145DA280" w14:textId="77777777" w:rsidR="00434FAF" w:rsidRPr="00434FAF" w:rsidRDefault="00434FAF" w:rsidP="00434FAF">
      <w:pPr>
        <w:ind w:left="720"/>
        <w:rPr>
          <w:i/>
        </w:rPr>
      </w:pPr>
      <w:r w:rsidRPr="00434FAF">
        <w:rPr>
          <w:i/>
        </w:rPr>
        <w:t xml:space="preserve">Jardiance is indicated as adjunct to standard care therapy in patients with type </w:t>
      </w:r>
      <w:proofErr w:type="gramStart"/>
      <w:r w:rsidRPr="00434FAF">
        <w:rPr>
          <w:i/>
        </w:rPr>
        <w:t>2 diabetes</w:t>
      </w:r>
      <w:proofErr w:type="gramEnd"/>
      <w:r w:rsidRPr="00434FAF">
        <w:rPr>
          <w:i/>
        </w:rPr>
        <w:t xml:space="preserve"> and </w:t>
      </w:r>
      <w:r w:rsidRPr="00434FAF">
        <w:rPr>
          <w:bCs/>
          <w:i/>
        </w:rPr>
        <w:t xml:space="preserve">established cardiovascular disease </w:t>
      </w:r>
      <w:r w:rsidRPr="00434FAF">
        <w:rPr>
          <w:i/>
        </w:rPr>
        <w:t>to reduce the risk of</w:t>
      </w:r>
    </w:p>
    <w:p w14:paraId="21536244" w14:textId="77777777" w:rsidR="00434FAF" w:rsidRPr="00434FAF" w:rsidRDefault="00434FAF" w:rsidP="00434FAF">
      <w:pPr>
        <w:pStyle w:val="ListBullet3"/>
        <w:rPr>
          <w:i/>
        </w:rPr>
      </w:pPr>
      <w:r w:rsidRPr="00434FAF">
        <w:rPr>
          <w:i/>
        </w:rPr>
        <w:t>all-cause mortality by reducing cardiovascular death; and</w:t>
      </w:r>
    </w:p>
    <w:p w14:paraId="30FCECF2" w14:textId="16ED9350" w:rsidR="00434FAF" w:rsidRPr="00434FAF" w:rsidRDefault="00434FAF" w:rsidP="00434FAF">
      <w:pPr>
        <w:pStyle w:val="ListBullet3"/>
        <w:rPr>
          <w:i/>
        </w:rPr>
      </w:pPr>
      <w:proofErr w:type="gramStart"/>
      <w:r w:rsidRPr="00434FAF">
        <w:rPr>
          <w:i/>
        </w:rPr>
        <w:t>cardiovascular</w:t>
      </w:r>
      <w:proofErr w:type="gramEnd"/>
      <w:r w:rsidRPr="00434FAF">
        <w:rPr>
          <w:i/>
        </w:rPr>
        <w:t xml:space="preserve"> death or hospitalisation for heart failure.’</w:t>
      </w:r>
    </w:p>
    <w:p w14:paraId="3B1DB3F3" w14:textId="77777777" w:rsidR="008E7846" w:rsidRDefault="008E7846" w:rsidP="00940A89">
      <w:pPr>
        <w:pStyle w:val="Heading3"/>
      </w:pPr>
      <w:bookmarkStart w:id="21" w:name="_Toc497906636"/>
      <w:r>
        <w:t>Product Information</w:t>
      </w:r>
      <w:bookmarkEnd w:id="19"/>
      <w:bookmarkEnd w:id="20"/>
      <w:bookmarkEnd w:id="21"/>
    </w:p>
    <w:p w14:paraId="7D8D5096" w14:textId="77777777" w:rsidR="00940A89" w:rsidRDefault="006136D7" w:rsidP="00940A89">
      <w:pPr>
        <w:rPr>
          <w:b/>
          <w:bCs/>
        </w:rPr>
      </w:pPr>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r w:rsidR="00441C3F">
        <w:t>&gt;</w:t>
      </w:r>
      <w:r w:rsidR="00940A89" w:rsidRPr="00940A89">
        <w:t>.</w:t>
      </w:r>
    </w:p>
    <w:p w14:paraId="31597D22" w14:textId="77777777" w:rsidR="008E7846" w:rsidRPr="003602A9" w:rsidRDefault="008E7846" w:rsidP="008E7846">
      <w:pPr>
        <w:pStyle w:val="Heading2"/>
        <w:ind w:left="-11"/>
      </w:pPr>
      <w:bookmarkStart w:id="24" w:name="_Toc497906637"/>
      <w:r>
        <w:t>II. Quality</w:t>
      </w:r>
      <w:bookmarkEnd w:id="1"/>
      <w:r>
        <w:t xml:space="preserve"> findings</w:t>
      </w:r>
      <w:bookmarkEnd w:id="22"/>
      <w:bookmarkEnd w:id="23"/>
      <w:bookmarkEnd w:id="24"/>
    </w:p>
    <w:p w14:paraId="71962028" w14:textId="77777777" w:rsidR="00940A89" w:rsidRPr="00940A89" w:rsidRDefault="00940A89" w:rsidP="00940A89">
      <w:bookmarkStart w:id="25" w:name="_Toc247691507"/>
      <w:bookmarkStart w:id="26" w:name="_Toc314842488"/>
      <w:r w:rsidRPr="00940A89">
        <w:t>There was no requirement for a quality evaluation in a submission of this type.</w:t>
      </w:r>
    </w:p>
    <w:p w14:paraId="03E21A8D" w14:textId="77777777" w:rsidR="008E7846" w:rsidRDefault="008E7846" w:rsidP="008E7846">
      <w:pPr>
        <w:pStyle w:val="Heading2"/>
      </w:pPr>
      <w:bookmarkStart w:id="27" w:name="_Toc196046439"/>
      <w:bookmarkStart w:id="28" w:name="_Toc247691510"/>
      <w:bookmarkStart w:id="29" w:name="_Toc314842494"/>
      <w:bookmarkStart w:id="30" w:name="_Toc497906638"/>
      <w:bookmarkEnd w:id="25"/>
      <w:bookmarkEnd w:id="26"/>
      <w:r>
        <w:t>III. Nonclinical</w:t>
      </w:r>
      <w:bookmarkEnd w:id="27"/>
      <w:r>
        <w:t xml:space="preserve"> findings</w:t>
      </w:r>
      <w:bookmarkEnd w:id="28"/>
      <w:bookmarkEnd w:id="29"/>
      <w:bookmarkEnd w:id="30"/>
    </w:p>
    <w:p w14:paraId="1B1447DF" w14:textId="77777777" w:rsidR="00940A89" w:rsidRDefault="00940A89" w:rsidP="000E6196">
      <w:bookmarkStart w:id="31" w:name="_Toc247691511"/>
      <w:bookmarkStart w:id="32" w:name="_Toc314842495"/>
      <w:r>
        <w:t>There was no requirement for a nonclinical evaluation in a submission of this type.</w:t>
      </w:r>
    </w:p>
    <w:p w14:paraId="35C770F2" w14:textId="77777777" w:rsidR="008E7846" w:rsidRPr="00254787" w:rsidRDefault="008E7846" w:rsidP="008E7846">
      <w:pPr>
        <w:pStyle w:val="Heading2"/>
      </w:pPr>
      <w:bookmarkStart w:id="33" w:name="_Toc196046462"/>
      <w:bookmarkStart w:id="34" w:name="_Toc247691516"/>
      <w:bookmarkStart w:id="35" w:name="_Toc314842500"/>
      <w:bookmarkStart w:id="36" w:name="_Toc163441353"/>
      <w:bookmarkStart w:id="37" w:name="_Toc163441348"/>
      <w:bookmarkStart w:id="38" w:name="_Toc497906639"/>
      <w:bookmarkEnd w:id="31"/>
      <w:bookmarkEnd w:id="32"/>
      <w:r>
        <w:t xml:space="preserve">IV. </w:t>
      </w:r>
      <w:r w:rsidRPr="00254787">
        <w:t>Clinical</w:t>
      </w:r>
      <w:bookmarkEnd w:id="33"/>
      <w:r>
        <w:t xml:space="preserve"> </w:t>
      </w:r>
      <w:r w:rsidR="003A7F6C">
        <w:t>f</w:t>
      </w:r>
      <w:r>
        <w:t>indings</w:t>
      </w:r>
      <w:bookmarkEnd w:id="34"/>
      <w:bookmarkEnd w:id="35"/>
      <w:bookmarkEnd w:id="38"/>
    </w:p>
    <w:p w14:paraId="3F44C36A" w14:textId="77777777" w:rsidR="00C80137" w:rsidRDefault="00C80137" w:rsidP="00D425BB">
      <w:bookmarkStart w:id="39"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25143231" w14:textId="4B87FCC3" w:rsidR="00965090" w:rsidRPr="00965090" w:rsidRDefault="008E7846" w:rsidP="00965090">
      <w:pPr>
        <w:pStyle w:val="Heading3"/>
      </w:pPr>
      <w:bookmarkStart w:id="40" w:name="_Toc247691517"/>
      <w:bookmarkStart w:id="41" w:name="_Toc314842501"/>
      <w:bookmarkStart w:id="42" w:name="_Toc497906640"/>
      <w:r w:rsidRPr="00254787">
        <w:lastRenderedPageBreak/>
        <w:t>Introduction</w:t>
      </w:r>
      <w:bookmarkEnd w:id="39"/>
      <w:bookmarkEnd w:id="40"/>
      <w:bookmarkEnd w:id="41"/>
      <w:bookmarkEnd w:id="42"/>
    </w:p>
    <w:p w14:paraId="2E33CC64" w14:textId="77777777" w:rsidR="00605AD4" w:rsidRDefault="00605AD4" w:rsidP="00605AD4">
      <w:pPr>
        <w:pStyle w:val="Heading4"/>
      </w:pPr>
      <w:bookmarkStart w:id="43" w:name="_Toc196046464"/>
      <w:bookmarkStart w:id="44" w:name="_Toc247691518"/>
      <w:bookmarkStart w:id="45" w:name="_Toc314842502"/>
      <w:r w:rsidRPr="00605AD4">
        <w:t xml:space="preserve">Clinical </w:t>
      </w:r>
      <w:r w:rsidR="00EF59DC">
        <w:t>r</w:t>
      </w:r>
      <w:r w:rsidRPr="00605AD4">
        <w:t>ationale</w:t>
      </w:r>
    </w:p>
    <w:p w14:paraId="2D2BA0AA" w14:textId="019C8547" w:rsidR="00965090" w:rsidRPr="00965090" w:rsidRDefault="006854F8" w:rsidP="00965090">
      <w:r>
        <w:t>T2DM</w:t>
      </w:r>
      <w:r w:rsidR="00965090" w:rsidRPr="00965090">
        <w:t xml:space="preserve"> is a major risk factor for cardiovascular disease. It is estimated that 70 to 75% of all deaths in people with diabetes can be attributed to cardiovascular complications. The presence of both T2DM and cardiovascular disease is associated with increased morbidity and mortality. Despite a number of large clinical trials, there is minimal evidence that lowering blood glucose reduces the risk of cardiovascular events. There is a concern that intensive glucose lowering or the use of specific glucose lowering drugs can be associated with adverse cardiovascular outcomes, particularly in the elderly.</w:t>
      </w:r>
    </w:p>
    <w:p w14:paraId="7DBF74F1" w14:textId="7F2156DB" w:rsidR="00965090" w:rsidRPr="006854F8" w:rsidRDefault="00965090" w:rsidP="006854F8">
      <w:pPr>
        <w:rPr>
          <w:lang w:val="en-GB"/>
        </w:rPr>
      </w:pPr>
      <w:r w:rsidRPr="00965090">
        <w:t>Compared to individuals without diabetes, those with diabetes have a higher prevalence of coronary artery disease, a greater extent of coronary ischemia, and are more likely to have myocardial ischemia and silent myocardial ischemia. In the Framingham Heart Study, the presence of diabetes doubled the age adjusted risk for cardiovascular disease in men and tripled it in women. In the Multiple Risk Factor Intervention Trial (MRFIT), among 5163 men who reported taking medication for diabetes, 9.7 % died from c</w:t>
      </w:r>
      <w:r>
        <w:t>ardiovascular disease over a 12-</w:t>
      </w:r>
      <w:r w:rsidRPr="00965090">
        <w:t>year period, this compares to 2.6% of 342,815 men not taking medication for diabetes.</w:t>
      </w:r>
      <w:r>
        <w:rPr>
          <w:rStyle w:val="FootnoteReference"/>
        </w:rPr>
        <w:footnoteReference w:id="4"/>
      </w:r>
      <w:r w:rsidRPr="00965090">
        <w:t xml:space="preserve"> This difference was independent on age, ethnic group, cholesterol level, systolic </w:t>
      </w:r>
      <w:r w:rsidR="006854F8">
        <w:t>blood pressure (S</w:t>
      </w:r>
      <w:r w:rsidRPr="00965090">
        <w:t>BP</w:t>
      </w:r>
      <w:r w:rsidR="006854F8">
        <w:t>)</w:t>
      </w:r>
      <w:r w:rsidRPr="00965090">
        <w:t xml:space="preserve">, and smoking. In addition to cardiovascular events, patients with </w:t>
      </w:r>
      <w:r w:rsidR="006854F8">
        <w:t>T2DM</w:t>
      </w:r>
      <w:r w:rsidRPr="00965090">
        <w:t xml:space="preserve"> have a high rate of asymptomatic coronary artery disease (as determined by the presence of coronary artery calcification (CAC) on electron beam </w:t>
      </w:r>
      <w:r w:rsidR="006854F8">
        <w:rPr>
          <w:lang w:val="en-GB"/>
        </w:rPr>
        <w:t>computeris</w:t>
      </w:r>
      <w:r w:rsidR="006854F8" w:rsidRPr="006854F8">
        <w:rPr>
          <w:lang w:val="en-GB"/>
        </w:rPr>
        <w:t>ed tomography</w:t>
      </w:r>
      <w:r w:rsidR="006854F8">
        <w:rPr>
          <w:lang w:val="en-GB"/>
        </w:rPr>
        <w:t xml:space="preserve"> (</w:t>
      </w:r>
      <w:r w:rsidRPr="00965090">
        <w:t>CT</w:t>
      </w:r>
      <w:r w:rsidR="006854F8">
        <w:t>)</w:t>
      </w:r>
      <w:r w:rsidRPr="00965090">
        <w:t xml:space="preserve"> scanning and inducible cardiac ischemia on stress imaging. Patients with </w:t>
      </w:r>
      <w:r w:rsidR="006854F8">
        <w:t>T2DM</w:t>
      </w:r>
      <w:r w:rsidRPr="00965090">
        <w:t xml:space="preserve"> have reduced myocardial flow reserve, a reflection of coronary vasodilator capacity, which is inversely related to glycaemic control. Silent ischemia in diabetes is thought to be caused at least in part by autonomic denervation of the heart.</w:t>
      </w:r>
    </w:p>
    <w:p w14:paraId="34F643ED" w14:textId="77777777" w:rsidR="00965090" w:rsidRPr="00965090" w:rsidRDefault="00965090" w:rsidP="00965090">
      <w:r w:rsidRPr="00965090">
        <w:t>The risk of heart failure in diabetes is increased 2.4-fold in men and 5-fold in women. It is associated with, but not entirely explained by, the presence of coronary artery disease. Other risk factors include age, duration of diabetes, poor glycaemic control and renal disease. Among patients with diabetes, those with heart failure have a greatly increased risk of death (around 10-fold) than those without. The 5-year survival rate for heart failure with diabetes is around 12.5%.</w:t>
      </w:r>
    </w:p>
    <w:p w14:paraId="6698B708" w14:textId="312F8417" w:rsidR="00965090" w:rsidRPr="00B404E2" w:rsidRDefault="00965090" w:rsidP="00B404E2">
      <w:pPr>
        <w:rPr>
          <w:lang w:val="en-GB"/>
        </w:rPr>
      </w:pPr>
      <w:r w:rsidRPr="00965090">
        <w:t xml:space="preserve">Most guidelines for diabetes suggest a therapeutic target goal for </w:t>
      </w:r>
      <w:r w:rsidR="00B404E2">
        <w:rPr>
          <w:lang w:val="en-GB"/>
        </w:rPr>
        <w:t>glycosylated ha</w:t>
      </w:r>
      <w:r w:rsidR="00B404E2" w:rsidRPr="00B404E2">
        <w:rPr>
          <w:lang w:val="en-GB"/>
        </w:rPr>
        <w:t>emoglobin</w:t>
      </w:r>
      <w:r w:rsidR="00B404E2" w:rsidRPr="00B404E2">
        <w:t xml:space="preserve"> </w:t>
      </w:r>
      <w:r w:rsidR="00B404E2">
        <w:t>(</w:t>
      </w:r>
      <w:r w:rsidRPr="00965090">
        <w:t>HbA1c</w:t>
      </w:r>
      <w:r w:rsidR="00B404E2">
        <w:t>)</w:t>
      </w:r>
      <w:r w:rsidRPr="00965090">
        <w:t xml:space="preserve"> should be 6.5 to 7%</w:t>
      </w:r>
      <w:proofErr w:type="gramStart"/>
      <w:r w:rsidRPr="00965090">
        <w:t>,</w:t>
      </w:r>
      <w:proofErr w:type="gramEnd"/>
      <w:r w:rsidRPr="00965090">
        <w:t xml:space="preserve"> however this can be difficult to achieve for many patients, particularly those with longstanding disease.</w:t>
      </w:r>
    </w:p>
    <w:p w14:paraId="0BB2A93E" w14:textId="749157A0" w:rsidR="00965090" w:rsidRPr="00965090" w:rsidRDefault="00965090" w:rsidP="00965090">
      <w:r w:rsidRPr="00965090">
        <w:t xml:space="preserve">Apart from its ability to lower blood glucose through a decrease in renal glucose absorption, empagliflozin is associated with weight loss and a reduction in </w:t>
      </w:r>
      <w:r w:rsidR="00702B48">
        <w:t xml:space="preserve">BP </w:t>
      </w:r>
      <w:r w:rsidRPr="00965090">
        <w:t xml:space="preserve">without increases in heart rate. Empagliflozin also has favourable effects on markers of arterial stiffness and vascular resistance, visceral adiposity, albuminuria and plasma urate as well as increase in </w:t>
      </w:r>
      <w:r w:rsidR="00B404E2">
        <w:t>low density lipoproteins (</w:t>
      </w:r>
      <w:r w:rsidRPr="00965090">
        <w:t>LDL</w:t>
      </w:r>
      <w:r w:rsidR="00B404E2">
        <w:t>)</w:t>
      </w:r>
      <w:r w:rsidRPr="00965090">
        <w:t xml:space="preserve"> and</w:t>
      </w:r>
      <w:r w:rsidR="00B404E2">
        <w:t xml:space="preserve"> high density lipoproteins</w:t>
      </w:r>
      <w:r w:rsidRPr="00965090">
        <w:t xml:space="preserve"> </w:t>
      </w:r>
      <w:r w:rsidR="00B404E2">
        <w:t>(</w:t>
      </w:r>
      <w:r w:rsidRPr="00965090">
        <w:t>HDL</w:t>
      </w:r>
      <w:r w:rsidR="00B404E2">
        <w:t>)</w:t>
      </w:r>
      <w:r w:rsidRPr="00965090">
        <w:t>. It increases rather than decreases glucagon.</w:t>
      </w:r>
    </w:p>
    <w:p w14:paraId="60136240" w14:textId="77777777" w:rsidR="00965090" w:rsidRPr="00965090" w:rsidRDefault="00965090" w:rsidP="00965090">
      <w:r w:rsidRPr="00965090">
        <w:t>The rational for the extension of indications for use to prevent cardiovascular disease comes from positive results from the EMPA-REG OUTCOME study.</w:t>
      </w:r>
    </w:p>
    <w:p w14:paraId="62AD09F7" w14:textId="173534C6" w:rsidR="00965090" w:rsidRPr="00965090" w:rsidRDefault="00965090" w:rsidP="00965090">
      <w:r w:rsidRPr="00965090">
        <w:t>The rational for widening the use of Jardiance in renal impairment comes from greater experience of the use of Jardiance in patients with moderate renal impairment in a clinical trial setting. In an analysis of patients in the EMPA-REG OUTCOME study with chronic kidney disease</w:t>
      </w:r>
      <w:r w:rsidR="00B2387F">
        <w:t xml:space="preserve"> (CKD) stage</w:t>
      </w:r>
      <w:r w:rsidRPr="00965090">
        <w:t xml:space="preserve"> 3A (</w:t>
      </w:r>
      <w:r w:rsidR="002A0D28">
        <w:t>estimated glomerular filtration rate (</w:t>
      </w:r>
      <w:r w:rsidRPr="00965090">
        <w:t>eGFR</w:t>
      </w:r>
      <w:r w:rsidR="002A0D28">
        <w:t>)</w:t>
      </w:r>
      <w:r w:rsidR="00B2387F">
        <w:t xml:space="preserve"> 45 to 60 </w:t>
      </w:r>
      <w:r w:rsidRPr="00965090">
        <w:t>mL/min/1.73 m</w:t>
      </w:r>
      <w:r w:rsidRPr="00965090">
        <w:rPr>
          <w:vertAlign w:val="superscript"/>
        </w:rPr>
        <w:t>2</w:t>
      </w:r>
      <w:r w:rsidRPr="00965090">
        <w:t>) a</w:t>
      </w:r>
      <w:r w:rsidR="006854F8">
        <w:t xml:space="preserve">nd </w:t>
      </w:r>
      <w:r w:rsidR="00B2387F">
        <w:t xml:space="preserve">stage </w:t>
      </w:r>
      <w:r w:rsidR="006854F8">
        <w:t>3B (eGFR 30 to 45mL/min/1.73 </w:t>
      </w:r>
      <w:r w:rsidRPr="00965090">
        <w:t>m</w:t>
      </w:r>
      <w:r w:rsidRPr="00965090">
        <w:rPr>
          <w:vertAlign w:val="superscript"/>
        </w:rPr>
        <w:t>2</w:t>
      </w:r>
      <w:r w:rsidR="00B404E2">
        <w:t>), all cardiovascular</w:t>
      </w:r>
      <w:r w:rsidRPr="00965090">
        <w:t xml:space="preserve"> </w:t>
      </w:r>
      <w:r w:rsidRPr="00965090">
        <w:lastRenderedPageBreak/>
        <w:t>and renal benefits were also seen with similar effect sizes and safety profiles. In Study</w:t>
      </w:r>
      <w:r w:rsidR="00B2387F">
        <w:t> </w:t>
      </w:r>
      <w:r w:rsidRPr="00965090">
        <w:t xml:space="preserve">1245.36, in patients with CKD </w:t>
      </w:r>
      <w:r w:rsidR="00B2387F">
        <w:t xml:space="preserve">stage </w:t>
      </w:r>
      <w:r w:rsidRPr="00965090">
        <w:t>2 (eGFR 60 to 89 mL/min/1.73</w:t>
      </w:r>
      <w:r w:rsidR="005E7273">
        <w:t xml:space="preserve"> </w:t>
      </w:r>
      <w:r w:rsidRPr="00965090">
        <w:t>m</w:t>
      </w:r>
      <w:r w:rsidRPr="00965090">
        <w:rPr>
          <w:vertAlign w:val="superscript"/>
        </w:rPr>
        <w:t>2</w:t>
      </w:r>
      <w:r w:rsidRPr="00965090">
        <w:t>) and CKD</w:t>
      </w:r>
      <w:r w:rsidR="00B2387F">
        <w:t xml:space="preserve"> stage </w:t>
      </w:r>
      <w:r w:rsidRPr="00965090">
        <w:t xml:space="preserve">3, beneficial effects in glycaemic control, body weight and </w:t>
      </w:r>
      <w:r w:rsidR="00702B48">
        <w:t>BP</w:t>
      </w:r>
      <w:r w:rsidRPr="00965090">
        <w:t xml:space="preserve"> were shown.</w:t>
      </w:r>
    </w:p>
    <w:p w14:paraId="0359F57E" w14:textId="0C7488BD" w:rsidR="00965090" w:rsidRPr="00965090" w:rsidRDefault="00965090" w:rsidP="00965090">
      <w:r w:rsidRPr="00965090">
        <w:t>Empagliflozin is a reversible, highly potent and selective compet</w:t>
      </w:r>
      <w:r w:rsidR="00B2387F">
        <w:t xml:space="preserve">itive inhibitor of SGLT2 with a </w:t>
      </w:r>
      <w:r w:rsidR="00B2387F" w:rsidRPr="00B2387F">
        <w:rPr>
          <w:bCs/>
          <w:lang w:val="en-GB"/>
        </w:rPr>
        <w:t>half maximal inhibitory concentration</w:t>
      </w:r>
      <w:r w:rsidRPr="00965090">
        <w:t xml:space="preserve"> </w:t>
      </w:r>
      <w:r w:rsidR="00B2387F">
        <w:t>(</w:t>
      </w:r>
      <w:r w:rsidRPr="00965090">
        <w:t>IC</w:t>
      </w:r>
      <w:r w:rsidRPr="00965090">
        <w:rPr>
          <w:vertAlign w:val="subscript"/>
        </w:rPr>
        <w:t>50</w:t>
      </w:r>
      <w:r w:rsidR="00B2387F">
        <w:t xml:space="preserve">) </w:t>
      </w:r>
      <w:r w:rsidRPr="00965090">
        <w:t xml:space="preserve">of 1.3 nM. It is highly selective over SGLT1 and other glucose transporters. Empagliflozin improves glycaemic control in patients with T2DM by reducing glucose reabsorption. The amount of glucose removed by the kidney is dependent on the blood glucose concentration and GFR. Urinary glucose loss is accompanied by a reduction in body weight, presumably due to caloric loss. The glycosuria is also associated with a sustained and modest reduction in </w:t>
      </w:r>
      <w:r w:rsidR="00702B48">
        <w:t>BP</w:t>
      </w:r>
      <w:r w:rsidRPr="00965090">
        <w:t>.</w:t>
      </w:r>
    </w:p>
    <w:p w14:paraId="1434D759" w14:textId="77777777" w:rsidR="00605AD4" w:rsidRDefault="00605AD4" w:rsidP="00605AD4">
      <w:pPr>
        <w:pStyle w:val="Heading4"/>
      </w:pPr>
      <w:r w:rsidRPr="00605AD4">
        <w:t>Guidance</w:t>
      </w:r>
    </w:p>
    <w:p w14:paraId="50A429D9" w14:textId="303B97C4" w:rsidR="00965090" w:rsidRPr="00965090" w:rsidRDefault="00965090" w:rsidP="00965090">
      <w:r w:rsidRPr="00965090">
        <w:t>The trial design and analysis stra</w:t>
      </w:r>
      <w:r w:rsidR="00C144E6">
        <w:t>tegy for the EMPA-</w:t>
      </w:r>
      <w:r w:rsidRPr="00965090">
        <w:t>REG OUTCOME study was based on FDA and EMA diabetes guidance outcome documents.</w:t>
      </w:r>
    </w:p>
    <w:p w14:paraId="44E65222" w14:textId="77777777" w:rsidR="00965090" w:rsidRPr="00965090" w:rsidRDefault="00965090" w:rsidP="00965090">
      <w:r w:rsidRPr="00965090">
        <w:t>The sponsor refers to the document:</w:t>
      </w:r>
    </w:p>
    <w:p w14:paraId="52E9B632" w14:textId="228DEB2E" w:rsidR="00965090" w:rsidRPr="00965090" w:rsidRDefault="00965090" w:rsidP="0062110B">
      <w:pPr>
        <w:pStyle w:val="ListBullet"/>
      </w:pPr>
      <w:r w:rsidRPr="00965090">
        <w:t xml:space="preserve">Guidance for industry: Diabetes mellitus: evaluating cardiovascular risk in new antidiabetic therapies to treat type 2 diabetes (December 2008). Silver Spring: U.S. Department of Health and Human Services, </w:t>
      </w:r>
      <w:r w:rsidR="007569C5">
        <w:t>FDA, Cent</w:t>
      </w:r>
      <w:r w:rsidRPr="00965090">
        <w:t>e</w:t>
      </w:r>
      <w:r w:rsidR="007569C5">
        <w:t>rs</w:t>
      </w:r>
      <w:r w:rsidRPr="00965090">
        <w:t xml:space="preserve"> for Drug Evaluation and Research (CDER). 2008.</w:t>
      </w:r>
    </w:p>
    <w:p w14:paraId="6AFF7FD1" w14:textId="77777777" w:rsidR="00965090" w:rsidRPr="00965090" w:rsidRDefault="00965090" w:rsidP="00965090">
      <w:r w:rsidRPr="00965090">
        <w:t>The evaluator used the guidance document:</w:t>
      </w:r>
    </w:p>
    <w:p w14:paraId="5D1D85D5" w14:textId="61A1EB92" w:rsidR="00965090" w:rsidRPr="00965090" w:rsidRDefault="00965090" w:rsidP="0062110B">
      <w:pPr>
        <w:pStyle w:val="ListBullet"/>
      </w:pPr>
      <w:r w:rsidRPr="00965090">
        <w:t>EMEA/</w:t>
      </w:r>
      <w:r w:rsidR="002E2E5A" w:rsidRPr="00965090">
        <w:t>CHM</w:t>
      </w:r>
      <w:r w:rsidR="002E2E5A">
        <w:t>P</w:t>
      </w:r>
      <w:r w:rsidRPr="00965090">
        <w:t>/EWP/311890/2007: Guideline on the evaluation of medicinal products for cardiovascular disease prevention.</w:t>
      </w:r>
    </w:p>
    <w:p w14:paraId="4A361B97" w14:textId="77777777" w:rsidR="00605AD4" w:rsidRDefault="00605AD4" w:rsidP="00605AD4">
      <w:pPr>
        <w:pStyle w:val="Heading4"/>
      </w:pPr>
      <w:r w:rsidRPr="00605AD4">
        <w:t>Contents of the clinical dossier</w:t>
      </w:r>
    </w:p>
    <w:p w14:paraId="7A32FD16" w14:textId="77777777" w:rsidR="0062110B" w:rsidRPr="0062110B" w:rsidRDefault="0062110B" w:rsidP="0062110B">
      <w:r w:rsidRPr="0062110B">
        <w:t>The submission contained the following clinical information:</w:t>
      </w:r>
    </w:p>
    <w:p w14:paraId="11243B31" w14:textId="7D7DC57E" w:rsidR="0062110B" w:rsidRPr="0062110B" w:rsidRDefault="0062110B" w:rsidP="0062110B">
      <w:pPr>
        <w:pStyle w:val="ListBullet"/>
      </w:pPr>
      <w:r w:rsidRPr="0062110B">
        <w:t>Study 1245.25</w:t>
      </w:r>
      <w:r>
        <w:t xml:space="preserve"> (also known as the EMPA-REG OUTCOME study)</w:t>
      </w:r>
      <w:r w:rsidRPr="0062110B">
        <w:t>: A Phase III, multicentre, international, randomised, parallel group, double blind cardiovascular safety study of BI 10773 (10 and 25 mg administered orally once daily) compared to usual care in type 2 diabetes mellitus patients with i</w:t>
      </w:r>
      <w:r w:rsidR="00836761">
        <w:t>ncreased cardiovascular risk.</w:t>
      </w:r>
    </w:p>
    <w:p w14:paraId="2D24DCAF" w14:textId="0EA2A480" w:rsidR="0062110B" w:rsidRPr="0062110B" w:rsidRDefault="0062110B" w:rsidP="0062110B">
      <w:pPr>
        <w:pStyle w:val="ListBullet"/>
      </w:pPr>
      <w:r w:rsidRPr="0062110B">
        <w:t>A Clinical Overview and Clinical Summary</w:t>
      </w:r>
      <w:r w:rsidR="00836761">
        <w:t>.</w:t>
      </w:r>
    </w:p>
    <w:p w14:paraId="18CD5AC8" w14:textId="77777777" w:rsidR="00605AD4" w:rsidRDefault="00605AD4" w:rsidP="00605AD4">
      <w:pPr>
        <w:pStyle w:val="Heading4"/>
      </w:pPr>
      <w:r w:rsidRPr="00605AD4">
        <w:t>Paediatric data</w:t>
      </w:r>
    </w:p>
    <w:p w14:paraId="1F7BADF4" w14:textId="0C5E0997" w:rsidR="0062110B" w:rsidRPr="005D2D88" w:rsidRDefault="0062110B" w:rsidP="0062110B">
      <w:pPr>
        <w:rPr>
          <w:lang w:eastAsia="ja-JP"/>
        </w:rPr>
      </w:pPr>
      <w:r w:rsidRPr="005D2D88">
        <w:rPr>
          <w:lang w:eastAsia="ja-JP"/>
        </w:rPr>
        <w:t>There was no paediatric data submitted.</w:t>
      </w:r>
      <w:r w:rsidR="00836761">
        <w:rPr>
          <w:lang w:eastAsia="ja-JP"/>
        </w:rPr>
        <w:t xml:space="preserve"> E</w:t>
      </w:r>
      <w:r>
        <w:rPr>
          <w:lang w:eastAsia="ja-JP"/>
        </w:rPr>
        <w:t xml:space="preserve">mpagliflozin </w:t>
      </w:r>
      <w:r w:rsidRPr="005D2D88">
        <w:rPr>
          <w:lang w:eastAsia="ja-JP"/>
        </w:rPr>
        <w:t>is currently not registered for use in children.</w:t>
      </w:r>
    </w:p>
    <w:p w14:paraId="66CD3AF0" w14:textId="1CCC14B0" w:rsidR="0062110B" w:rsidRPr="005D2D88" w:rsidRDefault="0062110B" w:rsidP="0062110B">
      <w:pPr>
        <w:rPr>
          <w:lang w:eastAsia="ja-JP"/>
        </w:rPr>
      </w:pPr>
      <w:r w:rsidRPr="005D2D88">
        <w:rPr>
          <w:lang w:eastAsia="ja-JP"/>
        </w:rPr>
        <w:t>In the EU, a paediatric investigation plan</w:t>
      </w:r>
      <w:r>
        <w:rPr>
          <w:lang w:eastAsia="ja-JP"/>
        </w:rPr>
        <w:t xml:space="preserve"> </w:t>
      </w:r>
      <w:r w:rsidR="00F516EA">
        <w:rPr>
          <w:lang w:eastAsia="ja-JP"/>
        </w:rPr>
        <w:t>(PIP) waiver request for cardiovascular</w:t>
      </w:r>
      <w:r w:rsidRPr="005D2D88">
        <w:rPr>
          <w:lang w:eastAsia="ja-JP"/>
        </w:rPr>
        <w:t xml:space="preserve"> protection was submitted in Dec</w:t>
      </w:r>
      <w:r>
        <w:rPr>
          <w:lang w:eastAsia="ja-JP"/>
        </w:rPr>
        <w:t>ember</w:t>
      </w:r>
      <w:r w:rsidRPr="005D2D88">
        <w:rPr>
          <w:lang w:eastAsia="ja-JP"/>
        </w:rPr>
        <w:t xml:space="preserve"> 2014. This was subsequently withdrawn based on information received from the </w:t>
      </w:r>
      <w:r w:rsidR="00836761">
        <w:rPr>
          <w:lang w:eastAsia="ja-JP"/>
        </w:rPr>
        <w:t>Paediatric Committee (</w:t>
      </w:r>
      <w:r w:rsidRPr="005D2D88">
        <w:rPr>
          <w:lang w:eastAsia="ja-JP"/>
        </w:rPr>
        <w:t>PDCO</w:t>
      </w:r>
      <w:r w:rsidR="00836761">
        <w:rPr>
          <w:lang w:eastAsia="ja-JP"/>
        </w:rPr>
        <w:t xml:space="preserve">) of the </w:t>
      </w:r>
      <w:r w:rsidRPr="005D2D88">
        <w:rPr>
          <w:lang w:eastAsia="ja-JP"/>
        </w:rPr>
        <w:t>EMA in March 2015. The proposed indication in adults</w:t>
      </w:r>
      <w:r w:rsidR="00F516EA">
        <w:rPr>
          <w:lang w:eastAsia="ja-JP"/>
        </w:rPr>
        <w:t>:</w:t>
      </w:r>
      <w:r w:rsidRPr="005D2D88">
        <w:rPr>
          <w:lang w:eastAsia="ja-JP"/>
        </w:rPr>
        <w:t xml:space="preserve"> ‘</w:t>
      </w:r>
      <w:r w:rsidRPr="00F516EA">
        <w:rPr>
          <w:i/>
          <w:lang w:eastAsia="ja-JP"/>
        </w:rPr>
        <w:t>Reduction of cardiovascular morbidity in adults with type 2 diabetes mellitus who also have CV risk factors or established CV disease’</w:t>
      </w:r>
      <w:r w:rsidRPr="005D2D88">
        <w:rPr>
          <w:lang w:eastAsia="ja-JP"/>
        </w:rPr>
        <w:t xml:space="preserve"> was considered by PDCO </w:t>
      </w:r>
      <w:r>
        <w:rPr>
          <w:lang w:eastAsia="ja-JP"/>
        </w:rPr>
        <w:t>to be covered by the condition</w:t>
      </w:r>
      <w:r w:rsidR="00F516EA">
        <w:rPr>
          <w:lang w:eastAsia="ja-JP"/>
        </w:rPr>
        <w:t>.</w:t>
      </w:r>
      <w:r>
        <w:rPr>
          <w:lang w:eastAsia="ja-JP"/>
        </w:rPr>
        <w:t xml:space="preserve"> ‘</w:t>
      </w:r>
      <w:r w:rsidRPr="00F516EA">
        <w:rPr>
          <w:i/>
          <w:lang w:eastAsia="ja-JP"/>
        </w:rPr>
        <w:t>Treatment of type 2 diabetes mellitus’</w:t>
      </w:r>
      <w:r w:rsidRPr="005D2D88">
        <w:rPr>
          <w:lang w:eastAsia="ja-JP"/>
        </w:rPr>
        <w:t xml:space="preserve"> in the already agreed PIP as the tar</w:t>
      </w:r>
      <w:r>
        <w:rPr>
          <w:lang w:eastAsia="ja-JP"/>
        </w:rPr>
        <w:t>get population will not change.</w:t>
      </w:r>
    </w:p>
    <w:p w14:paraId="6A5AE619" w14:textId="7F5D5B92" w:rsidR="0062110B" w:rsidRPr="005D2D88" w:rsidRDefault="00836761" w:rsidP="0062110B">
      <w:pPr>
        <w:rPr>
          <w:lang w:eastAsia="ja-JP"/>
        </w:rPr>
      </w:pPr>
      <w:r>
        <w:rPr>
          <w:lang w:eastAsia="ja-JP"/>
        </w:rPr>
        <w:t>In the US</w:t>
      </w:r>
      <w:r w:rsidR="0062110B" w:rsidRPr="005D2D88">
        <w:rPr>
          <w:lang w:eastAsia="ja-JP"/>
        </w:rPr>
        <w:t>, the sponsor does not have a paediatric plan under the paediatri</w:t>
      </w:r>
      <w:r>
        <w:rPr>
          <w:lang w:eastAsia="ja-JP"/>
        </w:rPr>
        <w:t>c research equity act in the US</w:t>
      </w:r>
      <w:r w:rsidR="0062110B" w:rsidRPr="005D2D88">
        <w:rPr>
          <w:lang w:eastAsia="ja-JP"/>
        </w:rPr>
        <w:t>. The sponsor submitted a request for a full waiver on 16 Sept</w:t>
      </w:r>
      <w:r w:rsidR="0062110B">
        <w:rPr>
          <w:lang w:eastAsia="ja-JP"/>
        </w:rPr>
        <w:t>ember</w:t>
      </w:r>
      <w:r w:rsidR="0062110B" w:rsidRPr="005D2D88">
        <w:rPr>
          <w:lang w:eastAsia="ja-JP"/>
        </w:rPr>
        <w:t xml:space="preserve"> 2015, and </w:t>
      </w:r>
      <w:r w:rsidR="000E32D9">
        <w:rPr>
          <w:lang w:eastAsia="ja-JP"/>
        </w:rPr>
        <w:t xml:space="preserve">it </w:t>
      </w:r>
      <w:r w:rsidR="0062110B" w:rsidRPr="005D2D88">
        <w:rPr>
          <w:lang w:eastAsia="ja-JP"/>
        </w:rPr>
        <w:t xml:space="preserve">is under review. The sponsor </w:t>
      </w:r>
      <w:r w:rsidR="0062110B">
        <w:rPr>
          <w:lang w:eastAsia="ja-JP"/>
        </w:rPr>
        <w:t>does not have an ‘agreed plan’ as of yet.</w:t>
      </w:r>
      <w:r w:rsidR="002E2E5A">
        <w:rPr>
          <w:rStyle w:val="FootnoteReference"/>
          <w:lang w:eastAsia="ja-JP"/>
        </w:rPr>
        <w:footnoteReference w:id="5"/>
      </w:r>
    </w:p>
    <w:p w14:paraId="0FD95417" w14:textId="28F2689F" w:rsidR="0062110B" w:rsidRPr="0062110B" w:rsidRDefault="0062110B" w:rsidP="0062110B">
      <w:pPr>
        <w:rPr>
          <w:lang w:eastAsia="ja-JP"/>
        </w:rPr>
      </w:pPr>
      <w:r w:rsidRPr="005D2D88">
        <w:rPr>
          <w:lang w:eastAsia="ja-JP"/>
        </w:rPr>
        <w:lastRenderedPageBreak/>
        <w:t xml:space="preserve">Children as young as 10 years do develop </w:t>
      </w:r>
      <w:r w:rsidR="00836761">
        <w:rPr>
          <w:lang w:eastAsia="ja-JP"/>
        </w:rPr>
        <w:t>T2DM</w:t>
      </w:r>
      <w:r w:rsidRPr="005D2D88">
        <w:rPr>
          <w:lang w:eastAsia="ja-JP"/>
        </w:rPr>
        <w:t>, most commonly when there are other risk factors such as obesity, family history and racial factors. Currently only metformin and insulin are approved for use in children. Although the investigation of the use of</w:t>
      </w:r>
      <w:r>
        <w:rPr>
          <w:lang w:eastAsia="ja-JP"/>
        </w:rPr>
        <w:t xml:space="preserve"> empagliflozin </w:t>
      </w:r>
      <w:r w:rsidRPr="005D2D88">
        <w:rPr>
          <w:lang w:eastAsia="ja-JP"/>
        </w:rPr>
        <w:t xml:space="preserve">and other drugs for the management of </w:t>
      </w:r>
      <w:r w:rsidR="00836761">
        <w:rPr>
          <w:lang w:eastAsia="ja-JP"/>
        </w:rPr>
        <w:t>T2DM</w:t>
      </w:r>
      <w:r w:rsidRPr="005D2D88">
        <w:rPr>
          <w:lang w:eastAsia="ja-JP"/>
        </w:rPr>
        <w:t xml:space="preserve"> is important, it is likely that glycaemic control and surrogate cardiovascular endpoints will be used in clinical trials. The age at which agents be used to treat other cardiovascular risk factors (such as obesity, hyperlipidaemia and hypertension) is not well established and tends to be based on surrogate markers, relatively short periods of follow up an</w:t>
      </w:r>
      <w:r>
        <w:rPr>
          <w:lang w:eastAsia="ja-JP"/>
        </w:rPr>
        <w:t>d extrapolation of adult data.</w:t>
      </w:r>
    </w:p>
    <w:p w14:paraId="192065DA" w14:textId="77777777" w:rsidR="00605AD4" w:rsidRDefault="00605AD4" w:rsidP="00605AD4">
      <w:pPr>
        <w:pStyle w:val="Heading4"/>
      </w:pPr>
      <w:r w:rsidRPr="00605AD4">
        <w:t>Good clinical practice</w:t>
      </w:r>
    </w:p>
    <w:p w14:paraId="622B75E4" w14:textId="07728C7C" w:rsidR="0062110B" w:rsidRPr="0062110B" w:rsidRDefault="0062110B" w:rsidP="0062110B">
      <w:pPr>
        <w:rPr>
          <w:lang w:eastAsia="ja-JP"/>
        </w:rPr>
      </w:pPr>
      <w:bookmarkStart w:id="46" w:name="_Toc241374282"/>
      <w:r>
        <w:rPr>
          <w:lang w:eastAsia="ja-JP"/>
        </w:rPr>
        <w:t>Prior to the start of S</w:t>
      </w:r>
      <w:r w:rsidRPr="00AA150A">
        <w:rPr>
          <w:lang w:eastAsia="ja-JP"/>
        </w:rPr>
        <w:t>tudy 1245.25</w:t>
      </w:r>
      <w:r>
        <w:rPr>
          <w:lang w:eastAsia="ja-JP"/>
        </w:rPr>
        <w:t>/EMPA-REG OUTCOME study</w:t>
      </w:r>
      <w:r w:rsidRPr="00AA150A">
        <w:rPr>
          <w:lang w:eastAsia="ja-JP"/>
        </w:rPr>
        <w:t>, the clinical trial protocol, patient review information leaflet, consent form and other documents were reviewed by the Independent Ethics Committee</w:t>
      </w:r>
      <w:r>
        <w:rPr>
          <w:lang w:eastAsia="ja-JP"/>
        </w:rPr>
        <w:t xml:space="preserve"> (IEC)</w:t>
      </w:r>
      <w:r w:rsidRPr="00AA150A">
        <w:rPr>
          <w:lang w:eastAsia="ja-JP"/>
        </w:rPr>
        <w:t xml:space="preserve">/Institutional Review Boards </w:t>
      </w:r>
      <w:r>
        <w:rPr>
          <w:lang w:eastAsia="ja-JP"/>
        </w:rPr>
        <w:t>(IRB) f</w:t>
      </w:r>
      <w:r w:rsidRPr="00AA150A">
        <w:rPr>
          <w:lang w:eastAsia="ja-JP"/>
        </w:rPr>
        <w:t>or each p</w:t>
      </w:r>
      <w:r>
        <w:rPr>
          <w:lang w:eastAsia="ja-JP"/>
        </w:rPr>
        <w:t xml:space="preserve">articipating site. The IEC and </w:t>
      </w:r>
      <w:r w:rsidRPr="00AA150A">
        <w:rPr>
          <w:lang w:eastAsia="ja-JP"/>
        </w:rPr>
        <w:t>IRBs met the requirements of the International C</w:t>
      </w:r>
      <w:r>
        <w:rPr>
          <w:lang w:eastAsia="ja-JP"/>
        </w:rPr>
        <w:t>onference on H</w:t>
      </w:r>
      <w:r w:rsidRPr="00AA150A">
        <w:rPr>
          <w:lang w:eastAsia="ja-JP"/>
        </w:rPr>
        <w:t>armonisation</w:t>
      </w:r>
      <w:r w:rsidR="00836761">
        <w:rPr>
          <w:lang w:eastAsia="ja-JP"/>
        </w:rPr>
        <w:t xml:space="preserve"> (ICH)</w:t>
      </w:r>
      <w:r w:rsidRPr="00AA150A">
        <w:rPr>
          <w:lang w:eastAsia="ja-JP"/>
        </w:rPr>
        <w:t xml:space="preserve"> Harmonised Tripartite Guidel</w:t>
      </w:r>
      <w:r>
        <w:rPr>
          <w:lang w:eastAsia="ja-JP"/>
        </w:rPr>
        <w:t>ine for Good Clinical Practice</w:t>
      </w:r>
      <w:r w:rsidR="00836761">
        <w:rPr>
          <w:lang w:eastAsia="ja-JP"/>
        </w:rPr>
        <w:t xml:space="preserve"> (GCP)</w:t>
      </w:r>
      <w:r>
        <w:rPr>
          <w:lang w:eastAsia="ja-JP"/>
        </w:rPr>
        <w:t>.</w:t>
      </w:r>
      <w:bookmarkEnd w:id="46"/>
    </w:p>
    <w:p w14:paraId="39702A4F" w14:textId="48AC23B1" w:rsidR="00EC463D" w:rsidRDefault="008E7846" w:rsidP="00733EB9">
      <w:pPr>
        <w:pStyle w:val="Heading3"/>
      </w:pPr>
      <w:bookmarkStart w:id="47" w:name="_Toc497906641"/>
      <w:r w:rsidRPr="00254787">
        <w:t>Pharmacokinetics</w:t>
      </w:r>
      <w:bookmarkEnd w:id="36"/>
      <w:bookmarkEnd w:id="43"/>
      <w:bookmarkEnd w:id="44"/>
      <w:bookmarkEnd w:id="45"/>
      <w:bookmarkEnd w:id="47"/>
    </w:p>
    <w:p w14:paraId="0EE21E09" w14:textId="13A705DB" w:rsidR="00733EB9" w:rsidRPr="00733EB9" w:rsidRDefault="00733EB9" w:rsidP="00733EB9">
      <w:r>
        <w:t>No new data was submitted.</w:t>
      </w:r>
    </w:p>
    <w:p w14:paraId="23B4FDD9" w14:textId="77777777" w:rsidR="008E7846" w:rsidRDefault="008E7846" w:rsidP="008E7846">
      <w:pPr>
        <w:pStyle w:val="Heading3"/>
      </w:pPr>
      <w:bookmarkStart w:id="48" w:name="_Toc196046481"/>
      <w:bookmarkStart w:id="49" w:name="_Toc247691520"/>
      <w:bookmarkStart w:id="50" w:name="_Toc314842503"/>
      <w:bookmarkStart w:id="51" w:name="_Toc497906642"/>
      <w:r w:rsidRPr="00254787">
        <w:t>Pharmacodynamics</w:t>
      </w:r>
      <w:bookmarkEnd w:id="37"/>
      <w:bookmarkEnd w:id="48"/>
      <w:bookmarkEnd w:id="49"/>
      <w:bookmarkEnd w:id="50"/>
      <w:bookmarkEnd w:id="51"/>
    </w:p>
    <w:p w14:paraId="10E1DCBB" w14:textId="13351B40" w:rsidR="00733EB9" w:rsidRPr="00733EB9" w:rsidRDefault="00733EB9" w:rsidP="00733EB9">
      <w:r>
        <w:t>No new data was submitted.</w:t>
      </w:r>
    </w:p>
    <w:p w14:paraId="30051D0F" w14:textId="77777777" w:rsidR="008E7846" w:rsidRDefault="00605AD4" w:rsidP="00605AD4">
      <w:pPr>
        <w:pStyle w:val="Heading3"/>
      </w:pPr>
      <w:bookmarkStart w:id="52" w:name="_Toc497906643"/>
      <w:r>
        <w:t>Dosage selection for the pivotal studies</w:t>
      </w:r>
      <w:bookmarkEnd w:id="52"/>
    </w:p>
    <w:p w14:paraId="3D999EA6" w14:textId="14590C95" w:rsidR="00733EB9" w:rsidRPr="00AA150A" w:rsidRDefault="00733EB9" w:rsidP="00733EB9">
      <w:pPr>
        <w:rPr>
          <w:lang w:eastAsia="ja-JP"/>
        </w:rPr>
      </w:pPr>
      <w:r w:rsidRPr="00AA150A">
        <w:rPr>
          <w:lang w:eastAsia="ja-JP"/>
        </w:rPr>
        <w:t>Randomisation o</w:t>
      </w:r>
      <w:r>
        <w:rPr>
          <w:lang w:eastAsia="ja-JP"/>
        </w:rPr>
        <w:t xml:space="preserve">f dosing was 1:1:1 to placebo, empagliflozin </w:t>
      </w:r>
      <w:r w:rsidRPr="00AA150A">
        <w:rPr>
          <w:lang w:eastAsia="ja-JP"/>
        </w:rPr>
        <w:t>10</w:t>
      </w:r>
      <w:r>
        <w:rPr>
          <w:lang w:eastAsia="ja-JP"/>
        </w:rPr>
        <w:t xml:space="preserve"> mg and 25 mg.</w:t>
      </w:r>
    </w:p>
    <w:p w14:paraId="496824B7" w14:textId="54798683" w:rsidR="00733EB9" w:rsidRPr="00AA150A" w:rsidRDefault="00733EB9" w:rsidP="00733EB9">
      <w:pPr>
        <w:rPr>
          <w:lang w:eastAsia="ja-JP"/>
        </w:rPr>
      </w:pPr>
      <w:r w:rsidRPr="00AA150A">
        <w:rPr>
          <w:lang w:eastAsia="ja-JP"/>
        </w:rPr>
        <w:t xml:space="preserve">The dosing guidelines in the </w:t>
      </w:r>
      <w:r w:rsidR="00445945">
        <w:rPr>
          <w:lang w:eastAsia="ja-JP"/>
        </w:rPr>
        <w:t>Product Information (</w:t>
      </w:r>
      <w:r w:rsidRPr="00AA150A">
        <w:rPr>
          <w:lang w:eastAsia="ja-JP"/>
        </w:rPr>
        <w:t>PI</w:t>
      </w:r>
      <w:r w:rsidR="00445945">
        <w:rPr>
          <w:lang w:eastAsia="ja-JP"/>
        </w:rPr>
        <w:t>)</w:t>
      </w:r>
      <w:r w:rsidRPr="00AA150A">
        <w:rPr>
          <w:lang w:eastAsia="ja-JP"/>
        </w:rPr>
        <w:t xml:space="preserve"> suggest a starting dose of 10</w:t>
      </w:r>
      <w:r>
        <w:rPr>
          <w:lang w:eastAsia="ja-JP"/>
        </w:rPr>
        <w:t xml:space="preserve"> </w:t>
      </w:r>
      <w:r w:rsidRPr="00AA150A">
        <w:rPr>
          <w:lang w:eastAsia="ja-JP"/>
        </w:rPr>
        <w:t>mg and to up titrate the dose on the basis of poor glycaemic control. There were no significant dose effects for the prevent</w:t>
      </w:r>
      <w:r>
        <w:rPr>
          <w:lang w:eastAsia="ja-JP"/>
        </w:rPr>
        <w:t>ion of ‘cardiovascular events’.</w:t>
      </w:r>
    </w:p>
    <w:p w14:paraId="2EE5C886" w14:textId="48E0D48D" w:rsidR="00733EB9" w:rsidRPr="00733EB9" w:rsidRDefault="00733EB9" w:rsidP="00733EB9">
      <w:pPr>
        <w:rPr>
          <w:lang w:eastAsia="ja-JP"/>
        </w:rPr>
      </w:pPr>
      <w:r w:rsidRPr="00AA150A">
        <w:rPr>
          <w:lang w:eastAsia="ja-JP"/>
        </w:rPr>
        <w:t>The dosing used for the clinical trial and in the PI is acceptable for this proposed extension of indication.</w:t>
      </w:r>
    </w:p>
    <w:p w14:paraId="4F38A01D" w14:textId="77777777" w:rsidR="008E7846" w:rsidRPr="00254787" w:rsidRDefault="008E7846" w:rsidP="008E7846">
      <w:pPr>
        <w:pStyle w:val="Heading3"/>
      </w:pPr>
      <w:bookmarkStart w:id="53" w:name="_Toc163441372"/>
      <w:bookmarkStart w:id="54" w:name="_Toc196046485"/>
      <w:bookmarkStart w:id="55" w:name="_Toc247691521"/>
      <w:bookmarkStart w:id="56" w:name="_Toc314842504"/>
      <w:bookmarkStart w:id="57" w:name="_Toc497906644"/>
      <w:r w:rsidRPr="00254787">
        <w:t>Efficacy</w:t>
      </w:r>
      <w:bookmarkEnd w:id="53"/>
      <w:bookmarkEnd w:id="54"/>
      <w:bookmarkEnd w:id="55"/>
      <w:bookmarkEnd w:id="56"/>
      <w:bookmarkEnd w:id="57"/>
    </w:p>
    <w:p w14:paraId="4A63664E" w14:textId="77777777" w:rsidR="00605AD4" w:rsidRDefault="00605AD4" w:rsidP="00605AD4">
      <w:pPr>
        <w:pStyle w:val="Heading4"/>
      </w:pPr>
      <w:bookmarkStart w:id="58" w:name="_Toc184439992"/>
      <w:bookmarkStart w:id="59" w:name="_Toc184440279"/>
      <w:bookmarkStart w:id="60" w:name="_Toc184444657"/>
      <w:bookmarkStart w:id="61" w:name="_Toc196046487"/>
      <w:r>
        <w:t>Studies providing efficacy data</w:t>
      </w:r>
    </w:p>
    <w:p w14:paraId="333D9591" w14:textId="5C9F9CA3" w:rsidR="00B952E1" w:rsidRPr="00B952E1" w:rsidRDefault="00B952E1" w:rsidP="00B952E1">
      <w:r>
        <w:t>The EMPA-REG OUTCOME study provided efficacy data.</w:t>
      </w:r>
    </w:p>
    <w:p w14:paraId="62589C25" w14:textId="77777777" w:rsidR="008E7846" w:rsidRDefault="00605AD4" w:rsidP="00605AD4">
      <w:pPr>
        <w:pStyle w:val="Heading4"/>
      </w:pPr>
      <w:r>
        <w:t>Evaluator’s conclusions on efficacy</w:t>
      </w:r>
    </w:p>
    <w:p w14:paraId="5AE109B1" w14:textId="35D906E3" w:rsidR="00B952E1" w:rsidRPr="00C039BD" w:rsidRDefault="00B952E1" w:rsidP="00B952E1">
      <w:pPr>
        <w:pStyle w:val="Heading5"/>
      </w:pPr>
      <w:r>
        <w:t>Use for the</w:t>
      </w:r>
      <w:r w:rsidRPr="00C039BD">
        <w:t xml:space="preserve"> prevention of cardiovascular events</w:t>
      </w:r>
    </w:p>
    <w:p w14:paraId="063DBBEC" w14:textId="57CC06D6" w:rsidR="00B952E1" w:rsidRPr="00445945" w:rsidRDefault="00B952E1" w:rsidP="00445945">
      <w:pPr>
        <w:rPr>
          <w:lang w:val="en-GB"/>
        </w:rPr>
      </w:pPr>
      <w:r>
        <w:t xml:space="preserve">The EMPA-REG </w:t>
      </w:r>
      <w:r w:rsidR="00445945">
        <w:t xml:space="preserve">OUTCOME </w:t>
      </w:r>
      <w:r>
        <w:t>study was a large, multicentre</w:t>
      </w:r>
      <w:r w:rsidRPr="00C039BD">
        <w:t xml:space="preserve">, </w:t>
      </w:r>
      <w:r w:rsidR="00B66A36">
        <w:t>randomised controlled trial (</w:t>
      </w:r>
      <w:r w:rsidRPr="00C039BD">
        <w:t>RCT</w:t>
      </w:r>
      <w:r w:rsidR="00B66A36">
        <w:t>)</w:t>
      </w:r>
      <w:r w:rsidRPr="00C039BD">
        <w:t xml:space="preserve"> initially designed as a non-inferiority study to assess the cardiovascular safety of</w:t>
      </w:r>
      <w:r>
        <w:t xml:space="preserve"> empagliflozin </w:t>
      </w:r>
      <w:r w:rsidRPr="00C039BD">
        <w:t>in the management of patients with T2DM and poor glycaemic control.</w:t>
      </w:r>
      <w:r>
        <w:t xml:space="preserve"> </w:t>
      </w:r>
      <w:r w:rsidRPr="00C039BD">
        <w:t>The methodology and conduct of the trial was robu</w:t>
      </w:r>
      <w:r>
        <w:t>st. The primary end point was</w:t>
      </w:r>
      <w:r w:rsidR="00445945">
        <w:t xml:space="preserve"> the</w:t>
      </w:r>
      <w:r>
        <w:t xml:space="preserve"> 3-</w:t>
      </w:r>
      <w:r w:rsidRPr="00C039BD">
        <w:t xml:space="preserve">point </w:t>
      </w:r>
      <w:r w:rsidR="00445945">
        <w:t>Major</w:t>
      </w:r>
      <w:r w:rsidR="00445945" w:rsidRPr="00445945">
        <w:rPr>
          <w:lang w:val="en-GB"/>
        </w:rPr>
        <w:t xml:space="preserve"> </w:t>
      </w:r>
      <w:r w:rsidR="00445945">
        <w:rPr>
          <w:lang w:val="en-GB"/>
        </w:rPr>
        <w:t>A</w:t>
      </w:r>
      <w:r w:rsidR="00445945" w:rsidRPr="00445945">
        <w:rPr>
          <w:lang w:val="en-GB"/>
        </w:rPr>
        <w:t xml:space="preserve">dverse </w:t>
      </w:r>
      <w:r w:rsidR="00445945">
        <w:t>Cardiac E</w:t>
      </w:r>
      <w:r w:rsidR="00445945" w:rsidRPr="00445945">
        <w:t>vent (</w:t>
      </w:r>
      <w:r w:rsidRPr="00445945">
        <w:t>MACE</w:t>
      </w:r>
      <w:r w:rsidR="00445945" w:rsidRPr="00445945">
        <w:t>)</w:t>
      </w:r>
      <w:r w:rsidR="00445945">
        <w:t xml:space="preserve"> score</w:t>
      </w:r>
      <w:r w:rsidRPr="00445945">
        <w:t xml:space="preserve">. The main secondary endpoint was </w:t>
      </w:r>
      <w:r w:rsidR="00445945">
        <w:t xml:space="preserve">the </w:t>
      </w:r>
      <w:r w:rsidRPr="00445945">
        <w:t>4-point MACE. Additional secondary endpoints included the compo</w:t>
      </w:r>
      <w:r w:rsidRPr="00C039BD">
        <w:t xml:space="preserve">nents of the MACE, hospitalisation for heart failure, causes of cardiovascular death, glycaemic control, </w:t>
      </w:r>
      <w:r w:rsidR="00702B48">
        <w:t>BP</w:t>
      </w:r>
      <w:r w:rsidRPr="00C039BD">
        <w:t>, weight. Subgroup analysis was performed</w:t>
      </w:r>
      <w:r>
        <w:t xml:space="preserve"> but was explorative in nature.</w:t>
      </w:r>
    </w:p>
    <w:p w14:paraId="095F0070" w14:textId="6F365AC8" w:rsidR="00B952E1" w:rsidRPr="00C039BD" w:rsidRDefault="00B952E1" w:rsidP="00B952E1">
      <w:r w:rsidRPr="00C039BD">
        <w:lastRenderedPageBreak/>
        <w:t>The main inclusion criteria were having T2DM with poor glycaemic control (HbA1c &gt; 7%), eGFR</w:t>
      </w:r>
      <w:r>
        <w:t> </w:t>
      </w:r>
      <w:r w:rsidRPr="00C039BD">
        <w:t>&gt;</w:t>
      </w:r>
      <w:r>
        <w:t xml:space="preserve"> 30 mL</w:t>
      </w:r>
      <w:r w:rsidRPr="00C039BD">
        <w:t>/min/</w:t>
      </w:r>
      <w:r w:rsidR="005E7273">
        <w:t xml:space="preserve">1.73 </w:t>
      </w:r>
      <w:r w:rsidRPr="00C039BD">
        <w:t>m</w:t>
      </w:r>
      <w:r w:rsidRPr="00C039BD">
        <w:rPr>
          <w:vertAlign w:val="superscript"/>
        </w:rPr>
        <w:t>2</w:t>
      </w:r>
      <w:r w:rsidRPr="00C039BD">
        <w:t>, and greater than one cardiac risk factor. The cardiac risk factors were mainly risk factors for macrovascular disease. It is noted that only 10% of patients had a document</w:t>
      </w:r>
      <w:r>
        <w:t>ed history of heart failure at B</w:t>
      </w:r>
      <w:r w:rsidRPr="00C039BD">
        <w:t>aseline. There were no screening tests for cardiac function performed so the true prevalence may be different to this.</w:t>
      </w:r>
    </w:p>
    <w:p w14:paraId="1CA088E7" w14:textId="12AA4910" w:rsidR="00B952E1" w:rsidRPr="00C039BD" w:rsidRDefault="00B952E1" w:rsidP="00B952E1">
      <w:r w:rsidRPr="00C039BD">
        <w:t>The study demonstr</w:t>
      </w:r>
      <w:r>
        <w:t>ated that empagliflozin was non-</w:t>
      </w:r>
      <w:r w:rsidRPr="00C039BD">
        <w:t>inferior to place</w:t>
      </w:r>
      <w:r w:rsidR="00445945">
        <w:t>bo in the prevention of 3 and 4-</w:t>
      </w:r>
      <w:r w:rsidRPr="00C039BD">
        <w:t>point MACE, and also demonstrated superi</w:t>
      </w:r>
      <w:r>
        <w:t>ority to placebo for combined 3-</w:t>
      </w:r>
      <w:r w:rsidRPr="00C039BD">
        <w:t>point MACE. On analysis of individual/component endpoints this was driven by a reduction in cardiovascular mortality and heart failure. The greatest relative risk reduction was in hospitalisation for heart failu</w:t>
      </w:r>
      <w:r>
        <w:t xml:space="preserve">re, death due to heart failure </w:t>
      </w:r>
      <w:r w:rsidRPr="00C039BD">
        <w:t>but the number of events and absolute risk reduction wa</w:t>
      </w:r>
      <w:r>
        <w:t>s small.</w:t>
      </w:r>
    </w:p>
    <w:p w14:paraId="55B0D2F1" w14:textId="06DB7FC1" w:rsidR="00B952E1" w:rsidRPr="00C039BD" w:rsidRDefault="00B952E1" w:rsidP="00B952E1">
      <w:r w:rsidRPr="00C039BD">
        <w:t>There were more patients in the</w:t>
      </w:r>
      <w:r>
        <w:t xml:space="preserve"> empagliflozin </w:t>
      </w:r>
      <w:r w:rsidRPr="00C039BD">
        <w:t xml:space="preserve">group who had silent MI. However no significant different when silent MI and all MI are considered together. The significance of the silent MI group could be questioned due to inability to prove </w:t>
      </w:r>
      <w:r w:rsidR="00445945">
        <w:t>electrocardiogra</w:t>
      </w:r>
      <w:r w:rsidR="00B66A36">
        <w:t>m</w:t>
      </w:r>
      <w:r w:rsidR="00445945">
        <w:t xml:space="preserve"> (</w:t>
      </w:r>
      <w:r w:rsidRPr="00C039BD">
        <w:t>ECG</w:t>
      </w:r>
      <w:r w:rsidR="00445945">
        <w:t>)</w:t>
      </w:r>
      <w:r w:rsidRPr="00C039BD">
        <w:t xml:space="preserve"> changes are due to infarction, and exclusion of a large numb</w:t>
      </w:r>
      <w:r>
        <w:t>er of patients in the analysis.</w:t>
      </w:r>
    </w:p>
    <w:p w14:paraId="7B995D43" w14:textId="361AC007" w:rsidR="00B952E1" w:rsidRPr="00C039BD" w:rsidRDefault="00B952E1" w:rsidP="00B952E1">
      <w:r w:rsidRPr="00C039BD">
        <w:t>The reduction in cardiovascular mortality occurred early after the onset of the study, within 90 days, and persisted for the duration. It was largely attributed to a reduction in deaths due to worsening of heart failure. There was also a statistically significant reduction in hospitalisation due to heart failure. There was no significant difference in the rates of MI or coronary revascularisation procedures. There was no significant difference in the incidenc</w:t>
      </w:r>
      <w:r>
        <w:t xml:space="preserve">e of stroke or </w:t>
      </w:r>
      <w:r w:rsidR="00445945">
        <w:t>transient ischemic attack (</w:t>
      </w:r>
      <w:r>
        <w:t>TIA</w:t>
      </w:r>
      <w:r w:rsidR="00445945">
        <w:t>)</w:t>
      </w:r>
      <w:r>
        <w:t xml:space="preserve"> between the empagliflozin </w:t>
      </w:r>
      <w:r w:rsidRPr="00C039BD">
        <w:t>and placebo groups. Numerically, the</w:t>
      </w:r>
      <w:r>
        <w:t xml:space="preserve">re were more in strokes in the empagliflozin </w:t>
      </w:r>
      <w:r w:rsidRPr="00C039BD">
        <w:t>group, but more deaths due to stroke in the placebo group.</w:t>
      </w:r>
    </w:p>
    <w:p w14:paraId="459BBAE4" w14:textId="2DC0C570" w:rsidR="00B952E1" w:rsidRPr="00C039BD" w:rsidRDefault="00B952E1" w:rsidP="00B952E1">
      <w:r>
        <w:t xml:space="preserve">Treatment with empagliflozin </w:t>
      </w:r>
      <w:r w:rsidRPr="00C039BD">
        <w:t>resulted in a significant reduction in new onset and worsening or nephrop</w:t>
      </w:r>
      <w:r>
        <w:t>athy and stabilisation of eGFR.</w:t>
      </w:r>
      <w:r w:rsidRPr="00C039BD">
        <w:t xml:space="preserve"> There are plausible pathophysiologic</w:t>
      </w:r>
      <w:r>
        <w:t>al mechanisms by which the SGLT</w:t>
      </w:r>
      <w:r w:rsidRPr="00C039BD">
        <w:t xml:space="preserve">2 inhibitors may be beneficial to the kidney in patients with diabetes. In patients with diabetes, hyperglycaemia leads to increased filtered glucose load at the proximal tubule and an increased SGLT2 </w:t>
      </w:r>
      <w:r w:rsidR="00B66A36">
        <w:t>m</w:t>
      </w:r>
      <w:r w:rsidR="00B66A36" w:rsidRPr="00B66A36">
        <w:t>essenger Ribonucleic Acid</w:t>
      </w:r>
      <w:r w:rsidR="00B66A36">
        <w:t xml:space="preserve"> (</w:t>
      </w:r>
      <w:r w:rsidRPr="00C039BD">
        <w:t>mRNA</w:t>
      </w:r>
      <w:r w:rsidR="00B66A36">
        <w:t>)</w:t>
      </w:r>
      <w:r w:rsidRPr="00C039BD">
        <w:t xml:space="preserve"> expression. This causes more glucose and sodium reabsorption, reduced sodium delivery to the macular densa, less </w:t>
      </w:r>
      <w:r w:rsidR="00B66A36" w:rsidRPr="00B66A36">
        <w:t>Adenosine triphosphate</w:t>
      </w:r>
      <w:r w:rsidR="00B66A36">
        <w:t xml:space="preserve"> (</w:t>
      </w:r>
      <w:r w:rsidRPr="00C039BD">
        <w:t>ATP</w:t>
      </w:r>
      <w:r w:rsidR="00B66A36">
        <w:t>)</w:t>
      </w:r>
      <w:r w:rsidRPr="00C039BD">
        <w:t>, less vasoconstriction, and hyperfiltration. SGLT2 inhibitors have been shown to reverse this in animal and human trials, with an associated decrease then plateau of GFR.</w:t>
      </w:r>
      <w:r w:rsidR="00B9732B">
        <w:rPr>
          <w:rStyle w:val="FootnoteReference"/>
        </w:rPr>
        <w:footnoteReference w:id="6"/>
      </w:r>
    </w:p>
    <w:p w14:paraId="025D97DF" w14:textId="77777777" w:rsidR="00B952E1" w:rsidRPr="00C039BD" w:rsidRDefault="00B952E1" w:rsidP="00B952E1">
      <w:r w:rsidRPr="00C039BD">
        <w:t>There was no significant difference in the development or progression of diabetic</w:t>
      </w:r>
      <w:r>
        <w:t xml:space="preserve"> eye disease.</w:t>
      </w:r>
    </w:p>
    <w:p w14:paraId="5B97EDB9" w14:textId="7C1B8887" w:rsidR="00B952E1" w:rsidRPr="00C039BD" w:rsidRDefault="00B952E1" w:rsidP="00B952E1">
      <w:r w:rsidRPr="00C039BD">
        <w:t>There was an initial improvement in HbA1c in the</w:t>
      </w:r>
      <w:r>
        <w:t xml:space="preserve"> empagliflozin </w:t>
      </w:r>
      <w:r w:rsidRPr="00C039BD">
        <w:t xml:space="preserve">treatment group, flowed by a slow increase in HbA1c. Weight and </w:t>
      </w:r>
      <w:r w:rsidR="00B66A36">
        <w:t>systolic BP (</w:t>
      </w:r>
      <w:r w:rsidRPr="00C039BD">
        <w:t>SBP</w:t>
      </w:r>
      <w:r w:rsidR="00B66A36">
        <w:t>)</w:t>
      </w:r>
      <w:r w:rsidRPr="00C039BD">
        <w:t xml:space="preserve"> had a similar pattern. More patients in the placebo group received rescue medication for poor glycaemic control (50% compared with 34%), it is noted that there were more patients in the placebo group who comm</w:t>
      </w:r>
      <w:r w:rsidR="003E2409">
        <w:t xml:space="preserve">enced treatment with insulin, </w:t>
      </w:r>
      <w:r w:rsidR="00B66A36" w:rsidRPr="00B66A36">
        <w:t>dipeptidyl peptidase 4</w:t>
      </w:r>
      <w:r w:rsidR="00B66A36">
        <w:t xml:space="preserve"> (</w:t>
      </w:r>
      <w:r w:rsidR="003E2409">
        <w:t>DP</w:t>
      </w:r>
      <w:r w:rsidRPr="00C039BD">
        <w:t>P-</w:t>
      </w:r>
      <w:r w:rsidR="006769C1">
        <w:t>4</w:t>
      </w:r>
      <w:r w:rsidR="00B66A36">
        <w:t>)</w:t>
      </w:r>
      <w:r w:rsidRPr="00C039BD">
        <w:t xml:space="preserve"> inhibitor</w:t>
      </w:r>
      <w:r w:rsidR="006769C1">
        <w:t>s</w:t>
      </w:r>
      <w:r w:rsidRPr="00C039BD">
        <w:t xml:space="preserve">, </w:t>
      </w:r>
      <w:r w:rsidR="00B66A36" w:rsidRPr="00B66A36">
        <w:t>glucose-dependent insulinotropic pe</w:t>
      </w:r>
      <w:r w:rsidR="00B66A36">
        <w:t>ptide (</w:t>
      </w:r>
      <w:r w:rsidRPr="00C039BD">
        <w:t>GLP-1</w:t>
      </w:r>
      <w:r w:rsidR="00B66A36">
        <w:t>)</w:t>
      </w:r>
      <w:r w:rsidRPr="00C039BD">
        <w:t xml:space="preserve"> agonist</w:t>
      </w:r>
      <w:r w:rsidR="006769C1">
        <w:t>s</w:t>
      </w:r>
      <w:r w:rsidRPr="00C039BD">
        <w:t xml:space="preserve"> or a glitazone. Some of these drugs are known to cause fluid retention and may have exacerbated any heart failure.</w:t>
      </w:r>
    </w:p>
    <w:p w14:paraId="6E87B663" w14:textId="5763279D" w:rsidR="00B952E1" w:rsidRPr="00C039BD" w:rsidRDefault="00B952E1" w:rsidP="00B952E1">
      <w:r w:rsidRPr="00C039BD">
        <w:t>Although an improvement in cardiovascular mortality cannot be disputed, the absolute risk reduction is small (around 2%). There were a large number of patients who died from a cardiovascular event where the cause of the event was unknown.</w:t>
      </w:r>
      <w:r>
        <w:t xml:space="preserve"> </w:t>
      </w:r>
      <w:r w:rsidRPr="00C039BD">
        <w:t xml:space="preserve">The greatest risk reduction appeared to be in the prevention of deterioration of heart failure and hospitalisation due to heart failure, but these numbers were </w:t>
      </w:r>
      <w:r>
        <w:t xml:space="preserve">small. Haemodynamic effects </w:t>
      </w:r>
      <w:r>
        <w:lastRenderedPageBreak/>
        <w:t>of e</w:t>
      </w:r>
      <w:r w:rsidRPr="00C039BD">
        <w:t>mpagliflozin in reducing pre</w:t>
      </w:r>
      <w:r>
        <w:t>- and after-</w:t>
      </w:r>
      <w:r w:rsidRPr="00C039BD">
        <w:t>load are likely to be re</w:t>
      </w:r>
      <w:r>
        <w:t>sponsible for this</w:t>
      </w:r>
      <w:r w:rsidRPr="00C039BD">
        <w:t>.</w:t>
      </w:r>
      <w:r>
        <w:rPr>
          <w:rStyle w:val="FootnoteReference"/>
        </w:rPr>
        <w:footnoteReference w:id="7"/>
      </w:r>
      <w:r w:rsidRPr="00C039BD">
        <w:t xml:space="preserve"> This would not only reduce death due to heart failure from fluid overload, but also reduce the rate of sudden death from arrhythmia due to less ‘stretch’. Unlike other diuretics, there was no increase in potassium, heart rate of uric acid.</w:t>
      </w:r>
      <w:r>
        <w:t xml:space="preserve"> </w:t>
      </w:r>
      <w:r w:rsidRPr="00C039BD">
        <w:t>There does not appear to be a significant effect of the rate of macrovascular disease (</w:t>
      </w:r>
      <w:r w:rsidR="00B66A36" w:rsidRPr="00B66A36">
        <w:t xml:space="preserve">Myocardial infarction </w:t>
      </w:r>
      <w:r w:rsidR="00B66A36">
        <w:t>(</w:t>
      </w:r>
      <w:r w:rsidRPr="00C039BD">
        <w:t>MI</w:t>
      </w:r>
      <w:r w:rsidR="00B66A36">
        <w:t>)</w:t>
      </w:r>
      <w:r w:rsidRPr="00C039BD">
        <w:t xml:space="preserve">, unstable angina, </w:t>
      </w:r>
      <w:r w:rsidR="00B9732B" w:rsidRPr="00C039BD">
        <w:t>and need</w:t>
      </w:r>
      <w:r w:rsidRPr="00C039BD">
        <w:t xml:space="preserve"> for revascularisation proce</w:t>
      </w:r>
      <w:r>
        <w:t>dures) between the two groups.</w:t>
      </w:r>
    </w:p>
    <w:p w14:paraId="676CDF2F" w14:textId="29C90376" w:rsidR="00B952E1" w:rsidRPr="006769C1" w:rsidRDefault="00B952E1" w:rsidP="006769C1">
      <w:pPr>
        <w:rPr>
          <w:lang w:val="en-GB"/>
        </w:rPr>
      </w:pPr>
      <w:r w:rsidRPr="00C039BD">
        <w:t>The car</w:t>
      </w:r>
      <w:r>
        <w:t xml:space="preserve">diovascular benefits seen with empagliflozin </w:t>
      </w:r>
      <w:r w:rsidRPr="00C039BD">
        <w:t>are in addition to the use of other medications to reduce cardiovascular risk (</w:t>
      </w:r>
      <w:r>
        <w:t>that is, statin</w:t>
      </w:r>
      <w:r w:rsidRPr="00C039BD">
        <w:t xml:space="preserve">s, </w:t>
      </w:r>
      <w:r w:rsidR="006769C1">
        <w:rPr>
          <w:lang w:val="en-GB"/>
        </w:rPr>
        <w:t xml:space="preserve">angiotensin converting </w:t>
      </w:r>
      <w:r w:rsidR="006769C1" w:rsidRPr="006769C1">
        <w:rPr>
          <w:lang w:val="en-GB"/>
        </w:rPr>
        <w:t>enzyme</w:t>
      </w:r>
      <w:r w:rsidR="006769C1">
        <w:rPr>
          <w:lang w:val="en-GB"/>
        </w:rPr>
        <w:t xml:space="preserve"> </w:t>
      </w:r>
      <w:r w:rsidRPr="00C039BD">
        <w:t>inhibitors</w:t>
      </w:r>
      <w:r w:rsidR="003E2409">
        <w:t xml:space="preserve"> </w:t>
      </w:r>
      <w:r w:rsidR="003E2409">
        <w:rPr>
          <w:lang w:val="en-GB"/>
        </w:rPr>
        <w:t>(</w:t>
      </w:r>
      <w:r w:rsidR="003E2409" w:rsidRPr="00C039BD">
        <w:t>ACE</w:t>
      </w:r>
      <w:r w:rsidR="003E2409">
        <w:t>i)</w:t>
      </w:r>
      <w:r w:rsidR="003E2409" w:rsidRPr="00C039BD">
        <w:t xml:space="preserve"> </w:t>
      </w:r>
      <w:r w:rsidR="003E2409">
        <w:t xml:space="preserve">or </w:t>
      </w:r>
      <w:r w:rsidR="005B3C42" w:rsidRPr="005B3C42">
        <w:t>angiotensin receptor</w:t>
      </w:r>
      <w:r w:rsidR="003E2409" w:rsidRPr="005B3C42">
        <w:t xml:space="preserve"> blockers</w:t>
      </w:r>
      <w:r w:rsidRPr="005B3C42">
        <w:t xml:space="preserve"> </w:t>
      </w:r>
      <w:r w:rsidR="005B3C42" w:rsidRPr="005B3C42">
        <w:t>(</w:t>
      </w:r>
      <w:r w:rsidR="005B3C42">
        <w:t xml:space="preserve">ARB) </w:t>
      </w:r>
      <w:r w:rsidRPr="00C039BD">
        <w:t xml:space="preserve">and/or </w:t>
      </w:r>
      <w:r>
        <w:t xml:space="preserve">beta </w:t>
      </w:r>
      <w:r w:rsidRPr="00C039BD">
        <w:t>blockers). This needs to be highlighted in the PI.</w:t>
      </w:r>
    </w:p>
    <w:p w14:paraId="56BB0B94" w14:textId="77777777" w:rsidR="00B952E1" w:rsidRPr="00C039BD" w:rsidRDefault="00B952E1" w:rsidP="00B952E1">
      <w:r w:rsidRPr="00C039BD">
        <w:t>The investigators chose subjects with high cardiovascular risk defined as prior MI or coronary artery disease, evidence of stroke of peripheral vascular disease. However, having diabetes is also considered to be a cardiovascular risk. The absolute risk reduction in cardiovascular deaths would be lower in populations of lower baseline cardiovascular risk. A significant proportion of subjects with diabetes have silent cardiac ischemia. Heart failure in diabetes is thought to be multifactorial and not entirely explained by coronary artery disease. Other risk factors include age, duration of diabetes, use of insulin, ischemic heart disease, peripheral arterial disease, elevated serum creatinine, poor glycaemic control and microalbuminuria.</w:t>
      </w:r>
      <w:r>
        <w:t xml:space="preserve"> </w:t>
      </w:r>
      <w:r w:rsidRPr="00C039BD">
        <w:t>The pathophysiology of heart failure in diabetes is related to not only coronary artery disease but also hypertension, diabetic cardiomyopathy and extrac</w:t>
      </w:r>
      <w:r>
        <w:t>ellular fluid volume expansion.</w:t>
      </w:r>
    </w:p>
    <w:p w14:paraId="60B8101E" w14:textId="285FF5C1" w:rsidR="00B952E1" w:rsidRPr="00C039BD" w:rsidRDefault="00B952E1" w:rsidP="00B952E1">
      <w:r w:rsidRPr="00C039BD">
        <w:t>Of the other hypoglycaemic drugs: thiazolidinedione’s, sulphonylureas and insulin have been associated with an increased risk of heart failure.</w:t>
      </w:r>
      <w:r>
        <w:t xml:space="preserve"> </w:t>
      </w:r>
      <w:r w:rsidRPr="00C039BD">
        <w:t>The clinical trials o</w:t>
      </w:r>
      <w:r w:rsidR="003E2409">
        <w:t>f GLP-1 agonists and DP</w:t>
      </w:r>
      <w:r w:rsidRPr="00C039BD">
        <w:t>P-</w:t>
      </w:r>
      <w:r w:rsidR="003E2409">
        <w:t>4</w:t>
      </w:r>
      <w:r w:rsidRPr="00C039BD">
        <w:t xml:space="preserve"> inhibitors have shown inconsistent results. Metformin has not been associated with an increased risk of heart failure. However from a physiological perspective, any drugs that cause hypoglycaemia have the potential to exacerbate heart failure by the physiological mechanism of sympathetic stimulation and also reduced energy substrate delivery to the myocardium.</w:t>
      </w:r>
    </w:p>
    <w:p w14:paraId="104F498F" w14:textId="40A2CB8D" w:rsidR="00B952E1" w:rsidRPr="00C039BD" w:rsidRDefault="00B952E1" w:rsidP="00B952E1">
      <w:r>
        <w:t xml:space="preserve">The sponsor has proposed </w:t>
      </w:r>
      <w:r w:rsidRPr="00C039BD">
        <w:t>a new indication in T2DM for the prevention of cardiovascular death as the effects of</w:t>
      </w:r>
      <w:r>
        <w:t xml:space="preserve"> empagliflozin </w:t>
      </w:r>
      <w:r w:rsidRPr="00C039BD">
        <w:t>are independent of the effects on glycaemic control. Evidence in support of this includes the early onset of changes in cardiac endpoints, lack of significant effect on cardiac mortality seen in other trials of glucose lowering therapy. This is reasonable. However</w:t>
      </w:r>
      <w:r w:rsidR="00FA69E7">
        <w:t>,</w:t>
      </w:r>
      <w:r w:rsidRPr="00C039BD">
        <w:t xml:space="preserve"> in </w:t>
      </w:r>
      <w:r>
        <w:t>the EMPA-REG</w:t>
      </w:r>
      <w:r w:rsidR="003E2409">
        <w:t xml:space="preserve"> OUTCOME</w:t>
      </w:r>
      <w:r>
        <w:t xml:space="preserve"> study only 6% (424</w:t>
      </w:r>
      <w:r w:rsidRPr="00C039BD">
        <w:t xml:space="preserve">) of patient had HbA1c &lt; 7%. Analysis of subgroups like </w:t>
      </w:r>
      <w:r w:rsidR="00641A63" w:rsidRPr="00C039BD">
        <w:t>th</w:t>
      </w:r>
      <w:r w:rsidR="00641A63">
        <w:t>ese</w:t>
      </w:r>
      <w:r w:rsidR="00641A63" w:rsidRPr="00C039BD">
        <w:t xml:space="preserve"> </w:t>
      </w:r>
      <w:r w:rsidRPr="00C039BD">
        <w:t>needs to be cau</w:t>
      </w:r>
      <w:r>
        <w:t xml:space="preserve">tious, </w:t>
      </w:r>
      <w:r w:rsidRPr="00C039BD">
        <w:t>we cannot be sure that there was adequate randomisation for this subgroup, and the study was not powered for subgroup analysis. It is also noteworthy that there was an extra-ordinarily high rate of events in the placebo group.</w:t>
      </w:r>
      <w:r>
        <w:t xml:space="preserve"> </w:t>
      </w:r>
      <w:r w:rsidRPr="00C039BD">
        <w:t>Thus, although efficacy in patients with T2DM and poor glycaemic control has been satisfactorily established, efficacy in those who have reached their HbA1c target remains questionable.</w:t>
      </w:r>
    </w:p>
    <w:p w14:paraId="4CC5B3B0" w14:textId="77777777" w:rsidR="00B952E1" w:rsidRPr="00C039BD" w:rsidRDefault="00B952E1" w:rsidP="00B952E1">
      <w:r w:rsidRPr="00C039BD">
        <w:t>The sponsor has proposed the words ‘card</w:t>
      </w:r>
      <w:r>
        <w:t>iovascular death’ rather than 3-</w:t>
      </w:r>
      <w:r w:rsidRPr="00C039BD">
        <w:t>point MACE to be used in the indication based on the significant benefits seen on this endpoint. The sponsor’s rationale was that it is an important and objective endpoint and statistically significant benefits were seen. Furthermore, there was no significant improvement in macrovascular outcomes, so the inclusion of other components of the 3-point MACE (MI or stroke) is potentially misleading. The evaluator considers it reasonable to include prevention of cardiac failure in the indication as there is reasonable evidence based on analysis of the secondary endpoints and knowledge of the mechan</w:t>
      </w:r>
      <w:r>
        <w:t>ism of action of empagliflozin.</w:t>
      </w:r>
    </w:p>
    <w:p w14:paraId="578B3E61" w14:textId="70AA7D6F" w:rsidR="00B952E1" w:rsidRPr="00C039BD" w:rsidRDefault="00B952E1" w:rsidP="00B952E1">
      <w:r w:rsidRPr="00C039BD">
        <w:lastRenderedPageBreak/>
        <w:t>The sponsor included both 10</w:t>
      </w:r>
      <w:r>
        <w:t xml:space="preserve"> </w:t>
      </w:r>
      <w:r w:rsidRPr="00C039BD">
        <w:t>mg and 25</w:t>
      </w:r>
      <w:r>
        <w:t xml:space="preserve"> </w:t>
      </w:r>
      <w:r w:rsidRPr="00C039BD">
        <w:t>mg doses of</w:t>
      </w:r>
      <w:r>
        <w:t xml:space="preserve"> empagliflozin </w:t>
      </w:r>
      <w:r w:rsidRPr="00C039BD">
        <w:t xml:space="preserve">in the </w:t>
      </w:r>
      <w:r>
        <w:t>efficacy analysis. This was pre-</w:t>
      </w:r>
      <w:r w:rsidRPr="00C039BD">
        <w:t>specified. The dose proposed for cardiovascular prevention is 10</w:t>
      </w:r>
      <w:r w:rsidR="006916E6">
        <w:t> </w:t>
      </w:r>
      <w:r w:rsidRPr="00C039BD">
        <w:t xml:space="preserve">mg, increasing to </w:t>
      </w:r>
      <w:r>
        <w:t>25 mg</w:t>
      </w:r>
      <w:r w:rsidRPr="00C039BD">
        <w:t xml:space="preserve"> in patients with poor glycaem</w:t>
      </w:r>
      <w:r>
        <w:t>ic control. This is reasonable.</w:t>
      </w:r>
    </w:p>
    <w:p w14:paraId="13E4E81B" w14:textId="1AEEE246" w:rsidR="00B952E1" w:rsidRPr="00C039BD" w:rsidRDefault="00B952E1" w:rsidP="00910D33">
      <w:pPr>
        <w:pStyle w:val="Heading5"/>
      </w:pPr>
      <w:r w:rsidRPr="00C039BD">
        <w:t>Use in renal failure</w:t>
      </w:r>
    </w:p>
    <w:p w14:paraId="7450CD4D" w14:textId="18FC7F66" w:rsidR="00B952E1" w:rsidRPr="00B952E1" w:rsidRDefault="00B952E1" w:rsidP="00B952E1">
      <w:r w:rsidRPr="00C039BD">
        <w:t>The improvement in HbA1c with</w:t>
      </w:r>
      <w:r>
        <w:t xml:space="preserve"> empagliflozin </w:t>
      </w:r>
      <w:r w:rsidRPr="00C039BD">
        <w:t xml:space="preserve">in patients with impaired renal function was less than that observed in patients with normal </w:t>
      </w:r>
      <w:r>
        <w:t xml:space="preserve">renal function. However, in </w:t>
      </w:r>
      <w:r w:rsidRPr="00C039BD">
        <w:t>these patients, improved glycaemic control is probably less important than overall mortality.</w:t>
      </w:r>
      <w:r>
        <w:t xml:space="preserve"> </w:t>
      </w:r>
      <w:proofErr w:type="gramStart"/>
      <w:r>
        <w:t>empagliflozin</w:t>
      </w:r>
      <w:proofErr w:type="gramEnd"/>
      <w:r>
        <w:t xml:space="preserve"> </w:t>
      </w:r>
      <w:r w:rsidRPr="00C039BD">
        <w:t>showed numerical trends towards efficacy in these endpoints. These were not statistically significant, most likely due to low patient numbers.</w:t>
      </w:r>
    </w:p>
    <w:p w14:paraId="7C6B2129" w14:textId="77777777" w:rsidR="008E7846" w:rsidRPr="002E238E" w:rsidRDefault="008E7846" w:rsidP="008E7846">
      <w:pPr>
        <w:pStyle w:val="Heading3"/>
      </w:pPr>
      <w:bookmarkStart w:id="62" w:name="_Toc163441378"/>
      <w:bookmarkStart w:id="63" w:name="_Toc196046495"/>
      <w:bookmarkStart w:id="64" w:name="_Toc247691522"/>
      <w:bookmarkStart w:id="65" w:name="_Toc314842505"/>
      <w:bookmarkStart w:id="66" w:name="_Toc497906645"/>
      <w:bookmarkEnd w:id="58"/>
      <w:bookmarkEnd w:id="59"/>
      <w:bookmarkEnd w:id="60"/>
      <w:bookmarkEnd w:id="61"/>
      <w:r w:rsidRPr="002E238E">
        <w:t>Safety</w:t>
      </w:r>
      <w:bookmarkEnd w:id="62"/>
      <w:bookmarkEnd w:id="63"/>
      <w:bookmarkEnd w:id="64"/>
      <w:bookmarkEnd w:id="65"/>
      <w:bookmarkEnd w:id="66"/>
    </w:p>
    <w:p w14:paraId="34E42D69" w14:textId="77777777" w:rsidR="00605AD4" w:rsidRDefault="00605AD4" w:rsidP="00605AD4">
      <w:pPr>
        <w:pStyle w:val="Heading4"/>
      </w:pPr>
      <w:bookmarkStart w:id="67" w:name="_Toc247691524"/>
      <w:bookmarkStart w:id="68" w:name="_Toc314842508"/>
      <w:bookmarkStart w:id="69" w:name="_Toc196046504"/>
      <w:bookmarkStart w:id="70" w:name="_Toc163441390"/>
      <w:r w:rsidRPr="00605AD4">
        <w:t>Studies providing safety data</w:t>
      </w:r>
    </w:p>
    <w:p w14:paraId="2B2437CD" w14:textId="579B0156" w:rsidR="00910D33" w:rsidRPr="00910D33" w:rsidRDefault="006916E6" w:rsidP="006916E6">
      <w:r>
        <w:t xml:space="preserve">The </w:t>
      </w:r>
      <w:r w:rsidR="00910D33">
        <w:t>EMPA-REG OUTCOME study provided safety data.</w:t>
      </w:r>
    </w:p>
    <w:p w14:paraId="30AEF760" w14:textId="77777777" w:rsidR="00605AD4" w:rsidRDefault="00605AD4" w:rsidP="00605AD4">
      <w:pPr>
        <w:pStyle w:val="Heading4"/>
      </w:pPr>
      <w:r w:rsidRPr="00605AD4">
        <w:t>Patient exposure</w:t>
      </w:r>
    </w:p>
    <w:p w14:paraId="5C314BE3" w14:textId="5DF8E4DC" w:rsidR="00910D33" w:rsidRPr="00371CD9" w:rsidRDefault="00910D33" w:rsidP="00910D33">
      <w:pPr>
        <w:rPr>
          <w:lang w:eastAsia="ja-JP"/>
        </w:rPr>
      </w:pPr>
      <w:r w:rsidRPr="00371CD9">
        <w:rPr>
          <w:lang w:eastAsia="ja-JP"/>
        </w:rPr>
        <w:t>The mean observation time on treatment was 2.91 year</w:t>
      </w:r>
      <w:r w:rsidR="006916E6">
        <w:rPr>
          <w:lang w:eastAsia="ja-JP"/>
        </w:rPr>
        <w:t>s in the placebo group and 2.96 </w:t>
      </w:r>
      <w:r w:rsidRPr="00371CD9">
        <w:rPr>
          <w:lang w:eastAsia="ja-JP"/>
        </w:rPr>
        <w:t>years in the</w:t>
      </w:r>
      <w:r>
        <w:rPr>
          <w:lang w:eastAsia="ja-JP"/>
        </w:rPr>
        <w:t xml:space="preserve"> empagliflozin </w:t>
      </w:r>
      <w:r w:rsidRPr="00371CD9">
        <w:rPr>
          <w:lang w:eastAsia="ja-JP"/>
        </w:rPr>
        <w:t>group. There were 3 patients who received</w:t>
      </w:r>
      <w:r>
        <w:rPr>
          <w:lang w:eastAsia="ja-JP"/>
        </w:rPr>
        <w:t xml:space="preserve"> empagliflozin for more than 260 weeks, </w:t>
      </w:r>
      <w:r w:rsidRPr="00371CD9">
        <w:rPr>
          <w:lang w:eastAsia="ja-JP"/>
        </w:rPr>
        <w:t>385 who received</w:t>
      </w:r>
      <w:r>
        <w:rPr>
          <w:lang w:eastAsia="ja-JP"/>
        </w:rPr>
        <w:t xml:space="preserve"> empagliflozin </w:t>
      </w:r>
      <w:r w:rsidRPr="00371CD9">
        <w:rPr>
          <w:lang w:eastAsia="ja-JP"/>
        </w:rPr>
        <w:t>for greater than 208 weeks, and 2464 patients who received</w:t>
      </w:r>
      <w:r>
        <w:rPr>
          <w:lang w:eastAsia="ja-JP"/>
        </w:rPr>
        <w:t xml:space="preserve"> empagliflozin </w:t>
      </w:r>
      <w:r w:rsidRPr="00371CD9">
        <w:rPr>
          <w:lang w:eastAsia="ja-JP"/>
        </w:rPr>
        <w:t>for more than 156 weeks</w:t>
      </w:r>
      <w:r>
        <w:rPr>
          <w:lang w:eastAsia="ja-JP"/>
        </w:rPr>
        <w:t xml:space="preserve"> (</w:t>
      </w:r>
      <w:r w:rsidRPr="00371CD9">
        <w:rPr>
          <w:lang w:eastAsia="ja-JP"/>
        </w:rPr>
        <w:t xml:space="preserve">see </w:t>
      </w:r>
      <w:r w:rsidR="006916E6">
        <w:rPr>
          <w:lang w:eastAsia="ja-JP"/>
        </w:rPr>
        <w:t>Table 1</w:t>
      </w:r>
      <w:r>
        <w:rPr>
          <w:lang w:eastAsia="ja-JP"/>
        </w:rPr>
        <w:t>, below).</w:t>
      </w:r>
    </w:p>
    <w:p w14:paraId="6A392146" w14:textId="342C29C4" w:rsidR="00910D33" w:rsidRPr="00371CD9" w:rsidRDefault="00910D33" w:rsidP="00910D33">
      <w:pPr>
        <w:pStyle w:val="Tabletitle0"/>
        <w:rPr>
          <w:lang w:eastAsia="ja-JP"/>
        </w:rPr>
      </w:pPr>
      <w:bookmarkStart w:id="71" w:name="_Ref443972842"/>
      <w:bookmarkStart w:id="72" w:name="_Toc450574138"/>
      <w:proofErr w:type="gramStart"/>
      <w:r w:rsidRPr="00371CD9">
        <w:rPr>
          <w:lang w:eastAsia="ja-JP"/>
        </w:rPr>
        <w:t xml:space="preserve">Table </w:t>
      </w:r>
      <w:bookmarkEnd w:id="71"/>
      <w:r w:rsidR="006916E6">
        <w:rPr>
          <w:lang w:eastAsia="ja-JP"/>
        </w:rPr>
        <w:t>1</w:t>
      </w:r>
      <w:r>
        <w:rPr>
          <w:lang w:eastAsia="ja-JP"/>
        </w:rPr>
        <w:t>.</w:t>
      </w:r>
      <w:proofErr w:type="gramEnd"/>
      <w:r>
        <w:rPr>
          <w:lang w:eastAsia="ja-JP"/>
        </w:rPr>
        <w:t xml:space="preserve"> Patient exposure (</w:t>
      </w:r>
      <w:r w:rsidR="00AC3FAE">
        <w:rPr>
          <w:lang w:eastAsia="ja-JP"/>
        </w:rPr>
        <w:t xml:space="preserve">N </w:t>
      </w:r>
      <w:r w:rsidR="005475BE">
        <w:rPr>
          <w:lang w:eastAsia="ja-JP"/>
        </w:rPr>
        <w:t>(%</w:t>
      </w:r>
      <w:r w:rsidR="003D3824">
        <w:rPr>
          <w:lang w:eastAsia="ja-JP"/>
        </w:rPr>
        <w:t>)</w:t>
      </w:r>
      <w:r w:rsidR="005475BE">
        <w:rPr>
          <w:lang w:eastAsia="ja-JP"/>
        </w:rPr>
        <w:t xml:space="preserve"> </w:t>
      </w:r>
      <w:r>
        <w:rPr>
          <w:lang w:eastAsia="ja-JP"/>
        </w:rPr>
        <w:t xml:space="preserve">Treatment </w:t>
      </w:r>
      <w:bookmarkEnd w:id="72"/>
      <w:r>
        <w:rPr>
          <w:lang w:eastAsia="ja-JP"/>
        </w:rPr>
        <w:t>set)</w:t>
      </w:r>
    </w:p>
    <w:p w14:paraId="2F6BF8B7" w14:textId="1A0995C4" w:rsidR="00910D33" w:rsidRPr="00910D33" w:rsidRDefault="00910D33" w:rsidP="00910D33">
      <w:pPr>
        <w:rPr>
          <w:lang w:eastAsia="ja-JP"/>
        </w:rPr>
      </w:pPr>
      <w:r w:rsidRPr="00371CD9">
        <w:rPr>
          <w:noProof/>
          <w:lang w:eastAsia="en-AU"/>
        </w:rPr>
        <w:drawing>
          <wp:inline distT="0" distB="0" distL="0" distR="0" wp14:anchorId="1F151153" wp14:editId="1C583D5A">
            <wp:extent cx="4974336" cy="2859405"/>
            <wp:effectExtent l="0" t="0" r="0" b="0"/>
            <wp:docPr id="34" name="Picture 34" descr="Table 1 is a table image showing the Patient exposure (N (%) Treatmen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5">
                      <a:lum bright="-20000" contrast="40000"/>
                      <a:extLst>
                        <a:ext uri="{28A0092B-C50C-407E-A947-70E740481C1C}">
                          <a14:useLocalDpi xmlns:a14="http://schemas.microsoft.com/office/drawing/2010/main" val="0"/>
                        </a:ext>
                      </a:extLst>
                    </a:blip>
                    <a:srcRect l="2452" t="7289" r="8619"/>
                    <a:stretch/>
                  </pic:blipFill>
                  <pic:spPr bwMode="auto">
                    <a:xfrm>
                      <a:off x="0" y="0"/>
                      <a:ext cx="4981131" cy="2863311"/>
                    </a:xfrm>
                    <a:prstGeom prst="rect">
                      <a:avLst/>
                    </a:prstGeom>
                    <a:noFill/>
                    <a:ln>
                      <a:noFill/>
                    </a:ln>
                    <a:extLst>
                      <a:ext uri="{53640926-AAD7-44D8-BBD7-CCE9431645EC}">
                        <a14:shadowObscured xmlns:a14="http://schemas.microsoft.com/office/drawing/2010/main"/>
                      </a:ext>
                    </a:extLst>
                  </pic:spPr>
                </pic:pic>
              </a:graphicData>
            </a:graphic>
          </wp:inline>
        </w:drawing>
      </w:r>
    </w:p>
    <w:p w14:paraId="4354FCBC" w14:textId="77777777" w:rsidR="00605AD4" w:rsidRDefault="00605AD4" w:rsidP="00605AD4">
      <w:pPr>
        <w:pStyle w:val="Heading4"/>
      </w:pPr>
      <w:r w:rsidRPr="00605AD4">
        <w:t>Safety issues with the potential for major regulatory impact</w:t>
      </w:r>
    </w:p>
    <w:p w14:paraId="7A2219BE" w14:textId="119CE518" w:rsidR="00D4701F" w:rsidRPr="00D4701F" w:rsidRDefault="00D4701F" w:rsidP="00D4701F">
      <w:r>
        <w:t>Adverse events of special inte</w:t>
      </w:r>
      <w:r w:rsidR="00585369">
        <w:t>rest (AESI) are given in Table 2</w:t>
      </w:r>
      <w:r>
        <w:t xml:space="preserve"> below. A full discussion of all AESI listed in this table is available in </w:t>
      </w:r>
      <w:r w:rsidR="003D3824">
        <w:t>Attachment</w:t>
      </w:r>
      <w:r>
        <w:t xml:space="preserve"> 2.</w:t>
      </w:r>
    </w:p>
    <w:p w14:paraId="5AD09A50" w14:textId="64B14CA4" w:rsidR="00D4701F" w:rsidRPr="00371CD9" w:rsidRDefault="00585369" w:rsidP="00D4701F">
      <w:pPr>
        <w:pStyle w:val="Tabletitle0"/>
        <w:rPr>
          <w:lang w:eastAsia="ja-JP"/>
        </w:rPr>
      </w:pPr>
      <w:proofErr w:type="gramStart"/>
      <w:r>
        <w:rPr>
          <w:lang w:eastAsia="ja-JP"/>
        </w:rPr>
        <w:lastRenderedPageBreak/>
        <w:t>Table 2</w:t>
      </w:r>
      <w:r w:rsidR="00D4701F">
        <w:rPr>
          <w:lang w:eastAsia="ja-JP"/>
        </w:rPr>
        <w:t>.</w:t>
      </w:r>
      <w:proofErr w:type="gramEnd"/>
      <w:r w:rsidR="00D4701F">
        <w:rPr>
          <w:lang w:eastAsia="ja-JP"/>
        </w:rPr>
        <w:t xml:space="preserve"> </w:t>
      </w:r>
      <w:r w:rsidR="00D4701F" w:rsidRPr="00371CD9">
        <w:rPr>
          <w:lang w:eastAsia="ja-JP"/>
        </w:rPr>
        <w:t>AESI</w:t>
      </w:r>
      <w:r w:rsidR="00D4701F">
        <w:rPr>
          <w:lang w:eastAsia="ja-JP"/>
        </w:rPr>
        <w:t xml:space="preserve"> (Treatment set)</w:t>
      </w:r>
    </w:p>
    <w:p w14:paraId="236AFF4B" w14:textId="22F66035" w:rsidR="00D4701F" w:rsidRPr="00D4701F" w:rsidRDefault="00D4701F" w:rsidP="00D4701F">
      <w:pPr>
        <w:rPr>
          <w:lang w:eastAsia="ja-JP"/>
        </w:rPr>
      </w:pPr>
      <w:r w:rsidRPr="00371CD9">
        <w:rPr>
          <w:noProof/>
          <w:lang w:eastAsia="en-AU"/>
        </w:rPr>
        <w:drawing>
          <wp:inline distT="0" distB="0" distL="0" distR="0" wp14:anchorId="5CE38481" wp14:editId="7BE98B4A">
            <wp:extent cx="4647063" cy="5651646"/>
            <wp:effectExtent l="0" t="0" r="1270" b="6350"/>
            <wp:docPr id="36" name="Picture 36" descr="Table 2 is a continuation of table 1 showing the Patient exposure AESI (N (%) Treatment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t="3812"/>
                    <a:stretch>
                      <a:fillRect/>
                    </a:stretch>
                  </pic:blipFill>
                  <pic:spPr bwMode="auto">
                    <a:xfrm>
                      <a:off x="0" y="0"/>
                      <a:ext cx="4660361" cy="5667818"/>
                    </a:xfrm>
                    <a:prstGeom prst="rect">
                      <a:avLst/>
                    </a:prstGeom>
                    <a:noFill/>
                    <a:ln>
                      <a:noFill/>
                    </a:ln>
                  </pic:spPr>
                </pic:pic>
              </a:graphicData>
            </a:graphic>
          </wp:inline>
        </w:drawing>
      </w:r>
    </w:p>
    <w:p w14:paraId="2E70907D" w14:textId="636C699D" w:rsidR="00605AD4" w:rsidRDefault="00605AD4" w:rsidP="00605AD4">
      <w:pPr>
        <w:pStyle w:val="Heading4"/>
      </w:pPr>
      <w:r w:rsidRPr="00605AD4">
        <w:t>Post</w:t>
      </w:r>
      <w:r w:rsidR="00D4701F">
        <w:t>-</w:t>
      </w:r>
      <w:r w:rsidRPr="00605AD4">
        <w:t>marketing data</w:t>
      </w:r>
    </w:p>
    <w:p w14:paraId="511C910A" w14:textId="56F4FD75" w:rsidR="00D4701F" w:rsidRPr="00D4701F" w:rsidRDefault="00D4701F" w:rsidP="00D4701F">
      <w:pPr>
        <w:rPr>
          <w:lang w:eastAsia="ja-JP"/>
        </w:rPr>
      </w:pPr>
      <w:r w:rsidRPr="00371CD9">
        <w:rPr>
          <w:lang w:eastAsia="ja-JP"/>
        </w:rPr>
        <w:t xml:space="preserve">There have been concerns raised about the risk of </w:t>
      </w:r>
      <w:r w:rsidR="00585369">
        <w:rPr>
          <w:lang w:eastAsia="ja-JP"/>
        </w:rPr>
        <w:t xml:space="preserve">diabetic </w:t>
      </w:r>
      <w:r w:rsidR="00BA6964">
        <w:rPr>
          <w:lang w:eastAsia="ja-JP"/>
        </w:rPr>
        <w:t xml:space="preserve">ketoacidosis </w:t>
      </w:r>
      <w:r w:rsidR="009C1D11">
        <w:rPr>
          <w:lang w:eastAsia="ja-JP"/>
        </w:rPr>
        <w:t>(</w:t>
      </w:r>
      <w:r w:rsidRPr="00371CD9">
        <w:rPr>
          <w:lang w:eastAsia="ja-JP"/>
        </w:rPr>
        <w:t>DKA</w:t>
      </w:r>
      <w:r w:rsidR="009C1D11">
        <w:rPr>
          <w:lang w:eastAsia="ja-JP"/>
        </w:rPr>
        <w:t>)</w:t>
      </w:r>
      <w:r w:rsidRPr="00371CD9">
        <w:rPr>
          <w:lang w:eastAsia="ja-JP"/>
        </w:rPr>
        <w:t xml:space="preserve"> and urosepsis with</w:t>
      </w:r>
      <w:r>
        <w:rPr>
          <w:lang w:eastAsia="ja-JP"/>
        </w:rPr>
        <w:t xml:space="preserve"> empagliflozin </w:t>
      </w:r>
      <w:r w:rsidR="00BA6964">
        <w:rPr>
          <w:lang w:eastAsia="ja-JP"/>
        </w:rPr>
        <w:t>and other SGLT</w:t>
      </w:r>
      <w:r w:rsidRPr="00371CD9">
        <w:rPr>
          <w:lang w:eastAsia="ja-JP"/>
        </w:rPr>
        <w:t>2 inhibitors. This has led to statements on the TGA (and EMA and FDA) websites, a letter to health care profe</w:t>
      </w:r>
      <w:r>
        <w:rPr>
          <w:lang w:eastAsia="ja-JP"/>
        </w:rPr>
        <w:t>ssionals and updates to the PI.</w:t>
      </w:r>
    </w:p>
    <w:p w14:paraId="2F63DD3C" w14:textId="77777777" w:rsidR="00605AD4" w:rsidRPr="00605AD4" w:rsidRDefault="00605AD4" w:rsidP="00605AD4">
      <w:pPr>
        <w:pStyle w:val="Heading4"/>
      </w:pPr>
      <w:r w:rsidRPr="00605AD4">
        <w:t>Evaluator’s conclusions on safety</w:t>
      </w:r>
    </w:p>
    <w:p w14:paraId="742DB133" w14:textId="29D1E856" w:rsidR="00D4701F" w:rsidRPr="00371CD9" w:rsidRDefault="00D4701F" w:rsidP="00D4701F">
      <w:pPr>
        <w:rPr>
          <w:lang w:eastAsia="ja-JP"/>
        </w:rPr>
      </w:pPr>
      <w:r w:rsidRPr="00371CD9">
        <w:rPr>
          <w:lang w:eastAsia="ja-JP"/>
        </w:rPr>
        <w:t>The safety profile in the study was consistent wi</w:t>
      </w:r>
      <w:r w:rsidR="00BA6964">
        <w:rPr>
          <w:lang w:eastAsia="ja-JP"/>
        </w:rPr>
        <w:t>th the known safety profile of e</w:t>
      </w:r>
      <w:r w:rsidRPr="00371CD9">
        <w:rPr>
          <w:lang w:eastAsia="ja-JP"/>
        </w:rPr>
        <w:t>mpagliflozin.</w:t>
      </w:r>
    </w:p>
    <w:p w14:paraId="17F3E119" w14:textId="28D167DC" w:rsidR="00D4701F" w:rsidRPr="00371CD9" w:rsidRDefault="00D4701F" w:rsidP="00D4701F">
      <w:pPr>
        <w:rPr>
          <w:lang w:eastAsia="ja-JP"/>
        </w:rPr>
      </w:pPr>
      <w:r w:rsidRPr="00371CD9">
        <w:rPr>
          <w:lang w:eastAsia="ja-JP"/>
        </w:rPr>
        <w:t>The reported rates of DKA, genital infections and urosepsis were lower than have been reported in a post market setting. This is most likely due to increased vigilance of these problems and appropriate management in a clinical trial setting. The risk of these problems is l</w:t>
      </w:r>
      <w:r w:rsidR="00BA6964">
        <w:rPr>
          <w:lang w:eastAsia="ja-JP"/>
        </w:rPr>
        <w:t>ikely to be increased in a real-</w:t>
      </w:r>
      <w:r w:rsidRPr="00371CD9">
        <w:rPr>
          <w:lang w:eastAsia="ja-JP"/>
        </w:rPr>
        <w:t>life setting.</w:t>
      </w:r>
    </w:p>
    <w:p w14:paraId="020F4165" w14:textId="77777777" w:rsidR="00D4701F" w:rsidRPr="00371CD9" w:rsidRDefault="00D4701F" w:rsidP="00D4701F">
      <w:pPr>
        <w:rPr>
          <w:lang w:eastAsia="ja-JP"/>
        </w:rPr>
      </w:pPr>
      <w:r w:rsidRPr="00371CD9">
        <w:rPr>
          <w:lang w:eastAsia="ja-JP"/>
        </w:rPr>
        <w:lastRenderedPageBreak/>
        <w:t>There were high rate</w:t>
      </w:r>
      <w:r>
        <w:rPr>
          <w:lang w:eastAsia="ja-JP"/>
        </w:rPr>
        <w:t>s of hypoglycaemia</w:t>
      </w:r>
      <w:r w:rsidRPr="00371CD9">
        <w:rPr>
          <w:lang w:eastAsia="ja-JP"/>
        </w:rPr>
        <w:t xml:space="preserve"> (around 28%) in the placebo and</w:t>
      </w:r>
      <w:r>
        <w:rPr>
          <w:lang w:eastAsia="ja-JP"/>
        </w:rPr>
        <w:t xml:space="preserve"> empagliflozin </w:t>
      </w:r>
      <w:r w:rsidRPr="00371CD9">
        <w:rPr>
          <w:lang w:eastAsia="ja-JP"/>
        </w:rPr>
        <w:t>groups.</w:t>
      </w:r>
    </w:p>
    <w:p w14:paraId="1E4C73D8" w14:textId="4067C873" w:rsidR="00D4701F" w:rsidRPr="00371CD9" w:rsidRDefault="00D4701F" w:rsidP="00D4701F">
      <w:pPr>
        <w:rPr>
          <w:lang w:eastAsia="ja-JP"/>
        </w:rPr>
      </w:pPr>
      <w:r w:rsidRPr="00371CD9">
        <w:rPr>
          <w:lang w:eastAsia="ja-JP"/>
        </w:rPr>
        <w:t xml:space="preserve">There was a reduction in diastolic </w:t>
      </w:r>
      <w:r w:rsidR="009C1D11">
        <w:rPr>
          <w:lang w:eastAsia="ja-JP"/>
        </w:rPr>
        <w:t xml:space="preserve">BP </w:t>
      </w:r>
      <w:r w:rsidR="00BA6964">
        <w:rPr>
          <w:lang w:eastAsia="ja-JP"/>
        </w:rPr>
        <w:t>(D</w:t>
      </w:r>
      <w:r w:rsidRPr="00371CD9">
        <w:rPr>
          <w:lang w:eastAsia="ja-JP"/>
        </w:rPr>
        <w:t>BP</w:t>
      </w:r>
      <w:r w:rsidR="00BA6964">
        <w:rPr>
          <w:lang w:eastAsia="ja-JP"/>
        </w:rPr>
        <w:t>)</w:t>
      </w:r>
      <w:r w:rsidRPr="00371CD9">
        <w:rPr>
          <w:lang w:eastAsia="ja-JP"/>
        </w:rPr>
        <w:t xml:space="preserve"> in both placebo and</w:t>
      </w:r>
      <w:r>
        <w:rPr>
          <w:lang w:eastAsia="ja-JP"/>
        </w:rPr>
        <w:t xml:space="preserve"> empagliflozin </w:t>
      </w:r>
      <w:r w:rsidRPr="00371CD9">
        <w:rPr>
          <w:lang w:eastAsia="ja-JP"/>
        </w:rPr>
        <w:t>groups. This was greater in the</w:t>
      </w:r>
      <w:r>
        <w:rPr>
          <w:lang w:eastAsia="ja-JP"/>
        </w:rPr>
        <w:t xml:space="preserve"> empagliflozin </w:t>
      </w:r>
      <w:r w:rsidRPr="00371CD9">
        <w:rPr>
          <w:lang w:eastAsia="ja-JP"/>
        </w:rPr>
        <w:t xml:space="preserve">group. There was a modest increase in </w:t>
      </w:r>
      <w:r w:rsidR="00BA6964">
        <w:rPr>
          <w:lang w:eastAsia="ja-JP"/>
        </w:rPr>
        <w:t>haemoglobin</w:t>
      </w:r>
      <w:r w:rsidRPr="00371CD9">
        <w:rPr>
          <w:lang w:eastAsia="ja-JP"/>
        </w:rPr>
        <w:t xml:space="preserve"> and haematocrit during the trial, possibly due to volume depletion. This may be significant given the </w:t>
      </w:r>
      <w:r>
        <w:rPr>
          <w:lang w:eastAsia="ja-JP"/>
        </w:rPr>
        <w:t>numerical increased risk of non-</w:t>
      </w:r>
      <w:r w:rsidRPr="00371CD9">
        <w:rPr>
          <w:lang w:eastAsia="ja-JP"/>
        </w:rPr>
        <w:t>haemorrhagic stroke. The sponsor performed intensive subgroup analysis looking at the rate of stroke in those on diuretics, those with increased haematocrit</w:t>
      </w:r>
      <w:r w:rsidR="00641A63">
        <w:rPr>
          <w:lang w:eastAsia="ja-JP"/>
        </w:rPr>
        <w:t xml:space="preserve"> and</w:t>
      </w:r>
      <w:r w:rsidR="00641A63" w:rsidRPr="00371CD9">
        <w:rPr>
          <w:lang w:eastAsia="ja-JP"/>
        </w:rPr>
        <w:t xml:space="preserve"> </w:t>
      </w:r>
      <w:r w:rsidRPr="00371CD9">
        <w:rPr>
          <w:lang w:eastAsia="ja-JP"/>
        </w:rPr>
        <w:t>those with signs of volume depletion. There were no significant interactions seen. However such analysis wa</w:t>
      </w:r>
      <w:r>
        <w:rPr>
          <w:lang w:eastAsia="ja-JP"/>
        </w:rPr>
        <w:t>s exploratory and based on self-</w:t>
      </w:r>
      <w:r w:rsidRPr="00371CD9">
        <w:rPr>
          <w:lang w:eastAsia="ja-JP"/>
        </w:rPr>
        <w:t>reported or subjective symptoms/signs.</w:t>
      </w:r>
    </w:p>
    <w:p w14:paraId="7604E921" w14:textId="77777777" w:rsidR="00D4701F" w:rsidRPr="00371CD9" w:rsidRDefault="00D4701F" w:rsidP="00D4701F">
      <w:pPr>
        <w:rPr>
          <w:lang w:eastAsia="ja-JP"/>
        </w:rPr>
      </w:pPr>
      <w:r w:rsidRPr="00371CD9">
        <w:rPr>
          <w:lang w:eastAsia="ja-JP"/>
        </w:rPr>
        <w:t>More patients with renal impairment had serious adverse events in both</w:t>
      </w:r>
      <w:r>
        <w:rPr>
          <w:lang w:eastAsia="ja-JP"/>
        </w:rPr>
        <w:t xml:space="preserve"> empagliflozin </w:t>
      </w:r>
      <w:r w:rsidRPr="00371CD9">
        <w:rPr>
          <w:lang w:eastAsia="ja-JP"/>
        </w:rPr>
        <w:t>and placebo groups.</w:t>
      </w:r>
    </w:p>
    <w:p w14:paraId="357088A8" w14:textId="2E6671BF" w:rsidR="00D4701F" w:rsidRPr="00371CD9" w:rsidRDefault="00D4701F" w:rsidP="00D4701F">
      <w:pPr>
        <w:rPr>
          <w:lang w:eastAsia="ja-JP"/>
        </w:rPr>
      </w:pPr>
      <w:r w:rsidRPr="00371CD9">
        <w:rPr>
          <w:lang w:eastAsia="ja-JP"/>
        </w:rPr>
        <w:t>A safety signal for amputation for another drug of this class (Canagliflozin) has recently been issued</w:t>
      </w:r>
      <w:r>
        <w:rPr>
          <w:lang w:eastAsia="ja-JP"/>
        </w:rPr>
        <w:t xml:space="preserve"> from interim results of a long-</w:t>
      </w:r>
      <w:r w:rsidRPr="00371CD9">
        <w:rPr>
          <w:lang w:eastAsia="ja-JP"/>
        </w:rPr>
        <w:t xml:space="preserve">term safety study (CANVAS and CANVAS-R). There was no significant different in peripheral arterial disease in the EMPA-REG </w:t>
      </w:r>
      <w:r w:rsidR="00BA6964">
        <w:rPr>
          <w:lang w:eastAsia="ja-JP"/>
        </w:rPr>
        <w:t xml:space="preserve">OUTCOME </w:t>
      </w:r>
      <w:r w:rsidRPr="00371CD9">
        <w:rPr>
          <w:lang w:eastAsia="ja-JP"/>
        </w:rPr>
        <w:t xml:space="preserve">study. Possible reasons for the discrepancy include differences in reporting of adverse events, difference in populations studied, and shorter duration of the trial in the EMPA-REG </w:t>
      </w:r>
      <w:r w:rsidR="00BA6964">
        <w:rPr>
          <w:lang w:eastAsia="ja-JP"/>
        </w:rPr>
        <w:t xml:space="preserve">OUTCOME </w:t>
      </w:r>
      <w:r w:rsidRPr="00371CD9">
        <w:rPr>
          <w:lang w:eastAsia="ja-JP"/>
        </w:rPr>
        <w:t>study.</w:t>
      </w:r>
    </w:p>
    <w:p w14:paraId="252B07C3" w14:textId="1C10106E" w:rsidR="00605AD4" w:rsidRPr="00605AD4" w:rsidRDefault="00D4701F" w:rsidP="00605AD4">
      <w:pPr>
        <w:rPr>
          <w:lang w:eastAsia="ja-JP"/>
        </w:rPr>
      </w:pPr>
      <w:r w:rsidRPr="00371CD9">
        <w:rPr>
          <w:lang w:eastAsia="ja-JP"/>
        </w:rPr>
        <w:t>Overall, there was no significant difference in the frequency of malignancy between the placebo and</w:t>
      </w:r>
      <w:r>
        <w:rPr>
          <w:lang w:eastAsia="ja-JP"/>
        </w:rPr>
        <w:t xml:space="preserve"> empagliflozin </w:t>
      </w:r>
      <w:r w:rsidRPr="00371CD9">
        <w:rPr>
          <w:lang w:eastAsia="ja-JP"/>
        </w:rPr>
        <w:t>groups. However, there was a discrepancy in the number of cases of bladder cancer and pancreatic cancer. But these numbers need to be interpreted with caution as the number of cases was small, and</w:t>
      </w:r>
      <w:r>
        <w:rPr>
          <w:lang w:eastAsia="ja-JP"/>
        </w:rPr>
        <w:t xml:space="preserve"> the number of subgroups large.</w:t>
      </w:r>
    </w:p>
    <w:p w14:paraId="7ED589D2" w14:textId="77777777" w:rsidR="00605AD4" w:rsidRPr="00605AD4" w:rsidRDefault="00605AD4" w:rsidP="00605AD4">
      <w:pPr>
        <w:pStyle w:val="Heading3"/>
        <w:rPr>
          <w:rFonts w:eastAsia="Cambria"/>
        </w:rPr>
      </w:pPr>
      <w:bookmarkStart w:id="73" w:name="_Toc497906646"/>
      <w:r w:rsidRPr="00605AD4">
        <w:rPr>
          <w:rFonts w:eastAsia="Cambria"/>
        </w:rPr>
        <w:t>First Round Benefit-Risk Assessment</w:t>
      </w:r>
      <w:bookmarkEnd w:id="73"/>
    </w:p>
    <w:p w14:paraId="61153027" w14:textId="77777777" w:rsidR="00605AD4" w:rsidRDefault="00605AD4" w:rsidP="00605AD4">
      <w:pPr>
        <w:pStyle w:val="Heading4"/>
      </w:pPr>
      <w:r w:rsidRPr="00605AD4">
        <w:t>First round assessment of benefits</w:t>
      </w:r>
    </w:p>
    <w:p w14:paraId="1095A3E9" w14:textId="6881B0A7" w:rsidR="00D4701F" w:rsidRDefault="00D4701F" w:rsidP="00D4701F">
      <w:r>
        <w:t>The benefits of empagliflozin for the prevention in ‘the prevention of cardiovascular events’ has been demonstrated in patients with T2DM</w:t>
      </w:r>
      <w:r w:rsidR="005238EA">
        <w:t>,</w:t>
      </w:r>
      <w:r>
        <w:t xml:space="preserve"> poor glycaemic control and macrovascular risk factors. This study has demonstrated the following benefits in this treatment group:</w:t>
      </w:r>
    </w:p>
    <w:p w14:paraId="57BDE800" w14:textId="515543EA" w:rsidR="00D4701F" w:rsidRDefault="00D4701F" w:rsidP="006513E6">
      <w:pPr>
        <w:pStyle w:val="ListBullet"/>
        <w:numPr>
          <w:ilvl w:val="0"/>
          <w:numId w:val="1"/>
        </w:numPr>
      </w:pPr>
      <w:r>
        <w:t>Non-</w:t>
      </w:r>
      <w:r w:rsidR="005B3C42">
        <w:t>inferiority and superiority of e</w:t>
      </w:r>
      <w:r>
        <w:t>mpagliflozin over placebo for 3-point MACE</w:t>
      </w:r>
    </w:p>
    <w:p w14:paraId="2B7A3758" w14:textId="77777777" w:rsidR="00D4701F" w:rsidRDefault="00D4701F" w:rsidP="006513E6">
      <w:pPr>
        <w:pStyle w:val="ListBullet"/>
        <w:numPr>
          <w:ilvl w:val="0"/>
          <w:numId w:val="1"/>
        </w:numPr>
      </w:pPr>
      <w:r>
        <w:t>Non-inferiority for 4-point MACE</w:t>
      </w:r>
    </w:p>
    <w:p w14:paraId="0AAA01AA" w14:textId="77777777" w:rsidR="00D4701F" w:rsidRDefault="00D4701F" w:rsidP="006513E6">
      <w:pPr>
        <w:pStyle w:val="ListBullet"/>
        <w:numPr>
          <w:ilvl w:val="0"/>
          <w:numId w:val="1"/>
        </w:numPr>
      </w:pPr>
      <w:r>
        <w:t>Reduced cardiovascular mortality</w:t>
      </w:r>
    </w:p>
    <w:p w14:paraId="370E904E" w14:textId="77777777" w:rsidR="00D4701F" w:rsidRDefault="00D4701F" w:rsidP="006513E6">
      <w:pPr>
        <w:pStyle w:val="ListBullet"/>
        <w:numPr>
          <w:ilvl w:val="0"/>
          <w:numId w:val="1"/>
        </w:numPr>
      </w:pPr>
      <w:r>
        <w:t>Reduced hospitalisation for heart failure</w:t>
      </w:r>
    </w:p>
    <w:p w14:paraId="44C2C6FE" w14:textId="77777777" w:rsidR="00D4701F" w:rsidRDefault="00D4701F" w:rsidP="006513E6">
      <w:pPr>
        <w:pStyle w:val="ListBullet"/>
        <w:numPr>
          <w:ilvl w:val="0"/>
          <w:numId w:val="1"/>
        </w:numPr>
      </w:pPr>
      <w:r>
        <w:t>Reduced worsening and new nephropathy</w:t>
      </w:r>
    </w:p>
    <w:p w14:paraId="7F58E320" w14:textId="77777777" w:rsidR="00D4701F" w:rsidRDefault="00D4701F" w:rsidP="006513E6">
      <w:pPr>
        <w:pStyle w:val="ListBullet"/>
        <w:numPr>
          <w:ilvl w:val="0"/>
          <w:numId w:val="1"/>
        </w:numPr>
      </w:pPr>
      <w:r>
        <w:t>No significant increased risk of hypoglycaemia</w:t>
      </w:r>
    </w:p>
    <w:p w14:paraId="100E2F33" w14:textId="77777777" w:rsidR="00D4701F" w:rsidRDefault="00D4701F" w:rsidP="002C7955">
      <w:r w:rsidRPr="00F526C2">
        <w:t>There was no statistically of clinically significant difference in the rate of MI, hospitalisation for angina, stroke or revascularisation procedures to support benefits on macrovascular disease. However it is acknowledged these were secondary endpoints and subject to statistical problems of multiplicity, compounded by small numbers. There was no statistically significant difference in retinopathy.</w:t>
      </w:r>
    </w:p>
    <w:p w14:paraId="0B3572A6" w14:textId="77777777" w:rsidR="00D4701F" w:rsidRDefault="00D4701F" w:rsidP="00BF4B3D">
      <w:r>
        <w:t>The benefits occurred early in the trial.</w:t>
      </w:r>
    </w:p>
    <w:p w14:paraId="446FD044" w14:textId="531629A5" w:rsidR="00D4701F" w:rsidRPr="00D4701F" w:rsidRDefault="00D4701F" w:rsidP="00BF4B3D">
      <w:r>
        <w:t>It is likely that the benefits are independent of glycaemic control.</w:t>
      </w:r>
    </w:p>
    <w:p w14:paraId="04E5338B" w14:textId="77777777" w:rsidR="00605AD4" w:rsidRDefault="00605AD4" w:rsidP="00605AD4">
      <w:pPr>
        <w:pStyle w:val="Heading4"/>
      </w:pPr>
      <w:r w:rsidRPr="00605AD4">
        <w:lastRenderedPageBreak/>
        <w:t>First round assessment of risks</w:t>
      </w:r>
    </w:p>
    <w:p w14:paraId="017BD100" w14:textId="77777777" w:rsidR="00D4701F" w:rsidRPr="00F526C2" w:rsidRDefault="00D4701F" w:rsidP="00D4701F">
      <w:pPr>
        <w:rPr>
          <w:lang w:eastAsia="ja-JP"/>
        </w:rPr>
      </w:pPr>
      <w:r w:rsidRPr="00F526C2">
        <w:rPr>
          <w:lang w:eastAsia="ja-JP"/>
        </w:rPr>
        <w:t xml:space="preserve">The risks of </w:t>
      </w:r>
      <w:r>
        <w:rPr>
          <w:lang w:eastAsia="ja-JP"/>
        </w:rPr>
        <w:t>e</w:t>
      </w:r>
      <w:r w:rsidRPr="00F526C2">
        <w:rPr>
          <w:lang w:eastAsia="ja-JP"/>
        </w:rPr>
        <w:t>mpagliflozin for the prevention of cardiovascular events are:</w:t>
      </w:r>
    </w:p>
    <w:p w14:paraId="060DA533" w14:textId="77777777" w:rsidR="00D4701F" w:rsidRPr="00F526C2" w:rsidRDefault="00D4701F" w:rsidP="006513E6">
      <w:pPr>
        <w:pStyle w:val="ListBullet"/>
        <w:numPr>
          <w:ilvl w:val="0"/>
          <w:numId w:val="1"/>
        </w:numPr>
        <w:rPr>
          <w:lang w:eastAsia="ja-JP"/>
        </w:rPr>
      </w:pPr>
      <w:r w:rsidRPr="00F526C2">
        <w:rPr>
          <w:lang w:eastAsia="ja-JP"/>
        </w:rPr>
        <w:t>A potential increase in the risk of stroke. This may be driven by a reduction in intravascular volume (higher haematocrit).</w:t>
      </w:r>
    </w:p>
    <w:p w14:paraId="548751D8" w14:textId="77777777" w:rsidR="00D4701F" w:rsidRPr="00F526C2" w:rsidRDefault="00D4701F" w:rsidP="006513E6">
      <w:pPr>
        <w:pStyle w:val="ListBullet"/>
        <w:numPr>
          <w:ilvl w:val="0"/>
          <w:numId w:val="1"/>
        </w:numPr>
        <w:rPr>
          <w:lang w:eastAsia="ja-JP"/>
        </w:rPr>
      </w:pPr>
      <w:r w:rsidRPr="00F526C2">
        <w:rPr>
          <w:lang w:eastAsia="ja-JP"/>
        </w:rPr>
        <w:t>A higher rate of serious adverse events in patients with moderate renal impairment.</w:t>
      </w:r>
    </w:p>
    <w:p w14:paraId="665BB945" w14:textId="77777777" w:rsidR="00D4701F" w:rsidRPr="00F526C2" w:rsidRDefault="00D4701F" w:rsidP="006513E6">
      <w:pPr>
        <w:pStyle w:val="ListBullet"/>
        <w:numPr>
          <w:ilvl w:val="0"/>
          <w:numId w:val="1"/>
        </w:numPr>
        <w:rPr>
          <w:lang w:eastAsia="ja-JP"/>
        </w:rPr>
      </w:pPr>
      <w:r w:rsidRPr="00F526C2">
        <w:rPr>
          <w:lang w:eastAsia="ja-JP"/>
        </w:rPr>
        <w:t>Increased risk of genital infections and urinary sepsis (known risks)</w:t>
      </w:r>
    </w:p>
    <w:p w14:paraId="25E5F1D9" w14:textId="67DF78EF" w:rsidR="00D4701F" w:rsidRDefault="00D4701F" w:rsidP="00D4701F">
      <w:pPr>
        <w:rPr>
          <w:lang w:eastAsia="ja-JP"/>
        </w:rPr>
      </w:pPr>
      <w:r w:rsidRPr="00F526C2">
        <w:rPr>
          <w:lang w:eastAsia="ja-JP"/>
        </w:rPr>
        <w:t xml:space="preserve">There was no evidence of benefit for MI, stroke, unstable angina, </w:t>
      </w:r>
      <w:r>
        <w:rPr>
          <w:lang w:eastAsia="ja-JP"/>
        </w:rPr>
        <w:t>or revascularisation procedure.</w:t>
      </w:r>
    </w:p>
    <w:p w14:paraId="196CCC3B" w14:textId="77777777" w:rsidR="003B1D9B" w:rsidRPr="00F526C2" w:rsidRDefault="003B1D9B" w:rsidP="003B1D9B">
      <w:pPr>
        <w:pStyle w:val="Heading5"/>
      </w:pPr>
      <w:r w:rsidRPr="00F526C2">
        <w:t>U</w:t>
      </w:r>
      <w:r>
        <w:t>nknowns</w:t>
      </w:r>
    </w:p>
    <w:p w14:paraId="7DE3BC43" w14:textId="253B2F70" w:rsidR="003B1D9B" w:rsidRPr="00F526C2" w:rsidRDefault="003B1D9B" w:rsidP="003B1D9B">
      <w:pPr>
        <w:rPr>
          <w:lang w:eastAsia="ja-JP"/>
        </w:rPr>
      </w:pPr>
      <w:r w:rsidRPr="00F526C2">
        <w:rPr>
          <w:lang w:eastAsia="ja-JP"/>
        </w:rPr>
        <w:t xml:space="preserve">Empagliflozin has not been studied in Indigenous people of Australia. This group have a high baseline risk of renal disease and </w:t>
      </w:r>
      <w:r>
        <w:rPr>
          <w:lang w:eastAsia="ja-JP"/>
        </w:rPr>
        <w:t xml:space="preserve">infections, </w:t>
      </w:r>
      <w:r w:rsidRPr="00F526C2">
        <w:rPr>
          <w:lang w:eastAsia="ja-JP"/>
        </w:rPr>
        <w:t>in particular</w:t>
      </w:r>
      <w:r w:rsidR="00BA6964">
        <w:rPr>
          <w:lang w:eastAsia="ja-JP"/>
        </w:rPr>
        <w:t xml:space="preserve"> sexually transmitted diseases</w:t>
      </w:r>
      <w:r w:rsidRPr="00F526C2">
        <w:rPr>
          <w:lang w:eastAsia="ja-JP"/>
        </w:rPr>
        <w:t>. However</w:t>
      </w:r>
      <w:r w:rsidR="009C1D11">
        <w:rPr>
          <w:lang w:eastAsia="ja-JP"/>
        </w:rPr>
        <w:t>,</w:t>
      </w:r>
      <w:r w:rsidRPr="00F526C2">
        <w:rPr>
          <w:lang w:eastAsia="ja-JP"/>
        </w:rPr>
        <w:t xml:space="preserve"> they also have a high rate of diabetes related morbidity and mortality. The benefit risk ratio may b</w:t>
      </w:r>
      <w:r>
        <w:rPr>
          <w:lang w:eastAsia="ja-JP"/>
        </w:rPr>
        <w:t>e different in this population.</w:t>
      </w:r>
    </w:p>
    <w:p w14:paraId="06A23F8E" w14:textId="602AD23D" w:rsidR="003B1D9B" w:rsidRPr="00D4701F" w:rsidRDefault="003B1D9B" w:rsidP="00D4701F">
      <w:pPr>
        <w:rPr>
          <w:lang w:eastAsia="ja-JP"/>
        </w:rPr>
      </w:pPr>
      <w:r w:rsidRPr="00F526C2">
        <w:rPr>
          <w:lang w:eastAsia="ja-JP"/>
        </w:rPr>
        <w:t>Interactions</w:t>
      </w:r>
      <w:r w:rsidR="005238EA">
        <w:rPr>
          <w:lang w:eastAsia="ja-JP"/>
        </w:rPr>
        <w:t xml:space="preserve"> encountered</w:t>
      </w:r>
      <w:r w:rsidRPr="00F526C2">
        <w:rPr>
          <w:lang w:eastAsia="ja-JP"/>
        </w:rPr>
        <w:t xml:space="preserve"> with other medications in the prevention of cardiovascular death. The study was not powered to determine if </w:t>
      </w:r>
      <w:r w:rsidR="00BA6964">
        <w:rPr>
          <w:lang w:eastAsia="ja-JP"/>
        </w:rPr>
        <w:t xml:space="preserve">concomitant treatment with ACEi, beta </w:t>
      </w:r>
      <w:r w:rsidRPr="00F526C2">
        <w:rPr>
          <w:lang w:eastAsia="ja-JP"/>
        </w:rPr>
        <w:t>blockers, calcium channel blockers, or diuretics altered the efficacy.</w:t>
      </w:r>
    </w:p>
    <w:p w14:paraId="67F71A22" w14:textId="77777777" w:rsidR="00605AD4" w:rsidRPr="00605AD4" w:rsidRDefault="00605AD4" w:rsidP="00605AD4">
      <w:pPr>
        <w:pStyle w:val="Heading4"/>
      </w:pPr>
      <w:r w:rsidRPr="00605AD4">
        <w:t>First round assessment of benefit-risk balance</w:t>
      </w:r>
    </w:p>
    <w:p w14:paraId="50336340" w14:textId="5262DE71" w:rsidR="003B1D9B" w:rsidRDefault="003B1D9B" w:rsidP="003B1D9B">
      <w:r>
        <w:t xml:space="preserve">Overall, the risk-benefit ratio for the current indications </w:t>
      </w:r>
      <w:r w:rsidR="005238EA">
        <w:t xml:space="preserve">is </w:t>
      </w:r>
      <w:r>
        <w:t xml:space="preserve">favourable. The EMPA-REG </w:t>
      </w:r>
      <w:r w:rsidR="00BA6964">
        <w:t xml:space="preserve">OUTCOME </w:t>
      </w:r>
      <w:r>
        <w:t>study demonstrated that empagliflozin has advantages over other glucose lowering drugs in the reduction in cardiovascular mortality in T2DM.</w:t>
      </w:r>
    </w:p>
    <w:p w14:paraId="0DB284DD" w14:textId="0C788B83" w:rsidR="00605AD4" w:rsidRPr="00605AD4" w:rsidRDefault="003B1D9B" w:rsidP="003B1D9B">
      <w:pPr>
        <w:autoSpaceDE w:val="0"/>
        <w:autoSpaceDN w:val="0"/>
        <w:adjustRightInd w:val="0"/>
      </w:pPr>
      <w:r>
        <w:t>In addition, there is sufficient evidence to support the efficacy and safety in patients with mild and moderate renal impairment.</w:t>
      </w:r>
    </w:p>
    <w:p w14:paraId="149FC517" w14:textId="77777777" w:rsidR="00605AD4" w:rsidRPr="00605AD4" w:rsidRDefault="00605AD4" w:rsidP="00605AD4">
      <w:pPr>
        <w:pStyle w:val="Heading3"/>
        <w:rPr>
          <w:rFonts w:eastAsia="Cambria"/>
        </w:rPr>
      </w:pPr>
      <w:bookmarkStart w:id="74" w:name="_Toc497906647"/>
      <w:r w:rsidRPr="00605AD4">
        <w:rPr>
          <w:rFonts w:eastAsia="Cambria"/>
        </w:rPr>
        <w:t>First Round Recommendation Regarding Authorisation</w:t>
      </w:r>
      <w:bookmarkEnd w:id="74"/>
    </w:p>
    <w:p w14:paraId="6280FA80" w14:textId="77777777" w:rsidR="009C368A" w:rsidRPr="00A96C11" w:rsidRDefault="009C368A" w:rsidP="009C368A">
      <w:pPr>
        <w:pStyle w:val="Heading4"/>
      </w:pPr>
      <w:r w:rsidRPr="00A96C11">
        <w:t>Use to prevent cardiovascular events</w:t>
      </w:r>
    </w:p>
    <w:p w14:paraId="0916DFAA" w14:textId="2086ED3F" w:rsidR="009C368A" w:rsidRPr="00A96C11" w:rsidRDefault="009C368A" w:rsidP="009C368A">
      <w:pPr>
        <w:rPr>
          <w:lang w:eastAsia="ja-JP"/>
        </w:rPr>
      </w:pPr>
      <w:r w:rsidRPr="00A96C11">
        <w:rPr>
          <w:lang w:eastAsia="ja-JP"/>
        </w:rPr>
        <w:t xml:space="preserve">The clinical evaluator would recommend approval for this indication. The </w:t>
      </w:r>
      <w:r w:rsidR="009C1D11">
        <w:rPr>
          <w:lang w:eastAsia="ja-JP"/>
        </w:rPr>
        <w:t>D</w:t>
      </w:r>
      <w:r w:rsidR="009C1D11" w:rsidRPr="00A96C11">
        <w:rPr>
          <w:lang w:eastAsia="ja-JP"/>
        </w:rPr>
        <w:t xml:space="preserve">elegate </w:t>
      </w:r>
      <w:r w:rsidRPr="00A96C11">
        <w:rPr>
          <w:lang w:eastAsia="ja-JP"/>
        </w:rPr>
        <w:t>may consider rewording of the indication with conside</w:t>
      </w:r>
      <w:r>
        <w:rPr>
          <w:lang w:eastAsia="ja-JP"/>
        </w:rPr>
        <w:t>ration to the following issues:</w:t>
      </w:r>
    </w:p>
    <w:p w14:paraId="4D8F2418" w14:textId="77777777" w:rsidR="009C368A" w:rsidRPr="00143638" w:rsidRDefault="009C368A" w:rsidP="006513E6">
      <w:pPr>
        <w:pStyle w:val="Numberbullet0"/>
        <w:numPr>
          <w:ilvl w:val="0"/>
          <w:numId w:val="6"/>
        </w:numPr>
        <w:rPr>
          <w:lang w:eastAsia="ja-JP"/>
        </w:rPr>
      </w:pPr>
      <w:r w:rsidRPr="00143638">
        <w:rPr>
          <w:i/>
          <w:lang w:eastAsia="ja-JP"/>
        </w:rPr>
        <w:t>Is the patient group (patients with type 2 diabetes and poor glycaemic control) different than the population of patients for which empagliflozin is currently indicated for?</w:t>
      </w:r>
    </w:p>
    <w:p w14:paraId="0768946C" w14:textId="2D77607C" w:rsidR="009C368A" w:rsidRPr="00A96C11" w:rsidRDefault="009C368A" w:rsidP="009C368A">
      <w:pPr>
        <w:rPr>
          <w:lang w:eastAsia="ja-JP"/>
        </w:rPr>
      </w:pPr>
      <w:r w:rsidRPr="00A96C11">
        <w:rPr>
          <w:lang w:eastAsia="ja-JP"/>
        </w:rPr>
        <w:t xml:space="preserve">The sponsor has performed a large, well conducted, clinical study to support the safety and efficacy of </w:t>
      </w:r>
      <w:r>
        <w:rPr>
          <w:lang w:eastAsia="ja-JP"/>
        </w:rPr>
        <w:t>e</w:t>
      </w:r>
      <w:r w:rsidRPr="00A96C11">
        <w:rPr>
          <w:lang w:eastAsia="ja-JP"/>
        </w:rPr>
        <w:t>mpagliflozin</w:t>
      </w:r>
      <w:r>
        <w:rPr>
          <w:lang w:eastAsia="ja-JP"/>
        </w:rPr>
        <w:t xml:space="preserve"> </w:t>
      </w:r>
      <w:r w:rsidRPr="00A96C11">
        <w:rPr>
          <w:lang w:eastAsia="ja-JP"/>
        </w:rPr>
        <w:t xml:space="preserve">in patients with T2DM and high cardiovascular risk. Unlike many other drugs used to treat T2DM, a reduction in cardiovascular death was demonstrated. Although patients in the </w:t>
      </w:r>
      <w:r>
        <w:rPr>
          <w:lang w:eastAsia="ja-JP"/>
        </w:rPr>
        <w:t>e</w:t>
      </w:r>
      <w:r w:rsidRPr="00A96C11">
        <w:rPr>
          <w:lang w:eastAsia="ja-JP"/>
        </w:rPr>
        <w:t xml:space="preserve">mpagliflozin arm also experienced an improvement in glycaemic control, weight and </w:t>
      </w:r>
      <w:r w:rsidR="00702B48">
        <w:rPr>
          <w:lang w:eastAsia="ja-JP"/>
        </w:rPr>
        <w:t>BP</w:t>
      </w:r>
      <w:r w:rsidRPr="00A96C11">
        <w:rPr>
          <w:lang w:eastAsia="ja-JP"/>
        </w:rPr>
        <w:t xml:space="preserve">, other studies that have examined the effects of improved glycaemic control on cardiovascular outcomes have not shown similar benefits. Thus, the effects of cardiovascular death </w:t>
      </w:r>
      <w:r w:rsidR="005B3C42">
        <w:rPr>
          <w:lang w:eastAsia="ja-JP"/>
        </w:rPr>
        <w:t>are probably separate to the</w:t>
      </w:r>
      <w:r w:rsidRPr="00A96C11">
        <w:rPr>
          <w:lang w:eastAsia="ja-JP"/>
        </w:rPr>
        <w:t xml:space="preserve"> effect on glycaemic control. However</w:t>
      </w:r>
      <w:r w:rsidR="009C1D11">
        <w:rPr>
          <w:lang w:eastAsia="ja-JP"/>
        </w:rPr>
        <w:t>,</w:t>
      </w:r>
      <w:r w:rsidRPr="00A96C11">
        <w:rPr>
          <w:lang w:eastAsia="ja-JP"/>
        </w:rPr>
        <w:t xml:space="preserve"> to include the prevention of cardiovascular death as a new indication would allow treatment with empagliflozin in patients with T2DM and adequate glycaemic control (HbA1c</w:t>
      </w:r>
      <w:r>
        <w:rPr>
          <w:lang w:eastAsia="ja-JP"/>
        </w:rPr>
        <w:t xml:space="preserve"> </w:t>
      </w:r>
      <w:r w:rsidRPr="00A96C11">
        <w:rPr>
          <w:lang w:eastAsia="ja-JP"/>
        </w:rPr>
        <w:t>&lt;</w:t>
      </w:r>
      <w:r>
        <w:rPr>
          <w:lang w:eastAsia="ja-JP"/>
        </w:rPr>
        <w:t xml:space="preserve"> </w:t>
      </w:r>
      <w:r w:rsidRPr="00A96C11">
        <w:rPr>
          <w:lang w:eastAsia="ja-JP"/>
        </w:rPr>
        <w:t>7%). This was not the primary aim of the study, thus the evidence for this relies upon results of subgroup analysis of a relatively small patient group with multiple possible co</w:t>
      </w:r>
      <w:r>
        <w:rPr>
          <w:lang w:eastAsia="ja-JP"/>
        </w:rPr>
        <w:t>nfounding factors.</w:t>
      </w:r>
    </w:p>
    <w:p w14:paraId="5212B5B2" w14:textId="77777777" w:rsidR="009C368A" w:rsidRDefault="009C368A" w:rsidP="006513E6">
      <w:pPr>
        <w:pStyle w:val="Numberbullet0"/>
        <w:numPr>
          <w:ilvl w:val="0"/>
          <w:numId w:val="5"/>
        </w:numPr>
        <w:rPr>
          <w:lang w:eastAsia="ja-JP"/>
        </w:rPr>
      </w:pPr>
      <w:r w:rsidRPr="00143638">
        <w:rPr>
          <w:i/>
          <w:lang w:eastAsia="ja-JP"/>
        </w:rPr>
        <w:t xml:space="preserve">The term high cardiovascular risk is not well defined in the PI, </w:t>
      </w:r>
      <w:r w:rsidRPr="00E97562">
        <w:rPr>
          <w:lang w:eastAsia="ja-JP"/>
        </w:rPr>
        <w:t>and may be interpreted to mean different things to prescribers.</w:t>
      </w:r>
    </w:p>
    <w:p w14:paraId="32D14BED" w14:textId="77777777" w:rsidR="009C368A" w:rsidRPr="009C368A" w:rsidRDefault="009C368A" w:rsidP="009C368A">
      <w:pPr>
        <w:rPr>
          <w:lang w:eastAsia="ja-JP"/>
        </w:rPr>
      </w:pPr>
      <w:r w:rsidRPr="00A96C11">
        <w:rPr>
          <w:lang w:eastAsia="ja-JP"/>
        </w:rPr>
        <w:lastRenderedPageBreak/>
        <w:t>The clinical trial included patients with a history of coronary artery disease, cerebrovascular disease and peripheral vascular disease. Some may consider all patients with T2DM to have high cardiovascular risk. The study results cannot be reliably extrapolated to a population with lower cardiovascular risk as this group will have a lower absolute risk reduction. The EU recommended using the inclusion criteria for the trial to better define the indication. However the evaluator is concerned about promoting the use of empagliflozin in patients with high risk of cerebrovascular and peripheral vascular disease (but lower risk of coronary artery disease) due to the imbalance in adverse ev</w:t>
      </w:r>
      <w:r>
        <w:rPr>
          <w:lang w:eastAsia="ja-JP"/>
        </w:rPr>
        <w:t xml:space="preserve">ents </w:t>
      </w:r>
      <w:r w:rsidRPr="009C368A">
        <w:rPr>
          <w:lang w:eastAsia="ja-JP"/>
        </w:rPr>
        <w:t>of stroke and amputation (for another drug in this class).</w:t>
      </w:r>
    </w:p>
    <w:p w14:paraId="225A89E8" w14:textId="6487D2BF" w:rsidR="009C368A" w:rsidRPr="009C368A" w:rsidRDefault="009C368A" w:rsidP="006513E6">
      <w:pPr>
        <w:pStyle w:val="Numberbullet0"/>
        <w:numPr>
          <w:ilvl w:val="0"/>
          <w:numId w:val="5"/>
        </w:numPr>
        <w:rPr>
          <w:lang w:eastAsia="ja-JP"/>
        </w:rPr>
      </w:pPr>
      <w:r w:rsidRPr="009C368A">
        <w:rPr>
          <w:i/>
          <w:lang w:eastAsia="ja-JP"/>
        </w:rPr>
        <w:t>There needs to be greater emphasis on the use of empagliflozin in the context of other measures to reduce cardiovascular risk</w:t>
      </w:r>
      <w:r w:rsidRPr="009C368A">
        <w:rPr>
          <w:lang w:eastAsia="ja-JP"/>
        </w:rPr>
        <w:t xml:space="preserve"> (su</w:t>
      </w:r>
      <w:r w:rsidR="00BA6964">
        <w:rPr>
          <w:lang w:eastAsia="ja-JP"/>
        </w:rPr>
        <w:t>ch as lipid lowering drugs, ACE</w:t>
      </w:r>
      <w:r w:rsidRPr="009C368A">
        <w:rPr>
          <w:lang w:eastAsia="ja-JP"/>
        </w:rPr>
        <w:t>i, aspirin, weight reduction and smoking cessation).</w:t>
      </w:r>
    </w:p>
    <w:p w14:paraId="066955B6" w14:textId="38E77A78" w:rsidR="009C368A" w:rsidRPr="00A96C11" w:rsidRDefault="009C368A" w:rsidP="009C368A">
      <w:pPr>
        <w:rPr>
          <w:lang w:eastAsia="ja-JP"/>
        </w:rPr>
      </w:pPr>
      <w:r w:rsidRPr="008C2A01">
        <w:rPr>
          <w:i/>
          <w:lang w:eastAsia="ja-JP"/>
        </w:rPr>
        <w:t>Comparison to other drugs used for cardiovascular prevention</w:t>
      </w:r>
      <w:r w:rsidRPr="00A96C11">
        <w:rPr>
          <w:lang w:eastAsia="ja-JP"/>
        </w:rPr>
        <w:t xml:space="preserve">: The sponsor has stated that the magnitude of the effect demonstrated in the EMPA-REG </w:t>
      </w:r>
      <w:r w:rsidR="005B3C42">
        <w:rPr>
          <w:lang w:eastAsia="ja-JP"/>
        </w:rPr>
        <w:t xml:space="preserve">OUTCOME </w:t>
      </w:r>
      <w:r w:rsidRPr="00A96C11">
        <w:rPr>
          <w:lang w:eastAsia="ja-JP"/>
        </w:rPr>
        <w:t>study is numerically similar to or greater than those seen in the outcome trials that established the use of sta</w:t>
      </w:r>
      <w:r>
        <w:rPr>
          <w:lang w:eastAsia="ja-JP"/>
        </w:rPr>
        <w:t>tins or ACEi</w:t>
      </w:r>
      <w:r w:rsidRPr="00A96C11">
        <w:rPr>
          <w:lang w:eastAsia="ja-JP"/>
        </w:rPr>
        <w:t>/ARBs. In the Scandinavian Simvastatin Surviva</w:t>
      </w:r>
      <w:r w:rsidR="00F516EA">
        <w:rPr>
          <w:lang w:eastAsia="ja-JP"/>
        </w:rPr>
        <w:t>l Study in patients with high cardiovascular</w:t>
      </w:r>
      <w:r w:rsidRPr="00A96C11">
        <w:rPr>
          <w:lang w:eastAsia="ja-JP"/>
        </w:rPr>
        <w:t xml:space="preserve"> risk, the risk of death was reduced by 30% with simvastatin</w:t>
      </w:r>
      <w:r w:rsidR="005B3C42">
        <w:rPr>
          <w:lang w:eastAsia="ja-JP"/>
        </w:rPr>
        <w:t xml:space="preserve"> compared with placebo, with a number need to treat (</w:t>
      </w:r>
      <w:r w:rsidRPr="00A96C11">
        <w:rPr>
          <w:lang w:eastAsia="ja-JP"/>
        </w:rPr>
        <w:t>NNT</w:t>
      </w:r>
      <w:r w:rsidR="005B3C42">
        <w:rPr>
          <w:lang w:eastAsia="ja-JP"/>
        </w:rPr>
        <w:t>)</w:t>
      </w:r>
      <w:r w:rsidRPr="00A96C11">
        <w:rPr>
          <w:lang w:eastAsia="ja-JP"/>
        </w:rPr>
        <w:t xml:space="preserve"> of 30 to prevent 1 death in 5 years. </w:t>
      </w:r>
      <w:r>
        <w:rPr>
          <w:lang w:eastAsia="ja-JP"/>
        </w:rPr>
        <w:t>Reported in 2000, the ‘HOPE’</w:t>
      </w:r>
      <w:r w:rsidR="00F516EA">
        <w:rPr>
          <w:lang w:eastAsia="ja-JP"/>
        </w:rPr>
        <w:t xml:space="preserve"> study in patients with high cardiovascular</w:t>
      </w:r>
      <w:r w:rsidRPr="00A96C11">
        <w:rPr>
          <w:lang w:eastAsia="ja-JP"/>
        </w:rPr>
        <w:t xml:space="preserve"> risk demonstrated that ramipril (an ACEi) reduced</w:t>
      </w:r>
      <w:r w:rsidR="00F516EA">
        <w:rPr>
          <w:lang w:eastAsia="ja-JP"/>
        </w:rPr>
        <w:t xml:space="preserve"> the risk of death by 16% and cardiovascular</w:t>
      </w:r>
      <w:r w:rsidRPr="00A96C11">
        <w:rPr>
          <w:lang w:eastAsia="ja-JP"/>
        </w:rPr>
        <w:t xml:space="preserve"> death by 26%, with an NNT of 5</w:t>
      </w:r>
      <w:r>
        <w:rPr>
          <w:lang w:eastAsia="ja-JP"/>
        </w:rPr>
        <w:t>6 to prevent 1 death in 5 years</w:t>
      </w:r>
      <w:r w:rsidRPr="00A96C11">
        <w:rPr>
          <w:lang w:eastAsia="ja-JP"/>
        </w:rPr>
        <w:t>.</w:t>
      </w:r>
    </w:p>
    <w:p w14:paraId="1209E516" w14:textId="77777777" w:rsidR="009C368A" w:rsidRPr="00A96C11" w:rsidRDefault="009C368A" w:rsidP="009C368A">
      <w:pPr>
        <w:rPr>
          <w:lang w:eastAsia="ja-JP"/>
        </w:rPr>
      </w:pPr>
      <w:r w:rsidRPr="00A96C11">
        <w:rPr>
          <w:lang w:eastAsia="ja-JP"/>
        </w:rPr>
        <w:t>The evaluator notes that the i</w:t>
      </w:r>
      <w:r>
        <w:rPr>
          <w:lang w:eastAsia="ja-JP"/>
        </w:rPr>
        <w:t>ndications for ramipril include:</w:t>
      </w:r>
    </w:p>
    <w:p w14:paraId="20A638CA" w14:textId="77777777" w:rsidR="009C368A" w:rsidRPr="008C2A01" w:rsidRDefault="009C368A" w:rsidP="009C368A">
      <w:pPr>
        <w:ind w:left="360" w:firstLine="360"/>
        <w:rPr>
          <w:i/>
          <w:lang w:eastAsia="ja-JP"/>
        </w:rPr>
      </w:pPr>
      <w:r w:rsidRPr="008C2A01">
        <w:rPr>
          <w:i/>
          <w:lang w:eastAsia="ja-JP"/>
        </w:rPr>
        <w:t>‘</w:t>
      </w:r>
      <w:proofErr w:type="gramStart"/>
      <w:r w:rsidRPr="008C2A01">
        <w:rPr>
          <w:i/>
          <w:lang w:eastAsia="ja-JP"/>
        </w:rPr>
        <w:t>treatment</w:t>
      </w:r>
      <w:proofErr w:type="gramEnd"/>
      <w:r w:rsidRPr="008C2A01">
        <w:rPr>
          <w:i/>
          <w:lang w:eastAsia="ja-JP"/>
        </w:rPr>
        <w:t xml:space="preserve"> of hypertension;</w:t>
      </w:r>
    </w:p>
    <w:p w14:paraId="48ED76FE" w14:textId="77777777" w:rsidR="007F2E71" w:rsidRDefault="009C368A" w:rsidP="009C368A">
      <w:pPr>
        <w:ind w:left="720"/>
        <w:rPr>
          <w:i/>
          <w:lang w:eastAsia="ja-JP"/>
        </w:rPr>
      </w:pPr>
      <w:r w:rsidRPr="008C2A01">
        <w:rPr>
          <w:i/>
          <w:lang w:eastAsia="ja-JP"/>
        </w:rPr>
        <w:t>reducing the risk of myocardial infraction, stroke, cardiovascular death or the need for revascularisation procedures in patients 55 years of age or more who have clinical evidence of coronary artery</w:t>
      </w:r>
      <w:r>
        <w:rPr>
          <w:i/>
          <w:lang w:eastAsia="ja-JP"/>
        </w:rPr>
        <w:t xml:space="preserve"> </w:t>
      </w:r>
      <w:r w:rsidRPr="008C2A01">
        <w:rPr>
          <w:i/>
          <w:lang w:eastAsia="ja-JP"/>
        </w:rPr>
        <w:t>disease, stroke or peripheral vascular disease;</w:t>
      </w:r>
    </w:p>
    <w:p w14:paraId="7C291CF4" w14:textId="58FAC27E" w:rsidR="009C368A" w:rsidRPr="008C2A01" w:rsidRDefault="007F2E71" w:rsidP="009C368A">
      <w:pPr>
        <w:ind w:left="720"/>
        <w:rPr>
          <w:i/>
          <w:lang w:eastAsia="ja-JP"/>
        </w:rPr>
      </w:pPr>
      <w:r>
        <w:rPr>
          <w:i/>
          <w:lang w:eastAsia="ja-JP"/>
        </w:rPr>
        <w:t xml:space="preserve"> </w:t>
      </w:r>
      <w:r w:rsidR="009C368A" w:rsidRPr="008C2A01">
        <w:rPr>
          <w:i/>
          <w:lang w:eastAsia="ja-JP"/>
        </w:rPr>
        <w:t>reducing the risk of myocardial infarction, stroke, cardiovascular death or revascularisation procedures in diabetic patients 55 years or more with one or more of the following risk factors: systolic blood pressure &gt; 160 mmHg or diastolic BP &gt; 90 mmHg (or on antihypertensive treatment), total cholesterol &gt; 5.2mmol/L or HDL ,0.9mmol/L, current smoker, known microalbuminuria, and evidence or previous vascular disease.’</w:t>
      </w:r>
    </w:p>
    <w:p w14:paraId="5048B473" w14:textId="77777777" w:rsidR="009C368A" w:rsidRPr="00A96C11" w:rsidRDefault="009C368A" w:rsidP="009C368A">
      <w:pPr>
        <w:rPr>
          <w:lang w:eastAsia="ja-JP"/>
        </w:rPr>
      </w:pPr>
      <w:r w:rsidRPr="00A96C11">
        <w:rPr>
          <w:lang w:eastAsia="ja-JP"/>
        </w:rPr>
        <w:t>In the pivotal clinical trials for the cardiovascular indications, hypertension was not a compulsory inclusion criteria (thus the hypertension indication would not have covered this patient group) and the improvement in cardiovascular outcomes were significant</w:t>
      </w:r>
      <w:r>
        <w:rPr>
          <w:lang w:eastAsia="ja-JP"/>
        </w:rPr>
        <w:t xml:space="preserve"> for all subcomponents of the 3-</w:t>
      </w:r>
      <w:r w:rsidRPr="00A96C11">
        <w:rPr>
          <w:lang w:eastAsia="ja-JP"/>
        </w:rPr>
        <w:t>point MACE (cardiovascular death, MI and stroke).</w:t>
      </w:r>
    </w:p>
    <w:p w14:paraId="103F8AB4" w14:textId="77777777" w:rsidR="009C368A" w:rsidRPr="00A96C11" w:rsidRDefault="009C368A" w:rsidP="009C368A">
      <w:pPr>
        <w:rPr>
          <w:lang w:eastAsia="ja-JP"/>
        </w:rPr>
      </w:pPr>
      <w:r w:rsidRPr="00A96C11">
        <w:rPr>
          <w:lang w:eastAsia="ja-JP"/>
        </w:rPr>
        <w:t>The indications for simvastatin include</w:t>
      </w:r>
      <w:r>
        <w:rPr>
          <w:lang w:eastAsia="ja-JP"/>
        </w:rPr>
        <w:t>:</w:t>
      </w:r>
    </w:p>
    <w:p w14:paraId="70B8D695" w14:textId="77777777" w:rsidR="009C368A" w:rsidRPr="008C2A01" w:rsidRDefault="009C368A" w:rsidP="009C368A">
      <w:pPr>
        <w:ind w:left="720"/>
        <w:rPr>
          <w:i/>
          <w:lang w:eastAsia="ja-JP"/>
        </w:rPr>
      </w:pPr>
      <w:r>
        <w:rPr>
          <w:i/>
          <w:lang w:eastAsia="ja-JP"/>
        </w:rPr>
        <w:t>‘</w:t>
      </w:r>
      <w:proofErr w:type="gramStart"/>
      <w:r w:rsidRPr="008C2A01">
        <w:rPr>
          <w:i/>
          <w:lang w:eastAsia="ja-JP"/>
        </w:rPr>
        <w:t>as</w:t>
      </w:r>
      <w:proofErr w:type="gramEnd"/>
      <w:r w:rsidRPr="008C2A01">
        <w:rPr>
          <w:i/>
          <w:lang w:eastAsia="ja-JP"/>
        </w:rPr>
        <w:t xml:space="preserve"> an adjunct to diet for the treatment of hypercholesterolaemia</w:t>
      </w:r>
      <w:r>
        <w:rPr>
          <w:i/>
          <w:lang w:eastAsia="ja-JP"/>
        </w:rPr>
        <w:t>;</w:t>
      </w:r>
    </w:p>
    <w:p w14:paraId="7E0CFEFF" w14:textId="77777777" w:rsidR="009C368A" w:rsidRPr="008C2A01" w:rsidRDefault="009C368A" w:rsidP="009C368A">
      <w:pPr>
        <w:ind w:left="720"/>
        <w:rPr>
          <w:i/>
          <w:lang w:eastAsia="ja-JP"/>
        </w:rPr>
      </w:pPr>
      <w:r w:rsidRPr="008C2A01">
        <w:rPr>
          <w:i/>
          <w:lang w:eastAsia="ja-JP"/>
        </w:rPr>
        <w:t>in patients at high risk of CHD (with or without hypercholesterolaemia) including patients with diabetes, history of stroke or other cerebrovascular disease, peripheral vascular disease, or with existing CHD to reduce the risk of cardiovascular death, major cardiovascular events including stroke and hospitalisation due to angina pectoris.</w:t>
      </w:r>
      <w:r>
        <w:rPr>
          <w:i/>
          <w:lang w:eastAsia="ja-JP"/>
        </w:rPr>
        <w:t>’</w:t>
      </w:r>
    </w:p>
    <w:p w14:paraId="539F79FE" w14:textId="786F73D9" w:rsidR="009C368A" w:rsidRPr="00A96C11" w:rsidRDefault="009C368A" w:rsidP="009C368A">
      <w:pPr>
        <w:rPr>
          <w:lang w:eastAsia="ja-JP"/>
        </w:rPr>
      </w:pPr>
      <w:r w:rsidRPr="00A96C11">
        <w:rPr>
          <w:lang w:eastAsia="ja-JP"/>
        </w:rPr>
        <w:t xml:space="preserve">In the pivotal study </w:t>
      </w:r>
      <w:r>
        <w:rPr>
          <w:lang w:eastAsia="ja-JP"/>
        </w:rPr>
        <w:t>for the cardiovascular outcomes</w:t>
      </w:r>
      <w:r w:rsidRPr="00A96C11">
        <w:rPr>
          <w:lang w:eastAsia="ja-JP"/>
        </w:rPr>
        <w:t>, the baseline LDL was less than 2.6</w:t>
      </w:r>
      <w:r>
        <w:rPr>
          <w:lang w:eastAsia="ja-JP"/>
        </w:rPr>
        <w:t> </w:t>
      </w:r>
      <w:r w:rsidRPr="00A96C11">
        <w:rPr>
          <w:lang w:eastAsia="ja-JP"/>
        </w:rPr>
        <w:t>mmol/L in about 17% and between 2.6 and 3.4</w:t>
      </w:r>
      <w:r>
        <w:rPr>
          <w:lang w:eastAsia="ja-JP"/>
        </w:rPr>
        <w:t xml:space="preserve"> </w:t>
      </w:r>
      <w:r w:rsidRPr="00A96C11">
        <w:rPr>
          <w:lang w:eastAsia="ja-JP"/>
        </w:rPr>
        <w:t>mmol/L in about 35%; for total cholesterol about 19% had levels less than 5.0</w:t>
      </w:r>
      <w:r>
        <w:rPr>
          <w:lang w:eastAsia="ja-JP"/>
        </w:rPr>
        <w:t xml:space="preserve"> </w:t>
      </w:r>
      <w:r w:rsidRPr="00A96C11">
        <w:rPr>
          <w:lang w:eastAsia="ja-JP"/>
        </w:rPr>
        <w:t>mmol</w:t>
      </w:r>
      <w:r>
        <w:rPr>
          <w:lang w:eastAsia="ja-JP"/>
        </w:rPr>
        <w:t xml:space="preserve">/L and 38% had levels between 5 to </w:t>
      </w:r>
      <w:r w:rsidRPr="00A96C11">
        <w:rPr>
          <w:lang w:eastAsia="ja-JP"/>
        </w:rPr>
        <w:t>6.0</w:t>
      </w:r>
      <w:r>
        <w:rPr>
          <w:lang w:eastAsia="ja-JP"/>
        </w:rPr>
        <w:t xml:space="preserve"> </w:t>
      </w:r>
      <w:r w:rsidRPr="00A96C11">
        <w:rPr>
          <w:lang w:eastAsia="ja-JP"/>
        </w:rPr>
        <w:t>mmol/L (therefore would not have been covered by the hypercholesterolaemia indication). There were statistically significant benefits in</w:t>
      </w:r>
      <w:r w:rsidR="00B550CB">
        <w:rPr>
          <w:lang w:eastAsia="ja-JP"/>
        </w:rPr>
        <w:t xml:space="preserve"> mortality, coronary heart </w:t>
      </w:r>
      <w:r w:rsidR="00B550CB">
        <w:rPr>
          <w:lang w:eastAsia="ja-JP"/>
        </w:rPr>
        <w:lastRenderedPageBreak/>
        <w:t>disease</w:t>
      </w:r>
      <w:r w:rsidRPr="00A96C11">
        <w:rPr>
          <w:lang w:eastAsia="ja-JP"/>
        </w:rPr>
        <w:t xml:space="preserve"> mortality, major vascular event composite measure, major coronary event composite measure, coronary revascularisation and hospitalisation for angina.</w:t>
      </w:r>
    </w:p>
    <w:p w14:paraId="2817DAC5" w14:textId="77777777" w:rsidR="009C368A" w:rsidRPr="00A96C11" w:rsidRDefault="009C368A" w:rsidP="009C368A">
      <w:pPr>
        <w:pStyle w:val="Heading4"/>
      </w:pPr>
      <w:r w:rsidRPr="00A96C11">
        <w:t>Use in moderate renal impairment</w:t>
      </w:r>
    </w:p>
    <w:p w14:paraId="5058BCAD" w14:textId="66BC5240" w:rsidR="00605AD4" w:rsidRPr="00605AD4" w:rsidRDefault="009C368A" w:rsidP="00605AD4">
      <w:pPr>
        <w:rPr>
          <w:lang w:eastAsia="ja-JP"/>
        </w:rPr>
      </w:pPr>
      <w:r w:rsidRPr="00A96C11">
        <w:rPr>
          <w:lang w:eastAsia="ja-JP"/>
        </w:rPr>
        <w:t>The EMPA-REG</w:t>
      </w:r>
      <w:r w:rsidR="00B550CB">
        <w:rPr>
          <w:lang w:eastAsia="ja-JP"/>
        </w:rPr>
        <w:t xml:space="preserve"> OUTCOME</w:t>
      </w:r>
      <w:r w:rsidRPr="00A96C11">
        <w:rPr>
          <w:lang w:eastAsia="ja-JP"/>
        </w:rPr>
        <w:t xml:space="preserve"> study included a relatively large group of patients with moderate renal impairment. In this group, there were more modest benefits in glycaemic control and cardiovascular events. A statistically significant improvement in the rate of new and worsening nephropathy was demonstrated. There were more serious adverse events in both the placebo and treatment arm of this subgroup. The evaluator would recommend relaxing the precautions around use in patients with moderate renal impairment.</w:t>
      </w:r>
    </w:p>
    <w:p w14:paraId="774B10F6" w14:textId="77777777" w:rsidR="00605AD4" w:rsidRPr="00605AD4" w:rsidRDefault="00605AD4" w:rsidP="00605AD4">
      <w:pPr>
        <w:pStyle w:val="Heading3"/>
        <w:rPr>
          <w:rFonts w:eastAsia="Cambria"/>
        </w:rPr>
      </w:pPr>
      <w:bookmarkStart w:id="75" w:name="_Toc497906648"/>
      <w:r w:rsidRPr="00605AD4">
        <w:rPr>
          <w:rFonts w:eastAsia="Cambria"/>
        </w:rPr>
        <w:t>Clinical Questions</w:t>
      </w:r>
      <w:bookmarkEnd w:id="75"/>
    </w:p>
    <w:p w14:paraId="3FF5AAAF" w14:textId="77777777" w:rsidR="009C368A" w:rsidRDefault="009C368A" w:rsidP="009C368A">
      <w:pPr>
        <w:pStyle w:val="Heading4"/>
      </w:pPr>
      <w:bookmarkStart w:id="76" w:name="_Toc430959550"/>
      <w:r>
        <w:t>Efficacy</w:t>
      </w:r>
      <w:bookmarkEnd w:id="76"/>
    </w:p>
    <w:p w14:paraId="4EA1D6FC" w14:textId="2C5FF99C" w:rsidR="009C368A" w:rsidRPr="00E36638" w:rsidRDefault="009C368A" w:rsidP="009C368A">
      <w:pPr>
        <w:rPr>
          <w:lang w:eastAsia="ja-JP"/>
        </w:rPr>
      </w:pPr>
      <w:r>
        <w:rPr>
          <w:lang w:eastAsia="ja-JP"/>
        </w:rPr>
        <w:t xml:space="preserve">Q1) </w:t>
      </w:r>
      <w:proofErr w:type="gramStart"/>
      <w:r w:rsidRPr="00E36638">
        <w:rPr>
          <w:lang w:eastAsia="ja-JP"/>
        </w:rPr>
        <w:t>The</w:t>
      </w:r>
      <w:proofErr w:type="gramEnd"/>
      <w:r w:rsidRPr="00E36638">
        <w:rPr>
          <w:lang w:eastAsia="ja-JP"/>
        </w:rPr>
        <w:t xml:space="preserve"> proposed indication would include patients with T2DM with adequate and inadequate glycaemic control. Could </w:t>
      </w:r>
      <w:r>
        <w:rPr>
          <w:lang w:eastAsia="ja-JP"/>
        </w:rPr>
        <w:t>the sponsor justify the use of e</w:t>
      </w:r>
      <w:r w:rsidRPr="00E36638">
        <w:rPr>
          <w:lang w:eastAsia="ja-JP"/>
        </w:rPr>
        <w:t>mpagliflozin in patients with adequate glycaemic control (</w:t>
      </w:r>
      <w:r>
        <w:rPr>
          <w:lang w:eastAsia="ja-JP"/>
        </w:rPr>
        <w:t xml:space="preserve">that is, </w:t>
      </w:r>
      <w:r w:rsidR="00B550CB">
        <w:rPr>
          <w:lang w:eastAsia="ja-JP"/>
        </w:rPr>
        <w:t>HbA1c &lt; 7%)?</w:t>
      </w:r>
    </w:p>
    <w:p w14:paraId="31C17277" w14:textId="77777777" w:rsidR="009C368A" w:rsidRDefault="009C368A" w:rsidP="009C368A">
      <w:pPr>
        <w:pStyle w:val="Heading4"/>
      </w:pPr>
      <w:bookmarkStart w:id="77" w:name="_Toc430959551"/>
      <w:r>
        <w:t>Safety</w:t>
      </w:r>
      <w:bookmarkEnd w:id="77"/>
    </w:p>
    <w:p w14:paraId="65510ECD" w14:textId="77777777" w:rsidR="009C368A" w:rsidRPr="0032074D" w:rsidRDefault="009C368A" w:rsidP="009C368A">
      <w:pPr>
        <w:rPr>
          <w:lang w:eastAsia="ja-JP"/>
        </w:rPr>
      </w:pPr>
      <w:r>
        <w:rPr>
          <w:lang w:eastAsia="ja-JP"/>
        </w:rPr>
        <w:t xml:space="preserve">Q2) </w:t>
      </w:r>
      <w:proofErr w:type="gramStart"/>
      <w:r w:rsidRPr="0032074D">
        <w:rPr>
          <w:lang w:eastAsia="ja-JP"/>
        </w:rPr>
        <w:t>What</w:t>
      </w:r>
      <w:proofErr w:type="gramEnd"/>
      <w:r w:rsidRPr="0032074D">
        <w:rPr>
          <w:lang w:eastAsia="ja-JP"/>
        </w:rPr>
        <w:t xml:space="preserve"> criteria were used to discontinue patients due to adverse events?</w:t>
      </w:r>
    </w:p>
    <w:p w14:paraId="71B1CAED" w14:textId="77777777" w:rsidR="009C368A" w:rsidRPr="00B05C56" w:rsidRDefault="009C368A" w:rsidP="009C368A">
      <w:r>
        <w:t xml:space="preserve">Q3) </w:t>
      </w:r>
      <w:proofErr w:type="gramStart"/>
      <w:r w:rsidRPr="00B05C56">
        <w:t>Was</w:t>
      </w:r>
      <w:proofErr w:type="gramEnd"/>
      <w:r w:rsidRPr="00B05C56">
        <w:t xml:space="preserve"> there any correlation between HbA1c and hypoglycaemia?</w:t>
      </w:r>
    </w:p>
    <w:p w14:paraId="4CC2DAFC" w14:textId="77777777" w:rsidR="009C368A" w:rsidRPr="00B05C56" w:rsidRDefault="009C368A" w:rsidP="009C368A">
      <w:r>
        <w:t xml:space="preserve">Q4) </w:t>
      </w:r>
      <w:r w:rsidRPr="00B05C56">
        <w:t>Do any animal studies suggest an association between empagliflozin and cancer? Have there been any signals for bladder or pancreatic cancer in previous clinical trials of empagliflozin or other SGLT2 inhibitors?</w:t>
      </w:r>
    </w:p>
    <w:p w14:paraId="15D69E96" w14:textId="40DC9C17" w:rsidR="00605AD4" w:rsidRPr="00605AD4" w:rsidRDefault="009C368A" w:rsidP="00605AD4">
      <w:r>
        <w:t xml:space="preserve">Q5) </w:t>
      </w:r>
      <w:r w:rsidRPr="00B05C56">
        <w:t>Have any clinical trials with empagliflozin demonstrated an increased risk of amputations or peripheral vascular disease?</w:t>
      </w:r>
    </w:p>
    <w:p w14:paraId="658EA5A6" w14:textId="77777777" w:rsidR="00605AD4" w:rsidRPr="00605AD4" w:rsidRDefault="00605AD4" w:rsidP="00605AD4">
      <w:pPr>
        <w:pStyle w:val="Heading3"/>
        <w:rPr>
          <w:rFonts w:eastAsia="Cambria"/>
        </w:rPr>
      </w:pPr>
      <w:bookmarkStart w:id="78" w:name="_Toc497906649"/>
      <w:r w:rsidRPr="00605AD4">
        <w:rPr>
          <w:rFonts w:eastAsia="Cambria"/>
        </w:rPr>
        <w:t>Second Round Evaluation of clinical data submitted in response to questions</w:t>
      </w:r>
      <w:bookmarkEnd w:id="78"/>
    </w:p>
    <w:p w14:paraId="2C75C43F" w14:textId="77777777" w:rsidR="006136D7" w:rsidRPr="00605AD4" w:rsidRDefault="006136D7" w:rsidP="006136D7">
      <w:r>
        <w:t>For details of the sponsor’s responses and the evaluation of these responses please see Attachment 2.</w:t>
      </w:r>
    </w:p>
    <w:p w14:paraId="3CF670CA" w14:textId="77777777" w:rsidR="00605AD4" w:rsidRPr="00605AD4" w:rsidRDefault="00605AD4" w:rsidP="00546154">
      <w:pPr>
        <w:pStyle w:val="Heading3"/>
        <w:rPr>
          <w:rFonts w:eastAsia="Cambria"/>
        </w:rPr>
      </w:pPr>
      <w:bookmarkStart w:id="79" w:name="_Toc497906650"/>
      <w:r w:rsidRPr="00605AD4">
        <w:rPr>
          <w:rFonts w:eastAsia="Cambria"/>
        </w:rPr>
        <w:t>Second Round Benefit-Risk Assessment</w:t>
      </w:r>
      <w:bookmarkEnd w:id="79"/>
    </w:p>
    <w:p w14:paraId="20E8D22D" w14:textId="77777777" w:rsidR="004008EE" w:rsidRPr="00B40D16" w:rsidRDefault="004008EE" w:rsidP="004008EE">
      <w:pPr>
        <w:pStyle w:val="Heading4"/>
      </w:pPr>
      <w:bookmarkStart w:id="80" w:name="_Toc272414709"/>
      <w:bookmarkStart w:id="81" w:name="_Toc290846349"/>
      <w:bookmarkStart w:id="82" w:name="_Toc443968580"/>
      <w:r w:rsidRPr="00B40D16">
        <w:t>Second round assessment of benefits</w:t>
      </w:r>
      <w:bookmarkEnd w:id="80"/>
      <w:bookmarkEnd w:id="81"/>
      <w:bookmarkEnd w:id="82"/>
    </w:p>
    <w:p w14:paraId="1ED3D441" w14:textId="77777777" w:rsidR="004008EE" w:rsidRPr="00B40D16" w:rsidRDefault="004008EE" w:rsidP="004008EE">
      <w:pPr>
        <w:pStyle w:val="Heading5"/>
      </w:pPr>
      <w:r>
        <w:t>Cardiovascular events</w:t>
      </w:r>
    </w:p>
    <w:p w14:paraId="3F82752A" w14:textId="77777777" w:rsidR="004008EE" w:rsidRPr="00B40D16" w:rsidRDefault="004008EE" w:rsidP="004008EE">
      <w:pPr>
        <w:rPr>
          <w:lang w:eastAsia="ja-JP"/>
        </w:rPr>
      </w:pPr>
      <w:r>
        <w:rPr>
          <w:lang w:eastAsia="ja-JP"/>
        </w:rPr>
        <w:t>The benefits of e</w:t>
      </w:r>
      <w:r w:rsidRPr="00B40D16">
        <w:rPr>
          <w:lang w:eastAsia="ja-JP"/>
        </w:rPr>
        <w:t>mpagliflozin for the prevention of cardiovascular death have been described above.</w:t>
      </w:r>
    </w:p>
    <w:p w14:paraId="0AD5A4E7" w14:textId="77777777" w:rsidR="004008EE" w:rsidRPr="00B40D16" w:rsidRDefault="004008EE" w:rsidP="004008EE">
      <w:pPr>
        <w:rPr>
          <w:lang w:eastAsia="ja-JP"/>
        </w:rPr>
      </w:pPr>
      <w:r w:rsidRPr="00B40D16">
        <w:rPr>
          <w:lang w:eastAsia="ja-JP"/>
        </w:rPr>
        <w:t>The second round response has not changed the evaluator’s views on the efficacy.</w:t>
      </w:r>
    </w:p>
    <w:p w14:paraId="4123E0D3" w14:textId="6CFD0926" w:rsidR="004008EE" w:rsidRPr="00B40D16" w:rsidRDefault="004008EE" w:rsidP="004008EE">
      <w:pPr>
        <w:rPr>
          <w:lang w:eastAsia="ja-JP"/>
        </w:rPr>
      </w:pPr>
      <w:r w:rsidRPr="00B40D16">
        <w:rPr>
          <w:lang w:eastAsia="ja-JP"/>
        </w:rPr>
        <w:t>There is some uncertainty about the cardiovascular prot</w:t>
      </w:r>
      <w:r w:rsidR="00B550CB">
        <w:rPr>
          <w:lang w:eastAsia="ja-JP"/>
        </w:rPr>
        <w:t xml:space="preserve">ection in patients with HbA1c </w:t>
      </w:r>
      <w:r>
        <w:rPr>
          <w:lang w:eastAsia="ja-JP"/>
        </w:rPr>
        <w:t>&lt; </w:t>
      </w:r>
      <w:r w:rsidRPr="00B40D16">
        <w:rPr>
          <w:lang w:eastAsia="ja-JP"/>
        </w:rPr>
        <w:t xml:space="preserve">7% as these patients represented only a small subset of patients in the EMPA-REG </w:t>
      </w:r>
      <w:r w:rsidR="00B550CB">
        <w:rPr>
          <w:lang w:eastAsia="ja-JP"/>
        </w:rPr>
        <w:t xml:space="preserve">OUTCOME </w:t>
      </w:r>
      <w:r w:rsidRPr="00B40D16">
        <w:rPr>
          <w:lang w:eastAsia="ja-JP"/>
        </w:rPr>
        <w:t>study and are likely to have a history of previous period of poor glycaemic control. Efficacy in patients with recent onset T2DM is unknown.</w:t>
      </w:r>
    </w:p>
    <w:p w14:paraId="1874CD41" w14:textId="77777777" w:rsidR="004008EE" w:rsidRPr="00B40D16" w:rsidRDefault="004008EE" w:rsidP="004008EE">
      <w:pPr>
        <w:pStyle w:val="Heading5"/>
      </w:pPr>
      <w:r>
        <w:lastRenderedPageBreak/>
        <w:t>Use in renal i</w:t>
      </w:r>
      <w:r w:rsidRPr="00B40D16">
        <w:t>mpairment</w:t>
      </w:r>
    </w:p>
    <w:p w14:paraId="53F2FED8" w14:textId="77777777" w:rsidR="004008EE" w:rsidRPr="00B40D16" w:rsidRDefault="004008EE" w:rsidP="004008EE">
      <w:pPr>
        <w:rPr>
          <w:lang w:eastAsia="ja-JP"/>
        </w:rPr>
      </w:pPr>
      <w:r w:rsidRPr="00B40D16">
        <w:rPr>
          <w:lang w:eastAsia="ja-JP"/>
        </w:rPr>
        <w:t>The efficacy of empagliflozin is dependent upon renal function. The evidence from use in renal impairment suggests less improvement in HbA1c, but similar improvement in cardiovascular events in patients with severe renal impairment. In addition there are additional benefits in terms of prevention of deterioration of renal disease.</w:t>
      </w:r>
    </w:p>
    <w:p w14:paraId="2C278235" w14:textId="65BDA9B4" w:rsidR="004008EE" w:rsidRDefault="004008EE" w:rsidP="00BF4B3D">
      <w:pPr>
        <w:rPr>
          <w:lang w:eastAsia="ja-JP"/>
        </w:rPr>
      </w:pPr>
      <w:r w:rsidRPr="00B40D16">
        <w:rPr>
          <w:lang w:eastAsia="ja-JP"/>
        </w:rPr>
        <w:t>Dapaglifloz</w:t>
      </w:r>
      <w:r>
        <w:rPr>
          <w:lang w:eastAsia="ja-JP"/>
        </w:rPr>
        <w:t>in is contraindicated</w:t>
      </w:r>
      <w:r w:rsidRPr="00B40D16">
        <w:rPr>
          <w:lang w:eastAsia="ja-JP"/>
        </w:rPr>
        <w:t xml:space="preserve"> in patients with eGFR</w:t>
      </w:r>
      <w:r>
        <w:rPr>
          <w:lang w:eastAsia="ja-JP"/>
        </w:rPr>
        <w:t xml:space="preserve"> </w:t>
      </w:r>
      <w:r w:rsidRPr="00B40D16">
        <w:rPr>
          <w:lang w:eastAsia="ja-JP"/>
        </w:rPr>
        <w:t>&lt;</w:t>
      </w:r>
      <w:r>
        <w:rPr>
          <w:lang w:eastAsia="ja-JP"/>
        </w:rPr>
        <w:t xml:space="preserve"> 60</w:t>
      </w:r>
      <w:r w:rsidR="00B550CB">
        <w:rPr>
          <w:lang w:eastAsia="ja-JP"/>
        </w:rPr>
        <w:t xml:space="preserve"> </w:t>
      </w:r>
      <w:r>
        <w:rPr>
          <w:lang w:eastAsia="ja-JP"/>
        </w:rPr>
        <w:t>mL</w:t>
      </w:r>
      <w:r w:rsidRPr="00B40D16">
        <w:rPr>
          <w:lang w:eastAsia="ja-JP"/>
        </w:rPr>
        <w:t>/min</w:t>
      </w:r>
      <w:r w:rsidR="005E7273">
        <w:rPr>
          <w:lang w:eastAsia="ja-JP"/>
        </w:rPr>
        <w:t>/1.73 m</w:t>
      </w:r>
      <w:r w:rsidR="005E7273">
        <w:rPr>
          <w:vertAlign w:val="superscript"/>
          <w:lang w:eastAsia="ja-JP"/>
        </w:rPr>
        <w:t>2</w:t>
      </w:r>
      <w:r w:rsidRPr="00B40D16">
        <w:rPr>
          <w:lang w:eastAsia="ja-JP"/>
        </w:rPr>
        <w:t xml:space="preserve"> an</w:t>
      </w:r>
      <w:r>
        <w:rPr>
          <w:lang w:eastAsia="ja-JP"/>
        </w:rPr>
        <w:t>d canagliflozin contraindicated in patients with eGFR &lt; 45 mL</w:t>
      </w:r>
      <w:r w:rsidRPr="00B40D16">
        <w:rPr>
          <w:lang w:eastAsia="ja-JP"/>
        </w:rPr>
        <w:t>/min</w:t>
      </w:r>
      <w:r w:rsidR="005E7273">
        <w:rPr>
          <w:lang w:eastAsia="ja-JP"/>
        </w:rPr>
        <w:t>/1.73 m</w:t>
      </w:r>
      <w:r w:rsidR="005E7273">
        <w:rPr>
          <w:vertAlign w:val="superscript"/>
          <w:lang w:eastAsia="ja-JP"/>
        </w:rPr>
        <w:t>2</w:t>
      </w:r>
      <w:r w:rsidRPr="00B40D16">
        <w:rPr>
          <w:lang w:eastAsia="ja-JP"/>
        </w:rPr>
        <w:t>. The contraindications for use in renal impairment relate to concerns about efficacy rather than based on safety or increased exposure d</w:t>
      </w:r>
      <w:r>
        <w:rPr>
          <w:lang w:eastAsia="ja-JP"/>
        </w:rPr>
        <w:t>ue to reduced elimination.</w:t>
      </w:r>
    </w:p>
    <w:p w14:paraId="02BAE7A6" w14:textId="77777777" w:rsidR="004008EE" w:rsidRPr="00B40D16" w:rsidRDefault="004008EE" w:rsidP="00BF4B3D">
      <w:pPr>
        <w:rPr>
          <w:lang w:eastAsia="ja-JP"/>
        </w:rPr>
      </w:pPr>
      <w:r w:rsidRPr="00B40D16">
        <w:rPr>
          <w:lang w:eastAsia="ja-JP"/>
        </w:rPr>
        <w:t>There has been a recent safety communication from the FDA in relation to cases of acute renal injury in patients taking dapagliflozin and canagliflozin.</w:t>
      </w:r>
    </w:p>
    <w:p w14:paraId="57558E37" w14:textId="77777777" w:rsidR="004008EE" w:rsidRPr="00B40D16" w:rsidRDefault="004008EE" w:rsidP="004008EE">
      <w:pPr>
        <w:pStyle w:val="Heading4"/>
      </w:pPr>
      <w:bookmarkStart w:id="83" w:name="_Toc272414710"/>
      <w:bookmarkStart w:id="84" w:name="_Toc290846350"/>
      <w:bookmarkStart w:id="85" w:name="_Toc443968581"/>
      <w:r w:rsidRPr="00B40D16">
        <w:t>Second round assessment of risks</w:t>
      </w:r>
      <w:bookmarkEnd w:id="83"/>
      <w:bookmarkEnd w:id="84"/>
      <w:bookmarkEnd w:id="85"/>
    </w:p>
    <w:p w14:paraId="083DB5B1" w14:textId="4DC07A10" w:rsidR="004008EE" w:rsidRPr="00B40D16" w:rsidRDefault="004008EE" w:rsidP="004008EE">
      <w:pPr>
        <w:rPr>
          <w:lang w:eastAsia="ja-JP"/>
        </w:rPr>
      </w:pPr>
      <w:r w:rsidRPr="00B40D16">
        <w:rPr>
          <w:lang w:eastAsia="ja-JP"/>
        </w:rPr>
        <w:t>The ri</w:t>
      </w:r>
      <w:r>
        <w:rPr>
          <w:lang w:eastAsia="ja-JP"/>
        </w:rPr>
        <w:t>sks associated with the use of e</w:t>
      </w:r>
      <w:r w:rsidRPr="00B40D16">
        <w:rPr>
          <w:lang w:eastAsia="ja-JP"/>
        </w:rPr>
        <w:t xml:space="preserve">mpagliflozin have been better characterised as a result of the EMPA-REG </w:t>
      </w:r>
      <w:r w:rsidR="00B550CB">
        <w:rPr>
          <w:lang w:eastAsia="ja-JP"/>
        </w:rPr>
        <w:t xml:space="preserve">OUTCOME </w:t>
      </w:r>
      <w:r w:rsidRPr="00B40D16">
        <w:rPr>
          <w:lang w:eastAsia="ja-JP"/>
        </w:rPr>
        <w:t>study.</w:t>
      </w:r>
    </w:p>
    <w:p w14:paraId="42700C63" w14:textId="1E804A3C" w:rsidR="004008EE" w:rsidRPr="00B40D16" w:rsidRDefault="004008EE" w:rsidP="004008EE">
      <w:pPr>
        <w:rPr>
          <w:lang w:eastAsia="ja-JP"/>
        </w:rPr>
      </w:pPr>
      <w:r w:rsidRPr="00B40D16">
        <w:rPr>
          <w:lang w:eastAsia="ja-JP"/>
        </w:rPr>
        <w:t xml:space="preserve">There is also some uncertainty about whether the term ‘high cardiovascular risk’ needs further defining. This is probably better mentioned in the </w:t>
      </w:r>
      <w:r w:rsidR="001200D6">
        <w:rPr>
          <w:lang w:eastAsia="ja-JP"/>
        </w:rPr>
        <w:t>P</w:t>
      </w:r>
      <w:r w:rsidR="001200D6" w:rsidRPr="00B40D16">
        <w:rPr>
          <w:lang w:eastAsia="ja-JP"/>
        </w:rPr>
        <w:t xml:space="preserve">recautions </w:t>
      </w:r>
      <w:r w:rsidR="00B9732B" w:rsidRPr="00B40D16">
        <w:rPr>
          <w:lang w:eastAsia="ja-JP"/>
        </w:rPr>
        <w:t>section</w:t>
      </w:r>
      <w:r w:rsidR="00B9732B">
        <w:rPr>
          <w:lang w:eastAsia="ja-JP"/>
        </w:rPr>
        <w:t xml:space="preserve"> that</w:t>
      </w:r>
      <w:r>
        <w:rPr>
          <w:lang w:eastAsia="ja-JP"/>
        </w:rPr>
        <w:t xml:space="preserve"> is</w:t>
      </w:r>
      <w:r w:rsidRPr="00B40D16">
        <w:rPr>
          <w:lang w:eastAsia="ja-JP"/>
        </w:rPr>
        <w:t xml:space="preserve"> how well the results can be extrapolated to patients with higher/lower</w:t>
      </w:r>
      <w:r>
        <w:rPr>
          <w:lang w:eastAsia="ja-JP"/>
        </w:rPr>
        <w:t xml:space="preserve"> risk than those in the study. </w:t>
      </w:r>
      <w:r w:rsidRPr="00B40D16">
        <w:rPr>
          <w:lang w:eastAsia="ja-JP"/>
        </w:rPr>
        <w:t xml:space="preserve">Possibilities may include factors similar to the inclusion/exclusion criteria for the study. There are possible safety signals for </w:t>
      </w:r>
      <w:r w:rsidR="00043775">
        <w:rPr>
          <w:lang w:eastAsia="ja-JP"/>
        </w:rPr>
        <w:t>peripheral vascular disease (</w:t>
      </w:r>
      <w:r w:rsidRPr="00B40D16">
        <w:rPr>
          <w:lang w:eastAsia="ja-JP"/>
        </w:rPr>
        <w:t>PVD</w:t>
      </w:r>
      <w:r w:rsidR="00043775">
        <w:rPr>
          <w:lang w:eastAsia="ja-JP"/>
        </w:rPr>
        <w:t>)</w:t>
      </w:r>
      <w:r w:rsidRPr="00B40D16">
        <w:rPr>
          <w:lang w:eastAsia="ja-JP"/>
        </w:rPr>
        <w:t xml:space="preserve"> and stroke, does extra care need to be given to patients with pre-existing PVD or cerebrovascular disease.</w:t>
      </w:r>
    </w:p>
    <w:p w14:paraId="5F97F792" w14:textId="65B14BB7" w:rsidR="004008EE" w:rsidRPr="00B40D16" w:rsidRDefault="004008EE" w:rsidP="004008EE">
      <w:pPr>
        <w:rPr>
          <w:lang w:eastAsia="ja-JP"/>
        </w:rPr>
      </w:pPr>
      <w:r w:rsidRPr="00B40D16">
        <w:rPr>
          <w:lang w:eastAsia="ja-JP"/>
        </w:rPr>
        <w:t>I</w:t>
      </w:r>
      <w:r w:rsidR="00043775">
        <w:rPr>
          <w:lang w:eastAsia="ja-JP"/>
        </w:rPr>
        <w:t>t is uncertain whether the SGLT</w:t>
      </w:r>
      <w:r w:rsidRPr="00B40D16">
        <w:rPr>
          <w:lang w:eastAsia="ja-JP"/>
        </w:rPr>
        <w:t>2 inhibitors may l</w:t>
      </w:r>
      <w:r>
        <w:rPr>
          <w:lang w:eastAsia="ja-JP"/>
        </w:rPr>
        <w:t>ead to an increased risk of PVD</w:t>
      </w:r>
      <w:r w:rsidRPr="00B40D16">
        <w:rPr>
          <w:lang w:eastAsia="ja-JP"/>
        </w:rPr>
        <w:t>, stroke or bladder cancer. These potential risks should</w:t>
      </w:r>
      <w:r>
        <w:rPr>
          <w:lang w:eastAsia="ja-JP"/>
        </w:rPr>
        <w:t xml:space="preserve"> be included in the </w:t>
      </w:r>
      <w:r w:rsidR="00F131AC">
        <w:rPr>
          <w:lang w:eastAsia="ja-JP"/>
        </w:rPr>
        <w:t>Risk Management Plan</w:t>
      </w:r>
      <w:r w:rsidR="00043775">
        <w:rPr>
          <w:lang w:eastAsia="ja-JP"/>
        </w:rPr>
        <w:t xml:space="preserve"> (</w:t>
      </w:r>
      <w:r>
        <w:rPr>
          <w:lang w:eastAsia="ja-JP"/>
        </w:rPr>
        <w:t>RMP</w:t>
      </w:r>
      <w:r w:rsidR="00043775">
        <w:rPr>
          <w:lang w:eastAsia="ja-JP"/>
        </w:rPr>
        <w:t>)</w:t>
      </w:r>
      <w:r>
        <w:rPr>
          <w:lang w:eastAsia="ja-JP"/>
        </w:rPr>
        <w:t xml:space="preserve"> and PI.</w:t>
      </w:r>
    </w:p>
    <w:p w14:paraId="6401926D" w14:textId="77777777" w:rsidR="004008EE" w:rsidRPr="00B40D16" w:rsidRDefault="004008EE" w:rsidP="004008EE">
      <w:pPr>
        <w:pStyle w:val="Heading4"/>
      </w:pPr>
      <w:bookmarkStart w:id="86" w:name="_Toc272414711"/>
      <w:bookmarkStart w:id="87" w:name="_Toc290846351"/>
      <w:bookmarkStart w:id="88" w:name="_Toc443968582"/>
      <w:r w:rsidRPr="00B40D16">
        <w:t>Second round assessment of benefit-risk balance</w:t>
      </w:r>
      <w:bookmarkEnd w:id="86"/>
      <w:bookmarkEnd w:id="87"/>
      <w:bookmarkEnd w:id="88"/>
    </w:p>
    <w:p w14:paraId="2B5B3923" w14:textId="77777777" w:rsidR="004008EE" w:rsidRPr="00586F98" w:rsidRDefault="004008EE" w:rsidP="004008EE">
      <w:pPr>
        <w:rPr>
          <w:lang w:eastAsia="ja-JP"/>
        </w:rPr>
      </w:pPr>
      <w:r w:rsidRPr="00B40D16">
        <w:rPr>
          <w:lang w:eastAsia="ja-JP"/>
        </w:rPr>
        <w:t xml:space="preserve">Overall, the risk/benefit balance for </w:t>
      </w:r>
      <w:r>
        <w:rPr>
          <w:lang w:eastAsia="ja-JP"/>
        </w:rPr>
        <w:t>the use of e</w:t>
      </w:r>
      <w:r w:rsidRPr="00B40D16">
        <w:rPr>
          <w:lang w:eastAsia="ja-JP"/>
        </w:rPr>
        <w:t>mpagliflozin in patients with T2DM and poor glycaemic control for cardiovascular prevention is positive.</w:t>
      </w:r>
    </w:p>
    <w:p w14:paraId="65ABCFE0" w14:textId="77777777" w:rsidR="004008EE" w:rsidRDefault="004008EE" w:rsidP="004008EE">
      <w:pPr>
        <w:pStyle w:val="Heading4"/>
        <w:rPr>
          <w:lang w:eastAsia="ja-JP"/>
        </w:rPr>
      </w:pPr>
      <w:bookmarkStart w:id="89" w:name="_Toc430959554"/>
      <w:r>
        <w:t>Second round recommendation regarding authorisation</w:t>
      </w:r>
      <w:bookmarkEnd w:id="89"/>
    </w:p>
    <w:p w14:paraId="0B52AE41" w14:textId="77777777" w:rsidR="004008EE" w:rsidRPr="00194BB7" w:rsidRDefault="004008EE" w:rsidP="004008EE">
      <w:pPr>
        <w:rPr>
          <w:lang w:eastAsia="ja-JP"/>
        </w:rPr>
      </w:pPr>
      <w:r w:rsidRPr="00194BB7">
        <w:rPr>
          <w:lang w:eastAsia="ja-JP"/>
        </w:rPr>
        <w:t>The evalua</w:t>
      </w:r>
      <w:r>
        <w:rPr>
          <w:lang w:eastAsia="ja-JP"/>
        </w:rPr>
        <w:t>tor would recommend approval of:</w:t>
      </w:r>
    </w:p>
    <w:p w14:paraId="7DF399F9" w14:textId="77777777" w:rsidR="004008EE" w:rsidRPr="00194BB7" w:rsidRDefault="004008EE" w:rsidP="006513E6">
      <w:pPr>
        <w:pStyle w:val="Numberbullet0"/>
        <w:numPr>
          <w:ilvl w:val="0"/>
          <w:numId w:val="10"/>
        </w:numPr>
        <w:rPr>
          <w:lang w:eastAsia="ja-JP"/>
        </w:rPr>
      </w:pPr>
      <w:r w:rsidRPr="00194BB7">
        <w:rPr>
          <w:lang w:eastAsia="ja-JP"/>
        </w:rPr>
        <w:t>Extension of indication to include the prevention of cardiovascular events:</w:t>
      </w:r>
    </w:p>
    <w:p w14:paraId="0566E5AA" w14:textId="77777777" w:rsidR="004008EE" w:rsidRPr="00194BB7" w:rsidRDefault="004008EE" w:rsidP="004008EE">
      <w:pPr>
        <w:ind w:left="720"/>
        <w:rPr>
          <w:i/>
          <w:lang w:eastAsia="ja-JP"/>
        </w:rPr>
      </w:pPr>
      <w:r>
        <w:rPr>
          <w:i/>
          <w:lang w:eastAsia="ja-JP"/>
        </w:rPr>
        <w:t>‘Jardiance</w:t>
      </w:r>
      <w:r w:rsidRPr="00194BB7">
        <w:rPr>
          <w:i/>
          <w:lang w:eastAsia="ja-JP"/>
        </w:rPr>
        <w:t xml:space="preserve"> is indicated in patients with type 2 diabetes mellitus and high cardiovascular risk to reduce the risk of:</w:t>
      </w:r>
    </w:p>
    <w:p w14:paraId="57855624" w14:textId="77777777" w:rsidR="004008EE" w:rsidRPr="00194BB7" w:rsidRDefault="004008EE" w:rsidP="006513E6">
      <w:pPr>
        <w:pStyle w:val="ListBullet3"/>
        <w:numPr>
          <w:ilvl w:val="2"/>
          <w:numId w:val="1"/>
        </w:numPr>
        <w:rPr>
          <w:i/>
          <w:lang w:eastAsia="ja-JP"/>
        </w:rPr>
      </w:pPr>
      <w:r w:rsidRPr="00194BB7">
        <w:rPr>
          <w:i/>
          <w:lang w:eastAsia="ja-JP"/>
        </w:rPr>
        <w:t>All-cause mortality by reducing cardiovascular death</w:t>
      </w:r>
    </w:p>
    <w:p w14:paraId="31468370" w14:textId="77777777" w:rsidR="004008EE" w:rsidRPr="00194BB7" w:rsidRDefault="004008EE" w:rsidP="006513E6">
      <w:pPr>
        <w:pStyle w:val="ListBullet3"/>
        <w:numPr>
          <w:ilvl w:val="2"/>
          <w:numId w:val="1"/>
        </w:numPr>
        <w:rPr>
          <w:lang w:eastAsia="ja-JP"/>
        </w:rPr>
      </w:pPr>
      <w:r w:rsidRPr="00194BB7">
        <w:rPr>
          <w:i/>
          <w:lang w:eastAsia="ja-JP"/>
        </w:rPr>
        <w:t>Cardiovascular death or hospitalisation for heart failure</w:t>
      </w:r>
    </w:p>
    <w:p w14:paraId="792D29CA" w14:textId="77777777" w:rsidR="004008EE" w:rsidRPr="00194BB7" w:rsidRDefault="004008EE" w:rsidP="004008EE">
      <w:pPr>
        <w:ind w:left="720"/>
        <w:rPr>
          <w:i/>
          <w:lang w:eastAsia="ja-JP"/>
        </w:rPr>
      </w:pPr>
      <w:r w:rsidRPr="00194BB7">
        <w:rPr>
          <w:i/>
          <w:lang w:eastAsia="ja-JP"/>
        </w:rPr>
        <w:t>To prevent cardiovascular events, J</w:t>
      </w:r>
      <w:r>
        <w:rPr>
          <w:i/>
          <w:lang w:eastAsia="ja-JP"/>
        </w:rPr>
        <w:t>ardiance</w:t>
      </w:r>
      <w:r w:rsidRPr="00194BB7">
        <w:rPr>
          <w:i/>
          <w:lang w:eastAsia="ja-JP"/>
        </w:rPr>
        <w:t xml:space="preserve"> should be used in conjunction with other measures to reduce cardiovascular risk in line with the current standard of care.</w:t>
      </w:r>
    </w:p>
    <w:p w14:paraId="54A91CDF" w14:textId="77777777" w:rsidR="004008EE" w:rsidRPr="00194BB7" w:rsidRDefault="004008EE" w:rsidP="004008EE">
      <w:pPr>
        <w:ind w:left="720"/>
        <w:rPr>
          <w:lang w:eastAsia="ja-JP"/>
        </w:rPr>
      </w:pPr>
      <w:r w:rsidRPr="00194BB7">
        <w:rPr>
          <w:i/>
          <w:lang w:eastAsia="ja-JP"/>
        </w:rPr>
        <w:t>Note: Benefits in patients with recent onset T2DM and HbA1c &lt; 7% has not been established.</w:t>
      </w:r>
      <w:r>
        <w:rPr>
          <w:lang w:eastAsia="ja-JP"/>
        </w:rPr>
        <w:t>’</w:t>
      </w:r>
    </w:p>
    <w:p w14:paraId="5551CF4C" w14:textId="271E5087" w:rsidR="00605AD4" w:rsidRPr="00605AD4" w:rsidRDefault="004008EE" w:rsidP="006513E6">
      <w:pPr>
        <w:pStyle w:val="Numberbullet0"/>
        <w:numPr>
          <w:ilvl w:val="0"/>
          <w:numId w:val="5"/>
        </w:numPr>
        <w:rPr>
          <w:lang w:eastAsia="ja-JP"/>
        </w:rPr>
      </w:pPr>
      <w:r w:rsidRPr="00194BB7">
        <w:rPr>
          <w:lang w:eastAsia="ja-JP"/>
        </w:rPr>
        <w:t>Extension of use in pat</w:t>
      </w:r>
      <w:r>
        <w:rPr>
          <w:lang w:eastAsia="ja-JP"/>
        </w:rPr>
        <w:t>ients with severe renal disease,</w:t>
      </w:r>
      <w:r w:rsidRPr="00194BB7">
        <w:rPr>
          <w:lang w:eastAsia="ja-JP"/>
        </w:rPr>
        <w:t xml:space="preserve"> by changing th</w:t>
      </w:r>
      <w:r>
        <w:rPr>
          <w:lang w:eastAsia="ja-JP"/>
        </w:rPr>
        <w:t>e contraindication to eGFR</w:t>
      </w:r>
      <w:r w:rsidR="00F131AC">
        <w:rPr>
          <w:lang w:eastAsia="ja-JP"/>
        </w:rPr>
        <w:t xml:space="preserve"> </w:t>
      </w:r>
      <w:r>
        <w:rPr>
          <w:lang w:eastAsia="ja-JP"/>
        </w:rPr>
        <w:t>&lt; 30</w:t>
      </w:r>
      <w:r w:rsidR="00F131AC">
        <w:rPr>
          <w:lang w:eastAsia="ja-JP"/>
        </w:rPr>
        <w:t xml:space="preserve"> </w:t>
      </w:r>
      <w:r>
        <w:rPr>
          <w:lang w:eastAsia="ja-JP"/>
        </w:rPr>
        <w:t>mL</w:t>
      </w:r>
      <w:r w:rsidRPr="00194BB7">
        <w:rPr>
          <w:lang w:eastAsia="ja-JP"/>
        </w:rPr>
        <w:t>/min/m</w:t>
      </w:r>
      <w:r w:rsidRPr="00194BB7">
        <w:rPr>
          <w:vertAlign w:val="superscript"/>
          <w:lang w:eastAsia="ja-JP"/>
        </w:rPr>
        <w:t>2</w:t>
      </w:r>
      <w:r>
        <w:rPr>
          <w:lang w:eastAsia="ja-JP"/>
        </w:rPr>
        <w:t>.</w:t>
      </w:r>
    </w:p>
    <w:p w14:paraId="3E8A6F40" w14:textId="77777777" w:rsidR="008E7846" w:rsidRPr="00E41208" w:rsidRDefault="008E7846" w:rsidP="00546154">
      <w:pPr>
        <w:pStyle w:val="Heading2"/>
      </w:pPr>
      <w:bookmarkStart w:id="90" w:name="_Toc497906651"/>
      <w:r w:rsidRPr="00E41208">
        <w:lastRenderedPageBreak/>
        <w:t xml:space="preserve">V. Pharmacovigilance </w:t>
      </w:r>
      <w:r>
        <w:t>f</w:t>
      </w:r>
      <w:r w:rsidRPr="00E41208">
        <w:t>indings</w:t>
      </w:r>
      <w:bookmarkEnd w:id="67"/>
      <w:bookmarkEnd w:id="68"/>
      <w:bookmarkEnd w:id="90"/>
    </w:p>
    <w:p w14:paraId="086AEBAF" w14:textId="77777777" w:rsidR="008E7846" w:rsidRDefault="00386150" w:rsidP="008E7846">
      <w:pPr>
        <w:pStyle w:val="Heading3"/>
        <w:rPr>
          <w:lang w:eastAsia="en-AU"/>
        </w:rPr>
      </w:pPr>
      <w:bookmarkStart w:id="91" w:name="_Toc247691526"/>
      <w:bookmarkStart w:id="92" w:name="_Toc314842509"/>
      <w:bookmarkStart w:id="93" w:name="_Toc497906652"/>
      <w:r>
        <w:rPr>
          <w:lang w:eastAsia="en-AU"/>
        </w:rPr>
        <w:t>Risk m</w:t>
      </w:r>
      <w:r w:rsidR="008E7846">
        <w:rPr>
          <w:lang w:eastAsia="en-AU"/>
        </w:rPr>
        <w:t xml:space="preserve">anagement </w:t>
      </w:r>
      <w:r>
        <w:rPr>
          <w:lang w:eastAsia="en-AU"/>
        </w:rPr>
        <w:t>p</w:t>
      </w:r>
      <w:r w:rsidR="008E7846">
        <w:rPr>
          <w:lang w:eastAsia="en-AU"/>
        </w:rPr>
        <w:t>lan</w:t>
      </w:r>
      <w:bookmarkEnd w:id="91"/>
      <w:bookmarkEnd w:id="92"/>
      <w:bookmarkEnd w:id="93"/>
    </w:p>
    <w:p w14:paraId="3B8E0DB6" w14:textId="50CEFED6" w:rsidR="00F131AC" w:rsidRPr="00F131AC" w:rsidRDefault="00F131AC" w:rsidP="00F131AC">
      <w:pPr>
        <w:rPr>
          <w:lang w:eastAsia="en-AU"/>
        </w:rPr>
      </w:pPr>
      <w:r w:rsidRPr="00F131AC">
        <w:rPr>
          <w:lang w:eastAsia="en-AU"/>
        </w:rPr>
        <w:t>The most recently evaluated</w:t>
      </w:r>
      <w:r>
        <w:rPr>
          <w:lang w:eastAsia="en-AU"/>
        </w:rPr>
        <w:t xml:space="preserve"> Risk Management Plan</w:t>
      </w:r>
      <w:r w:rsidR="00A836C8">
        <w:rPr>
          <w:lang w:eastAsia="en-AU"/>
        </w:rPr>
        <w:t xml:space="preserve"> (RMP)</w:t>
      </w:r>
      <w:r>
        <w:rPr>
          <w:lang w:eastAsia="en-AU"/>
        </w:rPr>
        <w:t xml:space="preserve">, </w:t>
      </w:r>
      <w:r w:rsidR="00CF6DD3">
        <w:rPr>
          <w:lang w:eastAsia="en-AU"/>
        </w:rPr>
        <w:t xml:space="preserve">EU </w:t>
      </w:r>
      <w:r>
        <w:rPr>
          <w:lang w:eastAsia="en-AU"/>
        </w:rPr>
        <w:t>RMP version 5.0 dated 25 June </w:t>
      </w:r>
      <w:r w:rsidRPr="00F131AC">
        <w:rPr>
          <w:lang w:eastAsia="en-AU"/>
        </w:rPr>
        <w:t>2015 and</w:t>
      </w:r>
      <w:r>
        <w:rPr>
          <w:lang w:eastAsia="en-AU"/>
        </w:rPr>
        <w:t xml:space="preserve"> Australian Specific Annexe (</w:t>
      </w:r>
      <w:r w:rsidRPr="00F131AC">
        <w:rPr>
          <w:lang w:eastAsia="en-AU"/>
        </w:rPr>
        <w:t>ASA</w:t>
      </w:r>
      <w:r>
        <w:rPr>
          <w:lang w:eastAsia="en-AU"/>
        </w:rPr>
        <w:t>)</w:t>
      </w:r>
      <w:r w:rsidRPr="00F131AC">
        <w:rPr>
          <w:lang w:eastAsia="en-AU"/>
        </w:rPr>
        <w:t xml:space="preserve"> version 2.0 dated 9 December 2015 for </w:t>
      </w:r>
      <w:r w:rsidR="00A836C8">
        <w:rPr>
          <w:lang w:eastAsia="en-AU"/>
        </w:rPr>
        <w:t>a previous Jardiance submission</w:t>
      </w:r>
      <w:r w:rsidRPr="00F131AC">
        <w:rPr>
          <w:lang w:eastAsia="en-AU"/>
        </w:rPr>
        <w:t xml:space="preserve">. A first round RMP evaluation was not conducted for </w:t>
      </w:r>
      <w:r w:rsidR="00A836C8">
        <w:rPr>
          <w:lang w:eastAsia="en-AU"/>
        </w:rPr>
        <w:t>this submission.</w:t>
      </w:r>
      <w:r w:rsidRPr="00F131AC">
        <w:rPr>
          <w:lang w:eastAsia="en-AU"/>
        </w:rPr>
        <w:t xml:space="preserve"> In the </w:t>
      </w:r>
      <w:r w:rsidR="00A836C8">
        <w:rPr>
          <w:lang w:eastAsia="en-AU"/>
        </w:rPr>
        <w:t xml:space="preserve">sponsor’s </w:t>
      </w:r>
      <w:r w:rsidRPr="00F131AC">
        <w:rPr>
          <w:lang w:eastAsia="en-AU"/>
        </w:rPr>
        <w:t xml:space="preserve">response </w:t>
      </w:r>
      <w:r w:rsidR="00A836C8">
        <w:rPr>
          <w:lang w:eastAsia="en-AU"/>
        </w:rPr>
        <w:t xml:space="preserve">to TGA questions </w:t>
      </w:r>
      <w:r w:rsidRPr="00F131AC">
        <w:rPr>
          <w:lang w:eastAsia="en-AU"/>
        </w:rPr>
        <w:t>for</w:t>
      </w:r>
      <w:r w:rsidR="00A836C8">
        <w:rPr>
          <w:lang w:eastAsia="en-AU"/>
        </w:rPr>
        <w:t xml:space="preserve"> this current</w:t>
      </w:r>
      <w:r w:rsidRPr="00F131AC">
        <w:rPr>
          <w:lang w:eastAsia="en-AU"/>
        </w:rPr>
        <w:t xml:space="preserve"> submission, the sponsor responded to the first round clinical evaluation report for both this and the first round RMP evaluation report for </w:t>
      </w:r>
      <w:r w:rsidR="00A836C8">
        <w:rPr>
          <w:lang w:eastAsia="en-AU"/>
        </w:rPr>
        <w:t>the earlier submission</w:t>
      </w:r>
      <w:r w:rsidR="00CF6DD3">
        <w:rPr>
          <w:lang w:eastAsia="en-AU"/>
        </w:rPr>
        <w:t xml:space="preserve">. The updated EU </w:t>
      </w:r>
      <w:r w:rsidRPr="00F131AC">
        <w:rPr>
          <w:lang w:eastAsia="en-AU"/>
        </w:rPr>
        <w:t>RMP version 9.0 dated 10 May 2016 (data lock point 25 April 2016) and ASA version 3.1 dated 8 June 2016 were also submitted</w:t>
      </w:r>
      <w:r w:rsidR="00A836C8">
        <w:rPr>
          <w:lang w:eastAsia="en-AU"/>
        </w:rPr>
        <w:t xml:space="preserve"> in the sponsor’s response to TGA questions.</w:t>
      </w:r>
    </w:p>
    <w:p w14:paraId="21287102" w14:textId="77777777" w:rsidR="008E7846" w:rsidRDefault="003A7F6C" w:rsidP="008E7846">
      <w:pPr>
        <w:pStyle w:val="Heading4"/>
        <w:rPr>
          <w:lang w:eastAsia="en-AU"/>
        </w:rPr>
      </w:pPr>
      <w:r>
        <w:rPr>
          <w:lang w:eastAsia="en-AU"/>
        </w:rPr>
        <w:t>Safety s</w:t>
      </w:r>
      <w:r w:rsidR="008E7846">
        <w:rPr>
          <w:lang w:eastAsia="en-AU"/>
        </w:rPr>
        <w:t>pecification</w:t>
      </w:r>
    </w:p>
    <w:p w14:paraId="58C9E47D" w14:textId="12837DE0" w:rsidR="00BB5015" w:rsidRDefault="00BB5015" w:rsidP="00BB5015">
      <w:pPr>
        <w:pStyle w:val="Bulletlist"/>
      </w:pPr>
      <w:r w:rsidRPr="00875B57">
        <w:t>The proposed Summary of Safety Concerns and their associated risk monitoring and mitigation strategies are summarised below</w:t>
      </w:r>
      <w:r w:rsidR="008F54CD">
        <w:t xml:space="preserve"> *R=routine and A=additional)</w:t>
      </w:r>
      <w:r w:rsidRPr="00875B57">
        <w:t>:</w:t>
      </w:r>
    </w:p>
    <w:p w14:paraId="2D84CEDA" w14:textId="5B004800" w:rsidR="004821C5" w:rsidRPr="00875B57" w:rsidRDefault="004821C5" w:rsidP="00BF4B3D">
      <w:pPr>
        <w:pStyle w:val="Tabletitle0"/>
      </w:pPr>
      <w:r>
        <w:t>Table 3: Summary of ongoing safety concerns</w:t>
      </w:r>
    </w:p>
    <w:tbl>
      <w:tblPr>
        <w:tblStyle w:val="TableTGAblue"/>
        <w:tblW w:w="9180" w:type="dxa"/>
        <w:tblLayout w:type="fixed"/>
        <w:tblLook w:val="04A0" w:firstRow="1" w:lastRow="0" w:firstColumn="1" w:lastColumn="0" w:noHBand="0" w:noVBand="1"/>
        <w:tblDescription w:val="Table 3 is a summary of ongoing safety concerns"/>
      </w:tblPr>
      <w:tblGrid>
        <w:gridCol w:w="1526"/>
        <w:gridCol w:w="3544"/>
        <w:gridCol w:w="1134"/>
        <w:gridCol w:w="1134"/>
        <w:gridCol w:w="992"/>
        <w:gridCol w:w="850"/>
      </w:tblGrid>
      <w:tr w:rsidR="008F54CD" w:rsidRPr="004821C5" w14:paraId="139B5EE7" w14:textId="77777777" w:rsidTr="00BF4B3D">
        <w:trPr>
          <w:cnfStyle w:val="100000000000" w:firstRow="1" w:lastRow="0" w:firstColumn="0" w:lastColumn="0" w:oddVBand="0" w:evenVBand="0" w:oddHBand="0" w:evenHBand="0" w:firstRowFirstColumn="0" w:firstRowLastColumn="0" w:lastRowFirstColumn="0" w:lastRowLastColumn="0"/>
          <w:cantSplit/>
          <w:trHeight w:val="131"/>
        </w:trPr>
        <w:tc>
          <w:tcPr>
            <w:tcW w:w="5070" w:type="dxa"/>
            <w:gridSpan w:val="2"/>
            <w:vMerge w:val="restart"/>
          </w:tcPr>
          <w:p w14:paraId="544F6534" w14:textId="77777777" w:rsidR="00BB5015" w:rsidRPr="009609D7" w:rsidRDefault="00BB5015" w:rsidP="009609D7">
            <w:pPr>
              <w:pStyle w:val="TableTitle"/>
              <w:rPr>
                <w:b/>
              </w:rPr>
            </w:pPr>
            <w:r w:rsidRPr="009609D7">
              <w:rPr>
                <w:b/>
              </w:rPr>
              <w:t>Summary of safety concerns</w:t>
            </w:r>
          </w:p>
        </w:tc>
        <w:tc>
          <w:tcPr>
            <w:tcW w:w="2268" w:type="dxa"/>
            <w:gridSpan w:val="2"/>
          </w:tcPr>
          <w:p w14:paraId="04EA54E9" w14:textId="77777777" w:rsidR="00BB5015" w:rsidRPr="009609D7" w:rsidRDefault="00BB5015" w:rsidP="009609D7">
            <w:pPr>
              <w:pStyle w:val="TableTitle"/>
              <w:rPr>
                <w:b/>
              </w:rPr>
            </w:pPr>
            <w:r w:rsidRPr="009609D7">
              <w:rPr>
                <w:b/>
              </w:rPr>
              <w:t>Pharmacovigilance</w:t>
            </w:r>
          </w:p>
        </w:tc>
        <w:tc>
          <w:tcPr>
            <w:tcW w:w="1842" w:type="dxa"/>
            <w:gridSpan w:val="2"/>
          </w:tcPr>
          <w:p w14:paraId="2CC81A08" w14:textId="77777777" w:rsidR="00BB5015" w:rsidRPr="009609D7" w:rsidRDefault="00BB5015" w:rsidP="009609D7">
            <w:pPr>
              <w:pStyle w:val="TableTitle"/>
              <w:rPr>
                <w:b/>
              </w:rPr>
            </w:pPr>
            <w:r w:rsidRPr="009609D7">
              <w:rPr>
                <w:b/>
              </w:rPr>
              <w:t>Risk Minimisation</w:t>
            </w:r>
          </w:p>
        </w:tc>
      </w:tr>
      <w:tr w:rsidR="008F54CD" w:rsidRPr="004821C5" w14:paraId="24C59741" w14:textId="77777777" w:rsidTr="00BF4B3D">
        <w:trPr>
          <w:cantSplit/>
          <w:trHeight w:val="150"/>
        </w:trPr>
        <w:tc>
          <w:tcPr>
            <w:tcW w:w="5070" w:type="dxa"/>
            <w:gridSpan w:val="2"/>
            <w:vMerge/>
          </w:tcPr>
          <w:p w14:paraId="4A948E06" w14:textId="77777777" w:rsidR="00BB5015" w:rsidRPr="004821C5" w:rsidRDefault="00BB5015" w:rsidP="008F54CD">
            <w:pPr>
              <w:rPr>
                <w:rFonts w:asciiTheme="minorHAnsi" w:hAnsiTheme="minorHAnsi"/>
                <w:b/>
                <w:sz w:val="18"/>
                <w:szCs w:val="18"/>
              </w:rPr>
            </w:pPr>
          </w:p>
        </w:tc>
        <w:tc>
          <w:tcPr>
            <w:tcW w:w="1134" w:type="dxa"/>
          </w:tcPr>
          <w:p w14:paraId="4019484F" w14:textId="47A6EC06" w:rsidR="00BB5015" w:rsidRPr="004821C5" w:rsidRDefault="008F54CD" w:rsidP="00DA7CD3">
            <w:pPr>
              <w:pStyle w:val="Tabletext"/>
            </w:pPr>
            <w:r w:rsidRPr="004821C5">
              <w:t>R</w:t>
            </w:r>
          </w:p>
        </w:tc>
        <w:tc>
          <w:tcPr>
            <w:tcW w:w="1134" w:type="dxa"/>
          </w:tcPr>
          <w:p w14:paraId="24F7C728" w14:textId="69B96FE1" w:rsidR="00BB5015" w:rsidRPr="004821C5" w:rsidRDefault="008F54CD" w:rsidP="00DA7CD3">
            <w:pPr>
              <w:pStyle w:val="Tabletext"/>
            </w:pPr>
            <w:r w:rsidRPr="004821C5">
              <w:t>A</w:t>
            </w:r>
          </w:p>
        </w:tc>
        <w:tc>
          <w:tcPr>
            <w:tcW w:w="992" w:type="dxa"/>
          </w:tcPr>
          <w:p w14:paraId="50A015CF" w14:textId="0A05F271" w:rsidR="00BB5015" w:rsidRPr="004821C5" w:rsidRDefault="008F54CD" w:rsidP="00DA7CD3">
            <w:pPr>
              <w:pStyle w:val="Tabletext"/>
            </w:pPr>
            <w:r w:rsidRPr="004821C5">
              <w:t>R</w:t>
            </w:r>
          </w:p>
        </w:tc>
        <w:tc>
          <w:tcPr>
            <w:tcW w:w="850" w:type="dxa"/>
          </w:tcPr>
          <w:p w14:paraId="28717C98" w14:textId="21329B84" w:rsidR="00BB5015" w:rsidRPr="004821C5" w:rsidRDefault="008F54CD" w:rsidP="00DA7CD3">
            <w:pPr>
              <w:pStyle w:val="Tabletext"/>
            </w:pPr>
            <w:r w:rsidRPr="004821C5">
              <w:t>A</w:t>
            </w:r>
          </w:p>
        </w:tc>
      </w:tr>
      <w:tr w:rsidR="00BF4B3D" w:rsidRPr="00057272" w14:paraId="7A3D7003" w14:textId="77777777" w:rsidTr="00BF4B3D">
        <w:trPr>
          <w:trHeight w:val="137"/>
        </w:trPr>
        <w:tc>
          <w:tcPr>
            <w:tcW w:w="1526" w:type="dxa"/>
            <w:vMerge w:val="restart"/>
          </w:tcPr>
          <w:p w14:paraId="4B486FC1" w14:textId="77777777" w:rsidR="00BB5015" w:rsidRPr="008F54CD" w:rsidRDefault="00BB5015" w:rsidP="00DA7CD3">
            <w:pPr>
              <w:pStyle w:val="Tabletext"/>
            </w:pPr>
            <w:r w:rsidRPr="008F54CD">
              <w:t>Important identified risks</w:t>
            </w:r>
          </w:p>
        </w:tc>
        <w:tc>
          <w:tcPr>
            <w:tcW w:w="3544" w:type="dxa"/>
          </w:tcPr>
          <w:p w14:paraId="34F42278" w14:textId="77777777" w:rsidR="00BB5015" w:rsidRPr="008F54CD" w:rsidRDefault="00BB5015" w:rsidP="00DA7CD3">
            <w:pPr>
              <w:pStyle w:val="Tabletext"/>
            </w:pPr>
            <w:r w:rsidRPr="008F54CD">
              <w:t>Urinary tract infection</w:t>
            </w:r>
          </w:p>
        </w:tc>
        <w:tc>
          <w:tcPr>
            <w:tcW w:w="1134" w:type="dxa"/>
          </w:tcPr>
          <w:p w14:paraId="14DB29E4" w14:textId="77777777" w:rsidR="00BB5015" w:rsidRPr="008F54CD" w:rsidRDefault="00BB5015" w:rsidP="00DA7CD3">
            <w:pPr>
              <w:pStyle w:val="Tabletext"/>
            </w:pPr>
            <w:r w:rsidRPr="008F54CD">
              <w:sym w:font="Wingdings" w:char="F0FC"/>
            </w:r>
          </w:p>
        </w:tc>
        <w:tc>
          <w:tcPr>
            <w:tcW w:w="1134" w:type="dxa"/>
          </w:tcPr>
          <w:p w14:paraId="36E2D091" w14:textId="77777777" w:rsidR="00BB5015" w:rsidRPr="008F54CD" w:rsidRDefault="00BB5015" w:rsidP="00DA7CD3">
            <w:pPr>
              <w:pStyle w:val="Tabletext"/>
              <w:rPr>
                <w:vertAlign w:val="superscript"/>
              </w:rPr>
            </w:pPr>
            <w:r w:rsidRPr="008F54CD">
              <w:sym w:font="Wingdings" w:char="F0FC"/>
            </w:r>
            <w:r w:rsidRPr="008F54CD">
              <w:rPr>
                <w:vertAlign w:val="superscript"/>
              </w:rPr>
              <w:t>1</w:t>
            </w:r>
          </w:p>
        </w:tc>
        <w:tc>
          <w:tcPr>
            <w:tcW w:w="992" w:type="dxa"/>
          </w:tcPr>
          <w:p w14:paraId="3668221E" w14:textId="77777777" w:rsidR="00BB5015" w:rsidRPr="008F54CD" w:rsidRDefault="00BB5015" w:rsidP="00DA7CD3">
            <w:pPr>
              <w:pStyle w:val="Tabletext"/>
            </w:pPr>
            <w:r w:rsidRPr="008F54CD">
              <w:sym w:font="Wingdings" w:char="F0FC"/>
            </w:r>
          </w:p>
        </w:tc>
        <w:tc>
          <w:tcPr>
            <w:tcW w:w="850" w:type="dxa"/>
          </w:tcPr>
          <w:p w14:paraId="53F1B1C3" w14:textId="77777777" w:rsidR="00BB5015" w:rsidRPr="008F54CD" w:rsidRDefault="00BB5015" w:rsidP="00DA7CD3">
            <w:pPr>
              <w:pStyle w:val="Tabletext"/>
            </w:pPr>
            <w:r w:rsidRPr="008F54CD">
              <w:t>–</w:t>
            </w:r>
          </w:p>
        </w:tc>
      </w:tr>
      <w:tr w:rsidR="00BF4B3D" w:rsidRPr="00057272" w14:paraId="601F63CE" w14:textId="77777777" w:rsidTr="00BF4B3D">
        <w:trPr>
          <w:trHeight w:val="94"/>
        </w:trPr>
        <w:tc>
          <w:tcPr>
            <w:tcW w:w="1526" w:type="dxa"/>
            <w:vMerge/>
          </w:tcPr>
          <w:p w14:paraId="21FF0BB1" w14:textId="77777777" w:rsidR="00BB5015" w:rsidRPr="008F54CD" w:rsidRDefault="00BB5015" w:rsidP="00DA7CD3">
            <w:pPr>
              <w:pStyle w:val="Tabletext"/>
            </w:pPr>
          </w:p>
        </w:tc>
        <w:tc>
          <w:tcPr>
            <w:tcW w:w="3544" w:type="dxa"/>
          </w:tcPr>
          <w:p w14:paraId="50704EA8" w14:textId="77777777" w:rsidR="00BB5015" w:rsidRPr="008F54CD" w:rsidRDefault="00BB5015" w:rsidP="00DA7CD3">
            <w:pPr>
              <w:pStyle w:val="Tabletext"/>
            </w:pPr>
            <w:r w:rsidRPr="008F54CD">
              <w:t>Genital infection</w:t>
            </w:r>
          </w:p>
        </w:tc>
        <w:tc>
          <w:tcPr>
            <w:tcW w:w="1134" w:type="dxa"/>
          </w:tcPr>
          <w:p w14:paraId="7F865633" w14:textId="77777777" w:rsidR="00BB5015" w:rsidRPr="008F54CD" w:rsidRDefault="00BB5015" w:rsidP="00DA7CD3">
            <w:pPr>
              <w:pStyle w:val="Tabletext"/>
            </w:pPr>
            <w:r w:rsidRPr="008F54CD">
              <w:sym w:font="Wingdings" w:char="F0FC"/>
            </w:r>
          </w:p>
        </w:tc>
        <w:tc>
          <w:tcPr>
            <w:tcW w:w="1134" w:type="dxa"/>
          </w:tcPr>
          <w:p w14:paraId="5FA5D431" w14:textId="77777777" w:rsidR="00BB5015" w:rsidRPr="008F54CD" w:rsidRDefault="00BB5015" w:rsidP="00DA7CD3">
            <w:pPr>
              <w:pStyle w:val="Tabletext"/>
              <w:rPr>
                <w:vertAlign w:val="superscript"/>
              </w:rPr>
            </w:pPr>
            <w:r w:rsidRPr="008F54CD">
              <w:sym w:font="Wingdings" w:char="F0FC"/>
            </w:r>
            <w:r w:rsidRPr="008F54CD">
              <w:rPr>
                <w:vertAlign w:val="superscript"/>
              </w:rPr>
              <w:t>1</w:t>
            </w:r>
          </w:p>
        </w:tc>
        <w:tc>
          <w:tcPr>
            <w:tcW w:w="992" w:type="dxa"/>
          </w:tcPr>
          <w:p w14:paraId="77CA4AC4" w14:textId="77777777" w:rsidR="00BB5015" w:rsidRPr="008F54CD" w:rsidRDefault="00BB5015" w:rsidP="00DA7CD3">
            <w:pPr>
              <w:pStyle w:val="Tabletext"/>
            </w:pPr>
            <w:r w:rsidRPr="008F54CD">
              <w:sym w:font="Wingdings" w:char="F0FC"/>
            </w:r>
          </w:p>
        </w:tc>
        <w:tc>
          <w:tcPr>
            <w:tcW w:w="850" w:type="dxa"/>
          </w:tcPr>
          <w:p w14:paraId="26A341C8" w14:textId="77777777" w:rsidR="00BB5015" w:rsidRPr="008F54CD" w:rsidRDefault="00BB5015" w:rsidP="00DA7CD3">
            <w:pPr>
              <w:pStyle w:val="Tabletext"/>
            </w:pPr>
            <w:r w:rsidRPr="008F54CD">
              <w:t>–</w:t>
            </w:r>
          </w:p>
        </w:tc>
      </w:tr>
      <w:tr w:rsidR="00BF4B3D" w:rsidRPr="00057272" w14:paraId="48DF23D2" w14:textId="77777777" w:rsidTr="00BF4B3D">
        <w:trPr>
          <w:trHeight w:val="94"/>
        </w:trPr>
        <w:tc>
          <w:tcPr>
            <w:tcW w:w="1526" w:type="dxa"/>
            <w:vMerge/>
          </w:tcPr>
          <w:p w14:paraId="2F44C0FC" w14:textId="77777777" w:rsidR="00BB5015" w:rsidRPr="008F54CD" w:rsidRDefault="00BB5015" w:rsidP="00DA7CD3">
            <w:pPr>
              <w:pStyle w:val="Tabletext"/>
            </w:pPr>
          </w:p>
        </w:tc>
        <w:tc>
          <w:tcPr>
            <w:tcW w:w="3544" w:type="dxa"/>
          </w:tcPr>
          <w:p w14:paraId="7BAC53A4" w14:textId="77777777" w:rsidR="00BB5015" w:rsidRPr="008F54CD" w:rsidRDefault="00BB5015" w:rsidP="00DA7CD3">
            <w:pPr>
              <w:pStyle w:val="Tabletext"/>
            </w:pPr>
            <w:r w:rsidRPr="008F54CD">
              <w:t>Volume depletion</w:t>
            </w:r>
          </w:p>
        </w:tc>
        <w:tc>
          <w:tcPr>
            <w:tcW w:w="1134" w:type="dxa"/>
          </w:tcPr>
          <w:p w14:paraId="1D11C174" w14:textId="77777777" w:rsidR="00BB5015" w:rsidRPr="008F54CD" w:rsidRDefault="00BB5015" w:rsidP="00DA7CD3">
            <w:pPr>
              <w:pStyle w:val="Tabletext"/>
            </w:pPr>
            <w:r w:rsidRPr="008F54CD">
              <w:sym w:font="Wingdings" w:char="F0FC"/>
            </w:r>
          </w:p>
        </w:tc>
        <w:tc>
          <w:tcPr>
            <w:tcW w:w="1134" w:type="dxa"/>
          </w:tcPr>
          <w:p w14:paraId="4D3730D1" w14:textId="77777777" w:rsidR="00BB5015" w:rsidRPr="008F54CD" w:rsidRDefault="00BB5015" w:rsidP="00DA7CD3">
            <w:pPr>
              <w:pStyle w:val="Tabletext"/>
            </w:pPr>
            <w:r w:rsidRPr="008F54CD">
              <w:t>–</w:t>
            </w:r>
          </w:p>
        </w:tc>
        <w:tc>
          <w:tcPr>
            <w:tcW w:w="992" w:type="dxa"/>
          </w:tcPr>
          <w:p w14:paraId="5958AC2C" w14:textId="77777777" w:rsidR="00BB5015" w:rsidRPr="008F54CD" w:rsidRDefault="00BB5015" w:rsidP="00DA7CD3">
            <w:pPr>
              <w:pStyle w:val="Tabletext"/>
            </w:pPr>
            <w:r w:rsidRPr="008F54CD">
              <w:sym w:font="Wingdings" w:char="F0FC"/>
            </w:r>
          </w:p>
        </w:tc>
        <w:tc>
          <w:tcPr>
            <w:tcW w:w="850" w:type="dxa"/>
          </w:tcPr>
          <w:p w14:paraId="39D2038E" w14:textId="77777777" w:rsidR="00BB5015" w:rsidRPr="008F54CD" w:rsidRDefault="00BB5015" w:rsidP="00DA7CD3">
            <w:pPr>
              <w:pStyle w:val="Tabletext"/>
            </w:pPr>
            <w:r w:rsidRPr="008F54CD">
              <w:t>–</w:t>
            </w:r>
          </w:p>
        </w:tc>
      </w:tr>
      <w:tr w:rsidR="00BF4B3D" w:rsidRPr="00057272" w14:paraId="4052AF7F" w14:textId="77777777" w:rsidTr="00BF4B3D">
        <w:trPr>
          <w:trHeight w:val="94"/>
        </w:trPr>
        <w:tc>
          <w:tcPr>
            <w:tcW w:w="1526" w:type="dxa"/>
            <w:vMerge/>
          </w:tcPr>
          <w:p w14:paraId="336E02D6" w14:textId="77777777" w:rsidR="00BB5015" w:rsidRPr="008F54CD" w:rsidRDefault="00BB5015" w:rsidP="00DA7CD3">
            <w:pPr>
              <w:pStyle w:val="Tabletext"/>
            </w:pPr>
          </w:p>
        </w:tc>
        <w:tc>
          <w:tcPr>
            <w:tcW w:w="3544" w:type="dxa"/>
          </w:tcPr>
          <w:p w14:paraId="1E6F9387" w14:textId="77777777" w:rsidR="00BB5015" w:rsidRPr="008F54CD" w:rsidRDefault="00BB5015" w:rsidP="00DA7CD3">
            <w:pPr>
              <w:pStyle w:val="Tabletext"/>
            </w:pPr>
            <w:r w:rsidRPr="008F54CD">
              <w:t>Diabetic ketoacidosis with atypical presentation</w:t>
            </w:r>
          </w:p>
        </w:tc>
        <w:tc>
          <w:tcPr>
            <w:tcW w:w="1134" w:type="dxa"/>
          </w:tcPr>
          <w:p w14:paraId="397B55F8" w14:textId="77777777" w:rsidR="00BB5015" w:rsidRPr="008F54CD" w:rsidRDefault="00BB5015" w:rsidP="00DA7CD3">
            <w:pPr>
              <w:pStyle w:val="Tabletext"/>
            </w:pPr>
            <w:r w:rsidRPr="008F54CD">
              <w:sym w:font="Wingdings" w:char="F0FC"/>
            </w:r>
          </w:p>
        </w:tc>
        <w:tc>
          <w:tcPr>
            <w:tcW w:w="1134" w:type="dxa"/>
          </w:tcPr>
          <w:p w14:paraId="4B9DE036" w14:textId="77777777" w:rsidR="00BB5015" w:rsidRPr="008F54CD" w:rsidRDefault="00BB5015" w:rsidP="00DA7CD3">
            <w:pPr>
              <w:pStyle w:val="Tabletext"/>
              <w:rPr>
                <w:vertAlign w:val="superscript"/>
              </w:rPr>
            </w:pPr>
            <w:r w:rsidRPr="008F54CD">
              <w:sym w:font="Wingdings" w:char="F0FC"/>
            </w:r>
            <w:r w:rsidRPr="008F54CD">
              <w:rPr>
                <w:vertAlign w:val="superscript"/>
              </w:rPr>
              <w:t>2,3</w:t>
            </w:r>
          </w:p>
        </w:tc>
        <w:tc>
          <w:tcPr>
            <w:tcW w:w="992" w:type="dxa"/>
          </w:tcPr>
          <w:p w14:paraId="02AF5EA6" w14:textId="77777777" w:rsidR="00BB5015" w:rsidRPr="008F54CD" w:rsidRDefault="00BB5015" w:rsidP="00DA7CD3">
            <w:pPr>
              <w:pStyle w:val="Tabletext"/>
            </w:pPr>
            <w:r w:rsidRPr="008F54CD">
              <w:sym w:font="Wingdings" w:char="F0FC"/>
            </w:r>
          </w:p>
        </w:tc>
        <w:tc>
          <w:tcPr>
            <w:tcW w:w="850" w:type="dxa"/>
          </w:tcPr>
          <w:p w14:paraId="1CCEB06B" w14:textId="77777777" w:rsidR="00BB5015" w:rsidRPr="008F54CD" w:rsidRDefault="00BB5015" w:rsidP="00DA7CD3">
            <w:pPr>
              <w:pStyle w:val="Tabletext"/>
            </w:pPr>
            <w:r w:rsidRPr="008F54CD">
              <w:t>–</w:t>
            </w:r>
          </w:p>
        </w:tc>
      </w:tr>
      <w:tr w:rsidR="00BF4B3D" w:rsidRPr="00057272" w14:paraId="7BDCACE5" w14:textId="77777777" w:rsidTr="00BF4B3D">
        <w:trPr>
          <w:trHeight w:val="187"/>
        </w:trPr>
        <w:tc>
          <w:tcPr>
            <w:tcW w:w="1526" w:type="dxa"/>
            <w:vMerge/>
          </w:tcPr>
          <w:p w14:paraId="3F237593" w14:textId="77777777" w:rsidR="00BB5015" w:rsidRPr="008F54CD" w:rsidRDefault="00BB5015" w:rsidP="00DA7CD3">
            <w:pPr>
              <w:pStyle w:val="Tabletext"/>
            </w:pPr>
          </w:p>
        </w:tc>
        <w:tc>
          <w:tcPr>
            <w:tcW w:w="3544" w:type="dxa"/>
          </w:tcPr>
          <w:p w14:paraId="4E626B75" w14:textId="77777777" w:rsidR="00BB5015" w:rsidRPr="008F54CD" w:rsidRDefault="00BB5015" w:rsidP="00DA7CD3">
            <w:pPr>
              <w:pStyle w:val="Tabletext"/>
            </w:pPr>
            <w:r w:rsidRPr="008F54CD">
              <w:t>Hypoglycaemia (with insulin and/or sulphonylurea)</w:t>
            </w:r>
          </w:p>
        </w:tc>
        <w:tc>
          <w:tcPr>
            <w:tcW w:w="1134" w:type="dxa"/>
          </w:tcPr>
          <w:p w14:paraId="30C1464A" w14:textId="77777777" w:rsidR="00BB5015" w:rsidRPr="008F54CD" w:rsidRDefault="00BB5015" w:rsidP="00DA7CD3">
            <w:pPr>
              <w:pStyle w:val="Tabletext"/>
            </w:pPr>
            <w:r w:rsidRPr="008F54CD">
              <w:sym w:font="Wingdings" w:char="F0FC"/>
            </w:r>
          </w:p>
        </w:tc>
        <w:tc>
          <w:tcPr>
            <w:tcW w:w="1134" w:type="dxa"/>
          </w:tcPr>
          <w:p w14:paraId="01B2561C" w14:textId="77777777" w:rsidR="00BB5015" w:rsidRPr="008F54CD" w:rsidRDefault="00BB5015" w:rsidP="00DA7CD3">
            <w:pPr>
              <w:pStyle w:val="Tabletext"/>
            </w:pPr>
            <w:r w:rsidRPr="008F54CD">
              <w:t>–</w:t>
            </w:r>
          </w:p>
        </w:tc>
        <w:tc>
          <w:tcPr>
            <w:tcW w:w="992" w:type="dxa"/>
          </w:tcPr>
          <w:p w14:paraId="319E1FC1" w14:textId="77777777" w:rsidR="00BB5015" w:rsidRPr="008F54CD" w:rsidRDefault="00BB5015" w:rsidP="00DA7CD3">
            <w:pPr>
              <w:pStyle w:val="Tabletext"/>
            </w:pPr>
            <w:r w:rsidRPr="008F54CD">
              <w:sym w:font="Wingdings" w:char="F0FC"/>
            </w:r>
          </w:p>
        </w:tc>
        <w:tc>
          <w:tcPr>
            <w:tcW w:w="850" w:type="dxa"/>
          </w:tcPr>
          <w:p w14:paraId="1A34EFB5" w14:textId="77777777" w:rsidR="00BB5015" w:rsidRPr="008F54CD" w:rsidRDefault="00BB5015" w:rsidP="00DA7CD3">
            <w:pPr>
              <w:pStyle w:val="Tabletext"/>
            </w:pPr>
            <w:r w:rsidRPr="008F54CD">
              <w:t>–</w:t>
            </w:r>
          </w:p>
        </w:tc>
      </w:tr>
      <w:tr w:rsidR="00BF4B3D" w:rsidRPr="00057272" w14:paraId="24EDEED0" w14:textId="77777777" w:rsidTr="00BF4B3D">
        <w:trPr>
          <w:trHeight w:val="159"/>
        </w:trPr>
        <w:tc>
          <w:tcPr>
            <w:tcW w:w="1526" w:type="dxa"/>
            <w:vMerge w:val="restart"/>
          </w:tcPr>
          <w:p w14:paraId="5BE1CB98" w14:textId="77777777" w:rsidR="00BB5015" w:rsidRPr="008F54CD" w:rsidRDefault="00BB5015" w:rsidP="00DA7CD3">
            <w:pPr>
              <w:pStyle w:val="Tabletext"/>
            </w:pPr>
            <w:r w:rsidRPr="008F54CD">
              <w:t>Important potential risks</w:t>
            </w:r>
          </w:p>
        </w:tc>
        <w:tc>
          <w:tcPr>
            <w:tcW w:w="3544" w:type="dxa"/>
          </w:tcPr>
          <w:p w14:paraId="004C708C" w14:textId="77777777" w:rsidR="00BB5015" w:rsidRPr="008F54CD" w:rsidRDefault="00BB5015" w:rsidP="00DA7CD3">
            <w:pPr>
              <w:pStyle w:val="Tabletext"/>
            </w:pPr>
            <w:r w:rsidRPr="008F54CD">
              <w:t>Urinary tract carcinogenicity</w:t>
            </w:r>
          </w:p>
        </w:tc>
        <w:tc>
          <w:tcPr>
            <w:tcW w:w="1134" w:type="dxa"/>
          </w:tcPr>
          <w:p w14:paraId="0F8654AC" w14:textId="77777777" w:rsidR="00BB5015" w:rsidRPr="008F54CD" w:rsidRDefault="00BB5015" w:rsidP="00DA7CD3">
            <w:pPr>
              <w:pStyle w:val="Tabletext"/>
            </w:pPr>
            <w:r w:rsidRPr="008F54CD">
              <w:sym w:font="Wingdings" w:char="F0FC"/>
            </w:r>
          </w:p>
        </w:tc>
        <w:tc>
          <w:tcPr>
            <w:tcW w:w="1134" w:type="dxa"/>
          </w:tcPr>
          <w:p w14:paraId="2F6B0B9A" w14:textId="77777777" w:rsidR="00BB5015" w:rsidRPr="008F54CD" w:rsidRDefault="00BB5015" w:rsidP="00DA7CD3">
            <w:pPr>
              <w:pStyle w:val="Tabletext"/>
              <w:rPr>
                <w:vertAlign w:val="superscript"/>
              </w:rPr>
            </w:pPr>
            <w:r w:rsidRPr="008F54CD">
              <w:sym w:font="Wingdings" w:char="F0FC"/>
            </w:r>
            <w:r w:rsidRPr="008F54CD">
              <w:rPr>
                <w:vertAlign w:val="superscript"/>
              </w:rPr>
              <w:t>1</w:t>
            </w:r>
          </w:p>
        </w:tc>
        <w:tc>
          <w:tcPr>
            <w:tcW w:w="992" w:type="dxa"/>
          </w:tcPr>
          <w:p w14:paraId="38A8CEDF" w14:textId="77777777" w:rsidR="00BB5015" w:rsidRPr="008F54CD" w:rsidRDefault="00BB5015" w:rsidP="00DA7CD3">
            <w:pPr>
              <w:pStyle w:val="Tabletext"/>
            </w:pPr>
            <w:r w:rsidRPr="008F54CD">
              <w:sym w:font="Wingdings" w:char="F0FC"/>
            </w:r>
          </w:p>
        </w:tc>
        <w:tc>
          <w:tcPr>
            <w:tcW w:w="850" w:type="dxa"/>
          </w:tcPr>
          <w:p w14:paraId="3F150858" w14:textId="77777777" w:rsidR="00BB5015" w:rsidRPr="008F54CD" w:rsidRDefault="00BB5015" w:rsidP="00DA7CD3">
            <w:pPr>
              <w:pStyle w:val="Tabletext"/>
            </w:pPr>
            <w:r w:rsidRPr="008F54CD">
              <w:t>–</w:t>
            </w:r>
          </w:p>
        </w:tc>
      </w:tr>
      <w:tr w:rsidR="00BF4B3D" w:rsidRPr="00057272" w14:paraId="1167605C" w14:textId="77777777" w:rsidTr="00BF4B3D">
        <w:trPr>
          <w:trHeight w:val="122"/>
        </w:trPr>
        <w:tc>
          <w:tcPr>
            <w:tcW w:w="1526" w:type="dxa"/>
            <w:vMerge/>
          </w:tcPr>
          <w:p w14:paraId="56EF690B" w14:textId="77777777" w:rsidR="00BB5015" w:rsidRPr="008F54CD" w:rsidRDefault="00BB5015" w:rsidP="00DA7CD3">
            <w:pPr>
              <w:pStyle w:val="Tabletext"/>
            </w:pPr>
          </w:p>
        </w:tc>
        <w:tc>
          <w:tcPr>
            <w:tcW w:w="3544" w:type="dxa"/>
          </w:tcPr>
          <w:p w14:paraId="399DAFC6" w14:textId="77777777" w:rsidR="00BB5015" w:rsidRPr="008F54CD" w:rsidRDefault="00BB5015" w:rsidP="00DA7CD3">
            <w:pPr>
              <w:pStyle w:val="Tabletext"/>
            </w:pPr>
            <w:r w:rsidRPr="008F54CD">
              <w:t>Liver injury</w:t>
            </w:r>
          </w:p>
        </w:tc>
        <w:tc>
          <w:tcPr>
            <w:tcW w:w="1134" w:type="dxa"/>
          </w:tcPr>
          <w:p w14:paraId="716D2488" w14:textId="77777777" w:rsidR="00BB5015" w:rsidRPr="008F54CD" w:rsidRDefault="00BB5015" w:rsidP="00DA7CD3">
            <w:pPr>
              <w:pStyle w:val="Tabletext"/>
            </w:pPr>
            <w:r w:rsidRPr="008F54CD">
              <w:sym w:font="Wingdings" w:char="F0FC"/>
            </w:r>
          </w:p>
        </w:tc>
        <w:tc>
          <w:tcPr>
            <w:tcW w:w="1134" w:type="dxa"/>
          </w:tcPr>
          <w:p w14:paraId="031F5AF0" w14:textId="77777777" w:rsidR="00BB5015" w:rsidRPr="008F54CD" w:rsidRDefault="00BB5015" w:rsidP="00DA7CD3">
            <w:pPr>
              <w:pStyle w:val="Tabletext"/>
              <w:rPr>
                <w:vertAlign w:val="superscript"/>
              </w:rPr>
            </w:pPr>
            <w:r w:rsidRPr="008F54CD">
              <w:sym w:font="Wingdings" w:char="F0FC"/>
            </w:r>
            <w:r w:rsidRPr="008F54CD">
              <w:rPr>
                <w:vertAlign w:val="superscript"/>
              </w:rPr>
              <w:t>1</w:t>
            </w:r>
          </w:p>
        </w:tc>
        <w:tc>
          <w:tcPr>
            <w:tcW w:w="992" w:type="dxa"/>
          </w:tcPr>
          <w:p w14:paraId="64F06175" w14:textId="77777777" w:rsidR="00BB5015" w:rsidRPr="008F54CD" w:rsidRDefault="00BB5015" w:rsidP="00DA7CD3">
            <w:pPr>
              <w:pStyle w:val="Tabletext"/>
            </w:pPr>
            <w:r w:rsidRPr="008F54CD">
              <w:sym w:font="Wingdings" w:char="F0FC"/>
            </w:r>
          </w:p>
        </w:tc>
        <w:tc>
          <w:tcPr>
            <w:tcW w:w="850" w:type="dxa"/>
          </w:tcPr>
          <w:p w14:paraId="74D7AF27" w14:textId="77777777" w:rsidR="00BB5015" w:rsidRPr="008F54CD" w:rsidRDefault="00BB5015" w:rsidP="00DA7CD3">
            <w:pPr>
              <w:pStyle w:val="Tabletext"/>
            </w:pPr>
            <w:r w:rsidRPr="008F54CD">
              <w:t>–</w:t>
            </w:r>
          </w:p>
        </w:tc>
      </w:tr>
      <w:tr w:rsidR="00BF4B3D" w:rsidRPr="00057272" w14:paraId="015A51C9" w14:textId="77777777" w:rsidTr="00BF4B3D">
        <w:trPr>
          <w:trHeight w:val="112"/>
        </w:trPr>
        <w:tc>
          <w:tcPr>
            <w:tcW w:w="1526" w:type="dxa"/>
            <w:vMerge/>
          </w:tcPr>
          <w:p w14:paraId="45E86032" w14:textId="77777777" w:rsidR="00BB5015" w:rsidRPr="008F54CD" w:rsidRDefault="00BB5015" w:rsidP="00DA7CD3">
            <w:pPr>
              <w:pStyle w:val="Tabletext"/>
            </w:pPr>
          </w:p>
        </w:tc>
        <w:tc>
          <w:tcPr>
            <w:tcW w:w="3544" w:type="dxa"/>
          </w:tcPr>
          <w:p w14:paraId="7EBF2F88" w14:textId="77777777" w:rsidR="00BB5015" w:rsidRPr="008F54CD" w:rsidRDefault="00BB5015" w:rsidP="00DA7CD3">
            <w:pPr>
              <w:pStyle w:val="Tabletext"/>
            </w:pPr>
            <w:r w:rsidRPr="008F54CD">
              <w:t>Off-label use (e.g. for weight loss in non-T2DM patients)</w:t>
            </w:r>
          </w:p>
        </w:tc>
        <w:tc>
          <w:tcPr>
            <w:tcW w:w="1134" w:type="dxa"/>
          </w:tcPr>
          <w:p w14:paraId="078F7EA7" w14:textId="77777777" w:rsidR="00BB5015" w:rsidRPr="008F54CD" w:rsidRDefault="00BB5015" w:rsidP="00DA7CD3">
            <w:pPr>
              <w:pStyle w:val="Tabletext"/>
            </w:pPr>
            <w:r w:rsidRPr="008F54CD">
              <w:sym w:font="Wingdings" w:char="F0FC"/>
            </w:r>
          </w:p>
        </w:tc>
        <w:tc>
          <w:tcPr>
            <w:tcW w:w="1134" w:type="dxa"/>
          </w:tcPr>
          <w:p w14:paraId="26FA8517" w14:textId="77777777" w:rsidR="00BB5015" w:rsidRPr="008F54CD" w:rsidRDefault="00BB5015" w:rsidP="00DA7CD3">
            <w:pPr>
              <w:pStyle w:val="Tabletext"/>
              <w:rPr>
                <w:vertAlign w:val="superscript"/>
              </w:rPr>
            </w:pPr>
            <w:r w:rsidRPr="008F54CD">
              <w:sym w:font="Wingdings" w:char="F0FC"/>
            </w:r>
            <w:r w:rsidRPr="008F54CD">
              <w:rPr>
                <w:vertAlign w:val="superscript"/>
              </w:rPr>
              <w:t>4</w:t>
            </w:r>
          </w:p>
        </w:tc>
        <w:tc>
          <w:tcPr>
            <w:tcW w:w="992" w:type="dxa"/>
          </w:tcPr>
          <w:p w14:paraId="73D09493" w14:textId="77777777" w:rsidR="00BB5015" w:rsidRPr="008F54CD" w:rsidRDefault="00BB5015" w:rsidP="00DA7CD3">
            <w:pPr>
              <w:pStyle w:val="Tabletext"/>
            </w:pPr>
            <w:r w:rsidRPr="008F54CD">
              <w:sym w:font="Wingdings" w:char="F0FC"/>
            </w:r>
          </w:p>
        </w:tc>
        <w:tc>
          <w:tcPr>
            <w:tcW w:w="850" w:type="dxa"/>
          </w:tcPr>
          <w:p w14:paraId="23E0C7B6" w14:textId="77777777" w:rsidR="00BB5015" w:rsidRPr="008F54CD" w:rsidRDefault="00BB5015" w:rsidP="00DA7CD3">
            <w:pPr>
              <w:pStyle w:val="Tabletext"/>
            </w:pPr>
            <w:r w:rsidRPr="008F54CD">
              <w:t>–</w:t>
            </w:r>
          </w:p>
        </w:tc>
      </w:tr>
      <w:tr w:rsidR="00BF4B3D" w:rsidRPr="00057272" w14:paraId="4E35B899" w14:textId="77777777" w:rsidTr="00BF4B3D">
        <w:trPr>
          <w:trHeight w:val="178"/>
        </w:trPr>
        <w:tc>
          <w:tcPr>
            <w:tcW w:w="1526" w:type="dxa"/>
            <w:vMerge w:val="restart"/>
          </w:tcPr>
          <w:p w14:paraId="01003622" w14:textId="77777777" w:rsidR="00BB5015" w:rsidRPr="008F54CD" w:rsidRDefault="00BB5015" w:rsidP="00DA7CD3">
            <w:pPr>
              <w:pStyle w:val="Tabletext"/>
            </w:pPr>
            <w:r w:rsidRPr="008F54CD">
              <w:t>Missing information</w:t>
            </w:r>
          </w:p>
        </w:tc>
        <w:tc>
          <w:tcPr>
            <w:tcW w:w="3544" w:type="dxa"/>
          </w:tcPr>
          <w:p w14:paraId="00296CFB" w14:textId="77777777" w:rsidR="00BB5015" w:rsidRPr="008F54CD" w:rsidRDefault="00BB5015" w:rsidP="00DA7CD3">
            <w:pPr>
              <w:pStyle w:val="Tabletext"/>
            </w:pPr>
            <w:r w:rsidRPr="008F54CD">
              <w:t>Paediatric patients</w:t>
            </w:r>
          </w:p>
        </w:tc>
        <w:tc>
          <w:tcPr>
            <w:tcW w:w="1134" w:type="dxa"/>
          </w:tcPr>
          <w:p w14:paraId="504681C1" w14:textId="77777777" w:rsidR="00BB5015" w:rsidRPr="008F54CD" w:rsidRDefault="00BB5015" w:rsidP="00DA7CD3">
            <w:pPr>
              <w:pStyle w:val="Tabletext"/>
            </w:pPr>
            <w:r w:rsidRPr="008F54CD">
              <w:sym w:font="Wingdings" w:char="F0FC"/>
            </w:r>
          </w:p>
        </w:tc>
        <w:tc>
          <w:tcPr>
            <w:tcW w:w="1134" w:type="dxa"/>
          </w:tcPr>
          <w:p w14:paraId="3BECACE4" w14:textId="77777777" w:rsidR="00BB5015" w:rsidRPr="008F54CD" w:rsidRDefault="00BB5015" w:rsidP="00DA7CD3">
            <w:pPr>
              <w:pStyle w:val="Tabletext"/>
            </w:pPr>
            <w:r w:rsidRPr="008F54CD">
              <w:t>–</w:t>
            </w:r>
          </w:p>
        </w:tc>
        <w:tc>
          <w:tcPr>
            <w:tcW w:w="992" w:type="dxa"/>
          </w:tcPr>
          <w:p w14:paraId="01B16E8A" w14:textId="77777777" w:rsidR="00BB5015" w:rsidRPr="008F54CD" w:rsidRDefault="00BB5015" w:rsidP="00DA7CD3">
            <w:pPr>
              <w:pStyle w:val="Tabletext"/>
            </w:pPr>
            <w:r w:rsidRPr="008F54CD">
              <w:sym w:font="Wingdings" w:char="F0FC"/>
            </w:r>
          </w:p>
        </w:tc>
        <w:tc>
          <w:tcPr>
            <w:tcW w:w="850" w:type="dxa"/>
          </w:tcPr>
          <w:p w14:paraId="0EEA5118" w14:textId="77777777" w:rsidR="00BB5015" w:rsidRPr="008F54CD" w:rsidRDefault="00BB5015" w:rsidP="00DA7CD3">
            <w:pPr>
              <w:pStyle w:val="Tabletext"/>
            </w:pPr>
            <w:r w:rsidRPr="008F54CD">
              <w:t>–</w:t>
            </w:r>
          </w:p>
        </w:tc>
      </w:tr>
      <w:tr w:rsidR="00BF4B3D" w:rsidRPr="00057272" w14:paraId="34E3D48B" w14:textId="77777777" w:rsidTr="00BF4B3D">
        <w:trPr>
          <w:trHeight w:val="103"/>
        </w:trPr>
        <w:tc>
          <w:tcPr>
            <w:tcW w:w="1526" w:type="dxa"/>
            <w:vMerge/>
          </w:tcPr>
          <w:p w14:paraId="7DF79CDF" w14:textId="77777777" w:rsidR="00BB5015" w:rsidRPr="008F54CD" w:rsidRDefault="00BB5015" w:rsidP="008F54CD">
            <w:pPr>
              <w:rPr>
                <w:rFonts w:asciiTheme="minorHAnsi" w:hAnsiTheme="minorHAnsi"/>
                <w:sz w:val="18"/>
                <w:szCs w:val="18"/>
              </w:rPr>
            </w:pPr>
          </w:p>
        </w:tc>
        <w:tc>
          <w:tcPr>
            <w:tcW w:w="3544" w:type="dxa"/>
          </w:tcPr>
          <w:p w14:paraId="1F4A084E" w14:textId="77777777" w:rsidR="00BB5015" w:rsidRPr="008F54CD" w:rsidRDefault="00BB5015" w:rsidP="00DA7CD3">
            <w:pPr>
              <w:pStyle w:val="Tabletext"/>
            </w:pPr>
            <w:r w:rsidRPr="008F54CD">
              <w:t>Elderly patients (≥85 years)</w:t>
            </w:r>
          </w:p>
        </w:tc>
        <w:tc>
          <w:tcPr>
            <w:tcW w:w="1134" w:type="dxa"/>
          </w:tcPr>
          <w:p w14:paraId="762D6463" w14:textId="77777777" w:rsidR="00BB5015" w:rsidRPr="008F54CD" w:rsidRDefault="00BB5015" w:rsidP="00DA7CD3">
            <w:pPr>
              <w:pStyle w:val="Tabletext"/>
            </w:pPr>
            <w:r w:rsidRPr="008F54CD">
              <w:sym w:font="Wingdings" w:char="F0FC"/>
            </w:r>
          </w:p>
        </w:tc>
        <w:tc>
          <w:tcPr>
            <w:tcW w:w="1134" w:type="dxa"/>
          </w:tcPr>
          <w:p w14:paraId="467111D1" w14:textId="77777777" w:rsidR="00BB5015" w:rsidRPr="008F54CD" w:rsidRDefault="00BB5015" w:rsidP="00DA7CD3">
            <w:pPr>
              <w:pStyle w:val="Tabletext"/>
            </w:pPr>
            <w:r w:rsidRPr="008F54CD">
              <w:t>–</w:t>
            </w:r>
          </w:p>
        </w:tc>
        <w:tc>
          <w:tcPr>
            <w:tcW w:w="992" w:type="dxa"/>
          </w:tcPr>
          <w:p w14:paraId="7AC54F52" w14:textId="77777777" w:rsidR="00BB5015" w:rsidRPr="008F54CD" w:rsidRDefault="00BB5015" w:rsidP="00DA7CD3">
            <w:pPr>
              <w:pStyle w:val="Tabletext"/>
            </w:pPr>
            <w:r w:rsidRPr="008F54CD">
              <w:sym w:font="Wingdings" w:char="F0FC"/>
            </w:r>
          </w:p>
        </w:tc>
        <w:tc>
          <w:tcPr>
            <w:tcW w:w="850" w:type="dxa"/>
          </w:tcPr>
          <w:p w14:paraId="7E80F92B" w14:textId="77777777" w:rsidR="00BB5015" w:rsidRPr="008F54CD" w:rsidRDefault="00BB5015" w:rsidP="00DA7CD3">
            <w:pPr>
              <w:pStyle w:val="Tabletext"/>
            </w:pPr>
            <w:r w:rsidRPr="008F54CD">
              <w:t>–</w:t>
            </w:r>
          </w:p>
        </w:tc>
      </w:tr>
      <w:tr w:rsidR="00BF4B3D" w:rsidRPr="00057272" w14:paraId="298128A2" w14:textId="77777777" w:rsidTr="00BF4B3D">
        <w:trPr>
          <w:trHeight w:val="103"/>
        </w:trPr>
        <w:tc>
          <w:tcPr>
            <w:tcW w:w="1526" w:type="dxa"/>
            <w:vMerge/>
          </w:tcPr>
          <w:p w14:paraId="235D9DF5" w14:textId="77777777" w:rsidR="00BB5015" w:rsidRPr="008F54CD" w:rsidRDefault="00BB5015" w:rsidP="008F54CD">
            <w:pPr>
              <w:rPr>
                <w:rFonts w:asciiTheme="minorHAnsi" w:hAnsiTheme="minorHAnsi"/>
                <w:sz w:val="18"/>
                <w:szCs w:val="18"/>
              </w:rPr>
            </w:pPr>
          </w:p>
        </w:tc>
        <w:tc>
          <w:tcPr>
            <w:tcW w:w="3544" w:type="dxa"/>
          </w:tcPr>
          <w:p w14:paraId="59818217" w14:textId="77777777" w:rsidR="00BB5015" w:rsidRPr="008F54CD" w:rsidRDefault="00BB5015" w:rsidP="00DA7CD3">
            <w:pPr>
              <w:pStyle w:val="Tabletext"/>
            </w:pPr>
            <w:r w:rsidRPr="008F54CD">
              <w:t>Pregnancy/breast-feeding</w:t>
            </w:r>
          </w:p>
        </w:tc>
        <w:tc>
          <w:tcPr>
            <w:tcW w:w="1134" w:type="dxa"/>
          </w:tcPr>
          <w:p w14:paraId="58688E23" w14:textId="77777777" w:rsidR="00BB5015" w:rsidRPr="008F54CD" w:rsidRDefault="00BB5015" w:rsidP="00DA7CD3">
            <w:pPr>
              <w:pStyle w:val="Tabletext"/>
            </w:pPr>
            <w:r w:rsidRPr="008F54CD">
              <w:sym w:font="Wingdings" w:char="F0FC"/>
            </w:r>
          </w:p>
        </w:tc>
        <w:tc>
          <w:tcPr>
            <w:tcW w:w="1134" w:type="dxa"/>
          </w:tcPr>
          <w:p w14:paraId="3E21B021" w14:textId="77777777" w:rsidR="00BB5015" w:rsidRPr="008F54CD" w:rsidRDefault="00BB5015" w:rsidP="00DA7CD3">
            <w:pPr>
              <w:pStyle w:val="Tabletext"/>
            </w:pPr>
            <w:r w:rsidRPr="008F54CD">
              <w:t>–</w:t>
            </w:r>
          </w:p>
        </w:tc>
        <w:tc>
          <w:tcPr>
            <w:tcW w:w="992" w:type="dxa"/>
          </w:tcPr>
          <w:p w14:paraId="2D6EAC8B" w14:textId="77777777" w:rsidR="00BB5015" w:rsidRPr="008F54CD" w:rsidRDefault="00BB5015" w:rsidP="00DA7CD3">
            <w:pPr>
              <w:pStyle w:val="Tabletext"/>
            </w:pPr>
            <w:r w:rsidRPr="008F54CD">
              <w:sym w:font="Wingdings" w:char="F0FC"/>
            </w:r>
          </w:p>
        </w:tc>
        <w:tc>
          <w:tcPr>
            <w:tcW w:w="850" w:type="dxa"/>
          </w:tcPr>
          <w:p w14:paraId="09DE2013" w14:textId="77777777" w:rsidR="00BB5015" w:rsidRPr="008F54CD" w:rsidRDefault="00BB5015" w:rsidP="00DA7CD3">
            <w:pPr>
              <w:pStyle w:val="Tabletext"/>
            </w:pPr>
            <w:r w:rsidRPr="008F54CD">
              <w:t>–</w:t>
            </w:r>
          </w:p>
        </w:tc>
      </w:tr>
      <w:tr w:rsidR="00BF4B3D" w:rsidRPr="00057272" w14:paraId="2EAAFA36" w14:textId="77777777" w:rsidTr="00BF4B3D">
        <w:trPr>
          <w:trHeight w:val="103"/>
        </w:trPr>
        <w:tc>
          <w:tcPr>
            <w:tcW w:w="1526" w:type="dxa"/>
            <w:vMerge/>
          </w:tcPr>
          <w:p w14:paraId="5B009D60" w14:textId="77777777" w:rsidR="00BB5015" w:rsidRPr="008F54CD" w:rsidRDefault="00BB5015" w:rsidP="008F54CD">
            <w:pPr>
              <w:rPr>
                <w:rFonts w:asciiTheme="minorHAnsi" w:hAnsiTheme="minorHAnsi"/>
                <w:sz w:val="18"/>
                <w:szCs w:val="18"/>
              </w:rPr>
            </w:pPr>
          </w:p>
        </w:tc>
        <w:tc>
          <w:tcPr>
            <w:tcW w:w="3544" w:type="dxa"/>
          </w:tcPr>
          <w:p w14:paraId="41A25380" w14:textId="4233B27C" w:rsidR="00BB5015" w:rsidRPr="008F54CD" w:rsidRDefault="00BB5015" w:rsidP="00DA7CD3">
            <w:pPr>
              <w:pStyle w:val="Tabletext"/>
            </w:pPr>
            <w:r w:rsidRPr="008F54CD">
              <w:t xml:space="preserve">Use in indigenous Australians (ASA) </w:t>
            </w:r>
          </w:p>
        </w:tc>
        <w:tc>
          <w:tcPr>
            <w:tcW w:w="1134" w:type="dxa"/>
          </w:tcPr>
          <w:p w14:paraId="0B6A375C" w14:textId="77777777" w:rsidR="00BB5015" w:rsidRPr="008F54CD" w:rsidRDefault="00BB5015" w:rsidP="00DA7CD3">
            <w:pPr>
              <w:pStyle w:val="Tabletext"/>
            </w:pPr>
            <w:r w:rsidRPr="008F54CD">
              <w:sym w:font="Wingdings" w:char="F0FC"/>
            </w:r>
          </w:p>
        </w:tc>
        <w:tc>
          <w:tcPr>
            <w:tcW w:w="1134" w:type="dxa"/>
          </w:tcPr>
          <w:p w14:paraId="04DA8072" w14:textId="77777777" w:rsidR="00BB5015" w:rsidRPr="008F54CD" w:rsidRDefault="00BB5015" w:rsidP="00DA7CD3">
            <w:pPr>
              <w:pStyle w:val="Tabletext"/>
            </w:pPr>
            <w:r w:rsidRPr="008F54CD">
              <w:t>–</w:t>
            </w:r>
          </w:p>
        </w:tc>
        <w:tc>
          <w:tcPr>
            <w:tcW w:w="992" w:type="dxa"/>
          </w:tcPr>
          <w:p w14:paraId="4D7E357C" w14:textId="77777777" w:rsidR="00BB5015" w:rsidRPr="008F54CD" w:rsidRDefault="00BB5015" w:rsidP="00DA7CD3">
            <w:pPr>
              <w:pStyle w:val="Tabletext"/>
            </w:pPr>
            <w:r w:rsidRPr="008F54CD">
              <w:sym w:font="Wingdings" w:char="F0FC"/>
            </w:r>
          </w:p>
        </w:tc>
        <w:tc>
          <w:tcPr>
            <w:tcW w:w="850" w:type="dxa"/>
          </w:tcPr>
          <w:p w14:paraId="7DD6A5FE" w14:textId="77777777" w:rsidR="00BB5015" w:rsidRPr="008F54CD" w:rsidRDefault="00BB5015" w:rsidP="00DA7CD3">
            <w:pPr>
              <w:pStyle w:val="Tabletext"/>
            </w:pPr>
            <w:r w:rsidRPr="008F54CD">
              <w:t>–</w:t>
            </w:r>
          </w:p>
        </w:tc>
      </w:tr>
      <w:tr w:rsidR="00BF4B3D" w:rsidRPr="00057272" w14:paraId="4CC7BD13" w14:textId="77777777" w:rsidTr="00BF4B3D">
        <w:trPr>
          <w:trHeight w:val="140"/>
        </w:trPr>
        <w:tc>
          <w:tcPr>
            <w:tcW w:w="1526" w:type="dxa"/>
            <w:vMerge/>
          </w:tcPr>
          <w:p w14:paraId="704DA389" w14:textId="77777777" w:rsidR="00BB5015" w:rsidRPr="008F54CD" w:rsidRDefault="00BB5015" w:rsidP="008F54CD">
            <w:pPr>
              <w:rPr>
                <w:rFonts w:asciiTheme="minorHAnsi" w:hAnsiTheme="minorHAnsi"/>
                <w:sz w:val="18"/>
                <w:szCs w:val="18"/>
              </w:rPr>
            </w:pPr>
          </w:p>
        </w:tc>
        <w:tc>
          <w:tcPr>
            <w:tcW w:w="3544" w:type="dxa"/>
          </w:tcPr>
          <w:p w14:paraId="6D87A844" w14:textId="77777777" w:rsidR="00BB5015" w:rsidRPr="008F54CD" w:rsidRDefault="00BB5015" w:rsidP="00DA7CD3">
            <w:pPr>
              <w:pStyle w:val="Tabletext"/>
            </w:pPr>
            <w:r w:rsidRPr="008F54CD">
              <w:t xml:space="preserve">Use in patients with severe hepatic </w:t>
            </w:r>
            <w:r w:rsidRPr="00DA7CD3">
              <w:lastRenderedPageBreak/>
              <w:t>impairment</w:t>
            </w:r>
          </w:p>
        </w:tc>
        <w:tc>
          <w:tcPr>
            <w:tcW w:w="1134" w:type="dxa"/>
          </w:tcPr>
          <w:p w14:paraId="084F2F51" w14:textId="77777777" w:rsidR="00BB5015" w:rsidRPr="008F54CD" w:rsidRDefault="00BB5015" w:rsidP="00DA7CD3">
            <w:pPr>
              <w:pStyle w:val="Tabletext"/>
            </w:pPr>
            <w:r w:rsidRPr="008F54CD">
              <w:lastRenderedPageBreak/>
              <w:sym w:font="Wingdings" w:char="F0FC"/>
            </w:r>
          </w:p>
        </w:tc>
        <w:tc>
          <w:tcPr>
            <w:tcW w:w="1134" w:type="dxa"/>
          </w:tcPr>
          <w:p w14:paraId="60D6FE94" w14:textId="77777777" w:rsidR="00BB5015" w:rsidRPr="008F54CD" w:rsidRDefault="00BB5015" w:rsidP="00DA7CD3">
            <w:pPr>
              <w:pStyle w:val="Tabletext"/>
            </w:pPr>
            <w:r w:rsidRPr="008F54CD">
              <w:t>–</w:t>
            </w:r>
          </w:p>
        </w:tc>
        <w:tc>
          <w:tcPr>
            <w:tcW w:w="992" w:type="dxa"/>
          </w:tcPr>
          <w:p w14:paraId="32F170E6" w14:textId="77777777" w:rsidR="00BB5015" w:rsidRPr="008F54CD" w:rsidRDefault="00BB5015" w:rsidP="00DA7CD3">
            <w:pPr>
              <w:pStyle w:val="Tabletext"/>
            </w:pPr>
            <w:r w:rsidRPr="008F54CD">
              <w:sym w:font="Wingdings" w:char="F0FC"/>
            </w:r>
          </w:p>
        </w:tc>
        <w:tc>
          <w:tcPr>
            <w:tcW w:w="850" w:type="dxa"/>
          </w:tcPr>
          <w:p w14:paraId="7384E811" w14:textId="77777777" w:rsidR="00BB5015" w:rsidRPr="008F54CD" w:rsidRDefault="00BB5015" w:rsidP="00DA7CD3">
            <w:pPr>
              <w:pStyle w:val="Tabletext"/>
            </w:pPr>
            <w:r w:rsidRPr="008F54CD">
              <w:t>–</w:t>
            </w:r>
          </w:p>
        </w:tc>
      </w:tr>
    </w:tbl>
    <w:p w14:paraId="7D261521" w14:textId="7ABE1646" w:rsidR="00BB5015" w:rsidRPr="00C164E2" w:rsidRDefault="00BB5015" w:rsidP="00BF4B3D">
      <w:pPr>
        <w:pStyle w:val="TableDescription"/>
      </w:pPr>
      <w:r w:rsidRPr="00C164E2">
        <w:rPr>
          <w:vertAlign w:val="superscript"/>
        </w:rPr>
        <w:lastRenderedPageBreak/>
        <w:t>1</w:t>
      </w:r>
      <w:r w:rsidRPr="00C164E2">
        <w:t>PASS studies</w:t>
      </w:r>
      <w:r w:rsidR="00BF4B3D">
        <w:t xml:space="preserve">, </w:t>
      </w:r>
      <w:r w:rsidRPr="00C164E2">
        <w:rPr>
          <w:vertAlign w:val="superscript"/>
        </w:rPr>
        <w:t>2</w:t>
      </w:r>
      <w:r w:rsidRPr="00C164E2">
        <w:t xml:space="preserve"> Enhanced pharmacovigilance study</w:t>
      </w:r>
      <w:r w:rsidR="00BF4B3D">
        <w:t xml:space="preserve">; </w:t>
      </w:r>
      <w:r w:rsidRPr="00C164E2">
        <w:rPr>
          <w:vertAlign w:val="superscript"/>
        </w:rPr>
        <w:t>3</w:t>
      </w:r>
      <w:r>
        <w:rPr>
          <w:vertAlign w:val="superscript"/>
        </w:rPr>
        <w:t xml:space="preserve"> </w:t>
      </w:r>
      <w:r w:rsidRPr="00C164E2">
        <w:t>Non-clinical experiments</w:t>
      </w:r>
      <w:r w:rsidR="00BF4B3D">
        <w:t xml:space="preserve">; </w:t>
      </w:r>
      <w:r w:rsidRPr="00C164E2">
        <w:rPr>
          <w:vertAlign w:val="superscript"/>
        </w:rPr>
        <w:t>4</w:t>
      </w:r>
      <w:r w:rsidRPr="00C164E2">
        <w:t xml:space="preserve"> Drug utilisation study</w:t>
      </w:r>
    </w:p>
    <w:p w14:paraId="71D99F42" w14:textId="77777777" w:rsidR="008E7846" w:rsidRDefault="008E7846" w:rsidP="008E7846">
      <w:pPr>
        <w:pStyle w:val="Heading4"/>
        <w:rPr>
          <w:lang w:eastAsia="en-AU"/>
        </w:rPr>
      </w:pPr>
      <w:bookmarkStart w:id="94" w:name="_Toc247691527"/>
      <w:r>
        <w:rPr>
          <w:lang w:eastAsia="en-AU"/>
        </w:rPr>
        <w:t xml:space="preserve">Summary of </w:t>
      </w:r>
      <w:r w:rsidR="003A7F6C">
        <w:rPr>
          <w:lang w:eastAsia="en-AU"/>
        </w:rPr>
        <w:t>r</w:t>
      </w:r>
      <w:r>
        <w:rPr>
          <w:lang w:eastAsia="en-AU"/>
        </w:rPr>
        <w:t>ecommendations</w:t>
      </w:r>
    </w:p>
    <w:p w14:paraId="05AB998D" w14:textId="77777777" w:rsidR="00E33462" w:rsidRPr="00E33462" w:rsidRDefault="00E33462" w:rsidP="00E33462">
      <w:pPr>
        <w:pStyle w:val="Heading5"/>
        <w:rPr>
          <w:lang w:eastAsia="en-AU"/>
        </w:rPr>
      </w:pPr>
      <w:bookmarkStart w:id="95" w:name="_Toc455747699"/>
      <w:r w:rsidRPr="00E33462">
        <w:rPr>
          <w:lang w:eastAsia="en-AU"/>
        </w:rPr>
        <w:t>Safety Specification</w:t>
      </w:r>
      <w:bookmarkEnd w:id="95"/>
    </w:p>
    <w:p w14:paraId="232E7850" w14:textId="6D82D35D" w:rsidR="00E33462" w:rsidRPr="00E33462" w:rsidRDefault="00E33462" w:rsidP="00E33462">
      <w:bookmarkStart w:id="96" w:name="_Ref453313617"/>
      <w:bookmarkStart w:id="97" w:name="_Ref453313703"/>
      <w:r w:rsidRPr="00E33462">
        <w:rPr>
          <w:i/>
        </w:rPr>
        <w:t>Recommendation 1</w:t>
      </w:r>
      <w:r>
        <w:t xml:space="preserve">: </w:t>
      </w:r>
      <w:r w:rsidRPr="00E33462">
        <w:t>Any additional saf</w:t>
      </w:r>
      <w:r>
        <w:t>ety concerns identified by the clinical e</w:t>
      </w:r>
      <w:r w:rsidRPr="00E33462">
        <w:t>valuator that impacts on the safety specifications should be addressed in a revised RMP.</w:t>
      </w:r>
      <w:bookmarkEnd w:id="96"/>
    </w:p>
    <w:p w14:paraId="48CA507B" w14:textId="56AC5A45" w:rsidR="00E33462" w:rsidRPr="00E33462" w:rsidRDefault="00E33462" w:rsidP="00E33462">
      <w:r w:rsidRPr="00E33462">
        <w:rPr>
          <w:i/>
        </w:rPr>
        <w:t>Recommendation 2</w:t>
      </w:r>
      <w:r>
        <w:t xml:space="preserve">: </w:t>
      </w:r>
      <w:r w:rsidRPr="00E33462">
        <w:t xml:space="preserve">It is noted that there is no age restriction to the newly proposed indication. Although </w:t>
      </w:r>
      <w:r>
        <w:t>T2DM</w:t>
      </w:r>
      <w:r w:rsidRPr="00E33462">
        <w:t xml:space="preserve"> with a high cardiovascular risk is rare in patients under the age of 18 years, this is still important given that safety of Jardiance in this population have not been established. It is recommended that the TGA Delegate considers adding ‘adults’ to this indication to provide clarity.</w:t>
      </w:r>
      <w:bookmarkEnd w:id="97"/>
    </w:p>
    <w:p w14:paraId="147E5A19" w14:textId="3787F49D" w:rsidR="00E33462" w:rsidRPr="00E33462" w:rsidRDefault="00E33462" w:rsidP="00E33462">
      <w:bookmarkStart w:id="98" w:name="_Ref453313728"/>
      <w:r w:rsidRPr="00E33462">
        <w:rPr>
          <w:i/>
        </w:rPr>
        <w:t>Recommendation 3</w:t>
      </w:r>
      <w:r>
        <w:t xml:space="preserve">: </w:t>
      </w:r>
      <w:r w:rsidRPr="00E33462">
        <w:t>The Delegate has informed the RMP evaluator that there are outstanding issues on the safety concerns after considering the sponsor’s response</w:t>
      </w:r>
      <w:r>
        <w:t xml:space="preserve"> to TGA questions</w:t>
      </w:r>
      <w:r w:rsidRPr="00E33462">
        <w:t xml:space="preserve">. The RMP evaluator supports the Delegate’s recommendations. The sponsor should add ‘amputation’, ‘acute kidney injury’, </w:t>
      </w:r>
      <w:proofErr w:type="gramStart"/>
      <w:r w:rsidRPr="00E33462">
        <w:t>‘stroke’ and ‘peripheral</w:t>
      </w:r>
      <w:proofErr w:type="gramEnd"/>
      <w:r w:rsidRPr="00E33462">
        <w:t xml:space="preserve"> vascular disease’ as important potential risks to the ASA. ‘Interaction of empagliflozin with other medications in the prevention of cardiovascular events’ should be added as missing information to the ASA.</w:t>
      </w:r>
      <w:bookmarkEnd w:id="98"/>
    </w:p>
    <w:p w14:paraId="4E533BA3" w14:textId="77777777" w:rsidR="00E33462" w:rsidRPr="00E33462" w:rsidRDefault="00E33462" w:rsidP="006513E6">
      <w:pPr>
        <w:pStyle w:val="Heading5"/>
      </w:pPr>
      <w:bookmarkStart w:id="99" w:name="_Toc455747700"/>
      <w:r w:rsidRPr="00E33462">
        <w:t>Risk Minimisation plan</w:t>
      </w:r>
      <w:bookmarkEnd w:id="99"/>
    </w:p>
    <w:p w14:paraId="25B1D2AF" w14:textId="40BEEEEA" w:rsidR="006513E6" w:rsidRDefault="006513E6" w:rsidP="00E33462">
      <w:bookmarkStart w:id="100" w:name="_Ref455738326"/>
      <w:bookmarkStart w:id="101" w:name="_Ref453316527"/>
      <w:r w:rsidRPr="006513E6">
        <w:rPr>
          <w:i/>
        </w:rPr>
        <w:t>Recommendation 4</w:t>
      </w:r>
      <w:r>
        <w:t xml:space="preserve">: </w:t>
      </w:r>
      <w:r w:rsidR="00E33462" w:rsidRPr="00E33462">
        <w:t xml:space="preserve">The sponsor has provided response to the RMP evaluator’s recommendations on PI changes for </w:t>
      </w:r>
      <w:r w:rsidR="00C12990">
        <w:t xml:space="preserve">a previous Jardiance submission. </w:t>
      </w:r>
      <w:r w:rsidR="00E33462" w:rsidRPr="00E33462">
        <w:t>The following recommendation remains for the Delegate’s consideration:</w:t>
      </w:r>
      <w:bookmarkEnd w:id="100"/>
    </w:p>
    <w:p w14:paraId="2F1E3905" w14:textId="768E5DE5" w:rsidR="006513E6" w:rsidRDefault="00E33462" w:rsidP="006513E6">
      <w:pPr>
        <w:pStyle w:val="Numberbullet0"/>
        <w:numPr>
          <w:ilvl w:val="0"/>
          <w:numId w:val="15"/>
        </w:numPr>
      </w:pPr>
      <w:r w:rsidRPr="00E33462">
        <w:t xml:space="preserve">The EU </w:t>
      </w:r>
      <w:r w:rsidR="004821C5">
        <w:t>Summary of Product Characteristics (</w:t>
      </w:r>
      <w:r w:rsidRPr="00E33462">
        <w:t>SmPC</w:t>
      </w:r>
      <w:r w:rsidR="004821C5">
        <w:t>)</w:t>
      </w:r>
      <w:r w:rsidRPr="00E33462">
        <w:t xml:space="preserve"> includes the following additional statement relevant to the missing information item ‘</w:t>
      </w:r>
      <w:r w:rsidRPr="00BF4B3D">
        <w:rPr>
          <w:i/>
        </w:rPr>
        <w:t>Use in patients with s</w:t>
      </w:r>
      <w:r w:rsidR="006513E6" w:rsidRPr="00BF4B3D">
        <w:rPr>
          <w:i/>
        </w:rPr>
        <w:t>evere hepatic impairment</w:t>
      </w:r>
      <w:r w:rsidR="006513E6">
        <w:t>’</w:t>
      </w:r>
    </w:p>
    <w:p w14:paraId="6A23ABC9" w14:textId="7BEEFAE2" w:rsidR="00E33462" w:rsidRPr="00E33462" w:rsidRDefault="00E33462" w:rsidP="006513E6">
      <w:pPr>
        <w:pStyle w:val="Numberbullet0"/>
        <w:numPr>
          <w:ilvl w:val="0"/>
          <w:numId w:val="15"/>
        </w:numPr>
      </w:pPr>
      <w:r w:rsidRPr="00E33462">
        <w:t>Empagliflozin exposure is increased in patients with severe hepatic impairment. Therapeutic experience in patients with severe hepatic impairment is limited and therefore not recommended for use in this population</w:t>
      </w:r>
      <w:bookmarkEnd w:id="101"/>
    </w:p>
    <w:p w14:paraId="044FD503" w14:textId="300B9754" w:rsidR="00E33462" w:rsidRPr="00E33462" w:rsidRDefault="006513E6" w:rsidP="00E33462">
      <w:bookmarkStart w:id="102" w:name="_Ref455738398"/>
      <w:r w:rsidRPr="006513E6">
        <w:rPr>
          <w:i/>
        </w:rPr>
        <w:t>Recommendation 5</w:t>
      </w:r>
      <w:r>
        <w:t xml:space="preserve">: </w:t>
      </w:r>
      <w:r w:rsidR="00E33462" w:rsidRPr="00E33462">
        <w:t>The content of the CMI should be updated to align with that of the PI.</w:t>
      </w:r>
      <w:bookmarkEnd w:id="102"/>
    </w:p>
    <w:p w14:paraId="069E9B72" w14:textId="77777777" w:rsidR="008E7846" w:rsidRPr="00792A32" w:rsidRDefault="008E7846" w:rsidP="008E7846">
      <w:pPr>
        <w:pStyle w:val="Heading2"/>
      </w:pPr>
      <w:bookmarkStart w:id="103" w:name="_Toc314842510"/>
      <w:bookmarkStart w:id="104" w:name="_Toc497906653"/>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69"/>
      <w:bookmarkEnd w:id="94"/>
      <w:bookmarkEnd w:id="103"/>
      <w:bookmarkEnd w:id="104"/>
    </w:p>
    <w:p w14:paraId="7D5BE4B3" w14:textId="039EFC7E" w:rsidR="00FC267F" w:rsidRDefault="008E7846" w:rsidP="00A7204E">
      <w:pPr>
        <w:rPr>
          <w:i/>
        </w:rPr>
      </w:pPr>
      <w:bookmarkStart w:id="105" w:name="_Toc247691528"/>
      <w:r>
        <w:t xml:space="preserve">The submission was summarised in the following </w:t>
      </w:r>
      <w:r w:rsidRPr="00EF5C48">
        <w:t xml:space="preserve">Delegate’s </w:t>
      </w:r>
      <w:r>
        <w:t>overview</w:t>
      </w:r>
      <w:r w:rsidRPr="00EF5C48">
        <w:t xml:space="preserve"> and recommendation</w:t>
      </w:r>
      <w:r>
        <w:t>s:</w:t>
      </w:r>
    </w:p>
    <w:p w14:paraId="71A869DD" w14:textId="77777777" w:rsidR="000E0F61" w:rsidRPr="000E0F61" w:rsidRDefault="000E0F61" w:rsidP="000E0F61">
      <w:pPr>
        <w:pStyle w:val="Heading3"/>
      </w:pPr>
      <w:bookmarkStart w:id="106" w:name="_Toc497906654"/>
      <w:r w:rsidRPr="000E0F61">
        <w:t>Quality</w:t>
      </w:r>
      <w:bookmarkEnd w:id="106"/>
    </w:p>
    <w:p w14:paraId="198C6865" w14:textId="77777777" w:rsidR="000E0F61" w:rsidRPr="000E0F61" w:rsidRDefault="000E0F61" w:rsidP="000E0F61">
      <w:r w:rsidRPr="000E0F61">
        <w:t>There was no requirement for a quality evaluation in a submission of this type.</w:t>
      </w:r>
    </w:p>
    <w:p w14:paraId="6901C65F" w14:textId="58A23FCC" w:rsidR="000E0F61" w:rsidRPr="000E0F61" w:rsidRDefault="000E0F61" w:rsidP="000E0F61">
      <w:pPr>
        <w:pStyle w:val="Heading3"/>
      </w:pPr>
      <w:bookmarkStart w:id="107" w:name="_Toc497906655"/>
      <w:r w:rsidRPr="000E0F61">
        <w:t>Nonclinical</w:t>
      </w:r>
      <w:bookmarkEnd w:id="107"/>
    </w:p>
    <w:p w14:paraId="04242A1E" w14:textId="77777777" w:rsidR="000E0F61" w:rsidRPr="000E0F61" w:rsidRDefault="000E0F61" w:rsidP="000E0F61">
      <w:r w:rsidRPr="000E0F61">
        <w:t>There was no requirement for a nonclinical evaluation in a submission of this type.</w:t>
      </w:r>
    </w:p>
    <w:p w14:paraId="7A70812F" w14:textId="77777777" w:rsidR="000E0F61" w:rsidRPr="000E0F61" w:rsidRDefault="000E0F61" w:rsidP="000E0F61">
      <w:pPr>
        <w:pStyle w:val="Heading3"/>
      </w:pPr>
      <w:bookmarkStart w:id="108" w:name="_Toc497906656"/>
      <w:r w:rsidRPr="000E0F61">
        <w:lastRenderedPageBreak/>
        <w:t>Clinical</w:t>
      </w:r>
      <w:bookmarkEnd w:id="108"/>
    </w:p>
    <w:p w14:paraId="725BF7EE" w14:textId="77777777" w:rsidR="00FC267F" w:rsidRPr="00FC267F" w:rsidRDefault="00FC267F" w:rsidP="000E0F61">
      <w:pPr>
        <w:pStyle w:val="Heading4"/>
      </w:pPr>
      <w:r w:rsidRPr="00FC267F">
        <w:t>Pharmacology</w:t>
      </w:r>
    </w:p>
    <w:p w14:paraId="4D436909" w14:textId="4E5A9F74" w:rsidR="00FC267F" w:rsidRPr="00FC267F" w:rsidRDefault="00FC267F" w:rsidP="00FC267F">
      <w:r w:rsidRPr="00FC267F">
        <w:t xml:space="preserve">No new </w:t>
      </w:r>
      <w:r w:rsidR="000E0F61">
        <w:t>data was submitted.</w:t>
      </w:r>
    </w:p>
    <w:p w14:paraId="50047E6E" w14:textId="23CD5650" w:rsidR="00FC267F" w:rsidRPr="00796CAC" w:rsidRDefault="00FC267F" w:rsidP="00FC267F">
      <w:r w:rsidRPr="00FC267F">
        <w:t>Empagliflozin is rapidly abs</w:t>
      </w:r>
      <w:r w:rsidR="00796CAC">
        <w:t>orbed after oral administration with a</w:t>
      </w:r>
      <w:r w:rsidRPr="00FC267F">
        <w:t xml:space="preserve"> </w:t>
      </w:r>
      <w:r w:rsidR="00D0062F">
        <w:t>time to maximal concentration (</w:t>
      </w:r>
      <w:r w:rsidR="00796CAC">
        <w:t>t</w:t>
      </w:r>
      <w:r w:rsidRPr="00FC267F">
        <w:rPr>
          <w:vertAlign w:val="subscript"/>
        </w:rPr>
        <w:t>max</w:t>
      </w:r>
      <w:r w:rsidR="00D0062F">
        <w:t xml:space="preserve">) </w:t>
      </w:r>
      <w:r w:rsidR="00796CAC">
        <w:t xml:space="preserve">of </w:t>
      </w:r>
      <w:r w:rsidRPr="00FC267F">
        <w:t>1.5 hours. Systemic exposure increased in a dose dependent fashion. The apparent steady state volume of distribution was 73.8</w:t>
      </w:r>
      <w:r w:rsidR="00796CAC">
        <w:t xml:space="preserve"> </w:t>
      </w:r>
      <w:r w:rsidRPr="00FC267F">
        <w:t>L. The red blood cell partitioning was 36.8% and plasma protein binding 86.2%. No major metabolites were detected in human plasma. System exposure of each metabolite was &lt; 10% of total drug related material. In vitro studies suggest that the primary route of metabolism of</w:t>
      </w:r>
      <w:r w:rsidR="00F55059">
        <w:t xml:space="preserve"> empagliflozin</w:t>
      </w:r>
      <w:r w:rsidRPr="00FC267F">
        <w:t xml:space="preserve"> in humans is by the uridine 5’diphospho-glucuronyltran</w:t>
      </w:r>
      <w:r w:rsidR="00127DD5">
        <w:t>sferases UGT2B7, UGT1A3, UGT1A8 and</w:t>
      </w:r>
      <w:r w:rsidRPr="00FC267F">
        <w:t xml:space="preserve"> UGT1A9. The apparent te</w:t>
      </w:r>
      <w:r w:rsidR="00796CAC">
        <w:t>rminal elimination half-</w:t>
      </w:r>
      <w:r w:rsidRPr="00FC267F">
        <w:t>life was estimated to be 12.4 hours and apparent oral clearance was 10.6 hours. Follo</w:t>
      </w:r>
      <w:r w:rsidR="00127DD5">
        <w:t>wing administration of an oral (</w:t>
      </w:r>
      <w:r w:rsidRPr="00FC267F">
        <w:rPr>
          <w:vertAlign w:val="superscript"/>
        </w:rPr>
        <w:t>14</w:t>
      </w:r>
      <w:r w:rsidR="00127DD5">
        <w:t>C)</w:t>
      </w:r>
      <w:r w:rsidRPr="00FC267F">
        <w:t>-empagliflozin solution to healthy subjects, 41.2% of the drug related radioactivity was eliminated in the faeces and 54.4% in the urine. The majority of the drug related radioactivity recovered in the faeces was unchanged parent drug and approximately half of the drug related radioactivity in the urine was unchanged parent drug.</w:t>
      </w:r>
    </w:p>
    <w:p w14:paraId="5773210B" w14:textId="07EC57DF" w:rsidR="00FC267F" w:rsidRPr="00FC267F" w:rsidRDefault="00FC267F" w:rsidP="00796CAC">
      <w:pPr>
        <w:pStyle w:val="Heading5"/>
      </w:pPr>
      <w:r w:rsidRPr="00FC267F">
        <w:t>Pharmacokinetics in renal impairme</w:t>
      </w:r>
      <w:r w:rsidR="00796CAC">
        <w:t>nt</w:t>
      </w:r>
    </w:p>
    <w:p w14:paraId="33924935" w14:textId="6407A1D0" w:rsidR="00FC267F" w:rsidRPr="00FC267F" w:rsidRDefault="00FC267F" w:rsidP="00FC267F">
      <w:r w:rsidRPr="00FC267F">
        <w:t>In patients with mild, moderate or severe renal impairment (eGFR &lt;</w:t>
      </w:r>
      <w:r w:rsidR="00796CAC">
        <w:t xml:space="preserve"> 30 to </w:t>
      </w:r>
      <w:r w:rsidRPr="00FC267F">
        <w:t>&lt;</w:t>
      </w:r>
      <w:r w:rsidR="00796CAC">
        <w:t> 90 mL</w:t>
      </w:r>
      <w:r w:rsidRPr="00FC267F">
        <w:t>/min/1.73 m</w:t>
      </w:r>
      <w:r w:rsidRPr="00796CAC">
        <w:rPr>
          <w:vertAlign w:val="superscript"/>
        </w:rPr>
        <w:t>2</w:t>
      </w:r>
      <w:r w:rsidRPr="00FC267F">
        <w:t>) and patients with kidney failure/end stage renal disease</w:t>
      </w:r>
      <w:r w:rsidR="00796CAC">
        <w:t xml:space="preserve"> </w:t>
      </w:r>
      <w:r w:rsidRPr="00FC267F">
        <w:t xml:space="preserve">(ESRD), </w:t>
      </w:r>
      <w:r w:rsidR="0024791F">
        <w:t>area under the plasma concentration versus time curve (</w:t>
      </w:r>
      <w:r w:rsidRPr="00FC267F">
        <w:t>AUC</w:t>
      </w:r>
      <w:r w:rsidR="0024791F">
        <w:t>)</w:t>
      </w:r>
      <w:r w:rsidRPr="00FC267F">
        <w:t xml:space="preserve"> of</w:t>
      </w:r>
      <w:r w:rsidR="00F55059">
        <w:t xml:space="preserve"> empagliflozin</w:t>
      </w:r>
      <w:r w:rsidRPr="00FC267F">
        <w:t xml:space="preserve"> increased by approximately 18%, 20%, 66%, and</w:t>
      </w:r>
      <w:r w:rsidR="00796CAC">
        <w:t xml:space="preserve"> </w:t>
      </w:r>
      <w:r w:rsidRPr="00FC267F">
        <w:t>48%, respectively compared to subjects with normal renal function. Peak plasma</w:t>
      </w:r>
      <w:r w:rsidR="00796CAC">
        <w:t xml:space="preserve"> </w:t>
      </w:r>
      <w:r w:rsidRPr="00FC267F">
        <w:t>levels of</w:t>
      </w:r>
      <w:r w:rsidR="00F55059">
        <w:t xml:space="preserve"> empagliflozin</w:t>
      </w:r>
      <w:r w:rsidRPr="00FC267F">
        <w:t xml:space="preserve"> were similar in subjects with moderate renal impairment and</w:t>
      </w:r>
      <w:r w:rsidR="00796CAC">
        <w:t xml:space="preserve"> </w:t>
      </w:r>
      <w:r w:rsidRPr="00FC267F">
        <w:t>kidney failure/ESRD compared to patients with normal renal function. Peak plasma</w:t>
      </w:r>
      <w:r w:rsidR="00796CAC">
        <w:t xml:space="preserve"> </w:t>
      </w:r>
      <w:r w:rsidRPr="00FC267F">
        <w:t>levels of</w:t>
      </w:r>
      <w:r w:rsidR="00F55059">
        <w:t xml:space="preserve"> empagliflozin</w:t>
      </w:r>
      <w:r w:rsidRPr="00FC267F">
        <w:t xml:space="preserve"> were roughly 20% higher in subjects with mild and severe</w:t>
      </w:r>
      <w:r w:rsidR="00796CAC">
        <w:t xml:space="preserve"> </w:t>
      </w:r>
      <w:r w:rsidRPr="00FC267F">
        <w:t>renal impairment as compared to subje</w:t>
      </w:r>
      <w:r w:rsidR="00796CAC">
        <w:t>cts with normal renal function.</w:t>
      </w:r>
    </w:p>
    <w:p w14:paraId="0E0F4C5A" w14:textId="77777777" w:rsidR="00FC267F" w:rsidRPr="00FC267F" w:rsidRDefault="00FC267F" w:rsidP="00796CAC">
      <w:pPr>
        <w:pStyle w:val="Heading3"/>
      </w:pPr>
      <w:bookmarkStart w:id="109" w:name="_Toc497906657"/>
      <w:r w:rsidRPr="00FC267F">
        <w:t>Efficacy</w:t>
      </w:r>
      <w:bookmarkEnd w:id="109"/>
    </w:p>
    <w:p w14:paraId="687B0ED7" w14:textId="77777777" w:rsidR="007F2E71" w:rsidRDefault="00FC267F" w:rsidP="00FC267F">
      <w:r w:rsidRPr="00796CAC">
        <w:t>See</w:t>
      </w:r>
      <w:r w:rsidR="00796CAC" w:rsidRPr="00796CAC">
        <w:t xml:space="preserve"> also</w:t>
      </w:r>
      <w:r w:rsidRPr="00796CAC">
        <w:t xml:space="preserve"> </w:t>
      </w:r>
      <w:r w:rsidR="00796CAC" w:rsidRPr="00796CAC">
        <w:t>Attachment 2</w:t>
      </w:r>
      <w:r w:rsidR="001E3E5D">
        <w:t>.</w:t>
      </w:r>
    </w:p>
    <w:p w14:paraId="11ECE202" w14:textId="22B52B86" w:rsidR="00FC267F" w:rsidRPr="00FC267F" w:rsidRDefault="00FC267F" w:rsidP="00796CAC">
      <w:pPr>
        <w:pStyle w:val="Heading4"/>
      </w:pPr>
      <w:r w:rsidRPr="00FC267F">
        <w:t>EMPA-REG study</w:t>
      </w:r>
    </w:p>
    <w:p w14:paraId="72F813CA" w14:textId="77E04C77" w:rsidR="00FC267F" w:rsidRDefault="00FC267F" w:rsidP="00FC267F">
      <w:r w:rsidRPr="00FC267F">
        <w:t>This study was a randomised, double blind, placebo controlled trial to a</w:t>
      </w:r>
      <w:r w:rsidR="00796CAC">
        <w:t>ssess the effect of once daily</w:t>
      </w:r>
      <w:r w:rsidR="00F55059">
        <w:t xml:space="preserve"> empagliflozin</w:t>
      </w:r>
      <w:r w:rsidRPr="00FC267F">
        <w:t xml:space="preserve"> (at a dose of either 10</w:t>
      </w:r>
      <w:r w:rsidR="00796CAC">
        <w:t> </w:t>
      </w:r>
      <w:r w:rsidRPr="00FC267F">
        <w:t>mg or 25</w:t>
      </w:r>
      <w:r w:rsidR="00796CAC">
        <w:t> </w:t>
      </w:r>
      <w:r w:rsidRPr="00FC267F">
        <w:t xml:space="preserve">mg) versus placebo on cardiovascular events in adults with </w:t>
      </w:r>
      <w:r w:rsidR="00127DD5">
        <w:t xml:space="preserve">T2DM </w:t>
      </w:r>
      <w:r w:rsidRPr="00FC267F">
        <w:t>at high cardiovascular risk against standard care. The primary objective of this study was to determine non-inferiority (non-inferio</w:t>
      </w:r>
      <w:r w:rsidR="00796CAC">
        <w:t>rity margin of 1.3, as per FDA g</w:t>
      </w:r>
      <w:r w:rsidRPr="00FC267F">
        <w:t>uidelines) of the tr</w:t>
      </w:r>
      <w:r w:rsidR="00796CAC">
        <w:t>eatment with 2 pooled doses of</w:t>
      </w:r>
      <w:r w:rsidR="00F55059">
        <w:t xml:space="preserve"> empagliflozin</w:t>
      </w:r>
      <w:r w:rsidRPr="00FC267F">
        <w:t xml:space="preserve"> versu</w:t>
      </w:r>
      <w:r w:rsidR="00127DD5">
        <w:t>s placebo on the composite of 3-point MACE (</w:t>
      </w:r>
      <w:r w:rsidRPr="00FC267F">
        <w:t>cardiovascular death, non-fatal stroke or non</w:t>
      </w:r>
      <w:r w:rsidR="00127DD5">
        <w:t>-</w:t>
      </w:r>
      <w:r w:rsidRPr="00FC267F">
        <w:t>fatal myocardial infa</w:t>
      </w:r>
      <w:r w:rsidR="00594CCB">
        <w:t>rction). If non-inferiority of</w:t>
      </w:r>
      <w:r w:rsidR="00F55059">
        <w:t xml:space="preserve"> empagliflozin</w:t>
      </w:r>
      <w:r w:rsidRPr="00FC267F">
        <w:t xml:space="preserve"> was established for the primary endpoint and for the key secondary endpoint the hierarchical statistical analysis was to continue to evaluate the superio</w:t>
      </w:r>
      <w:r w:rsidR="00594CCB">
        <w:t>rity of</w:t>
      </w:r>
      <w:r w:rsidR="00F55059">
        <w:t xml:space="preserve"> empagliflozin</w:t>
      </w:r>
      <w:r w:rsidRPr="00FC267F">
        <w:t xml:space="preserve"> v</w:t>
      </w:r>
      <w:r w:rsidR="00594CCB">
        <w:t>ersus</w:t>
      </w:r>
      <w:r w:rsidRPr="00FC267F">
        <w:t xml:space="preserve"> placebo for the primary endpoint and thereafter for the key secondary endpoints.</w:t>
      </w:r>
    </w:p>
    <w:p w14:paraId="6E49F5E9" w14:textId="1C20FBE1" w:rsidR="0096086E" w:rsidRPr="00BF4B3D" w:rsidRDefault="0096086E" w:rsidP="0096086E">
      <w:pPr>
        <w:pStyle w:val="Heading5"/>
        <w:rPr>
          <w:b w:val="0"/>
        </w:rPr>
      </w:pPr>
      <w:r w:rsidRPr="00BF4B3D">
        <w:rPr>
          <w:b w:val="0"/>
          <w:i w:val="0"/>
        </w:rPr>
        <w:t>Inclusion and exclusion criteria are listed in</w:t>
      </w:r>
      <w:r>
        <w:t xml:space="preserve"> </w:t>
      </w:r>
      <w:r w:rsidRPr="00BF4B3D">
        <w:rPr>
          <w:b w:val="0"/>
        </w:rPr>
        <w:t>Attachment 2, EMPA-REG OUTCOM</w:t>
      </w:r>
      <w:r w:rsidR="00C52F40">
        <w:rPr>
          <w:b w:val="0"/>
        </w:rPr>
        <w:t>E</w:t>
      </w:r>
      <w:r w:rsidRPr="00BF4B3D">
        <w:rPr>
          <w:b w:val="0"/>
        </w:rPr>
        <w:t xml:space="preserve"> Study, </w:t>
      </w:r>
      <w:proofErr w:type="gramStart"/>
      <w:r w:rsidRPr="00BF4B3D">
        <w:rPr>
          <w:b w:val="0"/>
        </w:rPr>
        <w:t>Inclusion</w:t>
      </w:r>
      <w:proofErr w:type="gramEnd"/>
      <w:r w:rsidRPr="00BF4B3D">
        <w:rPr>
          <w:b w:val="0"/>
        </w:rPr>
        <w:t xml:space="preserve"> and exclusion criteria</w:t>
      </w:r>
      <w:r w:rsidR="00C52F40">
        <w:rPr>
          <w:b w:val="0"/>
        </w:rPr>
        <w:t>.</w:t>
      </w:r>
    </w:p>
    <w:p w14:paraId="0A09EDA3" w14:textId="400948DF" w:rsidR="00FC267F" w:rsidRPr="00FC267F" w:rsidRDefault="007F3B75" w:rsidP="007F3B75">
      <w:pPr>
        <w:pStyle w:val="Heading5"/>
      </w:pPr>
      <w:r w:rsidRPr="00FC267F">
        <w:t>Baseline features</w:t>
      </w:r>
    </w:p>
    <w:p w14:paraId="00D7E79E" w14:textId="7FFEF78B" w:rsidR="00FC267F" w:rsidRPr="00FC267F" w:rsidRDefault="00FC267F" w:rsidP="00FC267F">
      <w:r w:rsidRPr="00FC267F">
        <w:t>Overall, 7020 subjects were randomised, 2333 to placebo, 2345 to</w:t>
      </w:r>
      <w:r w:rsidR="00F55059">
        <w:t xml:space="preserve"> empagliflozin</w:t>
      </w:r>
      <w:r w:rsidRPr="00FC267F">
        <w:t xml:space="preserve"> 10</w:t>
      </w:r>
      <w:r w:rsidR="007F3B75">
        <w:t xml:space="preserve"> </w:t>
      </w:r>
      <w:r w:rsidRPr="00FC267F">
        <w:t>mg and 2342 to</w:t>
      </w:r>
      <w:r w:rsidR="00F55059">
        <w:t xml:space="preserve"> empagliflozin</w:t>
      </w:r>
      <w:r w:rsidRPr="00FC267F">
        <w:t xml:space="preserve"> 25</w:t>
      </w:r>
      <w:r w:rsidR="007F3B75">
        <w:t xml:space="preserve"> </w:t>
      </w:r>
      <w:r w:rsidRPr="00FC267F">
        <w:t xml:space="preserve">mg. Most (71.5%) were men. Most were white, 21.6% were </w:t>
      </w:r>
      <w:r w:rsidRPr="00FC267F">
        <w:lastRenderedPageBreak/>
        <w:t xml:space="preserve">Asian and 5.1% were Black. The mean age was 63.1 years. A small proportion, 6.3%, was less than 50 years and 9.3% were more than 75 years. The majority had been diagnosed with T2DM for more than 10 years, </w:t>
      </w:r>
      <w:r w:rsidR="007F3B75">
        <w:t xml:space="preserve">only 1.8% </w:t>
      </w:r>
      <w:proofErr w:type="gramStart"/>
      <w:r w:rsidR="007F3B75">
        <w:t>were</w:t>
      </w:r>
      <w:proofErr w:type="gramEnd"/>
      <w:r w:rsidR="007F3B75">
        <w:t xml:space="preserve"> treatment naïve.</w:t>
      </w:r>
    </w:p>
    <w:p w14:paraId="61F2BD07" w14:textId="384AB1A0" w:rsidR="003D3824" w:rsidRDefault="00FC267F" w:rsidP="00FC267F">
      <w:r w:rsidRPr="00FC267F">
        <w:t>Of the enrolled patients, 75.6% had coronary artery disease, 23.3% had a history of stroke and 20.8% had peripheral artery disease. Most (91.4%) had hypertension. Diabetic retinopathy was present in 31.3%, nephropathy in 19.5%. Approximately 10% were known to have heart failure.</w:t>
      </w:r>
    </w:p>
    <w:p w14:paraId="194E6CB7" w14:textId="70AD5F8D" w:rsidR="00A06443" w:rsidRDefault="00A06443" w:rsidP="00A06443">
      <w:pPr>
        <w:pStyle w:val="Heading5"/>
      </w:pPr>
      <w:r>
        <w:t>Efficacy data</w:t>
      </w:r>
    </w:p>
    <w:p w14:paraId="248D192C" w14:textId="349C60D0" w:rsidR="003D3824" w:rsidRPr="003D3824" w:rsidRDefault="003D3824" w:rsidP="003D3824">
      <w:r>
        <w:t xml:space="preserve">Primary and secondary cardiovascular outcome data and numbers needed to treat with absolute risk reduction for the primary efficacy endpoints are described below in Tables </w:t>
      </w:r>
      <w:r w:rsidR="004821C5">
        <w:t xml:space="preserve">4 </w:t>
      </w:r>
      <w:r>
        <w:t xml:space="preserve">and </w:t>
      </w:r>
      <w:r w:rsidR="004821C5">
        <w:t xml:space="preserve">5 </w:t>
      </w:r>
      <w:r>
        <w:t>respectively.</w:t>
      </w:r>
    </w:p>
    <w:p w14:paraId="7567935A" w14:textId="6E3AE5B3" w:rsidR="007F2602" w:rsidRPr="007F2602" w:rsidRDefault="00B41FA5" w:rsidP="007F2602">
      <w:pPr>
        <w:pStyle w:val="TableTitle"/>
      </w:pPr>
      <w:proofErr w:type="gramStart"/>
      <w:r>
        <w:t xml:space="preserve">Table </w:t>
      </w:r>
      <w:r w:rsidR="004821C5">
        <w:t>4</w:t>
      </w:r>
      <w:r w:rsidR="007F2602">
        <w:t>.</w:t>
      </w:r>
      <w:proofErr w:type="gramEnd"/>
      <w:r w:rsidR="007F2602">
        <w:t xml:space="preserve"> Primary and secondary cardiovascular outcomes</w:t>
      </w:r>
    </w:p>
    <w:p w14:paraId="215A0B97" w14:textId="69F39EC1" w:rsidR="007F3B75" w:rsidRPr="007F3B75" w:rsidRDefault="007F3B75" w:rsidP="007F3B75">
      <w:pPr>
        <w:rPr>
          <w:b/>
        </w:rPr>
      </w:pPr>
      <w:r w:rsidRPr="007F3B75">
        <w:rPr>
          <w:b/>
          <w:noProof/>
          <w:lang w:eastAsia="en-AU"/>
        </w:rPr>
        <w:drawing>
          <wp:inline distT="0" distB="0" distL="0" distR="0" wp14:anchorId="48029FF4" wp14:editId="673026F9">
            <wp:extent cx="5514340" cy="4584557"/>
            <wp:effectExtent l="0" t="0" r="0" b="6985"/>
            <wp:docPr id="11" name="Picture 11" descr="Table 4 is an image of the Primary and secondary cardiovascular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lum bright="-20000" contrast="40000"/>
                      <a:extLst>
                        <a:ext uri="{28A0092B-C50C-407E-A947-70E740481C1C}">
                          <a14:useLocalDpi xmlns:a14="http://schemas.microsoft.com/office/drawing/2010/main" val="0"/>
                        </a:ext>
                      </a:extLst>
                    </a:blip>
                    <a:srcRect l="2066" t="5774" r="3337" b="14394"/>
                    <a:stretch/>
                  </pic:blipFill>
                  <pic:spPr bwMode="auto">
                    <a:xfrm>
                      <a:off x="0" y="0"/>
                      <a:ext cx="5516391" cy="4586262"/>
                    </a:xfrm>
                    <a:prstGeom prst="rect">
                      <a:avLst/>
                    </a:prstGeom>
                    <a:noFill/>
                    <a:ln>
                      <a:noFill/>
                    </a:ln>
                    <a:extLst>
                      <a:ext uri="{53640926-AAD7-44D8-BBD7-CCE9431645EC}">
                        <a14:shadowObscured xmlns:a14="http://schemas.microsoft.com/office/drawing/2010/main"/>
                      </a:ext>
                    </a:extLst>
                  </pic:spPr>
                </pic:pic>
              </a:graphicData>
            </a:graphic>
          </wp:inline>
        </w:drawing>
      </w:r>
    </w:p>
    <w:p w14:paraId="187D0469" w14:textId="648AF192" w:rsidR="007F3B75" w:rsidRPr="007F3B75" w:rsidRDefault="00B41FA5" w:rsidP="007F2602">
      <w:pPr>
        <w:pStyle w:val="TableTitle"/>
      </w:pPr>
      <w:bookmarkStart w:id="110" w:name="_Toc450574124"/>
      <w:proofErr w:type="gramStart"/>
      <w:r>
        <w:t xml:space="preserve">Table </w:t>
      </w:r>
      <w:r w:rsidR="004821C5">
        <w:t>5</w:t>
      </w:r>
      <w:r w:rsidR="007F2602">
        <w:t>.</w:t>
      </w:r>
      <w:proofErr w:type="gramEnd"/>
      <w:r w:rsidR="007F2602">
        <w:t xml:space="preserve"> </w:t>
      </w:r>
      <w:r w:rsidR="00127DD5">
        <w:t>Point estimates NNT and absolute risk reduction</w:t>
      </w:r>
      <w:r w:rsidR="007F3B75" w:rsidRPr="007F3B75">
        <w:t xml:space="preserve"> for primary efficacy endpoints and subcomponents</w:t>
      </w:r>
      <w:bookmarkEnd w:id="110"/>
    </w:p>
    <w:tbl>
      <w:tblPr>
        <w:tblStyle w:val="TableTGAblue"/>
        <w:tblW w:w="9112" w:type="dxa"/>
        <w:tblLayout w:type="fixed"/>
        <w:tblLook w:val="04A0" w:firstRow="1" w:lastRow="0" w:firstColumn="1" w:lastColumn="0" w:noHBand="0" w:noVBand="1"/>
        <w:tblDescription w:val="Table 5 is a list of point estimates NNT and absolute risk reduction for primary efficacy endpoints and subcomponents"/>
      </w:tblPr>
      <w:tblGrid>
        <w:gridCol w:w="2722"/>
        <w:gridCol w:w="1530"/>
        <w:gridCol w:w="1530"/>
        <w:gridCol w:w="1620"/>
        <w:gridCol w:w="1710"/>
      </w:tblGrid>
      <w:tr w:rsidR="00DB08EB" w:rsidRPr="007F3B75" w14:paraId="10BEE722" w14:textId="77777777" w:rsidTr="00DB08EB">
        <w:trPr>
          <w:cnfStyle w:val="100000000000" w:firstRow="1" w:lastRow="0" w:firstColumn="0" w:lastColumn="0" w:oddVBand="0" w:evenVBand="0" w:oddHBand="0" w:evenHBand="0" w:firstRowFirstColumn="0" w:firstRowLastColumn="0" w:lastRowFirstColumn="0" w:lastRowLastColumn="0"/>
          <w:trHeight w:val="1261"/>
        </w:trPr>
        <w:tc>
          <w:tcPr>
            <w:tcW w:w="2722" w:type="dxa"/>
          </w:tcPr>
          <w:p w14:paraId="0F1EEA11" w14:textId="77777777" w:rsidR="007F3B75" w:rsidRPr="009609D7" w:rsidRDefault="007F3B75" w:rsidP="009609D7">
            <w:pPr>
              <w:pStyle w:val="TableTitle"/>
              <w:rPr>
                <w:b/>
              </w:rPr>
            </w:pPr>
          </w:p>
        </w:tc>
        <w:tc>
          <w:tcPr>
            <w:tcW w:w="1530" w:type="dxa"/>
          </w:tcPr>
          <w:p w14:paraId="7D6A3A4F" w14:textId="1434067F" w:rsidR="007F3B75" w:rsidRPr="009609D7" w:rsidRDefault="007F3B75" w:rsidP="009609D7">
            <w:pPr>
              <w:pStyle w:val="TableTitle"/>
              <w:rPr>
                <w:b/>
              </w:rPr>
            </w:pPr>
            <w:r w:rsidRPr="009609D7">
              <w:rPr>
                <w:b/>
              </w:rPr>
              <w:t>Placebo</w:t>
            </w:r>
          </w:p>
          <w:p w14:paraId="6F4BD724" w14:textId="12272F02" w:rsidR="007F3B75" w:rsidRPr="009609D7" w:rsidRDefault="007F3B75" w:rsidP="009609D7">
            <w:pPr>
              <w:pStyle w:val="TableTitle"/>
              <w:rPr>
                <w:b/>
              </w:rPr>
            </w:pPr>
            <w:r w:rsidRPr="009609D7">
              <w:rPr>
                <w:b/>
              </w:rPr>
              <w:t>N</w:t>
            </w:r>
            <w:r w:rsidR="007F2602" w:rsidRPr="009609D7">
              <w:rPr>
                <w:b/>
              </w:rPr>
              <w:t> </w:t>
            </w:r>
            <w:r w:rsidRPr="009609D7">
              <w:rPr>
                <w:b/>
              </w:rPr>
              <w:t>=</w:t>
            </w:r>
            <w:r w:rsidR="007F2602" w:rsidRPr="009609D7">
              <w:rPr>
                <w:b/>
              </w:rPr>
              <w:t> </w:t>
            </w:r>
            <w:r w:rsidRPr="009609D7">
              <w:rPr>
                <w:b/>
              </w:rPr>
              <w:t>2333</w:t>
            </w:r>
          </w:p>
        </w:tc>
        <w:tc>
          <w:tcPr>
            <w:tcW w:w="1530" w:type="dxa"/>
          </w:tcPr>
          <w:p w14:paraId="738FACF9" w14:textId="49040E14" w:rsidR="007F3B75" w:rsidRPr="009609D7" w:rsidRDefault="007F3B75" w:rsidP="009609D7">
            <w:pPr>
              <w:pStyle w:val="TableTitle"/>
              <w:rPr>
                <w:b/>
              </w:rPr>
            </w:pPr>
            <w:r w:rsidRPr="009609D7">
              <w:rPr>
                <w:b/>
              </w:rPr>
              <w:t>Empa</w:t>
            </w:r>
            <w:r w:rsidR="00161EA7" w:rsidRPr="009609D7">
              <w:rPr>
                <w:b/>
              </w:rPr>
              <w:t xml:space="preserve">gliflozin </w:t>
            </w:r>
            <w:r w:rsidRPr="009609D7">
              <w:rPr>
                <w:b/>
              </w:rPr>
              <w:t>10/25 mg</w:t>
            </w:r>
          </w:p>
          <w:p w14:paraId="69EBB3B5" w14:textId="0DF83735" w:rsidR="007F3B75" w:rsidRPr="009609D7" w:rsidRDefault="007F3B75" w:rsidP="009609D7">
            <w:pPr>
              <w:pStyle w:val="TableTitle"/>
              <w:rPr>
                <w:b/>
              </w:rPr>
            </w:pPr>
            <w:r w:rsidRPr="009609D7">
              <w:rPr>
                <w:b/>
              </w:rPr>
              <w:t>N</w:t>
            </w:r>
            <w:r w:rsidR="00161EA7" w:rsidRPr="009609D7">
              <w:rPr>
                <w:b/>
              </w:rPr>
              <w:t> </w:t>
            </w:r>
            <w:r w:rsidRPr="009609D7">
              <w:rPr>
                <w:b/>
              </w:rPr>
              <w:t>=</w:t>
            </w:r>
            <w:r w:rsidR="00161EA7" w:rsidRPr="009609D7">
              <w:rPr>
                <w:b/>
              </w:rPr>
              <w:t> </w:t>
            </w:r>
            <w:r w:rsidRPr="009609D7">
              <w:rPr>
                <w:b/>
              </w:rPr>
              <w:t>4687</w:t>
            </w:r>
          </w:p>
        </w:tc>
        <w:tc>
          <w:tcPr>
            <w:tcW w:w="1620" w:type="dxa"/>
          </w:tcPr>
          <w:p w14:paraId="239604B8" w14:textId="52D1F8AE" w:rsidR="007F3B75" w:rsidRPr="009609D7" w:rsidRDefault="00161EA7" w:rsidP="009609D7">
            <w:pPr>
              <w:pStyle w:val="TableTitle"/>
              <w:rPr>
                <w:b/>
              </w:rPr>
            </w:pPr>
            <w:r w:rsidRPr="009609D7">
              <w:rPr>
                <w:b/>
              </w:rPr>
              <w:t>Risk difference/ absolute risk reduction</w:t>
            </w:r>
          </w:p>
        </w:tc>
        <w:tc>
          <w:tcPr>
            <w:tcW w:w="1710" w:type="dxa"/>
          </w:tcPr>
          <w:p w14:paraId="7B0F305A" w14:textId="6291F36A" w:rsidR="007F3B75" w:rsidRPr="009609D7" w:rsidRDefault="007F3B75" w:rsidP="009609D7">
            <w:pPr>
              <w:pStyle w:val="TableTitle"/>
              <w:rPr>
                <w:b/>
              </w:rPr>
            </w:pPr>
            <w:r w:rsidRPr="009609D7">
              <w:rPr>
                <w:b/>
              </w:rPr>
              <w:t>NNT</w:t>
            </w:r>
            <w:r w:rsidR="007F2602" w:rsidRPr="009609D7">
              <w:rPr>
                <w:b/>
              </w:rPr>
              <w:t xml:space="preserve"> (a</w:t>
            </w:r>
            <w:r w:rsidRPr="009609D7">
              <w:rPr>
                <w:b/>
              </w:rPr>
              <w:t>pproximate over 3 years</w:t>
            </w:r>
            <w:r w:rsidR="007F2602" w:rsidRPr="009609D7">
              <w:rPr>
                <w:b/>
              </w:rPr>
              <w:t>)</w:t>
            </w:r>
          </w:p>
        </w:tc>
      </w:tr>
      <w:tr w:rsidR="00DB08EB" w:rsidRPr="007F3B75" w14:paraId="59723CEC" w14:textId="77777777" w:rsidTr="00DB08EB">
        <w:tc>
          <w:tcPr>
            <w:tcW w:w="2722" w:type="dxa"/>
          </w:tcPr>
          <w:p w14:paraId="06B5AF57" w14:textId="77777777" w:rsidR="007F3B75" w:rsidRPr="00DB08EB" w:rsidRDefault="007F3B75" w:rsidP="007F2602">
            <w:pPr>
              <w:ind w:left="0"/>
              <w:rPr>
                <w:sz w:val="20"/>
                <w:szCs w:val="20"/>
              </w:rPr>
            </w:pPr>
            <w:r w:rsidRPr="00DB08EB">
              <w:rPr>
                <w:sz w:val="20"/>
                <w:szCs w:val="20"/>
              </w:rPr>
              <w:t>3-point MACE</w:t>
            </w:r>
          </w:p>
        </w:tc>
        <w:tc>
          <w:tcPr>
            <w:tcW w:w="1530" w:type="dxa"/>
          </w:tcPr>
          <w:p w14:paraId="031441A0" w14:textId="77777777" w:rsidR="007F3B75" w:rsidRPr="00DB08EB" w:rsidRDefault="007F3B75" w:rsidP="007F2602">
            <w:pPr>
              <w:ind w:left="0"/>
              <w:rPr>
                <w:sz w:val="20"/>
                <w:szCs w:val="20"/>
              </w:rPr>
            </w:pPr>
            <w:r w:rsidRPr="00DB08EB">
              <w:rPr>
                <w:sz w:val="20"/>
                <w:szCs w:val="20"/>
              </w:rPr>
              <w:t>282 (12.1%)</w:t>
            </w:r>
          </w:p>
        </w:tc>
        <w:tc>
          <w:tcPr>
            <w:tcW w:w="1530" w:type="dxa"/>
          </w:tcPr>
          <w:p w14:paraId="3B264043" w14:textId="77777777" w:rsidR="007F3B75" w:rsidRPr="00DB08EB" w:rsidRDefault="007F3B75" w:rsidP="007F2602">
            <w:pPr>
              <w:ind w:left="0"/>
              <w:rPr>
                <w:sz w:val="20"/>
                <w:szCs w:val="20"/>
              </w:rPr>
            </w:pPr>
            <w:r w:rsidRPr="00DB08EB">
              <w:rPr>
                <w:sz w:val="20"/>
                <w:szCs w:val="20"/>
              </w:rPr>
              <w:t>490 (10.5%)</w:t>
            </w:r>
          </w:p>
        </w:tc>
        <w:tc>
          <w:tcPr>
            <w:tcW w:w="1620" w:type="dxa"/>
          </w:tcPr>
          <w:p w14:paraId="457C1977" w14:textId="77777777" w:rsidR="007F3B75" w:rsidRPr="00DB08EB" w:rsidRDefault="007F3B75" w:rsidP="007F2602">
            <w:pPr>
              <w:ind w:left="0"/>
              <w:rPr>
                <w:sz w:val="20"/>
                <w:szCs w:val="20"/>
              </w:rPr>
            </w:pPr>
            <w:r w:rsidRPr="00DB08EB">
              <w:rPr>
                <w:sz w:val="20"/>
                <w:szCs w:val="20"/>
              </w:rPr>
              <w:t>1.6%</w:t>
            </w:r>
          </w:p>
        </w:tc>
        <w:tc>
          <w:tcPr>
            <w:tcW w:w="1710" w:type="dxa"/>
          </w:tcPr>
          <w:p w14:paraId="44E9D3E1" w14:textId="77777777" w:rsidR="007F3B75" w:rsidRPr="00DB08EB" w:rsidRDefault="007F3B75" w:rsidP="007F2602">
            <w:pPr>
              <w:ind w:left="0"/>
              <w:rPr>
                <w:sz w:val="20"/>
                <w:szCs w:val="20"/>
              </w:rPr>
            </w:pPr>
            <w:r w:rsidRPr="00DB08EB">
              <w:rPr>
                <w:sz w:val="20"/>
                <w:szCs w:val="20"/>
              </w:rPr>
              <w:t>62.5</w:t>
            </w:r>
          </w:p>
        </w:tc>
      </w:tr>
      <w:tr w:rsidR="00DB08EB" w:rsidRPr="007F3B75" w14:paraId="4A172B70" w14:textId="77777777" w:rsidTr="00DB08EB">
        <w:tc>
          <w:tcPr>
            <w:tcW w:w="2722" w:type="dxa"/>
          </w:tcPr>
          <w:p w14:paraId="0E980FF1" w14:textId="77777777" w:rsidR="007F3B75" w:rsidRPr="00DB08EB" w:rsidRDefault="007F3B75" w:rsidP="007F2602">
            <w:pPr>
              <w:ind w:left="0"/>
              <w:rPr>
                <w:sz w:val="20"/>
                <w:szCs w:val="20"/>
              </w:rPr>
            </w:pPr>
            <w:r w:rsidRPr="00DB08EB">
              <w:rPr>
                <w:sz w:val="20"/>
                <w:szCs w:val="20"/>
              </w:rPr>
              <w:lastRenderedPageBreak/>
              <w:t>4-point MACE</w:t>
            </w:r>
          </w:p>
        </w:tc>
        <w:tc>
          <w:tcPr>
            <w:tcW w:w="1530" w:type="dxa"/>
          </w:tcPr>
          <w:p w14:paraId="7AA83ABB" w14:textId="77777777" w:rsidR="007F3B75" w:rsidRPr="00DB08EB" w:rsidRDefault="007F3B75" w:rsidP="007F2602">
            <w:pPr>
              <w:ind w:left="0"/>
              <w:rPr>
                <w:sz w:val="20"/>
                <w:szCs w:val="20"/>
              </w:rPr>
            </w:pPr>
            <w:r w:rsidRPr="00DB08EB">
              <w:rPr>
                <w:sz w:val="20"/>
                <w:szCs w:val="20"/>
              </w:rPr>
              <w:t>333 (14.3%)</w:t>
            </w:r>
          </w:p>
        </w:tc>
        <w:tc>
          <w:tcPr>
            <w:tcW w:w="1530" w:type="dxa"/>
          </w:tcPr>
          <w:p w14:paraId="22E22241" w14:textId="77777777" w:rsidR="007F3B75" w:rsidRPr="00DB08EB" w:rsidRDefault="007F3B75" w:rsidP="007F2602">
            <w:pPr>
              <w:ind w:left="0"/>
              <w:rPr>
                <w:sz w:val="20"/>
                <w:szCs w:val="20"/>
              </w:rPr>
            </w:pPr>
            <w:r w:rsidRPr="00DB08EB">
              <w:rPr>
                <w:sz w:val="20"/>
                <w:szCs w:val="20"/>
              </w:rPr>
              <w:t>599 (12.8%)</w:t>
            </w:r>
          </w:p>
        </w:tc>
        <w:tc>
          <w:tcPr>
            <w:tcW w:w="1620" w:type="dxa"/>
          </w:tcPr>
          <w:p w14:paraId="5848D714" w14:textId="77777777" w:rsidR="007F3B75" w:rsidRPr="00DB08EB" w:rsidRDefault="007F3B75" w:rsidP="007F2602">
            <w:pPr>
              <w:ind w:left="0"/>
              <w:rPr>
                <w:sz w:val="20"/>
                <w:szCs w:val="20"/>
              </w:rPr>
            </w:pPr>
            <w:r w:rsidRPr="00DB08EB">
              <w:rPr>
                <w:sz w:val="20"/>
                <w:szCs w:val="20"/>
              </w:rPr>
              <w:t>2%</w:t>
            </w:r>
          </w:p>
        </w:tc>
        <w:tc>
          <w:tcPr>
            <w:tcW w:w="1710" w:type="dxa"/>
          </w:tcPr>
          <w:p w14:paraId="7D6FEE55" w14:textId="77777777" w:rsidR="007F3B75" w:rsidRPr="00DB08EB" w:rsidRDefault="007F3B75" w:rsidP="007F2602">
            <w:pPr>
              <w:ind w:left="0"/>
              <w:rPr>
                <w:sz w:val="20"/>
                <w:szCs w:val="20"/>
              </w:rPr>
            </w:pPr>
            <w:r w:rsidRPr="00DB08EB">
              <w:rPr>
                <w:sz w:val="20"/>
                <w:szCs w:val="20"/>
              </w:rPr>
              <w:t>50</w:t>
            </w:r>
          </w:p>
        </w:tc>
      </w:tr>
      <w:tr w:rsidR="00DB08EB" w:rsidRPr="007F3B75" w14:paraId="45A2C873" w14:textId="77777777" w:rsidTr="00DB08EB">
        <w:tc>
          <w:tcPr>
            <w:tcW w:w="2722" w:type="dxa"/>
          </w:tcPr>
          <w:p w14:paraId="75EA4B90" w14:textId="77777777" w:rsidR="007F3B75" w:rsidRPr="00DB08EB" w:rsidRDefault="007F3B75" w:rsidP="007F2602">
            <w:pPr>
              <w:ind w:left="0"/>
              <w:rPr>
                <w:sz w:val="20"/>
                <w:szCs w:val="20"/>
              </w:rPr>
            </w:pPr>
            <w:r w:rsidRPr="00DB08EB">
              <w:rPr>
                <w:sz w:val="20"/>
                <w:szCs w:val="20"/>
              </w:rPr>
              <w:t>CV death</w:t>
            </w:r>
          </w:p>
        </w:tc>
        <w:tc>
          <w:tcPr>
            <w:tcW w:w="1530" w:type="dxa"/>
          </w:tcPr>
          <w:p w14:paraId="3861D863" w14:textId="77777777" w:rsidR="007F3B75" w:rsidRPr="00DB08EB" w:rsidRDefault="007F3B75" w:rsidP="007F2602">
            <w:pPr>
              <w:ind w:left="0"/>
              <w:rPr>
                <w:sz w:val="20"/>
                <w:szCs w:val="20"/>
              </w:rPr>
            </w:pPr>
            <w:r w:rsidRPr="00DB08EB">
              <w:rPr>
                <w:sz w:val="20"/>
                <w:szCs w:val="20"/>
              </w:rPr>
              <w:t>107 (4.6%)</w:t>
            </w:r>
          </w:p>
        </w:tc>
        <w:tc>
          <w:tcPr>
            <w:tcW w:w="1530" w:type="dxa"/>
          </w:tcPr>
          <w:p w14:paraId="1CB71839" w14:textId="77777777" w:rsidR="007F3B75" w:rsidRPr="00DB08EB" w:rsidRDefault="007F3B75" w:rsidP="007F2602">
            <w:pPr>
              <w:ind w:left="0"/>
              <w:rPr>
                <w:sz w:val="20"/>
                <w:szCs w:val="20"/>
              </w:rPr>
            </w:pPr>
            <w:r w:rsidRPr="00DB08EB">
              <w:rPr>
                <w:sz w:val="20"/>
                <w:szCs w:val="20"/>
              </w:rPr>
              <w:t>143 (3.1%)</w:t>
            </w:r>
          </w:p>
        </w:tc>
        <w:tc>
          <w:tcPr>
            <w:tcW w:w="1620" w:type="dxa"/>
          </w:tcPr>
          <w:p w14:paraId="3728F669" w14:textId="77777777" w:rsidR="007F3B75" w:rsidRPr="00DB08EB" w:rsidRDefault="007F3B75" w:rsidP="007F2602">
            <w:pPr>
              <w:ind w:left="0"/>
              <w:rPr>
                <w:sz w:val="20"/>
                <w:szCs w:val="20"/>
              </w:rPr>
            </w:pPr>
            <w:r w:rsidRPr="00DB08EB">
              <w:rPr>
                <w:sz w:val="20"/>
                <w:szCs w:val="20"/>
              </w:rPr>
              <w:t>1.5%</w:t>
            </w:r>
          </w:p>
        </w:tc>
        <w:tc>
          <w:tcPr>
            <w:tcW w:w="1710" w:type="dxa"/>
          </w:tcPr>
          <w:p w14:paraId="3981DA5C" w14:textId="77777777" w:rsidR="007F3B75" w:rsidRPr="00DB08EB" w:rsidRDefault="007F3B75" w:rsidP="007F2602">
            <w:pPr>
              <w:ind w:left="0"/>
              <w:rPr>
                <w:sz w:val="20"/>
                <w:szCs w:val="20"/>
              </w:rPr>
            </w:pPr>
            <w:r w:rsidRPr="00DB08EB">
              <w:rPr>
                <w:sz w:val="20"/>
                <w:szCs w:val="20"/>
              </w:rPr>
              <w:t>67</w:t>
            </w:r>
          </w:p>
        </w:tc>
      </w:tr>
      <w:tr w:rsidR="00DB08EB" w:rsidRPr="007F3B75" w14:paraId="2D395B45" w14:textId="77777777" w:rsidTr="00DB08EB">
        <w:tc>
          <w:tcPr>
            <w:tcW w:w="2722" w:type="dxa"/>
          </w:tcPr>
          <w:p w14:paraId="10F0B321" w14:textId="77777777" w:rsidR="007F3B75" w:rsidRPr="00DB08EB" w:rsidRDefault="007F3B75" w:rsidP="007F2602">
            <w:pPr>
              <w:ind w:left="0"/>
              <w:rPr>
                <w:sz w:val="20"/>
                <w:szCs w:val="20"/>
              </w:rPr>
            </w:pPr>
            <w:r w:rsidRPr="00DB08EB">
              <w:rPr>
                <w:sz w:val="20"/>
                <w:szCs w:val="20"/>
              </w:rPr>
              <w:t>Non-fatal MI</w:t>
            </w:r>
          </w:p>
        </w:tc>
        <w:tc>
          <w:tcPr>
            <w:tcW w:w="1530" w:type="dxa"/>
          </w:tcPr>
          <w:p w14:paraId="7D14BA2C" w14:textId="77777777" w:rsidR="007F3B75" w:rsidRPr="00DB08EB" w:rsidRDefault="007F3B75" w:rsidP="007F2602">
            <w:pPr>
              <w:ind w:left="0"/>
              <w:rPr>
                <w:sz w:val="20"/>
                <w:szCs w:val="20"/>
              </w:rPr>
            </w:pPr>
            <w:r w:rsidRPr="00DB08EB">
              <w:rPr>
                <w:sz w:val="20"/>
                <w:szCs w:val="20"/>
              </w:rPr>
              <w:t>120 (5.1%)</w:t>
            </w:r>
          </w:p>
        </w:tc>
        <w:tc>
          <w:tcPr>
            <w:tcW w:w="1530" w:type="dxa"/>
          </w:tcPr>
          <w:p w14:paraId="1F372B3D" w14:textId="77777777" w:rsidR="007F3B75" w:rsidRPr="00DB08EB" w:rsidRDefault="007F3B75" w:rsidP="007F2602">
            <w:pPr>
              <w:ind w:left="0"/>
              <w:rPr>
                <w:sz w:val="20"/>
                <w:szCs w:val="20"/>
              </w:rPr>
            </w:pPr>
            <w:r w:rsidRPr="00DB08EB">
              <w:rPr>
                <w:sz w:val="20"/>
                <w:szCs w:val="20"/>
              </w:rPr>
              <w:t>208 (4.4%)</w:t>
            </w:r>
          </w:p>
        </w:tc>
        <w:tc>
          <w:tcPr>
            <w:tcW w:w="1620" w:type="dxa"/>
          </w:tcPr>
          <w:p w14:paraId="22828360" w14:textId="77777777" w:rsidR="007F3B75" w:rsidRPr="00DB08EB" w:rsidRDefault="007F3B75" w:rsidP="007F2602">
            <w:pPr>
              <w:ind w:left="0"/>
              <w:rPr>
                <w:sz w:val="20"/>
                <w:szCs w:val="20"/>
              </w:rPr>
            </w:pPr>
            <w:r w:rsidRPr="00DB08EB">
              <w:rPr>
                <w:sz w:val="20"/>
                <w:szCs w:val="20"/>
              </w:rPr>
              <w:t>0.7%</w:t>
            </w:r>
          </w:p>
        </w:tc>
        <w:tc>
          <w:tcPr>
            <w:tcW w:w="1710" w:type="dxa"/>
          </w:tcPr>
          <w:p w14:paraId="03F6C6E8" w14:textId="77777777" w:rsidR="007F3B75" w:rsidRPr="00DB08EB" w:rsidRDefault="007F3B75" w:rsidP="007F2602">
            <w:pPr>
              <w:ind w:left="0"/>
              <w:rPr>
                <w:sz w:val="20"/>
                <w:szCs w:val="20"/>
              </w:rPr>
            </w:pPr>
            <w:r w:rsidRPr="00DB08EB">
              <w:rPr>
                <w:sz w:val="20"/>
                <w:szCs w:val="20"/>
              </w:rPr>
              <w:t>143</w:t>
            </w:r>
          </w:p>
        </w:tc>
      </w:tr>
      <w:tr w:rsidR="00DB08EB" w:rsidRPr="007F3B75" w14:paraId="5F8C8291" w14:textId="77777777" w:rsidTr="00DB08EB">
        <w:tc>
          <w:tcPr>
            <w:tcW w:w="2722" w:type="dxa"/>
          </w:tcPr>
          <w:p w14:paraId="0C6F2742" w14:textId="77777777" w:rsidR="007F3B75" w:rsidRPr="00DB08EB" w:rsidRDefault="007F3B75" w:rsidP="007F2602">
            <w:pPr>
              <w:ind w:left="0"/>
              <w:rPr>
                <w:sz w:val="20"/>
                <w:szCs w:val="20"/>
              </w:rPr>
            </w:pPr>
            <w:r w:rsidRPr="00DB08EB">
              <w:rPr>
                <w:sz w:val="20"/>
                <w:szCs w:val="20"/>
              </w:rPr>
              <w:t>Non-fatal stroke</w:t>
            </w:r>
          </w:p>
        </w:tc>
        <w:tc>
          <w:tcPr>
            <w:tcW w:w="1530" w:type="dxa"/>
          </w:tcPr>
          <w:p w14:paraId="1F41C381" w14:textId="77777777" w:rsidR="007F3B75" w:rsidRPr="00DB08EB" w:rsidRDefault="007F3B75" w:rsidP="007F2602">
            <w:pPr>
              <w:ind w:left="0"/>
              <w:rPr>
                <w:sz w:val="20"/>
                <w:szCs w:val="20"/>
              </w:rPr>
            </w:pPr>
            <w:r w:rsidRPr="00DB08EB">
              <w:rPr>
                <w:sz w:val="20"/>
                <w:szCs w:val="20"/>
              </w:rPr>
              <w:t>55 (2.4%)</w:t>
            </w:r>
          </w:p>
        </w:tc>
        <w:tc>
          <w:tcPr>
            <w:tcW w:w="1530" w:type="dxa"/>
          </w:tcPr>
          <w:p w14:paraId="38F5EC01" w14:textId="77777777" w:rsidR="007F3B75" w:rsidRPr="00DB08EB" w:rsidRDefault="007F3B75" w:rsidP="007F2602">
            <w:pPr>
              <w:ind w:left="0"/>
              <w:rPr>
                <w:sz w:val="20"/>
                <w:szCs w:val="20"/>
              </w:rPr>
            </w:pPr>
            <w:r w:rsidRPr="00DB08EB">
              <w:rPr>
                <w:sz w:val="20"/>
                <w:szCs w:val="20"/>
              </w:rPr>
              <w:t>142 (3.0)</w:t>
            </w:r>
          </w:p>
        </w:tc>
        <w:tc>
          <w:tcPr>
            <w:tcW w:w="1620" w:type="dxa"/>
          </w:tcPr>
          <w:p w14:paraId="4D6BA86C" w14:textId="77777777" w:rsidR="007F3B75" w:rsidRPr="00DB08EB" w:rsidRDefault="007F3B75" w:rsidP="007F2602">
            <w:pPr>
              <w:ind w:left="0"/>
              <w:rPr>
                <w:sz w:val="20"/>
                <w:szCs w:val="20"/>
              </w:rPr>
            </w:pPr>
            <w:r w:rsidRPr="00DB08EB">
              <w:rPr>
                <w:sz w:val="20"/>
                <w:szCs w:val="20"/>
              </w:rPr>
              <w:t>-0.6%</w:t>
            </w:r>
          </w:p>
        </w:tc>
        <w:tc>
          <w:tcPr>
            <w:tcW w:w="1710" w:type="dxa"/>
          </w:tcPr>
          <w:p w14:paraId="36290AB5" w14:textId="092CFF4F" w:rsidR="007F3B75" w:rsidRPr="00DB08EB" w:rsidRDefault="007F3B75" w:rsidP="007F2602">
            <w:pPr>
              <w:ind w:left="0"/>
              <w:rPr>
                <w:sz w:val="20"/>
                <w:szCs w:val="20"/>
              </w:rPr>
            </w:pPr>
            <w:r w:rsidRPr="00DB08EB">
              <w:rPr>
                <w:sz w:val="20"/>
                <w:szCs w:val="20"/>
              </w:rPr>
              <w:t>NNH</w:t>
            </w:r>
            <w:r w:rsidR="00161EA7" w:rsidRPr="00DB08EB">
              <w:rPr>
                <w:sz w:val="20"/>
                <w:szCs w:val="20"/>
              </w:rPr>
              <w:t xml:space="preserve"> </w:t>
            </w:r>
            <w:r w:rsidRPr="00DB08EB">
              <w:rPr>
                <w:sz w:val="20"/>
                <w:szCs w:val="20"/>
              </w:rPr>
              <w:t>=</w:t>
            </w:r>
            <w:r w:rsidR="00161EA7" w:rsidRPr="00DB08EB">
              <w:rPr>
                <w:sz w:val="20"/>
                <w:szCs w:val="20"/>
              </w:rPr>
              <w:t xml:space="preserve"> </w:t>
            </w:r>
            <w:r w:rsidRPr="00DB08EB">
              <w:rPr>
                <w:sz w:val="20"/>
                <w:szCs w:val="20"/>
              </w:rPr>
              <w:t>167</w:t>
            </w:r>
          </w:p>
        </w:tc>
      </w:tr>
      <w:tr w:rsidR="00DB08EB" w:rsidRPr="007F3B75" w14:paraId="1FDF0681" w14:textId="77777777" w:rsidTr="00DB08EB">
        <w:tc>
          <w:tcPr>
            <w:tcW w:w="2722" w:type="dxa"/>
          </w:tcPr>
          <w:p w14:paraId="2C79D316" w14:textId="51926182" w:rsidR="007F3B75" w:rsidRPr="00DB08EB" w:rsidRDefault="007F3B75" w:rsidP="007F2602">
            <w:pPr>
              <w:ind w:left="0"/>
              <w:rPr>
                <w:sz w:val="20"/>
                <w:szCs w:val="20"/>
              </w:rPr>
            </w:pPr>
            <w:r w:rsidRPr="00DB08EB">
              <w:rPr>
                <w:sz w:val="20"/>
                <w:szCs w:val="20"/>
              </w:rPr>
              <w:t>All-cause mor</w:t>
            </w:r>
            <w:r w:rsidR="007F2602" w:rsidRPr="00DB08EB">
              <w:rPr>
                <w:sz w:val="20"/>
                <w:szCs w:val="20"/>
              </w:rPr>
              <w:t>t</w:t>
            </w:r>
            <w:r w:rsidRPr="00DB08EB">
              <w:rPr>
                <w:sz w:val="20"/>
                <w:szCs w:val="20"/>
              </w:rPr>
              <w:t>ality</w:t>
            </w:r>
          </w:p>
        </w:tc>
        <w:tc>
          <w:tcPr>
            <w:tcW w:w="1530" w:type="dxa"/>
          </w:tcPr>
          <w:p w14:paraId="58A3C7BC" w14:textId="77777777" w:rsidR="007F3B75" w:rsidRPr="00DB08EB" w:rsidRDefault="007F3B75" w:rsidP="007F2602">
            <w:pPr>
              <w:ind w:left="0"/>
              <w:rPr>
                <w:sz w:val="20"/>
                <w:szCs w:val="20"/>
              </w:rPr>
            </w:pPr>
            <w:r w:rsidRPr="00DB08EB">
              <w:rPr>
                <w:sz w:val="20"/>
                <w:szCs w:val="20"/>
              </w:rPr>
              <w:t>137 (5.9%)</w:t>
            </w:r>
          </w:p>
        </w:tc>
        <w:tc>
          <w:tcPr>
            <w:tcW w:w="1530" w:type="dxa"/>
          </w:tcPr>
          <w:p w14:paraId="1E3261D9" w14:textId="77777777" w:rsidR="007F3B75" w:rsidRPr="00DB08EB" w:rsidRDefault="007F3B75" w:rsidP="007F2602">
            <w:pPr>
              <w:ind w:left="0"/>
              <w:rPr>
                <w:sz w:val="20"/>
                <w:szCs w:val="20"/>
              </w:rPr>
            </w:pPr>
            <w:r w:rsidRPr="00DB08EB">
              <w:rPr>
                <w:sz w:val="20"/>
                <w:szCs w:val="20"/>
              </w:rPr>
              <w:t>172 (3.7%)</w:t>
            </w:r>
          </w:p>
        </w:tc>
        <w:tc>
          <w:tcPr>
            <w:tcW w:w="1620" w:type="dxa"/>
          </w:tcPr>
          <w:p w14:paraId="0DE0808D" w14:textId="77777777" w:rsidR="007F3B75" w:rsidRPr="00DB08EB" w:rsidRDefault="007F3B75" w:rsidP="007F2602">
            <w:pPr>
              <w:ind w:left="0"/>
              <w:rPr>
                <w:sz w:val="20"/>
                <w:szCs w:val="20"/>
              </w:rPr>
            </w:pPr>
            <w:r w:rsidRPr="00DB08EB">
              <w:rPr>
                <w:sz w:val="20"/>
                <w:szCs w:val="20"/>
              </w:rPr>
              <w:t>2.2%</w:t>
            </w:r>
          </w:p>
        </w:tc>
        <w:tc>
          <w:tcPr>
            <w:tcW w:w="1710" w:type="dxa"/>
          </w:tcPr>
          <w:p w14:paraId="78B055F8" w14:textId="77777777" w:rsidR="007F3B75" w:rsidRPr="00DB08EB" w:rsidRDefault="007F3B75" w:rsidP="007F2602">
            <w:pPr>
              <w:ind w:left="0"/>
              <w:rPr>
                <w:sz w:val="20"/>
                <w:szCs w:val="20"/>
              </w:rPr>
            </w:pPr>
            <w:r w:rsidRPr="00DB08EB">
              <w:rPr>
                <w:sz w:val="20"/>
                <w:szCs w:val="20"/>
              </w:rPr>
              <w:t>45</w:t>
            </w:r>
          </w:p>
        </w:tc>
      </w:tr>
      <w:tr w:rsidR="00DB08EB" w:rsidRPr="007F3B75" w14:paraId="5BF1082A" w14:textId="77777777" w:rsidTr="00DB08EB">
        <w:tc>
          <w:tcPr>
            <w:tcW w:w="2722" w:type="dxa"/>
          </w:tcPr>
          <w:p w14:paraId="31323100" w14:textId="03C48D8D" w:rsidR="007F3B75" w:rsidRPr="00DB08EB" w:rsidRDefault="007F2602" w:rsidP="00161EA7">
            <w:pPr>
              <w:ind w:left="0"/>
              <w:rPr>
                <w:sz w:val="20"/>
                <w:szCs w:val="20"/>
              </w:rPr>
            </w:pPr>
            <w:r w:rsidRPr="00DB08EB">
              <w:rPr>
                <w:sz w:val="20"/>
                <w:szCs w:val="20"/>
              </w:rPr>
              <w:t>HF requiring hospitalisation</w:t>
            </w:r>
          </w:p>
        </w:tc>
        <w:tc>
          <w:tcPr>
            <w:tcW w:w="1530" w:type="dxa"/>
          </w:tcPr>
          <w:p w14:paraId="737B1BC3" w14:textId="1DFCFEB8" w:rsidR="007F3B75" w:rsidRPr="00DB08EB" w:rsidRDefault="007F3B75" w:rsidP="007F2602">
            <w:pPr>
              <w:ind w:left="0"/>
              <w:rPr>
                <w:sz w:val="20"/>
                <w:szCs w:val="20"/>
              </w:rPr>
            </w:pPr>
            <w:r w:rsidRPr="00DB08EB">
              <w:rPr>
                <w:sz w:val="20"/>
                <w:szCs w:val="20"/>
              </w:rPr>
              <w:t>91 (4.1%)</w:t>
            </w:r>
          </w:p>
        </w:tc>
        <w:tc>
          <w:tcPr>
            <w:tcW w:w="1530" w:type="dxa"/>
          </w:tcPr>
          <w:p w14:paraId="32BBD01A" w14:textId="49FA03EF" w:rsidR="007F3B75" w:rsidRPr="00DB08EB" w:rsidRDefault="007F3B75" w:rsidP="007F2602">
            <w:pPr>
              <w:ind w:left="0"/>
              <w:rPr>
                <w:sz w:val="20"/>
                <w:szCs w:val="20"/>
              </w:rPr>
            </w:pPr>
            <w:r w:rsidRPr="00DB08EB">
              <w:rPr>
                <w:sz w:val="20"/>
                <w:szCs w:val="20"/>
              </w:rPr>
              <w:t>126 (2.7%)</w:t>
            </w:r>
          </w:p>
        </w:tc>
        <w:tc>
          <w:tcPr>
            <w:tcW w:w="1620" w:type="dxa"/>
          </w:tcPr>
          <w:p w14:paraId="1E87A440" w14:textId="1A3D57D2" w:rsidR="007F3B75" w:rsidRPr="00DB08EB" w:rsidRDefault="007F3B75" w:rsidP="007F2602">
            <w:pPr>
              <w:ind w:left="0"/>
              <w:rPr>
                <w:sz w:val="20"/>
                <w:szCs w:val="20"/>
              </w:rPr>
            </w:pPr>
            <w:r w:rsidRPr="00DB08EB">
              <w:rPr>
                <w:sz w:val="20"/>
                <w:szCs w:val="20"/>
              </w:rPr>
              <w:t>1.4%</w:t>
            </w:r>
          </w:p>
        </w:tc>
        <w:tc>
          <w:tcPr>
            <w:tcW w:w="1710" w:type="dxa"/>
          </w:tcPr>
          <w:p w14:paraId="5D8BEC31" w14:textId="596B8BCA" w:rsidR="007F3B75" w:rsidRPr="00DB08EB" w:rsidRDefault="007F3B75" w:rsidP="007F2602">
            <w:pPr>
              <w:ind w:left="0"/>
              <w:rPr>
                <w:sz w:val="20"/>
                <w:szCs w:val="20"/>
              </w:rPr>
            </w:pPr>
            <w:r w:rsidRPr="00DB08EB">
              <w:rPr>
                <w:sz w:val="20"/>
                <w:szCs w:val="20"/>
              </w:rPr>
              <w:t>71</w:t>
            </w:r>
          </w:p>
        </w:tc>
      </w:tr>
      <w:tr w:rsidR="00DB08EB" w:rsidRPr="007F3B75" w14:paraId="08C1412D" w14:textId="77777777" w:rsidTr="00DB08EB">
        <w:tc>
          <w:tcPr>
            <w:tcW w:w="2722" w:type="dxa"/>
          </w:tcPr>
          <w:p w14:paraId="30D73349" w14:textId="69D262E1" w:rsidR="00161EA7" w:rsidRPr="00DB08EB" w:rsidRDefault="00161EA7" w:rsidP="00161EA7">
            <w:pPr>
              <w:ind w:left="0"/>
              <w:rPr>
                <w:sz w:val="20"/>
                <w:szCs w:val="20"/>
              </w:rPr>
            </w:pPr>
            <w:r w:rsidRPr="00DB08EB">
              <w:rPr>
                <w:sz w:val="20"/>
                <w:szCs w:val="20"/>
              </w:rPr>
              <w:t>HF requiring hospitalisation with CV death</w:t>
            </w:r>
          </w:p>
        </w:tc>
        <w:tc>
          <w:tcPr>
            <w:tcW w:w="1530" w:type="dxa"/>
          </w:tcPr>
          <w:p w14:paraId="4AD757BA" w14:textId="166FDDB9" w:rsidR="00161EA7" w:rsidRPr="00DB08EB" w:rsidRDefault="00161EA7" w:rsidP="00161EA7">
            <w:pPr>
              <w:ind w:left="0"/>
              <w:rPr>
                <w:sz w:val="20"/>
                <w:szCs w:val="20"/>
              </w:rPr>
            </w:pPr>
            <w:r w:rsidRPr="00DB08EB">
              <w:rPr>
                <w:sz w:val="20"/>
                <w:szCs w:val="20"/>
              </w:rPr>
              <w:t>198 (8.5%)</w:t>
            </w:r>
          </w:p>
        </w:tc>
        <w:tc>
          <w:tcPr>
            <w:tcW w:w="1530" w:type="dxa"/>
          </w:tcPr>
          <w:p w14:paraId="424D5D1A" w14:textId="6EA2EE71" w:rsidR="00161EA7" w:rsidRPr="00DB08EB" w:rsidRDefault="00161EA7" w:rsidP="00161EA7">
            <w:pPr>
              <w:ind w:left="0"/>
              <w:rPr>
                <w:sz w:val="20"/>
                <w:szCs w:val="20"/>
              </w:rPr>
            </w:pPr>
            <w:r w:rsidRPr="00DB08EB">
              <w:rPr>
                <w:sz w:val="20"/>
                <w:szCs w:val="20"/>
              </w:rPr>
              <w:t>265 (5.7%)</w:t>
            </w:r>
          </w:p>
        </w:tc>
        <w:tc>
          <w:tcPr>
            <w:tcW w:w="1620" w:type="dxa"/>
          </w:tcPr>
          <w:p w14:paraId="2CF982D1" w14:textId="17E43DAA" w:rsidR="00161EA7" w:rsidRPr="00DB08EB" w:rsidRDefault="00161EA7" w:rsidP="00161EA7">
            <w:pPr>
              <w:ind w:left="0"/>
              <w:rPr>
                <w:sz w:val="20"/>
                <w:szCs w:val="20"/>
              </w:rPr>
            </w:pPr>
            <w:r w:rsidRPr="00DB08EB">
              <w:rPr>
                <w:sz w:val="20"/>
                <w:szCs w:val="20"/>
              </w:rPr>
              <w:t>2.8%</w:t>
            </w:r>
          </w:p>
        </w:tc>
        <w:tc>
          <w:tcPr>
            <w:tcW w:w="1710" w:type="dxa"/>
          </w:tcPr>
          <w:p w14:paraId="7B1C53A1" w14:textId="67065BDB" w:rsidR="00161EA7" w:rsidRPr="00DB08EB" w:rsidRDefault="00161EA7" w:rsidP="00161EA7">
            <w:pPr>
              <w:ind w:left="0"/>
              <w:rPr>
                <w:sz w:val="20"/>
                <w:szCs w:val="20"/>
              </w:rPr>
            </w:pPr>
            <w:r w:rsidRPr="00DB08EB">
              <w:rPr>
                <w:sz w:val="20"/>
                <w:szCs w:val="20"/>
              </w:rPr>
              <w:t>36</w:t>
            </w:r>
          </w:p>
        </w:tc>
      </w:tr>
      <w:tr w:rsidR="00DB08EB" w:rsidRPr="007F3B75" w14:paraId="644D7FB5" w14:textId="77777777" w:rsidTr="00DB08EB">
        <w:tc>
          <w:tcPr>
            <w:tcW w:w="2722" w:type="dxa"/>
          </w:tcPr>
          <w:p w14:paraId="0E732B80" w14:textId="745D196B" w:rsidR="00161EA7" w:rsidRPr="00DB08EB" w:rsidRDefault="00161EA7" w:rsidP="00161EA7">
            <w:pPr>
              <w:ind w:left="0"/>
              <w:rPr>
                <w:sz w:val="20"/>
                <w:szCs w:val="20"/>
              </w:rPr>
            </w:pPr>
            <w:r w:rsidRPr="00DB08EB">
              <w:rPr>
                <w:sz w:val="20"/>
                <w:szCs w:val="20"/>
              </w:rPr>
              <w:t>HF requiring hospitalisation with HF death</w:t>
            </w:r>
          </w:p>
        </w:tc>
        <w:tc>
          <w:tcPr>
            <w:tcW w:w="1530" w:type="dxa"/>
          </w:tcPr>
          <w:p w14:paraId="7358985A" w14:textId="3DDF9A1B" w:rsidR="00161EA7" w:rsidRPr="00DB08EB" w:rsidRDefault="00161EA7" w:rsidP="00161EA7">
            <w:pPr>
              <w:ind w:left="0"/>
              <w:rPr>
                <w:sz w:val="20"/>
                <w:szCs w:val="20"/>
              </w:rPr>
            </w:pPr>
            <w:r w:rsidRPr="00DB08EB">
              <w:rPr>
                <w:sz w:val="20"/>
                <w:szCs w:val="20"/>
              </w:rPr>
              <w:t>104 (4.5%)</w:t>
            </w:r>
          </w:p>
        </w:tc>
        <w:tc>
          <w:tcPr>
            <w:tcW w:w="1530" w:type="dxa"/>
          </w:tcPr>
          <w:p w14:paraId="28D9A025" w14:textId="5D0F7EE3" w:rsidR="00161EA7" w:rsidRPr="00DB08EB" w:rsidRDefault="00161EA7" w:rsidP="00161EA7">
            <w:pPr>
              <w:ind w:left="0"/>
              <w:rPr>
                <w:sz w:val="20"/>
                <w:szCs w:val="20"/>
              </w:rPr>
            </w:pPr>
            <w:r w:rsidRPr="00DB08EB">
              <w:rPr>
                <w:sz w:val="20"/>
                <w:szCs w:val="20"/>
              </w:rPr>
              <w:t>129 (2.8%)</w:t>
            </w:r>
          </w:p>
        </w:tc>
        <w:tc>
          <w:tcPr>
            <w:tcW w:w="1620" w:type="dxa"/>
          </w:tcPr>
          <w:p w14:paraId="3FE17133" w14:textId="383F2667" w:rsidR="00161EA7" w:rsidRPr="00DB08EB" w:rsidRDefault="00161EA7" w:rsidP="00161EA7">
            <w:pPr>
              <w:ind w:left="0"/>
              <w:rPr>
                <w:sz w:val="20"/>
                <w:szCs w:val="20"/>
              </w:rPr>
            </w:pPr>
            <w:r w:rsidRPr="00DB08EB">
              <w:rPr>
                <w:sz w:val="20"/>
                <w:szCs w:val="20"/>
              </w:rPr>
              <w:t>1.7%</w:t>
            </w:r>
          </w:p>
        </w:tc>
        <w:tc>
          <w:tcPr>
            <w:tcW w:w="1710" w:type="dxa"/>
          </w:tcPr>
          <w:p w14:paraId="46C08F7D" w14:textId="3BE519F3" w:rsidR="00161EA7" w:rsidRPr="00DB08EB" w:rsidRDefault="00161EA7" w:rsidP="00161EA7">
            <w:pPr>
              <w:ind w:left="0"/>
              <w:rPr>
                <w:sz w:val="20"/>
                <w:szCs w:val="20"/>
              </w:rPr>
            </w:pPr>
            <w:r w:rsidRPr="00DB08EB">
              <w:rPr>
                <w:sz w:val="20"/>
                <w:szCs w:val="20"/>
              </w:rPr>
              <w:t>59</w:t>
            </w:r>
          </w:p>
        </w:tc>
      </w:tr>
    </w:tbl>
    <w:p w14:paraId="580DB2D0" w14:textId="57F689E2" w:rsidR="00127DD5" w:rsidRDefault="005C1321" w:rsidP="005C1321">
      <w:pPr>
        <w:pStyle w:val="TableDescription"/>
      </w:pPr>
      <w:r>
        <w:t xml:space="preserve">NNT = number needed to treat; </w:t>
      </w:r>
      <w:r w:rsidR="00B41FA5">
        <w:t xml:space="preserve">NNH = number needed to harm; </w:t>
      </w:r>
      <w:r w:rsidR="00127DD5">
        <w:t>CV = cardiovascular; HF = heart failure</w:t>
      </w:r>
    </w:p>
    <w:p w14:paraId="642BA3EF" w14:textId="12E40976" w:rsidR="007F3B75" w:rsidRPr="007F3B75" w:rsidRDefault="007F3B75" w:rsidP="007F3B75">
      <w:r w:rsidRPr="007F3B75">
        <w:t>It is important to note that</w:t>
      </w:r>
      <w:r w:rsidR="00B776E3">
        <w:t xml:space="preserve"> a history of heart failure at B</w:t>
      </w:r>
      <w:r w:rsidRPr="007F3B75">
        <w:t>aseline was dependent upon self-report. Any analysis of heart failure in the efficacy analysis was exploratory. There were no physiological te</w:t>
      </w:r>
      <w:r w:rsidR="00A137AF">
        <w:t>sts of heart failure performed.</w:t>
      </w:r>
    </w:p>
    <w:p w14:paraId="308D1E37" w14:textId="6F4C0AD7" w:rsidR="007F3B75" w:rsidRDefault="007F3B75" w:rsidP="007F3B75">
      <w:r w:rsidRPr="007F3B75">
        <w:t>Only patients with HbA1c &gt;</w:t>
      </w:r>
      <w:r w:rsidR="00B776E3">
        <w:t xml:space="preserve"> 7% (that is, </w:t>
      </w:r>
      <w:r w:rsidRPr="007F3B75">
        <w:t xml:space="preserve">above target) were recruited, but at </w:t>
      </w:r>
      <w:r w:rsidR="00B776E3">
        <w:t xml:space="preserve">Baseline, </w:t>
      </w:r>
      <w:r w:rsidRPr="007F3B75">
        <w:t>6% had HbA1c &lt; 7%. The outcome in these patients was similar to the entire cohort.</w:t>
      </w:r>
      <w:r w:rsidR="009D54E9">
        <w:t xml:space="preserve"> </w:t>
      </w:r>
      <w:r w:rsidR="009D54E9" w:rsidRPr="009D54E9">
        <w:t>Cardiovascular event rate according to baseline HbA1c</w:t>
      </w:r>
      <w:r w:rsidR="009D54E9">
        <w:t xml:space="preserve"> is shown below in Figure 1.</w:t>
      </w:r>
    </w:p>
    <w:p w14:paraId="05DE9CAF" w14:textId="7FCDEB9B" w:rsidR="00B776E3" w:rsidRPr="007F3B75" w:rsidRDefault="005C1321" w:rsidP="005C1321">
      <w:pPr>
        <w:pStyle w:val="FigureTitle"/>
      </w:pPr>
      <w:proofErr w:type="gramStart"/>
      <w:r>
        <w:t>Figure 1</w:t>
      </w:r>
      <w:r w:rsidR="00B776E3">
        <w:t>.</w:t>
      </w:r>
      <w:proofErr w:type="gramEnd"/>
      <w:r w:rsidR="00B776E3">
        <w:t xml:space="preserve"> Cardiova</w:t>
      </w:r>
      <w:r>
        <w:t>scular event rate according to b</w:t>
      </w:r>
      <w:r w:rsidR="00B776E3">
        <w:t>aseline HbA1c</w:t>
      </w:r>
    </w:p>
    <w:p w14:paraId="30CCEACA" w14:textId="77777777" w:rsidR="007F3B75" w:rsidRPr="007F3B75" w:rsidRDefault="007F3B75" w:rsidP="007F3B75">
      <w:r w:rsidRPr="007F3B75">
        <w:rPr>
          <w:noProof/>
          <w:lang w:eastAsia="en-AU"/>
        </w:rPr>
        <w:drawing>
          <wp:inline distT="0" distB="0" distL="0" distR="0" wp14:anchorId="6B99E0DB" wp14:editId="34586B77">
            <wp:extent cx="4470324" cy="2828925"/>
            <wp:effectExtent l="0" t="0" r="6985" b="0"/>
            <wp:docPr id="10" name="Picture 10" descr="Figure 1 is a image showing the cardiovascular event rate according to baseline HbA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lum bright="-20000" contrast="40000"/>
                      <a:extLst>
                        <a:ext uri="{28A0092B-C50C-407E-A947-70E740481C1C}">
                          <a14:useLocalDpi xmlns:a14="http://schemas.microsoft.com/office/drawing/2010/main" val="0"/>
                        </a:ext>
                      </a:extLst>
                    </a:blip>
                    <a:srcRect l="5138" r="4147" b="12246"/>
                    <a:stretch/>
                  </pic:blipFill>
                  <pic:spPr bwMode="auto">
                    <a:xfrm>
                      <a:off x="0" y="0"/>
                      <a:ext cx="4483376" cy="2837185"/>
                    </a:xfrm>
                    <a:prstGeom prst="rect">
                      <a:avLst/>
                    </a:prstGeom>
                    <a:noFill/>
                    <a:ln>
                      <a:noFill/>
                    </a:ln>
                    <a:extLst>
                      <a:ext uri="{53640926-AAD7-44D8-BBD7-CCE9431645EC}">
                        <a14:shadowObscured xmlns:a14="http://schemas.microsoft.com/office/drawing/2010/main"/>
                      </a:ext>
                    </a:extLst>
                  </pic:spPr>
                </pic:pic>
              </a:graphicData>
            </a:graphic>
          </wp:inline>
        </w:drawing>
      </w:r>
    </w:p>
    <w:p w14:paraId="405813CF" w14:textId="41625D4F" w:rsidR="007F3B75" w:rsidRDefault="00594CCB" w:rsidP="007F3B75">
      <w:r>
        <w:lastRenderedPageBreak/>
        <w:t>There was</w:t>
      </w:r>
      <w:r w:rsidR="007F3B75" w:rsidRPr="007F3B75">
        <w:t xml:space="preserve"> a significant </w:t>
      </w:r>
      <w:r w:rsidR="00F516EA">
        <w:t xml:space="preserve">reduction in </w:t>
      </w:r>
      <w:r w:rsidR="00F516EA">
        <w:rPr>
          <w:lang w:eastAsia="ja-JP"/>
        </w:rPr>
        <w:t>cardiovascular</w:t>
      </w:r>
      <w:r w:rsidR="009D54E9">
        <w:t xml:space="preserve"> deaths, as shown below in Table </w:t>
      </w:r>
      <w:r w:rsidR="005B0626">
        <w:t>6</w:t>
      </w:r>
      <w:r w:rsidR="009D54E9">
        <w:t>.</w:t>
      </w:r>
    </w:p>
    <w:p w14:paraId="79332422" w14:textId="75A26F6C" w:rsidR="00913F02" w:rsidRPr="007F3B75" w:rsidRDefault="00B41FA5" w:rsidP="00913F02">
      <w:pPr>
        <w:pStyle w:val="TableTitle"/>
      </w:pPr>
      <w:proofErr w:type="gramStart"/>
      <w:r>
        <w:t xml:space="preserve">Table </w:t>
      </w:r>
      <w:r w:rsidR="005B0626">
        <w:t>6</w:t>
      </w:r>
      <w:r w:rsidR="00913F02">
        <w:t>.</w:t>
      </w:r>
      <w:proofErr w:type="gramEnd"/>
      <w:r w:rsidR="00913F02">
        <w:t xml:space="preserve"> Patie</w:t>
      </w:r>
      <w:r w:rsidR="00A55718">
        <w:t xml:space="preserve">nts (N (%)) with adjudicated </w:t>
      </w:r>
      <w:r w:rsidR="00A55718" w:rsidRPr="00A55718">
        <w:t xml:space="preserve">cardiovascular </w:t>
      </w:r>
      <w:r w:rsidR="00913F02">
        <w:t>death by subcategory</w:t>
      </w:r>
    </w:p>
    <w:p w14:paraId="0DFCD088" w14:textId="77777777" w:rsidR="007F3B75" w:rsidRPr="007F3B75" w:rsidRDefault="007F3B75" w:rsidP="007F3B75">
      <w:pPr>
        <w:rPr>
          <w:b/>
        </w:rPr>
      </w:pPr>
      <w:r w:rsidRPr="007F3B75">
        <w:rPr>
          <w:b/>
          <w:noProof/>
          <w:lang w:eastAsia="en-AU"/>
        </w:rPr>
        <w:drawing>
          <wp:inline distT="0" distB="0" distL="0" distR="0" wp14:anchorId="79880B50" wp14:editId="1BEE89D7">
            <wp:extent cx="4719781" cy="1847215"/>
            <wp:effectExtent l="0" t="0" r="5080" b="635"/>
            <wp:docPr id="14" name="Picture 14" descr="Table 6.is an image showing the Patients (N (%)) with adjudicated cardiovascular death by sub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lum bright="-20000" contrast="40000"/>
                      <a:extLst>
                        <a:ext uri="{28A0092B-C50C-407E-A947-70E740481C1C}">
                          <a14:useLocalDpi xmlns:a14="http://schemas.microsoft.com/office/drawing/2010/main" val="0"/>
                        </a:ext>
                      </a:extLst>
                    </a:blip>
                    <a:srcRect l="5284" t="13119" r="4688" b="7369"/>
                    <a:stretch/>
                  </pic:blipFill>
                  <pic:spPr bwMode="auto">
                    <a:xfrm>
                      <a:off x="0" y="0"/>
                      <a:ext cx="4728105" cy="1850473"/>
                    </a:xfrm>
                    <a:prstGeom prst="rect">
                      <a:avLst/>
                    </a:prstGeom>
                    <a:noFill/>
                    <a:ln>
                      <a:noFill/>
                    </a:ln>
                    <a:extLst>
                      <a:ext uri="{53640926-AAD7-44D8-BBD7-CCE9431645EC}">
                        <a14:shadowObscured xmlns:a14="http://schemas.microsoft.com/office/drawing/2010/main"/>
                      </a:ext>
                    </a:extLst>
                  </pic:spPr>
                </pic:pic>
              </a:graphicData>
            </a:graphic>
          </wp:inline>
        </w:drawing>
      </w:r>
    </w:p>
    <w:p w14:paraId="1595CA86" w14:textId="35FC84D8" w:rsidR="007F3B75" w:rsidRDefault="007F3B75" w:rsidP="007F3B75">
      <w:r w:rsidRPr="007F3B75">
        <w:t xml:space="preserve">The risk of stroke was numerically but not statistically </w:t>
      </w:r>
      <w:r w:rsidR="00913F02">
        <w:t>significantly greater in the</w:t>
      </w:r>
      <w:r w:rsidR="00F55059">
        <w:t xml:space="preserve"> empagliflozin</w:t>
      </w:r>
      <w:r w:rsidRPr="007F3B75">
        <w:t xml:space="preserve"> group</w:t>
      </w:r>
      <w:r w:rsidR="005238EA">
        <w:t xml:space="preserve">; </w:t>
      </w:r>
      <w:r w:rsidR="009D54E9">
        <w:t>data is shown below in Figure 2</w:t>
      </w:r>
      <w:r w:rsidRPr="007F3B75">
        <w:t>. The risk of stroke did not correlate with risk of markers of volume depletion (haematocrit, BP). However, overall during the study there was an increase in haemato</w:t>
      </w:r>
      <w:r w:rsidR="00913F02">
        <w:t>crit and decrease in BP in the</w:t>
      </w:r>
      <w:r w:rsidR="00F55059">
        <w:t xml:space="preserve"> empagliflozin</w:t>
      </w:r>
      <w:r w:rsidRPr="007F3B75">
        <w:t xml:space="preserve"> treatment group. Mild volume depletion and dehydration, particularly when chronic, may be hard to detect in the elderly and may be associated with a range of hormonal, haemodynamic and other compensatory mechanisms.</w:t>
      </w:r>
    </w:p>
    <w:p w14:paraId="3E3AF5FA" w14:textId="6956FAAB" w:rsidR="00913F02" w:rsidRPr="00913F02" w:rsidRDefault="005F2C8D" w:rsidP="00982750">
      <w:pPr>
        <w:pStyle w:val="FigureTitle"/>
      </w:pPr>
      <w:proofErr w:type="gramStart"/>
      <w:r>
        <w:t xml:space="preserve">Figure </w:t>
      </w:r>
      <w:r w:rsidR="00982750">
        <w:t>2</w:t>
      </w:r>
      <w:r w:rsidR="00913F02" w:rsidRPr="00913F02">
        <w:t>.</w:t>
      </w:r>
      <w:proofErr w:type="gramEnd"/>
      <w:r w:rsidR="00913F02" w:rsidRPr="00913F02">
        <w:t xml:space="preserve"> Sensitivity analyses for stroke (fatal/non-fatal), all</w:t>
      </w:r>
      <w:r w:rsidR="00F55059">
        <w:t xml:space="preserve"> empagliflozin</w:t>
      </w:r>
      <w:r w:rsidR="00913F02" w:rsidRPr="00913F02">
        <w:t xml:space="preserve"> versus placebo</w:t>
      </w:r>
    </w:p>
    <w:p w14:paraId="2E873B2A" w14:textId="77777777" w:rsidR="007F3B75" w:rsidRPr="007F3B75" w:rsidRDefault="007F3B75" w:rsidP="007F3B75">
      <w:pPr>
        <w:rPr>
          <w:b/>
        </w:rPr>
      </w:pPr>
      <w:r w:rsidRPr="007F3B75">
        <w:rPr>
          <w:b/>
          <w:noProof/>
          <w:lang w:eastAsia="en-AU"/>
        </w:rPr>
        <w:drawing>
          <wp:inline distT="0" distB="0" distL="0" distR="0" wp14:anchorId="3A74A558" wp14:editId="03F49EBB">
            <wp:extent cx="4223982" cy="2083628"/>
            <wp:effectExtent l="0" t="0" r="5715" b="0"/>
            <wp:docPr id="16" name="Picture 16" descr="Figure 2 is showing the sensitivity analyses for stroke (fatal/non-fatal), all empagliflozin versus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251" t="1850" r="6221" b="15711"/>
                    <a:stretch/>
                  </pic:blipFill>
                  <pic:spPr bwMode="auto">
                    <a:xfrm>
                      <a:off x="0" y="0"/>
                      <a:ext cx="4227862" cy="2085542"/>
                    </a:xfrm>
                    <a:prstGeom prst="rect">
                      <a:avLst/>
                    </a:prstGeom>
                    <a:noFill/>
                    <a:ln>
                      <a:noFill/>
                    </a:ln>
                    <a:extLst>
                      <a:ext uri="{53640926-AAD7-44D8-BBD7-CCE9431645EC}">
                        <a14:shadowObscured xmlns:a14="http://schemas.microsoft.com/office/drawing/2010/main"/>
                      </a:ext>
                    </a:extLst>
                  </pic:spPr>
                </pic:pic>
              </a:graphicData>
            </a:graphic>
          </wp:inline>
        </w:drawing>
      </w:r>
    </w:p>
    <w:p w14:paraId="63636C68" w14:textId="3F889B0D" w:rsidR="007F3B75" w:rsidRPr="007F3B75" w:rsidRDefault="007F3B75" w:rsidP="00913F02">
      <w:pPr>
        <w:pStyle w:val="Heading4"/>
      </w:pPr>
      <w:r w:rsidRPr="007F3B75">
        <w:t>Justific</w:t>
      </w:r>
      <w:r w:rsidR="00594CCB">
        <w:t>ation for a separate indication</w:t>
      </w:r>
    </w:p>
    <w:p w14:paraId="258532D5" w14:textId="3EC98215" w:rsidR="00913F02" w:rsidRDefault="007F3B75" w:rsidP="007F3B75">
      <w:r w:rsidRPr="007F3B75">
        <w:t>The sponsor has justified the use of</w:t>
      </w:r>
      <w:r w:rsidR="00F55059">
        <w:t xml:space="preserve"> empagliflozin</w:t>
      </w:r>
      <w:r w:rsidR="00913F02">
        <w:t xml:space="preserve"> as a separate indication as:</w:t>
      </w:r>
    </w:p>
    <w:p w14:paraId="792CD61F" w14:textId="77777777" w:rsidR="00913F02" w:rsidRDefault="007F3B75" w:rsidP="006513E6">
      <w:pPr>
        <w:pStyle w:val="Numberbullet0"/>
        <w:numPr>
          <w:ilvl w:val="0"/>
          <w:numId w:val="12"/>
        </w:numPr>
      </w:pPr>
      <w:r w:rsidRPr="007F3B75">
        <w:t>there is no clear association between glucose lowering a</w:t>
      </w:r>
      <w:r w:rsidR="00913F02">
        <w:t>nd cardiovascular protection</w:t>
      </w:r>
    </w:p>
    <w:p w14:paraId="303CD6F3" w14:textId="77777777" w:rsidR="00913F02" w:rsidRDefault="007F3B75" w:rsidP="00913F02">
      <w:pPr>
        <w:pStyle w:val="Numberbullet0"/>
      </w:pPr>
      <w:r w:rsidRPr="007F3B75">
        <w:t>the reduction in mortality cannot be fully explained by th</w:t>
      </w:r>
      <w:r w:rsidR="00913F02">
        <w:t>e improved glycaemic control</w:t>
      </w:r>
    </w:p>
    <w:p w14:paraId="133CE9DF" w14:textId="77777777" w:rsidR="007F2E71" w:rsidRDefault="007F3B75" w:rsidP="00C674D8">
      <w:pPr>
        <w:pStyle w:val="Numberbullet0"/>
      </w:pPr>
      <w:proofErr w:type="gramStart"/>
      <w:r w:rsidRPr="007F3B75">
        <w:t>the</w:t>
      </w:r>
      <w:proofErr w:type="gramEnd"/>
      <w:r w:rsidRPr="007F3B75">
        <w:t xml:space="preserve"> reduction in risk occurred early (within 90 days) of the start of the trial.</w:t>
      </w:r>
    </w:p>
    <w:p w14:paraId="3550AFCD" w14:textId="5A7A0EC6" w:rsidR="007F3B75" w:rsidRPr="00913F02" w:rsidRDefault="00913F02" w:rsidP="00BF4B3D">
      <w:r>
        <w:t>This is reasonable.</w:t>
      </w:r>
    </w:p>
    <w:p w14:paraId="73750949" w14:textId="77777777" w:rsidR="007F3B75" w:rsidRPr="007F3B75" w:rsidRDefault="007F3B75" w:rsidP="00913F02">
      <w:pPr>
        <w:pStyle w:val="Heading4"/>
      </w:pPr>
      <w:r w:rsidRPr="007F3B75">
        <w:t>Justification for indications</w:t>
      </w:r>
    </w:p>
    <w:p w14:paraId="452C3594" w14:textId="43B715C8" w:rsidR="007F3B75" w:rsidRPr="00913F02" w:rsidRDefault="007F3B75" w:rsidP="007F3B75">
      <w:r w:rsidRPr="007F3B75">
        <w:t>The sponsor has proposed</w:t>
      </w:r>
      <w:r w:rsidR="00913F02">
        <w:t xml:space="preserve"> the indication prevention of cardiovascular</w:t>
      </w:r>
      <w:r w:rsidRPr="007F3B75">
        <w:t xml:space="preserve"> death as this was the only statistically significant component of the 3-point MACE endpoint that was </w:t>
      </w:r>
      <w:r w:rsidRPr="007F3B75">
        <w:lastRenderedPageBreak/>
        <w:t>significant. In addition</w:t>
      </w:r>
      <w:r w:rsidR="00982750">
        <w:t>,</w:t>
      </w:r>
      <w:r w:rsidRPr="007F3B75">
        <w:t xml:space="preserve"> it was considered to be a reliable, non-biased an</w:t>
      </w:r>
      <w:r w:rsidR="00913F02">
        <w:t>d clinically relevant endpoint.</w:t>
      </w:r>
    </w:p>
    <w:p w14:paraId="4C104A67" w14:textId="41C76274" w:rsidR="007F3B75" w:rsidRPr="007F3B75" w:rsidRDefault="00913F02" w:rsidP="00982750">
      <w:pPr>
        <w:pStyle w:val="Heading4"/>
      </w:pPr>
      <w:r>
        <w:t>Use in renal failure</w:t>
      </w:r>
    </w:p>
    <w:p w14:paraId="1D76EAF4" w14:textId="5D7E1356" w:rsidR="007F3B75" w:rsidRPr="00913F02" w:rsidRDefault="007F3B75" w:rsidP="007F3B75">
      <w:r w:rsidRPr="007F3B75">
        <w:t>The data from clinical trials would suggest that the glucose lowering effect of</w:t>
      </w:r>
      <w:r w:rsidR="00F55059">
        <w:t xml:space="preserve"> empagliflozin</w:t>
      </w:r>
      <w:r w:rsidRPr="007F3B75">
        <w:t xml:space="preserve"> in patients with a reduced GFR is lower than in patients with normal renal function. This is presumably due to less glycosuria.</w:t>
      </w:r>
    </w:p>
    <w:p w14:paraId="4ECA2319" w14:textId="7AFE1106" w:rsidR="007F3B75" w:rsidRPr="007F3B75" w:rsidRDefault="007F3B75" w:rsidP="007F3B75">
      <w:r w:rsidRPr="007F3B75">
        <w:t>However patients with renal impairment seem to have similar benefits in term</w:t>
      </w:r>
      <w:r w:rsidR="00913F02">
        <w:t>s of cardiovascular protection.</w:t>
      </w:r>
    </w:p>
    <w:p w14:paraId="1AE3F2F6" w14:textId="73996643" w:rsidR="007F3B75" w:rsidRPr="00982750" w:rsidRDefault="007F3B75" w:rsidP="00982750">
      <w:pPr>
        <w:rPr>
          <w:lang w:val="en-GB"/>
        </w:rPr>
      </w:pPr>
      <w:r w:rsidRPr="007F3B75">
        <w:t>The</w:t>
      </w:r>
      <w:r w:rsidR="00F55059">
        <w:t xml:space="preserve"> empagliflozin</w:t>
      </w:r>
      <w:r w:rsidRPr="007F3B75">
        <w:t xml:space="preserve"> groups displayed an initial drop in eGFR th</w:t>
      </w:r>
      <w:r w:rsidR="00A62D8D">
        <w:t>at was fully reversible 30 </w:t>
      </w:r>
      <w:r w:rsidRPr="007F3B75">
        <w:t xml:space="preserve">days after treatment discontinuation, even after </w:t>
      </w:r>
      <w:proofErr w:type="gramStart"/>
      <w:r w:rsidRPr="007F3B75">
        <w:t>a median</w:t>
      </w:r>
      <w:proofErr w:type="gramEnd"/>
      <w:r w:rsidRPr="007F3B75">
        <w:t xml:space="preserve"> treatment duration of 2.6 years</w:t>
      </w:r>
      <w:r w:rsidR="009D54E9">
        <w:t>, as shown below in Figure 3</w:t>
      </w:r>
      <w:r w:rsidRPr="007F3B75">
        <w:t xml:space="preserve">. The placebo group in contrast showed a steady decrease in eGFR indicative of natural disease progression. The analysis of </w:t>
      </w:r>
      <w:r w:rsidR="00982750">
        <w:rPr>
          <w:lang w:val="en-GB"/>
        </w:rPr>
        <w:t>urine albumin to creatinine r</w:t>
      </w:r>
      <w:r w:rsidR="00982750" w:rsidRPr="00982750">
        <w:rPr>
          <w:lang w:val="en-GB"/>
        </w:rPr>
        <w:t>atio</w:t>
      </w:r>
      <w:r w:rsidR="00982750">
        <w:rPr>
          <w:lang w:val="en-GB"/>
        </w:rPr>
        <w:t xml:space="preserve"> (</w:t>
      </w:r>
      <w:r w:rsidRPr="007F3B75">
        <w:t>UACR</w:t>
      </w:r>
      <w:r w:rsidR="00982750">
        <w:t>)</w:t>
      </w:r>
      <w:r w:rsidRPr="007F3B75">
        <w:t xml:space="preserve"> values over time showed a reduction in both</w:t>
      </w:r>
      <w:r w:rsidR="00F55059">
        <w:t xml:space="preserve"> empagliflozin</w:t>
      </w:r>
      <w:r w:rsidRPr="007F3B75">
        <w:t xml:space="preserve"> groups compared with placebo over time in patients with abnormally high baseline UACR (≥</w:t>
      </w:r>
      <w:r w:rsidR="00A62D8D">
        <w:t xml:space="preserve"> </w:t>
      </w:r>
      <w:r w:rsidRPr="007F3B75">
        <w:t>30 mg/g)</w:t>
      </w:r>
      <w:r w:rsidR="009D54E9">
        <w:t>, as shown below in Figure 4</w:t>
      </w:r>
      <w:r w:rsidR="005726DA">
        <w:t xml:space="preserve"> and Table </w:t>
      </w:r>
      <w:r w:rsidR="005B0626">
        <w:t>7</w:t>
      </w:r>
      <w:r w:rsidRPr="007F3B75">
        <w:t>.</w:t>
      </w:r>
    </w:p>
    <w:p w14:paraId="50701141" w14:textId="5947C0C4" w:rsidR="007F3B75" w:rsidRPr="007F3B75" w:rsidRDefault="007F3B75" w:rsidP="007F3B75">
      <w:r w:rsidRPr="007F3B75">
        <w:t>The reversible early change in eGFR observed with</w:t>
      </w:r>
      <w:r w:rsidR="00F55059">
        <w:t xml:space="preserve"> empagliflozin</w:t>
      </w:r>
      <w:r w:rsidRPr="007F3B75">
        <w:t xml:space="preserve"> is likely to be h</w:t>
      </w:r>
      <w:r w:rsidR="00982750">
        <w:t>a</w:t>
      </w:r>
      <w:r w:rsidRPr="007F3B75">
        <w:t>emodynamic in nature and not a resu</w:t>
      </w:r>
      <w:r w:rsidR="00A62D8D">
        <w:t>lt of structural kidney damage.</w:t>
      </w:r>
    </w:p>
    <w:p w14:paraId="7652D323" w14:textId="5B2AAD9F" w:rsidR="007F3B75" w:rsidRPr="00A62D8D" w:rsidRDefault="00A62D8D" w:rsidP="00594CCB">
      <w:pPr>
        <w:pStyle w:val="FigureTitle"/>
      </w:pPr>
      <w:proofErr w:type="gramStart"/>
      <w:r>
        <w:t>Figure</w:t>
      </w:r>
      <w:r w:rsidR="00982750">
        <w:t xml:space="preserve"> 3</w:t>
      </w:r>
      <w:r>
        <w:t>.</w:t>
      </w:r>
      <w:proofErr w:type="gramEnd"/>
      <w:r>
        <w:t xml:space="preserve"> </w:t>
      </w:r>
      <w:proofErr w:type="gramStart"/>
      <w:r>
        <w:t>eGFR</w:t>
      </w:r>
      <w:proofErr w:type="gramEnd"/>
      <w:r>
        <w:t xml:space="preserve"> (mL/min/1.7</w:t>
      </w:r>
      <w:r w:rsidR="005E7273">
        <w:t>3</w:t>
      </w:r>
      <w:r w:rsidR="00594CCB">
        <w:t xml:space="preserve"> </w:t>
      </w:r>
      <w:r>
        <w:t>m</w:t>
      </w:r>
      <w:r>
        <w:rPr>
          <w:vertAlign w:val="superscript"/>
        </w:rPr>
        <w:t>2</w:t>
      </w:r>
      <w:r>
        <w:t>) MMRM results over time</w:t>
      </w:r>
    </w:p>
    <w:p w14:paraId="627ACE76" w14:textId="77777777" w:rsidR="007F3B75" w:rsidRDefault="007F3B75" w:rsidP="007F3B75">
      <w:pPr>
        <w:rPr>
          <w:b/>
        </w:rPr>
      </w:pPr>
      <w:r w:rsidRPr="007F3B75">
        <w:rPr>
          <w:b/>
          <w:noProof/>
          <w:lang w:eastAsia="en-AU"/>
        </w:rPr>
        <w:drawing>
          <wp:inline distT="0" distB="0" distL="0" distR="0" wp14:anchorId="6DCB3AF9" wp14:editId="15DFE285">
            <wp:extent cx="4636654" cy="2881365"/>
            <wp:effectExtent l="0" t="0" r="0" b="0"/>
            <wp:docPr id="27" name="Picture 27" descr="Figure 3 is a line graph showing the eGFR (mL/min/1.73 m2) MMRM result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819" r="7586" b="7659"/>
                    <a:stretch/>
                  </pic:blipFill>
                  <pic:spPr bwMode="auto">
                    <a:xfrm>
                      <a:off x="0" y="0"/>
                      <a:ext cx="4637922" cy="2882153"/>
                    </a:xfrm>
                    <a:prstGeom prst="rect">
                      <a:avLst/>
                    </a:prstGeom>
                    <a:noFill/>
                    <a:ln>
                      <a:noFill/>
                    </a:ln>
                    <a:extLst>
                      <a:ext uri="{53640926-AAD7-44D8-BBD7-CCE9431645EC}">
                        <a14:shadowObscured xmlns:a14="http://schemas.microsoft.com/office/drawing/2010/main"/>
                      </a:ext>
                    </a:extLst>
                  </pic:spPr>
                </pic:pic>
              </a:graphicData>
            </a:graphic>
          </wp:inline>
        </w:drawing>
      </w:r>
    </w:p>
    <w:p w14:paraId="4428AA5C" w14:textId="5924F891" w:rsidR="00A62D8D" w:rsidRPr="007F3B75" w:rsidRDefault="00A62D8D" w:rsidP="00594CCB">
      <w:pPr>
        <w:pStyle w:val="FigureTitle"/>
      </w:pPr>
      <w:proofErr w:type="gramStart"/>
      <w:r>
        <w:lastRenderedPageBreak/>
        <w:t>Figure</w:t>
      </w:r>
      <w:r w:rsidR="005F2C8D">
        <w:t xml:space="preserve"> 4</w:t>
      </w:r>
      <w:r>
        <w:t>.</w:t>
      </w:r>
      <w:proofErr w:type="gramEnd"/>
      <w:r>
        <w:t xml:space="preserve"> UACR (mg/g) MMRM results over time</w:t>
      </w:r>
    </w:p>
    <w:p w14:paraId="1C4F82AD" w14:textId="77777777" w:rsidR="007F3B75" w:rsidRDefault="007F3B75" w:rsidP="007F3B75">
      <w:pPr>
        <w:rPr>
          <w:b/>
        </w:rPr>
      </w:pPr>
      <w:r w:rsidRPr="007F3B75">
        <w:rPr>
          <w:b/>
          <w:noProof/>
          <w:lang w:eastAsia="en-AU"/>
        </w:rPr>
        <w:drawing>
          <wp:inline distT="0" distB="0" distL="0" distR="0" wp14:anchorId="78D7FD54" wp14:editId="12D7F2A1">
            <wp:extent cx="4905194" cy="2848368"/>
            <wp:effectExtent l="0" t="0" r="0" b="9525"/>
            <wp:docPr id="26" name="Picture 26" descr="Figure 4 is a line graph showing the UACR (mg/g) MMRM result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lum bright="-20000" contrast="40000"/>
                      <a:extLst>
                        <a:ext uri="{28A0092B-C50C-407E-A947-70E740481C1C}">
                          <a14:useLocalDpi xmlns:a14="http://schemas.microsoft.com/office/drawing/2010/main" val="0"/>
                        </a:ext>
                      </a:extLst>
                    </a:blip>
                    <a:srcRect l="6957" t="768" r="2170" b="9882"/>
                    <a:stretch/>
                  </pic:blipFill>
                  <pic:spPr bwMode="auto">
                    <a:xfrm>
                      <a:off x="0" y="0"/>
                      <a:ext cx="4907216" cy="2849542"/>
                    </a:xfrm>
                    <a:prstGeom prst="rect">
                      <a:avLst/>
                    </a:prstGeom>
                    <a:noFill/>
                    <a:ln>
                      <a:noFill/>
                    </a:ln>
                    <a:extLst>
                      <a:ext uri="{53640926-AAD7-44D8-BBD7-CCE9431645EC}">
                        <a14:shadowObscured xmlns:a14="http://schemas.microsoft.com/office/drawing/2010/main"/>
                      </a:ext>
                    </a:extLst>
                  </pic:spPr>
                </pic:pic>
              </a:graphicData>
            </a:graphic>
          </wp:inline>
        </w:drawing>
      </w:r>
    </w:p>
    <w:p w14:paraId="47C188E0" w14:textId="5EF5050F" w:rsidR="00A62D8D" w:rsidRPr="007F3B75" w:rsidRDefault="00A62D8D" w:rsidP="00A62D8D">
      <w:pPr>
        <w:pStyle w:val="TableTitle"/>
      </w:pPr>
      <w:proofErr w:type="gramStart"/>
      <w:r>
        <w:t>Table</w:t>
      </w:r>
      <w:r w:rsidR="00B41FA5">
        <w:t xml:space="preserve"> </w:t>
      </w:r>
      <w:r w:rsidR="005B0626">
        <w:t>7</w:t>
      </w:r>
      <w:r>
        <w:t>.</w:t>
      </w:r>
      <w:proofErr w:type="gramEnd"/>
      <w:r>
        <w:t xml:space="preserve"> Nephropathy endpoints and reversibility of albuminaemia (Cox regression)</w:t>
      </w:r>
    </w:p>
    <w:p w14:paraId="3154D95A" w14:textId="77777777" w:rsidR="007F3B75" w:rsidRDefault="007F3B75" w:rsidP="007F3B75">
      <w:pPr>
        <w:rPr>
          <w:b/>
        </w:rPr>
      </w:pPr>
      <w:r w:rsidRPr="007F3B75">
        <w:rPr>
          <w:b/>
          <w:noProof/>
          <w:lang w:eastAsia="en-AU"/>
        </w:rPr>
        <w:drawing>
          <wp:inline distT="0" distB="0" distL="0" distR="0" wp14:anchorId="582AFDA1" wp14:editId="0B5FDBE5">
            <wp:extent cx="4249587" cy="3807725"/>
            <wp:effectExtent l="0" t="0" r="0" b="2540"/>
            <wp:docPr id="28" name="Picture 28" descr="Table 7 is showing the Nephropathy endpoints and reversibility of albuminaemia (Cox re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976" t="5154" r="7159" b="7210"/>
                    <a:stretch/>
                  </pic:blipFill>
                  <pic:spPr bwMode="auto">
                    <a:xfrm>
                      <a:off x="0" y="0"/>
                      <a:ext cx="4256141" cy="3813598"/>
                    </a:xfrm>
                    <a:prstGeom prst="rect">
                      <a:avLst/>
                    </a:prstGeom>
                    <a:noFill/>
                    <a:ln>
                      <a:noFill/>
                    </a:ln>
                    <a:extLst>
                      <a:ext uri="{53640926-AAD7-44D8-BBD7-CCE9431645EC}">
                        <a14:shadowObscured xmlns:a14="http://schemas.microsoft.com/office/drawing/2010/main"/>
                      </a:ext>
                    </a:extLst>
                  </pic:spPr>
                </pic:pic>
              </a:graphicData>
            </a:graphic>
          </wp:inline>
        </w:drawing>
      </w:r>
    </w:p>
    <w:p w14:paraId="213BDB35" w14:textId="0CEFDCF7" w:rsidR="00A62D8D" w:rsidRPr="007F3B75" w:rsidRDefault="005F2C8D" w:rsidP="00F55059">
      <w:pPr>
        <w:pStyle w:val="FigureTitle"/>
      </w:pPr>
      <w:proofErr w:type="gramStart"/>
      <w:r>
        <w:lastRenderedPageBreak/>
        <w:t>Figure 5</w:t>
      </w:r>
      <w:r w:rsidR="00A62D8D">
        <w:t>.</w:t>
      </w:r>
      <w:proofErr w:type="gramEnd"/>
      <w:r w:rsidR="00A62D8D">
        <w:t xml:space="preserve"> Forest plots of Cox regression of time to first event by CKD status for selected endpoints, all</w:t>
      </w:r>
      <w:r w:rsidR="00F55059">
        <w:t xml:space="preserve"> empagliflozin</w:t>
      </w:r>
      <w:r w:rsidR="00A62D8D">
        <w:t xml:space="preserve"> versus placebo</w:t>
      </w:r>
    </w:p>
    <w:p w14:paraId="1FFCDE77" w14:textId="1055450B" w:rsidR="007F3B75" w:rsidRDefault="007F3B75" w:rsidP="007F3B75">
      <w:pPr>
        <w:rPr>
          <w:b/>
        </w:rPr>
      </w:pPr>
      <w:r w:rsidRPr="007F3B75">
        <w:rPr>
          <w:noProof/>
          <w:lang w:eastAsia="en-AU"/>
        </w:rPr>
        <w:drawing>
          <wp:inline distT="0" distB="0" distL="0" distR="0" wp14:anchorId="303BE786" wp14:editId="1E696F40">
            <wp:extent cx="3500652" cy="3787254"/>
            <wp:effectExtent l="0" t="0" r="5080" b="3810"/>
            <wp:docPr id="15" name="Picture 15" descr="Figure 5 is showing the forest plots of Cox regression of time to first event by CKD status for selected endpoints, all empagliflozin versus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cstate="print">
                      <a:lum bright="-20000" contrast="40000"/>
                      <a:extLst>
                        <a:ext uri="{28A0092B-C50C-407E-A947-70E740481C1C}">
                          <a14:useLocalDpi xmlns:a14="http://schemas.microsoft.com/office/drawing/2010/main" val="0"/>
                        </a:ext>
                      </a:extLst>
                    </a:blip>
                    <a:srcRect l="5809" r="5882" b="8189"/>
                    <a:stretch/>
                  </pic:blipFill>
                  <pic:spPr bwMode="auto">
                    <a:xfrm>
                      <a:off x="0" y="0"/>
                      <a:ext cx="3507258" cy="3794401"/>
                    </a:xfrm>
                    <a:prstGeom prst="rect">
                      <a:avLst/>
                    </a:prstGeom>
                    <a:noFill/>
                    <a:ln>
                      <a:noFill/>
                    </a:ln>
                    <a:extLst>
                      <a:ext uri="{53640926-AAD7-44D8-BBD7-CCE9431645EC}">
                        <a14:shadowObscured xmlns:a14="http://schemas.microsoft.com/office/drawing/2010/main"/>
                      </a:ext>
                    </a:extLst>
                  </pic:spPr>
                </pic:pic>
              </a:graphicData>
            </a:graphic>
          </wp:inline>
        </w:drawing>
      </w:r>
    </w:p>
    <w:p w14:paraId="2377A210" w14:textId="7D9923DA" w:rsidR="007F3B75" w:rsidRDefault="007F3B75" w:rsidP="007F3B75">
      <w:r w:rsidRPr="007F3B75">
        <w:t xml:space="preserve">There was a decrease in both </w:t>
      </w:r>
      <w:r w:rsidR="005F2C8D">
        <w:t>SBP</w:t>
      </w:r>
      <w:r w:rsidRPr="007F3B75">
        <w:t xml:space="preserve"> and </w:t>
      </w:r>
      <w:r w:rsidR="005F2C8D">
        <w:t>D</w:t>
      </w:r>
      <w:r w:rsidRPr="007F3B75">
        <w:t>BP with</w:t>
      </w:r>
      <w:r w:rsidR="00F55059">
        <w:t xml:space="preserve"> empagliflozin</w:t>
      </w:r>
      <w:r w:rsidRPr="007F3B75">
        <w:t xml:space="preserve">, followed by a slow increase in </w:t>
      </w:r>
      <w:r w:rsidR="005F2C8D">
        <w:t>S</w:t>
      </w:r>
      <w:r w:rsidRPr="007F3B75">
        <w:t xml:space="preserve">BP and a stability of decrease in </w:t>
      </w:r>
      <w:r w:rsidR="005F2C8D">
        <w:t>D</w:t>
      </w:r>
      <w:r w:rsidRPr="007F3B75">
        <w:t>BP</w:t>
      </w:r>
      <w:r w:rsidR="005726DA">
        <w:t>, as shown below in Figures 6 and 7</w:t>
      </w:r>
      <w:r w:rsidRPr="007F3B75">
        <w:t xml:space="preserve">. It is also noted that there was a decrease in </w:t>
      </w:r>
      <w:r w:rsidR="005F2C8D">
        <w:t>DBP in the placebo group</w:t>
      </w:r>
      <w:r w:rsidR="005238EA">
        <w:t>;</w:t>
      </w:r>
      <w:r w:rsidR="005238EA" w:rsidRPr="007F3B75">
        <w:t xml:space="preserve"> </w:t>
      </w:r>
      <w:r w:rsidRPr="007F3B75">
        <w:t>possible reasons include more BP medications or a physiological decrease with age.</w:t>
      </w:r>
    </w:p>
    <w:p w14:paraId="2153BDD9" w14:textId="431CC7E0" w:rsidR="00A62D8D" w:rsidRPr="007F3B75" w:rsidRDefault="005F2C8D" w:rsidP="000A7016">
      <w:pPr>
        <w:pStyle w:val="FigureTitle"/>
      </w:pPr>
      <w:proofErr w:type="gramStart"/>
      <w:r>
        <w:t>Figure 6</w:t>
      </w:r>
      <w:r w:rsidR="00A62D8D">
        <w:t>.</w:t>
      </w:r>
      <w:proofErr w:type="gramEnd"/>
      <w:r w:rsidR="00A62D8D">
        <w:t xml:space="preserve"> Adjusted mean SBP (mmHg) </w:t>
      </w:r>
      <w:r>
        <w:t xml:space="preserve">from Baseline </w:t>
      </w:r>
      <w:r w:rsidR="00A62D8D">
        <w:t>over time</w:t>
      </w:r>
    </w:p>
    <w:p w14:paraId="3326ADF7" w14:textId="77777777" w:rsidR="00A62D8D" w:rsidRDefault="007F3B75" w:rsidP="007F3B75">
      <w:pPr>
        <w:rPr>
          <w:b/>
        </w:rPr>
      </w:pPr>
      <w:r w:rsidRPr="007F3B75">
        <w:rPr>
          <w:b/>
          <w:noProof/>
          <w:lang w:eastAsia="en-AU"/>
        </w:rPr>
        <w:drawing>
          <wp:inline distT="0" distB="0" distL="0" distR="0" wp14:anchorId="4724A159" wp14:editId="6B2AE1AB">
            <wp:extent cx="4522892" cy="2480650"/>
            <wp:effectExtent l="0" t="0" r="0" b="0"/>
            <wp:docPr id="1" name="Picture 1" descr="Figure 6 is a line graph showing the adjusted mean SBP (mmHg) from Baselin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b="8146"/>
                    <a:stretch/>
                  </pic:blipFill>
                  <pic:spPr bwMode="auto">
                    <a:xfrm>
                      <a:off x="0" y="0"/>
                      <a:ext cx="4523853" cy="2481177"/>
                    </a:xfrm>
                    <a:prstGeom prst="rect">
                      <a:avLst/>
                    </a:prstGeom>
                    <a:noFill/>
                    <a:ln>
                      <a:noFill/>
                    </a:ln>
                    <a:extLst>
                      <a:ext uri="{53640926-AAD7-44D8-BBD7-CCE9431645EC}">
                        <a14:shadowObscured xmlns:a14="http://schemas.microsoft.com/office/drawing/2010/main"/>
                      </a:ext>
                    </a:extLst>
                  </pic:spPr>
                </pic:pic>
              </a:graphicData>
            </a:graphic>
          </wp:inline>
        </w:drawing>
      </w:r>
    </w:p>
    <w:p w14:paraId="1D0BEEFA" w14:textId="1B844A1A" w:rsidR="000A7016" w:rsidRDefault="000A7016" w:rsidP="000A7016">
      <w:pPr>
        <w:pStyle w:val="FigureDescription"/>
      </w:pPr>
      <w:r>
        <w:t>Note: MMRM (Treatment set)</w:t>
      </w:r>
    </w:p>
    <w:p w14:paraId="2A870ED8" w14:textId="6563DCDC" w:rsidR="00A62D8D" w:rsidRDefault="005F2C8D" w:rsidP="000A7016">
      <w:pPr>
        <w:pStyle w:val="FigureTitle"/>
      </w:pPr>
      <w:proofErr w:type="gramStart"/>
      <w:r>
        <w:lastRenderedPageBreak/>
        <w:t>Figure 7</w:t>
      </w:r>
      <w:r w:rsidR="00A62D8D">
        <w:t>.</w:t>
      </w:r>
      <w:proofErr w:type="gramEnd"/>
      <w:r w:rsidR="00A62D8D">
        <w:t xml:space="preserve"> Adjusted mean DBP (mmHg) from Baseline over time</w:t>
      </w:r>
    </w:p>
    <w:p w14:paraId="39FCCB16" w14:textId="0CD41536" w:rsidR="007F3B75" w:rsidRDefault="007F3B75" w:rsidP="007F3B75">
      <w:pPr>
        <w:rPr>
          <w:b/>
        </w:rPr>
      </w:pPr>
      <w:r w:rsidRPr="007F3B75">
        <w:rPr>
          <w:b/>
          <w:noProof/>
          <w:lang w:eastAsia="en-AU"/>
        </w:rPr>
        <w:drawing>
          <wp:inline distT="0" distB="0" distL="0" distR="0" wp14:anchorId="5B61EDA6" wp14:editId="421931E9">
            <wp:extent cx="3964675" cy="2563981"/>
            <wp:effectExtent l="0" t="0" r="0" b="8255"/>
            <wp:docPr id="23" name="Picture 23" descr="Figure 7 is a line graph showing the adjusted mean DBP (mmHg) from Baselin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lum bright="-20000" contrast="40000"/>
                      <a:extLst>
                        <a:ext uri="{28A0092B-C50C-407E-A947-70E740481C1C}">
                          <a14:useLocalDpi xmlns:a14="http://schemas.microsoft.com/office/drawing/2010/main" val="0"/>
                        </a:ext>
                      </a:extLst>
                    </a:blip>
                    <a:srcRect/>
                    <a:stretch>
                      <a:fillRect/>
                    </a:stretch>
                  </pic:blipFill>
                  <pic:spPr bwMode="auto">
                    <a:xfrm>
                      <a:off x="0" y="0"/>
                      <a:ext cx="3963850" cy="2563448"/>
                    </a:xfrm>
                    <a:prstGeom prst="rect">
                      <a:avLst/>
                    </a:prstGeom>
                    <a:noFill/>
                    <a:ln>
                      <a:noFill/>
                    </a:ln>
                  </pic:spPr>
                </pic:pic>
              </a:graphicData>
            </a:graphic>
          </wp:inline>
        </w:drawing>
      </w:r>
    </w:p>
    <w:p w14:paraId="6B349123" w14:textId="0D2DC00B" w:rsidR="000A7016" w:rsidRPr="000A7016" w:rsidRDefault="000A7016" w:rsidP="000A7016">
      <w:pPr>
        <w:pStyle w:val="FigureDescription"/>
      </w:pPr>
      <w:r>
        <w:t>Note: MMRM (Treatment set)</w:t>
      </w:r>
    </w:p>
    <w:p w14:paraId="22FAF22C" w14:textId="77777777" w:rsidR="007F3B75" w:rsidRPr="007F3B75" w:rsidRDefault="007F3B75" w:rsidP="00A62D8D">
      <w:pPr>
        <w:pStyle w:val="Heading3"/>
      </w:pPr>
      <w:bookmarkStart w:id="111" w:name="_Toc497906658"/>
      <w:r w:rsidRPr="007F3B75">
        <w:t>Safety</w:t>
      </w:r>
      <w:bookmarkEnd w:id="111"/>
    </w:p>
    <w:p w14:paraId="10293C35" w14:textId="78CFFFDD" w:rsidR="007F3B75" w:rsidRPr="007F3B75" w:rsidRDefault="007F3B75" w:rsidP="007F3B75">
      <w:r w:rsidRPr="007F3B75">
        <w:t xml:space="preserve">Overall, the safety profile was consistent with the </w:t>
      </w:r>
      <w:r w:rsidR="00975D12">
        <w:t>known safety profile of</w:t>
      </w:r>
      <w:r w:rsidR="00F55059">
        <w:t xml:space="preserve"> empagliflozin</w:t>
      </w:r>
      <w:r w:rsidR="005726DA">
        <w:t xml:space="preserve"> and can be seen in Table </w:t>
      </w:r>
      <w:r w:rsidR="005B0626">
        <w:t>8</w:t>
      </w:r>
      <w:r w:rsidR="005726DA">
        <w:t>, below</w:t>
      </w:r>
      <w:r w:rsidRPr="007F3B75">
        <w:t>.</w:t>
      </w:r>
    </w:p>
    <w:p w14:paraId="6872DEAE" w14:textId="53B2B2A4" w:rsidR="007F3B75" w:rsidRDefault="007F3B75" w:rsidP="007F3B75">
      <w:r w:rsidRPr="007F3B75">
        <w:t>Approx</w:t>
      </w:r>
      <w:r w:rsidR="00975D12">
        <w:t>imately 28% of patients in the</w:t>
      </w:r>
      <w:r w:rsidR="00F55059">
        <w:t xml:space="preserve"> empagliflozin</w:t>
      </w:r>
      <w:r w:rsidRPr="007F3B75">
        <w:t xml:space="preserve"> and placebo arm had hypoglycaemia, 1.5% of patients had severe hypoglycaemia. The prevalence of DKA was low (&lt; 1%</w:t>
      </w:r>
      <w:r w:rsidR="00975D12">
        <w:t>).</w:t>
      </w:r>
    </w:p>
    <w:p w14:paraId="2E941AEC" w14:textId="5E97C54F" w:rsidR="00975D12" w:rsidRPr="00975D12" w:rsidRDefault="000A7016" w:rsidP="00263CB1">
      <w:pPr>
        <w:pStyle w:val="Tabletitle0"/>
      </w:pPr>
      <w:proofErr w:type="gramStart"/>
      <w:r>
        <w:lastRenderedPageBreak/>
        <w:t xml:space="preserve">Table </w:t>
      </w:r>
      <w:r w:rsidR="005B0626">
        <w:t>8</w:t>
      </w:r>
      <w:r w:rsidR="00975D12">
        <w:t>.</w:t>
      </w:r>
      <w:proofErr w:type="gramEnd"/>
      <w:r w:rsidR="00975D12">
        <w:t xml:space="preserve"> </w:t>
      </w:r>
      <w:r>
        <w:t>Summary of a</w:t>
      </w:r>
      <w:r w:rsidR="00975D12">
        <w:t>dverse events</w:t>
      </w:r>
    </w:p>
    <w:p w14:paraId="2D13D0FD" w14:textId="77777777" w:rsidR="005B0626" w:rsidRDefault="007F3B75" w:rsidP="007F3B75">
      <w:r w:rsidRPr="007F3B75">
        <w:rPr>
          <w:b/>
          <w:noProof/>
          <w:lang w:eastAsia="en-AU"/>
        </w:rPr>
        <w:drawing>
          <wp:inline distT="0" distB="0" distL="0" distR="0" wp14:anchorId="70EE5C39" wp14:editId="7FCE3175">
            <wp:extent cx="4692889" cy="6039134"/>
            <wp:effectExtent l="0" t="0" r="0" b="0"/>
            <wp:docPr id="9" name="Picture 9" descr="Table 8 is an image showing the summary of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lum bright="-20000" contrast="40000"/>
                      <a:extLst>
                        <a:ext uri="{28A0092B-C50C-407E-A947-70E740481C1C}">
                          <a14:useLocalDpi xmlns:a14="http://schemas.microsoft.com/office/drawing/2010/main" val="0"/>
                        </a:ext>
                      </a:extLst>
                    </a:blip>
                    <a:srcRect l="2039" t="4479" r="2077"/>
                    <a:stretch/>
                  </pic:blipFill>
                  <pic:spPr bwMode="auto">
                    <a:xfrm>
                      <a:off x="0" y="0"/>
                      <a:ext cx="4697015" cy="6044444"/>
                    </a:xfrm>
                    <a:prstGeom prst="rect">
                      <a:avLst/>
                    </a:prstGeom>
                    <a:noFill/>
                    <a:ln>
                      <a:noFill/>
                    </a:ln>
                    <a:extLst>
                      <a:ext uri="{53640926-AAD7-44D8-BBD7-CCE9431645EC}">
                        <a14:shadowObscured xmlns:a14="http://schemas.microsoft.com/office/drawing/2010/main"/>
                      </a:ext>
                    </a:extLst>
                  </pic:spPr>
                </pic:pic>
              </a:graphicData>
            </a:graphic>
          </wp:inline>
        </w:drawing>
      </w:r>
    </w:p>
    <w:p w14:paraId="56ECA0D3" w14:textId="7F79437C" w:rsidR="007F3B75" w:rsidRPr="00975D12" w:rsidRDefault="007F3B75" w:rsidP="007F3B75">
      <w:pPr>
        <w:rPr>
          <w:b/>
        </w:rPr>
      </w:pPr>
      <w:r w:rsidRPr="007F3B75">
        <w:t>There was an imbalance in the number of patients with malignancy</w:t>
      </w:r>
      <w:r w:rsidR="005726DA">
        <w:t xml:space="preserve">, as shown below in Table </w:t>
      </w:r>
      <w:r w:rsidR="005B0626">
        <w:t>9</w:t>
      </w:r>
      <w:r w:rsidRPr="007F3B75">
        <w:t xml:space="preserve">. More patients </w:t>
      </w:r>
      <w:r w:rsidR="00975D12">
        <w:t>treated with</w:t>
      </w:r>
      <w:r w:rsidR="00F55059">
        <w:t xml:space="preserve"> empagliflozin</w:t>
      </w:r>
      <w:r w:rsidRPr="007F3B75">
        <w:t xml:space="preserve"> than placebo developed bladder and pancreatic cancer; however, the numbers were small (all single digits) and the imbalance is difficult to interpret because of the problem of statistical multiplicity. Bladder cancer has also been</w:t>
      </w:r>
      <w:r w:rsidR="00975D12">
        <w:t xml:space="preserve"> associated with dapagliflozin.</w:t>
      </w:r>
    </w:p>
    <w:p w14:paraId="4EE2AEAB" w14:textId="6A1ED971" w:rsidR="007F3B75" w:rsidRPr="007F3B75" w:rsidRDefault="007F3B75" w:rsidP="00263CB1">
      <w:pPr>
        <w:pStyle w:val="Tabletitle0"/>
      </w:pPr>
      <w:bookmarkStart w:id="112" w:name="_Toc450574142"/>
      <w:proofErr w:type="gramStart"/>
      <w:r w:rsidRPr="007F3B75">
        <w:lastRenderedPageBreak/>
        <w:t>Table</w:t>
      </w:r>
      <w:r w:rsidR="000A7016">
        <w:t xml:space="preserve"> </w:t>
      </w:r>
      <w:r w:rsidR="005B0626">
        <w:t>9</w:t>
      </w:r>
      <w:r w:rsidR="00975D12">
        <w:t>.</w:t>
      </w:r>
      <w:proofErr w:type="gramEnd"/>
      <w:r w:rsidRPr="007F3B75">
        <w:t xml:space="preserve"> Frequency of patients with malignancies</w:t>
      </w:r>
      <w:bookmarkEnd w:id="112"/>
    </w:p>
    <w:p w14:paraId="4DBFBD70" w14:textId="491ECE77" w:rsidR="007F3B75" w:rsidRDefault="007F3B75" w:rsidP="007F3B75">
      <w:pPr>
        <w:rPr>
          <w:b/>
        </w:rPr>
      </w:pPr>
      <w:r w:rsidRPr="007F3B75">
        <w:rPr>
          <w:noProof/>
          <w:lang w:eastAsia="en-AU"/>
        </w:rPr>
        <w:drawing>
          <wp:inline distT="0" distB="0" distL="0" distR="0" wp14:anchorId="6A525FD7" wp14:editId="396E68D8">
            <wp:extent cx="4519559" cy="4906370"/>
            <wp:effectExtent l="0" t="0" r="0" b="8890"/>
            <wp:docPr id="12" name="Picture 12" descr="Table 9 is an image showing the frequency of patients with maligna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lum bright="-20000" contrast="40000"/>
                      <a:extLst>
                        <a:ext uri="{28A0092B-C50C-407E-A947-70E740481C1C}">
                          <a14:useLocalDpi xmlns:a14="http://schemas.microsoft.com/office/drawing/2010/main" val="0"/>
                        </a:ext>
                      </a:extLst>
                    </a:blip>
                    <a:srcRect l="3583" t="3923" r="3116" b="19136"/>
                    <a:stretch/>
                  </pic:blipFill>
                  <pic:spPr bwMode="auto">
                    <a:xfrm>
                      <a:off x="0" y="0"/>
                      <a:ext cx="4523802" cy="4910977"/>
                    </a:xfrm>
                    <a:prstGeom prst="rect">
                      <a:avLst/>
                    </a:prstGeom>
                    <a:noFill/>
                    <a:ln>
                      <a:noFill/>
                    </a:ln>
                    <a:extLst>
                      <a:ext uri="{53640926-AAD7-44D8-BBD7-CCE9431645EC}">
                        <a14:shadowObscured xmlns:a14="http://schemas.microsoft.com/office/drawing/2010/main"/>
                      </a:ext>
                    </a:extLst>
                  </pic:spPr>
                </pic:pic>
              </a:graphicData>
            </a:graphic>
          </wp:inline>
        </w:drawing>
      </w:r>
    </w:p>
    <w:p w14:paraId="582D2FF7" w14:textId="57362AA4" w:rsidR="000A7016" w:rsidRPr="007F3B75" w:rsidRDefault="00F45ADE" w:rsidP="00F45ADE">
      <w:pPr>
        <w:pStyle w:val="TableDescription"/>
      </w:pPr>
      <w:r>
        <w:t>MedD</w:t>
      </w:r>
      <w:r w:rsidR="007E23F5">
        <w:t>RA = Medical Dictionary for Regulatory Activities; HLT = High level term; PT = Preferred term</w:t>
      </w:r>
    </w:p>
    <w:p w14:paraId="4FD36214" w14:textId="45CA1EE7" w:rsidR="007F3B75" w:rsidRPr="007F3B75" w:rsidRDefault="007F3B75" w:rsidP="007F3B75">
      <w:r w:rsidRPr="007F3B75">
        <w:t xml:space="preserve">An increased risk of amputations has been associated with the use of canagliflozin in long </w:t>
      </w:r>
      <w:r w:rsidR="00ED3D19">
        <w:t>term Studies</w:t>
      </w:r>
      <w:r w:rsidRPr="007F3B75">
        <w:t xml:space="preserve"> CANVAS and CANVAS-R. These studies differ from the EMPA-REG </w:t>
      </w:r>
      <w:r w:rsidR="005F2C8D">
        <w:t xml:space="preserve">OUTCOME </w:t>
      </w:r>
      <w:r w:rsidRPr="007F3B75">
        <w:t>study in that they are of longer duration, and included patients wi</w:t>
      </w:r>
      <w:r w:rsidR="00975D12">
        <w:t>th peripheral vascular disease.</w:t>
      </w:r>
    </w:p>
    <w:p w14:paraId="7B6684C9" w14:textId="3C88A562" w:rsidR="007F3B75" w:rsidRDefault="007F3B75" w:rsidP="007F3B75">
      <w:r w:rsidRPr="007F3B75">
        <w:t xml:space="preserve">The sponsor was requested by the evaluator to examine the risk of amputations and peripheral vascular disease in the EMPA-REG </w:t>
      </w:r>
      <w:r w:rsidR="005F2C8D">
        <w:t xml:space="preserve">OUTCOME </w:t>
      </w:r>
      <w:r w:rsidRPr="007F3B75">
        <w:t>study. The data from amputations was limited as this was not a pre-defined safety endpoint. Data in relation to peripheral vascular disease was generated by searching a number of related terms</w:t>
      </w:r>
      <w:r w:rsidR="005726DA">
        <w:t xml:space="preserve"> and can be seen in Table 1</w:t>
      </w:r>
      <w:r w:rsidR="00B826BA">
        <w:t>0</w:t>
      </w:r>
      <w:r w:rsidR="005726DA">
        <w:t>, below</w:t>
      </w:r>
      <w:r w:rsidRPr="007F3B75">
        <w:t>. The table below does suggest a small imbalance in the number of new cases of peri</w:t>
      </w:r>
      <w:r w:rsidR="00975D12">
        <w:t>pheral arterial disease in the</w:t>
      </w:r>
      <w:r w:rsidR="00F55059">
        <w:t xml:space="preserve"> empagliflozin</w:t>
      </w:r>
      <w:r w:rsidRPr="007F3B75">
        <w:t xml:space="preserve"> group.</w:t>
      </w:r>
    </w:p>
    <w:p w14:paraId="4A95C6B4" w14:textId="613D7891" w:rsidR="00975D12" w:rsidRPr="007F3B75" w:rsidRDefault="007E23F5" w:rsidP="00263CB1">
      <w:pPr>
        <w:pStyle w:val="Tabletitle0"/>
      </w:pPr>
      <w:proofErr w:type="gramStart"/>
      <w:r>
        <w:lastRenderedPageBreak/>
        <w:t xml:space="preserve">Table </w:t>
      </w:r>
      <w:r w:rsidR="00B826BA">
        <w:t>10</w:t>
      </w:r>
      <w:r w:rsidR="00975D12">
        <w:t>.</w:t>
      </w:r>
      <w:proofErr w:type="gramEnd"/>
      <w:r w:rsidR="00975D12">
        <w:t xml:space="preserve"> Frequency of peripheral arterial diseases adverse events</w:t>
      </w:r>
    </w:p>
    <w:p w14:paraId="270105F6" w14:textId="77777777" w:rsidR="007F3B75" w:rsidRDefault="007F3B75" w:rsidP="007F3B75">
      <w:r w:rsidRPr="007F3B75">
        <w:rPr>
          <w:noProof/>
          <w:lang w:eastAsia="en-AU"/>
        </w:rPr>
        <w:drawing>
          <wp:inline distT="0" distB="0" distL="0" distR="0" wp14:anchorId="592D7656" wp14:editId="78E9E6ED">
            <wp:extent cx="3623481" cy="2192888"/>
            <wp:effectExtent l="0" t="0" r="0" b="0"/>
            <wp:docPr id="13" name="Picture 13" descr="Table 10 is an image showing the frequency of peripheral arterial diseases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lum bright="-20000" contrast="40000"/>
                      <a:extLst>
                        <a:ext uri="{28A0092B-C50C-407E-A947-70E740481C1C}">
                          <a14:useLocalDpi xmlns:a14="http://schemas.microsoft.com/office/drawing/2010/main" val="0"/>
                        </a:ext>
                      </a:extLst>
                    </a:blip>
                    <a:srcRect l="2667" t="7268" r="5104" b="3979"/>
                    <a:stretch/>
                  </pic:blipFill>
                  <pic:spPr bwMode="auto">
                    <a:xfrm>
                      <a:off x="0" y="0"/>
                      <a:ext cx="3633151" cy="2198740"/>
                    </a:xfrm>
                    <a:prstGeom prst="rect">
                      <a:avLst/>
                    </a:prstGeom>
                    <a:noFill/>
                    <a:ln>
                      <a:noFill/>
                    </a:ln>
                    <a:extLst>
                      <a:ext uri="{53640926-AAD7-44D8-BBD7-CCE9431645EC}">
                        <a14:shadowObscured xmlns:a14="http://schemas.microsoft.com/office/drawing/2010/main"/>
                      </a:ext>
                    </a:extLst>
                  </pic:spPr>
                </pic:pic>
              </a:graphicData>
            </a:graphic>
          </wp:inline>
        </w:drawing>
      </w:r>
    </w:p>
    <w:p w14:paraId="3D863193" w14:textId="6028B73B" w:rsidR="007E23F5" w:rsidRDefault="007E23F5" w:rsidP="007E23F5">
      <w:pPr>
        <w:pStyle w:val="TableDescription"/>
      </w:pPr>
      <w:r>
        <w:t>PY = Patient years</w:t>
      </w:r>
    </w:p>
    <w:p w14:paraId="6D4E7A6B" w14:textId="0E4735F6" w:rsidR="007F3B75" w:rsidRPr="007F3B75" w:rsidRDefault="007E23F5" w:rsidP="00263CB1">
      <w:pPr>
        <w:pStyle w:val="Tabletitle0"/>
      </w:pPr>
      <w:proofErr w:type="gramStart"/>
      <w:r>
        <w:t xml:space="preserve">Table </w:t>
      </w:r>
      <w:r w:rsidR="00B826BA">
        <w:t>11</w:t>
      </w:r>
      <w:r w:rsidR="0010368E">
        <w:t>.</w:t>
      </w:r>
      <w:proofErr w:type="gramEnd"/>
      <w:r w:rsidR="0010368E">
        <w:t xml:space="preserve"> Medi</w:t>
      </w:r>
      <w:r w:rsidR="00975D12">
        <w:t>a</w:t>
      </w:r>
      <w:r w:rsidR="0010368E">
        <w:t>n</w:t>
      </w:r>
      <w:r w:rsidR="00975D12">
        <w:t xml:space="preserve"> values for haematology parameters (normalised values)</w:t>
      </w:r>
    </w:p>
    <w:p w14:paraId="08FB83C2" w14:textId="34696F26" w:rsidR="007F3B75" w:rsidRDefault="007F3B75" w:rsidP="007F3B75">
      <w:r w:rsidRPr="007F3B75">
        <w:rPr>
          <w:noProof/>
          <w:lang w:eastAsia="en-AU"/>
        </w:rPr>
        <w:drawing>
          <wp:inline distT="0" distB="0" distL="0" distR="0" wp14:anchorId="63F6C9EC" wp14:editId="140795CC">
            <wp:extent cx="3939505" cy="2033516"/>
            <wp:effectExtent l="0" t="0" r="4445" b="5080"/>
            <wp:docPr id="20" name="Picture 20" descr="Table 11  is an image showing the Median values for haematology parameters (normalised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lum bright="-20000" contrast="40000"/>
                      <a:extLst>
                        <a:ext uri="{28A0092B-C50C-407E-A947-70E740481C1C}">
                          <a14:useLocalDpi xmlns:a14="http://schemas.microsoft.com/office/drawing/2010/main" val="0"/>
                        </a:ext>
                      </a:extLst>
                    </a:blip>
                    <a:srcRect l="3175" t="9822"/>
                    <a:stretch/>
                  </pic:blipFill>
                  <pic:spPr bwMode="auto">
                    <a:xfrm>
                      <a:off x="0" y="0"/>
                      <a:ext cx="3974842" cy="2051756"/>
                    </a:xfrm>
                    <a:prstGeom prst="rect">
                      <a:avLst/>
                    </a:prstGeom>
                    <a:noFill/>
                    <a:ln>
                      <a:noFill/>
                    </a:ln>
                    <a:extLst>
                      <a:ext uri="{53640926-AAD7-44D8-BBD7-CCE9431645EC}">
                        <a14:shadowObscured xmlns:a14="http://schemas.microsoft.com/office/drawing/2010/main"/>
                      </a:ext>
                    </a:extLst>
                  </pic:spPr>
                </pic:pic>
              </a:graphicData>
            </a:graphic>
          </wp:inline>
        </w:drawing>
      </w:r>
    </w:p>
    <w:p w14:paraId="150A42AE" w14:textId="45ACC46F" w:rsidR="007E23F5" w:rsidRDefault="007E23F5" w:rsidP="00A427C8">
      <w:pPr>
        <w:pStyle w:val="TableDescription"/>
      </w:pPr>
      <w:r>
        <w:t>RBC = Red blood cell/count</w:t>
      </w:r>
    </w:p>
    <w:p w14:paraId="4BD9DFC4" w14:textId="5CEDC554" w:rsidR="00975D12" w:rsidRPr="007F3B75" w:rsidRDefault="00A427C8" w:rsidP="00263CB1">
      <w:pPr>
        <w:pStyle w:val="Tabletitle0"/>
      </w:pPr>
      <w:proofErr w:type="gramStart"/>
      <w:r>
        <w:t>Table 1</w:t>
      </w:r>
      <w:r w:rsidR="0024791F">
        <w:t>2</w:t>
      </w:r>
      <w:r w:rsidR="00975D12">
        <w:t>.</w:t>
      </w:r>
      <w:proofErr w:type="gramEnd"/>
      <w:r w:rsidR="00975D12">
        <w:t xml:space="preserve"> Incidence rates for adverse events of venous embolic and thrombotic adverse events (narrow SMQ), sorted by frequency</w:t>
      </w:r>
    </w:p>
    <w:p w14:paraId="2853BCBA" w14:textId="097F61CA" w:rsidR="007F3B75" w:rsidRDefault="007F3B75" w:rsidP="007F3B75">
      <w:pPr>
        <w:rPr>
          <w:b/>
        </w:rPr>
      </w:pPr>
      <w:r w:rsidRPr="007F3B75">
        <w:rPr>
          <w:b/>
          <w:noProof/>
          <w:lang w:eastAsia="en-AU"/>
        </w:rPr>
        <w:drawing>
          <wp:inline distT="0" distB="0" distL="0" distR="0" wp14:anchorId="49F3E555" wp14:editId="1B69D64F">
            <wp:extent cx="3794078" cy="2628080"/>
            <wp:effectExtent l="0" t="0" r="0" b="1270"/>
            <wp:docPr id="19" name="Picture 19" descr="Table 12 is an image showing the incidence rates for adverse events of venous embolic and thrombotic adverse events (narrow SMQ), sorted by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lum bright="-20000" contrast="40000"/>
                      <a:extLst>
                        <a:ext uri="{28A0092B-C50C-407E-A947-70E740481C1C}">
                          <a14:useLocalDpi xmlns:a14="http://schemas.microsoft.com/office/drawing/2010/main" val="0"/>
                        </a:ext>
                      </a:extLst>
                    </a:blip>
                    <a:srcRect l="3327" t="10931" r="7599" b="7966"/>
                    <a:stretch/>
                  </pic:blipFill>
                  <pic:spPr bwMode="auto">
                    <a:xfrm>
                      <a:off x="0" y="0"/>
                      <a:ext cx="3814554" cy="2642264"/>
                    </a:xfrm>
                    <a:prstGeom prst="rect">
                      <a:avLst/>
                    </a:prstGeom>
                    <a:noFill/>
                    <a:ln>
                      <a:noFill/>
                    </a:ln>
                    <a:extLst>
                      <a:ext uri="{53640926-AAD7-44D8-BBD7-CCE9431645EC}">
                        <a14:shadowObscured xmlns:a14="http://schemas.microsoft.com/office/drawing/2010/main"/>
                      </a:ext>
                    </a:extLst>
                  </pic:spPr>
                </pic:pic>
              </a:graphicData>
            </a:graphic>
          </wp:inline>
        </w:drawing>
      </w:r>
    </w:p>
    <w:p w14:paraId="0286A434" w14:textId="56DBDD44" w:rsidR="00A427C8" w:rsidRPr="007F3B75" w:rsidRDefault="00A427C8" w:rsidP="00A427C8">
      <w:pPr>
        <w:pStyle w:val="TableDescription"/>
      </w:pPr>
      <w:r>
        <w:t>MedDRA = Medical Dictionary for Regulatory Activities; PT = Preferred term. Note exposure-adjusted rates are presented, with rate per 100 patient years (pt-yrs).</w:t>
      </w:r>
    </w:p>
    <w:p w14:paraId="76D72FDD" w14:textId="55AFA3DE" w:rsidR="00975D12" w:rsidRDefault="007F3B75" w:rsidP="00975D12">
      <w:pPr>
        <w:pStyle w:val="Heading3"/>
      </w:pPr>
      <w:bookmarkStart w:id="113" w:name="_Toc497906659"/>
      <w:r w:rsidRPr="007F3B75">
        <w:lastRenderedPageBreak/>
        <w:t>R</w:t>
      </w:r>
      <w:r w:rsidR="001D529C">
        <w:t>isk Management Plan</w:t>
      </w:r>
      <w:bookmarkEnd w:id="113"/>
    </w:p>
    <w:p w14:paraId="4F9DF21B" w14:textId="008890AB" w:rsidR="00436462" w:rsidRPr="00436462" w:rsidRDefault="00436462" w:rsidP="00436462">
      <w:r w:rsidRPr="00436462">
        <w:t>See also Table 3 (Sponsor’s summary of ongoing safety concerns)</w:t>
      </w:r>
      <w:r>
        <w:t>.</w:t>
      </w:r>
    </w:p>
    <w:p w14:paraId="4E7CF70A" w14:textId="2974CBC5" w:rsidR="007F3B75" w:rsidRDefault="007F3B75" w:rsidP="007F3B75">
      <w:r w:rsidRPr="007F3B75">
        <w:t xml:space="preserve">The sponsor has agreed to add use in Indigenous populations in the missing information in the </w:t>
      </w:r>
      <w:r w:rsidR="00975D12">
        <w:t>ASA</w:t>
      </w:r>
      <w:r w:rsidRPr="007F3B75">
        <w:t>. There are no planned pharmacovigilance or risk minimis</w:t>
      </w:r>
      <w:r w:rsidR="00975D12">
        <w:t>ation activities in this group.</w:t>
      </w:r>
    </w:p>
    <w:p w14:paraId="0B5C7F69" w14:textId="40EC958F" w:rsidR="00C674D8" w:rsidRDefault="00C674D8" w:rsidP="007F3B75">
      <w:r>
        <w:t>Table 13 describes the sponsor’s studies in the post-authorisation plan.</w:t>
      </w:r>
    </w:p>
    <w:p w14:paraId="27F0F6A9" w14:textId="698926FB" w:rsidR="00C674D8" w:rsidRDefault="00C674D8" w:rsidP="00BF4B3D">
      <w:pPr>
        <w:pStyle w:val="Tabletitle0"/>
      </w:pPr>
      <w:proofErr w:type="gramStart"/>
      <w:r>
        <w:t>Table 13: Studies in the post-authorisation plan.</w:t>
      </w:r>
      <w:proofErr w:type="gramEnd"/>
    </w:p>
    <w:p w14:paraId="372C7E0D" w14:textId="2811B5F3" w:rsidR="00C674D8" w:rsidRDefault="00C674D8" w:rsidP="007F3B75">
      <w:r>
        <w:rPr>
          <w:rFonts w:asciiTheme="minorHAnsi" w:hAnsiTheme="minorHAnsi"/>
          <w:noProof/>
          <w:lang w:eastAsia="en-AU"/>
        </w:rPr>
        <w:drawing>
          <wp:inline distT="0" distB="0" distL="0" distR="0" wp14:anchorId="4A7DE353" wp14:editId="05080E65">
            <wp:extent cx="3828197" cy="3712191"/>
            <wp:effectExtent l="0" t="0" r="1270" b="3175"/>
            <wp:docPr id="18" name="Picture 18" descr="Table 13  is an image showing the studies in the post-authorisa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lum bright="-20000" contrast="40000"/>
                      <a:extLst>
                        <a:ext uri="{28A0092B-C50C-407E-A947-70E740481C1C}">
                          <a14:useLocalDpi xmlns:a14="http://schemas.microsoft.com/office/drawing/2010/main" val="0"/>
                        </a:ext>
                      </a:extLst>
                    </a:blip>
                    <a:srcRect l="1877" t="6468" r="2390" b="852"/>
                    <a:stretch/>
                  </pic:blipFill>
                  <pic:spPr bwMode="auto">
                    <a:xfrm>
                      <a:off x="0" y="0"/>
                      <a:ext cx="3829863" cy="3713807"/>
                    </a:xfrm>
                    <a:prstGeom prst="rect">
                      <a:avLst/>
                    </a:prstGeom>
                    <a:noFill/>
                    <a:ln>
                      <a:noFill/>
                    </a:ln>
                    <a:extLst>
                      <a:ext uri="{53640926-AAD7-44D8-BBD7-CCE9431645EC}">
                        <a14:shadowObscured xmlns:a14="http://schemas.microsoft.com/office/drawing/2010/main"/>
                      </a:ext>
                    </a:extLst>
                  </pic:spPr>
                </pic:pic>
              </a:graphicData>
            </a:graphic>
          </wp:inline>
        </w:drawing>
      </w:r>
    </w:p>
    <w:p w14:paraId="20FEAB09" w14:textId="77777777" w:rsidR="008E7846" w:rsidRDefault="00AA0ED0" w:rsidP="008E7846">
      <w:pPr>
        <w:pStyle w:val="Heading3"/>
      </w:pPr>
      <w:bookmarkStart w:id="114" w:name="_Toc247691531"/>
      <w:bookmarkStart w:id="115" w:name="_Toc314842515"/>
      <w:bookmarkStart w:id="116" w:name="_Toc196046505"/>
      <w:bookmarkStart w:id="117" w:name="_Toc196046949"/>
      <w:bookmarkStart w:id="118" w:name="_Toc497906660"/>
      <w:bookmarkEnd w:id="105"/>
      <w:r>
        <w:t>Risk-benefit a</w:t>
      </w:r>
      <w:r w:rsidR="008E7846">
        <w:t>nalysis</w:t>
      </w:r>
      <w:bookmarkEnd w:id="114"/>
      <w:bookmarkEnd w:id="115"/>
      <w:bookmarkEnd w:id="118"/>
    </w:p>
    <w:p w14:paraId="6FC69A2C" w14:textId="01788317" w:rsidR="00975D12" w:rsidRPr="00975D12" w:rsidRDefault="00975D12" w:rsidP="00975D12">
      <w:pPr>
        <w:pStyle w:val="Heading4"/>
      </w:pPr>
      <w:r>
        <w:t>Delegate’s considerations</w:t>
      </w:r>
    </w:p>
    <w:p w14:paraId="31156A45" w14:textId="77777777" w:rsidR="00975D12" w:rsidRPr="00975D12" w:rsidRDefault="00975D12" w:rsidP="00C90403">
      <w:pPr>
        <w:pStyle w:val="Heading5"/>
      </w:pPr>
      <w:r w:rsidRPr="00975D12">
        <w:t>Cardiovascular protection</w:t>
      </w:r>
    </w:p>
    <w:p w14:paraId="1D9A9C48" w14:textId="657E9C91" w:rsidR="00975D12" w:rsidRPr="00975D12" w:rsidRDefault="00975D12" w:rsidP="00975D12">
      <w:r w:rsidRPr="00975D12">
        <w:t>Overall, the EMPA-REG study was a robust study which demonstrated a reduction of cardiovascular events with the use of</w:t>
      </w:r>
      <w:r w:rsidR="00F55059">
        <w:t xml:space="preserve"> empagliflozin</w:t>
      </w:r>
      <w:r w:rsidRPr="00975D12">
        <w:t xml:space="preserve"> in patients with cardiovascular risk factors and poor glycaemic control. The external validity of the trial, particularly when extended to all patients with type </w:t>
      </w:r>
      <w:proofErr w:type="gramStart"/>
      <w:r w:rsidRPr="00975D12">
        <w:t>2 diabetes</w:t>
      </w:r>
      <w:proofErr w:type="gramEnd"/>
      <w:r w:rsidRPr="00975D12">
        <w:t xml:space="preserve"> is questionable. There were few patients with recently diagnosed T2DM, HbA1c &lt; 7%, age &lt; 50 years or &gt; 75 years in the clinical trial.</w:t>
      </w:r>
    </w:p>
    <w:p w14:paraId="3667620D" w14:textId="7C6A157E" w:rsidR="00975D12" w:rsidRPr="00975D12" w:rsidRDefault="00975D12" w:rsidP="00975D12">
      <w:r w:rsidRPr="00975D12">
        <w:t>The mechanism of action of</w:t>
      </w:r>
      <w:r w:rsidR="00F55059">
        <w:t xml:space="preserve"> empagliflozin</w:t>
      </w:r>
      <w:r w:rsidRPr="00975D12">
        <w:t xml:space="preserve"> for this indic</w:t>
      </w:r>
      <w:r w:rsidR="00FF66D4">
        <w:t>ation is likely to be due to it</w:t>
      </w:r>
      <w:r w:rsidRPr="00975D12">
        <w:t>s diuretic and haemodynamic effects, rather than</w:t>
      </w:r>
      <w:r w:rsidR="00FF66D4">
        <w:t xml:space="preserve"> its glucose lowering effects.</w:t>
      </w:r>
    </w:p>
    <w:p w14:paraId="7A03080A" w14:textId="69FA3DF7" w:rsidR="00975D12" w:rsidRPr="00975D12" w:rsidRDefault="00975D12" w:rsidP="00975D12">
      <w:r w:rsidRPr="00975D12">
        <w:t xml:space="preserve">It is questionable if the prevention of cardiovascular events is a new indication as the patient population studied were patients with T2DM and poor glycaemic control. The new indication is a subpopulation of the current population with ‘high cardiovascular risk’. The </w:t>
      </w:r>
      <w:r w:rsidR="00B826BA">
        <w:t>D</w:t>
      </w:r>
      <w:r w:rsidR="00B826BA" w:rsidRPr="00975D12">
        <w:t>elegat</w:t>
      </w:r>
      <w:r w:rsidR="00B826BA">
        <w:t xml:space="preserve">e </w:t>
      </w:r>
      <w:r w:rsidR="00882E7C">
        <w:t>would prefer the EMA’s term ‘</w:t>
      </w:r>
      <w:r w:rsidRPr="00975D12">
        <w:t xml:space="preserve">established cardiovascular disease’ as it better describes the patient population in the clinical trial. The same risk benefit demonstrated in the EMPA-REG </w:t>
      </w:r>
      <w:r w:rsidR="00FF66D4">
        <w:t xml:space="preserve">OUTCOME </w:t>
      </w:r>
      <w:r w:rsidRPr="00975D12">
        <w:t>study cannot be assumed for patients with lower cardiovascular risk.</w:t>
      </w:r>
    </w:p>
    <w:p w14:paraId="145873BD" w14:textId="77015176" w:rsidR="00975D12" w:rsidRPr="00975D12" w:rsidRDefault="00975D12" w:rsidP="00975D12">
      <w:r w:rsidRPr="00975D12">
        <w:lastRenderedPageBreak/>
        <w:t>The use of separate indications for glycaemic control and reduction in cardiovascular events would be similar to the situation with the statins which are indicated for hyperlipidaemia and cardiovascular protection.</w:t>
      </w:r>
    </w:p>
    <w:p w14:paraId="205CD142" w14:textId="53E16A23" w:rsidR="00975D12" w:rsidRPr="00975D12" w:rsidRDefault="00670240" w:rsidP="00FF66D4">
      <w:pPr>
        <w:pStyle w:val="Heading5"/>
      </w:pPr>
      <w:r>
        <w:t>Use in renal i</w:t>
      </w:r>
      <w:r w:rsidR="00975D12" w:rsidRPr="00975D12">
        <w:t>mpairment</w:t>
      </w:r>
    </w:p>
    <w:p w14:paraId="2F623458" w14:textId="7EE19411" w:rsidR="00975D12" w:rsidRPr="00975D12" w:rsidRDefault="00975D12" w:rsidP="00975D12">
      <w:r w:rsidRPr="00975D12">
        <w:t>The efficacy of</w:t>
      </w:r>
      <w:r w:rsidR="00F55059">
        <w:t xml:space="preserve"> empagliflozin</w:t>
      </w:r>
      <w:r w:rsidRPr="00975D12">
        <w:t xml:space="preserve"> on glycaemic control is reduced in the presence of renal failure. However it’s efficacy for cardiovascular protection appears to be also present in the subgroup of patients with renal impairment. The kidney is </w:t>
      </w:r>
      <w:r w:rsidR="00882E7C">
        <w:t>involved in the elimination of</w:t>
      </w:r>
      <w:r w:rsidR="00F55059">
        <w:t xml:space="preserve"> empagliflozin</w:t>
      </w:r>
      <w:r w:rsidR="00687F24">
        <w:t xml:space="preserve">, </w:t>
      </w:r>
      <w:r w:rsidRPr="00975D12">
        <w:t>the extent of this is unclear but it probably contributes to about 50%.</w:t>
      </w:r>
    </w:p>
    <w:p w14:paraId="4D0F2291" w14:textId="2436AE0E" w:rsidR="00975D12" w:rsidRPr="00975D12" w:rsidRDefault="00975D12" w:rsidP="00975D12">
      <w:r w:rsidRPr="00975D12">
        <w:t xml:space="preserve">There have been cases of acute renal impairment in the context of use of dapagliflozin and canagliflozin. In recent communication with the TGA in relation to the cases </w:t>
      </w:r>
      <w:r w:rsidR="00DD7211">
        <w:t>of acute renal injury with SGLT</w:t>
      </w:r>
      <w:r w:rsidRPr="00975D12">
        <w:t>2 inhibitors, the sponsor considers that the results of the EMPA-REG study indicate t</w:t>
      </w:r>
      <w:r w:rsidR="00882E7C">
        <w:t>hat this is not a concern with</w:t>
      </w:r>
      <w:r w:rsidR="00F55059">
        <w:t xml:space="preserve"> empagliflozin</w:t>
      </w:r>
      <w:r w:rsidR="00A427C8">
        <w:t>. However the D</w:t>
      </w:r>
      <w:r w:rsidRPr="00975D12">
        <w:t xml:space="preserve">elegate is unconvinced as in the EMPA-REG </w:t>
      </w:r>
      <w:r w:rsidR="00DD7211">
        <w:t>OUTC</w:t>
      </w:r>
      <w:r w:rsidR="00FF66D4">
        <w:t xml:space="preserve">OME </w:t>
      </w:r>
      <w:r w:rsidRPr="00975D12">
        <w:t>study, eGFR decreased in the first 4 weeks when the cases of acute renal injury were observed in the post market data for canagliflozin and dapagliflozin.</w:t>
      </w:r>
    </w:p>
    <w:p w14:paraId="2433C929" w14:textId="4F0F353B" w:rsidR="00975D12" w:rsidRPr="00975D12" w:rsidRDefault="00975D12" w:rsidP="00975D12">
      <w:r w:rsidRPr="00975D12">
        <w:t xml:space="preserve">In the EMPA-REG </w:t>
      </w:r>
      <w:r w:rsidR="00FF66D4">
        <w:t xml:space="preserve">OUTCOME </w:t>
      </w:r>
      <w:r w:rsidRPr="00975D12">
        <w:t>study, use of</w:t>
      </w:r>
      <w:r w:rsidR="00F55059">
        <w:t xml:space="preserve"> empagliflozin</w:t>
      </w:r>
      <w:r w:rsidRPr="00975D12">
        <w:t xml:space="preserve"> was associated with an initial decrease in eGFR then steady preservation of renal function and reduction in progression of microalbuminuria and macroalbu</w:t>
      </w:r>
      <w:r w:rsidR="00882E7C">
        <w:t>minuria compared to placebo.</w:t>
      </w:r>
    </w:p>
    <w:p w14:paraId="5F9DAE51" w14:textId="538E6F1F" w:rsidR="00975D12" w:rsidRPr="00975D12" w:rsidRDefault="00687F24" w:rsidP="00975D12">
      <w:r>
        <w:t xml:space="preserve">Overall, </w:t>
      </w:r>
      <w:r w:rsidR="00975D12" w:rsidRPr="00975D12">
        <w:t>the risk benefit balance in renal impairment is positive but renal function needs to be monitored.</w:t>
      </w:r>
    </w:p>
    <w:p w14:paraId="3F353510" w14:textId="6AE6152A" w:rsidR="00975D12" w:rsidRPr="00975D12" w:rsidRDefault="00687F24" w:rsidP="00FF66D4">
      <w:pPr>
        <w:pStyle w:val="Heading5"/>
      </w:pPr>
      <w:r>
        <w:t>Potential safety s</w:t>
      </w:r>
      <w:r w:rsidR="00975D12" w:rsidRPr="00975D12">
        <w:t>ignals</w:t>
      </w:r>
    </w:p>
    <w:p w14:paraId="27C8EEA4" w14:textId="59E2060E" w:rsidR="00975D12" w:rsidRPr="00975D12" w:rsidRDefault="00975D12" w:rsidP="00975D12">
      <w:r w:rsidRPr="00975D12">
        <w:t xml:space="preserve">In the EMPA-REG study there has been a numerical imbalance in the number of patients with stroke, cancer and amputations. The significance of this is unclear. The safety data for amputations and peripheral vascular disease from the EMPA-REG </w:t>
      </w:r>
      <w:r w:rsidR="00FF66D4">
        <w:t xml:space="preserve">OUTCOME </w:t>
      </w:r>
      <w:r w:rsidRPr="00975D12">
        <w:t>study may not be entirely accurate due to the absence of specific codes and because peripheral arterial disease was an exclusion factor.</w:t>
      </w:r>
    </w:p>
    <w:p w14:paraId="2BFA95F1" w14:textId="13EA0CC7" w:rsidR="00975D12" w:rsidRPr="00975D12" w:rsidRDefault="00975D12" w:rsidP="00975D12">
      <w:r w:rsidRPr="00975D12">
        <w:t>Although it is unclear if the use of</w:t>
      </w:r>
      <w:r w:rsidR="00F55059">
        <w:t xml:space="preserve"> empagliflozin</w:t>
      </w:r>
      <w:r w:rsidRPr="00975D12">
        <w:t xml:space="preserve"> is associated with the risk of amputations, amputations are serious events and could be mitigated by advice in the PI to remind prescribers of the need for regular foot examinations.</w:t>
      </w:r>
    </w:p>
    <w:p w14:paraId="713E9DCB" w14:textId="607F9B81" w:rsidR="00975D12" w:rsidRPr="00975D12" w:rsidRDefault="00975D12" w:rsidP="00975D12">
      <w:r w:rsidRPr="00975D12">
        <w:t xml:space="preserve">There have also been a number of safety signals for this class of drugs based on post-market data. These include DKA, urosepsis, and acute renal </w:t>
      </w:r>
      <w:proofErr w:type="gramStart"/>
      <w:r w:rsidRPr="00975D12">
        <w:t>injury</w:t>
      </w:r>
      <w:r w:rsidRPr="00373B06">
        <w:t>.</w:t>
      </w:r>
      <w:r w:rsidR="00986A01" w:rsidRPr="00373B06">
        <w:rPr>
          <w:rStyle w:val="FootnoteReference"/>
        </w:rPr>
        <w:footnoteReference w:id="8"/>
      </w:r>
      <w:r w:rsidR="00373B06" w:rsidRPr="00373B06">
        <w:rPr>
          <w:vertAlign w:val="superscript"/>
        </w:rPr>
        <w:t>,</w:t>
      </w:r>
      <w:r w:rsidR="000D088B" w:rsidRPr="00373B06">
        <w:rPr>
          <w:rStyle w:val="FootnoteReference"/>
        </w:rPr>
        <w:footnoteReference w:id="9"/>
      </w:r>
      <w:r w:rsidR="00373B06" w:rsidRPr="00373B06">
        <w:rPr>
          <w:vertAlign w:val="superscript"/>
        </w:rPr>
        <w:t>,</w:t>
      </w:r>
      <w:proofErr w:type="gramEnd"/>
      <w:r w:rsidR="00FE2892" w:rsidRPr="00373B06">
        <w:rPr>
          <w:rStyle w:val="FootnoteReference"/>
        </w:rPr>
        <w:footnoteReference w:id="10"/>
      </w:r>
      <w:r w:rsidR="00373B06">
        <w:t xml:space="preserve"> </w:t>
      </w:r>
      <w:r w:rsidRPr="00975D12">
        <w:t>DKA and urosepsis has b</w:t>
      </w:r>
      <w:r w:rsidR="00882E7C">
        <w:t>een included in the PI and RMP.</w:t>
      </w:r>
    </w:p>
    <w:p w14:paraId="0A386B83" w14:textId="77777777" w:rsidR="00975D12" w:rsidRPr="00975D12" w:rsidRDefault="00975D12" w:rsidP="00FF66D4">
      <w:pPr>
        <w:pStyle w:val="Heading5"/>
      </w:pPr>
      <w:r w:rsidRPr="00975D12">
        <w:t>Use in the Indigenous population</w:t>
      </w:r>
    </w:p>
    <w:p w14:paraId="3029B53C" w14:textId="57FFD58C" w:rsidR="00975D12" w:rsidRDefault="00975D12" w:rsidP="00975D12">
      <w:r w:rsidRPr="00975D12">
        <w:t xml:space="preserve">Indigenous Australians have high rates of diabetes and renal disease and complications due to these problems. However, they are also at high risk of infections (including chlamydia and gonorrhoea). Like many people with poor living conditions, hygiene can be suboptimal. The risk/benefit ratio in this important population </w:t>
      </w:r>
      <w:r w:rsidR="005238EA">
        <w:t xml:space="preserve">is </w:t>
      </w:r>
      <w:r w:rsidRPr="00975D12">
        <w:t>likely to be positive but subject to uncertainty.</w:t>
      </w:r>
    </w:p>
    <w:p w14:paraId="70DB4B5C" w14:textId="587C55A3" w:rsidR="00882E7C" w:rsidRDefault="00882E7C" w:rsidP="00882E7C">
      <w:pPr>
        <w:pStyle w:val="Heading4"/>
      </w:pPr>
      <w:r>
        <w:lastRenderedPageBreak/>
        <w:t>Delegate’s summary</w:t>
      </w:r>
    </w:p>
    <w:p w14:paraId="03C38523" w14:textId="128A2F14" w:rsidR="00882E7C" w:rsidRPr="00882E7C" w:rsidRDefault="00882E7C" w:rsidP="00882E7C">
      <w:r w:rsidRPr="00882E7C">
        <w:t>The evidence for the use in cardiovascular prevention is based on the EMPA-REG study. This was a large RCT initially designed and performed as a requirement of the FDA to ensure there were no cardiovascular risks, however the trial demonstrated superiority</w:t>
      </w:r>
      <w:r>
        <w:t xml:space="preserve"> for 3-</w:t>
      </w:r>
      <w:r w:rsidRPr="00882E7C">
        <w:t>point MACE driven by redu</w:t>
      </w:r>
      <w:r w:rsidR="00A55718">
        <w:t xml:space="preserve">ced cardiovascular mortality, </w:t>
      </w:r>
      <w:r w:rsidR="00A55718" w:rsidRPr="00A55718">
        <w:t>cardiovascular</w:t>
      </w:r>
      <w:r w:rsidRPr="00882E7C">
        <w:t xml:space="preserve"> d</w:t>
      </w:r>
      <w:r w:rsidR="002D0A21">
        <w:t>eath and reduced heart failure.</w:t>
      </w:r>
    </w:p>
    <w:p w14:paraId="7ED739E5" w14:textId="77777777" w:rsidR="00882E7C" w:rsidRPr="00882E7C" w:rsidRDefault="00882E7C" w:rsidP="00882E7C">
      <w:r w:rsidRPr="00882E7C">
        <w:t>The first area of uncertainty is the extrapolation of the results to the proposed indication which potentially includes patients with adequate glycaemic control (although in the community this may be few) and high cardiovascular risk (which is poorly defined and could potentially include patients who were excluded from the clinical trial).</w:t>
      </w:r>
    </w:p>
    <w:p w14:paraId="21D51083" w14:textId="6202C0FD" w:rsidR="00882E7C" w:rsidRPr="00882E7C" w:rsidRDefault="00882E7C" w:rsidP="00882E7C">
      <w:r w:rsidRPr="00882E7C">
        <w:t xml:space="preserve">The second areas of uncertainty are safety signals from EMPA-REG </w:t>
      </w:r>
      <w:r w:rsidR="00D9441A">
        <w:t xml:space="preserve">OUTCOME study </w:t>
      </w:r>
      <w:r w:rsidRPr="00882E7C">
        <w:t>and othe</w:t>
      </w:r>
      <w:r w:rsidR="00D9441A">
        <w:t>r safety signal with other SGLT</w:t>
      </w:r>
      <w:r w:rsidRPr="00882E7C">
        <w:t>2 inhibitors.</w:t>
      </w:r>
    </w:p>
    <w:p w14:paraId="4FBE7431" w14:textId="261F5468" w:rsidR="00882E7C" w:rsidRPr="00882E7C" w:rsidRDefault="00882E7C" w:rsidP="00882E7C">
      <w:r w:rsidRPr="00882E7C">
        <w:t>Until now, the SGL</w:t>
      </w:r>
      <w:r w:rsidR="00D9441A">
        <w:t>T</w:t>
      </w:r>
      <w:r>
        <w:t xml:space="preserve">2 inhibitors have been contraindicated in moderate to </w:t>
      </w:r>
      <w:r w:rsidRPr="00882E7C">
        <w:t>severe renal impairment because these patients were excluded from the pre-market clinical trials and because their efficacy for improving glycaemic control is less than in those with normal renal function (presumable due to the mechanism</w:t>
      </w:r>
      <w:r w:rsidR="00A55718">
        <w:t xml:space="preserve"> of action). The benefits for </w:t>
      </w:r>
      <w:r w:rsidR="00A55718" w:rsidRPr="00A55718">
        <w:t>cardiovascular</w:t>
      </w:r>
      <w:r w:rsidRPr="00882E7C">
        <w:t xml:space="preserve"> protection seem similar or greater in those with renal disease. There may be additional benefits in terms of preservation of renal function. </w:t>
      </w:r>
      <w:r w:rsidR="00B826BA">
        <w:t>P</w:t>
      </w:r>
      <w:r w:rsidRPr="00882E7C">
        <w:t>erhaps more caution is needed in the context of a recent safety alert for acute renal impairment for other drugs in this class</w:t>
      </w:r>
      <w:r w:rsidR="00A427C8">
        <w:t>.</w:t>
      </w:r>
    </w:p>
    <w:p w14:paraId="06926C50" w14:textId="77777777" w:rsidR="00D23139" w:rsidRDefault="00D23139" w:rsidP="00D23139">
      <w:pPr>
        <w:pStyle w:val="Heading4"/>
      </w:pPr>
      <w:r w:rsidRPr="00D23139">
        <w:t>Proposed action</w:t>
      </w:r>
    </w:p>
    <w:p w14:paraId="71BF8BD7" w14:textId="2C0E07D3" w:rsidR="00882E7C" w:rsidRDefault="00882E7C" w:rsidP="00882E7C">
      <w:pPr>
        <w:rPr>
          <w:bCs/>
        </w:rPr>
      </w:pPr>
      <w:r>
        <w:rPr>
          <w:bCs/>
        </w:rPr>
        <w:t>The Delegate had no reason to say, at the</w:t>
      </w:r>
      <w:r w:rsidRPr="00882E7C">
        <w:rPr>
          <w:bCs/>
        </w:rPr>
        <w:t xml:space="preserve"> time</w:t>
      </w:r>
      <w:r>
        <w:rPr>
          <w:bCs/>
        </w:rPr>
        <w:t xml:space="preserve"> of writing</w:t>
      </w:r>
      <w:r w:rsidRPr="00882E7C">
        <w:rPr>
          <w:bCs/>
        </w:rPr>
        <w:t>, that the application for the extension of indications for</w:t>
      </w:r>
      <w:r w:rsidR="00F55059">
        <w:rPr>
          <w:bCs/>
        </w:rPr>
        <w:t xml:space="preserve"> empagliflozin</w:t>
      </w:r>
      <w:r w:rsidRPr="00882E7C">
        <w:rPr>
          <w:bCs/>
        </w:rPr>
        <w:t xml:space="preserve"> should not be approved.</w:t>
      </w:r>
    </w:p>
    <w:p w14:paraId="3A51E7AB" w14:textId="77777777" w:rsidR="00D23139" w:rsidRDefault="00D23139" w:rsidP="00D23139">
      <w:pPr>
        <w:pStyle w:val="Heading4"/>
      </w:pPr>
      <w:r w:rsidRPr="00D23139">
        <w:t>Request for ACPM advice</w:t>
      </w:r>
    </w:p>
    <w:p w14:paraId="5635B495" w14:textId="534B9E10" w:rsidR="00882E7C" w:rsidRPr="00882E7C" w:rsidRDefault="00882E7C" w:rsidP="006513E6">
      <w:pPr>
        <w:pStyle w:val="Numberbullet0"/>
        <w:numPr>
          <w:ilvl w:val="0"/>
          <w:numId w:val="8"/>
        </w:numPr>
      </w:pPr>
      <w:r w:rsidRPr="00882E7C">
        <w:t>Please comm</w:t>
      </w:r>
      <w:r>
        <w:t>ent on the proposed indication:</w:t>
      </w:r>
    </w:p>
    <w:p w14:paraId="655DA78C" w14:textId="77777777" w:rsidR="00882E7C" w:rsidRPr="00882E7C" w:rsidRDefault="00882E7C" w:rsidP="006513E6">
      <w:pPr>
        <w:pStyle w:val="Numberbullet2"/>
        <w:numPr>
          <w:ilvl w:val="1"/>
          <w:numId w:val="8"/>
        </w:numPr>
      </w:pPr>
      <w:r w:rsidRPr="00882E7C">
        <w:t>Is a new indication justified?</w:t>
      </w:r>
    </w:p>
    <w:p w14:paraId="54F18385" w14:textId="4597498A" w:rsidR="00882E7C" w:rsidRPr="00882E7C" w:rsidRDefault="00882E7C" w:rsidP="006513E6">
      <w:pPr>
        <w:pStyle w:val="Numberbullet2"/>
        <w:numPr>
          <w:ilvl w:val="1"/>
          <w:numId w:val="8"/>
        </w:numPr>
      </w:pPr>
      <w:r w:rsidRPr="00882E7C">
        <w:t>Does high cardiovascular risk need further defining (either as an indication or precaution)</w:t>
      </w:r>
      <w:proofErr w:type="gramStart"/>
      <w:r w:rsidRPr="00882E7C">
        <w:t>.</w:t>
      </w:r>
      <w:proofErr w:type="gramEnd"/>
      <w:r w:rsidRPr="00882E7C">
        <w:t xml:space="preserve"> Is it appropriate to have patients with peripheral vascular disease and cerebrovascular disease included in the indication if there is uncertainty about safety signals in this population?</w:t>
      </w:r>
    </w:p>
    <w:p w14:paraId="504F611A" w14:textId="77777777" w:rsidR="00882E7C" w:rsidRPr="00882E7C" w:rsidRDefault="00882E7C" w:rsidP="006513E6">
      <w:pPr>
        <w:pStyle w:val="Numberbullet2"/>
        <w:numPr>
          <w:ilvl w:val="1"/>
          <w:numId w:val="8"/>
        </w:numPr>
      </w:pPr>
      <w:r w:rsidRPr="00882E7C">
        <w:t>Can we be sure about the risk/benefit balance in patients with early onset T2DM and good glycaemic control?</w:t>
      </w:r>
    </w:p>
    <w:p w14:paraId="104D0FD8" w14:textId="77777777" w:rsidR="00882E7C" w:rsidRPr="00882E7C" w:rsidRDefault="00882E7C" w:rsidP="006513E6">
      <w:pPr>
        <w:pStyle w:val="Numberbullet0"/>
        <w:numPr>
          <w:ilvl w:val="0"/>
          <w:numId w:val="8"/>
        </w:numPr>
      </w:pPr>
      <w:r w:rsidRPr="00882E7C">
        <w:t>Is the imbalance in stroke significant? Does this need to be added to the RMP?</w:t>
      </w:r>
    </w:p>
    <w:p w14:paraId="77658C6F" w14:textId="65607C88" w:rsidR="00882E7C" w:rsidRPr="00882E7C" w:rsidRDefault="00882E7C" w:rsidP="006513E6">
      <w:pPr>
        <w:pStyle w:val="Numberbullet0"/>
        <w:numPr>
          <w:ilvl w:val="0"/>
          <w:numId w:val="8"/>
        </w:numPr>
      </w:pPr>
      <w:r w:rsidRPr="00882E7C">
        <w:t xml:space="preserve">Please comment on the appropriateness for use in renal impairment in the context of the risk </w:t>
      </w:r>
      <w:r w:rsidR="00805412">
        <w:t>of renal injury with other SGLT</w:t>
      </w:r>
      <w:r w:rsidRPr="00882E7C">
        <w:t>2 inhibitors.</w:t>
      </w:r>
    </w:p>
    <w:p w14:paraId="05BFF61A" w14:textId="64C5D65F" w:rsidR="00882E7C" w:rsidRPr="00882E7C" w:rsidRDefault="00882E7C" w:rsidP="006513E6">
      <w:pPr>
        <w:pStyle w:val="Numberbullet0"/>
        <w:numPr>
          <w:ilvl w:val="0"/>
          <w:numId w:val="8"/>
        </w:numPr>
      </w:pPr>
      <w:r w:rsidRPr="00882E7C">
        <w:t>Please comment on the absence of data for Indigenous Australian’s and the TGA’s role in supporting this.</w:t>
      </w:r>
    </w:p>
    <w:p w14:paraId="45F80070" w14:textId="3050F859" w:rsidR="00882E7C" w:rsidRPr="00882E7C" w:rsidRDefault="00882E7C" w:rsidP="00882E7C">
      <w:r w:rsidRPr="00882E7C">
        <w:t>The committee is requested to provide advice on any other issues that it thinks may be relevant to a decision on whether or not to approve this application.</w:t>
      </w:r>
    </w:p>
    <w:p w14:paraId="48DE4455" w14:textId="78A851CF" w:rsidR="00D23139" w:rsidRDefault="007E2093" w:rsidP="00FF51D5">
      <w:pPr>
        <w:pStyle w:val="Heading4"/>
      </w:pPr>
      <w:r>
        <w:t>Response</w:t>
      </w:r>
      <w:r w:rsidR="00FF51D5">
        <w:t xml:space="preserve"> from sponsor</w:t>
      </w:r>
    </w:p>
    <w:p w14:paraId="625E7EFB" w14:textId="1AF5E397" w:rsidR="00925B9D" w:rsidRPr="00925B9D" w:rsidRDefault="00925B9D" w:rsidP="00925B9D">
      <w:pPr>
        <w:rPr>
          <w:lang w:val="en-GB"/>
        </w:rPr>
      </w:pPr>
      <w:r w:rsidRPr="00925B9D">
        <w:rPr>
          <w:lang w:val="en-GB"/>
        </w:rPr>
        <w:t xml:space="preserve">Presented here is </w:t>
      </w:r>
      <w:r>
        <w:rPr>
          <w:lang w:val="en-GB"/>
        </w:rPr>
        <w:t>the sponsor’s</w:t>
      </w:r>
      <w:r w:rsidRPr="00925B9D">
        <w:rPr>
          <w:lang w:val="en-GB"/>
        </w:rPr>
        <w:t xml:space="preserve"> pre-ACPM response to the Delegate’s Request for ACPM’s Advice in relation to </w:t>
      </w:r>
      <w:r w:rsidR="00B826BA">
        <w:rPr>
          <w:lang w:val="en-GB"/>
        </w:rPr>
        <w:t>the</w:t>
      </w:r>
      <w:r w:rsidR="00B826BA" w:rsidRPr="00925B9D">
        <w:rPr>
          <w:lang w:val="en-GB"/>
        </w:rPr>
        <w:t xml:space="preserve"> </w:t>
      </w:r>
      <w:r w:rsidRPr="00925B9D">
        <w:rPr>
          <w:lang w:val="en-GB"/>
        </w:rPr>
        <w:t xml:space="preserve">application to extend the current approved </w:t>
      </w:r>
      <w:r>
        <w:rPr>
          <w:lang w:val="en-GB"/>
        </w:rPr>
        <w:t>Jardiance</w:t>
      </w:r>
      <w:r w:rsidRPr="00925B9D">
        <w:rPr>
          <w:lang w:val="en-GB"/>
        </w:rPr>
        <w:t xml:space="preserve"> (empagliflozin) indications to </w:t>
      </w:r>
      <w:r>
        <w:rPr>
          <w:lang w:val="en-GB"/>
        </w:rPr>
        <w:t>include the new indication for ‘</w:t>
      </w:r>
      <w:r w:rsidRPr="00925B9D">
        <w:rPr>
          <w:bCs/>
          <w:i/>
          <w:iCs/>
          <w:lang w:val="en-GB"/>
        </w:rPr>
        <w:t>Prevention of cardiovascular events</w:t>
      </w:r>
      <w:r>
        <w:rPr>
          <w:lang w:val="en-GB"/>
        </w:rPr>
        <w:t>’</w:t>
      </w:r>
      <w:r w:rsidRPr="00925B9D">
        <w:rPr>
          <w:lang w:val="en-GB"/>
        </w:rPr>
        <w:t xml:space="preserve">, and to widening usage in patients </w:t>
      </w:r>
      <w:r>
        <w:rPr>
          <w:lang w:val="en-GB"/>
        </w:rPr>
        <w:t>with moderate renal impairment.</w:t>
      </w:r>
    </w:p>
    <w:p w14:paraId="01F391C9" w14:textId="6F23115A" w:rsidR="00BB3227" w:rsidRDefault="00925B9D" w:rsidP="00BB3227">
      <w:pPr>
        <w:pStyle w:val="Heading5"/>
        <w:rPr>
          <w:lang w:val="en-GB"/>
        </w:rPr>
      </w:pPr>
      <w:r>
        <w:rPr>
          <w:lang w:val="en-GB"/>
        </w:rPr>
        <w:lastRenderedPageBreak/>
        <w:t xml:space="preserve">Sponsor’s </w:t>
      </w:r>
      <w:r w:rsidR="00747F03">
        <w:rPr>
          <w:lang w:val="en-GB"/>
        </w:rPr>
        <w:t>response to pre-ACPM Question 1</w:t>
      </w:r>
    </w:p>
    <w:p w14:paraId="5D23397C" w14:textId="62A08B8C" w:rsidR="00687EBE" w:rsidRPr="009A779C" w:rsidRDefault="009A779C" w:rsidP="009A779C">
      <w:pPr>
        <w:pStyle w:val="Bulletlist"/>
        <w:rPr>
          <w:i/>
        </w:rPr>
      </w:pPr>
      <w:r w:rsidRPr="009A779C">
        <w:rPr>
          <w:i/>
        </w:rPr>
        <w:t xml:space="preserve">Q1a) </w:t>
      </w:r>
      <w:r w:rsidR="00687EBE" w:rsidRPr="009A779C">
        <w:rPr>
          <w:i/>
        </w:rPr>
        <w:t>Please comment</w:t>
      </w:r>
      <w:r w:rsidR="00924B89" w:rsidRPr="009A779C">
        <w:rPr>
          <w:i/>
        </w:rPr>
        <w:t xml:space="preserve"> on the proposed indication:</w:t>
      </w:r>
      <w:r w:rsidR="00637E84" w:rsidRPr="009A779C">
        <w:rPr>
          <w:i/>
        </w:rPr>
        <w:t xml:space="preserve"> </w:t>
      </w:r>
      <w:r w:rsidR="00BB3227" w:rsidRPr="009A779C">
        <w:rPr>
          <w:i/>
        </w:rPr>
        <w:t>Is a new indication justified?</w:t>
      </w:r>
    </w:p>
    <w:p w14:paraId="2C99853C" w14:textId="5E7F996A" w:rsidR="002549BC" w:rsidRDefault="00924B89" w:rsidP="00687EBE">
      <w:pPr>
        <w:rPr>
          <w:lang w:val="en-GB"/>
        </w:rPr>
      </w:pPr>
      <w:r>
        <w:rPr>
          <w:lang w:val="en-GB"/>
        </w:rPr>
        <w:t>A</w:t>
      </w:r>
      <w:r w:rsidR="00687EBE" w:rsidRPr="00687EBE">
        <w:rPr>
          <w:lang w:val="en-GB"/>
        </w:rPr>
        <w:t xml:space="preserve">s agreed on by the Delegate, </w:t>
      </w:r>
      <w:r w:rsidR="00687EBE" w:rsidRPr="009A779C">
        <w:rPr>
          <w:iCs/>
          <w:lang w:val="en-GB"/>
        </w:rPr>
        <w:t>it is reasonable to have a separate indicatio</w:t>
      </w:r>
      <w:r w:rsidR="00687EBE" w:rsidRPr="009A779C">
        <w:rPr>
          <w:lang w:val="en-GB"/>
        </w:rPr>
        <w:t>n</w:t>
      </w:r>
      <w:r w:rsidR="002549BC">
        <w:rPr>
          <w:lang w:val="en-GB"/>
        </w:rPr>
        <w:t xml:space="preserve"> as:</w:t>
      </w:r>
    </w:p>
    <w:p w14:paraId="2AC5A45A" w14:textId="77777777" w:rsidR="002549BC" w:rsidRDefault="00687EBE" w:rsidP="006513E6">
      <w:pPr>
        <w:pStyle w:val="Numberbullet0"/>
        <w:numPr>
          <w:ilvl w:val="0"/>
          <w:numId w:val="9"/>
        </w:numPr>
        <w:rPr>
          <w:lang w:val="en-GB"/>
        </w:rPr>
      </w:pPr>
      <w:r w:rsidRPr="002549BC">
        <w:rPr>
          <w:lang w:val="en-GB"/>
        </w:rPr>
        <w:t>there is no clear association between glucose lowering an</w:t>
      </w:r>
      <w:r w:rsidR="002549BC">
        <w:rPr>
          <w:lang w:val="en-GB"/>
        </w:rPr>
        <w:t>d cardiovascular protection;</w:t>
      </w:r>
    </w:p>
    <w:p w14:paraId="58443CC7" w14:textId="77777777" w:rsidR="002549BC" w:rsidRDefault="00687EBE" w:rsidP="006513E6">
      <w:pPr>
        <w:pStyle w:val="Numberbullet0"/>
        <w:numPr>
          <w:ilvl w:val="0"/>
          <w:numId w:val="9"/>
        </w:numPr>
        <w:rPr>
          <w:lang w:val="en-GB"/>
        </w:rPr>
      </w:pPr>
      <w:r w:rsidRPr="002549BC">
        <w:rPr>
          <w:lang w:val="en-GB"/>
        </w:rPr>
        <w:t xml:space="preserve">the reduction in mortality cannot be fully explained by </w:t>
      </w:r>
      <w:r w:rsidR="002549BC">
        <w:rPr>
          <w:lang w:val="en-GB"/>
        </w:rPr>
        <w:t>the improved glycaemic control;</w:t>
      </w:r>
    </w:p>
    <w:p w14:paraId="4A9BD6C3" w14:textId="59FBC715" w:rsidR="00687EBE" w:rsidRPr="002549BC" w:rsidRDefault="00687EBE" w:rsidP="006513E6">
      <w:pPr>
        <w:pStyle w:val="Numberbullet0"/>
        <w:numPr>
          <w:ilvl w:val="0"/>
          <w:numId w:val="9"/>
        </w:numPr>
        <w:rPr>
          <w:lang w:val="en-GB"/>
        </w:rPr>
      </w:pPr>
      <w:proofErr w:type="gramStart"/>
      <w:r w:rsidRPr="002549BC">
        <w:rPr>
          <w:lang w:val="en-GB"/>
        </w:rPr>
        <w:t>the</w:t>
      </w:r>
      <w:proofErr w:type="gramEnd"/>
      <w:r w:rsidRPr="002549BC">
        <w:rPr>
          <w:lang w:val="en-GB"/>
        </w:rPr>
        <w:t xml:space="preserve"> reduction in risk occurred early (within 90 days</w:t>
      </w:r>
      <w:r w:rsidR="002549BC">
        <w:rPr>
          <w:lang w:val="en-GB"/>
        </w:rPr>
        <w:t>) after the start of the trial.</w:t>
      </w:r>
    </w:p>
    <w:p w14:paraId="578AE030" w14:textId="7861A99F" w:rsidR="00687EBE" w:rsidRPr="00687EBE" w:rsidRDefault="00687EBE" w:rsidP="00687EBE">
      <w:pPr>
        <w:rPr>
          <w:lang w:val="en-GB"/>
        </w:rPr>
      </w:pPr>
      <w:r w:rsidRPr="00687EBE">
        <w:rPr>
          <w:lang w:val="en-GB"/>
        </w:rPr>
        <w:t xml:space="preserve">Also mentioned by the Delegate, this </w:t>
      </w:r>
      <w:r w:rsidRPr="00A342B9">
        <w:rPr>
          <w:i/>
          <w:iCs/>
          <w:lang w:val="en-GB"/>
        </w:rPr>
        <w:t>would be similar to the situation with the statins</w:t>
      </w:r>
      <w:r w:rsidRPr="00637E84">
        <w:rPr>
          <w:iCs/>
          <w:lang w:val="en-GB"/>
        </w:rPr>
        <w:t xml:space="preserve"> </w:t>
      </w:r>
      <w:r w:rsidRPr="00637E84">
        <w:rPr>
          <w:lang w:val="en-GB"/>
        </w:rPr>
        <w:t xml:space="preserve">(in Australian PIs) </w:t>
      </w:r>
      <w:r w:rsidRPr="00A342B9">
        <w:rPr>
          <w:i/>
          <w:iCs/>
          <w:lang w:val="en-GB"/>
        </w:rPr>
        <w:t>which are indicated for hyperlipidaemia and cardiovascular protection</w:t>
      </w:r>
      <w:r w:rsidRPr="00637E84">
        <w:rPr>
          <w:iCs/>
          <w:lang w:val="en-GB"/>
        </w:rPr>
        <w:t xml:space="preserve">. </w:t>
      </w:r>
      <w:r w:rsidRPr="00637E84">
        <w:rPr>
          <w:lang w:val="en-GB"/>
        </w:rPr>
        <w:t xml:space="preserve">For example, </w:t>
      </w:r>
      <w:r w:rsidR="002549BC" w:rsidRPr="00637E84">
        <w:rPr>
          <w:lang w:val="en-GB"/>
        </w:rPr>
        <w:t xml:space="preserve">the </w:t>
      </w:r>
      <w:r w:rsidRPr="00637E84">
        <w:rPr>
          <w:lang w:val="en-GB"/>
        </w:rPr>
        <w:t>simvastatin (Zocor</w:t>
      </w:r>
      <w:r w:rsidR="00A342B9">
        <w:rPr>
          <w:lang w:val="en-GB"/>
        </w:rPr>
        <w:t>) PI separates the indications ‘</w:t>
      </w:r>
      <w:r w:rsidRPr="00637E84">
        <w:rPr>
          <w:lang w:val="en-GB"/>
        </w:rPr>
        <w:t>tre</w:t>
      </w:r>
      <w:r w:rsidR="002549BC" w:rsidRPr="00637E84">
        <w:rPr>
          <w:lang w:val="en-GB"/>
        </w:rPr>
        <w:t>atment of hypercholesterolaemia’</w:t>
      </w:r>
      <w:r w:rsidRPr="00637E84">
        <w:rPr>
          <w:lang w:val="en-GB"/>
        </w:rPr>
        <w:t xml:space="preserve"> based on </w:t>
      </w:r>
      <w:r w:rsidRPr="00687EBE">
        <w:rPr>
          <w:lang w:val="en-GB"/>
        </w:rPr>
        <w:t xml:space="preserve">trials </w:t>
      </w:r>
      <w:r w:rsidR="002549BC">
        <w:rPr>
          <w:lang w:val="en-GB"/>
        </w:rPr>
        <w:t xml:space="preserve">investigating serum lipids and </w:t>
      </w:r>
      <w:r w:rsidR="002549BC" w:rsidRPr="00637E84">
        <w:rPr>
          <w:lang w:val="en-GB"/>
        </w:rPr>
        <w:t>‘reducing the risk of CV events’</w:t>
      </w:r>
      <w:r w:rsidRPr="00687EBE">
        <w:rPr>
          <w:lang w:val="en-GB"/>
        </w:rPr>
        <w:t xml:space="preserve"> based on dedicated </w:t>
      </w:r>
      <w:r w:rsidR="00805412">
        <w:rPr>
          <w:lang w:val="en-GB"/>
        </w:rPr>
        <w:t>cardiovascular</w:t>
      </w:r>
      <w:r w:rsidRPr="00687EBE">
        <w:rPr>
          <w:lang w:val="en-GB"/>
        </w:rPr>
        <w:t xml:space="preserve"> outcome trials. On the contrary, the only indication in the pitavastatin (Livalo) PI is for the treatment of hypercholesterolaemia, as no outcome studies were included in the pitavastatin clinical programme. Parallel to the fact that lowering of serum cholesterol is not necessarily equivalent </w:t>
      </w:r>
      <w:r w:rsidR="00805412">
        <w:rPr>
          <w:lang w:val="en-GB"/>
        </w:rPr>
        <w:t>to the reduction of cardiovascular</w:t>
      </w:r>
      <w:r w:rsidRPr="00687EBE">
        <w:rPr>
          <w:lang w:val="en-GB"/>
        </w:rPr>
        <w:t xml:space="preserve"> risk, lowering of blood glucose may not be considered as a general surrog</w:t>
      </w:r>
      <w:r w:rsidR="00805412">
        <w:rPr>
          <w:lang w:val="en-GB"/>
        </w:rPr>
        <w:t>ate for cardiovascular</w:t>
      </w:r>
      <w:r w:rsidR="002549BC">
        <w:rPr>
          <w:lang w:val="en-GB"/>
        </w:rPr>
        <w:t xml:space="preserve"> outcome improvement.</w:t>
      </w:r>
    </w:p>
    <w:p w14:paraId="05C77A1E" w14:textId="0CB72470" w:rsidR="00687EBE" w:rsidRPr="00687EBE" w:rsidRDefault="00687EBE" w:rsidP="00687EBE">
      <w:pPr>
        <w:rPr>
          <w:lang w:val="en-GB"/>
        </w:rPr>
      </w:pPr>
      <w:r w:rsidRPr="00687EBE">
        <w:rPr>
          <w:lang w:val="en-GB"/>
        </w:rPr>
        <w:t xml:space="preserve">Therefore, separating glycaemic and </w:t>
      </w:r>
      <w:r w:rsidR="00805412">
        <w:rPr>
          <w:lang w:val="en-GB"/>
        </w:rPr>
        <w:t>cardiovascular</w:t>
      </w:r>
      <w:r w:rsidRPr="00687EBE">
        <w:rPr>
          <w:lang w:val="en-GB"/>
        </w:rPr>
        <w:t xml:space="preserve"> indications as 2 distinct indications more objectively reflects the results of the EMPA-REG OUTCOME trial, is in line with other drug labels in Australia, and will better guide clinical practice by providing clea</w:t>
      </w:r>
      <w:r w:rsidR="002549BC">
        <w:rPr>
          <w:lang w:val="en-GB"/>
        </w:rPr>
        <w:t>rer information to prescribers.</w:t>
      </w:r>
    </w:p>
    <w:p w14:paraId="50A47ADC" w14:textId="25B01DF6" w:rsidR="00687EBE" w:rsidRPr="00637E84" w:rsidRDefault="00687EBE" w:rsidP="00687EBE">
      <w:pPr>
        <w:rPr>
          <w:lang w:val="en-GB"/>
        </w:rPr>
      </w:pPr>
      <w:r w:rsidRPr="00687EBE">
        <w:rPr>
          <w:lang w:val="en-GB"/>
        </w:rPr>
        <w:t xml:space="preserve">As pointed out by the Delegate, </w:t>
      </w:r>
      <w:r w:rsidR="002549BC" w:rsidRPr="00637E84">
        <w:rPr>
          <w:lang w:val="en-GB"/>
        </w:rPr>
        <w:t>‘</w:t>
      </w:r>
      <w:r w:rsidR="00A342B9" w:rsidRPr="004D6BFD">
        <w:rPr>
          <w:i/>
          <w:iCs/>
          <w:lang w:val="en-GB"/>
        </w:rPr>
        <w:t>Cardiovascular</w:t>
      </w:r>
      <w:r w:rsidRPr="004D6BFD">
        <w:rPr>
          <w:i/>
          <w:iCs/>
          <w:lang w:val="en-GB"/>
        </w:rPr>
        <w:t xml:space="preserve"> death was the only statistically </w:t>
      </w:r>
      <w:r w:rsidR="00924B89" w:rsidRPr="004D6BFD">
        <w:rPr>
          <w:i/>
          <w:iCs/>
          <w:lang w:val="en-GB"/>
        </w:rPr>
        <w:t>significant component of the 3-</w:t>
      </w:r>
      <w:r w:rsidRPr="004D6BFD">
        <w:rPr>
          <w:i/>
          <w:iCs/>
          <w:lang w:val="en-GB"/>
        </w:rPr>
        <w:t>point MACE endpoint. In addition it was considered to be a reliable, non-biased a</w:t>
      </w:r>
      <w:r w:rsidR="002549BC" w:rsidRPr="004D6BFD">
        <w:rPr>
          <w:i/>
          <w:iCs/>
          <w:lang w:val="en-GB"/>
        </w:rPr>
        <w:t>nd clinically relevant endpoint</w:t>
      </w:r>
      <w:r w:rsidR="002549BC" w:rsidRPr="00637E84">
        <w:rPr>
          <w:iCs/>
          <w:lang w:val="en-GB"/>
        </w:rPr>
        <w:t>’.</w:t>
      </w:r>
    </w:p>
    <w:p w14:paraId="510A18F8" w14:textId="646C0D86" w:rsidR="00687EBE" w:rsidRPr="000103CE" w:rsidRDefault="00687EBE" w:rsidP="00687EBE">
      <w:pPr>
        <w:rPr>
          <w:vertAlign w:val="superscript"/>
          <w:lang w:val="en-GB"/>
        </w:rPr>
      </w:pPr>
      <w:r w:rsidRPr="00687EBE">
        <w:rPr>
          <w:lang w:val="en-GB"/>
        </w:rPr>
        <w:t xml:space="preserve">The Delegate commented that </w:t>
      </w:r>
      <w:r w:rsidR="00D12381">
        <w:rPr>
          <w:lang w:val="en-GB"/>
        </w:rPr>
        <w:t>‘</w:t>
      </w:r>
      <w:r w:rsidRPr="00687EBE">
        <w:rPr>
          <w:i/>
          <w:iCs/>
          <w:lang w:val="en-GB"/>
        </w:rPr>
        <w:t>the mechanism of action of</w:t>
      </w:r>
      <w:r w:rsidR="00F55059">
        <w:rPr>
          <w:i/>
          <w:iCs/>
          <w:lang w:val="en-GB"/>
        </w:rPr>
        <w:t xml:space="preserve"> empagliflozin</w:t>
      </w:r>
      <w:r w:rsidRPr="00687EBE">
        <w:rPr>
          <w:i/>
          <w:iCs/>
          <w:lang w:val="en-GB"/>
        </w:rPr>
        <w:t xml:space="preserve"> for this indication is likely to be due to its diuretic and haemodynamic effects, rather than its glucose lowering effects</w:t>
      </w:r>
      <w:r w:rsidR="00D12381">
        <w:rPr>
          <w:i/>
          <w:iCs/>
          <w:lang w:val="en-GB"/>
        </w:rPr>
        <w:t>’</w:t>
      </w:r>
      <w:r w:rsidRPr="00687EBE">
        <w:rPr>
          <w:i/>
          <w:iCs/>
          <w:lang w:val="en-GB"/>
        </w:rPr>
        <w:t xml:space="preserve">. </w:t>
      </w:r>
      <w:r w:rsidRPr="00687EBE">
        <w:rPr>
          <w:lang w:val="en-GB"/>
        </w:rPr>
        <w:t xml:space="preserve">Furthermore, the pathophysiological concept of cardio-renal </w:t>
      </w:r>
      <w:r w:rsidRPr="000103CE">
        <w:rPr>
          <w:lang w:val="en-GB"/>
        </w:rPr>
        <w:t>axis</w:t>
      </w:r>
      <w:r w:rsidR="000103CE" w:rsidRPr="000103CE">
        <w:rPr>
          <w:lang w:val="en-GB"/>
        </w:rPr>
        <w:t xml:space="preserve"> l</w:t>
      </w:r>
      <w:r w:rsidRPr="000103CE">
        <w:rPr>
          <w:lang w:val="en-GB"/>
        </w:rPr>
        <w:t>inks</w:t>
      </w:r>
      <w:r w:rsidRPr="00687EBE">
        <w:rPr>
          <w:lang w:val="en-GB"/>
        </w:rPr>
        <w:t xml:space="preserve"> together the findings from the EMPA-REG OUTCOME trial, which showed reductions in the risk of </w:t>
      </w:r>
      <w:r w:rsidR="004D6BFD">
        <w:rPr>
          <w:lang w:val="en-GB"/>
        </w:rPr>
        <w:t>cardiovascular</w:t>
      </w:r>
      <w:r w:rsidRPr="00687EBE">
        <w:rPr>
          <w:lang w:val="en-GB"/>
        </w:rPr>
        <w:t xml:space="preserve"> death, heart failure, and progression of renal disease </w:t>
      </w:r>
      <w:r w:rsidR="00D12381">
        <w:rPr>
          <w:lang w:val="en-GB"/>
        </w:rPr>
        <w:t>over time.</w:t>
      </w:r>
      <w:r w:rsidR="000103CE">
        <w:rPr>
          <w:rStyle w:val="FootnoteReference"/>
          <w:lang w:val="en-GB"/>
        </w:rPr>
        <w:footnoteReference w:id="11"/>
      </w:r>
      <w:r w:rsidR="000103CE">
        <w:rPr>
          <w:vertAlign w:val="superscript"/>
          <w:lang w:val="en-GB"/>
        </w:rPr>
        <w:t>,</w:t>
      </w:r>
      <w:r w:rsidR="000103CE">
        <w:rPr>
          <w:rStyle w:val="FootnoteReference"/>
          <w:lang w:val="en-GB"/>
        </w:rPr>
        <w:footnoteReference w:id="12"/>
      </w:r>
      <w:r w:rsidR="005238EA">
        <w:rPr>
          <w:vertAlign w:val="superscript"/>
          <w:lang w:val="en-GB"/>
        </w:rPr>
        <w:t>,</w:t>
      </w:r>
      <w:r w:rsidR="000103CE">
        <w:rPr>
          <w:rStyle w:val="FootnoteReference"/>
          <w:lang w:val="en-GB"/>
        </w:rPr>
        <w:footnoteReference w:id="13"/>
      </w:r>
      <w:r w:rsidR="005238EA">
        <w:rPr>
          <w:vertAlign w:val="superscript"/>
          <w:lang w:val="en-GB"/>
        </w:rPr>
        <w:t>,</w:t>
      </w:r>
      <w:r w:rsidR="000103CE">
        <w:rPr>
          <w:rStyle w:val="FootnoteReference"/>
          <w:lang w:val="en-GB"/>
        </w:rPr>
        <w:footnoteReference w:id="14"/>
      </w:r>
      <w:r w:rsidR="005238EA">
        <w:rPr>
          <w:vertAlign w:val="superscript"/>
          <w:lang w:val="en-GB"/>
        </w:rPr>
        <w:t>,</w:t>
      </w:r>
      <w:r w:rsidR="000103CE">
        <w:rPr>
          <w:rStyle w:val="FootnoteReference"/>
          <w:lang w:val="en-GB"/>
        </w:rPr>
        <w:footnoteReference w:id="15"/>
      </w:r>
      <w:r w:rsidR="005238EA">
        <w:rPr>
          <w:vertAlign w:val="superscript"/>
          <w:lang w:val="en-GB"/>
        </w:rPr>
        <w:t>.</w:t>
      </w:r>
    </w:p>
    <w:p w14:paraId="0B6CD423" w14:textId="494F9C14" w:rsidR="00687EBE" w:rsidRPr="00687EBE" w:rsidRDefault="00687EBE" w:rsidP="00687EBE">
      <w:pPr>
        <w:rPr>
          <w:lang w:val="en-GB"/>
        </w:rPr>
      </w:pPr>
      <w:r w:rsidRPr="00687EBE">
        <w:rPr>
          <w:lang w:val="en-GB"/>
        </w:rPr>
        <w:t xml:space="preserve">Therefore, to inform prescribers of the most clinically relevant and statistically </w:t>
      </w:r>
      <w:r w:rsidR="00637E84">
        <w:rPr>
          <w:lang w:val="en-GB"/>
        </w:rPr>
        <w:t>robust finding in this trial, the sponsor</w:t>
      </w:r>
      <w:r w:rsidRPr="00687EBE">
        <w:rPr>
          <w:lang w:val="en-GB"/>
        </w:rPr>
        <w:t xml:space="preserve"> focuse</w:t>
      </w:r>
      <w:r w:rsidR="004D6BFD">
        <w:rPr>
          <w:lang w:val="en-GB"/>
        </w:rPr>
        <w:t>s the indication statement on cardiovascular</w:t>
      </w:r>
      <w:r w:rsidRPr="00687EBE">
        <w:rPr>
          <w:lang w:val="en-GB"/>
        </w:rPr>
        <w:t xml:space="preserve"> death results, with all-cause mortality results providing the context (</w:t>
      </w:r>
      <w:r w:rsidR="00D12381">
        <w:rPr>
          <w:lang w:val="en-GB"/>
        </w:rPr>
        <w:t xml:space="preserve">that is, </w:t>
      </w:r>
      <w:r w:rsidR="004D6BFD">
        <w:rPr>
          <w:lang w:val="en-GB"/>
        </w:rPr>
        <w:t>no increase in non-cardiovascular</w:t>
      </w:r>
      <w:r w:rsidRPr="00687EBE">
        <w:rPr>
          <w:lang w:val="en-GB"/>
        </w:rPr>
        <w:t xml:space="preserve"> deaths) and heart failure results providing a pharmacodynamic mecha</w:t>
      </w:r>
      <w:r w:rsidR="00D12381">
        <w:rPr>
          <w:lang w:val="en-GB"/>
        </w:rPr>
        <w:t>nism via the cardio-renal axis.</w:t>
      </w:r>
    </w:p>
    <w:p w14:paraId="3701979B" w14:textId="44165619" w:rsidR="00BB3227" w:rsidRPr="009A779C" w:rsidRDefault="009A779C" w:rsidP="009A779C">
      <w:pPr>
        <w:pStyle w:val="ListBullet"/>
        <w:rPr>
          <w:rFonts w:eastAsia="MS Mincho"/>
          <w:i/>
        </w:rPr>
      </w:pPr>
      <w:r w:rsidRPr="009A779C">
        <w:rPr>
          <w:i/>
        </w:rPr>
        <w:t xml:space="preserve">Q1b) </w:t>
      </w:r>
      <w:r w:rsidR="00BB3227" w:rsidRPr="009A779C">
        <w:rPr>
          <w:i/>
        </w:rPr>
        <w:t>Does high cardiovascular risk need further defining (either as an indication or precaution). Is it appropriate to have patients with peripheral vascular disease and cerebrovascular disease included in the indication if there is uncertainty about safety signals in this population?</w:t>
      </w:r>
    </w:p>
    <w:p w14:paraId="11A258EF" w14:textId="72856497" w:rsidR="00BB3227" w:rsidRPr="00BB3227" w:rsidRDefault="00BB3227" w:rsidP="00BB3227">
      <w:pPr>
        <w:rPr>
          <w:lang w:val="en-GB"/>
        </w:rPr>
      </w:pPr>
      <w:r w:rsidRPr="00BB3227">
        <w:rPr>
          <w:lang w:val="en-GB"/>
        </w:rPr>
        <w:lastRenderedPageBreak/>
        <w:t>The Delegate raised</w:t>
      </w:r>
      <w:r w:rsidR="005238EA">
        <w:rPr>
          <w:lang w:val="en-GB"/>
        </w:rPr>
        <w:t xml:space="preserve"> the concern</w:t>
      </w:r>
      <w:r w:rsidRPr="00BB3227">
        <w:rPr>
          <w:lang w:val="en-GB"/>
        </w:rPr>
        <w:t xml:space="preserve"> in</w:t>
      </w:r>
      <w:r w:rsidR="007F2E71">
        <w:rPr>
          <w:lang w:val="en-GB"/>
        </w:rPr>
        <w:t xml:space="preserve"> </w:t>
      </w:r>
      <w:r w:rsidRPr="00BB3227">
        <w:rPr>
          <w:lang w:val="en-GB"/>
        </w:rPr>
        <w:t>discussion</w:t>
      </w:r>
      <w:r w:rsidR="008A3CBF">
        <w:rPr>
          <w:lang w:val="en-GB"/>
        </w:rPr>
        <w:t xml:space="preserve"> with the sponsor</w:t>
      </w:r>
      <w:r w:rsidRPr="00BB3227">
        <w:rPr>
          <w:lang w:val="en-GB"/>
        </w:rPr>
        <w:t xml:space="preserve"> that </w:t>
      </w:r>
      <w:r w:rsidRPr="00BB3227">
        <w:rPr>
          <w:i/>
          <w:iCs/>
          <w:lang w:val="en-GB"/>
        </w:rPr>
        <w:t xml:space="preserve">the term ‘established cardiovascular disease’ </w:t>
      </w:r>
      <w:r w:rsidRPr="004D6BFD">
        <w:rPr>
          <w:i/>
          <w:iCs/>
          <w:lang w:val="en-GB"/>
        </w:rPr>
        <w:t>better describes the patient population in the clinical trial</w:t>
      </w:r>
      <w:r w:rsidRPr="00D12381">
        <w:rPr>
          <w:lang w:val="en-GB"/>
        </w:rPr>
        <w:t>.</w:t>
      </w:r>
      <w:r w:rsidR="00D12381">
        <w:rPr>
          <w:lang w:val="en-GB"/>
        </w:rPr>
        <w:t xml:space="preserve"> The sponsor</w:t>
      </w:r>
      <w:r w:rsidRPr="00BB3227">
        <w:rPr>
          <w:lang w:val="en-GB"/>
        </w:rPr>
        <w:t xml:space="preserve"> agrees to replace </w:t>
      </w:r>
      <w:r w:rsidR="00D12381">
        <w:rPr>
          <w:lang w:val="en-GB"/>
        </w:rPr>
        <w:t>‘high cardiovascular risk’ with ‘</w:t>
      </w:r>
      <w:r w:rsidRPr="00BB3227">
        <w:rPr>
          <w:lang w:val="en-GB"/>
        </w:rPr>
        <w:t>est</w:t>
      </w:r>
      <w:r w:rsidR="00D12381">
        <w:rPr>
          <w:lang w:val="en-GB"/>
        </w:rPr>
        <w:t>ablished cardiovascular disease’</w:t>
      </w:r>
      <w:r w:rsidRPr="00BB3227">
        <w:rPr>
          <w:lang w:val="en-GB"/>
        </w:rPr>
        <w:t xml:space="preserve"> in </w:t>
      </w:r>
      <w:r w:rsidR="00D12381">
        <w:rPr>
          <w:lang w:val="en-GB"/>
        </w:rPr>
        <w:t>the indication statement.</w:t>
      </w:r>
    </w:p>
    <w:p w14:paraId="1C3A70D7" w14:textId="4A8AFBBA" w:rsidR="00BB3227" w:rsidRDefault="00D12381" w:rsidP="00BB3227">
      <w:pPr>
        <w:rPr>
          <w:lang w:val="en-GB"/>
        </w:rPr>
      </w:pPr>
      <w:r>
        <w:rPr>
          <w:lang w:val="en-GB"/>
        </w:rPr>
        <w:t xml:space="preserve">The sponsor </w:t>
      </w:r>
      <w:r w:rsidR="00BB3227" w:rsidRPr="00BB3227">
        <w:rPr>
          <w:lang w:val="en-GB"/>
        </w:rPr>
        <w:t>considers it appropriate to have patients with peripheral vascular disease and cerebrovascular disease included in the indication, since the trial inclusion criterion 7 specifically stated these conditions, and a large number of such patients were included in the trial (1461 patients (20.8%) with peripheral artery disease; 1637 patients (23.3%) with history of stroke). The analyses by history of stroke and by peripheral artery disease showed</w:t>
      </w:r>
      <w:r w:rsidR="00A55718">
        <w:rPr>
          <w:lang w:val="en-GB"/>
        </w:rPr>
        <w:t xml:space="preserve"> higher incidence rates of </w:t>
      </w:r>
      <w:r w:rsidR="00A55718" w:rsidRPr="00A55718">
        <w:rPr>
          <w:lang w:val="en-GB"/>
        </w:rPr>
        <w:t>cardiovascular</w:t>
      </w:r>
      <w:r w:rsidR="00BB3227" w:rsidRPr="00BB3227">
        <w:rPr>
          <w:lang w:val="en-GB"/>
        </w:rPr>
        <w:t xml:space="preserve"> events in patients with these conditions than those without, but consistent benefits with</w:t>
      </w:r>
      <w:r w:rsidR="00F55059">
        <w:rPr>
          <w:lang w:val="en-GB"/>
        </w:rPr>
        <w:t xml:space="preserve"> empagliflozin</w:t>
      </w:r>
      <w:r w:rsidR="00BB3227" w:rsidRPr="00BB3227">
        <w:rPr>
          <w:lang w:val="en-GB"/>
        </w:rPr>
        <w:t xml:space="preserve"> treatment were seen across all su</w:t>
      </w:r>
      <w:r>
        <w:rPr>
          <w:lang w:val="en-GB"/>
        </w:rPr>
        <w:t xml:space="preserve">bgroups </w:t>
      </w:r>
      <w:r w:rsidR="004D6BFD">
        <w:rPr>
          <w:lang w:val="en-GB"/>
        </w:rPr>
        <w:t>(see Figure 8, below).</w:t>
      </w:r>
    </w:p>
    <w:p w14:paraId="3F0D7BC2" w14:textId="2BF042B7" w:rsidR="006A2A24" w:rsidRPr="00BB3227" w:rsidRDefault="004D6BFD" w:rsidP="006A2A24">
      <w:pPr>
        <w:pStyle w:val="FigureTitle"/>
        <w:rPr>
          <w:lang w:val="en-GB"/>
        </w:rPr>
      </w:pPr>
      <w:proofErr w:type="gramStart"/>
      <w:r>
        <w:rPr>
          <w:lang w:val="en-GB"/>
        </w:rPr>
        <w:t>Figure 8</w:t>
      </w:r>
      <w:r w:rsidR="006A2A24">
        <w:rPr>
          <w:lang w:val="en-GB"/>
        </w:rPr>
        <w:t>.</w:t>
      </w:r>
      <w:proofErr w:type="gramEnd"/>
      <w:r w:rsidR="006A2A24">
        <w:rPr>
          <w:lang w:val="en-GB"/>
        </w:rPr>
        <w:t xml:space="preserve"> Comparison between</w:t>
      </w:r>
      <w:r w:rsidR="00F55059">
        <w:rPr>
          <w:lang w:val="en-GB"/>
        </w:rPr>
        <w:t xml:space="preserve"> empagliflozin</w:t>
      </w:r>
      <w:r w:rsidR="006A2A24">
        <w:rPr>
          <w:lang w:val="en-GB"/>
        </w:rPr>
        <w:t xml:space="preserve"> </w:t>
      </w:r>
      <w:r>
        <w:rPr>
          <w:lang w:val="en-GB"/>
        </w:rPr>
        <w:t>versus placebo in cardiovascular death, all-</w:t>
      </w:r>
      <w:r w:rsidR="006A2A24">
        <w:rPr>
          <w:lang w:val="en-GB"/>
        </w:rPr>
        <w:t xml:space="preserve">cause mortality, and hospitalisation due to </w:t>
      </w:r>
      <w:r>
        <w:rPr>
          <w:lang w:val="en-GB"/>
        </w:rPr>
        <w:t>cardiovascular disease</w:t>
      </w:r>
      <w:r w:rsidR="006A2A24">
        <w:rPr>
          <w:lang w:val="en-GB"/>
        </w:rPr>
        <w:t xml:space="preserve"> or heart failure</w:t>
      </w:r>
    </w:p>
    <w:p w14:paraId="63274268" w14:textId="2092779F" w:rsidR="00687EBE" w:rsidRDefault="006A2A24" w:rsidP="00687EBE">
      <w:r w:rsidRPr="006A2A24">
        <w:rPr>
          <w:noProof/>
          <w:lang w:eastAsia="en-AU"/>
        </w:rPr>
        <w:drawing>
          <wp:inline distT="0" distB="0" distL="0" distR="0" wp14:anchorId="2E03CED4" wp14:editId="2F3320D0">
            <wp:extent cx="4011052" cy="3896436"/>
            <wp:effectExtent l="0" t="0" r="8890" b="8890"/>
            <wp:docPr id="2" name="Picture 2" descr="Figure 8 is an plot graph showing the comparison between empagliflozin versus placebo in cardiovascular death, all-cause mortality, and hospitalisation due to cardiovascular disease or heart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4015088" cy="3900357"/>
                    </a:xfrm>
                    <a:prstGeom prst="rect">
                      <a:avLst/>
                    </a:prstGeom>
                  </pic:spPr>
                </pic:pic>
              </a:graphicData>
            </a:graphic>
          </wp:inline>
        </w:drawing>
      </w:r>
    </w:p>
    <w:p w14:paraId="6B813565" w14:textId="22242EE7" w:rsidR="006A2A24" w:rsidRPr="009A779C" w:rsidRDefault="009A779C" w:rsidP="009A779C">
      <w:pPr>
        <w:pStyle w:val="ListBullet"/>
        <w:rPr>
          <w:rFonts w:ascii="MS Mincho" w:eastAsia="MS Mincho" w:hAnsi="MS Mincho" w:cs="MS Mincho"/>
          <w:i/>
          <w:lang w:val="en-GB"/>
        </w:rPr>
      </w:pPr>
      <w:r w:rsidRPr="009A779C">
        <w:rPr>
          <w:i/>
          <w:lang w:val="en-GB"/>
        </w:rPr>
        <w:t xml:space="preserve">Q1c) </w:t>
      </w:r>
      <w:r w:rsidR="006A2A24" w:rsidRPr="009A779C">
        <w:rPr>
          <w:i/>
          <w:lang w:val="en-GB"/>
        </w:rPr>
        <w:t>Can we be sure about the risk/benefit balance in patients with early onset T2DM and good glycaemic control?</w:t>
      </w:r>
    </w:p>
    <w:p w14:paraId="1EE939E1" w14:textId="4B887C60" w:rsidR="006A2A24" w:rsidRDefault="006A2A24" w:rsidP="00687EBE">
      <w:pPr>
        <w:rPr>
          <w:lang w:val="en-GB"/>
        </w:rPr>
      </w:pPr>
      <w:r w:rsidRPr="006A2A24">
        <w:rPr>
          <w:lang w:val="en-GB"/>
        </w:rPr>
        <w:t>Although the trial was not designed to specifically investigate patients with early onset T2DM and good glycaemic control, patients with early onset T2DM (180 patients (2.6%) ≤</w:t>
      </w:r>
      <w:r w:rsidR="004E5E4D">
        <w:rPr>
          <w:lang w:val="en-GB"/>
        </w:rPr>
        <w:t> </w:t>
      </w:r>
      <w:r w:rsidRPr="006A2A24">
        <w:rPr>
          <w:lang w:val="en-GB"/>
        </w:rPr>
        <w:t>1 year and 1083 (15.4%) &gt;</w:t>
      </w:r>
      <w:r w:rsidR="004E5E4D">
        <w:rPr>
          <w:lang w:val="en-GB"/>
        </w:rPr>
        <w:t> </w:t>
      </w:r>
      <w:r w:rsidRPr="006A2A24">
        <w:rPr>
          <w:lang w:val="en-GB"/>
        </w:rPr>
        <w:t>1 to 5 years since diagnosis) or good glycaemic control (424 patients (6.0%) with baseline HbA</w:t>
      </w:r>
      <w:r w:rsidR="004E5E4D">
        <w:rPr>
          <w:lang w:val="en-GB"/>
        </w:rPr>
        <w:t xml:space="preserve">1c </w:t>
      </w:r>
      <w:r w:rsidRPr="006A2A24">
        <w:rPr>
          <w:lang w:val="en-GB"/>
        </w:rPr>
        <w:t>&lt;</w:t>
      </w:r>
      <w:r w:rsidR="004E5E4D">
        <w:rPr>
          <w:lang w:val="en-GB"/>
        </w:rPr>
        <w:t> </w:t>
      </w:r>
      <w:r w:rsidRPr="006A2A24">
        <w:rPr>
          <w:lang w:val="en-GB"/>
        </w:rPr>
        <w:t>7.0%) were included in the trial. The benefits with</w:t>
      </w:r>
      <w:r w:rsidR="00F55059">
        <w:rPr>
          <w:lang w:val="en-GB"/>
        </w:rPr>
        <w:t xml:space="preserve"> empagliflozin</w:t>
      </w:r>
      <w:r w:rsidRPr="006A2A24">
        <w:rPr>
          <w:lang w:val="en-GB"/>
        </w:rPr>
        <w:t xml:space="preserve"> were consistent regardless of these baseline characte</w:t>
      </w:r>
      <w:r w:rsidR="004E5E4D">
        <w:rPr>
          <w:lang w:val="en-GB"/>
        </w:rPr>
        <w:t xml:space="preserve">ristics (see </w:t>
      </w:r>
      <w:r w:rsidR="004D6BFD">
        <w:rPr>
          <w:lang w:val="en-GB"/>
        </w:rPr>
        <w:t>Figures 9 and 10 below).</w:t>
      </w:r>
    </w:p>
    <w:p w14:paraId="4E184920" w14:textId="0A791E43" w:rsidR="004D6BFD" w:rsidRDefault="004D6BFD" w:rsidP="00830DCA">
      <w:pPr>
        <w:pStyle w:val="FigureTitle"/>
        <w:rPr>
          <w:lang w:val="en-GB"/>
        </w:rPr>
      </w:pPr>
      <w:proofErr w:type="gramStart"/>
      <w:r>
        <w:rPr>
          <w:lang w:val="en-GB"/>
        </w:rPr>
        <w:lastRenderedPageBreak/>
        <w:t>Figure 9.</w:t>
      </w:r>
      <w:proofErr w:type="gramEnd"/>
      <w:r w:rsidR="00830DCA">
        <w:rPr>
          <w:lang w:val="en-GB"/>
        </w:rPr>
        <w:t xml:space="preserve"> Cardiovascular death, all-cause mortality and hospitalisation with heart failure or cardiovascular death according to time since T2DM diagnosis</w:t>
      </w:r>
    </w:p>
    <w:p w14:paraId="524333CA" w14:textId="2E286D47" w:rsidR="004E5E4D" w:rsidRDefault="004E5E4D" w:rsidP="00687EBE">
      <w:pPr>
        <w:rPr>
          <w:lang w:val="en-GB"/>
        </w:rPr>
      </w:pPr>
      <w:r w:rsidRPr="004E5E4D">
        <w:rPr>
          <w:noProof/>
          <w:lang w:eastAsia="en-AU"/>
        </w:rPr>
        <w:drawing>
          <wp:inline distT="0" distB="0" distL="0" distR="0" wp14:anchorId="5FF51B0D" wp14:editId="76F25DAB">
            <wp:extent cx="5098530" cy="2764502"/>
            <wp:effectExtent l="0" t="0" r="6985" b="0"/>
            <wp:docPr id="3" name="Picture 3" descr="Figure 9 is an image of a plot chart showing the cardiovascular death, all-cause mortality and hospitalisation with heart failure or cardiovascular death according to time since T2DM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5109038" cy="2770200"/>
                    </a:xfrm>
                    <a:prstGeom prst="rect">
                      <a:avLst/>
                    </a:prstGeom>
                  </pic:spPr>
                </pic:pic>
              </a:graphicData>
            </a:graphic>
          </wp:inline>
        </w:drawing>
      </w:r>
    </w:p>
    <w:p w14:paraId="0EFAA1B8" w14:textId="4491E37B" w:rsidR="00830DCA" w:rsidRDefault="00830DCA" w:rsidP="00747F03">
      <w:pPr>
        <w:pStyle w:val="FigureTitle"/>
        <w:rPr>
          <w:lang w:val="en-GB"/>
        </w:rPr>
      </w:pPr>
      <w:proofErr w:type="gramStart"/>
      <w:r>
        <w:rPr>
          <w:lang w:val="en-GB"/>
        </w:rPr>
        <w:t>Figure 10.</w:t>
      </w:r>
      <w:proofErr w:type="gramEnd"/>
      <w:r>
        <w:rPr>
          <w:lang w:val="en-GB"/>
        </w:rPr>
        <w:t xml:space="preserve"> Cardiovascular death, all-cause mortality and hospitalisation with heart failure or cardiovascular death according to baseline glycaemic control</w:t>
      </w:r>
    </w:p>
    <w:p w14:paraId="638E4C76" w14:textId="5DAD8D4C" w:rsidR="004E5E4D" w:rsidRDefault="004E5E4D" w:rsidP="00687EBE">
      <w:pPr>
        <w:rPr>
          <w:lang w:val="en-GB"/>
        </w:rPr>
      </w:pPr>
      <w:r w:rsidRPr="004E5E4D">
        <w:rPr>
          <w:noProof/>
          <w:lang w:eastAsia="en-AU"/>
        </w:rPr>
        <w:drawing>
          <wp:inline distT="0" distB="0" distL="0" distR="0" wp14:anchorId="66128116" wp14:editId="50B02B86">
            <wp:extent cx="4167067" cy="3869140"/>
            <wp:effectExtent l="0" t="0" r="5080" b="0"/>
            <wp:docPr id="4" name="Picture 4" descr="Figure 10 is an image of a plot graph showing the cardiovascular death, all-cause mortality and hospitalisation with heart failure or cardiovascular death according to baseline glycaemic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4172393" cy="3874086"/>
                    </a:xfrm>
                    <a:prstGeom prst="rect">
                      <a:avLst/>
                    </a:prstGeom>
                  </pic:spPr>
                </pic:pic>
              </a:graphicData>
            </a:graphic>
          </wp:inline>
        </w:drawing>
      </w:r>
    </w:p>
    <w:p w14:paraId="39D4244A" w14:textId="5EE50530" w:rsidR="004E5E4D" w:rsidRDefault="00747F03" w:rsidP="004E5E4D">
      <w:pPr>
        <w:pStyle w:val="Heading5"/>
        <w:rPr>
          <w:lang w:val="en-GB"/>
        </w:rPr>
      </w:pPr>
      <w:r>
        <w:rPr>
          <w:lang w:val="en-GB"/>
        </w:rPr>
        <w:t>Sponsor’s response to pre-ACPM Question 2</w:t>
      </w:r>
    </w:p>
    <w:p w14:paraId="35A9AE5A" w14:textId="2B504CF2" w:rsidR="004E5E4D" w:rsidRPr="009A779C" w:rsidRDefault="009A779C" w:rsidP="009A779C">
      <w:pPr>
        <w:pStyle w:val="ListBullet"/>
        <w:rPr>
          <w:i/>
        </w:rPr>
      </w:pPr>
      <w:r>
        <w:rPr>
          <w:i/>
        </w:rPr>
        <w:t xml:space="preserve">Q2) </w:t>
      </w:r>
      <w:proofErr w:type="gramStart"/>
      <w:r w:rsidR="004E5E4D" w:rsidRPr="009A779C">
        <w:rPr>
          <w:i/>
        </w:rPr>
        <w:t>Is</w:t>
      </w:r>
      <w:proofErr w:type="gramEnd"/>
      <w:r w:rsidR="004E5E4D" w:rsidRPr="009A779C">
        <w:rPr>
          <w:i/>
        </w:rPr>
        <w:t xml:space="preserve"> the imbalance in stroke significant? Does this need to be added to the RMP?</w:t>
      </w:r>
    </w:p>
    <w:p w14:paraId="123CF252" w14:textId="342036D4" w:rsidR="004E5E4D" w:rsidRPr="004E5E4D" w:rsidRDefault="004E5E4D" w:rsidP="004E5E4D">
      <w:pPr>
        <w:rPr>
          <w:lang w:val="en-GB"/>
        </w:rPr>
      </w:pPr>
      <w:r w:rsidRPr="004E5E4D">
        <w:rPr>
          <w:lang w:val="en-GB"/>
        </w:rPr>
        <w:t>The data of the trial do not show a significant imbalance of stroke and do not reflect a risk that requires inclusion in the R</w:t>
      </w:r>
      <w:r w:rsidR="00414D22">
        <w:rPr>
          <w:lang w:val="en-GB"/>
        </w:rPr>
        <w:t>MP. The reasons are as follows:</w:t>
      </w:r>
    </w:p>
    <w:p w14:paraId="4728FE7E" w14:textId="3D3F11DB" w:rsidR="004E5E4D" w:rsidRPr="004E5E4D" w:rsidRDefault="004E5E4D" w:rsidP="00414D22">
      <w:pPr>
        <w:pStyle w:val="ListBullet"/>
        <w:rPr>
          <w:lang w:val="en-GB"/>
        </w:rPr>
      </w:pPr>
      <w:r w:rsidRPr="004E5E4D">
        <w:rPr>
          <w:lang w:val="en-GB"/>
        </w:rPr>
        <w:t>The difference between</w:t>
      </w:r>
      <w:r w:rsidR="00F55059">
        <w:rPr>
          <w:lang w:val="en-GB"/>
        </w:rPr>
        <w:t xml:space="preserve"> empagliflozin</w:t>
      </w:r>
      <w:r w:rsidRPr="004E5E4D">
        <w:rPr>
          <w:lang w:val="en-GB"/>
        </w:rPr>
        <w:t xml:space="preserve"> and placebo for stroke (fatal/non-fatal) was not significant (HR</w:t>
      </w:r>
      <w:r w:rsidR="00414D22">
        <w:rPr>
          <w:lang w:val="en-GB"/>
        </w:rPr>
        <w:t xml:space="preserve"> </w:t>
      </w:r>
      <w:r w:rsidRPr="004E5E4D">
        <w:rPr>
          <w:lang w:val="en-GB"/>
        </w:rPr>
        <w:t>=</w:t>
      </w:r>
      <w:r w:rsidR="00414D22">
        <w:rPr>
          <w:lang w:val="en-GB"/>
        </w:rPr>
        <w:t xml:space="preserve"> </w:t>
      </w:r>
      <w:r w:rsidRPr="004E5E4D">
        <w:rPr>
          <w:lang w:val="en-GB"/>
        </w:rPr>
        <w:t>1.18</w:t>
      </w:r>
      <w:r w:rsidR="00414D22">
        <w:rPr>
          <w:lang w:val="en-GB"/>
        </w:rPr>
        <w:t>, 95% CI 0.89 to 1.56, p = 0.257).</w:t>
      </w:r>
    </w:p>
    <w:p w14:paraId="0AB8054A" w14:textId="5402CE5C" w:rsidR="004E5E4D" w:rsidRDefault="004E5E4D" w:rsidP="00414D22">
      <w:pPr>
        <w:pStyle w:val="ListBullet"/>
        <w:rPr>
          <w:lang w:val="en-GB"/>
        </w:rPr>
      </w:pPr>
      <w:r w:rsidRPr="004E5E4D">
        <w:rPr>
          <w:lang w:val="en-GB"/>
        </w:rPr>
        <w:lastRenderedPageBreak/>
        <w:t xml:space="preserve">There was no increase in treatment-emergent strokes, as shown in the analysis of on-treatment strokes using a cut-off of 90 days for the observation period after </w:t>
      </w:r>
      <w:r w:rsidR="00414D22">
        <w:rPr>
          <w:lang w:val="en-GB"/>
        </w:rPr>
        <w:t xml:space="preserve">treatment stop (see </w:t>
      </w:r>
      <w:r w:rsidR="00747F03">
        <w:rPr>
          <w:lang w:val="en-GB"/>
        </w:rPr>
        <w:t>Figure 11, below).</w:t>
      </w:r>
    </w:p>
    <w:p w14:paraId="1304DB01" w14:textId="0471948C" w:rsidR="00747F03" w:rsidRPr="00747F03" w:rsidRDefault="00747F03" w:rsidP="00747F03">
      <w:pPr>
        <w:pStyle w:val="FigureTitle"/>
      </w:pPr>
      <w:proofErr w:type="gramStart"/>
      <w:r>
        <w:t>Figure 11.</w:t>
      </w:r>
      <w:proofErr w:type="gramEnd"/>
      <w:r>
        <w:t xml:space="preserve"> Kaplan-Meier plot of the HR for treatment emergent strokes, empagliflozin versus placebo</w:t>
      </w:r>
    </w:p>
    <w:p w14:paraId="3EA1043D" w14:textId="4311C16D" w:rsidR="004E5E4D" w:rsidRDefault="00414D22" w:rsidP="004E5E4D">
      <w:pPr>
        <w:rPr>
          <w:lang w:val="en-GB"/>
        </w:rPr>
      </w:pPr>
      <w:r w:rsidRPr="00414D22">
        <w:rPr>
          <w:noProof/>
          <w:lang w:eastAsia="en-AU"/>
        </w:rPr>
        <w:drawing>
          <wp:inline distT="0" distB="0" distL="0" distR="0" wp14:anchorId="1B365821" wp14:editId="14067A75">
            <wp:extent cx="3869140" cy="2119747"/>
            <wp:effectExtent l="0" t="0" r="0" b="0"/>
            <wp:docPr id="5" name="Picture 5" descr=" Figure 11 is a line graph showing the Kaplan-Meier plot of the HR for treatment emergent strokes, empagliflozin versus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82248" cy="2126928"/>
                    </a:xfrm>
                    <a:prstGeom prst="rect">
                      <a:avLst/>
                    </a:prstGeom>
                  </pic:spPr>
                </pic:pic>
              </a:graphicData>
            </a:graphic>
          </wp:inline>
        </w:drawing>
      </w:r>
    </w:p>
    <w:p w14:paraId="3C6DC00C" w14:textId="05E1349F" w:rsidR="00414D22" w:rsidRPr="00414D22" w:rsidRDefault="00414D22" w:rsidP="00414D22">
      <w:pPr>
        <w:pStyle w:val="ListBullet"/>
        <w:rPr>
          <w:lang w:val="en-GB"/>
        </w:rPr>
      </w:pPr>
      <w:r w:rsidRPr="00414D22">
        <w:rPr>
          <w:lang w:val="en-GB"/>
        </w:rPr>
        <w:t>The frequencies of recurrent strokes were low and balanced (em</w:t>
      </w:r>
      <w:r>
        <w:rPr>
          <w:lang w:val="en-GB"/>
        </w:rPr>
        <w:t>pagliflozin 0.3%, placebo 0.3%)</w:t>
      </w:r>
    </w:p>
    <w:p w14:paraId="596D61B4" w14:textId="25228FC7" w:rsidR="00414D22" w:rsidRPr="00414D22" w:rsidRDefault="00414D22" w:rsidP="00414D22">
      <w:pPr>
        <w:pStyle w:val="ListBullet"/>
        <w:rPr>
          <w:lang w:val="en-GB"/>
        </w:rPr>
      </w:pPr>
      <w:r w:rsidRPr="00414D22">
        <w:rPr>
          <w:lang w:val="en-GB"/>
        </w:rPr>
        <w:t xml:space="preserve">Disabling strokes (as reported by the investigators) or fatal strokes were infrequent and balanced </w:t>
      </w:r>
      <w:r>
        <w:rPr>
          <w:lang w:val="en-GB"/>
        </w:rPr>
        <w:t xml:space="preserve">(see the </w:t>
      </w:r>
      <w:r w:rsidR="00747F03">
        <w:rPr>
          <w:lang w:val="en-GB"/>
        </w:rPr>
        <w:t>Figure 12, below</w:t>
      </w:r>
      <w:r>
        <w:rPr>
          <w:lang w:val="en-GB"/>
        </w:rPr>
        <w:t>)</w:t>
      </w:r>
    </w:p>
    <w:p w14:paraId="7133BE18" w14:textId="0B92B6ED" w:rsidR="00414D22" w:rsidRDefault="00414D22" w:rsidP="00414D22">
      <w:pPr>
        <w:pStyle w:val="ListBullet"/>
        <w:rPr>
          <w:lang w:val="en-GB"/>
        </w:rPr>
      </w:pPr>
      <w:r w:rsidRPr="00414D22">
        <w:rPr>
          <w:lang w:val="en-GB"/>
        </w:rPr>
        <w:t xml:space="preserve">No significant treatment difference was observed for TIA (transient ischaemic attack), which has a similar pathophysiology as stroke (also see </w:t>
      </w:r>
      <w:r w:rsidR="00263CB1">
        <w:rPr>
          <w:lang w:val="en-GB"/>
        </w:rPr>
        <w:t>Figure 12,</w:t>
      </w:r>
      <w:r>
        <w:rPr>
          <w:lang w:val="en-GB"/>
        </w:rPr>
        <w:t xml:space="preserve"> below)</w:t>
      </w:r>
    </w:p>
    <w:p w14:paraId="16804B16" w14:textId="52CD4C2E" w:rsidR="00263CB1" w:rsidRPr="00263CB1" w:rsidRDefault="00263CB1" w:rsidP="00263CB1">
      <w:pPr>
        <w:pStyle w:val="FigureTitle"/>
      </w:pPr>
      <w:proofErr w:type="gramStart"/>
      <w:r>
        <w:t>Figure 12.</w:t>
      </w:r>
      <w:proofErr w:type="gramEnd"/>
      <w:r>
        <w:t xml:space="preserve"> Comparison in all stroke, fatal and non-fatal stoke and TIA for empagliflozin versus placebo</w:t>
      </w:r>
    </w:p>
    <w:p w14:paraId="738A7411" w14:textId="6DAA4AFE" w:rsidR="00414D22" w:rsidRPr="00414D22" w:rsidRDefault="00414D22" w:rsidP="00414D22">
      <w:r w:rsidRPr="00414D22">
        <w:rPr>
          <w:noProof/>
          <w:lang w:eastAsia="en-AU"/>
        </w:rPr>
        <w:drawing>
          <wp:inline distT="0" distB="0" distL="0" distR="0" wp14:anchorId="390BEA89" wp14:editId="00310F00">
            <wp:extent cx="4667534" cy="1760754"/>
            <wp:effectExtent l="0" t="0" r="0" b="0"/>
            <wp:docPr id="6" name="Picture 6" descr="Figure 12 is a plot graph showing the comparison in all stroke, fatal and non-fatal stoke and TIA for empagliflozin versus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63670" cy="1759296"/>
                    </a:xfrm>
                    <a:prstGeom prst="rect">
                      <a:avLst/>
                    </a:prstGeom>
                  </pic:spPr>
                </pic:pic>
              </a:graphicData>
            </a:graphic>
          </wp:inline>
        </w:drawing>
      </w:r>
    </w:p>
    <w:p w14:paraId="0E74D4EC" w14:textId="6628C81B" w:rsidR="00414D22" w:rsidRPr="00263CB1" w:rsidRDefault="00414D22" w:rsidP="00414D22">
      <w:pPr>
        <w:pStyle w:val="ListBullet"/>
        <w:rPr>
          <w:rFonts w:ascii="Times" w:hAnsi="Times" w:cs="Times"/>
          <w:lang w:val="en-GB"/>
        </w:rPr>
      </w:pPr>
      <w:r>
        <w:rPr>
          <w:lang w:val="en-GB"/>
        </w:rPr>
        <w:t xml:space="preserve">There was no isolated imbalance of any type of stroke (based on different mechanisms) that drove the treatment difference for ischemic stroke (see </w:t>
      </w:r>
      <w:r w:rsidR="00263CB1">
        <w:rPr>
          <w:lang w:val="en-GB"/>
        </w:rPr>
        <w:t>Table 1</w:t>
      </w:r>
      <w:r w:rsidR="002A01B8">
        <w:rPr>
          <w:lang w:val="en-GB"/>
        </w:rPr>
        <w:t>4</w:t>
      </w:r>
      <w:r w:rsidR="00263CB1">
        <w:rPr>
          <w:lang w:val="en-GB"/>
        </w:rPr>
        <w:t>,</w:t>
      </w:r>
      <w:r>
        <w:rPr>
          <w:lang w:val="en-GB"/>
        </w:rPr>
        <w:t xml:space="preserve"> below)</w:t>
      </w:r>
      <w:r w:rsidR="00263CB1">
        <w:rPr>
          <w:lang w:val="en-GB"/>
        </w:rPr>
        <w:t>.</w:t>
      </w:r>
    </w:p>
    <w:p w14:paraId="57F492E5" w14:textId="4591B31D" w:rsidR="00263CB1" w:rsidRPr="00263CB1" w:rsidRDefault="00F6705D" w:rsidP="00263CB1">
      <w:pPr>
        <w:pStyle w:val="Tabletitle0"/>
      </w:pPr>
      <w:proofErr w:type="gramStart"/>
      <w:r>
        <w:t>Table 1</w:t>
      </w:r>
      <w:r w:rsidR="002A01B8">
        <w:t>4</w:t>
      </w:r>
      <w:r w:rsidR="00263CB1">
        <w:t>.</w:t>
      </w:r>
      <w:proofErr w:type="gramEnd"/>
      <w:r w:rsidR="00263CB1">
        <w:t xml:space="preserve"> Comparison of type of stroke based on underlying mechanisms</w:t>
      </w:r>
    </w:p>
    <w:p w14:paraId="48B22B63" w14:textId="2D2B9752" w:rsidR="00414D22" w:rsidRDefault="00414D22" w:rsidP="00414D22">
      <w:r w:rsidRPr="00414D22">
        <w:rPr>
          <w:noProof/>
          <w:lang w:eastAsia="en-AU"/>
        </w:rPr>
        <w:drawing>
          <wp:inline distT="0" distB="0" distL="0" distR="0" wp14:anchorId="7C58E7C6" wp14:editId="79D68022">
            <wp:extent cx="5400040" cy="1110615"/>
            <wp:effectExtent l="0" t="0" r="0" b="0"/>
            <wp:docPr id="7" name="Picture 7" descr="Table 14 is an image showing the comparison of type of stroke based on underlying mechani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40" cy="1110615"/>
                    </a:xfrm>
                    <a:prstGeom prst="rect">
                      <a:avLst/>
                    </a:prstGeom>
                  </pic:spPr>
                </pic:pic>
              </a:graphicData>
            </a:graphic>
          </wp:inline>
        </w:drawing>
      </w:r>
    </w:p>
    <w:p w14:paraId="78E8EFAE" w14:textId="6DE8BDF9" w:rsidR="00414D22" w:rsidRDefault="00263CB1" w:rsidP="00414D22">
      <w:pPr>
        <w:pStyle w:val="Heading5"/>
      </w:pPr>
      <w:r>
        <w:lastRenderedPageBreak/>
        <w:t>Sponsor’s response to pre-ACPM Question 3</w:t>
      </w:r>
    </w:p>
    <w:p w14:paraId="693FE54C" w14:textId="56294DED" w:rsidR="00414D22" w:rsidRPr="00F6705D" w:rsidRDefault="00F6705D" w:rsidP="00F6705D">
      <w:pPr>
        <w:pStyle w:val="ListBullet"/>
        <w:rPr>
          <w:i/>
          <w:lang w:val="en-GB"/>
        </w:rPr>
      </w:pPr>
      <w:r w:rsidRPr="00F6705D">
        <w:rPr>
          <w:i/>
          <w:lang w:val="en-GB"/>
        </w:rPr>
        <w:t xml:space="preserve">Q3) </w:t>
      </w:r>
      <w:r w:rsidR="00414D22" w:rsidRPr="00F6705D">
        <w:rPr>
          <w:i/>
          <w:lang w:val="en-GB"/>
        </w:rPr>
        <w:t xml:space="preserve">Please comment on the appropriateness for use in renal impairment in the context of the risk </w:t>
      </w:r>
      <w:r w:rsidR="00263CB1" w:rsidRPr="00F6705D">
        <w:rPr>
          <w:i/>
          <w:lang w:val="en-GB"/>
        </w:rPr>
        <w:t>of renal injury with other SGLT</w:t>
      </w:r>
      <w:r w:rsidR="00414D22" w:rsidRPr="00F6705D">
        <w:rPr>
          <w:i/>
          <w:lang w:val="en-GB"/>
        </w:rPr>
        <w:t>2 inhibitors.</w:t>
      </w:r>
    </w:p>
    <w:p w14:paraId="103AF441" w14:textId="73A44C9C" w:rsidR="005A4C27" w:rsidRDefault="005A4C27" w:rsidP="005A4C27">
      <w:pPr>
        <w:rPr>
          <w:lang w:val="en-GB"/>
        </w:rPr>
      </w:pPr>
      <w:r w:rsidRPr="005A4C27">
        <w:rPr>
          <w:lang w:val="en-GB"/>
        </w:rPr>
        <w:t xml:space="preserve">As pointed out by the Delegate, </w:t>
      </w:r>
      <w:r>
        <w:rPr>
          <w:lang w:val="en-GB"/>
        </w:rPr>
        <w:t>‘</w:t>
      </w:r>
      <w:r w:rsidRPr="005A4C27">
        <w:rPr>
          <w:i/>
          <w:iCs/>
          <w:lang w:val="en-GB"/>
        </w:rPr>
        <w:t>patients with renal impairment seem to have similar benefits in terms of cardiovascular protection</w:t>
      </w:r>
      <w:r>
        <w:rPr>
          <w:i/>
          <w:iCs/>
          <w:lang w:val="en-GB"/>
        </w:rPr>
        <w:t>’</w:t>
      </w:r>
      <w:r w:rsidRPr="005A4C27">
        <w:rPr>
          <w:i/>
          <w:iCs/>
          <w:lang w:val="en-GB"/>
        </w:rPr>
        <w:t xml:space="preserve"> </w:t>
      </w:r>
      <w:r>
        <w:rPr>
          <w:lang w:val="en-GB"/>
        </w:rPr>
        <w:t xml:space="preserve">(also see </w:t>
      </w:r>
      <w:r w:rsidR="00263CB1">
        <w:rPr>
          <w:lang w:val="en-GB"/>
        </w:rPr>
        <w:t>Figure 13</w:t>
      </w:r>
      <w:r>
        <w:rPr>
          <w:lang w:val="en-GB"/>
        </w:rPr>
        <w:t xml:space="preserve"> below).</w:t>
      </w:r>
    </w:p>
    <w:p w14:paraId="011BF2EA" w14:textId="60DC1EA8" w:rsidR="00263CB1" w:rsidRPr="005A4C27" w:rsidRDefault="00263CB1" w:rsidP="007E2355">
      <w:pPr>
        <w:pStyle w:val="FigureTitle"/>
        <w:rPr>
          <w:lang w:val="en-GB"/>
        </w:rPr>
      </w:pPr>
      <w:proofErr w:type="gramStart"/>
      <w:r>
        <w:rPr>
          <w:lang w:val="en-GB"/>
        </w:rPr>
        <w:t>Figure 13.</w:t>
      </w:r>
      <w:proofErr w:type="gramEnd"/>
      <w:r w:rsidR="00E80EC2">
        <w:rPr>
          <w:lang w:val="en-GB"/>
        </w:rPr>
        <w:t xml:space="preserve"> Hazard ratios for </w:t>
      </w:r>
      <w:r w:rsidR="00A55718" w:rsidRPr="00A55718">
        <w:rPr>
          <w:lang w:val="en-GB"/>
        </w:rPr>
        <w:t>cardiovascular</w:t>
      </w:r>
      <w:r w:rsidR="007E2355">
        <w:rPr>
          <w:lang w:val="en-GB"/>
        </w:rPr>
        <w:t xml:space="preserve"> death, all-cause mortality and hospita</w:t>
      </w:r>
      <w:r w:rsidR="00A55718">
        <w:rPr>
          <w:lang w:val="en-GB"/>
        </w:rPr>
        <w:t xml:space="preserve">lisation for heart failure or </w:t>
      </w:r>
      <w:r w:rsidR="00A55718" w:rsidRPr="00A55718">
        <w:rPr>
          <w:lang w:val="en-GB"/>
        </w:rPr>
        <w:t>cardiovascular</w:t>
      </w:r>
      <w:r w:rsidR="007E2355">
        <w:rPr>
          <w:lang w:val="en-GB"/>
        </w:rPr>
        <w:t xml:space="preserve"> death according to eGFR category</w:t>
      </w:r>
    </w:p>
    <w:p w14:paraId="2801692A" w14:textId="5911C3BA" w:rsidR="005A4C27" w:rsidRDefault="005A4C27" w:rsidP="005A4C27">
      <w:pPr>
        <w:rPr>
          <w:lang w:val="en-GB"/>
        </w:rPr>
      </w:pPr>
      <w:r w:rsidRPr="005A4C27">
        <w:rPr>
          <w:noProof/>
          <w:lang w:eastAsia="en-AU"/>
        </w:rPr>
        <w:drawing>
          <wp:inline distT="0" distB="0" distL="0" distR="0" wp14:anchorId="198EA47E" wp14:editId="2FAFDBAE">
            <wp:extent cx="4415051" cy="2010760"/>
            <wp:effectExtent l="0" t="0" r="5080" b="8890"/>
            <wp:docPr id="8" name="Picture 8" descr="Figure 13 is an image of a plot graph showing the hazard ratios for cardiovascular death, all-cause mortality and hospitalisation for heart failure or cardiovascular death according to eGFR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Lst>
                    </a:blip>
                    <a:stretch>
                      <a:fillRect/>
                    </a:stretch>
                  </pic:blipFill>
                  <pic:spPr>
                    <a:xfrm>
                      <a:off x="0" y="0"/>
                      <a:ext cx="4424078" cy="2014871"/>
                    </a:xfrm>
                    <a:prstGeom prst="rect">
                      <a:avLst/>
                    </a:prstGeom>
                  </pic:spPr>
                </pic:pic>
              </a:graphicData>
            </a:graphic>
          </wp:inline>
        </w:drawing>
      </w:r>
    </w:p>
    <w:p w14:paraId="4BBC3E72" w14:textId="024E397C" w:rsidR="005A4C27" w:rsidRDefault="005A4C27" w:rsidP="005A4C27">
      <w:pPr>
        <w:rPr>
          <w:lang w:val="en-GB"/>
        </w:rPr>
      </w:pPr>
      <w:r w:rsidRPr="005A4C27">
        <w:rPr>
          <w:lang w:val="en-GB"/>
        </w:rPr>
        <w:t>The safety profile in patients with renal impairment was similar to the overall study population. Specifically for renal safety, decreased renal function adverse events and hyperkalaemia were reported with similar or lower frequencies on</w:t>
      </w:r>
      <w:r w:rsidR="00F55059">
        <w:rPr>
          <w:lang w:val="en-GB"/>
        </w:rPr>
        <w:t xml:space="preserve"> empagliflozin</w:t>
      </w:r>
      <w:r w:rsidRPr="005A4C27">
        <w:rPr>
          <w:lang w:val="en-GB"/>
        </w:rPr>
        <w:t xml:space="preserve"> than placebo, also in patients with renal imp</w:t>
      </w:r>
      <w:r w:rsidR="007E2355">
        <w:rPr>
          <w:lang w:val="en-GB"/>
        </w:rPr>
        <w:t>airment (see Figure 14 below).</w:t>
      </w:r>
    </w:p>
    <w:p w14:paraId="30FA5B62" w14:textId="1822A211" w:rsidR="007E2355" w:rsidRPr="005A4C27" w:rsidRDefault="007E2355" w:rsidP="007E2355">
      <w:pPr>
        <w:pStyle w:val="FigureTitle"/>
        <w:rPr>
          <w:lang w:val="en-GB"/>
        </w:rPr>
      </w:pPr>
      <w:proofErr w:type="gramStart"/>
      <w:r>
        <w:rPr>
          <w:lang w:val="en-GB"/>
        </w:rPr>
        <w:t>Figure 14.</w:t>
      </w:r>
      <w:proofErr w:type="gramEnd"/>
      <w:r>
        <w:rPr>
          <w:lang w:val="en-GB"/>
        </w:rPr>
        <w:t xml:space="preserve"> Incidence rate ratios for decreased renal function and hyperkalaemia according to eGFR status</w:t>
      </w:r>
    </w:p>
    <w:p w14:paraId="0B1B746A" w14:textId="1522CB40" w:rsidR="005A4C27" w:rsidRDefault="005A4C27" w:rsidP="005A4C27">
      <w:pPr>
        <w:rPr>
          <w:lang w:val="en-GB"/>
        </w:rPr>
      </w:pPr>
      <w:r w:rsidRPr="005A4C27">
        <w:rPr>
          <w:noProof/>
          <w:lang w:eastAsia="en-AU"/>
        </w:rPr>
        <w:drawing>
          <wp:inline distT="0" distB="0" distL="0" distR="0" wp14:anchorId="72DC254C" wp14:editId="113AC86A">
            <wp:extent cx="4961799" cy="1762652"/>
            <wp:effectExtent l="0" t="0" r="0" b="9525"/>
            <wp:docPr id="24" name="Picture 24" descr="Figure 14 is an image of a plot graph showing the incidence rate ratios for decreased renal function and hyperkalaemia according to eGFR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91756" cy="1773294"/>
                    </a:xfrm>
                    <a:prstGeom prst="rect">
                      <a:avLst/>
                    </a:prstGeom>
                  </pic:spPr>
                </pic:pic>
              </a:graphicData>
            </a:graphic>
          </wp:inline>
        </w:drawing>
      </w:r>
    </w:p>
    <w:p w14:paraId="56BE467B" w14:textId="36B0FA52" w:rsidR="005A4C27" w:rsidRDefault="005A4C27" w:rsidP="005A4C27">
      <w:pPr>
        <w:rPr>
          <w:lang w:val="en-GB"/>
        </w:rPr>
      </w:pPr>
      <w:r w:rsidRPr="005A4C27">
        <w:rPr>
          <w:lang w:val="en-GB"/>
        </w:rPr>
        <w:t xml:space="preserve">As pointed out by the Delegate, </w:t>
      </w:r>
      <w:r w:rsidR="00F6705D">
        <w:rPr>
          <w:lang w:val="en-GB"/>
        </w:rPr>
        <w:t>‘</w:t>
      </w:r>
      <w:r w:rsidRPr="005A4C27">
        <w:rPr>
          <w:i/>
          <w:iCs/>
          <w:lang w:val="en-GB"/>
        </w:rPr>
        <w:t>the reversible early change in eGFR observed with</w:t>
      </w:r>
      <w:r w:rsidR="00F55059">
        <w:rPr>
          <w:i/>
          <w:iCs/>
          <w:lang w:val="en-GB"/>
        </w:rPr>
        <w:t xml:space="preserve"> empagliflozin</w:t>
      </w:r>
      <w:r w:rsidRPr="005A4C27">
        <w:rPr>
          <w:i/>
          <w:iCs/>
          <w:lang w:val="en-GB"/>
        </w:rPr>
        <w:t xml:space="preserve"> is likely to be h</w:t>
      </w:r>
      <w:r w:rsidR="007E2355">
        <w:rPr>
          <w:i/>
          <w:iCs/>
          <w:lang w:val="en-GB"/>
        </w:rPr>
        <w:t>a</w:t>
      </w:r>
      <w:r w:rsidRPr="005A4C27">
        <w:rPr>
          <w:i/>
          <w:iCs/>
          <w:lang w:val="en-GB"/>
        </w:rPr>
        <w:t>emodynamic in nature and not a result of structural kidney damage</w:t>
      </w:r>
      <w:r w:rsidR="00F6705D">
        <w:rPr>
          <w:i/>
          <w:iCs/>
          <w:lang w:val="en-GB"/>
        </w:rPr>
        <w:t>’</w:t>
      </w:r>
      <w:r w:rsidRPr="005A4C27">
        <w:rPr>
          <w:lang w:val="en-GB"/>
        </w:rPr>
        <w:t>, a conclusion also supported by no relevant difference in the renal safety results described above. In fact,</w:t>
      </w:r>
      <w:r w:rsidR="00F55059">
        <w:rPr>
          <w:lang w:val="en-GB"/>
        </w:rPr>
        <w:t xml:space="preserve"> empagliflozin</w:t>
      </w:r>
      <w:r w:rsidRPr="005A4C27">
        <w:rPr>
          <w:lang w:val="en-GB"/>
        </w:rPr>
        <w:t xml:space="preserve"> treatment may slow the progression of renal disease over time, as shown by the stable eGFR over time and the reversibility of eGFR after discontinuation of</w:t>
      </w:r>
      <w:r w:rsidR="00F55059">
        <w:rPr>
          <w:lang w:val="en-GB"/>
        </w:rPr>
        <w:t xml:space="preserve"> empagliflozin</w:t>
      </w:r>
      <w:r w:rsidRPr="005A4C27">
        <w:rPr>
          <w:lang w:val="en-GB"/>
        </w:rPr>
        <w:t xml:space="preserve">. In line with this, the benefit </w:t>
      </w:r>
      <w:r w:rsidR="007E2355">
        <w:rPr>
          <w:lang w:val="en-GB"/>
        </w:rPr>
        <w:t>on the composite renal outcome ‘</w:t>
      </w:r>
      <w:r w:rsidRPr="005A4C27">
        <w:rPr>
          <w:lang w:val="en-GB"/>
        </w:rPr>
        <w:t>new or worsening nephropathy</w:t>
      </w:r>
      <w:r w:rsidR="007E2355">
        <w:rPr>
          <w:lang w:val="en-GB"/>
        </w:rPr>
        <w:t>’</w:t>
      </w:r>
      <w:r w:rsidRPr="005A4C27">
        <w:rPr>
          <w:lang w:val="en-GB"/>
        </w:rPr>
        <w:t xml:space="preserve"> in patients with renal impairment (see </w:t>
      </w:r>
      <w:r w:rsidR="007E2355">
        <w:rPr>
          <w:lang w:val="en-GB"/>
        </w:rPr>
        <w:t>F</w:t>
      </w:r>
      <w:r w:rsidRPr="005A4C27">
        <w:rPr>
          <w:lang w:val="en-GB"/>
        </w:rPr>
        <w:t xml:space="preserve">igure </w:t>
      </w:r>
      <w:r w:rsidR="007E2355">
        <w:rPr>
          <w:lang w:val="en-GB"/>
        </w:rPr>
        <w:t xml:space="preserve">15, </w:t>
      </w:r>
      <w:r w:rsidRPr="005A4C27">
        <w:rPr>
          <w:lang w:val="en-GB"/>
        </w:rPr>
        <w:t xml:space="preserve">below) was consistent with the overall study population </w:t>
      </w:r>
      <w:r w:rsidR="007E2355">
        <w:rPr>
          <w:lang w:val="en-GB"/>
        </w:rPr>
        <w:t>(HR 0.61, 95% CI 0.53 to 0.70).</w:t>
      </w:r>
    </w:p>
    <w:p w14:paraId="16B80320" w14:textId="396DE730" w:rsidR="007E2355" w:rsidRPr="005A4C27" w:rsidRDefault="007E2355" w:rsidP="007E2355">
      <w:pPr>
        <w:pStyle w:val="FigureTitle"/>
        <w:rPr>
          <w:lang w:val="en-GB"/>
        </w:rPr>
      </w:pPr>
      <w:proofErr w:type="gramStart"/>
      <w:r>
        <w:rPr>
          <w:lang w:val="en-GB"/>
        </w:rPr>
        <w:lastRenderedPageBreak/>
        <w:t>Figure 15.</w:t>
      </w:r>
      <w:proofErr w:type="gramEnd"/>
      <w:r>
        <w:rPr>
          <w:lang w:val="en-GB"/>
        </w:rPr>
        <w:t xml:space="preserve"> Hazard ratios for new onset or worsening nephropathy according to eGFR status</w:t>
      </w:r>
    </w:p>
    <w:p w14:paraId="6E78C3D3" w14:textId="77777777" w:rsidR="007F2E71" w:rsidRDefault="005A4C27" w:rsidP="005A4C27">
      <w:pPr>
        <w:widowControl w:val="0"/>
        <w:autoSpaceDE w:val="0"/>
        <w:autoSpaceDN w:val="0"/>
        <w:adjustRightInd w:val="0"/>
        <w:spacing w:before="0" w:after="0" w:line="280" w:lineRule="atLeast"/>
        <w:rPr>
          <w:rFonts w:ascii="Times" w:eastAsiaTheme="minorHAnsi" w:hAnsi="Times" w:cs="Times"/>
          <w:color w:val="000000"/>
          <w:sz w:val="24"/>
          <w:szCs w:val="24"/>
          <w:lang w:val="en-GB"/>
        </w:rPr>
      </w:pPr>
      <w:r>
        <w:rPr>
          <w:rFonts w:ascii="Times" w:eastAsiaTheme="minorHAnsi" w:hAnsi="Times" w:cs="Times"/>
          <w:noProof/>
          <w:color w:val="000000"/>
          <w:sz w:val="24"/>
          <w:szCs w:val="24"/>
          <w:lang w:eastAsia="en-AU"/>
        </w:rPr>
        <w:drawing>
          <wp:inline distT="0" distB="0" distL="0" distR="0" wp14:anchorId="7B9A0BA5" wp14:editId="1433E151">
            <wp:extent cx="5198260" cy="1370232"/>
            <wp:effectExtent l="0" t="0" r="2540" b="1905"/>
            <wp:docPr id="25" name="Picture 25" descr="Figure 15 is an image of a plot graph showing the hazard ratios for new onset or worsening nephropathy according to eGFR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18477" cy="1375561"/>
                    </a:xfrm>
                    <a:prstGeom prst="rect">
                      <a:avLst/>
                    </a:prstGeom>
                    <a:noFill/>
                    <a:ln>
                      <a:noFill/>
                    </a:ln>
                  </pic:spPr>
                </pic:pic>
              </a:graphicData>
            </a:graphic>
          </wp:inline>
        </w:drawing>
      </w:r>
    </w:p>
    <w:p w14:paraId="4955639E" w14:textId="0081B203" w:rsidR="007F2E71" w:rsidRDefault="005A4C27" w:rsidP="005A4C27">
      <w:pPr>
        <w:rPr>
          <w:lang w:val="en-GB"/>
        </w:rPr>
      </w:pPr>
      <w:r w:rsidRPr="005A4C27">
        <w:rPr>
          <w:lang w:val="en-GB"/>
        </w:rPr>
        <w:t xml:space="preserve">More information on renal safety was provided by </w:t>
      </w:r>
      <w:r w:rsidR="007E2355">
        <w:rPr>
          <w:lang w:val="en-GB"/>
        </w:rPr>
        <w:t>the sponsor</w:t>
      </w:r>
      <w:r w:rsidRPr="005A4C27">
        <w:rPr>
          <w:lang w:val="en-GB"/>
        </w:rPr>
        <w:t xml:space="preserve"> in response to TGA request for information related to the recent FDA report of acute kidney injury with dapagliflozin and cana</w:t>
      </w:r>
      <w:r w:rsidR="007E2355">
        <w:rPr>
          <w:lang w:val="en-GB"/>
        </w:rPr>
        <w:t>gliflozin. The sponsor</w:t>
      </w:r>
      <w:r w:rsidRPr="005A4C27">
        <w:rPr>
          <w:lang w:val="en-GB"/>
        </w:rPr>
        <w:t xml:space="preserve"> h</w:t>
      </w:r>
      <w:r w:rsidR="007E2355">
        <w:rPr>
          <w:lang w:val="en-GB"/>
        </w:rPr>
        <w:t>as no comment on the other SGLT</w:t>
      </w:r>
      <w:r w:rsidRPr="005A4C27">
        <w:rPr>
          <w:lang w:val="en-GB"/>
        </w:rPr>
        <w:t>2 inhibitors.</w:t>
      </w:r>
    </w:p>
    <w:p w14:paraId="00D278FD" w14:textId="25578F8F" w:rsidR="005A4C27" w:rsidRPr="005A4C27" w:rsidRDefault="005A4C27" w:rsidP="005A4C27">
      <w:pPr>
        <w:rPr>
          <w:lang w:val="en-GB"/>
        </w:rPr>
      </w:pPr>
      <w:r w:rsidRPr="005A4C27">
        <w:rPr>
          <w:lang w:val="en-GB"/>
        </w:rPr>
        <w:t>These results indicate consistent benefits without increased risk with</w:t>
      </w:r>
      <w:r w:rsidR="00F55059">
        <w:rPr>
          <w:lang w:val="en-GB"/>
        </w:rPr>
        <w:t xml:space="preserve"> empagliflozin</w:t>
      </w:r>
      <w:r w:rsidRPr="005A4C27">
        <w:rPr>
          <w:lang w:val="en-GB"/>
        </w:rPr>
        <w:t xml:space="preserve"> treatment in patients with renal impairment, compared with the overall study population. This is in agreement with the Delegate’s assessment: </w:t>
      </w:r>
      <w:r w:rsidR="00F6705D">
        <w:rPr>
          <w:lang w:val="en-GB"/>
        </w:rPr>
        <w:t>‘</w:t>
      </w:r>
      <w:r w:rsidR="00CA59C5">
        <w:rPr>
          <w:i/>
          <w:iCs/>
          <w:lang w:val="en-GB"/>
        </w:rPr>
        <w:t>overall,</w:t>
      </w:r>
      <w:r w:rsidRPr="005A4C27">
        <w:rPr>
          <w:i/>
          <w:iCs/>
          <w:lang w:val="en-GB"/>
        </w:rPr>
        <w:t xml:space="preserve"> the risk benefit balance in renal impairment is positive</w:t>
      </w:r>
      <w:r w:rsidR="00F6705D">
        <w:rPr>
          <w:i/>
          <w:iCs/>
          <w:lang w:val="en-GB"/>
        </w:rPr>
        <w:t>’</w:t>
      </w:r>
      <w:r w:rsidRPr="005A4C27">
        <w:rPr>
          <w:lang w:val="en-GB"/>
        </w:rPr>
        <w:t>. Since renal impairment</w:t>
      </w:r>
      <w:r w:rsidR="00A55718">
        <w:rPr>
          <w:lang w:val="en-GB"/>
        </w:rPr>
        <w:t xml:space="preserve"> is considered a </w:t>
      </w:r>
      <w:r w:rsidR="00A55718" w:rsidRPr="00A55718">
        <w:rPr>
          <w:lang w:val="en-GB"/>
        </w:rPr>
        <w:t xml:space="preserve">cardiovascular </w:t>
      </w:r>
      <w:r w:rsidR="00A55718">
        <w:rPr>
          <w:lang w:val="en-GB"/>
        </w:rPr>
        <w:t xml:space="preserve">risk </w:t>
      </w:r>
      <w:r w:rsidRPr="005A4C27">
        <w:rPr>
          <w:lang w:val="en-GB"/>
        </w:rPr>
        <w:t>equivale</w:t>
      </w:r>
      <w:r w:rsidR="008778A5">
        <w:rPr>
          <w:lang w:val="en-GB"/>
        </w:rPr>
        <w:t xml:space="preserve">nt in international guidelines </w:t>
      </w:r>
      <w:r w:rsidRPr="005A4C27">
        <w:rPr>
          <w:lang w:val="en-GB"/>
        </w:rPr>
        <w:t>and these patients have very limited treatment options, the use of</w:t>
      </w:r>
      <w:r w:rsidR="00F55059">
        <w:rPr>
          <w:lang w:val="en-GB"/>
        </w:rPr>
        <w:t xml:space="preserve"> empagliflozin</w:t>
      </w:r>
      <w:r w:rsidRPr="005A4C27">
        <w:rPr>
          <w:lang w:val="en-GB"/>
        </w:rPr>
        <w:t xml:space="preserve"> in these patients is appropriate and add</w:t>
      </w:r>
      <w:r>
        <w:rPr>
          <w:lang w:val="en-GB"/>
        </w:rPr>
        <w:t>resses an unmet medical need.</w:t>
      </w:r>
      <w:r>
        <w:rPr>
          <w:rStyle w:val="FootnoteReference"/>
          <w:lang w:val="en-GB"/>
        </w:rPr>
        <w:footnoteReference w:id="16"/>
      </w:r>
    </w:p>
    <w:p w14:paraId="7A230F96" w14:textId="551FBEE3" w:rsidR="005A4C27" w:rsidRDefault="00CA59C5" w:rsidP="005A4C27">
      <w:pPr>
        <w:pStyle w:val="Heading5"/>
        <w:rPr>
          <w:lang w:val="en-GB"/>
        </w:rPr>
      </w:pPr>
      <w:r>
        <w:rPr>
          <w:lang w:val="en-GB"/>
        </w:rPr>
        <w:t>Sponsor’s response to pre-ACPM Question 4</w:t>
      </w:r>
    </w:p>
    <w:p w14:paraId="75566C91" w14:textId="088497CC" w:rsidR="005A4C27" w:rsidRPr="00F6705D" w:rsidRDefault="00F6705D" w:rsidP="00F6705D">
      <w:pPr>
        <w:pStyle w:val="ListBullet"/>
        <w:rPr>
          <w:i/>
          <w:lang w:val="en-GB"/>
        </w:rPr>
      </w:pPr>
      <w:r w:rsidRPr="00F6705D">
        <w:rPr>
          <w:i/>
          <w:lang w:val="en-GB"/>
        </w:rPr>
        <w:t xml:space="preserve">Q4) </w:t>
      </w:r>
      <w:r w:rsidR="005A4C27" w:rsidRPr="00F6705D">
        <w:rPr>
          <w:i/>
          <w:lang w:val="en-GB"/>
        </w:rPr>
        <w:t>Please comment on the absence of data for Indigenous Australian’s and the TGA’s role in supporting this.</w:t>
      </w:r>
    </w:p>
    <w:p w14:paraId="3DACD479" w14:textId="62311FBA" w:rsidR="005A4C27" w:rsidRPr="005A4C27" w:rsidRDefault="005A4C27" w:rsidP="005A4C27">
      <w:pPr>
        <w:rPr>
          <w:lang w:val="en-GB"/>
        </w:rPr>
      </w:pPr>
      <w:r>
        <w:rPr>
          <w:lang w:val="en-GB"/>
        </w:rPr>
        <w:t>The sponsor has no comment.</w:t>
      </w:r>
    </w:p>
    <w:p w14:paraId="11F04D1E" w14:textId="1CB4A698" w:rsidR="008E7846" w:rsidRDefault="00FF51D5" w:rsidP="008E7846">
      <w:pPr>
        <w:pStyle w:val="Heading4"/>
      </w:pPr>
      <w:r>
        <w:t>Advisory Committee c</w:t>
      </w:r>
      <w:r w:rsidR="008E7846">
        <w:t>onsiderations</w:t>
      </w:r>
    </w:p>
    <w:p w14:paraId="6025E9B8" w14:textId="3F3555D4" w:rsidR="00157112" w:rsidRPr="00157112" w:rsidRDefault="00D23139" w:rsidP="00157112">
      <w:pPr>
        <w:rPr>
          <w:b/>
          <w:bCs/>
          <w:lang w:val="en-GB"/>
        </w:rPr>
      </w:pPr>
      <w:r w:rsidRPr="00D23139">
        <w:rPr>
          <w:bCs/>
        </w:rPr>
        <w:t>The Advisory Committee on</w:t>
      </w:r>
      <w:r w:rsidR="00157112">
        <w:rPr>
          <w:bCs/>
        </w:rPr>
        <w:t xml:space="preserve"> Prescription Medicines (ACPM)</w:t>
      </w:r>
      <w:r w:rsidR="00157112">
        <w:rPr>
          <w:b/>
          <w:bCs/>
          <w:lang w:val="en-GB"/>
        </w:rPr>
        <w:t xml:space="preserve"> </w:t>
      </w:r>
      <w:r w:rsidR="00157112" w:rsidRPr="00157112">
        <w:rPr>
          <w:bCs/>
          <w:lang w:val="en-GB"/>
        </w:rPr>
        <w:t xml:space="preserve">resolved to recommend to the TGA </w:t>
      </w:r>
      <w:r w:rsidR="00157112">
        <w:rPr>
          <w:bCs/>
          <w:lang w:val="en-GB"/>
        </w:rPr>
        <w:t xml:space="preserve">delegate of the Secretary that </w:t>
      </w:r>
      <w:r w:rsidR="00157112" w:rsidRPr="00157112">
        <w:rPr>
          <w:bCs/>
          <w:lang w:val="en-GB"/>
        </w:rPr>
        <w:t>taking into account the submitted evidence of efficacy, safet</w:t>
      </w:r>
      <w:r w:rsidR="00157112">
        <w:rPr>
          <w:bCs/>
          <w:lang w:val="en-GB"/>
        </w:rPr>
        <w:t>y and quality, agreed with the D</w:t>
      </w:r>
      <w:r w:rsidR="00157112" w:rsidRPr="00157112">
        <w:rPr>
          <w:bCs/>
          <w:lang w:val="en-GB"/>
        </w:rPr>
        <w:t>elegate and considered J</w:t>
      </w:r>
      <w:r w:rsidR="00157112">
        <w:rPr>
          <w:bCs/>
          <w:lang w:val="en-GB"/>
        </w:rPr>
        <w:t>ardiance</w:t>
      </w:r>
      <w:r w:rsidR="00157112" w:rsidRPr="00157112">
        <w:rPr>
          <w:bCs/>
          <w:lang w:val="en-GB"/>
        </w:rPr>
        <w:t xml:space="preserve"> film-coated tablets containing 10</w:t>
      </w:r>
      <w:r w:rsidR="00157112">
        <w:rPr>
          <w:bCs/>
          <w:lang w:val="en-GB"/>
        </w:rPr>
        <w:t xml:space="preserve"> </w:t>
      </w:r>
      <w:r w:rsidR="00157112" w:rsidRPr="00157112">
        <w:rPr>
          <w:bCs/>
          <w:lang w:val="en-GB"/>
        </w:rPr>
        <w:t>mg and 25</w:t>
      </w:r>
      <w:r w:rsidR="00157112">
        <w:rPr>
          <w:bCs/>
          <w:lang w:val="en-GB"/>
        </w:rPr>
        <w:t xml:space="preserve"> </w:t>
      </w:r>
      <w:r w:rsidR="00157112" w:rsidRPr="00157112">
        <w:rPr>
          <w:bCs/>
          <w:lang w:val="en-GB"/>
        </w:rPr>
        <w:t xml:space="preserve">mg of </w:t>
      </w:r>
      <w:r w:rsidR="00157112">
        <w:rPr>
          <w:bCs/>
          <w:lang w:val="en-GB"/>
        </w:rPr>
        <w:t>e</w:t>
      </w:r>
      <w:r w:rsidR="00157112" w:rsidRPr="00157112">
        <w:rPr>
          <w:bCs/>
          <w:lang w:val="en-GB"/>
        </w:rPr>
        <w:t>mpagliflozin</w:t>
      </w:r>
      <w:r w:rsidR="00157112" w:rsidRPr="00157112">
        <w:rPr>
          <w:b/>
          <w:bCs/>
          <w:lang w:val="en-GB"/>
        </w:rPr>
        <w:t xml:space="preserve"> </w:t>
      </w:r>
      <w:r w:rsidR="00157112" w:rsidRPr="00157112">
        <w:rPr>
          <w:bCs/>
          <w:lang w:val="en-GB"/>
        </w:rPr>
        <w:t>to have an overall positive benefit–risk profile for the amended indication</w:t>
      </w:r>
      <w:r w:rsidR="00157112" w:rsidRPr="00157112">
        <w:rPr>
          <w:b/>
          <w:bCs/>
          <w:lang w:val="en-GB"/>
        </w:rPr>
        <w:t>:</w:t>
      </w:r>
    </w:p>
    <w:p w14:paraId="29841368" w14:textId="12640BFF" w:rsidR="00157112" w:rsidRPr="00157112" w:rsidRDefault="00157112" w:rsidP="006D3BC4">
      <w:pPr>
        <w:ind w:left="720"/>
        <w:rPr>
          <w:bCs/>
          <w:i/>
          <w:lang w:val="en-GB"/>
        </w:rPr>
      </w:pPr>
      <w:r>
        <w:rPr>
          <w:bCs/>
          <w:i/>
          <w:lang w:val="en-GB"/>
        </w:rPr>
        <w:t>‘</w:t>
      </w:r>
      <w:r w:rsidRPr="00157112">
        <w:rPr>
          <w:bCs/>
          <w:i/>
          <w:lang w:val="en-GB"/>
        </w:rPr>
        <w:t>J</w:t>
      </w:r>
      <w:r>
        <w:rPr>
          <w:bCs/>
          <w:i/>
          <w:lang w:val="en-GB"/>
        </w:rPr>
        <w:t>ardiance</w:t>
      </w:r>
      <w:r w:rsidRPr="00157112">
        <w:rPr>
          <w:bCs/>
          <w:i/>
          <w:lang w:val="en-GB"/>
        </w:rPr>
        <w:t xml:space="preserve"> is indicated in patients with type 2 diabetes mellitus and established cardiovascular disease to reduce the risk of:</w:t>
      </w:r>
    </w:p>
    <w:p w14:paraId="4AE95545" w14:textId="77777777" w:rsidR="00157112" w:rsidRPr="00157112" w:rsidRDefault="00157112" w:rsidP="006D3BC4">
      <w:pPr>
        <w:ind w:firstLine="720"/>
        <w:rPr>
          <w:bCs/>
          <w:i/>
          <w:lang w:val="en-GB"/>
        </w:rPr>
      </w:pPr>
      <w:r w:rsidRPr="00157112">
        <w:rPr>
          <w:bCs/>
          <w:i/>
          <w:lang w:val="en-GB"/>
        </w:rPr>
        <w:t>All-cause mortality by reducing cardiovascular death</w:t>
      </w:r>
    </w:p>
    <w:p w14:paraId="747925C2" w14:textId="0EE638F7" w:rsidR="00157112" w:rsidRPr="00157112" w:rsidRDefault="00157112" w:rsidP="006D3BC4">
      <w:pPr>
        <w:ind w:firstLine="720"/>
        <w:rPr>
          <w:bCs/>
          <w:i/>
          <w:lang w:val="en-GB"/>
        </w:rPr>
      </w:pPr>
      <w:proofErr w:type="gramStart"/>
      <w:r w:rsidRPr="00157112">
        <w:rPr>
          <w:bCs/>
          <w:i/>
          <w:lang w:val="en-GB"/>
        </w:rPr>
        <w:t>Cardiovascular death or hospitalisation for heart failure</w:t>
      </w:r>
      <w:r>
        <w:rPr>
          <w:bCs/>
          <w:i/>
          <w:lang w:val="en-GB"/>
        </w:rPr>
        <w:t>.</w:t>
      </w:r>
      <w:proofErr w:type="gramEnd"/>
      <w:r>
        <w:rPr>
          <w:rStyle w:val="FootnoteReference"/>
          <w:bCs/>
          <w:i/>
          <w:lang w:val="en-GB"/>
        </w:rPr>
        <w:footnoteReference w:id="17"/>
      </w:r>
    </w:p>
    <w:p w14:paraId="66AA80AE" w14:textId="2CE7C474" w:rsidR="00157112" w:rsidRPr="00157112" w:rsidRDefault="00157112" w:rsidP="006D3BC4">
      <w:pPr>
        <w:ind w:left="720"/>
        <w:rPr>
          <w:bCs/>
          <w:i/>
          <w:lang w:val="en-GB"/>
        </w:rPr>
      </w:pPr>
      <w:r w:rsidRPr="00157112">
        <w:rPr>
          <w:bCs/>
          <w:i/>
          <w:lang w:val="en-GB"/>
        </w:rPr>
        <w:t>To prevent cardiovascular events, J</w:t>
      </w:r>
      <w:r>
        <w:rPr>
          <w:bCs/>
          <w:i/>
          <w:lang w:val="en-GB"/>
        </w:rPr>
        <w:t xml:space="preserve">ardiance </w:t>
      </w:r>
      <w:r w:rsidRPr="00157112">
        <w:rPr>
          <w:bCs/>
          <w:i/>
          <w:lang w:val="en-GB"/>
        </w:rPr>
        <w:t>should be used in conjunction with other measures to reduce cardiovascular risk in line with the current standard of care.</w:t>
      </w:r>
    </w:p>
    <w:p w14:paraId="3EC1BABC" w14:textId="77777777" w:rsidR="00157112" w:rsidRPr="00157112" w:rsidRDefault="00157112" w:rsidP="00157112">
      <w:pPr>
        <w:rPr>
          <w:bCs/>
          <w:iCs/>
          <w:lang w:val="en-GB"/>
        </w:rPr>
      </w:pPr>
      <w:r w:rsidRPr="00157112">
        <w:rPr>
          <w:bCs/>
          <w:lang w:val="en-GB"/>
        </w:rPr>
        <w:t>In making this recommendation the ACPM:</w:t>
      </w:r>
    </w:p>
    <w:p w14:paraId="29259FC8" w14:textId="77777777" w:rsidR="00157112" w:rsidRPr="00157112" w:rsidRDefault="00157112" w:rsidP="00965E78">
      <w:pPr>
        <w:pStyle w:val="ListBullet"/>
        <w:rPr>
          <w:lang w:val="en-GB"/>
        </w:rPr>
      </w:pPr>
      <w:proofErr w:type="gramStart"/>
      <w:r w:rsidRPr="00157112">
        <w:rPr>
          <w:lang w:val="en-GB"/>
        </w:rPr>
        <w:t>noted</w:t>
      </w:r>
      <w:proofErr w:type="gramEnd"/>
      <w:r w:rsidRPr="00157112">
        <w:rPr>
          <w:lang w:val="en-GB"/>
        </w:rPr>
        <w:t xml:space="preserve"> that through the EMPA-REG study (the first post-market RCT involving a drug from the SGLT-2 inhibitor class) the beneficial effects on cardiovascular endpoints were independent of their glucose lowering effects, but the patient population likely to benefit from this indication is narrower than the current indication.</w:t>
      </w:r>
    </w:p>
    <w:p w14:paraId="236F7B33" w14:textId="7CC594AA" w:rsidR="00157112" w:rsidRPr="00157112" w:rsidRDefault="00A55718" w:rsidP="00965E78">
      <w:pPr>
        <w:pStyle w:val="ListBullet"/>
        <w:rPr>
          <w:lang w:val="en-GB"/>
        </w:rPr>
      </w:pPr>
      <w:r>
        <w:rPr>
          <w:lang w:val="en-GB"/>
        </w:rPr>
        <w:lastRenderedPageBreak/>
        <w:t xml:space="preserve">Noted that reduction in </w:t>
      </w:r>
      <w:r w:rsidRPr="00A55718">
        <w:rPr>
          <w:lang w:val="en-GB"/>
        </w:rPr>
        <w:t>cardiovascular</w:t>
      </w:r>
      <w:r w:rsidR="00157112" w:rsidRPr="00157112">
        <w:rPr>
          <w:lang w:val="en-GB"/>
        </w:rPr>
        <w:t xml:space="preserve"> death as part of the 3-point MACE endpoint of the EMPA-REG study was considered to be of significant clinical benefit, and was considered to be a reliable, non-biased and clinically relevant endpoint.</w:t>
      </w:r>
    </w:p>
    <w:p w14:paraId="06D60835" w14:textId="24833430" w:rsidR="00157112" w:rsidRPr="00157112" w:rsidRDefault="00157112" w:rsidP="00965E78">
      <w:pPr>
        <w:pStyle w:val="ListBullet"/>
        <w:rPr>
          <w:lang w:val="en-GB"/>
        </w:rPr>
      </w:pPr>
      <w:proofErr w:type="gramStart"/>
      <w:r w:rsidRPr="00157112">
        <w:rPr>
          <w:lang w:val="en-GB"/>
        </w:rPr>
        <w:t>stressed</w:t>
      </w:r>
      <w:proofErr w:type="gramEnd"/>
      <w:r w:rsidRPr="00157112">
        <w:rPr>
          <w:lang w:val="en-GB"/>
        </w:rPr>
        <w:t xml:space="preserve"> that reduction of cardiovascular risk in established cardiovascular disease should be in conjunction with a range of other measures including </w:t>
      </w:r>
      <w:r w:rsidR="00702B48">
        <w:rPr>
          <w:lang w:val="en-GB"/>
        </w:rPr>
        <w:t>BP</w:t>
      </w:r>
      <w:r w:rsidRPr="00157112">
        <w:rPr>
          <w:lang w:val="en-GB"/>
        </w:rPr>
        <w:t xml:space="preserve"> management, lipid control and anti-platelet therapy where clinically indicated. The committee was satisfied by the reference to this in the final paragraph of the amended indication.</w:t>
      </w:r>
    </w:p>
    <w:p w14:paraId="5C0580F7" w14:textId="77777777" w:rsidR="00157112" w:rsidRPr="00157112" w:rsidRDefault="00157112" w:rsidP="00965E78">
      <w:pPr>
        <w:pStyle w:val="ListBullet"/>
        <w:rPr>
          <w:lang w:val="en-GB"/>
        </w:rPr>
      </w:pPr>
      <w:proofErr w:type="gramStart"/>
      <w:r w:rsidRPr="00157112">
        <w:rPr>
          <w:lang w:val="en-GB"/>
        </w:rPr>
        <w:t>noted</w:t>
      </w:r>
      <w:proofErr w:type="gramEnd"/>
      <w:r w:rsidRPr="00157112">
        <w:rPr>
          <w:lang w:val="en-GB"/>
        </w:rPr>
        <w:t xml:space="preserve"> that the indication for use in ‘established cardiovascular disease’ should reflect the disease inclusion criteria as per the EMPA-REG study.</w:t>
      </w:r>
    </w:p>
    <w:p w14:paraId="5A3167E9" w14:textId="77777777" w:rsidR="00157112" w:rsidRPr="00157112" w:rsidRDefault="00157112" w:rsidP="00965E78">
      <w:pPr>
        <w:pStyle w:val="Heading5"/>
        <w:rPr>
          <w:lang w:val="en-GB"/>
        </w:rPr>
      </w:pPr>
      <w:r w:rsidRPr="00157112">
        <w:rPr>
          <w:lang w:val="en-GB"/>
        </w:rPr>
        <w:t>Proposed conditions of registration</w:t>
      </w:r>
    </w:p>
    <w:p w14:paraId="6DD4B16D" w14:textId="77777777" w:rsidR="007F2E71" w:rsidRDefault="00157112" w:rsidP="00157112">
      <w:pPr>
        <w:rPr>
          <w:bCs/>
          <w:lang w:val="en-GB"/>
        </w:rPr>
      </w:pPr>
      <w:r w:rsidRPr="00157112">
        <w:rPr>
          <w:bCs/>
          <w:lang w:val="en-GB"/>
        </w:rPr>
        <w:t>The ACPM agreed with the Delegate on the proposed conditions of registration and advised on the inclusion of the following:</w:t>
      </w:r>
    </w:p>
    <w:p w14:paraId="348EE36B" w14:textId="13A7868E" w:rsidR="00157112" w:rsidRPr="00F6705D" w:rsidRDefault="007F2E71" w:rsidP="00965E78">
      <w:pPr>
        <w:pStyle w:val="ListBullet"/>
        <w:rPr>
          <w:lang w:val="en-GB"/>
        </w:rPr>
      </w:pPr>
      <w:r>
        <w:rPr>
          <w:bCs/>
          <w:lang w:val="en-GB"/>
        </w:rPr>
        <w:t xml:space="preserve"> </w:t>
      </w:r>
      <w:r w:rsidR="00157112" w:rsidRPr="00157112">
        <w:rPr>
          <w:lang w:val="en-GB"/>
        </w:rPr>
        <w:t xml:space="preserve">Inclusion of raised </w:t>
      </w:r>
      <w:proofErr w:type="spellStart"/>
      <w:r w:rsidR="00E82A76" w:rsidRPr="00F6705D">
        <w:rPr>
          <w:lang w:val="en-GB"/>
        </w:rPr>
        <w:t>creatin</w:t>
      </w:r>
      <w:r w:rsidR="00F6705D" w:rsidRPr="00F6705D">
        <w:rPr>
          <w:lang w:val="en-GB"/>
        </w:rPr>
        <w:t>e</w:t>
      </w:r>
      <w:proofErr w:type="spellEnd"/>
      <w:r w:rsidR="00E82A76" w:rsidRPr="00F6705D">
        <w:rPr>
          <w:lang w:val="en-GB"/>
        </w:rPr>
        <w:t xml:space="preserve"> kinase</w:t>
      </w:r>
      <w:r w:rsidR="00F6705D" w:rsidRPr="00F6705D">
        <w:rPr>
          <w:lang w:val="en-GB"/>
        </w:rPr>
        <w:t xml:space="preserve">, </w:t>
      </w:r>
      <w:r w:rsidR="00157112" w:rsidRPr="00F6705D">
        <w:rPr>
          <w:lang w:val="en-GB"/>
        </w:rPr>
        <w:t>stroke, and amputations in the RMP</w:t>
      </w:r>
    </w:p>
    <w:p w14:paraId="68B75B6E" w14:textId="4C125A8F" w:rsidR="00157112" w:rsidRPr="00157112" w:rsidRDefault="00157112" w:rsidP="00965E78">
      <w:pPr>
        <w:pStyle w:val="ListBullet"/>
        <w:rPr>
          <w:lang w:val="en-GB"/>
        </w:rPr>
      </w:pPr>
      <w:r w:rsidRPr="00157112">
        <w:rPr>
          <w:lang w:val="en-GB"/>
        </w:rPr>
        <w:t xml:space="preserve">The committee strongly urged the consideration of further studies to include investigating the safety and efficacy of empagliflozin in the Aboriginal and Torres Strait Islander populations. This and similar populations were not well represented in the </w:t>
      </w:r>
      <w:r w:rsidR="00F6705D">
        <w:rPr>
          <w:lang w:val="en-GB"/>
        </w:rPr>
        <w:t>EMPA-REG</w:t>
      </w:r>
      <w:r w:rsidRPr="00157112">
        <w:rPr>
          <w:lang w:val="en-GB"/>
        </w:rPr>
        <w:t xml:space="preserve"> study. The committee noted that Indigenous Australians and Torres Straight Islanders have high rates of T2DM and renal disease, with an increased rate of complications due to T2DM and/or renal </w:t>
      </w:r>
      <w:proofErr w:type="gramStart"/>
      <w:r w:rsidRPr="00157112">
        <w:rPr>
          <w:lang w:val="en-GB"/>
        </w:rPr>
        <w:t>disease,</w:t>
      </w:r>
      <w:proofErr w:type="gramEnd"/>
      <w:r w:rsidRPr="00157112">
        <w:rPr>
          <w:lang w:val="en-GB"/>
        </w:rPr>
        <w:t xml:space="preserve"> thus may be one population most likely to benefit from empagliflozin. At the same time, this population group are also at increased risk of </w:t>
      </w:r>
      <w:r w:rsidR="00F6705D">
        <w:rPr>
          <w:bCs/>
          <w:lang w:val="en-GB"/>
        </w:rPr>
        <w:t>urinary tract infections (</w:t>
      </w:r>
      <w:r w:rsidR="00F6705D" w:rsidRPr="00157112">
        <w:rPr>
          <w:bCs/>
          <w:lang w:val="en-GB"/>
        </w:rPr>
        <w:t>UTI</w:t>
      </w:r>
      <w:r w:rsidR="00F6705D">
        <w:rPr>
          <w:bCs/>
          <w:lang w:val="en-GB"/>
        </w:rPr>
        <w:t>)</w:t>
      </w:r>
      <w:r w:rsidR="00F6705D" w:rsidRPr="00157112">
        <w:rPr>
          <w:bCs/>
          <w:lang w:val="en-GB"/>
        </w:rPr>
        <w:t xml:space="preserve"> and </w:t>
      </w:r>
      <w:r w:rsidR="00F6705D">
        <w:rPr>
          <w:bCs/>
          <w:lang w:val="en-GB"/>
        </w:rPr>
        <w:t>sexually transmitted infections (STI)</w:t>
      </w:r>
      <w:r w:rsidR="00F6705D" w:rsidRPr="00157112">
        <w:rPr>
          <w:bCs/>
          <w:lang w:val="en-GB"/>
        </w:rPr>
        <w:t>,</w:t>
      </w:r>
      <w:r w:rsidRPr="00157112">
        <w:rPr>
          <w:lang w:val="en-GB"/>
        </w:rPr>
        <w:t xml:space="preserve"> thus further information regarding the overall risk-benefit balance is urged.</w:t>
      </w:r>
    </w:p>
    <w:p w14:paraId="3DABD7A0" w14:textId="77777777" w:rsidR="00157112" w:rsidRPr="00157112" w:rsidRDefault="00157112" w:rsidP="00FE1357">
      <w:pPr>
        <w:pStyle w:val="Heading5"/>
        <w:rPr>
          <w:lang w:val="en-GB"/>
        </w:rPr>
      </w:pPr>
      <w:r w:rsidRPr="00157112">
        <w:rPr>
          <w:lang w:val="en-GB"/>
        </w:rPr>
        <w:t>Specific Advice</w:t>
      </w:r>
    </w:p>
    <w:p w14:paraId="047BFAF5" w14:textId="01912A51" w:rsidR="00157112" w:rsidRPr="00157112" w:rsidRDefault="00157112" w:rsidP="00157112">
      <w:pPr>
        <w:rPr>
          <w:bCs/>
          <w:lang w:val="en-GB"/>
        </w:rPr>
      </w:pPr>
      <w:r w:rsidRPr="00157112">
        <w:rPr>
          <w:bCs/>
          <w:lang w:val="en-GB"/>
        </w:rPr>
        <w:t xml:space="preserve">The ACPM advised the following in response to the </w:t>
      </w:r>
      <w:r w:rsidR="00CA1089">
        <w:rPr>
          <w:bCs/>
          <w:lang w:val="en-GB"/>
        </w:rPr>
        <w:t>D</w:t>
      </w:r>
      <w:r w:rsidR="00CA1089" w:rsidRPr="00157112">
        <w:rPr>
          <w:bCs/>
          <w:lang w:val="en-GB"/>
        </w:rPr>
        <w:t xml:space="preserve">elegate’s </w:t>
      </w:r>
      <w:r w:rsidRPr="00157112">
        <w:rPr>
          <w:bCs/>
          <w:lang w:val="en-GB"/>
        </w:rPr>
        <w:t>specific questions on this submission:</w:t>
      </w:r>
    </w:p>
    <w:p w14:paraId="235736B6" w14:textId="77777777" w:rsidR="00157112" w:rsidRPr="00E82A76" w:rsidRDefault="00157112" w:rsidP="006513E6">
      <w:pPr>
        <w:pStyle w:val="Numberbullet0"/>
        <w:numPr>
          <w:ilvl w:val="0"/>
          <w:numId w:val="13"/>
        </w:numPr>
        <w:rPr>
          <w:i/>
          <w:lang w:val="en-GB"/>
        </w:rPr>
      </w:pPr>
      <w:r w:rsidRPr="00E82A76">
        <w:rPr>
          <w:i/>
          <w:lang w:val="en-GB"/>
        </w:rPr>
        <w:t>Please comment on the proposed indication:</w:t>
      </w:r>
    </w:p>
    <w:p w14:paraId="63DAB650" w14:textId="77777777" w:rsidR="00157112" w:rsidRPr="00E82A76" w:rsidRDefault="00157112" w:rsidP="00FE1357">
      <w:pPr>
        <w:pStyle w:val="Numberbullet2"/>
        <w:rPr>
          <w:i/>
          <w:lang w:val="en-GB"/>
        </w:rPr>
      </w:pPr>
      <w:r w:rsidRPr="00E82A76">
        <w:rPr>
          <w:i/>
          <w:lang w:val="en-GB"/>
        </w:rPr>
        <w:t>Is a new indication justified?</w:t>
      </w:r>
    </w:p>
    <w:p w14:paraId="5890FEDE" w14:textId="10FEA863" w:rsidR="00157112" w:rsidRPr="00157112" w:rsidRDefault="00157112" w:rsidP="00157112">
      <w:pPr>
        <w:rPr>
          <w:bCs/>
          <w:lang w:val="en-GB"/>
        </w:rPr>
      </w:pPr>
      <w:r w:rsidRPr="00157112">
        <w:rPr>
          <w:bCs/>
          <w:lang w:val="en-GB"/>
        </w:rPr>
        <w:t xml:space="preserve">The proposed (modified) indication is acceptable. The committee agrees </w:t>
      </w:r>
      <w:r w:rsidR="00FE1357">
        <w:rPr>
          <w:bCs/>
          <w:lang w:val="en-GB"/>
        </w:rPr>
        <w:t>that the use of empagliflozin in</w:t>
      </w:r>
      <w:r w:rsidR="00A55718">
        <w:rPr>
          <w:bCs/>
          <w:lang w:val="en-GB"/>
        </w:rPr>
        <w:t xml:space="preserve"> secondary </w:t>
      </w:r>
      <w:r w:rsidR="00A55718" w:rsidRPr="00A55718">
        <w:rPr>
          <w:bCs/>
          <w:lang w:val="en-GB"/>
        </w:rPr>
        <w:t>cardiovascular</w:t>
      </w:r>
      <w:r w:rsidRPr="00157112">
        <w:rPr>
          <w:bCs/>
          <w:lang w:val="en-GB"/>
        </w:rPr>
        <w:t xml:space="preserve"> event prevention should be as a part of care that may include a range of other measures including tight glycaemic control, BP regulation, lipid control and potentially anti-platelet therapy (as and when clinically indicated).</w:t>
      </w:r>
    </w:p>
    <w:p w14:paraId="4D8E6264" w14:textId="77777777" w:rsidR="00157112" w:rsidRPr="00E82A76" w:rsidRDefault="00157112" w:rsidP="00FE1357">
      <w:pPr>
        <w:pStyle w:val="Numberbullet2"/>
        <w:rPr>
          <w:i/>
          <w:lang w:val="en-GB"/>
        </w:rPr>
      </w:pPr>
      <w:r w:rsidRPr="00E82A76">
        <w:rPr>
          <w:i/>
          <w:lang w:val="en-GB"/>
        </w:rPr>
        <w:t>Does high cardiovascular risk need further defining (either as an indication or precaution)</w:t>
      </w:r>
      <w:proofErr w:type="gramStart"/>
      <w:r w:rsidRPr="00E82A76">
        <w:rPr>
          <w:i/>
          <w:lang w:val="en-GB"/>
        </w:rPr>
        <w:t>.</w:t>
      </w:r>
      <w:proofErr w:type="gramEnd"/>
      <w:r w:rsidRPr="00E82A76">
        <w:rPr>
          <w:i/>
          <w:lang w:val="en-GB"/>
        </w:rPr>
        <w:t xml:space="preserve"> Is it appropriate to have patients with peripheral vascular disease and cerebrovascular disease included in the indication if there is uncertainty about safety signals in this population?</w:t>
      </w:r>
    </w:p>
    <w:p w14:paraId="6A6164B3" w14:textId="618D553A" w:rsidR="00157112" w:rsidRPr="00157112" w:rsidRDefault="00157112" w:rsidP="00157112">
      <w:pPr>
        <w:rPr>
          <w:bCs/>
          <w:lang w:val="en-GB"/>
        </w:rPr>
      </w:pPr>
      <w:r w:rsidRPr="00157112">
        <w:rPr>
          <w:bCs/>
          <w:lang w:val="en-GB"/>
        </w:rPr>
        <w:t>The proposed (modified) indication with specific mention of established cardiovascular disease as opposed to high cardiovascular risk (but without established disease) is acceptable. The committee recommended that the inclusion criteria of the E</w:t>
      </w:r>
      <w:r w:rsidR="00010346">
        <w:rPr>
          <w:bCs/>
          <w:lang w:val="en-GB"/>
        </w:rPr>
        <w:t>MPA</w:t>
      </w:r>
      <w:r w:rsidRPr="00157112">
        <w:rPr>
          <w:bCs/>
          <w:lang w:val="en-GB"/>
        </w:rPr>
        <w:t>-R</w:t>
      </w:r>
      <w:r w:rsidR="00010346">
        <w:rPr>
          <w:bCs/>
          <w:lang w:val="en-GB"/>
        </w:rPr>
        <w:t>EG</w:t>
      </w:r>
      <w:r w:rsidRPr="00157112">
        <w:rPr>
          <w:bCs/>
          <w:lang w:val="en-GB"/>
        </w:rPr>
        <w:t xml:space="preserve"> study be detailed in the PI and referred to in the indications.</w:t>
      </w:r>
    </w:p>
    <w:p w14:paraId="35612715" w14:textId="77777777" w:rsidR="00157112" w:rsidRPr="00E82A76" w:rsidRDefault="00157112" w:rsidP="00FE1357">
      <w:pPr>
        <w:pStyle w:val="Numberbullet2"/>
        <w:rPr>
          <w:i/>
          <w:lang w:val="en-GB"/>
        </w:rPr>
      </w:pPr>
      <w:r w:rsidRPr="00E82A76">
        <w:rPr>
          <w:i/>
          <w:lang w:val="en-GB"/>
        </w:rPr>
        <w:t>Can we be sure about the risk/benefit balance in patients with early onset T2DM and good glycaemic control?</w:t>
      </w:r>
    </w:p>
    <w:p w14:paraId="6B25145D" w14:textId="43DD82F4" w:rsidR="00157112" w:rsidRPr="00157112" w:rsidRDefault="00A55718" w:rsidP="00157112">
      <w:pPr>
        <w:rPr>
          <w:bCs/>
          <w:lang w:val="en-GB"/>
        </w:rPr>
      </w:pPr>
      <w:r>
        <w:rPr>
          <w:bCs/>
          <w:lang w:val="en-GB"/>
        </w:rPr>
        <w:t xml:space="preserve">The </w:t>
      </w:r>
      <w:r w:rsidRPr="00A55718">
        <w:rPr>
          <w:bCs/>
          <w:lang w:val="en-GB"/>
        </w:rPr>
        <w:t>cardiovascular</w:t>
      </w:r>
      <w:r w:rsidR="00157112" w:rsidRPr="00157112">
        <w:rPr>
          <w:bCs/>
          <w:lang w:val="en-GB"/>
        </w:rPr>
        <w:t xml:space="preserve"> benefit of empagliflozin in established </w:t>
      </w:r>
      <w:r w:rsidR="008778A5">
        <w:rPr>
          <w:bCs/>
          <w:lang w:val="en-GB"/>
        </w:rPr>
        <w:t>cardiovascular disease</w:t>
      </w:r>
      <w:r w:rsidR="00157112" w:rsidRPr="00157112">
        <w:rPr>
          <w:bCs/>
          <w:lang w:val="en-GB"/>
        </w:rPr>
        <w:t xml:space="preserve"> appears to be independent of its effect on glycaemic control.</w:t>
      </w:r>
    </w:p>
    <w:p w14:paraId="088B156C" w14:textId="77777777" w:rsidR="00157112" w:rsidRPr="00E82A76" w:rsidRDefault="00157112" w:rsidP="00FE1357">
      <w:pPr>
        <w:pStyle w:val="Numberbullet0"/>
        <w:rPr>
          <w:i/>
          <w:lang w:val="en-GB"/>
        </w:rPr>
      </w:pPr>
      <w:r w:rsidRPr="00E82A76">
        <w:rPr>
          <w:i/>
          <w:lang w:val="en-GB"/>
        </w:rPr>
        <w:t>Is the imbalance in stroke significant? Does this need to be added to the RMP?</w:t>
      </w:r>
    </w:p>
    <w:p w14:paraId="5AC1776C" w14:textId="6B89A496" w:rsidR="00157112" w:rsidRPr="00157112" w:rsidRDefault="00157112" w:rsidP="00157112">
      <w:pPr>
        <w:rPr>
          <w:bCs/>
          <w:lang w:val="en-GB"/>
        </w:rPr>
      </w:pPr>
      <w:r w:rsidRPr="00157112">
        <w:rPr>
          <w:bCs/>
          <w:lang w:val="en-GB"/>
        </w:rPr>
        <w:lastRenderedPageBreak/>
        <w:t xml:space="preserve">Whilst the potential imbalance in stroke does not appear significant, the ACPM encouraged outcomes related to stroke as a safety signal that should be addressed in future </w:t>
      </w:r>
      <w:r w:rsidR="008778A5">
        <w:rPr>
          <w:bCs/>
          <w:lang w:val="en-GB"/>
        </w:rPr>
        <w:t>periodic safety update reports</w:t>
      </w:r>
      <w:r w:rsidRPr="00157112">
        <w:rPr>
          <w:bCs/>
          <w:lang w:val="en-GB"/>
        </w:rPr>
        <w:t>.</w:t>
      </w:r>
    </w:p>
    <w:p w14:paraId="4B0F4400" w14:textId="77777777" w:rsidR="00157112" w:rsidRPr="00E82A76" w:rsidRDefault="00157112" w:rsidP="00FE1357">
      <w:pPr>
        <w:pStyle w:val="Numberbullet0"/>
        <w:rPr>
          <w:i/>
          <w:lang w:val="en-GB"/>
        </w:rPr>
      </w:pPr>
      <w:r w:rsidRPr="00E82A76">
        <w:rPr>
          <w:i/>
          <w:lang w:val="en-GB"/>
        </w:rPr>
        <w:t>Please comment on the appropriateness for use in renal impairment in the context of the risk of renal injury with other SGLT-2 inhibitors.</w:t>
      </w:r>
    </w:p>
    <w:p w14:paraId="23B07EB5" w14:textId="1245B4C9" w:rsidR="00157112" w:rsidRPr="00157112" w:rsidRDefault="00157112" w:rsidP="00157112">
      <w:pPr>
        <w:rPr>
          <w:bCs/>
          <w:lang w:val="en-GB"/>
        </w:rPr>
      </w:pPr>
      <w:r w:rsidRPr="00157112">
        <w:rPr>
          <w:bCs/>
          <w:lang w:val="en-GB"/>
        </w:rPr>
        <w:t>The ACPM noted that empagliflozin (as with other drugs in its class) is associated with reduced clinical effectiveness in glycaemic control in patients with eGFRs in CKD Stage 3, particularly below &lt;</w:t>
      </w:r>
      <w:r w:rsidR="00FE1357">
        <w:rPr>
          <w:bCs/>
          <w:lang w:val="en-GB"/>
        </w:rPr>
        <w:t xml:space="preserve"> </w:t>
      </w:r>
      <w:r w:rsidRPr="00157112">
        <w:rPr>
          <w:bCs/>
          <w:lang w:val="en-GB"/>
        </w:rPr>
        <w:t>45 mL</w:t>
      </w:r>
      <w:r w:rsidR="00A55718">
        <w:rPr>
          <w:bCs/>
          <w:lang w:val="en-GB"/>
        </w:rPr>
        <w:t>/min</w:t>
      </w:r>
      <w:r w:rsidR="005E7273">
        <w:rPr>
          <w:bCs/>
          <w:lang w:val="en-GB"/>
        </w:rPr>
        <w:t>/1.73 m</w:t>
      </w:r>
      <w:r w:rsidR="005E7273">
        <w:rPr>
          <w:bCs/>
          <w:vertAlign w:val="superscript"/>
          <w:lang w:val="en-GB"/>
        </w:rPr>
        <w:t>2</w:t>
      </w:r>
      <w:r w:rsidRPr="00157112">
        <w:rPr>
          <w:bCs/>
          <w:lang w:val="en-GB"/>
        </w:rPr>
        <w:t>. Th</w:t>
      </w:r>
      <w:r w:rsidR="00A55718">
        <w:rPr>
          <w:bCs/>
          <w:lang w:val="en-GB"/>
        </w:rPr>
        <w:t xml:space="preserve">e committee also noted that a </w:t>
      </w:r>
      <w:r w:rsidR="00A55718" w:rsidRPr="00A55718">
        <w:rPr>
          <w:bCs/>
          <w:lang w:val="en-GB"/>
        </w:rPr>
        <w:t>cardiovascular</w:t>
      </w:r>
      <w:r w:rsidRPr="00157112">
        <w:rPr>
          <w:bCs/>
          <w:lang w:val="en-GB"/>
        </w:rPr>
        <w:t xml:space="preserve"> benefit appeared to be present in this population sub-group independent of glycaemic effect as well as a possible benefit in terms of steady preservation of renal function and re</w:t>
      </w:r>
      <w:r w:rsidR="008778A5">
        <w:rPr>
          <w:bCs/>
          <w:lang w:val="en-GB"/>
        </w:rPr>
        <w:t xml:space="preserve">duction in progression of micro and </w:t>
      </w:r>
      <w:proofErr w:type="spellStart"/>
      <w:r w:rsidR="008778A5">
        <w:rPr>
          <w:bCs/>
          <w:lang w:val="en-GB"/>
        </w:rPr>
        <w:t>macro</w:t>
      </w:r>
      <w:r w:rsidRPr="00157112">
        <w:rPr>
          <w:bCs/>
          <w:lang w:val="en-GB"/>
        </w:rPr>
        <w:t>albuminaemia</w:t>
      </w:r>
      <w:proofErr w:type="spellEnd"/>
      <w:r w:rsidRPr="00157112">
        <w:rPr>
          <w:bCs/>
          <w:lang w:val="en-GB"/>
        </w:rPr>
        <w:t>. The committee noted however that an acute short lived drop in eGFR followed treatment initiation and careful renal monitoring must be in place during and shortly after initiation of treatment. The committee recognised that DKA and urosepsis have been included in the PI, but have included several other points as mentioned above.</w:t>
      </w:r>
    </w:p>
    <w:p w14:paraId="44F99CE7" w14:textId="1E9C1227" w:rsidR="00157112" w:rsidRPr="00E82A76" w:rsidRDefault="00157112" w:rsidP="00FE1357">
      <w:pPr>
        <w:pStyle w:val="Numberbullet0"/>
        <w:rPr>
          <w:i/>
          <w:lang w:val="en-GB"/>
        </w:rPr>
      </w:pPr>
      <w:r w:rsidRPr="00E82A76">
        <w:rPr>
          <w:i/>
          <w:lang w:val="en-GB"/>
        </w:rPr>
        <w:t>Please comment on the absence of data for Indigenous Australian’s and the TGA’s role in supporting this.</w:t>
      </w:r>
      <w:r w:rsidR="0053665F" w:rsidRPr="00E82A76">
        <w:rPr>
          <w:i/>
          <w:lang w:val="en-GB"/>
        </w:rPr>
        <w:t xml:space="preserve"> </w:t>
      </w:r>
      <w:r w:rsidRPr="00E82A76">
        <w:rPr>
          <w:i/>
          <w:lang w:val="en-GB"/>
        </w:rPr>
        <w:t>The committee is requested to provide advice on any other issues that it think may be relevant to a decision on whether or not to approve this application.</w:t>
      </w:r>
    </w:p>
    <w:p w14:paraId="370517C5" w14:textId="59DE92CC" w:rsidR="00157112" w:rsidRPr="00157112" w:rsidRDefault="00157112" w:rsidP="00157112">
      <w:pPr>
        <w:rPr>
          <w:bCs/>
          <w:lang w:val="en-GB"/>
        </w:rPr>
      </w:pPr>
      <w:r w:rsidRPr="00157112">
        <w:rPr>
          <w:bCs/>
          <w:lang w:val="en-GB"/>
        </w:rPr>
        <w:t xml:space="preserve">Whilst beyond the powers of the ACPM to make the following a condition of registration, the felt that whilst the study population was similar to the populations some localities in Australia, it was not reflective of Indigenous Australians and Torres Straight Islanders and the committee strongly urged the consideration of further studies to include investigating the safety and efficacy of empagliflozin in such populations. The committee noted that Indigenous Australians and Torres Straight Islanders have high rates of T2DM and renal disease, with an increased rate of complications due to T2DM and/or renal disease thus may be one population most likely to benefit from empagliflozin. At the same time, this population group are also at increased risk of UTI and </w:t>
      </w:r>
      <w:r w:rsidR="00F6705D">
        <w:rPr>
          <w:bCs/>
          <w:lang w:val="en-GB"/>
        </w:rPr>
        <w:t>STI</w:t>
      </w:r>
      <w:r w:rsidRPr="00157112">
        <w:rPr>
          <w:bCs/>
          <w:lang w:val="en-GB"/>
        </w:rPr>
        <w:t>, thus further information regarding the overall risk-benefit balance is urged.</w:t>
      </w:r>
    </w:p>
    <w:p w14:paraId="3DB17930" w14:textId="596DAFD7" w:rsidR="00157112" w:rsidRPr="00A322B3" w:rsidRDefault="00157112" w:rsidP="00157112">
      <w:r w:rsidRPr="00157112">
        <w:rPr>
          <w:bCs/>
          <w:lang w:val="en-GB"/>
        </w:rPr>
        <w:t>The ACPM advised that implementation by the sponsor of the recommendations outlined above to the satisfaction of the TGA, in addition to the evidence of efficacy and safety provided would support the safe and effective use of these products.</w:t>
      </w:r>
    </w:p>
    <w:p w14:paraId="72BE4BD7" w14:textId="77777777" w:rsidR="008E7846" w:rsidRPr="002E238E" w:rsidRDefault="008E7846" w:rsidP="008E7846">
      <w:pPr>
        <w:pStyle w:val="Heading3"/>
      </w:pPr>
      <w:bookmarkStart w:id="119" w:name="_Toc247691532"/>
      <w:bookmarkStart w:id="120" w:name="_Toc314842516"/>
      <w:bookmarkStart w:id="121" w:name="_Toc497906661"/>
      <w:bookmarkEnd w:id="70"/>
      <w:bookmarkEnd w:id="116"/>
      <w:bookmarkEnd w:id="117"/>
      <w:r>
        <w:t>Outcome</w:t>
      </w:r>
      <w:bookmarkEnd w:id="119"/>
      <w:bookmarkEnd w:id="120"/>
      <w:bookmarkEnd w:id="121"/>
    </w:p>
    <w:p w14:paraId="097077B0" w14:textId="2D95BF03" w:rsidR="00D23139" w:rsidRPr="00D57883" w:rsidRDefault="00D23139" w:rsidP="00D23139">
      <w:pPr>
        <w:rPr>
          <w:lang w:val="en-GB"/>
        </w:rPr>
      </w:pPr>
      <w:bookmarkStart w:id="122" w:name="_Toc247691533"/>
      <w:bookmarkStart w:id="123" w:name="_Toc314842517"/>
      <w:r w:rsidRPr="00D23139">
        <w:t xml:space="preserve">Based on a review of quality, safety and efficacy, TGA approved the registration of </w:t>
      </w:r>
      <w:r w:rsidR="00D57883" w:rsidRPr="00D57883">
        <w:rPr>
          <w:lang w:val="en-GB"/>
        </w:rPr>
        <w:t>J</w:t>
      </w:r>
      <w:r w:rsidR="00D57883">
        <w:rPr>
          <w:lang w:val="en-GB"/>
        </w:rPr>
        <w:t>ardiance</w:t>
      </w:r>
      <w:r w:rsidR="00D57883" w:rsidRPr="00D57883">
        <w:rPr>
          <w:lang w:val="en-GB"/>
        </w:rPr>
        <w:t xml:space="preserve"> empagliflozin 10 mg </w:t>
      </w:r>
      <w:r w:rsidR="00D57883">
        <w:rPr>
          <w:lang w:val="en-GB"/>
        </w:rPr>
        <w:t xml:space="preserve">and 25 mg film-coated tablet blister packs </w:t>
      </w:r>
      <w:r w:rsidRPr="00D23139">
        <w:t>indicated for:</w:t>
      </w:r>
    </w:p>
    <w:p w14:paraId="10A232AE" w14:textId="65E9CD9E" w:rsidR="00D57883" w:rsidRPr="00A961B7" w:rsidRDefault="00A961B7" w:rsidP="00A961B7">
      <w:pPr>
        <w:ind w:left="720"/>
        <w:rPr>
          <w:i/>
          <w:lang w:val="en-GB"/>
        </w:rPr>
      </w:pPr>
      <w:r w:rsidRPr="00A961B7">
        <w:rPr>
          <w:i/>
          <w:lang w:val="en-GB"/>
        </w:rPr>
        <w:t>‘</w:t>
      </w:r>
      <w:r w:rsidR="00D57883" w:rsidRPr="00A961B7">
        <w:rPr>
          <w:i/>
          <w:lang w:val="en-GB"/>
        </w:rPr>
        <w:t xml:space="preserve">Prevention </w:t>
      </w:r>
      <w:r w:rsidRPr="00A961B7">
        <w:rPr>
          <w:i/>
          <w:lang w:val="en-GB"/>
        </w:rPr>
        <w:t>of cardiovascular death</w:t>
      </w:r>
    </w:p>
    <w:p w14:paraId="397EFA0E" w14:textId="5AE7C268" w:rsidR="00D57883" w:rsidRPr="00A961B7" w:rsidRDefault="00D57883" w:rsidP="00A961B7">
      <w:pPr>
        <w:ind w:left="720"/>
        <w:rPr>
          <w:i/>
          <w:lang w:val="en-GB"/>
        </w:rPr>
      </w:pPr>
      <w:r w:rsidRPr="00A961B7">
        <w:rPr>
          <w:i/>
          <w:lang w:val="en-GB"/>
        </w:rPr>
        <w:t>Jardiance is indicated in patients with type 2 diabetes mellitus and established cardiovascular disease to reduce the risk of cardiovascular death (see Clinical Trials)</w:t>
      </w:r>
    </w:p>
    <w:p w14:paraId="574BB171" w14:textId="33D845BE" w:rsidR="00D57883" w:rsidRPr="00A961B7" w:rsidRDefault="00D57883" w:rsidP="00A961B7">
      <w:pPr>
        <w:ind w:left="720"/>
        <w:rPr>
          <w:i/>
          <w:lang w:val="en-GB"/>
        </w:rPr>
      </w:pPr>
      <w:r w:rsidRPr="00A961B7">
        <w:rPr>
          <w:i/>
          <w:lang w:val="en-GB"/>
        </w:rPr>
        <w:t>To prevent cardiovascular deaths, Jardiance should be used in conjunction with other measures to reduce cardiovascular risk in line with the current standard of care.</w:t>
      </w:r>
      <w:r w:rsidR="00A961B7" w:rsidRPr="00A961B7">
        <w:rPr>
          <w:i/>
          <w:lang w:val="en-GB"/>
        </w:rPr>
        <w:t>’</w:t>
      </w:r>
    </w:p>
    <w:p w14:paraId="5D0DA37E" w14:textId="77777777" w:rsidR="00855D54" w:rsidRDefault="00855D54" w:rsidP="00855D54">
      <w:pPr>
        <w:rPr>
          <w:lang w:val="en-GB"/>
        </w:rPr>
      </w:pPr>
      <w:r w:rsidRPr="00855D54">
        <w:rPr>
          <w:lang w:val="en-GB"/>
        </w:rPr>
        <w:t xml:space="preserve">The </w:t>
      </w:r>
      <w:r w:rsidRPr="00855D54">
        <w:rPr>
          <w:bCs/>
          <w:lang w:val="en-GB"/>
        </w:rPr>
        <w:t>full indications</w:t>
      </w:r>
      <w:r w:rsidRPr="00855D54">
        <w:rPr>
          <w:b/>
          <w:bCs/>
          <w:lang w:val="en-GB"/>
        </w:rPr>
        <w:t xml:space="preserve"> </w:t>
      </w:r>
      <w:r>
        <w:rPr>
          <w:lang w:val="en-GB"/>
        </w:rPr>
        <w:t>are now:</w:t>
      </w:r>
    </w:p>
    <w:p w14:paraId="3C2463B8" w14:textId="17DFD0A6" w:rsidR="00855D54" w:rsidRPr="00855D54" w:rsidRDefault="00855D54" w:rsidP="00855D54">
      <w:pPr>
        <w:ind w:left="720"/>
        <w:rPr>
          <w:lang w:val="en-GB"/>
        </w:rPr>
      </w:pPr>
      <w:r>
        <w:rPr>
          <w:bCs/>
          <w:i/>
          <w:iCs/>
          <w:lang w:val="en-GB"/>
        </w:rPr>
        <w:t>‘</w:t>
      </w:r>
      <w:r w:rsidRPr="00855D54">
        <w:rPr>
          <w:bCs/>
          <w:i/>
          <w:iCs/>
          <w:lang w:val="en-GB"/>
        </w:rPr>
        <w:t>Glycaemic control</w:t>
      </w:r>
    </w:p>
    <w:p w14:paraId="5B124E67" w14:textId="00543ADD" w:rsidR="00855D54" w:rsidRPr="00855D54" w:rsidRDefault="00855D54" w:rsidP="00855D54">
      <w:pPr>
        <w:ind w:left="720"/>
        <w:rPr>
          <w:lang w:val="en-GB"/>
        </w:rPr>
      </w:pPr>
      <w:r w:rsidRPr="00855D54">
        <w:rPr>
          <w:i/>
          <w:iCs/>
          <w:lang w:val="en-GB"/>
        </w:rPr>
        <w:t>Jardiance is indicated in the treatment of type 2 diabetes mellitus to improve glycaemic control in adults as:</w:t>
      </w:r>
    </w:p>
    <w:p w14:paraId="6856A6F9" w14:textId="7058FD58" w:rsidR="00855D54" w:rsidRPr="006D3BC4" w:rsidRDefault="00855D54" w:rsidP="006D3BC4">
      <w:pPr>
        <w:ind w:firstLine="720"/>
        <w:rPr>
          <w:lang w:val="en-GB"/>
        </w:rPr>
      </w:pPr>
      <w:r w:rsidRPr="006D3BC4">
        <w:rPr>
          <w:i/>
          <w:iCs/>
          <w:lang w:val="en-GB"/>
        </w:rPr>
        <w:t>Monotherapy</w:t>
      </w:r>
    </w:p>
    <w:p w14:paraId="5F508B54" w14:textId="3A62D97F" w:rsidR="00855D54" w:rsidRPr="00855D54" w:rsidRDefault="00855D54" w:rsidP="00855D54">
      <w:pPr>
        <w:ind w:left="720"/>
        <w:rPr>
          <w:lang w:val="en-GB"/>
        </w:rPr>
      </w:pPr>
      <w:r w:rsidRPr="00855D54">
        <w:rPr>
          <w:i/>
          <w:iCs/>
          <w:lang w:val="en-GB"/>
        </w:rPr>
        <w:t xml:space="preserve">When diet and exercise alone do not provide adequate glycaemic control in patients for </w:t>
      </w:r>
      <w:proofErr w:type="gramStart"/>
      <w:r w:rsidRPr="00855D54">
        <w:rPr>
          <w:i/>
          <w:iCs/>
          <w:lang w:val="en-GB"/>
        </w:rPr>
        <w:t>whom</w:t>
      </w:r>
      <w:proofErr w:type="gramEnd"/>
      <w:r w:rsidRPr="00855D54">
        <w:rPr>
          <w:i/>
          <w:iCs/>
          <w:lang w:val="en-GB"/>
        </w:rPr>
        <w:t xml:space="preserve"> use of metformin is considered inappropriate due to intolerance.</w:t>
      </w:r>
    </w:p>
    <w:p w14:paraId="2FFDEC6F" w14:textId="48BE6DA9" w:rsidR="00855D54" w:rsidRPr="006D3BC4" w:rsidRDefault="00855D54" w:rsidP="006D3BC4">
      <w:pPr>
        <w:ind w:firstLine="720"/>
        <w:rPr>
          <w:lang w:val="en-GB"/>
        </w:rPr>
      </w:pPr>
      <w:r w:rsidRPr="006D3BC4">
        <w:rPr>
          <w:i/>
          <w:iCs/>
          <w:lang w:val="en-GB"/>
        </w:rPr>
        <w:lastRenderedPageBreak/>
        <w:t>Add-on combination therapy</w:t>
      </w:r>
    </w:p>
    <w:p w14:paraId="3B642CC6" w14:textId="7E6146AB" w:rsidR="00855D54" w:rsidRDefault="00855D54" w:rsidP="00855D54">
      <w:pPr>
        <w:ind w:left="720"/>
        <w:rPr>
          <w:i/>
          <w:iCs/>
          <w:lang w:val="en-GB"/>
        </w:rPr>
      </w:pPr>
      <w:r w:rsidRPr="00855D54">
        <w:rPr>
          <w:i/>
          <w:iCs/>
          <w:lang w:val="en-GB"/>
        </w:rPr>
        <w:t xml:space="preserve">In combination with other glucose–lowering medicinal products including insulin, when these, together with diet and exercise, do not provide adequate glycaemic control (see </w:t>
      </w:r>
      <w:r w:rsidR="003B3F07">
        <w:rPr>
          <w:i/>
          <w:iCs/>
          <w:lang w:val="en-GB"/>
        </w:rPr>
        <w:t>C</w:t>
      </w:r>
      <w:r w:rsidRPr="00855D54">
        <w:rPr>
          <w:i/>
          <w:iCs/>
          <w:lang w:val="en-GB"/>
        </w:rPr>
        <w:t xml:space="preserve">linical </w:t>
      </w:r>
      <w:r w:rsidR="003B3F07">
        <w:rPr>
          <w:i/>
          <w:iCs/>
          <w:lang w:val="en-GB"/>
        </w:rPr>
        <w:t>T</w:t>
      </w:r>
      <w:r w:rsidRPr="00855D54">
        <w:rPr>
          <w:i/>
          <w:iCs/>
          <w:lang w:val="en-GB"/>
        </w:rPr>
        <w:t>rials).</w:t>
      </w:r>
    </w:p>
    <w:p w14:paraId="6624ACF9" w14:textId="77777777" w:rsidR="00855D54" w:rsidRPr="00855D54" w:rsidRDefault="00855D54" w:rsidP="00855D54">
      <w:pPr>
        <w:ind w:left="720"/>
        <w:rPr>
          <w:i/>
          <w:iCs/>
          <w:lang w:val="en-GB"/>
        </w:rPr>
      </w:pPr>
      <w:r w:rsidRPr="00855D54">
        <w:rPr>
          <w:i/>
          <w:iCs/>
          <w:lang w:val="en-GB"/>
        </w:rPr>
        <w:t>‘Prevention of cardiovascular death</w:t>
      </w:r>
    </w:p>
    <w:p w14:paraId="280CAD6B" w14:textId="77777777" w:rsidR="00855D54" w:rsidRPr="00855D54" w:rsidRDefault="00855D54" w:rsidP="00855D54">
      <w:pPr>
        <w:ind w:left="720"/>
        <w:rPr>
          <w:i/>
          <w:iCs/>
          <w:lang w:val="en-GB"/>
        </w:rPr>
      </w:pPr>
      <w:r w:rsidRPr="00855D54">
        <w:rPr>
          <w:i/>
          <w:iCs/>
          <w:lang w:val="en-GB"/>
        </w:rPr>
        <w:t>Jardiance is indicated in patients with type 2 diabetes mellitus and established cardiovascular disease to reduce the risk of cardiovascular death (see Clinical Trials)</w:t>
      </w:r>
    </w:p>
    <w:p w14:paraId="09659700" w14:textId="77777777" w:rsidR="00855D54" w:rsidRPr="00855D54" w:rsidRDefault="00855D54" w:rsidP="00855D54">
      <w:pPr>
        <w:ind w:left="720"/>
        <w:rPr>
          <w:i/>
          <w:iCs/>
          <w:lang w:val="en-GB"/>
        </w:rPr>
      </w:pPr>
      <w:r w:rsidRPr="00855D54">
        <w:rPr>
          <w:i/>
          <w:iCs/>
          <w:lang w:val="en-GB"/>
        </w:rPr>
        <w:t>To prevent cardiovascular deaths, Jardiance should be used in conjunction with other measures to reduce cardiovascular risk in line with the current standard of care.’</w:t>
      </w:r>
    </w:p>
    <w:p w14:paraId="7D2FD927" w14:textId="77777777" w:rsidR="00D23139" w:rsidRDefault="00D23139" w:rsidP="00D23139">
      <w:pPr>
        <w:pStyle w:val="Heading4"/>
      </w:pPr>
      <w:r w:rsidRPr="00D23139">
        <w:t>Specific conditions of registration applying to these goods</w:t>
      </w:r>
    </w:p>
    <w:p w14:paraId="1EE04DE9" w14:textId="6E7DBEB0" w:rsidR="006D3BC4" w:rsidRPr="006D3BC4" w:rsidRDefault="006D3BC4" w:rsidP="006D3BC4">
      <w:pPr>
        <w:rPr>
          <w:lang w:val="en-GB"/>
        </w:rPr>
      </w:pPr>
      <w:r>
        <w:rPr>
          <w:lang w:val="en-GB"/>
        </w:rPr>
        <w:t>The Jardiance</w:t>
      </w:r>
      <w:r w:rsidRPr="006D3BC4">
        <w:rPr>
          <w:lang w:val="en-GB"/>
        </w:rPr>
        <w:t xml:space="preserve"> (empagliflozin) EU Risk Management Plan (RMP), version 9.0, dated 10 May 2016 with the Australian Specific Annex, version 3.2, dated 7 December 2016, and any subsequent revisions, as agreed with the TGA wi</w:t>
      </w:r>
      <w:r>
        <w:rPr>
          <w:lang w:val="en-GB"/>
        </w:rPr>
        <w:t>ll be implemented in Australia.</w:t>
      </w:r>
    </w:p>
    <w:p w14:paraId="3388426F" w14:textId="77777777" w:rsidR="008E7846" w:rsidRDefault="00A80B5B" w:rsidP="00D23139">
      <w:pPr>
        <w:pStyle w:val="Heading2"/>
      </w:pPr>
      <w:bookmarkStart w:id="124" w:name="_Toc497906662"/>
      <w:proofErr w:type="gramStart"/>
      <w:r>
        <w:t>Attachment 1.</w:t>
      </w:r>
      <w:proofErr w:type="gramEnd"/>
      <w:r>
        <w:t xml:space="preserve"> </w:t>
      </w:r>
      <w:r w:rsidR="008E7846">
        <w:t xml:space="preserve">Product </w:t>
      </w:r>
      <w:r w:rsidR="00AA0ED0">
        <w:t>I</w:t>
      </w:r>
      <w:r w:rsidR="008E7846">
        <w:t>nformation</w:t>
      </w:r>
      <w:bookmarkEnd w:id="122"/>
      <w:bookmarkEnd w:id="123"/>
      <w:bookmarkEnd w:id="124"/>
    </w:p>
    <w:p w14:paraId="0D696BE7" w14:textId="617D062B" w:rsidR="00C80137" w:rsidRDefault="006136D7" w:rsidP="00C80137">
      <w:pPr>
        <w:rPr>
          <w:color w:val="000000"/>
          <w:lang w:eastAsia="en-AU"/>
        </w:rPr>
      </w:pPr>
      <w:r w:rsidRPr="002B3624">
        <w:t xml:space="preserve">The </w:t>
      </w:r>
      <w:r>
        <w:t>PI</w:t>
      </w:r>
      <w:r w:rsidRPr="002B3624">
        <w:t xml:space="preserve"> for </w:t>
      </w:r>
      <w:r w:rsidR="006D3BC4">
        <w:t>Jardiance</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47" w:history="1">
        <w:r w:rsidR="007C6B9B" w:rsidRPr="007C6B9B">
          <w:rPr>
            <w:rStyle w:val="Hyperlink"/>
          </w:rPr>
          <w:t>https://www.tga.gov.au/product-information-pi</w:t>
        </w:r>
      </w:hyperlink>
      <w:r w:rsidR="006D3BC4">
        <w:t>&gt;.</w:t>
      </w:r>
    </w:p>
    <w:p w14:paraId="205D2CA6" w14:textId="77777777" w:rsidR="00C80137" w:rsidRDefault="00C80137" w:rsidP="00C80137">
      <w:pPr>
        <w:pStyle w:val="Heading2"/>
        <w:rPr>
          <w:lang w:eastAsia="en-AU"/>
        </w:rPr>
      </w:pPr>
      <w:bookmarkStart w:id="125" w:name="_Toc497906663"/>
      <w:proofErr w:type="gramStart"/>
      <w:r>
        <w:rPr>
          <w:lang w:eastAsia="en-AU"/>
        </w:rPr>
        <w:t>Attachment 2.</w:t>
      </w:r>
      <w:proofErr w:type="gramEnd"/>
      <w:r w:rsidR="00A80B5B">
        <w:rPr>
          <w:lang w:eastAsia="en-AU"/>
        </w:rPr>
        <w:t xml:space="preserve"> </w:t>
      </w:r>
      <w:r>
        <w:rPr>
          <w:lang w:eastAsia="en-AU"/>
        </w:rPr>
        <w:t>Extract from the Clinical Evaluation Report</w:t>
      </w:r>
      <w:bookmarkEnd w:id="125"/>
    </w:p>
    <w:p w14:paraId="20A151B0" w14:textId="77777777" w:rsidR="006D3BC4" w:rsidRDefault="006D3BC4" w:rsidP="006D3BC4">
      <w:pPr>
        <w:autoSpaceDE w:val="0"/>
        <w:autoSpaceDN w:val="0"/>
        <w:adjustRightInd w:val="0"/>
        <w:spacing w:after="0"/>
        <w:rPr>
          <w:lang w:eastAsia="ja-JP"/>
        </w:rPr>
      </w:pPr>
    </w:p>
    <w:p w14:paraId="67C7A02E" w14:textId="77777777" w:rsidR="006D3BC4" w:rsidRPr="001D043B" w:rsidRDefault="006D3BC4" w:rsidP="006D3BC4">
      <w:pPr>
        <w:autoSpaceDE w:val="0"/>
        <w:autoSpaceDN w:val="0"/>
        <w:adjustRightInd w:val="0"/>
        <w:spacing w:after="0"/>
        <w:rPr>
          <w:lang w:eastAsia="ja-JP"/>
        </w:rPr>
        <w:sectPr w:rsidR="006D3BC4" w:rsidRPr="001D043B" w:rsidSect="00B452CE">
          <w:headerReference w:type="even" r:id="rId48"/>
          <w:headerReference w:type="default" r:id="rId49"/>
          <w:headerReference w:type="first" r:id="rId50"/>
          <w:footerReference w:type="first" r:id="rId5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1C32CD" w:rsidRPr="00487162" w14:paraId="4990FA4E" w14:textId="77777777" w:rsidTr="00A05FA4">
        <w:trPr>
          <w:trHeight w:hRule="exact" w:val="704"/>
        </w:trPr>
        <w:tc>
          <w:tcPr>
            <w:tcW w:w="9175" w:type="dxa"/>
          </w:tcPr>
          <w:p w14:paraId="7864AEC0" w14:textId="77777777" w:rsidR="001C32CD" w:rsidRPr="00487162" w:rsidRDefault="001C32CD" w:rsidP="00A05FA4">
            <w:pPr>
              <w:pStyle w:val="TGASignoff"/>
            </w:pPr>
            <w:r w:rsidRPr="00487162">
              <w:lastRenderedPageBreak/>
              <w:t>Therapeutic Goods Administration</w:t>
            </w:r>
          </w:p>
        </w:tc>
      </w:tr>
      <w:tr w:rsidR="001C32CD" w:rsidRPr="004C239D" w14:paraId="4F0AFAFC" w14:textId="77777777" w:rsidTr="00A05FA4">
        <w:trPr>
          <w:trHeight w:val="1221"/>
        </w:trPr>
        <w:tc>
          <w:tcPr>
            <w:tcW w:w="9175" w:type="dxa"/>
            <w:tcMar>
              <w:top w:w="28" w:type="dxa"/>
            </w:tcMar>
          </w:tcPr>
          <w:p w14:paraId="59DF543B" w14:textId="77777777" w:rsidR="001C32CD" w:rsidRPr="00487162" w:rsidRDefault="001C32CD" w:rsidP="00A05FA4">
            <w:pPr>
              <w:pStyle w:val="Address"/>
            </w:pPr>
            <w:r w:rsidRPr="00487162">
              <w:t>PO Box 100 Woden ACT 2606 Australia</w:t>
            </w:r>
          </w:p>
          <w:p w14:paraId="67AF49BA" w14:textId="34DAD874" w:rsidR="001C32CD" w:rsidRPr="00487162" w:rsidRDefault="001C32CD" w:rsidP="00A05FA4">
            <w:pPr>
              <w:pStyle w:val="Address"/>
            </w:pPr>
            <w:r w:rsidRPr="00487162">
              <w:t xml:space="preserve">Email: </w:t>
            </w:r>
            <w:hyperlink r:id="rId52" w:history="1">
              <w:r w:rsidRPr="004C239D">
                <w:rPr>
                  <w:rStyle w:val="Hyperlink"/>
                </w:rPr>
                <w:t>info@tga.gov.au</w:t>
              </w:r>
            </w:hyperlink>
            <w:r w:rsidR="007F2E71">
              <w:t xml:space="preserve"> </w:t>
            </w:r>
            <w:r w:rsidRPr="00487162">
              <w:t>Phone: 1800 020 653</w:t>
            </w:r>
            <w:r w:rsidR="007F2E71">
              <w:t xml:space="preserve"> </w:t>
            </w:r>
            <w:r w:rsidRPr="00487162">
              <w:t>Fax: 02 6232 8605</w:t>
            </w:r>
          </w:p>
          <w:p w14:paraId="4AAC4CCC" w14:textId="77777777" w:rsidR="001C32CD" w:rsidRPr="004C239D" w:rsidRDefault="00A66BD0" w:rsidP="00A05FA4">
            <w:pPr>
              <w:pStyle w:val="Address"/>
              <w:spacing w:line="260" w:lineRule="atLeast"/>
              <w:rPr>
                <w:b/>
                <w:color w:val="0000FF"/>
                <w:u w:val="single"/>
              </w:rPr>
            </w:pPr>
            <w:hyperlink r:id="rId53" w:history="1">
              <w:r w:rsidR="007C6B9B" w:rsidRPr="007C6B9B">
                <w:rPr>
                  <w:rStyle w:val="Hyperlink"/>
                  <w:b/>
                </w:rPr>
                <w:t>https://www.tga.gov.au</w:t>
              </w:r>
            </w:hyperlink>
          </w:p>
        </w:tc>
      </w:tr>
    </w:tbl>
    <w:p w14:paraId="734B7D52" w14:textId="77777777" w:rsidR="00774E1D" w:rsidRPr="008A5E0B" w:rsidRDefault="00774E1D" w:rsidP="004C239D"/>
    <w:sectPr w:rsidR="00774E1D" w:rsidRPr="008A5E0B" w:rsidSect="001C32CD">
      <w:headerReference w:type="even" r:id="rId54"/>
      <w:headerReference w:type="default" r:id="rId55"/>
      <w:footerReference w:type="default" r:id="rId56"/>
      <w:headerReference w:type="first" r:id="rId57"/>
      <w:footerReference w:type="first" r:id="rId58"/>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8DD4E9" w15:done="0"/>
  <w15:commentEx w15:paraId="06D456E6" w15:done="0"/>
  <w15:commentEx w15:paraId="1EE7D89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2CD8A5" w14:textId="77777777" w:rsidR="007F2E71" w:rsidRDefault="007F2E71" w:rsidP="00C40A36">
      <w:pPr>
        <w:spacing w:after="0"/>
      </w:pPr>
      <w:r>
        <w:separator/>
      </w:r>
    </w:p>
  </w:endnote>
  <w:endnote w:type="continuationSeparator" w:id="0">
    <w:p w14:paraId="54285FA1" w14:textId="77777777" w:rsidR="007F2E71" w:rsidRDefault="007F2E7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7F2E71" w:rsidRPr="00487162" w14:paraId="4A1352C6" w14:textId="77777777" w:rsidTr="00DB750B">
      <w:trPr>
        <w:trHeight w:val="269"/>
      </w:trPr>
      <w:tc>
        <w:tcPr>
          <w:tcW w:w="7371" w:type="dxa"/>
          <w:tcMar>
            <w:top w:w="142" w:type="dxa"/>
            <w:bottom w:w="0" w:type="dxa"/>
          </w:tcMar>
        </w:tcPr>
        <w:p w14:paraId="7022906C" w14:textId="2E360D20" w:rsidR="007F2E71" w:rsidRPr="00487162" w:rsidRDefault="007F2E71" w:rsidP="002C7955">
          <w:pPr>
            <w:pStyle w:val="Footer"/>
          </w:pPr>
          <w:proofErr w:type="spellStart"/>
          <w:r w:rsidRPr="00487162">
            <w:t>AusPA</w:t>
          </w:r>
          <w:r>
            <w:t>R</w:t>
          </w:r>
          <w:proofErr w:type="spellEnd"/>
          <w:r>
            <w:t xml:space="preserve"> Jardiance </w:t>
          </w:r>
          <w:proofErr w:type="spellStart"/>
          <w:r>
            <w:t>Empagliflozin</w:t>
          </w:r>
          <w:proofErr w:type="spellEnd"/>
          <w:r>
            <w:t xml:space="preserve"> </w:t>
          </w:r>
          <w:proofErr w:type="spellStart"/>
          <w:r>
            <w:t>Boehringer</w:t>
          </w:r>
          <w:proofErr w:type="spellEnd"/>
          <w:r>
            <w:t xml:space="preserve"> </w:t>
          </w:r>
          <w:proofErr w:type="spellStart"/>
          <w:r>
            <w:t>Ingelheim</w:t>
          </w:r>
          <w:proofErr w:type="spellEnd"/>
          <w:r>
            <w:t xml:space="preserve"> Pty Ltd PM-2015-04356-1-5</w:t>
          </w:r>
          <w:r>
            <w:br/>
            <w:t>Final 26 October 2017</w:t>
          </w:r>
        </w:p>
      </w:tc>
      <w:tc>
        <w:tcPr>
          <w:tcW w:w="1490" w:type="dxa"/>
          <w:tcMar>
            <w:top w:w="142" w:type="dxa"/>
            <w:bottom w:w="0" w:type="dxa"/>
          </w:tcMar>
        </w:tcPr>
        <w:p w14:paraId="790B85A7" w14:textId="77777777" w:rsidR="007F2E71" w:rsidRPr="00487162" w:rsidRDefault="007F2E71" w:rsidP="00DB750B">
          <w:pPr>
            <w:pStyle w:val="Footer"/>
            <w:jc w:val="right"/>
          </w:pPr>
          <w:r w:rsidRPr="00487162">
            <w:t xml:space="preserve">Page </w:t>
          </w:r>
          <w:r>
            <w:fldChar w:fldCharType="begin"/>
          </w:r>
          <w:r>
            <w:instrText xml:space="preserve"> PAGE  \* Arabic </w:instrText>
          </w:r>
          <w:r>
            <w:fldChar w:fldCharType="separate"/>
          </w:r>
          <w:r w:rsidR="00A66BD0">
            <w:rPr>
              <w:noProof/>
            </w:rPr>
            <w:t>2</w:t>
          </w:r>
          <w:r>
            <w:fldChar w:fldCharType="end"/>
          </w:r>
          <w:r w:rsidRPr="00487162">
            <w:t xml:space="preserve"> of </w:t>
          </w:r>
          <w:fldSimple w:instr=" NUMPAGES  \* Arabic ">
            <w:r w:rsidR="00A66BD0">
              <w:rPr>
                <w:noProof/>
              </w:rPr>
              <w:t>47</w:t>
            </w:r>
          </w:fldSimple>
        </w:p>
      </w:tc>
    </w:tr>
  </w:tbl>
  <w:p w14:paraId="625B608D" w14:textId="77777777" w:rsidR="007F2E71" w:rsidRDefault="007F2E71"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F2E71" w:rsidRPr="00487162" w14:paraId="5EC25EF3" w14:textId="77777777" w:rsidTr="00E45619">
      <w:trPr>
        <w:trHeight w:val="269"/>
      </w:trPr>
      <w:tc>
        <w:tcPr>
          <w:tcW w:w="4519" w:type="dxa"/>
          <w:tcBorders>
            <w:top w:val="single" w:sz="4" w:space="0" w:color="auto"/>
          </w:tcBorders>
          <w:tcMar>
            <w:top w:w="142" w:type="dxa"/>
            <w:bottom w:w="0" w:type="dxa"/>
          </w:tcMar>
        </w:tcPr>
        <w:p w14:paraId="7A8A9131" w14:textId="77777777" w:rsidR="007F2E71" w:rsidRPr="00487162" w:rsidRDefault="007F2E71" w:rsidP="00FE1DEE">
          <w:pPr>
            <w:pStyle w:val="Footer"/>
          </w:pPr>
          <w:r w:rsidRPr="00487162">
            <w:t>Document title, Part #, Section # - Section title</w:t>
          </w:r>
        </w:p>
        <w:p w14:paraId="30F1096D" w14:textId="77777777" w:rsidR="007F2E71" w:rsidRPr="00487162" w:rsidRDefault="007F2E71" w:rsidP="00FE1DEE">
          <w:pPr>
            <w:pStyle w:val="Footer"/>
          </w:pPr>
          <w:r w:rsidRPr="00487162">
            <w:t>V1.0 October 2010</w:t>
          </w:r>
        </w:p>
      </w:tc>
      <w:tc>
        <w:tcPr>
          <w:tcW w:w="4342" w:type="dxa"/>
          <w:tcBorders>
            <w:top w:val="single" w:sz="4" w:space="0" w:color="auto"/>
          </w:tcBorders>
          <w:tcMar>
            <w:top w:w="142" w:type="dxa"/>
            <w:bottom w:w="0" w:type="dxa"/>
          </w:tcMar>
        </w:tcPr>
        <w:p w14:paraId="2A03618E" w14:textId="060B6D30" w:rsidR="007F2E71" w:rsidRPr="00487162" w:rsidRDefault="007F2E7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14:paraId="61C16C5D" w14:textId="77777777" w:rsidR="007F2E71" w:rsidRDefault="007F2E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349CF" w14:textId="77777777" w:rsidR="007F2E71" w:rsidRPr="001C32CD" w:rsidRDefault="007F2E71"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F2E71" w14:paraId="1A660EF5" w14:textId="77777777" w:rsidTr="0010601F">
      <w:trPr>
        <w:trHeight w:val="108"/>
      </w:trPr>
      <w:tc>
        <w:tcPr>
          <w:tcW w:w="8875" w:type="dxa"/>
          <w:gridSpan w:val="2"/>
          <w:tcBorders>
            <w:bottom w:val="single" w:sz="4" w:space="0" w:color="auto"/>
          </w:tcBorders>
          <w:tcMar>
            <w:right w:w="284" w:type="dxa"/>
          </w:tcMar>
        </w:tcPr>
        <w:p w14:paraId="03808B35" w14:textId="77777777" w:rsidR="007F2E71" w:rsidRDefault="007F2E71" w:rsidP="006E08B3">
          <w:pPr>
            <w:pStyle w:val="Heading3"/>
          </w:pPr>
          <w:r>
            <w:t>Copyright</w:t>
          </w:r>
        </w:p>
        <w:p w14:paraId="756932DD" w14:textId="77777777" w:rsidR="007F2E71" w:rsidRDefault="007F2E71" w:rsidP="006E08B3">
          <w:r>
            <w:rPr>
              <w:rFonts w:cs="Arial"/>
            </w:rPr>
            <w:t>©</w:t>
          </w:r>
          <w:r>
            <w:t xml:space="preserve"> Commonwealth of Australia [add year]</w:t>
          </w:r>
        </w:p>
        <w:p w14:paraId="5FD1347B" w14:textId="77777777" w:rsidR="007F2E71" w:rsidRDefault="007F2E71" w:rsidP="006E08B3"/>
        <w:p w14:paraId="77D7379C" w14:textId="5BF5EBBF" w:rsidR="007F2E71" w:rsidRDefault="007F2E7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167D4F37" w14:textId="77777777" w:rsidR="007F2E71" w:rsidRDefault="007F2E71" w:rsidP="006E08B3"/>
        <w:p w14:paraId="6054A80D" w14:textId="77777777" w:rsidR="007F2E71" w:rsidRDefault="007F2E71" w:rsidP="006E08B3">
          <w:pPr>
            <w:pStyle w:val="Heading3"/>
          </w:pPr>
          <w:r>
            <w:t>Confidentiality</w:t>
          </w:r>
        </w:p>
        <w:p w14:paraId="2ABFE7F8" w14:textId="77777777" w:rsidR="007F2E71" w:rsidRDefault="007F2E7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F32E87E" w14:textId="77777777" w:rsidR="007F2E71" w:rsidRDefault="007F2E71" w:rsidP="006E08B3"/>
        <w:p w14:paraId="7F0DE39D" w14:textId="77777777" w:rsidR="007F2E71" w:rsidRDefault="007F2E71" w:rsidP="006E08B3">
          <w:r>
            <w:t>For submission made by individuals, all personal details, other than your name, will be removed from your submission before it is published on the TGA’s Internet site.</w:t>
          </w:r>
        </w:p>
        <w:p w14:paraId="52E206EE" w14:textId="77777777" w:rsidR="007F2E71" w:rsidRDefault="007F2E71" w:rsidP="006E08B3"/>
        <w:p w14:paraId="4430ACE8" w14:textId="77777777" w:rsidR="007F2E71" w:rsidRDefault="007F2E71" w:rsidP="006E08B3">
          <w:r>
            <w:t>In addition, a list of parties making submissions will be published. If you do not wish to be identified with your submission you must specifically request this in the space provided ib the submission coversheet.</w:t>
          </w:r>
        </w:p>
      </w:tc>
    </w:tr>
    <w:tr w:rsidR="007F2E71" w14:paraId="21F4C107" w14:textId="77777777" w:rsidTr="0010601F">
      <w:trPr>
        <w:trHeight w:val="417"/>
      </w:trPr>
      <w:tc>
        <w:tcPr>
          <w:tcW w:w="4519" w:type="dxa"/>
          <w:tcBorders>
            <w:top w:val="single" w:sz="4" w:space="0" w:color="auto"/>
          </w:tcBorders>
          <w:tcMar>
            <w:top w:w="142" w:type="dxa"/>
            <w:bottom w:w="0" w:type="dxa"/>
          </w:tcMar>
        </w:tcPr>
        <w:p w14:paraId="58589C34" w14:textId="77777777" w:rsidR="007F2E71" w:rsidRDefault="007F2E71" w:rsidP="006E08B3">
          <w:r>
            <w:t>Document title, Part #, Section # - Section title</w:t>
          </w:r>
        </w:p>
        <w:p w14:paraId="5A6D5081" w14:textId="77777777" w:rsidR="007F2E71" w:rsidRDefault="007F2E71" w:rsidP="006E08B3">
          <w:r>
            <w:t>V1.0 October 2010</w:t>
          </w:r>
        </w:p>
      </w:tc>
      <w:tc>
        <w:tcPr>
          <w:tcW w:w="4356" w:type="dxa"/>
          <w:tcBorders>
            <w:top w:val="single" w:sz="4" w:space="0" w:color="auto"/>
          </w:tcBorders>
          <w:tcMar>
            <w:top w:w="142" w:type="dxa"/>
            <w:bottom w:w="0" w:type="dxa"/>
          </w:tcMar>
        </w:tcPr>
        <w:p w14:paraId="2EB647FF" w14:textId="397D2890" w:rsidR="007F2E71" w:rsidRDefault="007F2E7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14:paraId="459DF6A5" w14:textId="77777777" w:rsidR="007F2E71" w:rsidRDefault="007F2E7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71A88D" w14:textId="77777777" w:rsidR="007F2E71" w:rsidRDefault="007F2E71" w:rsidP="00C40A36">
      <w:pPr>
        <w:spacing w:after="0"/>
      </w:pPr>
      <w:r>
        <w:separator/>
      </w:r>
    </w:p>
  </w:footnote>
  <w:footnote w:type="continuationSeparator" w:id="0">
    <w:p w14:paraId="39088457" w14:textId="77777777" w:rsidR="007F2E71" w:rsidRDefault="007F2E71" w:rsidP="00C40A36">
      <w:pPr>
        <w:spacing w:after="0"/>
      </w:pPr>
      <w:r>
        <w:continuationSeparator/>
      </w:r>
    </w:p>
  </w:footnote>
  <w:footnote w:id="1">
    <w:p w14:paraId="5A730578" w14:textId="4A6EBE31" w:rsidR="007F2E71" w:rsidRPr="00BB1485" w:rsidRDefault="007F2E71" w:rsidP="005A0F41">
      <w:pPr>
        <w:pStyle w:val="FootnoteText"/>
      </w:pPr>
      <w:r>
        <w:rPr>
          <w:rStyle w:val="FootnoteReference"/>
        </w:rPr>
        <w:footnoteRef/>
      </w:r>
      <w:r>
        <w:t xml:space="preserve"> Gunton J, et al. </w:t>
      </w:r>
      <w:proofErr w:type="gramStart"/>
      <w:r w:rsidRPr="00FC267F">
        <w:t>A new blood glucose managemen</w:t>
      </w:r>
      <w:r>
        <w:t>t algorithm for type 2 diabetes</w:t>
      </w:r>
      <w:r w:rsidRPr="00FC267F">
        <w:t>.</w:t>
      </w:r>
      <w:proofErr w:type="gramEnd"/>
      <w:r w:rsidRPr="00FC267F">
        <w:t xml:space="preserve"> </w:t>
      </w:r>
      <w:proofErr w:type="gramStart"/>
      <w:r w:rsidRPr="00FC267F">
        <w:t>A position statement of the Australian Diabetes Society.</w:t>
      </w:r>
      <w:proofErr w:type="gramEnd"/>
      <w:r w:rsidRPr="00FC267F">
        <w:t xml:space="preserve"> </w:t>
      </w:r>
      <w:proofErr w:type="gramStart"/>
      <w:r w:rsidRPr="00FC267F">
        <w:t>MJA 201(11) 2014.</w:t>
      </w:r>
      <w:proofErr w:type="gramEnd"/>
      <w:r w:rsidRPr="00FC267F">
        <w:t xml:space="preserve"> 650-653</w:t>
      </w:r>
      <w:r>
        <w:t>.</w:t>
      </w:r>
    </w:p>
  </w:footnote>
  <w:footnote w:id="2">
    <w:p w14:paraId="09A5ABFB" w14:textId="77777777" w:rsidR="007F2E71" w:rsidRPr="00BB1485" w:rsidRDefault="007F2E71" w:rsidP="005A0F41">
      <w:pPr>
        <w:pStyle w:val="FootnoteText"/>
      </w:pPr>
      <w:r>
        <w:rPr>
          <w:rStyle w:val="FootnoteReference"/>
        </w:rPr>
        <w:footnoteRef/>
      </w:r>
      <w:r>
        <w:t xml:space="preserve"> </w:t>
      </w:r>
      <w:r w:rsidRPr="00BB1485">
        <w:t>Chamberlain J, et al. Diagnosis and Management of Diabetes: Synopsis of the 2016 American Diabetes Association Standards of Medical care in Diabetes.</w:t>
      </w:r>
    </w:p>
  </w:footnote>
  <w:footnote w:id="3">
    <w:p w14:paraId="33C3786D" w14:textId="77777777" w:rsidR="007F2E71" w:rsidRPr="00BB1485" w:rsidRDefault="007F2E71" w:rsidP="005A0F41">
      <w:pPr>
        <w:pStyle w:val="FootnoteText"/>
        <w:rPr>
          <w:lang w:val="en-GB"/>
        </w:rPr>
      </w:pPr>
      <w:r>
        <w:rPr>
          <w:rStyle w:val="FootnoteReference"/>
        </w:rPr>
        <w:footnoteRef/>
      </w:r>
      <w:r>
        <w:t xml:space="preserve"> Marso S, et al. </w:t>
      </w:r>
      <w:r w:rsidRPr="00BB1485">
        <w:t>Liraglutide and c</w:t>
      </w:r>
      <w:r>
        <w:t>ardiovascular outcomes in T2DM (</w:t>
      </w:r>
      <w:r w:rsidRPr="00BB1485">
        <w:t>2016</w:t>
      </w:r>
      <w:r>
        <w:t>)</w:t>
      </w:r>
    </w:p>
  </w:footnote>
  <w:footnote w:id="4">
    <w:p w14:paraId="46DA682B" w14:textId="403107D8" w:rsidR="007F2E71" w:rsidRPr="00965090" w:rsidRDefault="007F2E71">
      <w:pPr>
        <w:pStyle w:val="FootnoteText"/>
        <w:rPr>
          <w:lang w:val="en-GB"/>
        </w:rPr>
      </w:pPr>
      <w:r>
        <w:rPr>
          <w:rStyle w:val="FootnoteReference"/>
        </w:rPr>
        <w:footnoteRef/>
      </w:r>
      <w:r>
        <w:t xml:space="preserve"> </w:t>
      </w:r>
      <w:proofErr w:type="gramStart"/>
      <w:r w:rsidRPr="00965090">
        <w:rPr>
          <w:lang w:val="en-GB"/>
        </w:rPr>
        <w:t>The Multiple Risk Factor Intervention Trial (MRFIT).</w:t>
      </w:r>
      <w:proofErr w:type="gramEnd"/>
      <w:r w:rsidRPr="00965090">
        <w:rPr>
          <w:lang w:val="en-GB"/>
        </w:rPr>
        <w:t xml:space="preserve"> </w:t>
      </w:r>
      <w:proofErr w:type="gramStart"/>
      <w:r w:rsidRPr="00965090">
        <w:rPr>
          <w:lang w:val="en-GB"/>
        </w:rPr>
        <w:t>A national study of primary prevention of coronary heart disease.</w:t>
      </w:r>
      <w:proofErr w:type="gramEnd"/>
      <w:r w:rsidRPr="00965090">
        <w:rPr>
          <w:lang w:val="en-GB"/>
        </w:rPr>
        <w:t xml:space="preserve"> </w:t>
      </w:r>
      <w:proofErr w:type="gramStart"/>
      <w:r w:rsidRPr="00965090">
        <w:rPr>
          <w:lang w:val="en-GB"/>
        </w:rPr>
        <w:t>(1976) JAMA.</w:t>
      </w:r>
      <w:proofErr w:type="gramEnd"/>
      <w:r w:rsidRPr="00965090">
        <w:rPr>
          <w:lang w:val="en-GB"/>
        </w:rPr>
        <w:t xml:space="preserve"> 235(8):825-827.</w:t>
      </w:r>
    </w:p>
  </w:footnote>
  <w:footnote w:id="5">
    <w:p w14:paraId="3B8EED2B" w14:textId="7E0FB50F" w:rsidR="007F2E71" w:rsidRPr="002C7955" w:rsidRDefault="007F2E71">
      <w:pPr>
        <w:pStyle w:val="FootnoteText"/>
        <w:rPr>
          <w:lang w:val="en-US"/>
        </w:rPr>
      </w:pPr>
      <w:r>
        <w:rPr>
          <w:rStyle w:val="FootnoteReference"/>
        </w:rPr>
        <w:footnoteRef/>
      </w:r>
      <w:r>
        <w:t xml:space="preserve"> </w:t>
      </w:r>
      <w:r w:rsidRPr="0086776D">
        <w:t>FDA granted a full waiver of the Pediatric Research Equity Act requirements for empagliflozin for reducing cardiovascular risk on 10 December 2015</w:t>
      </w:r>
      <w:r>
        <w:t>.</w:t>
      </w:r>
    </w:p>
  </w:footnote>
  <w:footnote w:id="6">
    <w:p w14:paraId="796D64F0" w14:textId="2CC44DC9" w:rsidR="007F2E71" w:rsidRPr="00BF4B3D" w:rsidRDefault="007F2E71" w:rsidP="00B9732B">
      <w:pPr>
        <w:pStyle w:val="FootnoteText"/>
        <w:rPr>
          <w:lang w:val="en-US"/>
        </w:rPr>
      </w:pPr>
      <w:r w:rsidRPr="002C7955">
        <w:rPr>
          <w:rStyle w:val="FootnoteReference"/>
        </w:rPr>
        <w:footnoteRef/>
      </w:r>
      <w:r w:rsidRPr="002C7955">
        <w:t xml:space="preserve"> Skrtic M, Cherney DZI. </w:t>
      </w:r>
      <w:proofErr w:type="gramStart"/>
      <w:r w:rsidRPr="002C7955">
        <w:t>Sodium-glucose cotransporter-2 inhibition and the potential for renal protection in diabetic nephropathy.</w:t>
      </w:r>
      <w:proofErr w:type="gramEnd"/>
      <w:r w:rsidRPr="002C7955">
        <w:t xml:space="preserve"> </w:t>
      </w:r>
      <w:proofErr w:type="spellStart"/>
      <w:r w:rsidRPr="002C7955">
        <w:t>Curr</w:t>
      </w:r>
      <w:proofErr w:type="spellEnd"/>
      <w:r w:rsidRPr="002C7955">
        <w:t xml:space="preserve"> </w:t>
      </w:r>
      <w:proofErr w:type="spellStart"/>
      <w:r w:rsidRPr="002C7955">
        <w:t>Opin</w:t>
      </w:r>
      <w:proofErr w:type="spellEnd"/>
      <w:r w:rsidRPr="002C7955">
        <w:t xml:space="preserve"> </w:t>
      </w:r>
      <w:proofErr w:type="spellStart"/>
      <w:r w:rsidRPr="002C7955">
        <w:t>Nephrol</w:t>
      </w:r>
      <w:proofErr w:type="spellEnd"/>
      <w:r>
        <w:t xml:space="preserve"> </w:t>
      </w:r>
      <w:proofErr w:type="spellStart"/>
      <w:r w:rsidRPr="002C7955">
        <w:t>Hypertens</w:t>
      </w:r>
      <w:proofErr w:type="spellEnd"/>
      <w:r w:rsidRPr="002C7955">
        <w:t xml:space="preserve"> 2015</w:t>
      </w:r>
      <w:proofErr w:type="gramStart"/>
      <w:r w:rsidRPr="002C7955">
        <w:t>;24</w:t>
      </w:r>
      <w:proofErr w:type="gramEnd"/>
      <w:r w:rsidRPr="002C7955">
        <w:t>(1):96-103.</w:t>
      </w:r>
    </w:p>
  </w:footnote>
  <w:footnote w:id="7">
    <w:p w14:paraId="434ED556" w14:textId="658502D4" w:rsidR="007F2E71" w:rsidRPr="00B952E1" w:rsidRDefault="007F2E71">
      <w:pPr>
        <w:pStyle w:val="FootnoteText"/>
      </w:pPr>
      <w:r>
        <w:rPr>
          <w:rStyle w:val="FootnoteReference"/>
        </w:rPr>
        <w:footnoteRef/>
      </w:r>
      <w:r>
        <w:t xml:space="preserve"> </w:t>
      </w:r>
      <w:r w:rsidRPr="00B952E1">
        <w:t xml:space="preserve">Abdul-Ghani M, et al. SGLT2 Inhibitors and Cardiovascular Risk: Lessons Learned </w:t>
      </w:r>
      <w:proofErr w:type="gramStart"/>
      <w:r w:rsidRPr="00B952E1">
        <w:t>From</w:t>
      </w:r>
      <w:proofErr w:type="gramEnd"/>
      <w:r w:rsidRPr="00B952E1">
        <w:t xml:space="preserve"> the EMPA-REG OUTCOME study. Diabetes Care 2016; 39: 717-725.</w:t>
      </w:r>
    </w:p>
  </w:footnote>
  <w:footnote w:id="8">
    <w:p w14:paraId="7B26D328" w14:textId="1D1FDDC4" w:rsidR="007F2E71" w:rsidRPr="000D088B" w:rsidRDefault="007F2E71">
      <w:pPr>
        <w:pStyle w:val="FootnoteText"/>
        <w:rPr>
          <w:b/>
          <w:bCs/>
        </w:rPr>
      </w:pPr>
      <w:r>
        <w:rPr>
          <w:rStyle w:val="FootnoteReference"/>
        </w:rPr>
        <w:footnoteRef/>
      </w:r>
      <w:r>
        <w:t xml:space="preserve"> </w:t>
      </w:r>
      <w:r w:rsidRPr="000D088B">
        <w:rPr>
          <w:bCs/>
        </w:rPr>
        <w:t>FDA Drug Safety Communication: FDA strengthens kidney warnings for diabetes medicines canagliflozin (Invokana, Invokamet) and dapagliflozin (Farxiga, Xigduo XR)</w:t>
      </w:r>
      <w:r>
        <w:rPr>
          <w:bCs/>
        </w:rPr>
        <w:t>.</w:t>
      </w:r>
      <w:r w:rsidRPr="000D088B">
        <w:rPr>
          <w:bCs/>
        </w:rPr>
        <w:t xml:space="preserve"> </w:t>
      </w:r>
      <w:r>
        <w:t xml:space="preserve">14 June </w:t>
      </w:r>
      <w:r w:rsidRPr="000D088B">
        <w:t>2016</w:t>
      </w:r>
    </w:p>
  </w:footnote>
  <w:footnote w:id="9">
    <w:p w14:paraId="6517068B" w14:textId="258554B5" w:rsidR="007F2E71" w:rsidRPr="000D088B" w:rsidRDefault="007F2E71">
      <w:pPr>
        <w:pStyle w:val="FootnoteText"/>
        <w:rPr>
          <w:b/>
          <w:bCs/>
        </w:rPr>
      </w:pPr>
      <w:r>
        <w:rPr>
          <w:rStyle w:val="FootnoteReference"/>
        </w:rPr>
        <w:footnoteRef/>
      </w:r>
      <w:r>
        <w:t xml:space="preserve"> </w:t>
      </w:r>
      <w:r w:rsidRPr="00FE2892">
        <w:rPr>
          <w:bCs/>
        </w:rPr>
        <w:t xml:space="preserve">FDA Drug Safety Communication: Interim clinical trial results find increased risk of leg and foot amputations, mostly affecting the toes, with the diabetes medicine canagliflozin (Invokana, Invokamet); FDA to investigate. </w:t>
      </w:r>
      <w:r w:rsidRPr="00FE2892">
        <w:t>18 May 2016</w:t>
      </w:r>
    </w:p>
  </w:footnote>
  <w:footnote w:id="10">
    <w:p w14:paraId="1B1B5E93" w14:textId="101FD920" w:rsidR="007F2E71" w:rsidRPr="00FE2892" w:rsidRDefault="007F2E71">
      <w:pPr>
        <w:pStyle w:val="FootnoteText"/>
        <w:rPr>
          <w:bCs/>
        </w:rPr>
      </w:pPr>
      <w:r>
        <w:rPr>
          <w:rStyle w:val="FootnoteReference"/>
        </w:rPr>
        <w:footnoteRef/>
      </w:r>
      <w:r>
        <w:t xml:space="preserve"> </w:t>
      </w:r>
      <w:r w:rsidRPr="00FE2892">
        <w:rPr>
          <w:bCs/>
        </w:rPr>
        <w:t>FDA Drug Safety Communication: FDA revises labels of SGLT2 inhibitors for diabetes to include warnings about too much acid in the blood and serious urinary tract infections</w:t>
      </w:r>
      <w:r>
        <w:rPr>
          <w:bCs/>
        </w:rPr>
        <w:t xml:space="preserve">. </w:t>
      </w:r>
      <w:r w:rsidRPr="00FE2892">
        <w:t>15 May 2015</w:t>
      </w:r>
    </w:p>
  </w:footnote>
  <w:footnote w:id="11">
    <w:p w14:paraId="3D138552" w14:textId="14CE53A9" w:rsidR="007F2E71" w:rsidRPr="000103CE" w:rsidRDefault="007F2E71" w:rsidP="000103CE">
      <w:pPr>
        <w:pStyle w:val="FootnoteText"/>
        <w:rPr>
          <w:lang w:val="en-GB"/>
        </w:rPr>
      </w:pPr>
      <w:r>
        <w:rPr>
          <w:rStyle w:val="FootnoteReference"/>
        </w:rPr>
        <w:footnoteRef/>
      </w:r>
      <w:r>
        <w:t xml:space="preserve"> </w:t>
      </w:r>
      <w:r w:rsidRPr="000103CE">
        <w:rPr>
          <w:lang w:val="en-GB"/>
        </w:rPr>
        <w:t>Ronco C et</w:t>
      </w:r>
      <w:r>
        <w:rPr>
          <w:lang w:val="en-GB"/>
        </w:rPr>
        <w:t xml:space="preserve"> al. </w:t>
      </w:r>
      <w:r w:rsidRPr="002B17A9">
        <w:rPr>
          <w:lang w:val="en-GB"/>
        </w:rPr>
        <w:t>Cardio-renal syndromes: report from the consensus conference of the Acute Dialysis Quality Initiative</w:t>
      </w:r>
      <w:r>
        <w:rPr>
          <w:lang w:val="en-GB"/>
        </w:rPr>
        <w:t>. Eur Heart J 2010;31(6):703</w:t>
      </w:r>
    </w:p>
  </w:footnote>
  <w:footnote w:id="12">
    <w:p w14:paraId="42AD7652" w14:textId="59433378" w:rsidR="007F2E71" w:rsidRPr="000103CE" w:rsidRDefault="007F2E71">
      <w:pPr>
        <w:pStyle w:val="FootnoteText"/>
        <w:rPr>
          <w:lang w:val="en-GB"/>
        </w:rPr>
      </w:pPr>
      <w:r>
        <w:rPr>
          <w:rStyle w:val="FootnoteReference"/>
        </w:rPr>
        <w:footnoteRef/>
      </w:r>
      <w:r>
        <w:t xml:space="preserve"> </w:t>
      </w:r>
      <w:r w:rsidRPr="000103CE">
        <w:rPr>
          <w:lang w:val="en-GB"/>
        </w:rPr>
        <w:t xml:space="preserve">Sattar N et al. </w:t>
      </w:r>
      <w:r w:rsidRPr="002B17A9">
        <w:rPr>
          <w:lang w:val="en-GB"/>
        </w:rPr>
        <w:t>SGLT2 Inhibition and cardiovascular events: why did EMPA-REG Outcomes surprise and what were the likely mechanisms?</w:t>
      </w:r>
      <w:r>
        <w:rPr>
          <w:lang w:val="en-GB"/>
        </w:rPr>
        <w:t xml:space="preserve"> </w:t>
      </w:r>
      <w:r w:rsidRPr="000103CE">
        <w:rPr>
          <w:lang w:val="en-GB"/>
        </w:rPr>
        <w:t xml:space="preserve">Diabetologia, </w:t>
      </w:r>
      <w:r>
        <w:rPr>
          <w:lang w:val="en-GB"/>
        </w:rPr>
        <w:t>published online 25 April 2016</w:t>
      </w:r>
    </w:p>
  </w:footnote>
  <w:footnote w:id="13">
    <w:p w14:paraId="06C89DD8" w14:textId="65FB53F4" w:rsidR="007F2E71" w:rsidRPr="000103CE" w:rsidRDefault="007F2E71" w:rsidP="002B17A9">
      <w:pPr>
        <w:pStyle w:val="FootnoteText"/>
        <w:rPr>
          <w:lang w:val="en-GB"/>
        </w:rPr>
      </w:pPr>
      <w:r>
        <w:rPr>
          <w:rStyle w:val="FootnoteReference"/>
        </w:rPr>
        <w:footnoteRef/>
      </w:r>
      <w:r>
        <w:t xml:space="preserve"> </w:t>
      </w:r>
      <w:r w:rsidRPr="000103CE">
        <w:rPr>
          <w:lang w:val="en-GB"/>
        </w:rPr>
        <w:t xml:space="preserve">Viswanathan G </w:t>
      </w:r>
      <w:r>
        <w:rPr>
          <w:lang w:val="en-GB"/>
        </w:rPr>
        <w:t>and Gilbert S</w:t>
      </w:r>
      <w:r w:rsidRPr="000103CE">
        <w:rPr>
          <w:lang w:val="en-GB"/>
        </w:rPr>
        <w:t xml:space="preserve">. </w:t>
      </w:r>
      <w:r w:rsidRPr="002B17A9">
        <w:rPr>
          <w:lang w:val="en-GB"/>
        </w:rPr>
        <w:t>Review Article</w:t>
      </w:r>
      <w:r>
        <w:rPr>
          <w:lang w:val="en-GB"/>
        </w:rPr>
        <w:t xml:space="preserve"> </w:t>
      </w:r>
      <w:r w:rsidRPr="002B17A9">
        <w:rPr>
          <w:lang w:val="en-GB"/>
        </w:rPr>
        <w:t xml:space="preserve">The </w:t>
      </w:r>
      <w:proofErr w:type="spellStart"/>
      <w:r w:rsidRPr="002B17A9">
        <w:rPr>
          <w:lang w:val="en-GB"/>
        </w:rPr>
        <w:t>Cardiorenal</w:t>
      </w:r>
      <w:proofErr w:type="spellEnd"/>
      <w:r w:rsidRPr="002B17A9">
        <w:rPr>
          <w:lang w:val="en-GB"/>
        </w:rPr>
        <w:t xml:space="preserve"> Syndrome: Making the </w:t>
      </w:r>
      <w:proofErr w:type="spellStart"/>
      <w:r w:rsidRPr="002B17A9">
        <w:rPr>
          <w:lang w:val="en-GB"/>
        </w:rPr>
        <w:t>Conn</w:t>
      </w:r>
      <w:r w:rsidRPr="000103CE">
        <w:rPr>
          <w:lang w:val="en-GB"/>
        </w:rPr>
        <w:t>Int</w:t>
      </w:r>
      <w:proofErr w:type="spellEnd"/>
      <w:r w:rsidRPr="000103CE">
        <w:rPr>
          <w:lang w:val="en-GB"/>
        </w:rPr>
        <w:t xml:space="preserve"> J </w:t>
      </w:r>
      <w:proofErr w:type="spellStart"/>
      <w:r w:rsidRPr="000103CE">
        <w:rPr>
          <w:lang w:val="en-GB"/>
        </w:rPr>
        <w:t>Nephrol</w:t>
      </w:r>
      <w:proofErr w:type="spellEnd"/>
      <w:r w:rsidRPr="000103CE">
        <w:rPr>
          <w:lang w:val="en-GB"/>
        </w:rPr>
        <w:t xml:space="preserve"> 2011:283137</w:t>
      </w:r>
    </w:p>
  </w:footnote>
  <w:footnote w:id="14">
    <w:p w14:paraId="4076249A" w14:textId="47B66F2B" w:rsidR="007F2E71" w:rsidRPr="000103CE" w:rsidRDefault="007F2E71">
      <w:pPr>
        <w:pStyle w:val="FootnoteText"/>
        <w:rPr>
          <w:lang w:val="en-GB"/>
        </w:rPr>
      </w:pPr>
      <w:r>
        <w:rPr>
          <w:rStyle w:val="FootnoteReference"/>
        </w:rPr>
        <w:footnoteRef/>
      </w:r>
      <w:r>
        <w:t xml:space="preserve"> </w:t>
      </w:r>
      <w:r w:rsidRPr="000103CE">
        <w:rPr>
          <w:lang w:val="en-GB"/>
        </w:rPr>
        <w:t xml:space="preserve">Fitchett D et al. </w:t>
      </w:r>
      <w:r w:rsidRPr="002B17A9">
        <w:rPr>
          <w:lang w:val="en-GB"/>
        </w:rPr>
        <w:t>Heart failure outcomes with empagliflozin in patients with type 2 diabetes at high cardiovascular risk: results of the EMPA-REG OUTCOME® trial</w:t>
      </w:r>
      <w:r>
        <w:rPr>
          <w:lang w:val="en-GB"/>
        </w:rPr>
        <w:t xml:space="preserve">. </w:t>
      </w:r>
      <w:r w:rsidRPr="000103CE">
        <w:rPr>
          <w:lang w:val="en-GB"/>
        </w:rPr>
        <w:t xml:space="preserve">Eur Heart J 2016;37(19):1526 </w:t>
      </w:r>
      <w:r w:rsidRPr="000103CE">
        <w:rPr>
          <w:rFonts w:ascii="MS Mincho" w:eastAsia="MS Mincho" w:hAnsi="MS Mincho" w:cs="MS Mincho"/>
          <w:lang w:val="en-GB"/>
        </w:rPr>
        <w:t> </w:t>
      </w:r>
    </w:p>
  </w:footnote>
  <w:footnote w:id="15">
    <w:p w14:paraId="6A5E5847" w14:textId="2956691F" w:rsidR="007F2E71" w:rsidRPr="000103CE" w:rsidRDefault="007F2E71">
      <w:pPr>
        <w:pStyle w:val="FootnoteText"/>
        <w:rPr>
          <w:lang w:val="en-GB"/>
        </w:rPr>
      </w:pPr>
      <w:r>
        <w:rPr>
          <w:rStyle w:val="FootnoteReference"/>
        </w:rPr>
        <w:footnoteRef/>
      </w:r>
      <w:r>
        <w:t xml:space="preserve"> </w:t>
      </w:r>
      <w:r w:rsidRPr="000103CE">
        <w:rPr>
          <w:lang w:val="en-GB"/>
        </w:rPr>
        <w:t>Wanner C et al</w:t>
      </w:r>
      <w:r>
        <w:rPr>
          <w:lang w:val="en-GB"/>
        </w:rPr>
        <w:t xml:space="preserve">. </w:t>
      </w:r>
      <w:r w:rsidRPr="002B17A9">
        <w:rPr>
          <w:lang w:val="en-GB"/>
        </w:rPr>
        <w:t xml:space="preserve">Empagliflozin and Progression of Kidney Disease in Type 2 </w:t>
      </w:r>
      <w:proofErr w:type="spellStart"/>
      <w:r w:rsidRPr="002B17A9">
        <w:rPr>
          <w:lang w:val="en-GB"/>
        </w:rPr>
        <w:t>Diabetes</w:t>
      </w:r>
      <w:r w:rsidRPr="000103CE">
        <w:rPr>
          <w:lang w:val="en-GB"/>
        </w:rPr>
        <w:t>N</w:t>
      </w:r>
      <w:proofErr w:type="spellEnd"/>
      <w:r w:rsidRPr="000103CE">
        <w:rPr>
          <w:lang w:val="en-GB"/>
        </w:rPr>
        <w:t xml:space="preserve"> </w:t>
      </w:r>
      <w:proofErr w:type="spellStart"/>
      <w:r w:rsidRPr="000103CE">
        <w:rPr>
          <w:lang w:val="en-GB"/>
        </w:rPr>
        <w:t>Engl</w:t>
      </w:r>
      <w:proofErr w:type="spellEnd"/>
      <w:r w:rsidRPr="000103CE">
        <w:rPr>
          <w:lang w:val="en-GB"/>
        </w:rPr>
        <w:t xml:space="preserve"> </w:t>
      </w:r>
      <w:r>
        <w:rPr>
          <w:lang w:val="en-GB"/>
        </w:rPr>
        <w:t xml:space="preserve">J Med </w:t>
      </w:r>
      <w:r w:rsidRPr="002B17A9">
        <w:rPr>
          <w:lang w:val="en-GB"/>
        </w:rPr>
        <w:t>2016; 375:323-33</w:t>
      </w:r>
      <w:r>
        <w:rPr>
          <w:lang w:val="en-GB"/>
        </w:rPr>
        <w:t>.</w:t>
      </w:r>
    </w:p>
  </w:footnote>
  <w:footnote w:id="16">
    <w:p w14:paraId="4AB01095" w14:textId="6EC7229A" w:rsidR="007F2E71" w:rsidRPr="005A4C27" w:rsidRDefault="007F2E71" w:rsidP="005A4C27">
      <w:pPr>
        <w:pStyle w:val="FootnoteText"/>
        <w:rPr>
          <w:lang w:val="en-GB"/>
        </w:rPr>
      </w:pPr>
      <w:r>
        <w:rPr>
          <w:rStyle w:val="FootnoteReference"/>
        </w:rPr>
        <w:footnoteRef/>
      </w:r>
      <w:r>
        <w:t xml:space="preserve"> </w:t>
      </w:r>
      <w:proofErr w:type="gramStart"/>
      <w:r w:rsidRPr="005A4C27">
        <w:rPr>
          <w:lang w:val="en-GB"/>
        </w:rPr>
        <w:t>KDIGO.</w:t>
      </w:r>
      <w:proofErr w:type="gramEnd"/>
      <w:r w:rsidRPr="005A4C27">
        <w:rPr>
          <w:lang w:val="en-GB"/>
        </w:rPr>
        <w:t xml:space="preserve"> 2012 clinical practice guideline for the evaluation and management of chronic kidney </w:t>
      </w:r>
      <w:r w:rsidRPr="005A4C27">
        <w:rPr>
          <w:rFonts w:ascii="MS Mincho" w:eastAsia="MS Mincho" w:hAnsi="MS Mincho" w:cs="MS Mincho"/>
          <w:lang w:val="en-GB"/>
        </w:rPr>
        <w:t> </w:t>
      </w:r>
      <w:r w:rsidRPr="005A4C27">
        <w:rPr>
          <w:lang w:val="en-GB"/>
        </w:rPr>
        <w:t>diseas</w:t>
      </w:r>
      <w:r>
        <w:rPr>
          <w:lang w:val="en-GB"/>
        </w:rPr>
        <w:t>e. Kidney Int Suppl 2013;3(1):1</w:t>
      </w:r>
    </w:p>
  </w:footnote>
  <w:footnote w:id="17">
    <w:p w14:paraId="312422D7" w14:textId="1B560FFF" w:rsidR="007F2E71" w:rsidRPr="008778A5" w:rsidRDefault="007F2E71">
      <w:pPr>
        <w:pStyle w:val="FootnoteText"/>
        <w:rPr>
          <w:bCs/>
          <w:i/>
          <w:lang w:val="en-GB"/>
        </w:rPr>
      </w:pPr>
      <w:r>
        <w:rPr>
          <w:rStyle w:val="FootnoteReference"/>
        </w:rPr>
        <w:footnoteRef/>
      </w:r>
      <w:r>
        <w:t xml:space="preserve"> Note: </w:t>
      </w:r>
      <w:r w:rsidRPr="008778A5">
        <w:rPr>
          <w:bCs/>
          <w:lang w:val="en-GB"/>
        </w:rPr>
        <w:t>The committee was in agreement that ‘established cardiovascular disease’ should be reflective of the CVD inclusion criteria in the EMPA-REG study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07A56" w14:textId="77777777" w:rsidR="007F2E71" w:rsidRDefault="007F2E71"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CDFDD" w14:textId="67454312" w:rsidR="007F2E71" w:rsidRDefault="007F2E71" w:rsidP="00897144">
    <w:r w:rsidRPr="00347824">
      <w:rPr>
        <w:noProof/>
        <w:lang w:eastAsia="en-AU"/>
      </w:rPr>
      <w:drawing>
        <wp:anchor distT="0" distB="0" distL="114300" distR="114300" simplePos="0" relativeHeight="251659264" behindDoc="1" locked="0" layoutInCell="1" allowOverlap="1" wp14:anchorId="56009A0B" wp14:editId="70227AF9">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A0581" w14:textId="77777777" w:rsidR="007F2E71" w:rsidRDefault="007F2E7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93C3C" w14:textId="77777777" w:rsidR="007F2E71" w:rsidRDefault="007F2E71">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C01BA" w14:textId="77777777" w:rsidR="007F2E71" w:rsidRDefault="007F2E71">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B6D27" w14:textId="77777777" w:rsidR="007F2E71" w:rsidRDefault="007F2E7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74043" w14:textId="77777777" w:rsidR="007F2E71" w:rsidRDefault="007F2E71"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8BF39" w14:textId="77777777" w:rsidR="007F2E71" w:rsidRDefault="007F2E71" w:rsidP="006E08B3">
    <w:r>
      <w:t>Therapeutic Goods Administration</w:t>
    </w:r>
  </w:p>
  <w:p w14:paraId="481CEB96" w14:textId="77777777" w:rsidR="007F2E71" w:rsidRDefault="007F2E71"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4630C"/>
    <w:multiLevelType w:val="hybridMultilevel"/>
    <w:tmpl w:val="3AAA01B4"/>
    <w:lvl w:ilvl="0" w:tplc="D6D42136">
      <w:start w:val="1"/>
      <w:numFmt w:val="bullet"/>
      <w:lvlText w:val=""/>
      <w:lvlJc w:val="left"/>
      <w:pPr>
        <w:ind w:left="457" w:hanging="360"/>
      </w:pPr>
      <w:rPr>
        <w:rFonts w:ascii="Symbol" w:eastAsia="Symbol" w:hAnsi="Symbol" w:hint="default"/>
        <w:w w:val="76"/>
        <w:sz w:val="20"/>
        <w:szCs w:val="20"/>
      </w:rPr>
    </w:lvl>
    <w:lvl w:ilvl="1" w:tplc="61CA0370">
      <w:start w:val="1"/>
      <w:numFmt w:val="bullet"/>
      <w:lvlText w:val="•"/>
      <w:lvlJc w:val="left"/>
      <w:pPr>
        <w:ind w:left="766" w:hanging="360"/>
      </w:pPr>
      <w:rPr>
        <w:rFonts w:hint="default"/>
      </w:rPr>
    </w:lvl>
    <w:lvl w:ilvl="2" w:tplc="40F2E594">
      <w:start w:val="1"/>
      <w:numFmt w:val="bullet"/>
      <w:lvlText w:val="•"/>
      <w:lvlJc w:val="left"/>
      <w:pPr>
        <w:ind w:left="1076" w:hanging="360"/>
      </w:pPr>
      <w:rPr>
        <w:rFonts w:hint="default"/>
      </w:rPr>
    </w:lvl>
    <w:lvl w:ilvl="3" w:tplc="06C405B6">
      <w:start w:val="1"/>
      <w:numFmt w:val="bullet"/>
      <w:lvlText w:val="•"/>
      <w:lvlJc w:val="left"/>
      <w:pPr>
        <w:ind w:left="1385" w:hanging="360"/>
      </w:pPr>
      <w:rPr>
        <w:rFonts w:hint="default"/>
      </w:rPr>
    </w:lvl>
    <w:lvl w:ilvl="4" w:tplc="706077E8">
      <w:start w:val="1"/>
      <w:numFmt w:val="bullet"/>
      <w:lvlText w:val="•"/>
      <w:lvlJc w:val="left"/>
      <w:pPr>
        <w:ind w:left="1695" w:hanging="360"/>
      </w:pPr>
      <w:rPr>
        <w:rFonts w:hint="default"/>
      </w:rPr>
    </w:lvl>
    <w:lvl w:ilvl="5" w:tplc="7E829DFA">
      <w:start w:val="1"/>
      <w:numFmt w:val="bullet"/>
      <w:lvlText w:val="•"/>
      <w:lvlJc w:val="left"/>
      <w:pPr>
        <w:ind w:left="2004" w:hanging="360"/>
      </w:pPr>
      <w:rPr>
        <w:rFonts w:hint="default"/>
      </w:rPr>
    </w:lvl>
    <w:lvl w:ilvl="6" w:tplc="103C26FC">
      <w:start w:val="1"/>
      <w:numFmt w:val="bullet"/>
      <w:lvlText w:val="•"/>
      <w:lvlJc w:val="left"/>
      <w:pPr>
        <w:ind w:left="2314" w:hanging="360"/>
      </w:pPr>
      <w:rPr>
        <w:rFonts w:hint="default"/>
      </w:rPr>
    </w:lvl>
    <w:lvl w:ilvl="7" w:tplc="06600AA0">
      <w:start w:val="1"/>
      <w:numFmt w:val="bullet"/>
      <w:lvlText w:val="•"/>
      <w:lvlJc w:val="left"/>
      <w:pPr>
        <w:ind w:left="2623" w:hanging="360"/>
      </w:pPr>
      <w:rPr>
        <w:rFonts w:hint="default"/>
      </w:rPr>
    </w:lvl>
    <w:lvl w:ilvl="8" w:tplc="EB20D66C">
      <w:start w:val="1"/>
      <w:numFmt w:val="bullet"/>
      <w:lvlText w:val="•"/>
      <w:lvlJc w:val="left"/>
      <w:pPr>
        <w:ind w:left="2933" w:hanging="360"/>
      </w:pPr>
      <w:rPr>
        <w:rFonts w:hint="default"/>
      </w:rPr>
    </w:lvl>
  </w:abstractNum>
  <w:abstractNum w:abstractNumId="1">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38292AD4"/>
    <w:multiLevelType w:val="multilevel"/>
    <w:tmpl w:val="7110D424"/>
    <w:styleLink w:val="Headings"/>
    <w:lvl w:ilvl="0">
      <w:start w:val="1"/>
      <w:numFmt w:val="decimal"/>
      <w:suff w:val="space"/>
      <w:lvlText w:val="%1."/>
      <w:lvlJc w:val="left"/>
      <w:pPr>
        <w:ind w:left="357" w:hanging="357"/>
      </w:pPr>
      <w:rPr>
        <w:rFonts w:asciiTheme="majorHAnsi" w:hAnsiTheme="majorHAnsi" w:hint="default"/>
      </w:rPr>
    </w:lvl>
    <w:lvl w:ilvl="1">
      <w:start w:val="1"/>
      <w:numFmt w:val="decimal"/>
      <w:suff w:val="space"/>
      <w:lvlText w:val="%1.%2."/>
      <w:lvlJc w:val="left"/>
      <w:pPr>
        <w:ind w:left="357" w:hanging="357"/>
      </w:pPr>
      <w:rPr>
        <w:rFonts w:asciiTheme="majorHAnsi" w:hAnsiTheme="majorHAnsi" w:hint="default"/>
      </w:rPr>
    </w:lvl>
    <w:lvl w:ilvl="2">
      <w:start w:val="1"/>
      <w:numFmt w:val="decimal"/>
      <w:suff w:val="space"/>
      <w:lvlText w:val="%1.%2.%3."/>
      <w:lvlJc w:val="left"/>
      <w:pPr>
        <w:ind w:left="357" w:hanging="357"/>
      </w:pPr>
      <w:rPr>
        <w:rFonts w:asciiTheme="majorHAnsi" w:hAnsiTheme="majorHAnsi" w:hint="default"/>
      </w:rPr>
    </w:lvl>
    <w:lvl w:ilvl="3">
      <w:start w:val="1"/>
      <w:numFmt w:val="decimal"/>
      <w:suff w:val="space"/>
      <w:lvlText w:val="%1.%2.%3.%4."/>
      <w:lvlJc w:val="left"/>
      <w:pPr>
        <w:ind w:left="357" w:hanging="357"/>
      </w:pPr>
      <w:rPr>
        <w:rFonts w:asciiTheme="majorHAnsi" w:hAnsiTheme="majorHAnsi"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5">
    <w:nsid w:val="3AAB009C"/>
    <w:multiLevelType w:val="hybridMultilevel"/>
    <w:tmpl w:val="13005D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AC02909"/>
    <w:multiLevelType w:val="hybridMultilevel"/>
    <w:tmpl w:val="7FF8C4E8"/>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
    <w:nsid w:val="4062247C"/>
    <w:multiLevelType w:val="multilevel"/>
    <w:tmpl w:val="6284B7C8"/>
    <w:styleLink w:val="Recommendations"/>
    <w:lvl w:ilvl="0">
      <w:start w:val="1"/>
      <w:numFmt w:val="decimal"/>
      <w:suff w:val="space"/>
      <w:lvlText w:val="Recommendation %1."/>
      <w:lvlJc w:val="left"/>
      <w:pPr>
        <w:ind w:left="360" w:hanging="360"/>
      </w:pPr>
      <w:rPr>
        <w:rFonts w:asciiTheme="majorHAnsi" w:hAnsiTheme="majorHAnsi" w:hint="default"/>
        <w:b w:val="0"/>
        <w:sz w:val="2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2"/>
  </w:num>
  <w:num w:numId="3">
    <w:abstractNumId w:val="3"/>
  </w:num>
  <w:num w:numId="4">
    <w:abstractNumId w:val="2"/>
  </w:num>
  <w:num w:numId="5">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6">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7">
    <w:abstractNumId w:val="6"/>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1">
    <w:abstractNumId w:val="5"/>
  </w:num>
  <w:num w:numId="12">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4"/>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
  </w:num>
  <w:numIdMacAtCleanup w:val="14"/>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CD4"/>
    <w:rsid w:val="000018EB"/>
    <w:rsid w:val="00002031"/>
    <w:rsid w:val="00004734"/>
    <w:rsid w:val="00006B22"/>
    <w:rsid w:val="00010346"/>
    <w:rsid w:val="000103CE"/>
    <w:rsid w:val="0001276A"/>
    <w:rsid w:val="000246AE"/>
    <w:rsid w:val="00025C67"/>
    <w:rsid w:val="00040A2B"/>
    <w:rsid w:val="00043775"/>
    <w:rsid w:val="00044772"/>
    <w:rsid w:val="00050587"/>
    <w:rsid w:val="000530C4"/>
    <w:rsid w:val="0005559E"/>
    <w:rsid w:val="000604D6"/>
    <w:rsid w:val="000627B8"/>
    <w:rsid w:val="000734D8"/>
    <w:rsid w:val="00077775"/>
    <w:rsid w:val="00090471"/>
    <w:rsid w:val="00096AA7"/>
    <w:rsid w:val="000A3AED"/>
    <w:rsid w:val="000A7016"/>
    <w:rsid w:val="000B3532"/>
    <w:rsid w:val="000B3A75"/>
    <w:rsid w:val="000C00C2"/>
    <w:rsid w:val="000C690F"/>
    <w:rsid w:val="000D088B"/>
    <w:rsid w:val="000D1295"/>
    <w:rsid w:val="000D391B"/>
    <w:rsid w:val="000D3D6D"/>
    <w:rsid w:val="000D4182"/>
    <w:rsid w:val="000D4FC7"/>
    <w:rsid w:val="000E0F61"/>
    <w:rsid w:val="000E1577"/>
    <w:rsid w:val="000E32D9"/>
    <w:rsid w:val="000E6196"/>
    <w:rsid w:val="000F4869"/>
    <w:rsid w:val="000F5B42"/>
    <w:rsid w:val="000F6E6F"/>
    <w:rsid w:val="0010368E"/>
    <w:rsid w:val="0010601F"/>
    <w:rsid w:val="00106DED"/>
    <w:rsid w:val="0010788A"/>
    <w:rsid w:val="00107A31"/>
    <w:rsid w:val="00110EA5"/>
    <w:rsid w:val="00112F56"/>
    <w:rsid w:val="001200D6"/>
    <w:rsid w:val="00120646"/>
    <w:rsid w:val="00125318"/>
    <w:rsid w:val="00127DD5"/>
    <w:rsid w:val="001305A2"/>
    <w:rsid w:val="00133238"/>
    <w:rsid w:val="00133A1B"/>
    <w:rsid w:val="0014197B"/>
    <w:rsid w:val="001447CD"/>
    <w:rsid w:val="001516B1"/>
    <w:rsid w:val="00154EBB"/>
    <w:rsid w:val="00156316"/>
    <w:rsid w:val="00157112"/>
    <w:rsid w:val="00161181"/>
    <w:rsid w:val="00161EA7"/>
    <w:rsid w:val="00162D14"/>
    <w:rsid w:val="001634C0"/>
    <w:rsid w:val="00165389"/>
    <w:rsid w:val="0017693F"/>
    <w:rsid w:val="0018110E"/>
    <w:rsid w:val="00181684"/>
    <w:rsid w:val="001843C6"/>
    <w:rsid w:val="001850E0"/>
    <w:rsid w:val="00191B99"/>
    <w:rsid w:val="001A2158"/>
    <w:rsid w:val="001A525F"/>
    <w:rsid w:val="001A5EE3"/>
    <w:rsid w:val="001B09F9"/>
    <w:rsid w:val="001B5C90"/>
    <w:rsid w:val="001B6448"/>
    <w:rsid w:val="001C32CD"/>
    <w:rsid w:val="001D2984"/>
    <w:rsid w:val="001D529C"/>
    <w:rsid w:val="001E07CF"/>
    <w:rsid w:val="001E3E5D"/>
    <w:rsid w:val="001E59F1"/>
    <w:rsid w:val="001F2CEE"/>
    <w:rsid w:val="001F43FA"/>
    <w:rsid w:val="001F49EB"/>
    <w:rsid w:val="001F6CBA"/>
    <w:rsid w:val="00201D4E"/>
    <w:rsid w:val="002076C9"/>
    <w:rsid w:val="002204BD"/>
    <w:rsid w:val="00220B8A"/>
    <w:rsid w:val="002257F3"/>
    <w:rsid w:val="00233456"/>
    <w:rsid w:val="002339A5"/>
    <w:rsid w:val="002425F1"/>
    <w:rsid w:val="00244852"/>
    <w:rsid w:val="0024791F"/>
    <w:rsid w:val="002549BC"/>
    <w:rsid w:val="00257848"/>
    <w:rsid w:val="00263CB1"/>
    <w:rsid w:val="0027084A"/>
    <w:rsid w:val="00286434"/>
    <w:rsid w:val="00286C59"/>
    <w:rsid w:val="00291957"/>
    <w:rsid w:val="002942D1"/>
    <w:rsid w:val="0029501A"/>
    <w:rsid w:val="002A01B8"/>
    <w:rsid w:val="002A0D28"/>
    <w:rsid w:val="002A158D"/>
    <w:rsid w:val="002A3721"/>
    <w:rsid w:val="002A7C25"/>
    <w:rsid w:val="002B1638"/>
    <w:rsid w:val="002B17A9"/>
    <w:rsid w:val="002B3624"/>
    <w:rsid w:val="002C7955"/>
    <w:rsid w:val="002D0952"/>
    <w:rsid w:val="002D0A21"/>
    <w:rsid w:val="002E2E5A"/>
    <w:rsid w:val="002E40B3"/>
    <w:rsid w:val="002E4C9A"/>
    <w:rsid w:val="002F11F8"/>
    <w:rsid w:val="002F3F56"/>
    <w:rsid w:val="002F44B5"/>
    <w:rsid w:val="00311AC0"/>
    <w:rsid w:val="003176FC"/>
    <w:rsid w:val="0032583B"/>
    <w:rsid w:val="00327883"/>
    <w:rsid w:val="00335504"/>
    <w:rsid w:val="00340C18"/>
    <w:rsid w:val="003442FD"/>
    <w:rsid w:val="003457E1"/>
    <w:rsid w:val="00347824"/>
    <w:rsid w:val="00350567"/>
    <w:rsid w:val="003521E8"/>
    <w:rsid w:val="003641C2"/>
    <w:rsid w:val="00366700"/>
    <w:rsid w:val="00370CE3"/>
    <w:rsid w:val="003728F3"/>
    <w:rsid w:val="00373B06"/>
    <w:rsid w:val="0037496E"/>
    <w:rsid w:val="00383221"/>
    <w:rsid w:val="00386104"/>
    <w:rsid w:val="00386150"/>
    <w:rsid w:val="003874CE"/>
    <w:rsid w:val="00390900"/>
    <w:rsid w:val="003A7F6C"/>
    <w:rsid w:val="003B1D9B"/>
    <w:rsid w:val="003B3F07"/>
    <w:rsid w:val="003B4D60"/>
    <w:rsid w:val="003B5ACD"/>
    <w:rsid w:val="003B7E39"/>
    <w:rsid w:val="003C58DC"/>
    <w:rsid w:val="003D017E"/>
    <w:rsid w:val="003D1E62"/>
    <w:rsid w:val="003D3824"/>
    <w:rsid w:val="003E0B99"/>
    <w:rsid w:val="003E2409"/>
    <w:rsid w:val="003E2486"/>
    <w:rsid w:val="003E3208"/>
    <w:rsid w:val="003F0B04"/>
    <w:rsid w:val="004008EE"/>
    <w:rsid w:val="0040134E"/>
    <w:rsid w:val="00414D22"/>
    <w:rsid w:val="004334C7"/>
    <w:rsid w:val="00434FAF"/>
    <w:rsid w:val="00436462"/>
    <w:rsid w:val="00440A2D"/>
    <w:rsid w:val="00441C3F"/>
    <w:rsid w:val="00445945"/>
    <w:rsid w:val="004564A7"/>
    <w:rsid w:val="004617BF"/>
    <w:rsid w:val="00463658"/>
    <w:rsid w:val="004637A0"/>
    <w:rsid w:val="0046631A"/>
    <w:rsid w:val="004722CC"/>
    <w:rsid w:val="00474958"/>
    <w:rsid w:val="004821C5"/>
    <w:rsid w:val="004936E4"/>
    <w:rsid w:val="00494E60"/>
    <w:rsid w:val="00497487"/>
    <w:rsid w:val="004A4CFE"/>
    <w:rsid w:val="004A6189"/>
    <w:rsid w:val="004A7390"/>
    <w:rsid w:val="004B7B76"/>
    <w:rsid w:val="004C239D"/>
    <w:rsid w:val="004C2DCA"/>
    <w:rsid w:val="004C61D2"/>
    <w:rsid w:val="004D6BFD"/>
    <w:rsid w:val="004E5E4D"/>
    <w:rsid w:val="004F0C4A"/>
    <w:rsid w:val="004F0EE5"/>
    <w:rsid w:val="004F0F38"/>
    <w:rsid w:val="004F47D6"/>
    <w:rsid w:val="004F52A6"/>
    <w:rsid w:val="00501921"/>
    <w:rsid w:val="005238EA"/>
    <w:rsid w:val="00530354"/>
    <w:rsid w:val="0053625B"/>
    <w:rsid w:val="0053665F"/>
    <w:rsid w:val="005434C6"/>
    <w:rsid w:val="00543B39"/>
    <w:rsid w:val="00546154"/>
    <w:rsid w:val="005475BE"/>
    <w:rsid w:val="00550096"/>
    <w:rsid w:val="00555280"/>
    <w:rsid w:val="00557FF9"/>
    <w:rsid w:val="00562327"/>
    <w:rsid w:val="005711D5"/>
    <w:rsid w:val="005726DA"/>
    <w:rsid w:val="00576378"/>
    <w:rsid w:val="00577130"/>
    <w:rsid w:val="00577945"/>
    <w:rsid w:val="00577E38"/>
    <w:rsid w:val="00585322"/>
    <w:rsid w:val="00585369"/>
    <w:rsid w:val="005857C6"/>
    <w:rsid w:val="00592A1F"/>
    <w:rsid w:val="00592F6E"/>
    <w:rsid w:val="00593AD1"/>
    <w:rsid w:val="00594CCB"/>
    <w:rsid w:val="0059667F"/>
    <w:rsid w:val="005A0F41"/>
    <w:rsid w:val="005A3668"/>
    <w:rsid w:val="005A4C27"/>
    <w:rsid w:val="005A68B6"/>
    <w:rsid w:val="005B0626"/>
    <w:rsid w:val="005B3C42"/>
    <w:rsid w:val="005C1321"/>
    <w:rsid w:val="005C4ACF"/>
    <w:rsid w:val="005C5570"/>
    <w:rsid w:val="005C79A4"/>
    <w:rsid w:val="005D3EBB"/>
    <w:rsid w:val="005D5442"/>
    <w:rsid w:val="005E09F3"/>
    <w:rsid w:val="005E7273"/>
    <w:rsid w:val="005F2C8D"/>
    <w:rsid w:val="00603F32"/>
    <w:rsid w:val="00605AD4"/>
    <w:rsid w:val="006104FB"/>
    <w:rsid w:val="00610815"/>
    <w:rsid w:val="006136D7"/>
    <w:rsid w:val="006146AA"/>
    <w:rsid w:val="006158E0"/>
    <w:rsid w:val="0062110B"/>
    <w:rsid w:val="00625A6E"/>
    <w:rsid w:val="00632398"/>
    <w:rsid w:val="00637E84"/>
    <w:rsid w:val="00640FC3"/>
    <w:rsid w:val="00641A63"/>
    <w:rsid w:val="00642020"/>
    <w:rsid w:val="006513E6"/>
    <w:rsid w:val="0065337B"/>
    <w:rsid w:val="0065419D"/>
    <w:rsid w:val="0065451D"/>
    <w:rsid w:val="006604D8"/>
    <w:rsid w:val="00664A5B"/>
    <w:rsid w:val="0066735C"/>
    <w:rsid w:val="00670240"/>
    <w:rsid w:val="006763D2"/>
    <w:rsid w:val="006769C1"/>
    <w:rsid w:val="00680C08"/>
    <w:rsid w:val="00682E6F"/>
    <w:rsid w:val="006854F8"/>
    <w:rsid w:val="00687EBE"/>
    <w:rsid w:val="00687F24"/>
    <w:rsid w:val="006916A0"/>
    <w:rsid w:val="006916E6"/>
    <w:rsid w:val="00692D36"/>
    <w:rsid w:val="006931B1"/>
    <w:rsid w:val="00693AE9"/>
    <w:rsid w:val="006A15C0"/>
    <w:rsid w:val="006A2A24"/>
    <w:rsid w:val="006A4563"/>
    <w:rsid w:val="006C3E2A"/>
    <w:rsid w:val="006C642F"/>
    <w:rsid w:val="006D03E5"/>
    <w:rsid w:val="006D3BC4"/>
    <w:rsid w:val="006D5D3E"/>
    <w:rsid w:val="006E08B3"/>
    <w:rsid w:val="006E2066"/>
    <w:rsid w:val="006F17AC"/>
    <w:rsid w:val="006F25B8"/>
    <w:rsid w:val="006F572E"/>
    <w:rsid w:val="00702B48"/>
    <w:rsid w:val="007046D6"/>
    <w:rsid w:val="00705DB0"/>
    <w:rsid w:val="00722B57"/>
    <w:rsid w:val="00730F8A"/>
    <w:rsid w:val="00733EB9"/>
    <w:rsid w:val="00735A8C"/>
    <w:rsid w:val="0074253D"/>
    <w:rsid w:val="0074429B"/>
    <w:rsid w:val="00747F03"/>
    <w:rsid w:val="007569C5"/>
    <w:rsid w:val="007615BC"/>
    <w:rsid w:val="00762F05"/>
    <w:rsid w:val="00764BA0"/>
    <w:rsid w:val="007652FF"/>
    <w:rsid w:val="00770CAC"/>
    <w:rsid w:val="00770EF1"/>
    <w:rsid w:val="00773EF7"/>
    <w:rsid w:val="00774E1D"/>
    <w:rsid w:val="007765D8"/>
    <w:rsid w:val="0077675A"/>
    <w:rsid w:val="00780355"/>
    <w:rsid w:val="007819FD"/>
    <w:rsid w:val="00785717"/>
    <w:rsid w:val="00785721"/>
    <w:rsid w:val="00793A59"/>
    <w:rsid w:val="00796CAC"/>
    <w:rsid w:val="007A2F8C"/>
    <w:rsid w:val="007A6854"/>
    <w:rsid w:val="007B6132"/>
    <w:rsid w:val="007B6E9F"/>
    <w:rsid w:val="007B779E"/>
    <w:rsid w:val="007C1216"/>
    <w:rsid w:val="007C1AF7"/>
    <w:rsid w:val="007C6B9B"/>
    <w:rsid w:val="007E2093"/>
    <w:rsid w:val="007E2355"/>
    <w:rsid w:val="007E23F5"/>
    <w:rsid w:val="007F10FE"/>
    <w:rsid w:val="007F2602"/>
    <w:rsid w:val="007F2E71"/>
    <w:rsid w:val="007F3B75"/>
    <w:rsid w:val="00805412"/>
    <w:rsid w:val="00805D27"/>
    <w:rsid w:val="00806DCB"/>
    <w:rsid w:val="00821776"/>
    <w:rsid w:val="00830DCA"/>
    <w:rsid w:val="00830F3B"/>
    <w:rsid w:val="008321F5"/>
    <w:rsid w:val="00832369"/>
    <w:rsid w:val="00834660"/>
    <w:rsid w:val="00836761"/>
    <w:rsid w:val="00836BC2"/>
    <w:rsid w:val="0085156D"/>
    <w:rsid w:val="00855D54"/>
    <w:rsid w:val="0085641B"/>
    <w:rsid w:val="00857136"/>
    <w:rsid w:val="0086776D"/>
    <w:rsid w:val="00875A6B"/>
    <w:rsid w:val="008778A5"/>
    <w:rsid w:val="00882E7C"/>
    <w:rsid w:val="00885B11"/>
    <w:rsid w:val="00886D15"/>
    <w:rsid w:val="00887DD8"/>
    <w:rsid w:val="00891BA9"/>
    <w:rsid w:val="00896018"/>
    <w:rsid w:val="008960DD"/>
    <w:rsid w:val="0089635C"/>
    <w:rsid w:val="00897144"/>
    <w:rsid w:val="008A2B9D"/>
    <w:rsid w:val="008A3CBF"/>
    <w:rsid w:val="008A3D9F"/>
    <w:rsid w:val="008A5E0B"/>
    <w:rsid w:val="008A6D59"/>
    <w:rsid w:val="008B4B03"/>
    <w:rsid w:val="008B596F"/>
    <w:rsid w:val="008C159F"/>
    <w:rsid w:val="008C1623"/>
    <w:rsid w:val="008C1850"/>
    <w:rsid w:val="008C51A9"/>
    <w:rsid w:val="008E7846"/>
    <w:rsid w:val="008F02E5"/>
    <w:rsid w:val="008F1CCC"/>
    <w:rsid w:val="008F2967"/>
    <w:rsid w:val="008F54CD"/>
    <w:rsid w:val="008F6943"/>
    <w:rsid w:val="00902A21"/>
    <w:rsid w:val="009067F6"/>
    <w:rsid w:val="00910D33"/>
    <w:rsid w:val="00913F02"/>
    <w:rsid w:val="00920330"/>
    <w:rsid w:val="009219D7"/>
    <w:rsid w:val="00922D53"/>
    <w:rsid w:val="00923B70"/>
    <w:rsid w:val="00924482"/>
    <w:rsid w:val="00924B89"/>
    <w:rsid w:val="00924FD6"/>
    <w:rsid w:val="00925B9D"/>
    <w:rsid w:val="00930237"/>
    <w:rsid w:val="00937C17"/>
    <w:rsid w:val="00940A89"/>
    <w:rsid w:val="00946EA5"/>
    <w:rsid w:val="0096086E"/>
    <w:rsid w:val="009609D7"/>
    <w:rsid w:val="009616F2"/>
    <w:rsid w:val="00963C08"/>
    <w:rsid w:val="00965090"/>
    <w:rsid w:val="00965E78"/>
    <w:rsid w:val="009752A5"/>
    <w:rsid w:val="00975D12"/>
    <w:rsid w:val="00982750"/>
    <w:rsid w:val="0098585A"/>
    <w:rsid w:val="00986A01"/>
    <w:rsid w:val="00992D4B"/>
    <w:rsid w:val="009A4CED"/>
    <w:rsid w:val="009A690D"/>
    <w:rsid w:val="009A779C"/>
    <w:rsid w:val="009B1D12"/>
    <w:rsid w:val="009B416B"/>
    <w:rsid w:val="009C1D11"/>
    <w:rsid w:val="009C368A"/>
    <w:rsid w:val="009C4BD5"/>
    <w:rsid w:val="009D54E9"/>
    <w:rsid w:val="009D574A"/>
    <w:rsid w:val="009D7B77"/>
    <w:rsid w:val="009E0BB0"/>
    <w:rsid w:val="009E3FBB"/>
    <w:rsid w:val="009F7353"/>
    <w:rsid w:val="00A04F85"/>
    <w:rsid w:val="00A05FA4"/>
    <w:rsid w:val="00A06443"/>
    <w:rsid w:val="00A06912"/>
    <w:rsid w:val="00A102E4"/>
    <w:rsid w:val="00A12C42"/>
    <w:rsid w:val="00A137AF"/>
    <w:rsid w:val="00A14DF7"/>
    <w:rsid w:val="00A3246D"/>
    <w:rsid w:val="00A342B9"/>
    <w:rsid w:val="00A36FA7"/>
    <w:rsid w:val="00A427C8"/>
    <w:rsid w:val="00A44DDB"/>
    <w:rsid w:val="00A475B7"/>
    <w:rsid w:val="00A47AF7"/>
    <w:rsid w:val="00A47C3E"/>
    <w:rsid w:val="00A50226"/>
    <w:rsid w:val="00A538FD"/>
    <w:rsid w:val="00A55718"/>
    <w:rsid w:val="00A60BAD"/>
    <w:rsid w:val="00A62D8D"/>
    <w:rsid w:val="00A66BD0"/>
    <w:rsid w:val="00A7204E"/>
    <w:rsid w:val="00A80B5B"/>
    <w:rsid w:val="00A81C08"/>
    <w:rsid w:val="00A836C8"/>
    <w:rsid w:val="00A84E36"/>
    <w:rsid w:val="00A961B7"/>
    <w:rsid w:val="00A964D1"/>
    <w:rsid w:val="00AA0ED0"/>
    <w:rsid w:val="00AA600A"/>
    <w:rsid w:val="00AC2B40"/>
    <w:rsid w:val="00AC2BB2"/>
    <w:rsid w:val="00AC2C3C"/>
    <w:rsid w:val="00AC3FAE"/>
    <w:rsid w:val="00AC512D"/>
    <w:rsid w:val="00AD0083"/>
    <w:rsid w:val="00AD3935"/>
    <w:rsid w:val="00AE65EB"/>
    <w:rsid w:val="00AE67A7"/>
    <w:rsid w:val="00AF0293"/>
    <w:rsid w:val="00AF1D94"/>
    <w:rsid w:val="00AF60C5"/>
    <w:rsid w:val="00B009C6"/>
    <w:rsid w:val="00B01548"/>
    <w:rsid w:val="00B12222"/>
    <w:rsid w:val="00B13EBD"/>
    <w:rsid w:val="00B21D29"/>
    <w:rsid w:val="00B2387F"/>
    <w:rsid w:val="00B25034"/>
    <w:rsid w:val="00B33588"/>
    <w:rsid w:val="00B33863"/>
    <w:rsid w:val="00B3532F"/>
    <w:rsid w:val="00B37D17"/>
    <w:rsid w:val="00B404E2"/>
    <w:rsid w:val="00B4175E"/>
    <w:rsid w:val="00B41FA5"/>
    <w:rsid w:val="00B452CE"/>
    <w:rsid w:val="00B54C25"/>
    <w:rsid w:val="00B550CB"/>
    <w:rsid w:val="00B65421"/>
    <w:rsid w:val="00B6544D"/>
    <w:rsid w:val="00B66A36"/>
    <w:rsid w:val="00B76B91"/>
    <w:rsid w:val="00B77306"/>
    <w:rsid w:val="00B776E3"/>
    <w:rsid w:val="00B77EB1"/>
    <w:rsid w:val="00B811C6"/>
    <w:rsid w:val="00B826BA"/>
    <w:rsid w:val="00B855B0"/>
    <w:rsid w:val="00B92E08"/>
    <w:rsid w:val="00B938DD"/>
    <w:rsid w:val="00B952E1"/>
    <w:rsid w:val="00B9732B"/>
    <w:rsid w:val="00B97509"/>
    <w:rsid w:val="00BA6964"/>
    <w:rsid w:val="00BB1485"/>
    <w:rsid w:val="00BB3227"/>
    <w:rsid w:val="00BB5015"/>
    <w:rsid w:val="00BC622A"/>
    <w:rsid w:val="00BE0A78"/>
    <w:rsid w:val="00BE57A0"/>
    <w:rsid w:val="00BE79F0"/>
    <w:rsid w:val="00BF046D"/>
    <w:rsid w:val="00BF1190"/>
    <w:rsid w:val="00BF4B3D"/>
    <w:rsid w:val="00BF5D04"/>
    <w:rsid w:val="00C009AA"/>
    <w:rsid w:val="00C0289E"/>
    <w:rsid w:val="00C0750F"/>
    <w:rsid w:val="00C1164D"/>
    <w:rsid w:val="00C12990"/>
    <w:rsid w:val="00C144E6"/>
    <w:rsid w:val="00C16861"/>
    <w:rsid w:val="00C346AB"/>
    <w:rsid w:val="00C404A6"/>
    <w:rsid w:val="00C40A36"/>
    <w:rsid w:val="00C44419"/>
    <w:rsid w:val="00C45E7B"/>
    <w:rsid w:val="00C471B1"/>
    <w:rsid w:val="00C52F40"/>
    <w:rsid w:val="00C6316B"/>
    <w:rsid w:val="00C634A9"/>
    <w:rsid w:val="00C64586"/>
    <w:rsid w:val="00C674D8"/>
    <w:rsid w:val="00C70D53"/>
    <w:rsid w:val="00C73D0B"/>
    <w:rsid w:val="00C772FF"/>
    <w:rsid w:val="00C80137"/>
    <w:rsid w:val="00C801AF"/>
    <w:rsid w:val="00C80256"/>
    <w:rsid w:val="00C90403"/>
    <w:rsid w:val="00C94CD4"/>
    <w:rsid w:val="00C9747E"/>
    <w:rsid w:val="00CA1089"/>
    <w:rsid w:val="00CA59C5"/>
    <w:rsid w:val="00CB6BC0"/>
    <w:rsid w:val="00CC1B7C"/>
    <w:rsid w:val="00CC727F"/>
    <w:rsid w:val="00CF15C3"/>
    <w:rsid w:val="00CF2B6F"/>
    <w:rsid w:val="00CF2F3E"/>
    <w:rsid w:val="00CF58B6"/>
    <w:rsid w:val="00CF6DD3"/>
    <w:rsid w:val="00D0062D"/>
    <w:rsid w:val="00D0062F"/>
    <w:rsid w:val="00D017ED"/>
    <w:rsid w:val="00D040D3"/>
    <w:rsid w:val="00D04C65"/>
    <w:rsid w:val="00D05902"/>
    <w:rsid w:val="00D12381"/>
    <w:rsid w:val="00D201D2"/>
    <w:rsid w:val="00D224FE"/>
    <w:rsid w:val="00D23139"/>
    <w:rsid w:val="00D425BB"/>
    <w:rsid w:val="00D4701F"/>
    <w:rsid w:val="00D57883"/>
    <w:rsid w:val="00D6493E"/>
    <w:rsid w:val="00D70519"/>
    <w:rsid w:val="00D7195D"/>
    <w:rsid w:val="00D7301E"/>
    <w:rsid w:val="00D80266"/>
    <w:rsid w:val="00D819B2"/>
    <w:rsid w:val="00D83AE1"/>
    <w:rsid w:val="00D85048"/>
    <w:rsid w:val="00D855D4"/>
    <w:rsid w:val="00D87914"/>
    <w:rsid w:val="00D902C9"/>
    <w:rsid w:val="00D93466"/>
    <w:rsid w:val="00D9441A"/>
    <w:rsid w:val="00DA1124"/>
    <w:rsid w:val="00DA7196"/>
    <w:rsid w:val="00DA7CD3"/>
    <w:rsid w:val="00DB08EB"/>
    <w:rsid w:val="00DB6124"/>
    <w:rsid w:val="00DB750B"/>
    <w:rsid w:val="00DB75B7"/>
    <w:rsid w:val="00DC6E02"/>
    <w:rsid w:val="00DC7F53"/>
    <w:rsid w:val="00DD28CD"/>
    <w:rsid w:val="00DD6ED3"/>
    <w:rsid w:val="00DD7211"/>
    <w:rsid w:val="00DE02AE"/>
    <w:rsid w:val="00DF1D7F"/>
    <w:rsid w:val="00DF4BE4"/>
    <w:rsid w:val="00E02FB4"/>
    <w:rsid w:val="00E07DED"/>
    <w:rsid w:val="00E13FC7"/>
    <w:rsid w:val="00E20571"/>
    <w:rsid w:val="00E235F7"/>
    <w:rsid w:val="00E23659"/>
    <w:rsid w:val="00E239D4"/>
    <w:rsid w:val="00E26130"/>
    <w:rsid w:val="00E33462"/>
    <w:rsid w:val="00E40B22"/>
    <w:rsid w:val="00E423F2"/>
    <w:rsid w:val="00E44ED1"/>
    <w:rsid w:val="00E45619"/>
    <w:rsid w:val="00E4588F"/>
    <w:rsid w:val="00E46DA3"/>
    <w:rsid w:val="00E51BB1"/>
    <w:rsid w:val="00E5550D"/>
    <w:rsid w:val="00E624A5"/>
    <w:rsid w:val="00E64BA4"/>
    <w:rsid w:val="00E7344E"/>
    <w:rsid w:val="00E80EC2"/>
    <w:rsid w:val="00E82665"/>
    <w:rsid w:val="00E82A76"/>
    <w:rsid w:val="00E846BE"/>
    <w:rsid w:val="00EB0798"/>
    <w:rsid w:val="00EB40AD"/>
    <w:rsid w:val="00EB586E"/>
    <w:rsid w:val="00EB5FC8"/>
    <w:rsid w:val="00EC463D"/>
    <w:rsid w:val="00EC5A69"/>
    <w:rsid w:val="00EC7A85"/>
    <w:rsid w:val="00ED2922"/>
    <w:rsid w:val="00ED3CAD"/>
    <w:rsid w:val="00ED3D19"/>
    <w:rsid w:val="00ED5A41"/>
    <w:rsid w:val="00EE1DE8"/>
    <w:rsid w:val="00EE27C2"/>
    <w:rsid w:val="00EE33F0"/>
    <w:rsid w:val="00EF4BAD"/>
    <w:rsid w:val="00EF59DC"/>
    <w:rsid w:val="00F033EC"/>
    <w:rsid w:val="00F04F68"/>
    <w:rsid w:val="00F12670"/>
    <w:rsid w:val="00F131AC"/>
    <w:rsid w:val="00F14B27"/>
    <w:rsid w:val="00F25ECB"/>
    <w:rsid w:val="00F3148D"/>
    <w:rsid w:val="00F325C5"/>
    <w:rsid w:val="00F32FE0"/>
    <w:rsid w:val="00F35298"/>
    <w:rsid w:val="00F35650"/>
    <w:rsid w:val="00F45ADE"/>
    <w:rsid w:val="00F47333"/>
    <w:rsid w:val="00F47E37"/>
    <w:rsid w:val="00F516EA"/>
    <w:rsid w:val="00F53C07"/>
    <w:rsid w:val="00F54B65"/>
    <w:rsid w:val="00F55059"/>
    <w:rsid w:val="00F640B6"/>
    <w:rsid w:val="00F66DF2"/>
    <w:rsid w:val="00F6705D"/>
    <w:rsid w:val="00F80E40"/>
    <w:rsid w:val="00F80EA8"/>
    <w:rsid w:val="00F848D9"/>
    <w:rsid w:val="00FA28F0"/>
    <w:rsid w:val="00FA5B82"/>
    <w:rsid w:val="00FA639E"/>
    <w:rsid w:val="00FA69E7"/>
    <w:rsid w:val="00FC1FCA"/>
    <w:rsid w:val="00FC25E4"/>
    <w:rsid w:val="00FC267F"/>
    <w:rsid w:val="00FC4EF7"/>
    <w:rsid w:val="00FD0824"/>
    <w:rsid w:val="00FD119B"/>
    <w:rsid w:val="00FD1EDC"/>
    <w:rsid w:val="00FE1357"/>
    <w:rsid w:val="00FE1DEE"/>
    <w:rsid w:val="00FE2892"/>
    <w:rsid w:val="00FF2126"/>
    <w:rsid w:val="00FF51D5"/>
    <w:rsid w:val="00FF5755"/>
    <w:rsid w:val="00FF66D4"/>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6A9D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6D3BC4"/>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9"/>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uiPriority w:val="9"/>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uiPriority w:val="9"/>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Bullet2">
    <w:name w:val="Bullet 2"/>
    <w:basedOn w:val="Normal"/>
    <w:rsid w:val="00FC267F"/>
    <w:pPr>
      <w:numPr>
        <w:numId w:val="7"/>
      </w:numPr>
      <w:spacing w:after="0" w:line="240" w:lineRule="auto"/>
    </w:pPr>
    <w:rPr>
      <w:rFonts w:eastAsia="Times New Roman"/>
      <w:kern w:val="24"/>
      <w:szCs w:val="24"/>
      <w:lang w:eastAsia="en-AU"/>
    </w:rPr>
  </w:style>
  <w:style w:type="paragraph" w:styleId="ListParagraph">
    <w:name w:val="List Paragraph"/>
    <w:basedOn w:val="Normal"/>
    <w:uiPriority w:val="1"/>
    <w:qFormat/>
    <w:rsid w:val="00FC267F"/>
    <w:pPr>
      <w:adjustRightInd w:val="0"/>
      <w:snapToGrid w:val="0"/>
      <w:spacing w:before="180" w:after="180"/>
      <w:ind w:left="720"/>
      <w:contextualSpacing/>
    </w:pPr>
    <w:rPr>
      <w:rFonts w:eastAsia="MS Mincho"/>
      <w:szCs w:val="20"/>
      <w:lang w:eastAsia="ja-JP"/>
    </w:rPr>
  </w:style>
  <w:style w:type="paragraph" w:customStyle="1" w:styleId="Tabletitle0">
    <w:name w:val="Table title"/>
    <w:basedOn w:val="Normal"/>
    <w:next w:val="Normal"/>
    <w:rsid w:val="00B12222"/>
    <w:pPr>
      <w:keepNext/>
      <w:spacing w:after="180"/>
    </w:pPr>
    <w:rPr>
      <w:rFonts w:cstheme="minorBidi"/>
      <w:b/>
    </w:rPr>
  </w:style>
  <w:style w:type="paragraph" w:customStyle="1" w:styleId="Standard">
    <w:name w:val="Standard"/>
    <w:basedOn w:val="Normal"/>
    <w:link w:val="StandardChar"/>
    <w:qFormat/>
    <w:rsid w:val="007A6854"/>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7A6854"/>
    <w:rPr>
      <w:rFonts w:ascii="Cambria" w:eastAsia="Times New Roman" w:hAnsi="Cambria" w:cs="Times New Roman"/>
      <w:snapToGrid w:val="0"/>
      <w:kern w:val="16"/>
      <w:sz w:val="23"/>
      <w:szCs w:val="24"/>
    </w:rPr>
  </w:style>
  <w:style w:type="character" w:customStyle="1" w:styleId="TabletextChar">
    <w:name w:val="Table text Char"/>
    <w:basedOn w:val="StandardChar"/>
    <w:link w:val="Tabletext"/>
    <w:rsid w:val="007A6854"/>
    <w:rPr>
      <w:rFonts w:ascii="Cambria" w:eastAsia="Cambria" w:hAnsi="Cambria" w:cs="Times New Roman"/>
      <w:snapToGrid/>
      <w:kern w:val="16"/>
      <w:sz w:val="19"/>
      <w:szCs w:val="24"/>
    </w:rPr>
  </w:style>
  <w:style w:type="paragraph" w:customStyle="1" w:styleId="TableParagraph">
    <w:name w:val="Table Paragraph"/>
    <w:basedOn w:val="Normal"/>
    <w:uiPriority w:val="1"/>
    <w:qFormat/>
    <w:rsid w:val="006E2066"/>
    <w:pPr>
      <w:widowControl w:val="0"/>
      <w:spacing w:before="0" w:after="0" w:line="240" w:lineRule="auto"/>
    </w:pPr>
    <w:rPr>
      <w:rFonts w:asciiTheme="minorHAnsi" w:eastAsiaTheme="minorHAnsi" w:hAnsiTheme="minorHAnsi" w:cstheme="minorBidi"/>
      <w:lang w:val="en-US"/>
    </w:rPr>
  </w:style>
  <w:style w:type="paragraph" w:styleId="NormalWeb">
    <w:name w:val="Normal (Web)"/>
    <w:basedOn w:val="Normal"/>
    <w:uiPriority w:val="99"/>
    <w:semiHidden/>
    <w:unhideWhenUsed/>
    <w:rsid w:val="002A7C25"/>
    <w:rPr>
      <w:rFonts w:ascii="Times New Roman" w:hAnsi="Times New Roman"/>
      <w:sz w:val="24"/>
      <w:szCs w:val="24"/>
    </w:rPr>
  </w:style>
  <w:style w:type="numbering" w:customStyle="1" w:styleId="Recommendations">
    <w:name w:val="Recommendations"/>
    <w:uiPriority w:val="99"/>
    <w:rsid w:val="00E33462"/>
    <w:pPr>
      <w:numPr>
        <w:numId w:val="14"/>
      </w:numPr>
    </w:pPr>
  </w:style>
  <w:style w:type="numbering" w:customStyle="1" w:styleId="Headings">
    <w:name w:val="Headings"/>
    <w:uiPriority w:val="99"/>
    <w:rsid w:val="006513E6"/>
    <w:pPr>
      <w:numPr>
        <w:numId w:val="16"/>
      </w:numPr>
    </w:pPr>
  </w:style>
  <w:style w:type="paragraph" w:customStyle="1" w:styleId="Bulletlist">
    <w:name w:val="Bullet list"/>
    <w:basedOn w:val="Standard"/>
    <w:link w:val="BulletlistChar"/>
    <w:qFormat/>
    <w:rsid w:val="00CF6DD3"/>
    <w:pPr>
      <w:numPr>
        <w:numId w:val="19"/>
      </w:numPr>
      <w:spacing w:after="180"/>
      <w:ind w:left="426" w:hanging="284"/>
    </w:pPr>
    <w:rPr>
      <w:kern w:val="2"/>
    </w:rPr>
  </w:style>
  <w:style w:type="character" w:customStyle="1" w:styleId="BulletlistChar">
    <w:name w:val="Bullet list Char"/>
    <w:basedOn w:val="StandardChar"/>
    <w:link w:val="Bulletlist"/>
    <w:rsid w:val="00CF6DD3"/>
    <w:rPr>
      <w:rFonts w:ascii="Cambria" w:eastAsia="Times New Roman" w:hAnsi="Cambria" w:cs="Times New Roman"/>
      <w:snapToGrid w:val="0"/>
      <w:kern w:val="2"/>
      <w:sz w:val="23"/>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6D3BC4"/>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9"/>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uiPriority w:val="9"/>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uiPriority w:val="9"/>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Bullet2">
    <w:name w:val="Bullet 2"/>
    <w:basedOn w:val="Normal"/>
    <w:rsid w:val="00FC267F"/>
    <w:pPr>
      <w:numPr>
        <w:numId w:val="7"/>
      </w:numPr>
      <w:spacing w:after="0" w:line="240" w:lineRule="auto"/>
    </w:pPr>
    <w:rPr>
      <w:rFonts w:eastAsia="Times New Roman"/>
      <w:kern w:val="24"/>
      <w:szCs w:val="24"/>
      <w:lang w:eastAsia="en-AU"/>
    </w:rPr>
  </w:style>
  <w:style w:type="paragraph" w:styleId="ListParagraph">
    <w:name w:val="List Paragraph"/>
    <w:basedOn w:val="Normal"/>
    <w:uiPriority w:val="1"/>
    <w:qFormat/>
    <w:rsid w:val="00FC267F"/>
    <w:pPr>
      <w:adjustRightInd w:val="0"/>
      <w:snapToGrid w:val="0"/>
      <w:spacing w:before="180" w:after="180"/>
      <w:ind w:left="720"/>
      <w:contextualSpacing/>
    </w:pPr>
    <w:rPr>
      <w:rFonts w:eastAsia="MS Mincho"/>
      <w:szCs w:val="20"/>
      <w:lang w:eastAsia="ja-JP"/>
    </w:rPr>
  </w:style>
  <w:style w:type="paragraph" w:customStyle="1" w:styleId="Tabletitle0">
    <w:name w:val="Table title"/>
    <w:basedOn w:val="Normal"/>
    <w:next w:val="Normal"/>
    <w:rsid w:val="00B12222"/>
    <w:pPr>
      <w:keepNext/>
      <w:spacing w:after="180"/>
    </w:pPr>
    <w:rPr>
      <w:rFonts w:cstheme="minorBidi"/>
      <w:b/>
    </w:rPr>
  </w:style>
  <w:style w:type="paragraph" w:customStyle="1" w:styleId="Standard">
    <w:name w:val="Standard"/>
    <w:basedOn w:val="Normal"/>
    <w:link w:val="StandardChar"/>
    <w:qFormat/>
    <w:rsid w:val="007A6854"/>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7A6854"/>
    <w:rPr>
      <w:rFonts w:ascii="Cambria" w:eastAsia="Times New Roman" w:hAnsi="Cambria" w:cs="Times New Roman"/>
      <w:snapToGrid w:val="0"/>
      <w:kern w:val="16"/>
      <w:sz w:val="23"/>
      <w:szCs w:val="24"/>
    </w:rPr>
  </w:style>
  <w:style w:type="character" w:customStyle="1" w:styleId="TabletextChar">
    <w:name w:val="Table text Char"/>
    <w:basedOn w:val="StandardChar"/>
    <w:link w:val="Tabletext"/>
    <w:rsid w:val="007A6854"/>
    <w:rPr>
      <w:rFonts w:ascii="Cambria" w:eastAsia="Cambria" w:hAnsi="Cambria" w:cs="Times New Roman"/>
      <w:snapToGrid/>
      <w:kern w:val="16"/>
      <w:sz w:val="19"/>
      <w:szCs w:val="24"/>
    </w:rPr>
  </w:style>
  <w:style w:type="paragraph" w:customStyle="1" w:styleId="TableParagraph">
    <w:name w:val="Table Paragraph"/>
    <w:basedOn w:val="Normal"/>
    <w:uiPriority w:val="1"/>
    <w:qFormat/>
    <w:rsid w:val="006E2066"/>
    <w:pPr>
      <w:widowControl w:val="0"/>
      <w:spacing w:before="0" w:after="0" w:line="240" w:lineRule="auto"/>
    </w:pPr>
    <w:rPr>
      <w:rFonts w:asciiTheme="minorHAnsi" w:eastAsiaTheme="minorHAnsi" w:hAnsiTheme="minorHAnsi" w:cstheme="minorBidi"/>
      <w:lang w:val="en-US"/>
    </w:rPr>
  </w:style>
  <w:style w:type="paragraph" w:styleId="NormalWeb">
    <w:name w:val="Normal (Web)"/>
    <w:basedOn w:val="Normal"/>
    <w:uiPriority w:val="99"/>
    <w:semiHidden/>
    <w:unhideWhenUsed/>
    <w:rsid w:val="002A7C25"/>
    <w:rPr>
      <w:rFonts w:ascii="Times New Roman" w:hAnsi="Times New Roman"/>
      <w:sz w:val="24"/>
      <w:szCs w:val="24"/>
    </w:rPr>
  </w:style>
  <w:style w:type="numbering" w:customStyle="1" w:styleId="Recommendations">
    <w:name w:val="Recommendations"/>
    <w:uiPriority w:val="99"/>
    <w:rsid w:val="00E33462"/>
    <w:pPr>
      <w:numPr>
        <w:numId w:val="14"/>
      </w:numPr>
    </w:pPr>
  </w:style>
  <w:style w:type="numbering" w:customStyle="1" w:styleId="Headings">
    <w:name w:val="Headings"/>
    <w:uiPriority w:val="99"/>
    <w:rsid w:val="006513E6"/>
    <w:pPr>
      <w:numPr>
        <w:numId w:val="16"/>
      </w:numPr>
    </w:pPr>
  </w:style>
  <w:style w:type="paragraph" w:customStyle="1" w:styleId="Bulletlist">
    <w:name w:val="Bullet list"/>
    <w:basedOn w:val="Standard"/>
    <w:link w:val="BulletlistChar"/>
    <w:qFormat/>
    <w:rsid w:val="00CF6DD3"/>
    <w:pPr>
      <w:numPr>
        <w:numId w:val="19"/>
      </w:numPr>
      <w:spacing w:after="180"/>
      <w:ind w:left="426" w:hanging="284"/>
    </w:pPr>
    <w:rPr>
      <w:kern w:val="2"/>
    </w:rPr>
  </w:style>
  <w:style w:type="character" w:customStyle="1" w:styleId="BulletlistChar">
    <w:name w:val="Bullet list Char"/>
    <w:basedOn w:val="StandardChar"/>
    <w:link w:val="Bulletlist"/>
    <w:rsid w:val="00CF6DD3"/>
    <w:rPr>
      <w:rFonts w:ascii="Cambria" w:eastAsia="Times New Roman" w:hAnsi="Cambria" w:cs="Times New Roman"/>
      <w:snapToGrid w:val="0"/>
      <w:kern w:val="2"/>
      <w:sz w:val="2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89312">
      <w:bodyDiv w:val="1"/>
      <w:marLeft w:val="0"/>
      <w:marRight w:val="0"/>
      <w:marTop w:val="0"/>
      <w:marBottom w:val="0"/>
      <w:divBdr>
        <w:top w:val="none" w:sz="0" w:space="0" w:color="auto"/>
        <w:left w:val="none" w:sz="0" w:space="0" w:color="auto"/>
        <w:bottom w:val="none" w:sz="0" w:space="0" w:color="auto"/>
        <w:right w:val="none" w:sz="0" w:space="0" w:color="auto"/>
      </w:divBdr>
    </w:div>
    <w:div w:id="281502901">
      <w:bodyDiv w:val="1"/>
      <w:marLeft w:val="0"/>
      <w:marRight w:val="0"/>
      <w:marTop w:val="0"/>
      <w:marBottom w:val="0"/>
      <w:divBdr>
        <w:top w:val="none" w:sz="0" w:space="0" w:color="auto"/>
        <w:left w:val="none" w:sz="0" w:space="0" w:color="auto"/>
        <w:bottom w:val="none" w:sz="0" w:space="0" w:color="auto"/>
        <w:right w:val="none" w:sz="0" w:space="0" w:color="auto"/>
      </w:divBdr>
    </w:div>
    <w:div w:id="391078774">
      <w:bodyDiv w:val="1"/>
      <w:marLeft w:val="0"/>
      <w:marRight w:val="0"/>
      <w:marTop w:val="0"/>
      <w:marBottom w:val="0"/>
      <w:divBdr>
        <w:top w:val="none" w:sz="0" w:space="0" w:color="auto"/>
        <w:left w:val="none" w:sz="0" w:space="0" w:color="auto"/>
        <w:bottom w:val="none" w:sz="0" w:space="0" w:color="auto"/>
        <w:right w:val="none" w:sz="0" w:space="0" w:color="auto"/>
      </w:divBdr>
    </w:div>
    <w:div w:id="418256410">
      <w:bodyDiv w:val="1"/>
      <w:marLeft w:val="0"/>
      <w:marRight w:val="0"/>
      <w:marTop w:val="0"/>
      <w:marBottom w:val="0"/>
      <w:divBdr>
        <w:top w:val="none" w:sz="0" w:space="0" w:color="auto"/>
        <w:left w:val="none" w:sz="0" w:space="0" w:color="auto"/>
        <w:bottom w:val="none" w:sz="0" w:space="0" w:color="auto"/>
        <w:right w:val="none" w:sz="0" w:space="0" w:color="auto"/>
      </w:divBdr>
    </w:div>
    <w:div w:id="601642604">
      <w:bodyDiv w:val="1"/>
      <w:marLeft w:val="0"/>
      <w:marRight w:val="0"/>
      <w:marTop w:val="0"/>
      <w:marBottom w:val="0"/>
      <w:divBdr>
        <w:top w:val="none" w:sz="0" w:space="0" w:color="auto"/>
        <w:left w:val="none" w:sz="0" w:space="0" w:color="auto"/>
        <w:bottom w:val="none" w:sz="0" w:space="0" w:color="auto"/>
        <w:right w:val="none" w:sz="0" w:space="0" w:color="auto"/>
      </w:divBdr>
      <w:divsChild>
        <w:div w:id="1701783172">
          <w:marLeft w:val="0"/>
          <w:marRight w:val="0"/>
          <w:marTop w:val="0"/>
          <w:marBottom w:val="0"/>
          <w:divBdr>
            <w:top w:val="none" w:sz="0" w:space="0" w:color="auto"/>
            <w:left w:val="none" w:sz="0" w:space="0" w:color="auto"/>
            <w:bottom w:val="none" w:sz="0" w:space="0" w:color="auto"/>
            <w:right w:val="none" w:sz="0" w:space="0" w:color="auto"/>
          </w:divBdr>
          <w:divsChild>
            <w:div w:id="1889560592">
              <w:marLeft w:val="0"/>
              <w:marRight w:val="0"/>
              <w:marTop w:val="0"/>
              <w:marBottom w:val="0"/>
              <w:divBdr>
                <w:top w:val="none" w:sz="0" w:space="0" w:color="auto"/>
                <w:left w:val="none" w:sz="0" w:space="0" w:color="auto"/>
                <w:bottom w:val="none" w:sz="0" w:space="0" w:color="auto"/>
                <w:right w:val="none" w:sz="0" w:space="0" w:color="auto"/>
              </w:divBdr>
              <w:divsChild>
                <w:div w:id="1174029323">
                  <w:marLeft w:val="0"/>
                  <w:marRight w:val="0"/>
                  <w:marTop w:val="0"/>
                  <w:marBottom w:val="0"/>
                  <w:divBdr>
                    <w:top w:val="none" w:sz="0" w:space="0" w:color="auto"/>
                    <w:left w:val="none" w:sz="0" w:space="0" w:color="auto"/>
                    <w:bottom w:val="none" w:sz="0" w:space="0" w:color="auto"/>
                    <w:right w:val="none" w:sz="0" w:space="0" w:color="auto"/>
                  </w:divBdr>
                  <w:divsChild>
                    <w:div w:id="118478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829657">
      <w:bodyDiv w:val="1"/>
      <w:marLeft w:val="0"/>
      <w:marRight w:val="0"/>
      <w:marTop w:val="0"/>
      <w:marBottom w:val="0"/>
      <w:divBdr>
        <w:top w:val="none" w:sz="0" w:space="0" w:color="auto"/>
        <w:left w:val="none" w:sz="0" w:space="0" w:color="auto"/>
        <w:bottom w:val="none" w:sz="0" w:space="0" w:color="auto"/>
        <w:right w:val="none" w:sz="0" w:space="0" w:color="auto"/>
      </w:divBdr>
    </w:div>
    <w:div w:id="768234781">
      <w:bodyDiv w:val="1"/>
      <w:marLeft w:val="0"/>
      <w:marRight w:val="0"/>
      <w:marTop w:val="0"/>
      <w:marBottom w:val="0"/>
      <w:divBdr>
        <w:top w:val="none" w:sz="0" w:space="0" w:color="auto"/>
        <w:left w:val="none" w:sz="0" w:space="0" w:color="auto"/>
        <w:bottom w:val="none" w:sz="0" w:space="0" w:color="auto"/>
        <w:right w:val="none" w:sz="0" w:space="0" w:color="auto"/>
      </w:divBdr>
    </w:div>
    <w:div w:id="994140516">
      <w:bodyDiv w:val="1"/>
      <w:marLeft w:val="0"/>
      <w:marRight w:val="0"/>
      <w:marTop w:val="0"/>
      <w:marBottom w:val="0"/>
      <w:divBdr>
        <w:top w:val="none" w:sz="0" w:space="0" w:color="auto"/>
        <w:left w:val="none" w:sz="0" w:space="0" w:color="auto"/>
        <w:bottom w:val="none" w:sz="0" w:space="0" w:color="auto"/>
        <w:right w:val="none" w:sz="0" w:space="0" w:color="auto"/>
      </w:divBdr>
    </w:div>
    <w:div w:id="1015883803">
      <w:bodyDiv w:val="1"/>
      <w:marLeft w:val="0"/>
      <w:marRight w:val="0"/>
      <w:marTop w:val="0"/>
      <w:marBottom w:val="0"/>
      <w:divBdr>
        <w:top w:val="none" w:sz="0" w:space="0" w:color="auto"/>
        <w:left w:val="none" w:sz="0" w:space="0" w:color="auto"/>
        <w:bottom w:val="none" w:sz="0" w:space="0" w:color="auto"/>
        <w:right w:val="none" w:sz="0" w:space="0" w:color="auto"/>
      </w:divBdr>
    </w:div>
    <w:div w:id="1195145691">
      <w:bodyDiv w:val="1"/>
      <w:marLeft w:val="0"/>
      <w:marRight w:val="0"/>
      <w:marTop w:val="0"/>
      <w:marBottom w:val="0"/>
      <w:divBdr>
        <w:top w:val="none" w:sz="0" w:space="0" w:color="auto"/>
        <w:left w:val="none" w:sz="0" w:space="0" w:color="auto"/>
        <w:bottom w:val="none" w:sz="0" w:space="0" w:color="auto"/>
        <w:right w:val="none" w:sz="0" w:space="0" w:color="auto"/>
      </w:divBdr>
    </w:div>
    <w:div w:id="1223635100">
      <w:bodyDiv w:val="1"/>
      <w:marLeft w:val="0"/>
      <w:marRight w:val="0"/>
      <w:marTop w:val="0"/>
      <w:marBottom w:val="0"/>
      <w:divBdr>
        <w:top w:val="none" w:sz="0" w:space="0" w:color="auto"/>
        <w:left w:val="none" w:sz="0" w:space="0" w:color="auto"/>
        <w:bottom w:val="none" w:sz="0" w:space="0" w:color="auto"/>
        <w:right w:val="none" w:sz="0" w:space="0" w:color="auto"/>
      </w:divBdr>
    </w:div>
    <w:div w:id="1464881056">
      <w:bodyDiv w:val="1"/>
      <w:marLeft w:val="0"/>
      <w:marRight w:val="0"/>
      <w:marTop w:val="0"/>
      <w:marBottom w:val="0"/>
      <w:divBdr>
        <w:top w:val="none" w:sz="0" w:space="0" w:color="auto"/>
        <w:left w:val="none" w:sz="0" w:space="0" w:color="auto"/>
        <w:bottom w:val="none" w:sz="0" w:space="0" w:color="auto"/>
        <w:right w:val="none" w:sz="0" w:space="0" w:color="auto"/>
      </w:divBdr>
    </w:div>
    <w:div w:id="1480611119">
      <w:bodyDiv w:val="1"/>
      <w:marLeft w:val="0"/>
      <w:marRight w:val="0"/>
      <w:marTop w:val="0"/>
      <w:marBottom w:val="0"/>
      <w:divBdr>
        <w:top w:val="none" w:sz="0" w:space="0" w:color="auto"/>
        <w:left w:val="none" w:sz="0" w:space="0" w:color="auto"/>
        <w:bottom w:val="none" w:sz="0" w:space="0" w:color="auto"/>
        <w:right w:val="none" w:sz="0" w:space="0" w:color="auto"/>
      </w:divBdr>
      <w:divsChild>
        <w:div w:id="1602108492">
          <w:marLeft w:val="0"/>
          <w:marRight w:val="0"/>
          <w:marTop w:val="0"/>
          <w:marBottom w:val="0"/>
          <w:divBdr>
            <w:top w:val="none" w:sz="0" w:space="0" w:color="auto"/>
            <w:left w:val="none" w:sz="0" w:space="0" w:color="auto"/>
            <w:bottom w:val="none" w:sz="0" w:space="0" w:color="auto"/>
            <w:right w:val="none" w:sz="0" w:space="0" w:color="auto"/>
          </w:divBdr>
          <w:divsChild>
            <w:div w:id="1387874785">
              <w:marLeft w:val="0"/>
              <w:marRight w:val="0"/>
              <w:marTop w:val="0"/>
              <w:marBottom w:val="0"/>
              <w:divBdr>
                <w:top w:val="none" w:sz="0" w:space="0" w:color="auto"/>
                <w:left w:val="none" w:sz="0" w:space="0" w:color="auto"/>
                <w:bottom w:val="none" w:sz="0" w:space="0" w:color="auto"/>
                <w:right w:val="none" w:sz="0" w:space="0" w:color="auto"/>
              </w:divBdr>
              <w:divsChild>
                <w:div w:id="134705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913884">
      <w:bodyDiv w:val="1"/>
      <w:marLeft w:val="0"/>
      <w:marRight w:val="0"/>
      <w:marTop w:val="0"/>
      <w:marBottom w:val="0"/>
      <w:divBdr>
        <w:top w:val="none" w:sz="0" w:space="0" w:color="auto"/>
        <w:left w:val="none" w:sz="0" w:space="0" w:color="auto"/>
        <w:bottom w:val="none" w:sz="0" w:space="0" w:color="auto"/>
        <w:right w:val="none" w:sz="0" w:space="0" w:color="auto"/>
      </w:divBdr>
    </w:div>
    <w:div w:id="1614089533">
      <w:bodyDiv w:val="1"/>
      <w:marLeft w:val="0"/>
      <w:marRight w:val="0"/>
      <w:marTop w:val="0"/>
      <w:marBottom w:val="0"/>
      <w:divBdr>
        <w:top w:val="none" w:sz="0" w:space="0" w:color="auto"/>
        <w:left w:val="none" w:sz="0" w:space="0" w:color="auto"/>
        <w:bottom w:val="none" w:sz="0" w:space="0" w:color="auto"/>
        <w:right w:val="none" w:sz="0" w:space="0" w:color="auto"/>
      </w:divBdr>
    </w:div>
    <w:div w:id="1660963776">
      <w:bodyDiv w:val="1"/>
      <w:marLeft w:val="0"/>
      <w:marRight w:val="0"/>
      <w:marTop w:val="0"/>
      <w:marBottom w:val="0"/>
      <w:divBdr>
        <w:top w:val="none" w:sz="0" w:space="0" w:color="auto"/>
        <w:left w:val="none" w:sz="0" w:space="0" w:color="auto"/>
        <w:bottom w:val="none" w:sz="0" w:space="0" w:color="auto"/>
        <w:right w:val="none" w:sz="0" w:space="0" w:color="auto"/>
      </w:divBdr>
    </w:div>
    <w:div w:id="1800147378">
      <w:bodyDiv w:val="1"/>
      <w:marLeft w:val="0"/>
      <w:marRight w:val="0"/>
      <w:marTop w:val="0"/>
      <w:marBottom w:val="0"/>
      <w:divBdr>
        <w:top w:val="none" w:sz="0" w:space="0" w:color="auto"/>
        <w:left w:val="none" w:sz="0" w:space="0" w:color="auto"/>
        <w:bottom w:val="none" w:sz="0" w:space="0" w:color="auto"/>
        <w:right w:val="none" w:sz="0" w:space="0" w:color="auto"/>
      </w:divBdr>
      <w:divsChild>
        <w:div w:id="1963607721">
          <w:marLeft w:val="0"/>
          <w:marRight w:val="0"/>
          <w:marTop w:val="0"/>
          <w:marBottom w:val="0"/>
          <w:divBdr>
            <w:top w:val="none" w:sz="0" w:space="0" w:color="auto"/>
            <w:left w:val="none" w:sz="0" w:space="0" w:color="auto"/>
            <w:bottom w:val="none" w:sz="0" w:space="0" w:color="auto"/>
            <w:right w:val="none" w:sz="0" w:space="0" w:color="auto"/>
          </w:divBdr>
          <w:divsChild>
            <w:div w:id="556280618">
              <w:marLeft w:val="0"/>
              <w:marRight w:val="0"/>
              <w:marTop w:val="0"/>
              <w:marBottom w:val="0"/>
              <w:divBdr>
                <w:top w:val="none" w:sz="0" w:space="0" w:color="auto"/>
                <w:left w:val="none" w:sz="0" w:space="0" w:color="auto"/>
                <w:bottom w:val="none" w:sz="0" w:space="0" w:color="auto"/>
                <w:right w:val="none" w:sz="0" w:space="0" w:color="auto"/>
              </w:divBdr>
              <w:divsChild>
                <w:div w:id="1139343741">
                  <w:marLeft w:val="0"/>
                  <w:marRight w:val="0"/>
                  <w:marTop w:val="0"/>
                  <w:marBottom w:val="0"/>
                  <w:divBdr>
                    <w:top w:val="none" w:sz="0" w:space="0" w:color="auto"/>
                    <w:left w:val="none" w:sz="0" w:space="0" w:color="auto"/>
                    <w:bottom w:val="none" w:sz="0" w:space="0" w:color="auto"/>
                    <w:right w:val="none" w:sz="0" w:space="0" w:color="auto"/>
                  </w:divBdr>
                  <w:divsChild>
                    <w:div w:id="1600674347">
                      <w:marLeft w:val="0"/>
                      <w:marRight w:val="0"/>
                      <w:marTop w:val="0"/>
                      <w:marBottom w:val="0"/>
                      <w:divBdr>
                        <w:top w:val="none" w:sz="0" w:space="0" w:color="auto"/>
                        <w:left w:val="none" w:sz="0" w:space="0" w:color="auto"/>
                        <w:bottom w:val="none" w:sz="0" w:space="0" w:color="auto"/>
                        <w:right w:val="none" w:sz="0" w:space="0" w:color="auto"/>
                      </w:divBdr>
                      <w:divsChild>
                        <w:div w:id="103974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82027">
      <w:bodyDiv w:val="1"/>
      <w:marLeft w:val="0"/>
      <w:marRight w:val="0"/>
      <w:marTop w:val="0"/>
      <w:marBottom w:val="0"/>
      <w:divBdr>
        <w:top w:val="none" w:sz="0" w:space="0" w:color="auto"/>
        <w:left w:val="none" w:sz="0" w:space="0" w:color="auto"/>
        <w:bottom w:val="none" w:sz="0" w:space="0" w:color="auto"/>
        <w:right w:val="none" w:sz="0" w:space="0" w:color="auto"/>
      </w:divBdr>
      <w:divsChild>
        <w:div w:id="1274091785">
          <w:marLeft w:val="0"/>
          <w:marRight w:val="0"/>
          <w:marTop w:val="0"/>
          <w:marBottom w:val="0"/>
          <w:divBdr>
            <w:top w:val="none" w:sz="0" w:space="0" w:color="auto"/>
            <w:left w:val="none" w:sz="0" w:space="0" w:color="auto"/>
            <w:bottom w:val="none" w:sz="0" w:space="0" w:color="auto"/>
            <w:right w:val="none" w:sz="0" w:space="0" w:color="auto"/>
          </w:divBdr>
          <w:divsChild>
            <w:div w:id="1805586952">
              <w:marLeft w:val="0"/>
              <w:marRight w:val="0"/>
              <w:marTop w:val="0"/>
              <w:marBottom w:val="0"/>
              <w:divBdr>
                <w:top w:val="none" w:sz="0" w:space="0" w:color="auto"/>
                <w:left w:val="none" w:sz="0" w:space="0" w:color="auto"/>
                <w:bottom w:val="none" w:sz="0" w:space="0" w:color="auto"/>
                <w:right w:val="none" w:sz="0" w:space="0" w:color="auto"/>
              </w:divBdr>
              <w:divsChild>
                <w:div w:id="610892241">
                  <w:marLeft w:val="0"/>
                  <w:marRight w:val="0"/>
                  <w:marTop w:val="0"/>
                  <w:marBottom w:val="0"/>
                  <w:divBdr>
                    <w:top w:val="none" w:sz="0" w:space="0" w:color="auto"/>
                    <w:left w:val="none" w:sz="0" w:space="0" w:color="auto"/>
                    <w:bottom w:val="none" w:sz="0" w:space="0" w:color="auto"/>
                    <w:right w:val="none" w:sz="0" w:space="0" w:color="auto"/>
                  </w:divBdr>
                  <w:divsChild>
                    <w:div w:id="47699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025504">
      <w:bodyDiv w:val="1"/>
      <w:marLeft w:val="0"/>
      <w:marRight w:val="0"/>
      <w:marTop w:val="0"/>
      <w:marBottom w:val="0"/>
      <w:divBdr>
        <w:top w:val="none" w:sz="0" w:space="0" w:color="auto"/>
        <w:left w:val="none" w:sz="0" w:space="0" w:color="auto"/>
        <w:bottom w:val="none" w:sz="0" w:space="0" w:color="auto"/>
        <w:right w:val="none" w:sz="0" w:space="0" w:color="auto"/>
      </w:divBdr>
    </w:div>
    <w:div w:id="1944612095">
      <w:bodyDiv w:val="1"/>
      <w:marLeft w:val="0"/>
      <w:marRight w:val="0"/>
      <w:marTop w:val="0"/>
      <w:marBottom w:val="0"/>
      <w:divBdr>
        <w:top w:val="none" w:sz="0" w:space="0" w:color="auto"/>
        <w:left w:val="none" w:sz="0" w:space="0" w:color="auto"/>
        <w:bottom w:val="none" w:sz="0" w:space="0" w:color="auto"/>
        <w:right w:val="none" w:sz="0" w:space="0" w:color="auto"/>
      </w:divBdr>
      <w:divsChild>
        <w:div w:id="2039700192">
          <w:marLeft w:val="0"/>
          <w:marRight w:val="0"/>
          <w:marTop w:val="0"/>
          <w:marBottom w:val="0"/>
          <w:divBdr>
            <w:top w:val="none" w:sz="0" w:space="0" w:color="auto"/>
            <w:left w:val="none" w:sz="0" w:space="0" w:color="auto"/>
            <w:bottom w:val="none" w:sz="0" w:space="0" w:color="auto"/>
            <w:right w:val="none" w:sz="0" w:space="0" w:color="auto"/>
          </w:divBdr>
          <w:divsChild>
            <w:div w:id="1535271255">
              <w:marLeft w:val="0"/>
              <w:marRight w:val="0"/>
              <w:marTop w:val="0"/>
              <w:marBottom w:val="0"/>
              <w:divBdr>
                <w:top w:val="none" w:sz="0" w:space="0" w:color="auto"/>
                <w:left w:val="none" w:sz="0" w:space="0" w:color="auto"/>
                <w:bottom w:val="none" w:sz="0" w:space="0" w:color="auto"/>
                <w:right w:val="none" w:sz="0" w:space="0" w:color="auto"/>
              </w:divBdr>
              <w:divsChild>
                <w:div w:id="727798178">
                  <w:marLeft w:val="0"/>
                  <w:marRight w:val="0"/>
                  <w:marTop w:val="0"/>
                  <w:marBottom w:val="0"/>
                  <w:divBdr>
                    <w:top w:val="none" w:sz="0" w:space="0" w:color="auto"/>
                    <w:left w:val="none" w:sz="0" w:space="0" w:color="auto"/>
                    <w:bottom w:val="none" w:sz="0" w:space="0" w:color="auto"/>
                    <w:right w:val="none" w:sz="0" w:space="0" w:color="auto"/>
                  </w:divBdr>
                  <w:divsChild>
                    <w:div w:id="198746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120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emf"/><Relationship Id="rId26" Type="http://schemas.microsoft.com/office/2007/relationships/hdphoto" Target="media/hdphoto1.wdp"/><Relationship Id="rId39" Type="http://schemas.microsoft.com/office/2007/relationships/hdphoto" Target="media/hdphoto4.wdp"/><Relationship Id="rId21" Type="http://schemas.openxmlformats.org/officeDocument/2006/relationships/image" Target="media/image8.emf"/><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hyperlink" Target="https://www.tga.gov.au/product-information-pi" TargetMode="External"/><Relationship Id="rId50" Type="http://schemas.openxmlformats.org/officeDocument/2006/relationships/header" Target="header5.xml"/><Relationship Id="rId55" Type="http://schemas.openxmlformats.org/officeDocument/2006/relationships/header" Target="header7.xml"/><Relationship Id="rId63"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5.emf"/><Relationship Id="rId41" Type="http://schemas.openxmlformats.org/officeDocument/2006/relationships/image" Target="media/image24.png"/><Relationship Id="rId54" Type="http://schemas.openxmlformats.org/officeDocument/2006/relationships/header" Target="header6.xml"/><Relationship Id="rId62"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image" Target="media/image18.emf"/><Relationship Id="rId37" Type="http://schemas.microsoft.com/office/2007/relationships/hdphoto" Target="media/hdphoto3.wdp"/><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hyperlink" Target="https://www.tga.gov.au" TargetMode="External"/><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4.emf"/><Relationship Id="rId36" Type="http://schemas.openxmlformats.org/officeDocument/2006/relationships/image" Target="media/image21.png"/><Relationship Id="rId49" Type="http://schemas.openxmlformats.org/officeDocument/2006/relationships/header" Target="header4.xml"/><Relationship Id="rId57"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image" Target="media/image6.emf"/><Relationship Id="rId31" Type="http://schemas.openxmlformats.org/officeDocument/2006/relationships/image" Target="media/image17.emf"/><Relationship Id="rId44" Type="http://schemas.microsoft.com/office/2007/relationships/hdphoto" Target="media/hdphoto5.wdp"/><Relationship Id="rId52" Type="http://schemas.openxmlformats.org/officeDocument/2006/relationships/hyperlink" Target="mailto:info@tga.gov.au"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6.emf"/><Relationship Id="rId35" Type="http://schemas.microsoft.com/office/2007/relationships/hdphoto" Target="media/hdphoto2.wdp"/><Relationship Id="rId43" Type="http://schemas.openxmlformats.org/officeDocument/2006/relationships/image" Target="media/image26.png"/><Relationship Id="rId48" Type="http://schemas.openxmlformats.org/officeDocument/2006/relationships/header" Target="header3.xm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19.emf"/><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ACC89-B4ED-41DD-B183-6758B72BF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47</Pages>
  <Words>13486</Words>
  <Characters>75393</Characters>
  <Application>Microsoft Office Word</Application>
  <DocSecurity>0</DocSecurity>
  <Lines>3015</Lines>
  <Paragraphs>2167</Paragraphs>
  <ScaleCrop>false</ScaleCrop>
  <HeadingPairs>
    <vt:vector size="2" baseType="variant">
      <vt:variant>
        <vt:lpstr>Title</vt:lpstr>
      </vt:variant>
      <vt:variant>
        <vt:i4>1</vt:i4>
      </vt:variant>
    </vt:vector>
  </HeadingPairs>
  <TitlesOfParts>
    <vt:vector size="1" baseType="lpstr">
      <vt:lpstr>Australian public assessment for Empagliflozin [Jardiance]</vt:lpstr>
    </vt:vector>
  </TitlesOfParts>
  <Company>Department of Health</Company>
  <LinksUpToDate>false</LinksUpToDate>
  <CharactersWithSpaces>86712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Empagliflozin [Jardiance]</dc:title>
  <dc:subject>prescription medicine</dc:subject>
  <dc:creator>Therapeutic Goods Administration</dc:creator>
  <cp:keywords>auspar</cp:keywords>
  <cp:lastModifiedBy>Therapeutic Goods Administration (TGA) </cp:lastModifiedBy>
  <cp:revision>13</cp:revision>
  <cp:lastPrinted>2015-09-22T23:39:00Z</cp:lastPrinted>
  <dcterms:created xsi:type="dcterms:W3CDTF">2017-10-26T03:08:00Z</dcterms:created>
  <dcterms:modified xsi:type="dcterms:W3CDTF">2017-11-08T01:15:00Z</dcterms:modified>
  <cp:category>external publication</cp:category>
</cp:coreProperties>
</file>