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5E3D79" w:rsidRDefault="00A7605B" w:rsidP="005E3D79">
            <w:pPr>
              <w:pStyle w:val="Date"/>
              <w:framePr w:hSpace="0" w:wrap="auto" w:vAnchor="margin" w:hAnchor="text" w:yAlign="inline"/>
              <w:suppressOverlap w:val="0"/>
            </w:pPr>
            <w:r w:rsidRPr="005E3D79">
              <w:t>June</w:t>
            </w:r>
            <w:r w:rsidR="00C346AB" w:rsidRPr="005E3D79">
              <w:t xml:space="preserve"> </w:t>
            </w:r>
            <w:r w:rsidR="00B938B2" w:rsidRPr="005E3D79">
              <w:t>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5E3D79" w:rsidRDefault="0032583B" w:rsidP="005E3D79">
            <w:pPr>
              <w:pStyle w:val="Title"/>
              <w:framePr w:hSpace="0" w:wrap="auto" w:vAnchor="margin" w:yAlign="inline"/>
            </w:pPr>
            <w:bookmarkStart w:id="0" w:name="_GoBack"/>
            <w:r w:rsidRPr="005E3D79">
              <w:t>Australian</w:t>
            </w:r>
            <w:r w:rsidR="00B938B2" w:rsidRPr="005E3D79">
              <w:t xml:space="preserve"> Public Assessment Report for Elvitegravir / Cobicistat / Emtricitabine / Tenofovir alafenamide (as fumarate)</w:t>
            </w:r>
            <w:bookmarkEnd w:id="0"/>
          </w:p>
        </w:tc>
      </w:tr>
      <w:tr w:rsidR="0032583B" w:rsidRPr="00B64760" w:rsidTr="0032583B">
        <w:tc>
          <w:tcPr>
            <w:tcW w:w="9079" w:type="dxa"/>
          </w:tcPr>
          <w:p w:rsidR="0032583B" w:rsidRPr="005E3D79" w:rsidRDefault="0032583B" w:rsidP="005E3D79">
            <w:pPr>
              <w:pStyle w:val="Subtitle"/>
              <w:framePr w:hSpace="0" w:wrap="auto" w:vAnchor="margin" w:yAlign="inline"/>
            </w:pPr>
            <w:r w:rsidRPr="005E3D79">
              <w:t xml:space="preserve">Proprietary Product Name: </w:t>
            </w:r>
            <w:r w:rsidR="00B938B2" w:rsidRPr="005E3D79">
              <w:t>Genvoya</w:t>
            </w:r>
          </w:p>
        </w:tc>
      </w:tr>
      <w:tr w:rsidR="0032583B" w:rsidRPr="00B64760" w:rsidTr="0032583B">
        <w:trPr>
          <w:trHeight w:val="486"/>
        </w:trPr>
        <w:tc>
          <w:tcPr>
            <w:tcW w:w="9079" w:type="dxa"/>
          </w:tcPr>
          <w:p w:rsidR="0032583B" w:rsidRPr="008E7846" w:rsidRDefault="00B938B2" w:rsidP="005E3D79">
            <w:pPr>
              <w:pStyle w:val="Subtitle"/>
              <w:framePr w:hSpace="0" w:wrap="auto" w:vAnchor="margin" w:yAlign="inline"/>
            </w:pPr>
            <w:r>
              <w:t>Sponsor: Gilead Sciences Pty Ltd</w:t>
            </w:r>
          </w:p>
        </w:tc>
      </w:tr>
    </w:tbl>
    <w:p w:rsidR="008E7846" w:rsidRPr="0085156D" w:rsidRDefault="008E7846" w:rsidP="0085156D">
      <w:r w:rsidRPr="0085156D">
        <w:br w:type="page"/>
      </w:r>
    </w:p>
    <w:p w:rsidR="008E7846" w:rsidRPr="001F6CBA" w:rsidRDefault="008E7846" w:rsidP="005E3D79">
      <w:pPr>
        <w:pStyle w:val="NonTOCHeading2"/>
      </w:pPr>
      <w:r w:rsidRPr="001F6CBA">
        <w:lastRenderedPageBreak/>
        <w:t>About the Therapeutic Goods Administration (TGA)</w:t>
      </w:r>
    </w:p>
    <w:p w:rsidR="008E7846" w:rsidRDefault="008E7846" w:rsidP="00A540E3">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A540E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A540E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540E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A540E3">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A540E3">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A540E3">
      <w:pPr>
        <w:pStyle w:val="ListBullet"/>
        <w:numPr>
          <w:ilvl w:val="0"/>
          <w:numId w:val="1"/>
        </w:numPr>
        <w:ind w:left="357" w:hanging="357"/>
      </w:pPr>
      <w:r>
        <w:t>AusPARs are prepared and published by the TGA.</w:t>
      </w:r>
    </w:p>
    <w:p w:rsidR="008E7846" w:rsidRDefault="008E7846" w:rsidP="00A540E3">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A540E3">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A540E3">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86D29"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5474475" w:history="1">
            <w:r w:rsidR="00B86D29" w:rsidRPr="0062118B">
              <w:rPr>
                <w:rStyle w:val="Hyperlink"/>
                <w:noProof/>
              </w:rPr>
              <w:t>Common abbreviations</w:t>
            </w:r>
            <w:r w:rsidR="00B86D29">
              <w:rPr>
                <w:noProof/>
                <w:webHidden/>
              </w:rPr>
              <w:tab/>
            </w:r>
            <w:r w:rsidR="00B86D29">
              <w:rPr>
                <w:noProof/>
                <w:webHidden/>
              </w:rPr>
              <w:fldChar w:fldCharType="begin"/>
            </w:r>
            <w:r w:rsidR="00B86D29">
              <w:rPr>
                <w:noProof/>
                <w:webHidden/>
              </w:rPr>
              <w:instrText xml:space="preserve"> PAGEREF _Toc455474475 \h </w:instrText>
            </w:r>
            <w:r w:rsidR="00B86D29">
              <w:rPr>
                <w:noProof/>
                <w:webHidden/>
              </w:rPr>
            </w:r>
            <w:r w:rsidR="00B86D29">
              <w:rPr>
                <w:noProof/>
                <w:webHidden/>
              </w:rPr>
              <w:fldChar w:fldCharType="separate"/>
            </w:r>
            <w:r w:rsidR="00B86D29">
              <w:rPr>
                <w:noProof/>
                <w:webHidden/>
              </w:rPr>
              <w:t>5</w:t>
            </w:r>
            <w:r w:rsidR="00B86D29">
              <w:rPr>
                <w:noProof/>
                <w:webHidden/>
              </w:rPr>
              <w:fldChar w:fldCharType="end"/>
            </w:r>
          </w:hyperlink>
        </w:p>
        <w:p w:rsidR="00B86D29" w:rsidRDefault="00BC2A9D">
          <w:pPr>
            <w:pStyle w:val="TOC2"/>
            <w:rPr>
              <w:rFonts w:asciiTheme="minorHAnsi" w:eastAsiaTheme="minorEastAsia" w:hAnsiTheme="minorHAnsi" w:cstheme="minorBidi"/>
              <w:b w:val="0"/>
              <w:noProof/>
              <w:sz w:val="22"/>
              <w:lang w:eastAsia="en-AU"/>
            </w:rPr>
          </w:pPr>
          <w:hyperlink w:anchor="_Toc455474476" w:history="1">
            <w:r w:rsidR="00B86D29" w:rsidRPr="0062118B">
              <w:rPr>
                <w:rStyle w:val="Hyperlink"/>
                <w:noProof/>
              </w:rPr>
              <w:t>I. Introduction to product submission</w:t>
            </w:r>
            <w:r w:rsidR="00B86D29">
              <w:rPr>
                <w:noProof/>
                <w:webHidden/>
              </w:rPr>
              <w:tab/>
            </w:r>
            <w:r w:rsidR="00B86D29">
              <w:rPr>
                <w:noProof/>
                <w:webHidden/>
              </w:rPr>
              <w:fldChar w:fldCharType="begin"/>
            </w:r>
            <w:r w:rsidR="00B86D29">
              <w:rPr>
                <w:noProof/>
                <w:webHidden/>
              </w:rPr>
              <w:instrText xml:space="preserve"> PAGEREF _Toc455474476 \h </w:instrText>
            </w:r>
            <w:r w:rsidR="00B86D29">
              <w:rPr>
                <w:noProof/>
                <w:webHidden/>
              </w:rPr>
            </w:r>
            <w:r w:rsidR="00B86D29">
              <w:rPr>
                <w:noProof/>
                <w:webHidden/>
              </w:rPr>
              <w:fldChar w:fldCharType="separate"/>
            </w:r>
            <w:r w:rsidR="00B86D29">
              <w:rPr>
                <w:noProof/>
                <w:webHidden/>
              </w:rPr>
              <w:t>10</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77" w:history="1">
            <w:r w:rsidR="00B86D29" w:rsidRPr="0062118B">
              <w:rPr>
                <w:rStyle w:val="Hyperlink"/>
                <w:noProof/>
                <w:lang w:eastAsia="en-AU"/>
              </w:rPr>
              <w:t>Submission details</w:t>
            </w:r>
            <w:r w:rsidR="00B86D29">
              <w:rPr>
                <w:noProof/>
                <w:webHidden/>
              </w:rPr>
              <w:tab/>
            </w:r>
            <w:r w:rsidR="00B86D29">
              <w:rPr>
                <w:noProof/>
                <w:webHidden/>
              </w:rPr>
              <w:fldChar w:fldCharType="begin"/>
            </w:r>
            <w:r w:rsidR="00B86D29">
              <w:rPr>
                <w:noProof/>
                <w:webHidden/>
              </w:rPr>
              <w:instrText xml:space="preserve"> PAGEREF _Toc455474477 \h </w:instrText>
            </w:r>
            <w:r w:rsidR="00B86D29">
              <w:rPr>
                <w:noProof/>
                <w:webHidden/>
              </w:rPr>
            </w:r>
            <w:r w:rsidR="00B86D29">
              <w:rPr>
                <w:noProof/>
                <w:webHidden/>
              </w:rPr>
              <w:fldChar w:fldCharType="separate"/>
            </w:r>
            <w:r w:rsidR="00B86D29">
              <w:rPr>
                <w:noProof/>
                <w:webHidden/>
              </w:rPr>
              <w:t>10</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78" w:history="1">
            <w:r w:rsidR="00B86D29" w:rsidRPr="0062118B">
              <w:rPr>
                <w:rStyle w:val="Hyperlink"/>
                <w:noProof/>
              </w:rPr>
              <w:t>Product background</w:t>
            </w:r>
            <w:r w:rsidR="00B86D29">
              <w:rPr>
                <w:noProof/>
                <w:webHidden/>
              </w:rPr>
              <w:tab/>
            </w:r>
            <w:r w:rsidR="00B86D29">
              <w:rPr>
                <w:noProof/>
                <w:webHidden/>
              </w:rPr>
              <w:fldChar w:fldCharType="begin"/>
            </w:r>
            <w:r w:rsidR="00B86D29">
              <w:rPr>
                <w:noProof/>
                <w:webHidden/>
              </w:rPr>
              <w:instrText xml:space="preserve"> PAGEREF _Toc455474478 \h </w:instrText>
            </w:r>
            <w:r w:rsidR="00B86D29">
              <w:rPr>
                <w:noProof/>
                <w:webHidden/>
              </w:rPr>
            </w:r>
            <w:r w:rsidR="00B86D29">
              <w:rPr>
                <w:noProof/>
                <w:webHidden/>
              </w:rPr>
              <w:fldChar w:fldCharType="separate"/>
            </w:r>
            <w:r w:rsidR="00B86D29">
              <w:rPr>
                <w:noProof/>
                <w:webHidden/>
              </w:rPr>
              <w:t>11</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79" w:history="1">
            <w:r w:rsidR="00B86D29" w:rsidRPr="0062118B">
              <w:rPr>
                <w:rStyle w:val="Hyperlink"/>
                <w:noProof/>
              </w:rPr>
              <w:t>Regulatory status</w:t>
            </w:r>
            <w:r w:rsidR="00B86D29">
              <w:rPr>
                <w:noProof/>
                <w:webHidden/>
              </w:rPr>
              <w:tab/>
            </w:r>
            <w:r w:rsidR="00B86D29">
              <w:rPr>
                <w:noProof/>
                <w:webHidden/>
              </w:rPr>
              <w:fldChar w:fldCharType="begin"/>
            </w:r>
            <w:r w:rsidR="00B86D29">
              <w:rPr>
                <w:noProof/>
                <w:webHidden/>
              </w:rPr>
              <w:instrText xml:space="preserve"> PAGEREF _Toc455474479 \h </w:instrText>
            </w:r>
            <w:r w:rsidR="00B86D29">
              <w:rPr>
                <w:noProof/>
                <w:webHidden/>
              </w:rPr>
            </w:r>
            <w:r w:rsidR="00B86D29">
              <w:rPr>
                <w:noProof/>
                <w:webHidden/>
              </w:rPr>
              <w:fldChar w:fldCharType="separate"/>
            </w:r>
            <w:r w:rsidR="00B86D29">
              <w:rPr>
                <w:noProof/>
                <w:webHidden/>
              </w:rPr>
              <w:t>12</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80" w:history="1">
            <w:r w:rsidR="00B86D29" w:rsidRPr="0062118B">
              <w:rPr>
                <w:rStyle w:val="Hyperlink"/>
                <w:noProof/>
              </w:rPr>
              <w:t>Product Information</w:t>
            </w:r>
            <w:r w:rsidR="00B86D29">
              <w:rPr>
                <w:noProof/>
                <w:webHidden/>
              </w:rPr>
              <w:tab/>
            </w:r>
            <w:r w:rsidR="00B86D29">
              <w:rPr>
                <w:noProof/>
                <w:webHidden/>
              </w:rPr>
              <w:fldChar w:fldCharType="begin"/>
            </w:r>
            <w:r w:rsidR="00B86D29">
              <w:rPr>
                <w:noProof/>
                <w:webHidden/>
              </w:rPr>
              <w:instrText xml:space="preserve"> PAGEREF _Toc455474480 \h </w:instrText>
            </w:r>
            <w:r w:rsidR="00B86D29">
              <w:rPr>
                <w:noProof/>
                <w:webHidden/>
              </w:rPr>
            </w:r>
            <w:r w:rsidR="00B86D29">
              <w:rPr>
                <w:noProof/>
                <w:webHidden/>
              </w:rPr>
              <w:fldChar w:fldCharType="separate"/>
            </w:r>
            <w:r w:rsidR="00B86D29">
              <w:rPr>
                <w:noProof/>
                <w:webHidden/>
              </w:rPr>
              <w:t>13</w:t>
            </w:r>
            <w:r w:rsidR="00B86D29">
              <w:rPr>
                <w:noProof/>
                <w:webHidden/>
              </w:rPr>
              <w:fldChar w:fldCharType="end"/>
            </w:r>
          </w:hyperlink>
        </w:p>
        <w:p w:rsidR="00B86D29" w:rsidRDefault="00BC2A9D">
          <w:pPr>
            <w:pStyle w:val="TOC2"/>
            <w:rPr>
              <w:rFonts w:asciiTheme="minorHAnsi" w:eastAsiaTheme="minorEastAsia" w:hAnsiTheme="minorHAnsi" w:cstheme="minorBidi"/>
              <w:b w:val="0"/>
              <w:noProof/>
              <w:sz w:val="22"/>
              <w:lang w:eastAsia="en-AU"/>
            </w:rPr>
          </w:pPr>
          <w:hyperlink w:anchor="_Toc455474481" w:history="1">
            <w:r w:rsidR="00B86D29" w:rsidRPr="0062118B">
              <w:rPr>
                <w:rStyle w:val="Hyperlink"/>
                <w:noProof/>
              </w:rPr>
              <w:t>II. Quality findings</w:t>
            </w:r>
            <w:r w:rsidR="00B86D29">
              <w:rPr>
                <w:noProof/>
                <w:webHidden/>
              </w:rPr>
              <w:tab/>
            </w:r>
            <w:r w:rsidR="00B86D29">
              <w:rPr>
                <w:noProof/>
                <w:webHidden/>
              </w:rPr>
              <w:fldChar w:fldCharType="begin"/>
            </w:r>
            <w:r w:rsidR="00B86D29">
              <w:rPr>
                <w:noProof/>
                <w:webHidden/>
              </w:rPr>
              <w:instrText xml:space="preserve"> PAGEREF _Toc455474481 \h </w:instrText>
            </w:r>
            <w:r w:rsidR="00B86D29">
              <w:rPr>
                <w:noProof/>
                <w:webHidden/>
              </w:rPr>
            </w:r>
            <w:r w:rsidR="00B86D29">
              <w:rPr>
                <w:noProof/>
                <w:webHidden/>
              </w:rPr>
              <w:fldChar w:fldCharType="separate"/>
            </w:r>
            <w:r w:rsidR="00B86D29">
              <w:rPr>
                <w:noProof/>
                <w:webHidden/>
              </w:rPr>
              <w:t>14</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82" w:history="1">
            <w:r w:rsidR="00B86D29" w:rsidRPr="0062118B">
              <w:rPr>
                <w:rStyle w:val="Hyperlink"/>
                <w:noProof/>
              </w:rPr>
              <w:t>Introduction</w:t>
            </w:r>
            <w:r w:rsidR="00B86D29">
              <w:rPr>
                <w:noProof/>
                <w:webHidden/>
              </w:rPr>
              <w:tab/>
            </w:r>
            <w:r w:rsidR="00B86D29">
              <w:rPr>
                <w:noProof/>
                <w:webHidden/>
              </w:rPr>
              <w:fldChar w:fldCharType="begin"/>
            </w:r>
            <w:r w:rsidR="00B86D29">
              <w:rPr>
                <w:noProof/>
                <w:webHidden/>
              </w:rPr>
              <w:instrText xml:space="preserve"> PAGEREF _Toc455474482 \h </w:instrText>
            </w:r>
            <w:r w:rsidR="00B86D29">
              <w:rPr>
                <w:noProof/>
                <w:webHidden/>
              </w:rPr>
            </w:r>
            <w:r w:rsidR="00B86D29">
              <w:rPr>
                <w:noProof/>
                <w:webHidden/>
              </w:rPr>
              <w:fldChar w:fldCharType="separate"/>
            </w:r>
            <w:r w:rsidR="00B86D29">
              <w:rPr>
                <w:noProof/>
                <w:webHidden/>
              </w:rPr>
              <w:t>14</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83" w:history="1">
            <w:r w:rsidR="00B86D29" w:rsidRPr="0062118B">
              <w:rPr>
                <w:rStyle w:val="Hyperlink"/>
                <w:noProof/>
              </w:rPr>
              <w:t>Active ingredients</w:t>
            </w:r>
            <w:r w:rsidR="00B86D29">
              <w:rPr>
                <w:noProof/>
                <w:webHidden/>
              </w:rPr>
              <w:tab/>
            </w:r>
            <w:r w:rsidR="00B86D29">
              <w:rPr>
                <w:noProof/>
                <w:webHidden/>
              </w:rPr>
              <w:fldChar w:fldCharType="begin"/>
            </w:r>
            <w:r w:rsidR="00B86D29">
              <w:rPr>
                <w:noProof/>
                <w:webHidden/>
              </w:rPr>
              <w:instrText xml:space="preserve"> PAGEREF _Toc455474483 \h </w:instrText>
            </w:r>
            <w:r w:rsidR="00B86D29">
              <w:rPr>
                <w:noProof/>
                <w:webHidden/>
              </w:rPr>
            </w:r>
            <w:r w:rsidR="00B86D29">
              <w:rPr>
                <w:noProof/>
                <w:webHidden/>
              </w:rPr>
              <w:fldChar w:fldCharType="separate"/>
            </w:r>
            <w:r w:rsidR="00B86D29">
              <w:rPr>
                <w:noProof/>
                <w:webHidden/>
              </w:rPr>
              <w:t>14</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84" w:history="1">
            <w:r w:rsidR="00B86D29" w:rsidRPr="0062118B">
              <w:rPr>
                <w:rStyle w:val="Hyperlink"/>
                <w:noProof/>
              </w:rPr>
              <w:t>Drug product</w:t>
            </w:r>
            <w:r w:rsidR="00B86D29">
              <w:rPr>
                <w:noProof/>
                <w:webHidden/>
              </w:rPr>
              <w:tab/>
            </w:r>
            <w:r w:rsidR="00B86D29">
              <w:rPr>
                <w:noProof/>
                <w:webHidden/>
              </w:rPr>
              <w:fldChar w:fldCharType="begin"/>
            </w:r>
            <w:r w:rsidR="00B86D29">
              <w:rPr>
                <w:noProof/>
                <w:webHidden/>
              </w:rPr>
              <w:instrText xml:space="preserve"> PAGEREF _Toc455474484 \h </w:instrText>
            </w:r>
            <w:r w:rsidR="00B86D29">
              <w:rPr>
                <w:noProof/>
                <w:webHidden/>
              </w:rPr>
            </w:r>
            <w:r w:rsidR="00B86D29">
              <w:rPr>
                <w:noProof/>
                <w:webHidden/>
              </w:rPr>
              <w:fldChar w:fldCharType="separate"/>
            </w:r>
            <w:r w:rsidR="00B86D29">
              <w:rPr>
                <w:noProof/>
                <w:webHidden/>
              </w:rPr>
              <w:t>16</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85" w:history="1">
            <w:r w:rsidR="00B86D29" w:rsidRPr="0062118B">
              <w:rPr>
                <w:rStyle w:val="Hyperlink"/>
                <w:noProof/>
              </w:rPr>
              <w:t>Biopharmaceutics</w:t>
            </w:r>
            <w:r w:rsidR="00B86D29">
              <w:rPr>
                <w:noProof/>
                <w:webHidden/>
              </w:rPr>
              <w:tab/>
            </w:r>
            <w:r w:rsidR="00B86D29">
              <w:rPr>
                <w:noProof/>
                <w:webHidden/>
              </w:rPr>
              <w:fldChar w:fldCharType="begin"/>
            </w:r>
            <w:r w:rsidR="00B86D29">
              <w:rPr>
                <w:noProof/>
                <w:webHidden/>
              </w:rPr>
              <w:instrText xml:space="preserve"> PAGEREF _Toc455474485 \h </w:instrText>
            </w:r>
            <w:r w:rsidR="00B86D29">
              <w:rPr>
                <w:noProof/>
                <w:webHidden/>
              </w:rPr>
            </w:r>
            <w:r w:rsidR="00B86D29">
              <w:rPr>
                <w:noProof/>
                <w:webHidden/>
              </w:rPr>
              <w:fldChar w:fldCharType="separate"/>
            </w:r>
            <w:r w:rsidR="00B86D29">
              <w:rPr>
                <w:noProof/>
                <w:webHidden/>
              </w:rPr>
              <w:t>17</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86" w:history="1">
            <w:r w:rsidR="00B86D29" w:rsidRPr="0062118B">
              <w:rPr>
                <w:rStyle w:val="Hyperlink"/>
                <w:noProof/>
              </w:rPr>
              <w:t>Quality summary and conclusions</w:t>
            </w:r>
            <w:r w:rsidR="00B86D29">
              <w:rPr>
                <w:noProof/>
                <w:webHidden/>
              </w:rPr>
              <w:tab/>
            </w:r>
            <w:r w:rsidR="00B86D29">
              <w:rPr>
                <w:noProof/>
                <w:webHidden/>
              </w:rPr>
              <w:fldChar w:fldCharType="begin"/>
            </w:r>
            <w:r w:rsidR="00B86D29">
              <w:rPr>
                <w:noProof/>
                <w:webHidden/>
              </w:rPr>
              <w:instrText xml:space="preserve"> PAGEREF _Toc455474486 \h </w:instrText>
            </w:r>
            <w:r w:rsidR="00B86D29">
              <w:rPr>
                <w:noProof/>
                <w:webHidden/>
              </w:rPr>
            </w:r>
            <w:r w:rsidR="00B86D29">
              <w:rPr>
                <w:noProof/>
                <w:webHidden/>
              </w:rPr>
              <w:fldChar w:fldCharType="separate"/>
            </w:r>
            <w:r w:rsidR="00B86D29">
              <w:rPr>
                <w:noProof/>
                <w:webHidden/>
              </w:rPr>
              <w:t>20</w:t>
            </w:r>
            <w:r w:rsidR="00B86D29">
              <w:rPr>
                <w:noProof/>
                <w:webHidden/>
              </w:rPr>
              <w:fldChar w:fldCharType="end"/>
            </w:r>
          </w:hyperlink>
        </w:p>
        <w:p w:rsidR="00B86D29" w:rsidRDefault="00BC2A9D">
          <w:pPr>
            <w:pStyle w:val="TOC2"/>
            <w:rPr>
              <w:rFonts w:asciiTheme="minorHAnsi" w:eastAsiaTheme="minorEastAsia" w:hAnsiTheme="minorHAnsi" w:cstheme="minorBidi"/>
              <w:b w:val="0"/>
              <w:noProof/>
              <w:sz w:val="22"/>
              <w:lang w:eastAsia="en-AU"/>
            </w:rPr>
          </w:pPr>
          <w:hyperlink w:anchor="_Toc455474487" w:history="1">
            <w:r w:rsidR="00B86D29" w:rsidRPr="0062118B">
              <w:rPr>
                <w:rStyle w:val="Hyperlink"/>
                <w:noProof/>
              </w:rPr>
              <w:t>III. Nonclinical findings</w:t>
            </w:r>
            <w:r w:rsidR="00B86D29">
              <w:rPr>
                <w:noProof/>
                <w:webHidden/>
              </w:rPr>
              <w:tab/>
            </w:r>
            <w:r w:rsidR="00B86D29">
              <w:rPr>
                <w:noProof/>
                <w:webHidden/>
              </w:rPr>
              <w:fldChar w:fldCharType="begin"/>
            </w:r>
            <w:r w:rsidR="00B86D29">
              <w:rPr>
                <w:noProof/>
                <w:webHidden/>
              </w:rPr>
              <w:instrText xml:space="preserve"> PAGEREF _Toc455474487 \h </w:instrText>
            </w:r>
            <w:r w:rsidR="00B86D29">
              <w:rPr>
                <w:noProof/>
                <w:webHidden/>
              </w:rPr>
            </w:r>
            <w:r w:rsidR="00B86D29">
              <w:rPr>
                <w:noProof/>
                <w:webHidden/>
              </w:rPr>
              <w:fldChar w:fldCharType="separate"/>
            </w:r>
            <w:r w:rsidR="00B86D29">
              <w:rPr>
                <w:noProof/>
                <w:webHidden/>
              </w:rPr>
              <w:t>20</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88" w:history="1">
            <w:r w:rsidR="00B86D29" w:rsidRPr="0062118B">
              <w:rPr>
                <w:rStyle w:val="Hyperlink"/>
                <w:noProof/>
              </w:rPr>
              <w:t>Introduction</w:t>
            </w:r>
            <w:r w:rsidR="00B86D29">
              <w:rPr>
                <w:noProof/>
                <w:webHidden/>
              </w:rPr>
              <w:tab/>
            </w:r>
            <w:r w:rsidR="00B86D29">
              <w:rPr>
                <w:noProof/>
                <w:webHidden/>
              </w:rPr>
              <w:fldChar w:fldCharType="begin"/>
            </w:r>
            <w:r w:rsidR="00B86D29">
              <w:rPr>
                <w:noProof/>
                <w:webHidden/>
              </w:rPr>
              <w:instrText xml:space="preserve"> PAGEREF _Toc455474488 \h </w:instrText>
            </w:r>
            <w:r w:rsidR="00B86D29">
              <w:rPr>
                <w:noProof/>
                <w:webHidden/>
              </w:rPr>
            </w:r>
            <w:r w:rsidR="00B86D29">
              <w:rPr>
                <w:noProof/>
                <w:webHidden/>
              </w:rPr>
              <w:fldChar w:fldCharType="separate"/>
            </w:r>
            <w:r w:rsidR="00B86D29">
              <w:rPr>
                <w:noProof/>
                <w:webHidden/>
              </w:rPr>
              <w:t>20</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89" w:history="1">
            <w:r w:rsidR="00B86D29" w:rsidRPr="0062118B">
              <w:rPr>
                <w:rStyle w:val="Hyperlink"/>
                <w:noProof/>
              </w:rPr>
              <w:t>Pharmacology</w:t>
            </w:r>
            <w:r w:rsidR="00B86D29">
              <w:rPr>
                <w:noProof/>
                <w:webHidden/>
              </w:rPr>
              <w:tab/>
            </w:r>
            <w:r w:rsidR="00B86D29">
              <w:rPr>
                <w:noProof/>
                <w:webHidden/>
              </w:rPr>
              <w:fldChar w:fldCharType="begin"/>
            </w:r>
            <w:r w:rsidR="00B86D29">
              <w:rPr>
                <w:noProof/>
                <w:webHidden/>
              </w:rPr>
              <w:instrText xml:space="preserve"> PAGEREF _Toc455474489 \h </w:instrText>
            </w:r>
            <w:r w:rsidR="00B86D29">
              <w:rPr>
                <w:noProof/>
                <w:webHidden/>
              </w:rPr>
            </w:r>
            <w:r w:rsidR="00B86D29">
              <w:rPr>
                <w:noProof/>
                <w:webHidden/>
              </w:rPr>
              <w:fldChar w:fldCharType="separate"/>
            </w:r>
            <w:r w:rsidR="00B86D29">
              <w:rPr>
                <w:noProof/>
                <w:webHidden/>
              </w:rPr>
              <w:t>21</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90" w:history="1">
            <w:r w:rsidR="00B86D29" w:rsidRPr="0062118B">
              <w:rPr>
                <w:rStyle w:val="Hyperlink"/>
                <w:noProof/>
              </w:rPr>
              <w:t>Pharmacokinetics</w:t>
            </w:r>
            <w:r w:rsidR="00B86D29">
              <w:rPr>
                <w:noProof/>
                <w:webHidden/>
              </w:rPr>
              <w:tab/>
            </w:r>
            <w:r w:rsidR="00B86D29">
              <w:rPr>
                <w:noProof/>
                <w:webHidden/>
              </w:rPr>
              <w:fldChar w:fldCharType="begin"/>
            </w:r>
            <w:r w:rsidR="00B86D29">
              <w:rPr>
                <w:noProof/>
                <w:webHidden/>
              </w:rPr>
              <w:instrText xml:space="preserve"> PAGEREF _Toc455474490 \h </w:instrText>
            </w:r>
            <w:r w:rsidR="00B86D29">
              <w:rPr>
                <w:noProof/>
                <w:webHidden/>
              </w:rPr>
            </w:r>
            <w:r w:rsidR="00B86D29">
              <w:rPr>
                <w:noProof/>
                <w:webHidden/>
              </w:rPr>
              <w:fldChar w:fldCharType="separate"/>
            </w:r>
            <w:r w:rsidR="00B86D29">
              <w:rPr>
                <w:noProof/>
                <w:webHidden/>
              </w:rPr>
              <w:t>23</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91" w:history="1">
            <w:r w:rsidR="00B86D29" w:rsidRPr="0062118B">
              <w:rPr>
                <w:rStyle w:val="Hyperlink"/>
                <w:noProof/>
              </w:rPr>
              <w:t>Toxicology</w:t>
            </w:r>
            <w:r w:rsidR="00B86D29">
              <w:rPr>
                <w:noProof/>
                <w:webHidden/>
              </w:rPr>
              <w:tab/>
            </w:r>
            <w:r w:rsidR="00B86D29">
              <w:rPr>
                <w:noProof/>
                <w:webHidden/>
              </w:rPr>
              <w:fldChar w:fldCharType="begin"/>
            </w:r>
            <w:r w:rsidR="00B86D29">
              <w:rPr>
                <w:noProof/>
                <w:webHidden/>
              </w:rPr>
              <w:instrText xml:space="preserve"> PAGEREF _Toc455474491 \h </w:instrText>
            </w:r>
            <w:r w:rsidR="00B86D29">
              <w:rPr>
                <w:noProof/>
                <w:webHidden/>
              </w:rPr>
            </w:r>
            <w:r w:rsidR="00B86D29">
              <w:rPr>
                <w:noProof/>
                <w:webHidden/>
              </w:rPr>
              <w:fldChar w:fldCharType="separate"/>
            </w:r>
            <w:r w:rsidR="00B86D29">
              <w:rPr>
                <w:noProof/>
                <w:webHidden/>
              </w:rPr>
              <w:t>26</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92" w:history="1">
            <w:r w:rsidR="00B86D29" w:rsidRPr="0062118B">
              <w:rPr>
                <w:rStyle w:val="Hyperlink"/>
                <w:noProof/>
              </w:rPr>
              <w:t>Nonclinical summary and conclusions</w:t>
            </w:r>
            <w:r w:rsidR="00B86D29">
              <w:rPr>
                <w:noProof/>
                <w:webHidden/>
              </w:rPr>
              <w:tab/>
            </w:r>
            <w:r w:rsidR="00B86D29">
              <w:rPr>
                <w:noProof/>
                <w:webHidden/>
              </w:rPr>
              <w:fldChar w:fldCharType="begin"/>
            </w:r>
            <w:r w:rsidR="00B86D29">
              <w:rPr>
                <w:noProof/>
                <w:webHidden/>
              </w:rPr>
              <w:instrText xml:space="preserve"> PAGEREF _Toc455474492 \h </w:instrText>
            </w:r>
            <w:r w:rsidR="00B86D29">
              <w:rPr>
                <w:noProof/>
                <w:webHidden/>
              </w:rPr>
            </w:r>
            <w:r w:rsidR="00B86D29">
              <w:rPr>
                <w:noProof/>
                <w:webHidden/>
              </w:rPr>
              <w:fldChar w:fldCharType="separate"/>
            </w:r>
            <w:r w:rsidR="00B86D29">
              <w:rPr>
                <w:noProof/>
                <w:webHidden/>
              </w:rPr>
              <w:t>34</w:t>
            </w:r>
            <w:r w:rsidR="00B86D29">
              <w:rPr>
                <w:noProof/>
                <w:webHidden/>
              </w:rPr>
              <w:fldChar w:fldCharType="end"/>
            </w:r>
          </w:hyperlink>
        </w:p>
        <w:p w:rsidR="00B86D29" w:rsidRDefault="00BC2A9D">
          <w:pPr>
            <w:pStyle w:val="TOC2"/>
            <w:rPr>
              <w:rFonts w:asciiTheme="minorHAnsi" w:eastAsiaTheme="minorEastAsia" w:hAnsiTheme="minorHAnsi" w:cstheme="minorBidi"/>
              <w:b w:val="0"/>
              <w:noProof/>
              <w:sz w:val="22"/>
              <w:lang w:eastAsia="en-AU"/>
            </w:rPr>
          </w:pPr>
          <w:hyperlink w:anchor="_Toc455474493" w:history="1">
            <w:r w:rsidR="00B86D29" w:rsidRPr="0062118B">
              <w:rPr>
                <w:rStyle w:val="Hyperlink"/>
                <w:noProof/>
              </w:rPr>
              <w:t>IV. Clinical findings</w:t>
            </w:r>
            <w:r w:rsidR="00B86D29">
              <w:rPr>
                <w:noProof/>
                <w:webHidden/>
              </w:rPr>
              <w:tab/>
            </w:r>
            <w:r w:rsidR="00B86D29">
              <w:rPr>
                <w:noProof/>
                <w:webHidden/>
              </w:rPr>
              <w:fldChar w:fldCharType="begin"/>
            </w:r>
            <w:r w:rsidR="00B86D29">
              <w:rPr>
                <w:noProof/>
                <w:webHidden/>
              </w:rPr>
              <w:instrText xml:space="preserve"> PAGEREF _Toc455474493 \h </w:instrText>
            </w:r>
            <w:r w:rsidR="00B86D29">
              <w:rPr>
                <w:noProof/>
                <w:webHidden/>
              </w:rPr>
            </w:r>
            <w:r w:rsidR="00B86D29">
              <w:rPr>
                <w:noProof/>
                <w:webHidden/>
              </w:rPr>
              <w:fldChar w:fldCharType="separate"/>
            </w:r>
            <w:r w:rsidR="00B86D29">
              <w:rPr>
                <w:noProof/>
                <w:webHidden/>
              </w:rPr>
              <w:t>37</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94" w:history="1">
            <w:r w:rsidR="00B86D29" w:rsidRPr="0062118B">
              <w:rPr>
                <w:rStyle w:val="Hyperlink"/>
                <w:noProof/>
              </w:rPr>
              <w:t>Clinical rationale</w:t>
            </w:r>
            <w:r w:rsidR="00B86D29">
              <w:rPr>
                <w:noProof/>
                <w:webHidden/>
              </w:rPr>
              <w:tab/>
            </w:r>
            <w:r w:rsidR="00B86D29">
              <w:rPr>
                <w:noProof/>
                <w:webHidden/>
              </w:rPr>
              <w:fldChar w:fldCharType="begin"/>
            </w:r>
            <w:r w:rsidR="00B86D29">
              <w:rPr>
                <w:noProof/>
                <w:webHidden/>
              </w:rPr>
              <w:instrText xml:space="preserve"> PAGEREF _Toc455474494 \h </w:instrText>
            </w:r>
            <w:r w:rsidR="00B86D29">
              <w:rPr>
                <w:noProof/>
                <w:webHidden/>
              </w:rPr>
            </w:r>
            <w:r w:rsidR="00B86D29">
              <w:rPr>
                <w:noProof/>
                <w:webHidden/>
              </w:rPr>
              <w:fldChar w:fldCharType="separate"/>
            </w:r>
            <w:r w:rsidR="00B86D29">
              <w:rPr>
                <w:noProof/>
                <w:webHidden/>
              </w:rPr>
              <w:t>37</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95" w:history="1">
            <w:r w:rsidR="00B86D29" w:rsidRPr="0062118B">
              <w:rPr>
                <w:rStyle w:val="Hyperlink"/>
                <w:noProof/>
              </w:rPr>
              <w:t>Pharmacokinetics</w:t>
            </w:r>
            <w:r w:rsidR="00B86D29">
              <w:rPr>
                <w:noProof/>
                <w:webHidden/>
              </w:rPr>
              <w:tab/>
            </w:r>
            <w:r w:rsidR="00B86D29">
              <w:rPr>
                <w:noProof/>
                <w:webHidden/>
              </w:rPr>
              <w:fldChar w:fldCharType="begin"/>
            </w:r>
            <w:r w:rsidR="00B86D29">
              <w:rPr>
                <w:noProof/>
                <w:webHidden/>
              </w:rPr>
              <w:instrText xml:space="preserve"> PAGEREF _Toc455474495 \h </w:instrText>
            </w:r>
            <w:r w:rsidR="00B86D29">
              <w:rPr>
                <w:noProof/>
                <w:webHidden/>
              </w:rPr>
            </w:r>
            <w:r w:rsidR="00B86D29">
              <w:rPr>
                <w:noProof/>
                <w:webHidden/>
              </w:rPr>
              <w:fldChar w:fldCharType="separate"/>
            </w:r>
            <w:r w:rsidR="00B86D29">
              <w:rPr>
                <w:noProof/>
                <w:webHidden/>
              </w:rPr>
              <w:t>38</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96" w:history="1">
            <w:r w:rsidR="00B86D29" w:rsidRPr="0062118B">
              <w:rPr>
                <w:rStyle w:val="Hyperlink"/>
                <w:noProof/>
              </w:rPr>
              <w:t>Pharmacodynamics</w:t>
            </w:r>
            <w:r w:rsidR="00B86D29">
              <w:rPr>
                <w:noProof/>
                <w:webHidden/>
              </w:rPr>
              <w:tab/>
            </w:r>
            <w:r w:rsidR="00B86D29">
              <w:rPr>
                <w:noProof/>
                <w:webHidden/>
              </w:rPr>
              <w:fldChar w:fldCharType="begin"/>
            </w:r>
            <w:r w:rsidR="00B86D29">
              <w:rPr>
                <w:noProof/>
                <w:webHidden/>
              </w:rPr>
              <w:instrText xml:space="preserve"> PAGEREF _Toc455474496 \h </w:instrText>
            </w:r>
            <w:r w:rsidR="00B86D29">
              <w:rPr>
                <w:noProof/>
                <w:webHidden/>
              </w:rPr>
            </w:r>
            <w:r w:rsidR="00B86D29">
              <w:rPr>
                <w:noProof/>
                <w:webHidden/>
              </w:rPr>
              <w:fldChar w:fldCharType="separate"/>
            </w:r>
            <w:r w:rsidR="00B86D29">
              <w:rPr>
                <w:noProof/>
                <w:webHidden/>
              </w:rPr>
              <w:t>40</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97" w:history="1">
            <w:r w:rsidR="00B86D29" w:rsidRPr="0062118B">
              <w:rPr>
                <w:rStyle w:val="Hyperlink"/>
                <w:noProof/>
              </w:rPr>
              <w:t>Dosage selection for the pivotal studies</w:t>
            </w:r>
            <w:r w:rsidR="00B86D29">
              <w:rPr>
                <w:noProof/>
                <w:webHidden/>
              </w:rPr>
              <w:tab/>
            </w:r>
            <w:r w:rsidR="00B86D29">
              <w:rPr>
                <w:noProof/>
                <w:webHidden/>
              </w:rPr>
              <w:fldChar w:fldCharType="begin"/>
            </w:r>
            <w:r w:rsidR="00B86D29">
              <w:rPr>
                <w:noProof/>
                <w:webHidden/>
              </w:rPr>
              <w:instrText xml:space="preserve"> PAGEREF _Toc455474497 \h </w:instrText>
            </w:r>
            <w:r w:rsidR="00B86D29">
              <w:rPr>
                <w:noProof/>
                <w:webHidden/>
              </w:rPr>
            </w:r>
            <w:r w:rsidR="00B86D29">
              <w:rPr>
                <w:noProof/>
                <w:webHidden/>
              </w:rPr>
              <w:fldChar w:fldCharType="separate"/>
            </w:r>
            <w:r w:rsidR="00B86D29">
              <w:rPr>
                <w:noProof/>
                <w:webHidden/>
              </w:rPr>
              <w:t>41</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98" w:history="1">
            <w:r w:rsidR="00B86D29" w:rsidRPr="0062118B">
              <w:rPr>
                <w:rStyle w:val="Hyperlink"/>
                <w:noProof/>
              </w:rPr>
              <w:t>Efficacy</w:t>
            </w:r>
            <w:r w:rsidR="00B86D29">
              <w:rPr>
                <w:noProof/>
                <w:webHidden/>
              </w:rPr>
              <w:tab/>
            </w:r>
            <w:r w:rsidR="00B86D29">
              <w:rPr>
                <w:noProof/>
                <w:webHidden/>
              </w:rPr>
              <w:fldChar w:fldCharType="begin"/>
            </w:r>
            <w:r w:rsidR="00B86D29">
              <w:rPr>
                <w:noProof/>
                <w:webHidden/>
              </w:rPr>
              <w:instrText xml:space="preserve"> PAGEREF _Toc455474498 \h </w:instrText>
            </w:r>
            <w:r w:rsidR="00B86D29">
              <w:rPr>
                <w:noProof/>
                <w:webHidden/>
              </w:rPr>
            </w:r>
            <w:r w:rsidR="00B86D29">
              <w:rPr>
                <w:noProof/>
                <w:webHidden/>
              </w:rPr>
              <w:fldChar w:fldCharType="separate"/>
            </w:r>
            <w:r w:rsidR="00B86D29">
              <w:rPr>
                <w:noProof/>
                <w:webHidden/>
              </w:rPr>
              <w:t>42</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499" w:history="1">
            <w:r w:rsidR="00B86D29" w:rsidRPr="0062118B">
              <w:rPr>
                <w:rStyle w:val="Hyperlink"/>
                <w:noProof/>
              </w:rPr>
              <w:t>Safety</w:t>
            </w:r>
            <w:r w:rsidR="00B86D29">
              <w:rPr>
                <w:noProof/>
                <w:webHidden/>
              </w:rPr>
              <w:tab/>
            </w:r>
            <w:r w:rsidR="00B86D29">
              <w:rPr>
                <w:noProof/>
                <w:webHidden/>
              </w:rPr>
              <w:fldChar w:fldCharType="begin"/>
            </w:r>
            <w:r w:rsidR="00B86D29">
              <w:rPr>
                <w:noProof/>
                <w:webHidden/>
              </w:rPr>
              <w:instrText xml:space="preserve"> PAGEREF _Toc455474499 \h </w:instrText>
            </w:r>
            <w:r w:rsidR="00B86D29">
              <w:rPr>
                <w:noProof/>
                <w:webHidden/>
              </w:rPr>
            </w:r>
            <w:r w:rsidR="00B86D29">
              <w:rPr>
                <w:noProof/>
                <w:webHidden/>
              </w:rPr>
              <w:fldChar w:fldCharType="separate"/>
            </w:r>
            <w:r w:rsidR="00B86D29">
              <w:rPr>
                <w:noProof/>
                <w:webHidden/>
              </w:rPr>
              <w:t>43</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500" w:history="1">
            <w:r w:rsidR="00B86D29" w:rsidRPr="0062118B">
              <w:rPr>
                <w:rStyle w:val="Hyperlink"/>
                <w:noProof/>
              </w:rPr>
              <w:t>First round benefit-risk assessment</w:t>
            </w:r>
            <w:r w:rsidR="00B86D29">
              <w:rPr>
                <w:noProof/>
                <w:webHidden/>
              </w:rPr>
              <w:tab/>
            </w:r>
            <w:r w:rsidR="00B86D29">
              <w:rPr>
                <w:noProof/>
                <w:webHidden/>
              </w:rPr>
              <w:fldChar w:fldCharType="begin"/>
            </w:r>
            <w:r w:rsidR="00B86D29">
              <w:rPr>
                <w:noProof/>
                <w:webHidden/>
              </w:rPr>
              <w:instrText xml:space="preserve"> PAGEREF _Toc455474500 \h </w:instrText>
            </w:r>
            <w:r w:rsidR="00B86D29">
              <w:rPr>
                <w:noProof/>
                <w:webHidden/>
              </w:rPr>
            </w:r>
            <w:r w:rsidR="00B86D29">
              <w:rPr>
                <w:noProof/>
                <w:webHidden/>
              </w:rPr>
              <w:fldChar w:fldCharType="separate"/>
            </w:r>
            <w:r w:rsidR="00B86D29">
              <w:rPr>
                <w:noProof/>
                <w:webHidden/>
              </w:rPr>
              <w:t>46</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501" w:history="1">
            <w:r w:rsidR="00B86D29" w:rsidRPr="0062118B">
              <w:rPr>
                <w:rStyle w:val="Hyperlink"/>
                <w:noProof/>
              </w:rPr>
              <w:t>First round recommendation regarding authorisation</w:t>
            </w:r>
            <w:r w:rsidR="00B86D29">
              <w:rPr>
                <w:noProof/>
                <w:webHidden/>
              </w:rPr>
              <w:tab/>
            </w:r>
            <w:r w:rsidR="00B86D29">
              <w:rPr>
                <w:noProof/>
                <w:webHidden/>
              </w:rPr>
              <w:fldChar w:fldCharType="begin"/>
            </w:r>
            <w:r w:rsidR="00B86D29">
              <w:rPr>
                <w:noProof/>
                <w:webHidden/>
              </w:rPr>
              <w:instrText xml:space="preserve"> PAGEREF _Toc455474501 \h </w:instrText>
            </w:r>
            <w:r w:rsidR="00B86D29">
              <w:rPr>
                <w:noProof/>
                <w:webHidden/>
              </w:rPr>
            </w:r>
            <w:r w:rsidR="00B86D29">
              <w:rPr>
                <w:noProof/>
                <w:webHidden/>
              </w:rPr>
              <w:fldChar w:fldCharType="separate"/>
            </w:r>
            <w:r w:rsidR="00B86D29">
              <w:rPr>
                <w:noProof/>
                <w:webHidden/>
              </w:rPr>
              <w:t>48</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502" w:history="1">
            <w:r w:rsidR="00B86D29" w:rsidRPr="0062118B">
              <w:rPr>
                <w:rStyle w:val="Hyperlink"/>
                <w:noProof/>
              </w:rPr>
              <w:t>Clinical questions</w:t>
            </w:r>
            <w:r w:rsidR="00B86D29">
              <w:rPr>
                <w:noProof/>
                <w:webHidden/>
              </w:rPr>
              <w:tab/>
            </w:r>
            <w:r w:rsidR="00B86D29">
              <w:rPr>
                <w:noProof/>
                <w:webHidden/>
              </w:rPr>
              <w:fldChar w:fldCharType="begin"/>
            </w:r>
            <w:r w:rsidR="00B86D29">
              <w:rPr>
                <w:noProof/>
                <w:webHidden/>
              </w:rPr>
              <w:instrText xml:space="preserve"> PAGEREF _Toc455474502 \h </w:instrText>
            </w:r>
            <w:r w:rsidR="00B86D29">
              <w:rPr>
                <w:noProof/>
                <w:webHidden/>
              </w:rPr>
            </w:r>
            <w:r w:rsidR="00B86D29">
              <w:rPr>
                <w:noProof/>
                <w:webHidden/>
              </w:rPr>
              <w:fldChar w:fldCharType="separate"/>
            </w:r>
            <w:r w:rsidR="00B86D29">
              <w:rPr>
                <w:noProof/>
                <w:webHidden/>
              </w:rPr>
              <w:t>48</w:t>
            </w:r>
            <w:r w:rsidR="00B86D29">
              <w:rPr>
                <w:noProof/>
                <w:webHidden/>
              </w:rPr>
              <w:fldChar w:fldCharType="end"/>
            </w:r>
          </w:hyperlink>
        </w:p>
        <w:p w:rsidR="00B86D29" w:rsidRDefault="00BC2A9D">
          <w:pPr>
            <w:pStyle w:val="TOC2"/>
            <w:rPr>
              <w:rFonts w:asciiTheme="minorHAnsi" w:eastAsiaTheme="minorEastAsia" w:hAnsiTheme="minorHAnsi" w:cstheme="minorBidi"/>
              <w:b w:val="0"/>
              <w:noProof/>
              <w:sz w:val="22"/>
              <w:lang w:eastAsia="en-AU"/>
            </w:rPr>
          </w:pPr>
          <w:hyperlink w:anchor="_Toc455474503" w:history="1">
            <w:r w:rsidR="00B86D29" w:rsidRPr="0062118B">
              <w:rPr>
                <w:rStyle w:val="Hyperlink"/>
                <w:noProof/>
              </w:rPr>
              <w:t>V. Pharmacovigilance findings</w:t>
            </w:r>
            <w:r w:rsidR="00B86D29">
              <w:rPr>
                <w:noProof/>
                <w:webHidden/>
              </w:rPr>
              <w:tab/>
            </w:r>
            <w:r w:rsidR="00B86D29">
              <w:rPr>
                <w:noProof/>
                <w:webHidden/>
              </w:rPr>
              <w:fldChar w:fldCharType="begin"/>
            </w:r>
            <w:r w:rsidR="00B86D29">
              <w:rPr>
                <w:noProof/>
                <w:webHidden/>
              </w:rPr>
              <w:instrText xml:space="preserve"> PAGEREF _Toc455474503 \h </w:instrText>
            </w:r>
            <w:r w:rsidR="00B86D29">
              <w:rPr>
                <w:noProof/>
                <w:webHidden/>
              </w:rPr>
            </w:r>
            <w:r w:rsidR="00B86D29">
              <w:rPr>
                <w:noProof/>
                <w:webHidden/>
              </w:rPr>
              <w:fldChar w:fldCharType="separate"/>
            </w:r>
            <w:r w:rsidR="00B86D29">
              <w:rPr>
                <w:noProof/>
                <w:webHidden/>
              </w:rPr>
              <w:t>48</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504" w:history="1">
            <w:r w:rsidR="00B86D29" w:rsidRPr="0062118B">
              <w:rPr>
                <w:rStyle w:val="Hyperlink"/>
                <w:noProof/>
                <w:lang w:eastAsia="en-AU"/>
              </w:rPr>
              <w:t>Risk management plan</w:t>
            </w:r>
            <w:r w:rsidR="00B86D29">
              <w:rPr>
                <w:noProof/>
                <w:webHidden/>
              </w:rPr>
              <w:tab/>
            </w:r>
            <w:r w:rsidR="00B86D29">
              <w:rPr>
                <w:noProof/>
                <w:webHidden/>
              </w:rPr>
              <w:fldChar w:fldCharType="begin"/>
            </w:r>
            <w:r w:rsidR="00B86D29">
              <w:rPr>
                <w:noProof/>
                <w:webHidden/>
              </w:rPr>
              <w:instrText xml:space="preserve"> PAGEREF _Toc455474504 \h </w:instrText>
            </w:r>
            <w:r w:rsidR="00B86D29">
              <w:rPr>
                <w:noProof/>
                <w:webHidden/>
              </w:rPr>
            </w:r>
            <w:r w:rsidR="00B86D29">
              <w:rPr>
                <w:noProof/>
                <w:webHidden/>
              </w:rPr>
              <w:fldChar w:fldCharType="separate"/>
            </w:r>
            <w:r w:rsidR="00B86D29">
              <w:rPr>
                <w:noProof/>
                <w:webHidden/>
              </w:rPr>
              <w:t>48</w:t>
            </w:r>
            <w:r w:rsidR="00B86D29">
              <w:rPr>
                <w:noProof/>
                <w:webHidden/>
              </w:rPr>
              <w:fldChar w:fldCharType="end"/>
            </w:r>
          </w:hyperlink>
        </w:p>
        <w:p w:rsidR="00B86D29" w:rsidRDefault="00BC2A9D">
          <w:pPr>
            <w:pStyle w:val="TOC2"/>
            <w:rPr>
              <w:rFonts w:asciiTheme="minorHAnsi" w:eastAsiaTheme="minorEastAsia" w:hAnsiTheme="minorHAnsi" w:cstheme="minorBidi"/>
              <w:b w:val="0"/>
              <w:noProof/>
              <w:sz w:val="22"/>
              <w:lang w:eastAsia="en-AU"/>
            </w:rPr>
          </w:pPr>
          <w:hyperlink w:anchor="_Toc455474505" w:history="1">
            <w:r w:rsidR="00B86D29" w:rsidRPr="0062118B">
              <w:rPr>
                <w:rStyle w:val="Hyperlink"/>
                <w:noProof/>
              </w:rPr>
              <w:t>VI. Overall conclusion and risk/benefit assessment</w:t>
            </w:r>
            <w:r w:rsidR="00B86D29">
              <w:rPr>
                <w:noProof/>
                <w:webHidden/>
              </w:rPr>
              <w:tab/>
            </w:r>
            <w:r w:rsidR="00B86D29">
              <w:rPr>
                <w:noProof/>
                <w:webHidden/>
              </w:rPr>
              <w:fldChar w:fldCharType="begin"/>
            </w:r>
            <w:r w:rsidR="00B86D29">
              <w:rPr>
                <w:noProof/>
                <w:webHidden/>
              </w:rPr>
              <w:instrText xml:space="preserve"> PAGEREF _Toc455474505 \h </w:instrText>
            </w:r>
            <w:r w:rsidR="00B86D29">
              <w:rPr>
                <w:noProof/>
                <w:webHidden/>
              </w:rPr>
            </w:r>
            <w:r w:rsidR="00B86D29">
              <w:rPr>
                <w:noProof/>
                <w:webHidden/>
              </w:rPr>
              <w:fldChar w:fldCharType="separate"/>
            </w:r>
            <w:r w:rsidR="00B86D29">
              <w:rPr>
                <w:noProof/>
                <w:webHidden/>
              </w:rPr>
              <w:t>54</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506" w:history="1">
            <w:r w:rsidR="00B86D29" w:rsidRPr="0062118B">
              <w:rPr>
                <w:rStyle w:val="Hyperlink"/>
                <w:noProof/>
              </w:rPr>
              <w:t>Quality</w:t>
            </w:r>
            <w:r w:rsidR="00B86D29">
              <w:rPr>
                <w:noProof/>
                <w:webHidden/>
              </w:rPr>
              <w:tab/>
            </w:r>
            <w:r w:rsidR="00B86D29">
              <w:rPr>
                <w:noProof/>
                <w:webHidden/>
              </w:rPr>
              <w:fldChar w:fldCharType="begin"/>
            </w:r>
            <w:r w:rsidR="00B86D29">
              <w:rPr>
                <w:noProof/>
                <w:webHidden/>
              </w:rPr>
              <w:instrText xml:space="preserve"> PAGEREF _Toc455474506 \h </w:instrText>
            </w:r>
            <w:r w:rsidR="00B86D29">
              <w:rPr>
                <w:noProof/>
                <w:webHidden/>
              </w:rPr>
            </w:r>
            <w:r w:rsidR="00B86D29">
              <w:rPr>
                <w:noProof/>
                <w:webHidden/>
              </w:rPr>
              <w:fldChar w:fldCharType="separate"/>
            </w:r>
            <w:r w:rsidR="00B86D29">
              <w:rPr>
                <w:noProof/>
                <w:webHidden/>
              </w:rPr>
              <w:t>54</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507" w:history="1">
            <w:r w:rsidR="00B86D29" w:rsidRPr="0062118B">
              <w:rPr>
                <w:rStyle w:val="Hyperlink"/>
                <w:noProof/>
              </w:rPr>
              <w:t>Nonclinical</w:t>
            </w:r>
            <w:r w:rsidR="00B86D29">
              <w:rPr>
                <w:noProof/>
                <w:webHidden/>
              </w:rPr>
              <w:tab/>
            </w:r>
            <w:r w:rsidR="00B86D29">
              <w:rPr>
                <w:noProof/>
                <w:webHidden/>
              </w:rPr>
              <w:fldChar w:fldCharType="begin"/>
            </w:r>
            <w:r w:rsidR="00B86D29">
              <w:rPr>
                <w:noProof/>
                <w:webHidden/>
              </w:rPr>
              <w:instrText xml:space="preserve"> PAGEREF _Toc455474507 \h </w:instrText>
            </w:r>
            <w:r w:rsidR="00B86D29">
              <w:rPr>
                <w:noProof/>
                <w:webHidden/>
              </w:rPr>
            </w:r>
            <w:r w:rsidR="00B86D29">
              <w:rPr>
                <w:noProof/>
                <w:webHidden/>
              </w:rPr>
              <w:fldChar w:fldCharType="separate"/>
            </w:r>
            <w:r w:rsidR="00B86D29">
              <w:rPr>
                <w:noProof/>
                <w:webHidden/>
              </w:rPr>
              <w:t>54</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508" w:history="1">
            <w:r w:rsidR="00B86D29" w:rsidRPr="0062118B">
              <w:rPr>
                <w:rStyle w:val="Hyperlink"/>
                <w:noProof/>
              </w:rPr>
              <w:t>Clinical</w:t>
            </w:r>
            <w:r w:rsidR="00B86D29">
              <w:rPr>
                <w:noProof/>
                <w:webHidden/>
              </w:rPr>
              <w:tab/>
            </w:r>
            <w:r w:rsidR="00B86D29">
              <w:rPr>
                <w:noProof/>
                <w:webHidden/>
              </w:rPr>
              <w:fldChar w:fldCharType="begin"/>
            </w:r>
            <w:r w:rsidR="00B86D29">
              <w:rPr>
                <w:noProof/>
                <w:webHidden/>
              </w:rPr>
              <w:instrText xml:space="preserve"> PAGEREF _Toc455474508 \h </w:instrText>
            </w:r>
            <w:r w:rsidR="00B86D29">
              <w:rPr>
                <w:noProof/>
                <w:webHidden/>
              </w:rPr>
            </w:r>
            <w:r w:rsidR="00B86D29">
              <w:rPr>
                <w:noProof/>
                <w:webHidden/>
              </w:rPr>
              <w:fldChar w:fldCharType="separate"/>
            </w:r>
            <w:r w:rsidR="00B86D29">
              <w:rPr>
                <w:noProof/>
                <w:webHidden/>
              </w:rPr>
              <w:t>55</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509" w:history="1">
            <w:r w:rsidR="00B86D29" w:rsidRPr="0062118B">
              <w:rPr>
                <w:rStyle w:val="Hyperlink"/>
                <w:noProof/>
                <w:lang w:eastAsia="en-AU"/>
              </w:rPr>
              <w:t>Risk management plan</w:t>
            </w:r>
            <w:r w:rsidR="00B86D29">
              <w:rPr>
                <w:noProof/>
                <w:webHidden/>
              </w:rPr>
              <w:tab/>
            </w:r>
            <w:r w:rsidR="00B86D29">
              <w:rPr>
                <w:noProof/>
                <w:webHidden/>
              </w:rPr>
              <w:fldChar w:fldCharType="begin"/>
            </w:r>
            <w:r w:rsidR="00B86D29">
              <w:rPr>
                <w:noProof/>
                <w:webHidden/>
              </w:rPr>
              <w:instrText xml:space="preserve"> PAGEREF _Toc455474509 \h </w:instrText>
            </w:r>
            <w:r w:rsidR="00B86D29">
              <w:rPr>
                <w:noProof/>
                <w:webHidden/>
              </w:rPr>
            </w:r>
            <w:r w:rsidR="00B86D29">
              <w:rPr>
                <w:noProof/>
                <w:webHidden/>
              </w:rPr>
              <w:fldChar w:fldCharType="separate"/>
            </w:r>
            <w:r w:rsidR="00B86D29">
              <w:rPr>
                <w:noProof/>
                <w:webHidden/>
              </w:rPr>
              <w:t>69</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510" w:history="1">
            <w:r w:rsidR="00B86D29" w:rsidRPr="0062118B">
              <w:rPr>
                <w:rStyle w:val="Hyperlink"/>
                <w:noProof/>
              </w:rPr>
              <w:t>Risk-benefit analysis</w:t>
            </w:r>
            <w:r w:rsidR="00B86D29">
              <w:rPr>
                <w:noProof/>
                <w:webHidden/>
              </w:rPr>
              <w:tab/>
            </w:r>
            <w:r w:rsidR="00B86D29">
              <w:rPr>
                <w:noProof/>
                <w:webHidden/>
              </w:rPr>
              <w:fldChar w:fldCharType="begin"/>
            </w:r>
            <w:r w:rsidR="00B86D29">
              <w:rPr>
                <w:noProof/>
                <w:webHidden/>
              </w:rPr>
              <w:instrText xml:space="preserve"> PAGEREF _Toc455474510 \h </w:instrText>
            </w:r>
            <w:r w:rsidR="00B86D29">
              <w:rPr>
                <w:noProof/>
                <w:webHidden/>
              </w:rPr>
            </w:r>
            <w:r w:rsidR="00B86D29">
              <w:rPr>
                <w:noProof/>
                <w:webHidden/>
              </w:rPr>
              <w:fldChar w:fldCharType="separate"/>
            </w:r>
            <w:r w:rsidR="00B86D29">
              <w:rPr>
                <w:noProof/>
                <w:webHidden/>
              </w:rPr>
              <w:t>70</w:t>
            </w:r>
            <w:r w:rsidR="00B86D29">
              <w:rPr>
                <w:noProof/>
                <w:webHidden/>
              </w:rPr>
              <w:fldChar w:fldCharType="end"/>
            </w:r>
          </w:hyperlink>
        </w:p>
        <w:p w:rsidR="00B86D29" w:rsidRDefault="00BC2A9D">
          <w:pPr>
            <w:pStyle w:val="TOC3"/>
            <w:rPr>
              <w:rFonts w:asciiTheme="minorHAnsi" w:eastAsiaTheme="minorEastAsia" w:hAnsiTheme="minorHAnsi" w:cstheme="minorBidi"/>
              <w:noProof/>
              <w:lang w:eastAsia="en-AU"/>
            </w:rPr>
          </w:pPr>
          <w:hyperlink w:anchor="_Toc455474511" w:history="1">
            <w:r w:rsidR="00B86D29" w:rsidRPr="0062118B">
              <w:rPr>
                <w:rStyle w:val="Hyperlink"/>
                <w:noProof/>
              </w:rPr>
              <w:t>Outcome</w:t>
            </w:r>
            <w:r w:rsidR="00B86D29">
              <w:rPr>
                <w:noProof/>
                <w:webHidden/>
              </w:rPr>
              <w:tab/>
            </w:r>
            <w:r w:rsidR="00B86D29">
              <w:rPr>
                <w:noProof/>
                <w:webHidden/>
              </w:rPr>
              <w:fldChar w:fldCharType="begin"/>
            </w:r>
            <w:r w:rsidR="00B86D29">
              <w:rPr>
                <w:noProof/>
                <w:webHidden/>
              </w:rPr>
              <w:instrText xml:space="preserve"> PAGEREF _Toc455474511 \h </w:instrText>
            </w:r>
            <w:r w:rsidR="00B86D29">
              <w:rPr>
                <w:noProof/>
                <w:webHidden/>
              </w:rPr>
            </w:r>
            <w:r w:rsidR="00B86D29">
              <w:rPr>
                <w:noProof/>
                <w:webHidden/>
              </w:rPr>
              <w:fldChar w:fldCharType="separate"/>
            </w:r>
            <w:r w:rsidR="00B86D29">
              <w:rPr>
                <w:noProof/>
                <w:webHidden/>
              </w:rPr>
              <w:t>78</w:t>
            </w:r>
            <w:r w:rsidR="00B86D29">
              <w:rPr>
                <w:noProof/>
                <w:webHidden/>
              </w:rPr>
              <w:fldChar w:fldCharType="end"/>
            </w:r>
          </w:hyperlink>
        </w:p>
        <w:p w:rsidR="00B86D29" w:rsidRDefault="00BC2A9D">
          <w:pPr>
            <w:pStyle w:val="TOC2"/>
            <w:rPr>
              <w:rFonts w:asciiTheme="minorHAnsi" w:eastAsiaTheme="minorEastAsia" w:hAnsiTheme="minorHAnsi" w:cstheme="minorBidi"/>
              <w:b w:val="0"/>
              <w:noProof/>
              <w:sz w:val="22"/>
              <w:lang w:eastAsia="en-AU"/>
            </w:rPr>
          </w:pPr>
          <w:hyperlink w:anchor="_Toc455474512" w:history="1">
            <w:r w:rsidR="00B86D29" w:rsidRPr="0062118B">
              <w:rPr>
                <w:rStyle w:val="Hyperlink"/>
                <w:noProof/>
              </w:rPr>
              <w:t>Attachment 1. Product Information</w:t>
            </w:r>
            <w:r w:rsidR="00B86D29">
              <w:rPr>
                <w:noProof/>
                <w:webHidden/>
              </w:rPr>
              <w:tab/>
            </w:r>
            <w:r w:rsidR="00B86D29">
              <w:rPr>
                <w:noProof/>
                <w:webHidden/>
              </w:rPr>
              <w:fldChar w:fldCharType="begin"/>
            </w:r>
            <w:r w:rsidR="00B86D29">
              <w:rPr>
                <w:noProof/>
                <w:webHidden/>
              </w:rPr>
              <w:instrText xml:space="preserve"> PAGEREF _Toc455474512 \h </w:instrText>
            </w:r>
            <w:r w:rsidR="00B86D29">
              <w:rPr>
                <w:noProof/>
                <w:webHidden/>
              </w:rPr>
            </w:r>
            <w:r w:rsidR="00B86D29">
              <w:rPr>
                <w:noProof/>
                <w:webHidden/>
              </w:rPr>
              <w:fldChar w:fldCharType="separate"/>
            </w:r>
            <w:r w:rsidR="00B86D29">
              <w:rPr>
                <w:noProof/>
                <w:webHidden/>
              </w:rPr>
              <w:t>78</w:t>
            </w:r>
            <w:r w:rsidR="00B86D29">
              <w:rPr>
                <w:noProof/>
                <w:webHidden/>
              </w:rPr>
              <w:fldChar w:fldCharType="end"/>
            </w:r>
          </w:hyperlink>
        </w:p>
        <w:p w:rsidR="00B86D29" w:rsidRDefault="00BC2A9D">
          <w:pPr>
            <w:pStyle w:val="TOC2"/>
            <w:rPr>
              <w:rFonts w:asciiTheme="minorHAnsi" w:eastAsiaTheme="minorEastAsia" w:hAnsiTheme="minorHAnsi" w:cstheme="minorBidi"/>
              <w:b w:val="0"/>
              <w:noProof/>
              <w:sz w:val="22"/>
              <w:lang w:eastAsia="en-AU"/>
            </w:rPr>
          </w:pPr>
          <w:hyperlink w:anchor="_Toc455474513" w:history="1">
            <w:r w:rsidR="00B86D29" w:rsidRPr="0062118B">
              <w:rPr>
                <w:rStyle w:val="Hyperlink"/>
                <w:noProof/>
                <w:lang w:eastAsia="en-AU"/>
              </w:rPr>
              <w:t>Attachment 2. Extract from the Clinical Evaluation Report</w:t>
            </w:r>
            <w:r w:rsidR="00B86D29">
              <w:rPr>
                <w:noProof/>
                <w:webHidden/>
              </w:rPr>
              <w:tab/>
            </w:r>
            <w:r w:rsidR="00B86D29">
              <w:rPr>
                <w:noProof/>
                <w:webHidden/>
              </w:rPr>
              <w:fldChar w:fldCharType="begin"/>
            </w:r>
            <w:r w:rsidR="00B86D29">
              <w:rPr>
                <w:noProof/>
                <w:webHidden/>
              </w:rPr>
              <w:instrText xml:space="preserve"> PAGEREF _Toc455474513 \h </w:instrText>
            </w:r>
            <w:r w:rsidR="00B86D29">
              <w:rPr>
                <w:noProof/>
                <w:webHidden/>
              </w:rPr>
            </w:r>
            <w:r w:rsidR="00B86D29">
              <w:rPr>
                <w:noProof/>
                <w:webHidden/>
              </w:rPr>
              <w:fldChar w:fldCharType="separate"/>
            </w:r>
            <w:r w:rsidR="00B86D29">
              <w:rPr>
                <w:noProof/>
                <w:webHidden/>
              </w:rPr>
              <w:t>79</w:t>
            </w:r>
            <w:r w:rsidR="00B86D29">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Pr="00FD119B" w:rsidRDefault="00441C3F" w:rsidP="004712C5">
      <w:pPr>
        <w:pStyle w:val="Heading2"/>
        <w:pageBreakBefore/>
        <w:spacing w:before="240"/>
      </w:pPr>
      <w:bookmarkStart w:id="4" w:name="_Toc351716269"/>
      <w:bookmarkStart w:id="5" w:name="_Toc351718881"/>
      <w:bookmarkStart w:id="6" w:name="_Toc355338616"/>
      <w:bookmarkStart w:id="7" w:name="_Toc356306144"/>
      <w:bookmarkStart w:id="8" w:name="_Toc455474475"/>
      <w:r>
        <w:lastRenderedPageBreak/>
        <w:t>Common</w:t>
      </w:r>
      <w:r w:rsidR="00FD119B" w:rsidRPr="00FD119B">
        <w:t xml:space="preserve"> abbreviations</w:t>
      </w:r>
      <w:bookmarkEnd w:id="4"/>
      <w:bookmarkEnd w:id="5"/>
      <w:bookmarkEnd w:id="6"/>
      <w:bookmarkEnd w:id="7"/>
      <w:bookmarkEnd w:id="8"/>
    </w:p>
    <w:tbl>
      <w:tblPr>
        <w:tblStyle w:val="TableTGAblue"/>
        <w:tblW w:w="8801" w:type="dxa"/>
        <w:tblLook w:val="04A0" w:firstRow="1" w:lastRow="0" w:firstColumn="1" w:lastColumn="0" w:noHBand="0" w:noVBand="1"/>
      </w:tblPr>
      <w:tblGrid>
        <w:gridCol w:w="2505"/>
        <w:gridCol w:w="6296"/>
      </w:tblGrid>
      <w:tr w:rsidR="008F534F" w:rsidTr="00D609AB">
        <w:trPr>
          <w:cnfStyle w:val="100000000000" w:firstRow="1" w:lastRow="0" w:firstColumn="0" w:lastColumn="0" w:oddVBand="0" w:evenVBand="0" w:oddHBand="0" w:evenHBand="0" w:firstRowFirstColumn="0" w:firstRowLastColumn="0" w:lastRowFirstColumn="0" w:lastRowLastColumn="0"/>
        </w:trPr>
        <w:tc>
          <w:tcPr>
            <w:tcW w:w="2505" w:type="dxa"/>
          </w:tcPr>
          <w:p w:rsidR="008F534F" w:rsidRDefault="008F534F" w:rsidP="008F534F">
            <w:r>
              <w:t>Abbreviation</w:t>
            </w:r>
          </w:p>
        </w:tc>
        <w:tc>
          <w:tcPr>
            <w:tcW w:w="6296" w:type="dxa"/>
          </w:tcPr>
          <w:p w:rsidR="008F534F" w:rsidRDefault="008F534F" w:rsidP="008F534F">
            <w:r>
              <w:t>Meaning</w:t>
            </w:r>
          </w:p>
        </w:tc>
      </w:tr>
      <w:tr w:rsidR="008F534F" w:rsidTr="00D609AB">
        <w:tc>
          <w:tcPr>
            <w:tcW w:w="2505" w:type="dxa"/>
          </w:tcPr>
          <w:p w:rsidR="008F534F" w:rsidRPr="002D6889" w:rsidRDefault="008F534F" w:rsidP="008F534F">
            <w:r w:rsidRPr="002D6889">
              <w:t>AE</w:t>
            </w:r>
          </w:p>
        </w:tc>
        <w:tc>
          <w:tcPr>
            <w:tcW w:w="6296" w:type="dxa"/>
          </w:tcPr>
          <w:p w:rsidR="008F534F" w:rsidRDefault="008F534F" w:rsidP="008F534F">
            <w:r w:rsidRPr="002D6889">
              <w:t>adverse event</w:t>
            </w:r>
          </w:p>
        </w:tc>
      </w:tr>
      <w:tr w:rsidR="008F534F" w:rsidTr="00D609AB">
        <w:tc>
          <w:tcPr>
            <w:tcW w:w="2505" w:type="dxa"/>
          </w:tcPr>
          <w:p w:rsidR="008F534F" w:rsidRPr="002D6889" w:rsidRDefault="008F534F" w:rsidP="008F534F">
            <w:r w:rsidRPr="002D6889">
              <w:t>aGFR</w:t>
            </w:r>
          </w:p>
        </w:tc>
        <w:tc>
          <w:tcPr>
            <w:tcW w:w="6296" w:type="dxa"/>
          </w:tcPr>
          <w:p w:rsidR="008F534F" w:rsidRDefault="008F534F" w:rsidP="008F534F">
            <w:r w:rsidRPr="002D6889">
              <w:t>actual glomerular filtration rate</w:t>
            </w:r>
          </w:p>
        </w:tc>
      </w:tr>
      <w:tr w:rsidR="00460465" w:rsidTr="00D609AB">
        <w:tc>
          <w:tcPr>
            <w:tcW w:w="2505" w:type="dxa"/>
          </w:tcPr>
          <w:p w:rsidR="00460465" w:rsidRPr="002D6889" w:rsidRDefault="00460465" w:rsidP="008F534F">
            <w:r>
              <w:t>AhR</w:t>
            </w:r>
          </w:p>
        </w:tc>
        <w:tc>
          <w:tcPr>
            <w:tcW w:w="6296" w:type="dxa"/>
          </w:tcPr>
          <w:p w:rsidR="00460465" w:rsidRPr="002D6889" w:rsidRDefault="00460465" w:rsidP="008F534F">
            <w:r>
              <w:t>aryl hydrocarbon receptors</w:t>
            </w:r>
          </w:p>
        </w:tc>
      </w:tr>
      <w:tr w:rsidR="008F534F" w:rsidTr="00D609AB">
        <w:tc>
          <w:tcPr>
            <w:tcW w:w="2505" w:type="dxa"/>
          </w:tcPr>
          <w:p w:rsidR="008F534F" w:rsidRPr="002D6889" w:rsidRDefault="008F534F" w:rsidP="008F534F">
            <w:r w:rsidRPr="002D6889">
              <w:t>AIDS</w:t>
            </w:r>
          </w:p>
        </w:tc>
        <w:tc>
          <w:tcPr>
            <w:tcW w:w="6296" w:type="dxa"/>
          </w:tcPr>
          <w:p w:rsidR="008F534F" w:rsidRDefault="008F534F" w:rsidP="008F534F">
            <w:r w:rsidRPr="002D6889">
              <w:t>acquired immunodeficiency syndrome</w:t>
            </w:r>
          </w:p>
        </w:tc>
      </w:tr>
      <w:tr w:rsidR="0054303F" w:rsidTr="00D609AB">
        <w:tc>
          <w:tcPr>
            <w:tcW w:w="2505" w:type="dxa"/>
          </w:tcPr>
          <w:p w:rsidR="0054303F" w:rsidRPr="002D6889" w:rsidRDefault="0054303F" w:rsidP="008F534F">
            <w:r>
              <w:t>APR</w:t>
            </w:r>
          </w:p>
        </w:tc>
        <w:tc>
          <w:tcPr>
            <w:tcW w:w="6296" w:type="dxa"/>
          </w:tcPr>
          <w:p w:rsidR="0054303F" w:rsidRPr="002D6889" w:rsidRDefault="0054303F" w:rsidP="008F534F">
            <w:r w:rsidRPr="0054303F">
              <w:t>Antiret</w:t>
            </w:r>
            <w:r>
              <w:t>roviral Pregnancy Registry</w:t>
            </w:r>
          </w:p>
        </w:tc>
      </w:tr>
      <w:tr w:rsidR="008F534F" w:rsidTr="00D609AB">
        <w:tc>
          <w:tcPr>
            <w:tcW w:w="2505" w:type="dxa"/>
          </w:tcPr>
          <w:p w:rsidR="008F534F" w:rsidRPr="002D6889" w:rsidRDefault="008F534F" w:rsidP="008F534F">
            <w:r w:rsidRPr="002D6889">
              <w:t>ART</w:t>
            </w:r>
          </w:p>
        </w:tc>
        <w:tc>
          <w:tcPr>
            <w:tcW w:w="6296" w:type="dxa"/>
          </w:tcPr>
          <w:p w:rsidR="008F534F" w:rsidRDefault="008F534F" w:rsidP="008F534F">
            <w:r w:rsidRPr="00623E0B">
              <w:t>antiretroviral therapy</w:t>
            </w:r>
          </w:p>
        </w:tc>
      </w:tr>
      <w:tr w:rsidR="008F534F" w:rsidTr="00D609AB">
        <w:tc>
          <w:tcPr>
            <w:tcW w:w="2505" w:type="dxa"/>
          </w:tcPr>
          <w:p w:rsidR="008F534F" w:rsidRPr="002D6889" w:rsidRDefault="008F534F" w:rsidP="008F534F">
            <w:r w:rsidRPr="00623E0B">
              <w:t>ARV</w:t>
            </w:r>
          </w:p>
        </w:tc>
        <w:tc>
          <w:tcPr>
            <w:tcW w:w="6296" w:type="dxa"/>
          </w:tcPr>
          <w:p w:rsidR="008F534F" w:rsidRDefault="008F534F" w:rsidP="008F534F">
            <w:r w:rsidRPr="00623E0B">
              <w:t>antiretroviral</w:t>
            </w:r>
          </w:p>
        </w:tc>
      </w:tr>
      <w:tr w:rsidR="008F534F" w:rsidTr="00D609AB">
        <w:tc>
          <w:tcPr>
            <w:tcW w:w="2505" w:type="dxa"/>
          </w:tcPr>
          <w:p w:rsidR="008F534F" w:rsidRPr="002D6889" w:rsidRDefault="008F534F" w:rsidP="008F534F">
            <w:r w:rsidRPr="00623E0B">
              <w:t>ATV/co</w:t>
            </w:r>
          </w:p>
        </w:tc>
        <w:tc>
          <w:tcPr>
            <w:tcW w:w="6296" w:type="dxa"/>
          </w:tcPr>
          <w:p w:rsidR="008F534F" w:rsidRDefault="008F534F" w:rsidP="008F534F">
            <w:r w:rsidRPr="00623E0B">
              <w:t>cobicistat-boosted atazanavir</w:t>
            </w:r>
          </w:p>
        </w:tc>
      </w:tr>
      <w:tr w:rsidR="008F534F" w:rsidTr="00D609AB">
        <w:tc>
          <w:tcPr>
            <w:tcW w:w="2505" w:type="dxa"/>
          </w:tcPr>
          <w:p w:rsidR="008F534F" w:rsidRPr="002D6889" w:rsidRDefault="008F534F" w:rsidP="008F534F">
            <w:r w:rsidRPr="00623E0B">
              <w:t>ATV/r</w:t>
            </w:r>
          </w:p>
        </w:tc>
        <w:tc>
          <w:tcPr>
            <w:tcW w:w="6296" w:type="dxa"/>
          </w:tcPr>
          <w:p w:rsidR="008F534F" w:rsidRDefault="008F534F" w:rsidP="008F534F">
            <w:r w:rsidRPr="00623E0B">
              <w:t>ritonavir-boosted atazanavir</w:t>
            </w:r>
          </w:p>
        </w:tc>
      </w:tr>
      <w:tr w:rsidR="00D609AB" w:rsidTr="00D609AB">
        <w:tc>
          <w:tcPr>
            <w:tcW w:w="2505" w:type="dxa"/>
          </w:tcPr>
          <w:p w:rsidR="00D609AB" w:rsidRPr="00623E0B" w:rsidRDefault="00D609AB" w:rsidP="008F534F">
            <w:r w:rsidRPr="00D609AB">
              <w:t>AUC</w:t>
            </w:r>
            <w:r w:rsidRPr="00D609AB">
              <w:rPr>
                <w:vertAlign w:val="subscript"/>
              </w:rPr>
              <w:t>tau</w:t>
            </w:r>
          </w:p>
        </w:tc>
        <w:tc>
          <w:tcPr>
            <w:tcW w:w="6296" w:type="dxa"/>
          </w:tcPr>
          <w:p w:rsidR="00D609AB" w:rsidRPr="00623E0B" w:rsidRDefault="00D609AB" w:rsidP="008F534F">
            <w:r>
              <w:t>Area under the concentration versus time curve to the end of the dosing period</w:t>
            </w:r>
          </w:p>
        </w:tc>
      </w:tr>
      <w:tr w:rsidR="00460465" w:rsidTr="00D609AB">
        <w:tc>
          <w:tcPr>
            <w:tcW w:w="2505" w:type="dxa"/>
          </w:tcPr>
          <w:p w:rsidR="00460465" w:rsidRPr="00D609AB" w:rsidRDefault="00460465" w:rsidP="008F534F">
            <w:r>
              <w:t>BCRP</w:t>
            </w:r>
          </w:p>
        </w:tc>
        <w:tc>
          <w:tcPr>
            <w:tcW w:w="6296" w:type="dxa"/>
          </w:tcPr>
          <w:p w:rsidR="00460465" w:rsidRDefault="00460465" w:rsidP="008F534F">
            <w:r w:rsidRPr="00460465">
              <w:t>breast cancer resistance protein</w:t>
            </w:r>
          </w:p>
        </w:tc>
      </w:tr>
      <w:tr w:rsidR="008F534F" w:rsidTr="00D609AB">
        <w:tc>
          <w:tcPr>
            <w:tcW w:w="2505" w:type="dxa"/>
          </w:tcPr>
          <w:p w:rsidR="008F534F" w:rsidRPr="002D6889" w:rsidRDefault="008F534F" w:rsidP="008F534F">
            <w:r w:rsidRPr="00623E0B">
              <w:t>BMD</w:t>
            </w:r>
          </w:p>
        </w:tc>
        <w:tc>
          <w:tcPr>
            <w:tcW w:w="6296" w:type="dxa"/>
          </w:tcPr>
          <w:p w:rsidR="008F534F" w:rsidRDefault="008F534F" w:rsidP="008F534F">
            <w:r w:rsidRPr="00623E0B">
              <w:t>bone mineral density</w:t>
            </w:r>
          </w:p>
        </w:tc>
      </w:tr>
      <w:tr w:rsidR="008F534F" w:rsidTr="00D609AB">
        <w:tc>
          <w:tcPr>
            <w:tcW w:w="2505" w:type="dxa"/>
          </w:tcPr>
          <w:p w:rsidR="008F534F" w:rsidRPr="002D6889" w:rsidRDefault="008F534F" w:rsidP="008F534F">
            <w:r w:rsidRPr="00623E0B">
              <w:t>Cat A</w:t>
            </w:r>
          </w:p>
        </w:tc>
        <w:tc>
          <w:tcPr>
            <w:tcW w:w="6296" w:type="dxa"/>
          </w:tcPr>
          <w:p w:rsidR="008F534F" w:rsidRDefault="008F534F" w:rsidP="008F534F">
            <w:r w:rsidRPr="00623E0B">
              <w:t>cathepsin A</w:t>
            </w:r>
          </w:p>
        </w:tc>
      </w:tr>
      <w:tr w:rsidR="003D31CD" w:rsidTr="00D609AB">
        <w:tc>
          <w:tcPr>
            <w:tcW w:w="2505" w:type="dxa"/>
          </w:tcPr>
          <w:p w:rsidR="003D31CD" w:rsidRPr="00623E0B" w:rsidRDefault="003D31CD" w:rsidP="008F534F">
            <w:r>
              <w:t>CC50</w:t>
            </w:r>
          </w:p>
        </w:tc>
        <w:tc>
          <w:tcPr>
            <w:tcW w:w="6296" w:type="dxa"/>
          </w:tcPr>
          <w:p w:rsidR="003D31CD" w:rsidRPr="00623E0B" w:rsidRDefault="003D31CD" w:rsidP="008F534F">
            <w:r>
              <w:t>Half maximal cytotoxic concentration</w:t>
            </w:r>
          </w:p>
        </w:tc>
      </w:tr>
      <w:tr w:rsidR="008F534F" w:rsidTr="00D609AB">
        <w:tc>
          <w:tcPr>
            <w:tcW w:w="2505" w:type="dxa"/>
          </w:tcPr>
          <w:p w:rsidR="008F534F" w:rsidRPr="002D6889" w:rsidRDefault="008F534F" w:rsidP="008F534F">
            <w:r w:rsidRPr="00623E0B">
              <w:t>CD4</w:t>
            </w:r>
          </w:p>
        </w:tc>
        <w:tc>
          <w:tcPr>
            <w:tcW w:w="6296" w:type="dxa"/>
          </w:tcPr>
          <w:p w:rsidR="008F534F" w:rsidRDefault="008F534F" w:rsidP="00F227C7">
            <w:r w:rsidRPr="00623E0B">
              <w:t>cluster determinant 4</w:t>
            </w:r>
            <w:r w:rsidR="00015675">
              <w:t xml:space="preserve"> </w:t>
            </w:r>
          </w:p>
        </w:tc>
      </w:tr>
      <w:tr w:rsidR="00355657" w:rsidTr="00D609AB">
        <w:tc>
          <w:tcPr>
            <w:tcW w:w="2505" w:type="dxa"/>
          </w:tcPr>
          <w:p w:rsidR="00355657" w:rsidRPr="00623E0B" w:rsidRDefault="00355657" w:rsidP="008F534F">
            <w:r w:rsidRPr="00355657">
              <w:t>CES1</w:t>
            </w:r>
          </w:p>
        </w:tc>
        <w:tc>
          <w:tcPr>
            <w:tcW w:w="6296" w:type="dxa"/>
          </w:tcPr>
          <w:p w:rsidR="00355657" w:rsidRPr="00623E0B" w:rsidRDefault="00355657" w:rsidP="008F534F">
            <w:r w:rsidRPr="00355657">
              <w:t>carboxylesterase 1</w:t>
            </w:r>
          </w:p>
        </w:tc>
      </w:tr>
      <w:tr w:rsidR="008F534F" w:rsidTr="00D609AB">
        <w:tc>
          <w:tcPr>
            <w:tcW w:w="2505" w:type="dxa"/>
          </w:tcPr>
          <w:p w:rsidR="008F534F" w:rsidRPr="002D6889" w:rsidRDefault="008F534F" w:rsidP="008F534F">
            <w:r w:rsidRPr="00623E0B">
              <w:t>CHMP</w:t>
            </w:r>
          </w:p>
        </w:tc>
        <w:tc>
          <w:tcPr>
            <w:tcW w:w="6296" w:type="dxa"/>
          </w:tcPr>
          <w:p w:rsidR="008F534F" w:rsidRDefault="008F534F" w:rsidP="008F534F">
            <w:r w:rsidRPr="00623E0B">
              <w:t>Committee for Medicinal Products for Human Use</w:t>
            </w:r>
          </w:p>
        </w:tc>
      </w:tr>
      <w:tr w:rsidR="00840811" w:rsidTr="00D609AB">
        <w:tc>
          <w:tcPr>
            <w:tcW w:w="2505" w:type="dxa"/>
          </w:tcPr>
          <w:p w:rsidR="00840811" w:rsidRPr="00623E0B" w:rsidRDefault="00840811" w:rsidP="008F534F">
            <w:r>
              <w:t>CKD-EPI</w:t>
            </w:r>
          </w:p>
        </w:tc>
        <w:tc>
          <w:tcPr>
            <w:tcW w:w="6296" w:type="dxa"/>
          </w:tcPr>
          <w:p w:rsidR="00840811" w:rsidRPr="00623E0B" w:rsidRDefault="00840811" w:rsidP="008F534F">
            <w:r>
              <w:t>Chronic Kidney Disease epidemiology collaboration equation</w:t>
            </w:r>
          </w:p>
        </w:tc>
      </w:tr>
      <w:tr w:rsidR="008F534F" w:rsidTr="00D609AB">
        <w:tc>
          <w:tcPr>
            <w:tcW w:w="2505" w:type="dxa"/>
          </w:tcPr>
          <w:p w:rsidR="008F534F" w:rsidRPr="002D6889" w:rsidRDefault="008F534F" w:rsidP="008F534F">
            <w:r w:rsidRPr="00623E0B">
              <w:t>CI</w:t>
            </w:r>
          </w:p>
        </w:tc>
        <w:tc>
          <w:tcPr>
            <w:tcW w:w="6296" w:type="dxa"/>
          </w:tcPr>
          <w:p w:rsidR="008F534F" w:rsidRDefault="008F534F" w:rsidP="008F534F">
            <w:r w:rsidRPr="00623E0B">
              <w:t>confidence interval</w:t>
            </w:r>
          </w:p>
        </w:tc>
      </w:tr>
      <w:tr w:rsidR="00D609AB" w:rsidTr="00D609AB">
        <w:tc>
          <w:tcPr>
            <w:tcW w:w="2505" w:type="dxa"/>
          </w:tcPr>
          <w:p w:rsidR="00D609AB" w:rsidRPr="00623E0B" w:rsidRDefault="00D609AB" w:rsidP="008F534F">
            <w:r>
              <w:t>C</w:t>
            </w:r>
            <w:r w:rsidRPr="00D609AB">
              <w:rPr>
                <w:vertAlign w:val="subscript"/>
              </w:rPr>
              <w:t>max</w:t>
            </w:r>
          </w:p>
        </w:tc>
        <w:tc>
          <w:tcPr>
            <w:tcW w:w="6296" w:type="dxa"/>
          </w:tcPr>
          <w:p w:rsidR="00D609AB" w:rsidRPr="00623E0B" w:rsidRDefault="00D609AB" w:rsidP="008F534F">
            <w:r>
              <w:t>Peak plasma concentration</w:t>
            </w:r>
          </w:p>
        </w:tc>
      </w:tr>
      <w:tr w:rsidR="008F534F" w:rsidTr="00D609AB">
        <w:tc>
          <w:tcPr>
            <w:tcW w:w="2505" w:type="dxa"/>
          </w:tcPr>
          <w:p w:rsidR="008F534F" w:rsidRPr="002D6889" w:rsidRDefault="00057BBC" w:rsidP="008F534F">
            <w:r>
              <w:t>COBI</w:t>
            </w:r>
          </w:p>
        </w:tc>
        <w:tc>
          <w:tcPr>
            <w:tcW w:w="6296" w:type="dxa"/>
          </w:tcPr>
          <w:p w:rsidR="008F534F" w:rsidRDefault="008F534F" w:rsidP="008F534F">
            <w:r>
              <w:t>cobicistat (Tybost</w:t>
            </w:r>
            <w:r w:rsidRPr="00623E0B">
              <w:t>)</w:t>
            </w:r>
          </w:p>
        </w:tc>
      </w:tr>
      <w:tr w:rsidR="008359BE" w:rsidTr="00D609AB">
        <w:tc>
          <w:tcPr>
            <w:tcW w:w="2505" w:type="dxa"/>
          </w:tcPr>
          <w:p w:rsidR="008359BE" w:rsidRDefault="008359BE" w:rsidP="008F534F">
            <w:r w:rsidRPr="008359BE">
              <w:t>CsA</w:t>
            </w:r>
          </w:p>
        </w:tc>
        <w:tc>
          <w:tcPr>
            <w:tcW w:w="6296" w:type="dxa"/>
          </w:tcPr>
          <w:p w:rsidR="008359BE" w:rsidRDefault="008359BE" w:rsidP="008F534F">
            <w:r>
              <w:t>ciclosporin</w:t>
            </w:r>
          </w:p>
        </w:tc>
      </w:tr>
      <w:tr w:rsidR="00D609AB" w:rsidTr="00D609AB">
        <w:tc>
          <w:tcPr>
            <w:tcW w:w="2505" w:type="dxa"/>
          </w:tcPr>
          <w:p w:rsidR="00D609AB" w:rsidRDefault="00D609AB" w:rsidP="008F534F">
            <w:r w:rsidRPr="00D609AB">
              <w:t>C</w:t>
            </w:r>
            <w:r w:rsidRPr="00D609AB">
              <w:rPr>
                <w:vertAlign w:val="subscript"/>
              </w:rPr>
              <w:t>tau</w:t>
            </w:r>
          </w:p>
        </w:tc>
        <w:tc>
          <w:tcPr>
            <w:tcW w:w="6296" w:type="dxa"/>
          </w:tcPr>
          <w:p w:rsidR="00D609AB" w:rsidRDefault="00D609AB" w:rsidP="00D609AB">
            <w:r w:rsidRPr="00D609AB">
              <w:t>Plasma concentration at the end of the dosing period</w:t>
            </w:r>
          </w:p>
        </w:tc>
      </w:tr>
      <w:tr w:rsidR="00355657" w:rsidTr="00D609AB">
        <w:tc>
          <w:tcPr>
            <w:tcW w:w="2505" w:type="dxa"/>
          </w:tcPr>
          <w:p w:rsidR="00355657" w:rsidRPr="00D609AB" w:rsidRDefault="00355657" w:rsidP="008F534F">
            <w:r>
              <w:t>CYP</w:t>
            </w:r>
          </w:p>
        </w:tc>
        <w:tc>
          <w:tcPr>
            <w:tcW w:w="6296" w:type="dxa"/>
          </w:tcPr>
          <w:p w:rsidR="00355657" w:rsidRPr="00D609AB" w:rsidRDefault="00355657" w:rsidP="00D609AB">
            <w:r>
              <w:t>Cytochrome P450</w:t>
            </w:r>
          </w:p>
        </w:tc>
      </w:tr>
      <w:tr w:rsidR="008F534F" w:rsidTr="00D609AB">
        <w:tc>
          <w:tcPr>
            <w:tcW w:w="2505" w:type="dxa"/>
          </w:tcPr>
          <w:p w:rsidR="008F534F" w:rsidRPr="002D6889" w:rsidRDefault="008F534F" w:rsidP="008F534F">
            <w:r w:rsidRPr="00B06816">
              <w:lastRenderedPageBreak/>
              <w:t>DNA</w:t>
            </w:r>
          </w:p>
        </w:tc>
        <w:tc>
          <w:tcPr>
            <w:tcW w:w="6296" w:type="dxa"/>
          </w:tcPr>
          <w:p w:rsidR="008F534F" w:rsidRDefault="008F534F" w:rsidP="008F534F">
            <w:r w:rsidRPr="00B06816">
              <w:t>deoxyribonucleic acid</w:t>
            </w:r>
          </w:p>
        </w:tc>
      </w:tr>
      <w:tr w:rsidR="008F534F" w:rsidTr="00D609AB">
        <w:tc>
          <w:tcPr>
            <w:tcW w:w="2505" w:type="dxa"/>
          </w:tcPr>
          <w:p w:rsidR="008F534F" w:rsidRPr="002D6889" w:rsidRDefault="008F534F" w:rsidP="008F534F">
            <w:r w:rsidRPr="00B06816">
              <w:t>dNTP</w:t>
            </w:r>
          </w:p>
        </w:tc>
        <w:tc>
          <w:tcPr>
            <w:tcW w:w="6296" w:type="dxa"/>
          </w:tcPr>
          <w:p w:rsidR="008F534F" w:rsidRDefault="008F534F" w:rsidP="008F534F">
            <w:r w:rsidRPr="00B06816">
              <w:t>2' deoxynucleoside triphosphate</w:t>
            </w:r>
          </w:p>
        </w:tc>
      </w:tr>
      <w:tr w:rsidR="008F534F" w:rsidTr="00D609AB">
        <w:tc>
          <w:tcPr>
            <w:tcW w:w="2505" w:type="dxa"/>
          </w:tcPr>
          <w:p w:rsidR="008F534F" w:rsidRPr="002D6889" w:rsidRDefault="00D609AB" w:rsidP="008F534F">
            <w:r>
              <w:t>DRV</w:t>
            </w:r>
          </w:p>
        </w:tc>
        <w:tc>
          <w:tcPr>
            <w:tcW w:w="6296" w:type="dxa"/>
          </w:tcPr>
          <w:p w:rsidR="008F534F" w:rsidRDefault="008F534F" w:rsidP="008F534F">
            <w:r w:rsidRPr="00B06816">
              <w:t>darunavir</w:t>
            </w:r>
          </w:p>
        </w:tc>
      </w:tr>
      <w:tr w:rsidR="008F534F" w:rsidTr="00D609AB">
        <w:tc>
          <w:tcPr>
            <w:tcW w:w="2505" w:type="dxa"/>
          </w:tcPr>
          <w:p w:rsidR="008F534F" w:rsidRPr="002D6889" w:rsidRDefault="008F534F" w:rsidP="008F534F">
            <w:r w:rsidRPr="00B06816">
              <w:t>DTG</w:t>
            </w:r>
          </w:p>
        </w:tc>
        <w:tc>
          <w:tcPr>
            <w:tcW w:w="6296" w:type="dxa"/>
          </w:tcPr>
          <w:p w:rsidR="008F534F" w:rsidRDefault="008F534F" w:rsidP="008F534F">
            <w:r w:rsidRPr="00B06816">
              <w:t>dolutegravir</w:t>
            </w:r>
          </w:p>
        </w:tc>
      </w:tr>
      <w:tr w:rsidR="008F534F" w:rsidTr="00D609AB">
        <w:tc>
          <w:tcPr>
            <w:tcW w:w="2505" w:type="dxa"/>
          </w:tcPr>
          <w:p w:rsidR="008F534F" w:rsidRPr="002D6889" w:rsidRDefault="008F534F" w:rsidP="008F534F">
            <w:r w:rsidRPr="00B06816">
              <w:t>DXA</w:t>
            </w:r>
          </w:p>
        </w:tc>
        <w:tc>
          <w:tcPr>
            <w:tcW w:w="6296" w:type="dxa"/>
          </w:tcPr>
          <w:p w:rsidR="008F534F" w:rsidRDefault="008F534F" w:rsidP="008F534F">
            <w:r w:rsidRPr="00B06816">
              <w:t>dual-energy x-ray absorptiometry</w:t>
            </w:r>
          </w:p>
        </w:tc>
      </w:tr>
      <w:tr w:rsidR="008F534F" w:rsidTr="00D609AB">
        <w:tc>
          <w:tcPr>
            <w:tcW w:w="2505" w:type="dxa"/>
          </w:tcPr>
          <w:p w:rsidR="008F534F" w:rsidRPr="002D6889" w:rsidRDefault="008F534F" w:rsidP="008F534F">
            <w:r w:rsidRPr="00B06816">
              <w:t>EASC</w:t>
            </w:r>
          </w:p>
        </w:tc>
        <w:tc>
          <w:tcPr>
            <w:tcW w:w="6296" w:type="dxa"/>
          </w:tcPr>
          <w:p w:rsidR="008F534F" w:rsidRDefault="008F534F" w:rsidP="008F534F">
            <w:r w:rsidRPr="00B06816">
              <w:t>European AIDS Clinical Society</w:t>
            </w:r>
          </w:p>
        </w:tc>
      </w:tr>
      <w:tr w:rsidR="008F534F" w:rsidTr="00D609AB">
        <w:tc>
          <w:tcPr>
            <w:tcW w:w="2505" w:type="dxa"/>
          </w:tcPr>
          <w:p w:rsidR="008F534F" w:rsidRPr="002D6889" w:rsidRDefault="008F534F" w:rsidP="008F534F">
            <w:r w:rsidRPr="00B06816">
              <w:t>EC50</w:t>
            </w:r>
          </w:p>
        </w:tc>
        <w:tc>
          <w:tcPr>
            <w:tcW w:w="6296" w:type="dxa"/>
          </w:tcPr>
          <w:p w:rsidR="008F534F" w:rsidRDefault="008F534F" w:rsidP="008F534F">
            <w:r w:rsidRPr="00B06816">
              <w:t>concentration of a compound inhibiting virus replication by 50%</w:t>
            </w:r>
          </w:p>
        </w:tc>
      </w:tr>
      <w:tr w:rsidR="008F534F" w:rsidTr="00D609AB">
        <w:tc>
          <w:tcPr>
            <w:tcW w:w="2505" w:type="dxa"/>
          </w:tcPr>
          <w:p w:rsidR="008F534F" w:rsidRPr="002D6889" w:rsidRDefault="008F534F" w:rsidP="008F534F">
            <w:r w:rsidRPr="00B06816">
              <w:t>EOP2</w:t>
            </w:r>
          </w:p>
        </w:tc>
        <w:tc>
          <w:tcPr>
            <w:tcW w:w="6296" w:type="dxa"/>
          </w:tcPr>
          <w:p w:rsidR="008F534F" w:rsidRDefault="008F534F" w:rsidP="008F534F">
            <w:r w:rsidRPr="00B06816">
              <w:t>End of Phase 2</w:t>
            </w:r>
          </w:p>
        </w:tc>
      </w:tr>
      <w:tr w:rsidR="008F534F" w:rsidTr="00D609AB">
        <w:tc>
          <w:tcPr>
            <w:tcW w:w="2505" w:type="dxa"/>
          </w:tcPr>
          <w:p w:rsidR="008F534F" w:rsidRPr="002D6889" w:rsidRDefault="00057BBC" w:rsidP="008F534F">
            <w:r>
              <w:t>EVG</w:t>
            </w:r>
            <w:r w:rsidR="0084590A">
              <w:t>, E</w:t>
            </w:r>
          </w:p>
        </w:tc>
        <w:tc>
          <w:tcPr>
            <w:tcW w:w="6296" w:type="dxa"/>
          </w:tcPr>
          <w:p w:rsidR="008F534F" w:rsidRDefault="008F534F" w:rsidP="008F534F">
            <w:r>
              <w:t>elvitegravir (Vitekta</w:t>
            </w:r>
            <w:r w:rsidRPr="00B06816">
              <w:t>)</w:t>
            </w:r>
          </w:p>
        </w:tc>
      </w:tr>
      <w:tr w:rsidR="008F534F" w:rsidTr="00D609AB">
        <w:tc>
          <w:tcPr>
            <w:tcW w:w="2505" w:type="dxa"/>
          </w:tcPr>
          <w:p w:rsidR="008F534F" w:rsidRPr="002D6889" w:rsidRDefault="008F534F" w:rsidP="008F534F">
            <w:r w:rsidRPr="00B06816">
              <w:t>E</w:t>
            </w:r>
            <w:r w:rsidR="00057BBC">
              <w:t>VG</w:t>
            </w:r>
            <w:r w:rsidRPr="00B06816">
              <w:t>/</w:t>
            </w:r>
            <w:r w:rsidR="00057BBC" w:rsidRPr="00057BBC">
              <w:t>COBI</w:t>
            </w:r>
            <w:r w:rsidRPr="00B06816">
              <w:t>/F</w:t>
            </w:r>
            <w:r w:rsidR="00057BBC">
              <w:t>TC</w:t>
            </w:r>
            <w:r w:rsidRPr="00B06816">
              <w:t>/TAF</w:t>
            </w:r>
          </w:p>
        </w:tc>
        <w:tc>
          <w:tcPr>
            <w:tcW w:w="6296" w:type="dxa"/>
          </w:tcPr>
          <w:p w:rsidR="008F534F" w:rsidRDefault="008F534F" w:rsidP="008F534F">
            <w:r w:rsidRPr="00B06816">
              <w:t>elvitegravir/cobicistat/emtricitabine/tenofovir alafenamide (co</w:t>
            </w:r>
            <w:r w:rsidR="00057BBC">
              <w:t>-</w:t>
            </w:r>
            <w:r w:rsidRPr="00B06816">
              <w:t>formulated)</w:t>
            </w:r>
          </w:p>
        </w:tc>
      </w:tr>
      <w:tr w:rsidR="008F534F" w:rsidTr="00D609AB">
        <w:tc>
          <w:tcPr>
            <w:tcW w:w="2505" w:type="dxa"/>
          </w:tcPr>
          <w:p w:rsidR="008F534F" w:rsidRPr="002D6889" w:rsidRDefault="008F534F" w:rsidP="008F534F">
            <w:r w:rsidRPr="00B06816">
              <w:t>EFV</w:t>
            </w:r>
          </w:p>
        </w:tc>
        <w:tc>
          <w:tcPr>
            <w:tcW w:w="6296" w:type="dxa"/>
          </w:tcPr>
          <w:p w:rsidR="008F534F" w:rsidRDefault="008F534F" w:rsidP="008F534F">
            <w:r w:rsidRPr="00B06816">
              <w:t>efavirenz</w:t>
            </w:r>
          </w:p>
        </w:tc>
      </w:tr>
      <w:tr w:rsidR="008F534F" w:rsidTr="00D609AB">
        <w:tc>
          <w:tcPr>
            <w:tcW w:w="2505" w:type="dxa"/>
          </w:tcPr>
          <w:p w:rsidR="008F534F" w:rsidRPr="002D6889" w:rsidRDefault="008F534F" w:rsidP="008F534F">
            <w:r w:rsidRPr="00B06816">
              <w:t>eGFR</w:t>
            </w:r>
          </w:p>
        </w:tc>
        <w:tc>
          <w:tcPr>
            <w:tcW w:w="6296" w:type="dxa"/>
          </w:tcPr>
          <w:p w:rsidR="008F534F" w:rsidRDefault="008F534F" w:rsidP="008F534F">
            <w:r w:rsidRPr="00B06816">
              <w:t>estimated glomerular filtration rate</w:t>
            </w:r>
          </w:p>
        </w:tc>
      </w:tr>
      <w:tr w:rsidR="008F534F" w:rsidTr="00D609AB">
        <w:tc>
          <w:tcPr>
            <w:tcW w:w="2505" w:type="dxa"/>
          </w:tcPr>
          <w:p w:rsidR="008F534F" w:rsidRPr="002D6889" w:rsidRDefault="008F534F" w:rsidP="008F534F">
            <w:r w:rsidRPr="00B06816">
              <w:t>eGFRCG</w:t>
            </w:r>
          </w:p>
        </w:tc>
        <w:tc>
          <w:tcPr>
            <w:tcW w:w="6296" w:type="dxa"/>
          </w:tcPr>
          <w:p w:rsidR="008F534F" w:rsidRDefault="008F534F" w:rsidP="008F534F">
            <w:r w:rsidRPr="00B06816">
              <w:t>estimated glomerular filtration rate calculated using the Cockcroft-Gault equation</w:t>
            </w:r>
          </w:p>
        </w:tc>
      </w:tr>
      <w:tr w:rsidR="008F534F" w:rsidTr="00D609AB">
        <w:tc>
          <w:tcPr>
            <w:tcW w:w="2505" w:type="dxa"/>
          </w:tcPr>
          <w:p w:rsidR="008F534F" w:rsidRPr="002D6889" w:rsidRDefault="008F534F" w:rsidP="008F534F">
            <w:r w:rsidRPr="00B06816">
              <w:t>ESRD</w:t>
            </w:r>
          </w:p>
        </w:tc>
        <w:tc>
          <w:tcPr>
            <w:tcW w:w="6296" w:type="dxa"/>
          </w:tcPr>
          <w:p w:rsidR="008F534F" w:rsidRDefault="008F534F" w:rsidP="008F534F">
            <w:r w:rsidRPr="00B06816">
              <w:t>end-stage renal disease</w:t>
            </w:r>
          </w:p>
        </w:tc>
      </w:tr>
      <w:tr w:rsidR="008F534F" w:rsidTr="00D609AB">
        <w:tc>
          <w:tcPr>
            <w:tcW w:w="2505" w:type="dxa"/>
          </w:tcPr>
          <w:p w:rsidR="008F534F" w:rsidRPr="002D6889" w:rsidRDefault="008F534F" w:rsidP="008F534F">
            <w:r w:rsidRPr="00B06816">
              <w:t>EU</w:t>
            </w:r>
          </w:p>
        </w:tc>
        <w:tc>
          <w:tcPr>
            <w:tcW w:w="6296" w:type="dxa"/>
          </w:tcPr>
          <w:p w:rsidR="008F534F" w:rsidRDefault="008F534F" w:rsidP="008F534F">
            <w:r w:rsidRPr="00B06816">
              <w:t>European Union</w:t>
            </w:r>
          </w:p>
        </w:tc>
      </w:tr>
      <w:tr w:rsidR="008F534F" w:rsidTr="00D609AB">
        <w:tc>
          <w:tcPr>
            <w:tcW w:w="2505" w:type="dxa"/>
          </w:tcPr>
          <w:p w:rsidR="008F534F" w:rsidRPr="002D6889" w:rsidRDefault="008F534F" w:rsidP="008F534F">
            <w:r w:rsidRPr="00B06816">
              <w:t>FAS</w:t>
            </w:r>
          </w:p>
        </w:tc>
        <w:tc>
          <w:tcPr>
            <w:tcW w:w="6296" w:type="dxa"/>
          </w:tcPr>
          <w:p w:rsidR="008F534F" w:rsidRDefault="008F534F" w:rsidP="008F534F">
            <w:r w:rsidRPr="00B06816">
              <w:t>Full Analysis Set</w:t>
            </w:r>
          </w:p>
        </w:tc>
      </w:tr>
      <w:tr w:rsidR="008F534F" w:rsidTr="00D609AB">
        <w:tc>
          <w:tcPr>
            <w:tcW w:w="2505" w:type="dxa"/>
          </w:tcPr>
          <w:p w:rsidR="008F534F" w:rsidRPr="002D6889" w:rsidRDefault="008F534F" w:rsidP="008F534F">
            <w:r w:rsidRPr="00B06816">
              <w:t>FDA</w:t>
            </w:r>
          </w:p>
        </w:tc>
        <w:tc>
          <w:tcPr>
            <w:tcW w:w="6296" w:type="dxa"/>
          </w:tcPr>
          <w:p w:rsidR="008F534F" w:rsidRDefault="008F534F" w:rsidP="008F534F">
            <w:r w:rsidRPr="00B06816">
              <w:t>Food and Drug Administration</w:t>
            </w:r>
          </w:p>
        </w:tc>
      </w:tr>
      <w:tr w:rsidR="008F534F" w:rsidTr="00D609AB">
        <w:tc>
          <w:tcPr>
            <w:tcW w:w="2505" w:type="dxa"/>
          </w:tcPr>
          <w:p w:rsidR="008F534F" w:rsidRPr="002D6889" w:rsidRDefault="008F534F" w:rsidP="008F534F">
            <w:r w:rsidRPr="00B06816">
              <w:t>FDC</w:t>
            </w:r>
          </w:p>
        </w:tc>
        <w:tc>
          <w:tcPr>
            <w:tcW w:w="6296" w:type="dxa"/>
          </w:tcPr>
          <w:p w:rsidR="008F534F" w:rsidRDefault="00CA65A1" w:rsidP="008F534F">
            <w:r>
              <w:t>fixed dose</w:t>
            </w:r>
            <w:r w:rsidR="008F534F" w:rsidRPr="00B06816">
              <w:t xml:space="preserve"> combination</w:t>
            </w:r>
          </w:p>
        </w:tc>
      </w:tr>
      <w:tr w:rsidR="008F534F" w:rsidTr="00D609AB">
        <w:tc>
          <w:tcPr>
            <w:tcW w:w="2505" w:type="dxa"/>
          </w:tcPr>
          <w:p w:rsidR="008F534F" w:rsidRPr="002D6889" w:rsidRDefault="00D609AB" w:rsidP="008F534F">
            <w:r>
              <w:t>FTC</w:t>
            </w:r>
          </w:p>
        </w:tc>
        <w:tc>
          <w:tcPr>
            <w:tcW w:w="6296" w:type="dxa"/>
          </w:tcPr>
          <w:p w:rsidR="008F534F" w:rsidRDefault="008F534F" w:rsidP="008F534F">
            <w:r>
              <w:t>emtricitabine (Emtriva</w:t>
            </w:r>
            <w:r w:rsidRPr="00B06816">
              <w:t>)</w:t>
            </w:r>
          </w:p>
        </w:tc>
      </w:tr>
      <w:tr w:rsidR="008F534F" w:rsidTr="00D609AB">
        <w:tc>
          <w:tcPr>
            <w:tcW w:w="2505" w:type="dxa"/>
          </w:tcPr>
          <w:p w:rsidR="008F534F" w:rsidRPr="00B06816" w:rsidRDefault="008F534F" w:rsidP="008F534F">
            <w:r w:rsidRPr="00B06816">
              <w:t>FTC-DP</w:t>
            </w:r>
          </w:p>
        </w:tc>
        <w:tc>
          <w:tcPr>
            <w:tcW w:w="6296" w:type="dxa"/>
          </w:tcPr>
          <w:p w:rsidR="008F534F" w:rsidRDefault="008F534F" w:rsidP="008F534F">
            <w:r w:rsidRPr="00B06816">
              <w:t>emtricitabine diphosphate</w:t>
            </w:r>
          </w:p>
        </w:tc>
      </w:tr>
      <w:tr w:rsidR="005033BB" w:rsidTr="00D609AB">
        <w:tc>
          <w:tcPr>
            <w:tcW w:w="2505" w:type="dxa"/>
          </w:tcPr>
          <w:p w:rsidR="005033BB" w:rsidRPr="00B06816" w:rsidRDefault="005033BB" w:rsidP="008F534F">
            <w:r>
              <w:t>GD7</w:t>
            </w:r>
          </w:p>
        </w:tc>
        <w:tc>
          <w:tcPr>
            <w:tcW w:w="6296" w:type="dxa"/>
          </w:tcPr>
          <w:p w:rsidR="005033BB" w:rsidRPr="00B06816" w:rsidRDefault="005033BB" w:rsidP="008F534F">
            <w:r>
              <w:t>Gestation day 7</w:t>
            </w:r>
          </w:p>
        </w:tc>
      </w:tr>
      <w:tr w:rsidR="008F534F" w:rsidTr="00D609AB">
        <w:tc>
          <w:tcPr>
            <w:tcW w:w="2505" w:type="dxa"/>
          </w:tcPr>
          <w:p w:rsidR="008F534F" w:rsidRPr="00B06816" w:rsidRDefault="008F534F" w:rsidP="008F534F">
            <w:r w:rsidRPr="00B06816">
              <w:t>GCP</w:t>
            </w:r>
          </w:p>
        </w:tc>
        <w:tc>
          <w:tcPr>
            <w:tcW w:w="6296" w:type="dxa"/>
          </w:tcPr>
          <w:p w:rsidR="008F534F" w:rsidRDefault="008F534F" w:rsidP="008F534F">
            <w:r w:rsidRPr="00B06816">
              <w:t>Good Clinical Practice</w:t>
            </w:r>
          </w:p>
        </w:tc>
      </w:tr>
      <w:tr w:rsidR="008F534F" w:rsidTr="00D609AB">
        <w:tc>
          <w:tcPr>
            <w:tcW w:w="2505" w:type="dxa"/>
          </w:tcPr>
          <w:p w:rsidR="008F534F" w:rsidRPr="00B06816" w:rsidRDefault="008F534F" w:rsidP="008F534F">
            <w:r w:rsidRPr="00B06816">
              <w:t>Gilead</w:t>
            </w:r>
          </w:p>
        </w:tc>
        <w:tc>
          <w:tcPr>
            <w:tcW w:w="6296" w:type="dxa"/>
          </w:tcPr>
          <w:p w:rsidR="008F534F" w:rsidRDefault="008F534F" w:rsidP="008F534F">
            <w:r w:rsidRPr="00B06816">
              <w:t>Gilead Sciences</w:t>
            </w:r>
          </w:p>
        </w:tc>
      </w:tr>
      <w:tr w:rsidR="00015675" w:rsidTr="00D609AB">
        <w:tc>
          <w:tcPr>
            <w:tcW w:w="2505" w:type="dxa"/>
          </w:tcPr>
          <w:p w:rsidR="00015675" w:rsidRPr="00B06816" w:rsidRDefault="00015675" w:rsidP="008F534F">
            <w:r w:rsidRPr="00015675">
              <w:t>GLP</w:t>
            </w:r>
          </w:p>
        </w:tc>
        <w:tc>
          <w:tcPr>
            <w:tcW w:w="6296" w:type="dxa"/>
          </w:tcPr>
          <w:p w:rsidR="00015675" w:rsidRPr="00B06816" w:rsidRDefault="00015675" w:rsidP="008F534F">
            <w:r>
              <w:t>Good laboratory practice</w:t>
            </w:r>
          </w:p>
        </w:tc>
      </w:tr>
      <w:tr w:rsidR="008F534F" w:rsidTr="00D609AB">
        <w:tc>
          <w:tcPr>
            <w:tcW w:w="2505" w:type="dxa"/>
          </w:tcPr>
          <w:p w:rsidR="008F534F" w:rsidRPr="00B06816" w:rsidRDefault="008F534F" w:rsidP="008F534F">
            <w:r w:rsidRPr="00B06816">
              <w:lastRenderedPageBreak/>
              <w:t>GLSM</w:t>
            </w:r>
          </w:p>
        </w:tc>
        <w:tc>
          <w:tcPr>
            <w:tcW w:w="6296" w:type="dxa"/>
          </w:tcPr>
          <w:p w:rsidR="008F534F" w:rsidRDefault="008F534F" w:rsidP="008F534F">
            <w:r w:rsidRPr="00B06816">
              <w:t>geometric least-squares mean</w:t>
            </w:r>
          </w:p>
        </w:tc>
      </w:tr>
      <w:tr w:rsidR="008F534F" w:rsidTr="00D609AB">
        <w:tc>
          <w:tcPr>
            <w:tcW w:w="2505" w:type="dxa"/>
          </w:tcPr>
          <w:p w:rsidR="008F534F" w:rsidRPr="00B06816" w:rsidRDefault="008F534F" w:rsidP="008F534F">
            <w:r w:rsidRPr="00B06816">
              <w:t>GS-7340</w:t>
            </w:r>
          </w:p>
        </w:tc>
        <w:tc>
          <w:tcPr>
            <w:tcW w:w="6296" w:type="dxa"/>
          </w:tcPr>
          <w:p w:rsidR="008F534F" w:rsidRDefault="008F534F" w:rsidP="000901AB">
            <w:r w:rsidRPr="00B06816">
              <w:t xml:space="preserve">tenofovir alafenamide </w:t>
            </w:r>
            <w:r w:rsidR="005471CF">
              <w:t>(TAF)</w:t>
            </w:r>
          </w:p>
        </w:tc>
      </w:tr>
      <w:tr w:rsidR="008F534F" w:rsidTr="00D609AB">
        <w:tc>
          <w:tcPr>
            <w:tcW w:w="2505" w:type="dxa"/>
          </w:tcPr>
          <w:p w:rsidR="008F534F" w:rsidRPr="00B06816" w:rsidRDefault="008F534F" w:rsidP="008F534F">
            <w:r w:rsidRPr="00B06816">
              <w:t>HBV</w:t>
            </w:r>
          </w:p>
        </w:tc>
        <w:tc>
          <w:tcPr>
            <w:tcW w:w="6296" w:type="dxa"/>
          </w:tcPr>
          <w:p w:rsidR="008F534F" w:rsidRDefault="008F534F" w:rsidP="008F534F">
            <w:r w:rsidRPr="00B06816">
              <w:t>hepatitis B virus</w:t>
            </w:r>
          </w:p>
        </w:tc>
      </w:tr>
      <w:tr w:rsidR="008F534F" w:rsidTr="00D609AB">
        <w:tc>
          <w:tcPr>
            <w:tcW w:w="2505" w:type="dxa"/>
          </w:tcPr>
          <w:p w:rsidR="008F534F" w:rsidRPr="00B06816" w:rsidRDefault="008F534F" w:rsidP="008F534F">
            <w:r w:rsidRPr="00B06816">
              <w:t>HCV</w:t>
            </w:r>
          </w:p>
        </w:tc>
        <w:tc>
          <w:tcPr>
            <w:tcW w:w="6296" w:type="dxa"/>
          </w:tcPr>
          <w:p w:rsidR="008F534F" w:rsidRDefault="008F534F" w:rsidP="008F534F">
            <w:r w:rsidRPr="00B06816">
              <w:t>hepatitis C virus</w:t>
            </w:r>
          </w:p>
        </w:tc>
      </w:tr>
      <w:tr w:rsidR="00FF0D5B" w:rsidTr="00D609AB">
        <w:tc>
          <w:tcPr>
            <w:tcW w:w="2505" w:type="dxa"/>
          </w:tcPr>
          <w:p w:rsidR="00FF0D5B" w:rsidRPr="00B06816" w:rsidRDefault="00FF0D5B" w:rsidP="008F534F">
            <w:r>
              <w:t>HD</w:t>
            </w:r>
          </w:p>
        </w:tc>
        <w:tc>
          <w:tcPr>
            <w:tcW w:w="6296" w:type="dxa"/>
          </w:tcPr>
          <w:p w:rsidR="00FF0D5B" w:rsidRPr="00B06816" w:rsidRDefault="00FF0D5B" w:rsidP="008F534F">
            <w:r>
              <w:t>High dose</w:t>
            </w:r>
          </w:p>
        </w:tc>
      </w:tr>
      <w:tr w:rsidR="008F534F" w:rsidTr="00D609AB">
        <w:tc>
          <w:tcPr>
            <w:tcW w:w="2505" w:type="dxa"/>
          </w:tcPr>
          <w:p w:rsidR="008F534F" w:rsidRPr="00B06816" w:rsidRDefault="008F534F" w:rsidP="008F534F">
            <w:r w:rsidRPr="008D0187">
              <w:t>HIV, HIV-1, HIV-2</w:t>
            </w:r>
          </w:p>
        </w:tc>
        <w:tc>
          <w:tcPr>
            <w:tcW w:w="6296" w:type="dxa"/>
          </w:tcPr>
          <w:p w:rsidR="008F534F" w:rsidRDefault="008F534F" w:rsidP="008F534F">
            <w:r w:rsidRPr="008D0187">
              <w:t>human immunodeficiency virus, type 1, type 2</w:t>
            </w:r>
          </w:p>
        </w:tc>
      </w:tr>
      <w:tr w:rsidR="0094660D" w:rsidTr="00D609AB">
        <w:tc>
          <w:tcPr>
            <w:tcW w:w="2505" w:type="dxa"/>
          </w:tcPr>
          <w:p w:rsidR="0094660D" w:rsidRPr="008D0187" w:rsidRDefault="00F227C7" w:rsidP="008F534F">
            <w:r>
              <w:t>HSV-2</w:t>
            </w:r>
          </w:p>
        </w:tc>
        <w:tc>
          <w:tcPr>
            <w:tcW w:w="6296" w:type="dxa"/>
          </w:tcPr>
          <w:p w:rsidR="0094660D" w:rsidRPr="008D0187" w:rsidRDefault="0094660D" w:rsidP="008F534F">
            <w:r>
              <w:t>Herpes simplex virus -2</w:t>
            </w:r>
          </w:p>
        </w:tc>
      </w:tr>
      <w:tr w:rsidR="008F534F" w:rsidTr="00D609AB">
        <w:tc>
          <w:tcPr>
            <w:tcW w:w="2505" w:type="dxa"/>
          </w:tcPr>
          <w:p w:rsidR="008F534F" w:rsidRPr="00B06816" w:rsidRDefault="008F534F" w:rsidP="008F534F">
            <w:r w:rsidRPr="008D0187">
              <w:t>IC95</w:t>
            </w:r>
          </w:p>
        </w:tc>
        <w:tc>
          <w:tcPr>
            <w:tcW w:w="6296" w:type="dxa"/>
          </w:tcPr>
          <w:p w:rsidR="008F534F" w:rsidRDefault="008F534F" w:rsidP="008F534F">
            <w:r w:rsidRPr="008D0187">
              <w:t>concentration that results in xx% inhibition</w:t>
            </w:r>
          </w:p>
        </w:tc>
      </w:tr>
      <w:tr w:rsidR="008F534F" w:rsidTr="00D609AB">
        <w:tc>
          <w:tcPr>
            <w:tcW w:w="2505" w:type="dxa"/>
          </w:tcPr>
          <w:p w:rsidR="008F534F" w:rsidRPr="00B06816" w:rsidRDefault="008F534F" w:rsidP="008F534F">
            <w:r w:rsidRPr="008D0187">
              <w:t>ICH</w:t>
            </w:r>
          </w:p>
        </w:tc>
        <w:tc>
          <w:tcPr>
            <w:tcW w:w="6296" w:type="dxa"/>
          </w:tcPr>
          <w:p w:rsidR="008F534F" w:rsidRDefault="008F534F" w:rsidP="008F534F">
            <w:r w:rsidRPr="008D0187">
              <w:t>International Conference on Harmonization (of Technical Requirements for Registration of Pharmaceuticals for Human Use)</w:t>
            </w:r>
          </w:p>
        </w:tc>
      </w:tr>
      <w:tr w:rsidR="008F534F" w:rsidTr="00D609AB">
        <w:tc>
          <w:tcPr>
            <w:tcW w:w="2505" w:type="dxa"/>
          </w:tcPr>
          <w:p w:rsidR="008F534F" w:rsidRPr="00B06816" w:rsidRDefault="008F534F" w:rsidP="008F534F">
            <w:r w:rsidRPr="008D0187">
              <w:t>IN</w:t>
            </w:r>
          </w:p>
        </w:tc>
        <w:tc>
          <w:tcPr>
            <w:tcW w:w="6296" w:type="dxa"/>
          </w:tcPr>
          <w:p w:rsidR="008F534F" w:rsidRDefault="008F534F" w:rsidP="008F534F">
            <w:r w:rsidRPr="008D0187">
              <w:t>integrase</w:t>
            </w:r>
          </w:p>
        </w:tc>
      </w:tr>
      <w:tr w:rsidR="008F534F" w:rsidTr="00D609AB">
        <w:tc>
          <w:tcPr>
            <w:tcW w:w="2505" w:type="dxa"/>
          </w:tcPr>
          <w:p w:rsidR="008F534F" w:rsidRPr="00B06816" w:rsidRDefault="008F534F" w:rsidP="008F534F">
            <w:r w:rsidRPr="008D0187">
              <w:t>IND</w:t>
            </w:r>
          </w:p>
        </w:tc>
        <w:tc>
          <w:tcPr>
            <w:tcW w:w="6296" w:type="dxa"/>
          </w:tcPr>
          <w:p w:rsidR="008F534F" w:rsidRDefault="008F534F" w:rsidP="008F534F">
            <w:r w:rsidRPr="008D0187">
              <w:t>Investigational New Drug</w:t>
            </w:r>
          </w:p>
        </w:tc>
      </w:tr>
      <w:tr w:rsidR="008F534F" w:rsidTr="00D609AB">
        <w:tc>
          <w:tcPr>
            <w:tcW w:w="2505" w:type="dxa"/>
          </w:tcPr>
          <w:p w:rsidR="008F534F" w:rsidRPr="00B06816" w:rsidRDefault="008F534F" w:rsidP="008F534F">
            <w:r w:rsidRPr="008D0187">
              <w:t>INSTI</w:t>
            </w:r>
          </w:p>
        </w:tc>
        <w:tc>
          <w:tcPr>
            <w:tcW w:w="6296" w:type="dxa"/>
          </w:tcPr>
          <w:p w:rsidR="008F534F" w:rsidRDefault="008F534F" w:rsidP="008F534F">
            <w:r w:rsidRPr="008D0187">
              <w:t>integrase strand-transfer inhibitor</w:t>
            </w:r>
          </w:p>
        </w:tc>
      </w:tr>
      <w:tr w:rsidR="008F534F" w:rsidTr="00D609AB">
        <w:tc>
          <w:tcPr>
            <w:tcW w:w="2505" w:type="dxa"/>
          </w:tcPr>
          <w:p w:rsidR="008F534F" w:rsidRPr="00B06816" w:rsidRDefault="008F534F" w:rsidP="008F534F">
            <w:r w:rsidRPr="008D0187">
              <w:t>ISS</w:t>
            </w:r>
          </w:p>
        </w:tc>
        <w:tc>
          <w:tcPr>
            <w:tcW w:w="6296" w:type="dxa"/>
          </w:tcPr>
          <w:p w:rsidR="008F534F" w:rsidRDefault="008F534F" w:rsidP="008F534F">
            <w:r w:rsidRPr="008D0187">
              <w:t>Integrated Summary of Safety</w:t>
            </w:r>
          </w:p>
        </w:tc>
      </w:tr>
      <w:tr w:rsidR="007E6D40" w:rsidTr="00D609AB">
        <w:tc>
          <w:tcPr>
            <w:tcW w:w="2505" w:type="dxa"/>
          </w:tcPr>
          <w:p w:rsidR="007E6D40" w:rsidRPr="008D0187" w:rsidRDefault="007E6D40" w:rsidP="008F534F">
            <w:r w:rsidRPr="007E6D40">
              <w:t>kcal</w:t>
            </w:r>
          </w:p>
        </w:tc>
        <w:tc>
          <w:tcPr>
            <w:tcW w:w="6296" w:type="dxa"/>
          </w:tcPr>
          <w:p w:rsidR="007E6D40" w:rsidRPr="008D0187" w:rsidRDefault="007E6D40" w:rsidP="008F534F">
            <w:r>
              <w:t>Kilo calories</w:t>
            </w:r>
          </w:p>
        </w:tc>
      </w:tr>
      <w:tr w:rsidR="00330D0C" w:rsidTr="00D609AB">
        <w:tc>
          <w:tcPr>
            <w:tcW w:w="2505" w:type="dxa"/>
          </w:tcPr>
          <w:p w:rsidR="00330D0C" w:rsidRDefault="00330D0C" w:rsidP="008F534F">
            <w:r>
              <w:t>LD</w:t>
            </w:r>
          </w:p>
        </w:tc>
        <w:tc>
          <w:tcPr>
            <w:tcW w:w="6296" w:type="dxa"/>
          </w:tcPr>
          <w:p w:rsidR="00330D0C" w:rsidRDefault="00330D0C" w:rsidP="008F534F">
            <w:r>
              <w:t>Low dose</w:t>
            </w:r>
          </w:p>
        </w:tc>
      </w:tr>
      <w:tr w:rsidR="0094660D" w:rsidTr="00D609AB">
        <w:tc>
          <w:tcPr>
            <w:tcW w:w="2505" w:type="dxa"/>
          </w:tcPr>
          <w:p w:rsidR="0094660D" w:rsidRPr="008D0187" w:rsidRDefault="0094660D" w:rsidP="008F534F">
            <w:r>
              <w:t>Ki</w:t>
            </w:r>
          </w:p>
        </w:tc>
        <w:tc>
          <w:tcPr>
            <w:tcW w:w="6296" w:type="dxa"/>
          </w:tcPr>
          <w:p w:rsidR="0094660D" w:rsidRPr="008D0187" w:rsidRDefault="0094660D" w:rsidP="008F534F">
            <w:r>
              <w:t>Kinetic inhibition (constant)</w:t>
            </w:r>
          </w:p>
        </w:tc>
      </w:tr>
      <w:tr w:rsidR="004672FA" w:rsidTr="00D609AB">
        <w:tc>
          <w:tcPr>
            <w:tcW w:w="2505" w:type="dxa"/>
          </w:tcPr>
          <w:p w:rsidR="004672FA" w:rsidRDefault="004672FA" w:rsidP="008F534F">
            <w:r>
              <w:t>KM</w:t>
            </w:r>
          </w:p>
        </w:tc>
        <w:tc>
          <w:tcPr>
            <w:tcW w:w="6296" w:type="dxa"/>
          </w:tcPr>
          <w:p w:rsidR="004672FA" w:rsidRDefault="004672FA" w:rsidP="008F534F">
            <w:r w:rsidRPr="004672FA">
              <w:t>Kaplan-Meier</w:t>
            </w:r>
          </w:p>
        </w:tc>
      </w:tr>
      <w:tr w:rsidR="008F534F" w:rsidTr="00D609AB">
        <w:tc>
          <w:tcPr>
            <w:tcW w:w="2505" w:type="dxa"/>
          </w:tcPr>
          <w:p w:rsidR="008F534F" w:rsidRPr="00B06816" w:rsidRDefault="008F534F" w:rsidP="008F534F">
            <w:r w:rsidRPr="008D0187">
              <w:t>LDL</w:t>
            </w:r>
          </w:p>
        </w:tc>
        <w:tc>
          <w:tcPr>
            <w:tcW w:w="6296" w:type="dxa"/>
          </w:tcPr>
          <w:p w:rsidR="008F534F" w:rsidRDefault="008F534F" w:rsidP="008F534F">
            <w:r w:rsidRPr="008D0187">
              <w:t>low-density lipoprotein</w:t>
            </w:r>
          </w:p>
        </w:tc>
      </w:tr>
      <w:tr w:rsidR="008F534F" w:rsidTr="00D609AB">
        <w:tc>
          <w:tcPr>
            <w:tcW w:w="2505" w:type="dxa"/>
          </w:tcPr>
          <w:p w:rsidR="008F534F" w:rsidRPr="00B06816" w:rsidRDefault="008F534F" w:rsidP="008F534F">
            <w:r w:rsidRPr="008D0187">
              <w:t>LOCF</w:t>
            </w:r>
          </w:p>
        </w:tc>
        <w:tc>
          <w:tcPr>
            <w:tcW w:w="6296" w:type="dxa"/>
          </w:tcPr>
          <w:p w:rsidR="008F534F" w:rsidRDefault="008F534F" w:rsidP="008F534F">
            <w:r w:rsidRPr="008D0187">
              <w:t>last observation carried forward</w:t>
            </w:r>
          </w:p>
        </w:tc>
      </w:tr>
      <w:tr w:rsidR="008F534F" w:rsidTr="00D609AB">
        <w:tc>
          <w:tcPr>
            <w:tcW w:w="2505" w:type="dxa"/>
          </w:tcPr>
          <w:p w:rsidR="008F534F" w:rsidRPr="00B06816" w:rsidRDefault="008F534F" w:rsidP="008F534F">
            <w:r w:rsidRPr="008D0187">
              <w:t>LSM</w:t>
            </w:r>
          </w:p>
        </w:tc>
        <w:tc>
          <w:tcPr>
            <w:tcW w:w="6296" w:type="dxa"/>
          </w:tcPr>
          <w:p w:rsidR="008F534F" w:rsidRDefault="008F534F" w:rsidP="008F534F">
            <w:r w:rsidRPr="008D0187">
              <w:t>least-squares mean</w:t>
            </w:r>
          </w:p>
        </w:tc>
      </w:tr>
      <w:tr w:rsidR="008F534F" w:rsidTr="00D609AB">
        <w:tc>
          <w:tcPr>
            <w:tcW w:w="2505" w:type="dxa"/>
          </w:tcPr>
          <w:p w:rsidR="008F534F" w:rsidRPr="00B06816" w:rsidRDefault="008F534F" w:rsidP="008F534F">
            <w:r w:rsidRPr="008D0187">
              <w:t>M = F</w:t>
            </w:r>
          </w:p>
        </w:tc>
        <w:tc>
          <w:tcPr>
            <w:tcW w:w="6296" w:type="dxa"/>
          </w:tcPr>
          <w:p w:rsidR="008F534F" w:rsidRDefault="008F534F" w:rsidP="008F534F">
            <w:r w:rsidRPr="008D0187">
              <w:t>missing = failure</w:t>
            </w:r>
          </w:p>
        </w:tc>
      </w:tr>
      <w:tr w:rsidR="008F534F" w:rsidTr="00D609AB">
        <w:tc>
          <w:tcPr>
            <w:tcW w:w="2505" w:type="dxa"/>
          </w:tcPr>
          <w:p w:rsidR="008F534F" w:rsidRPr="00B06816" w:rsidRDefault="008F534F" w:rsidP="008F534F">
            <w:r w:rsidRPr="008D0187">
              <w:t>mtDNA</w:t>
            </w:r>
          </w:p>
        </w:tc>
        <w:tc>
          <w:tcPr>
            <w:tcW w:w="6296" w:type="dxa"/>
          </w:tcPr>
          <w:p w:rsidR="008F534F" w:rsidRDefault="008F534F" w:rsidP="008F534F">
            <w:r w:rsidRPr="008D0187">
              <w:t>mitochondrial DNA</w:t>
            </w:r>
          </w:p>
        </w:tc>
      </w:tr>
      <w:tr w:rsidR="008F534F" w:rsidTr="00D609AB">
        <w:tc>
          <w:tcPr>
            <w:tcW w:w="2505" w:type="dxa"/>
          </w:tcPr>
          <w:p w:rsidR="008F534F" w:rsidRPr="00B06816" w:rsidRDefault="008F534F" w:rsidP="008F534F">
            <w:r w:rsidRPr="008D0187">
              <w:t>N or n</w:t>
            </w:r>
          </w:p>
        </w:tc>
        <w:tc>
          <w:tcPr>
            <w:tcW w:w="6296" w:type="dxa"/>
          </w:tcPr>
          <w:p w:rsidR="008F534F" w:rsidRDefault="008F534F" w:rsidP="008F534F">
            <w:r w:rsidRPr="008D0187">
              <w:t>number of subjects in a population (N) or subset (n)</w:t>
            </w:r>
          </w:p>
        </w:tc>
      </w:tr>
      <w:tr w:rsidR="00FF0D5B" w:rsidTr="00D609AB">
        <w:tc>
          <w:tcPr>
            <w:tcW w:w="2505" w:type="dxa"/>
          </w:tcPr>
          <w:p w:rsidR="00FF0D5B" w:rsidRPr="008D0187" w:rsidRDefault="00FF0D5B" w:rsidP="008F534F">
            <w:r w:rsidRPr="00FF0D5B">
              <w:t>NOAEL</w:t>
            </w:r>
          </w:p>
        </w:tc>
        <w:tc>
          <w:tcPr>
            <w:tcW w:w="6296" w:type="dxa"/>
          </w:tcPr>
          <w:p w:rsidR="00FF0D5B" w:rsidRPr="008D0187" w:rsidRDefault="000A6835" w:rsidP="008F534F">
            <w:r w:rsidRPr="000A6835">
              <w:t>no-observed-adverse-effect-level</w:t>
            </w:r>
          </w:p>
        </w:tc>
      </w:tr>
      <w:tr w:rsidR="008F534F" w:rsidTr="00D609AB">
        <w:tc>
          <w:tcPr>
            <w:tcW w:w="2505" w:type="dxa"/>
          </w:tcPr>
          <w:p w:rsidR="008F534F" w:rsidRPr="00B06816" w:rsidRDefault="008F534F" w:rsidP="008F534F">
            <w:r w:rsidRPr="008D0187">
              <w:t>NNRTI</w:t>
            </w:r>
          </w:p>
        </w:tc>
        <w:tc>
          <w:tcPr>
            <w:tcW w:w="6296" w:type="dxa"/>
          </w:tcPr>
          <w:p w:rsidR="008F534F" w:rsidRDefault="003D6F15" w:rsidP="008F534F">
            <w:r>
              <w:t>n</w:t>
            </w:r>
            <w:r w:rsidR="008F534F" w:rsidRPr="008D0187">
              <w:t>on</w:t>
            </w:r>
            <w:r>
              <w:t xml:space="preserve"> </w:t>
            </w:r>
            <w:r w:rsidR="008F534F" w:rsidRPr="008D0187">
              <w:t>nucleoside reverse transcriptase inhibitor</w:t>
            </w:r>
          </w:p>
        </w:tc>
      </w:tr>
      <w:tr w:rsidR="00C70286" w:rsidTr="00D609AB">
        <w:tc>
          <w:tcPr>
            <w:tcW w:w="2505" w:type="dxa"/>
          </w:tcPr>
          <w:p w:rsidR="00C70286" w:rsidRPr="008D0187" w:rsidRDefault="00C70286" w:rsidP="008F534F">
            <w:r w:rsidRPr="00C70286">
              <w:lastRenderedPageBreak/>
              <w:t>NNRTI-R</w:t>
            </w:r>
          </w:p>
        </w:tc>
        <w:tc>
          <w:tcPr>
            <w:tcW w:w="6296" w:type="dxa"/>
          </w:tcPr>
          <w:p w:rsidR="00C70286" w:rsidRPr="008D0187" w:rsidRDefault="00B328A8" w:rsidP="008F534F">
            <w:r w:rsidRPr="00B328A8">
              <w:t>NNRTI</w:t>
            </w:r>
            <w:r>
              <w:t xml:space="preserve"> </w:t>
            </w:r>
            <w:r w:rsidRPr="00B328A8">
              <w:t>resistant</w:t>
            </w:r>
          </w:p>
        </w:tc>
      </w:tr>
      <w:tr w:rsidR="008F534F" w:rsidTr="00D609AB">
        <w:tc>
          <w:tcPr>
            <w:tcW w:w="2505" w:type="dxa"/>
          </w:tcPr>
          <w:p w:rsidR="008F534F" w:rsidRPr="00B06816" w:rsidRDefault="008F534F" w:rsidP="008F534F">
            <w:r w:rsidRPr="008D0187">
              <w:t>NRTI</w:t>
            </w:r>
          </w:p>
        </w:tc>
        <w:tc>
          <w:tcPr>
            <w:tcW w:w="6296" w:type="dxa"/>
          </w:tcPr>
          <w:p w:rsidR="008F534F" w:rsidRDefault="008F534F" w:rsidP="008F534F">
            <w:r w:rsidRPr="008D0187">
              <w:t>nucleoside reverse transcriptase inhibitor</w:t>
            </w:r>
          </w:p>
        </w:tc>
      </w:tr>
      <w:tr w:rsidR="00B328A8" w:rsidTr="00D609AB">
        <w:tc>
          <w:tcPr>
            <w:tcW w:w="2505" w:type="dxa"/>
          </w:tcPr>
          <w:p w:rsidR="00B328A8" w:rsidRPr="008D0187" w:rsidRDefault="00B328A8" w:rsidP="008F534F">
            <w:r>
              <w:t>NRTI-R</w:t>
            </w:r>
          </w:p>
        </w:tc>
        <w:tc>
          <w:tcPr>
            <w:tcW w:w="6296" w:type="dxa"/>
          </w:tcPr>
          <w:p w:rsidR="00B328A8" w:rsidRPr="008D0187" w:rsidRDefault="00B328A8" w:rsidP="008F534F">
            <w:r w:rsidRPr="00B328A8">
              <w:t>NRTI</w:t>
            </w:r>
            <w:r>
              <w:t xml:space="preserve"> resistant</w:t>
            </w:r>
          </w:p>
        </w:tc>
      </w:tr>
      <w:tr w:rsidR="008F534F" w:rsidTr="00D609AB">
        <w:tc>
          <w:tcPr>
            <w:tcW w:w="2505" w:type="dxa"/>
          </w:tcPr>
          <w:p w:rsidR="008F534F" w:rsidRPr="00B06816" w:rsidRDefault="008F534F" w:rsidP="008F534F">
            <w:r w:rsidRPr="008D0187">
              <w:t>NtRTI</w:t>
            </w:r>
          </w:p>
        </w:tc>
        <w:tc>
          <w:tcPr>
            <w:tcW w:w="6296" w:type="dxa"/>
          </w:tcPr>
          <w:p w:rsidR="008F534F" w:rsidRDefault="008F534F" w:rsidP="008F534F">
            <w:r w:rsidRPr="008D0187">
              <w:t>nucleotide reverse transcriptase inhibitor</w:t>
            </w:r>
          </w:p>
        </w:tc>
      </w:tr>
      <w:tr w:rsidR="00B328A8" w:rsidTr="00D609AB">
        <w:tc>
          <w:tcPr>
            <w:tcW w:w="2505" w:type="dxa"/>
          </w:tcPr>
          <w:p w:rsidR="00B328A8" w:rsidRPr="008D0187" w:rsidRDefault="00B328A8" w:rsidP="008F534F">
            <w:r w:rsidRPr="00B328A8">
              <w:t>NtRTI</w:t>
            </w:r>
            <w:r>
              <w:t>-R</w:t>
            </w:r>
          </w:p>
        </w:tc>
        <w:tc>
          <w:tcPr>
            <w:tcW w:w="6296" w:type="dxa"/>
          </w:tcPr>
          <w:p w:rsidR="00B328A8" w:rsidRPr="008D0187" w:rsidRDefault="00B328A8" w:rsidP="008F534F">
            <w:r w:rsidRPr="00B328A8">
              <w:t>NtRTI</w:t>
            </w:r>
            <w:r>
              <w:t xml:space="preserve"> resistant</w:t>
            </w:r>
          </w:p>
        </w:tc>
      </w:tr>
      <w:tr w:rsidR="00DC05DD" w:rsidTr="00D609AB">
        <w:tc>
          <w:tcPr>
            <w:tcW w:w="2505" w:type="dxa"/>
          </w:tcPr>
          <w:p w:rsidR="00DC05DD" w:rsidRPr="008D0187" w:rsidRDefault="00DC05DD" w:rsidP="008F534F">
            <w:r>
              <w:t>NTx</w:t>
            </w:r>
          </w:p>
        </w:tc>
        <w:tc>
          <w:tcPr>
            <w:tcW w:w="6296" w:type="dxa"/>
          </w:tcPr>
          <w:p w:rsidR="00DC05DD" w:rsidRPr="008D0187" w:rsidRDefault="00DC05DD" w:rsidP="008F534F">
            <w:r w:rsidRPr="00DC05DD">
              <w:t>collagen typ</w:t>
            </w:r>
            <w:r>
              <w:t>e 1 cross-linked N-telopeptide</w:t>
            </w:r>
          </w:p>
        </w:tc>
      </w:tr>
      <w:tr w:rsidR="003D31CD" w:rsidTr="00D609AB">
        <w:tc>
          <w:tcPr>
            <w:tcW w:w="2505" w:type="dxa"/>
          </w:tcPr>
          <w:p w:rsidR="003D31CD" w:rsidRPr="008D0187" w:rsidRDefault="003D31CD" w:rsidP="008F534F">
            <w:r>
              <w:t>OAT</w:t>
            </w:r>
          </w:p>
        </w:tc>
        <w:tc>
          <w:tcPr>
            <w:tcW w:w="6296" w:type="dxa"/>
          </w:tcPr>
          <w:p w:rsidR="003D31CD" w:rsidRPr="008D0187" w:rsidRDefault="003D31CD" w:rsidP="008F534F">
            <w:r w:rsidRPr="003D31CD">
              <w:t>organic anion transporters</w:t>
            </w:r>
          </w:p>
        </w:tc>
      </w:tr>
      <w:tr w:rsidR="008F534F" w:rsidTr="00D609AB">
        <w:tc>
          <w:tcPr>
            <w:tcW w:w="2505" w:type="dxa"/>
          </w:tcPr>
          <w:p w:rsidR="008F534F" w:rsidRPr="00B06816" w:rsidRDefault="008F534F" w:rsidP="008F534F">
            <w:r w:rsidRPr="008D0187">
              <w:t>OATP</w:t>
            </w:r>
          </w:p>
        </w:tc>
        <w:tc>
          <w:tcPr>
            <w:tcW w:w="6296" w:type="dxa"/>
          </w:tcPr>
          <w:p w:rsidR="008F534F" w:rsidRDefault="008F534F" w:rsidP="008F534F">
            <w:r w:rsidRPr="008D0187">
              <w:t>organic anion transporting polypeptide</w:t>
            </w:r>
          </w:p>
        </w:tc>
      </w:tr>
      <w:tr w:rsidR="008F534F" w:rsidTr="00D609AB">
        <w:tc>
          <w:tcPr>
            <w:tcW w:w="2505" w:type="dxa"/>
          </w:tcPr>
          <w:p w:rsidR="008F534F" w:rsidRPr="00B06816" w:rsidRDefault="008F534F" w:rsidP="008F534F">
            <w:r w:rsidRPr="008D0187">
              <w:t>P1NP</w:t>
            </w:r>
          </w:p>
        </w:tc>
        <w:tc>
          <w:tcPr>
            <w:tcW w:w="6296" w:type="dxa"/>
          </w:tcPr>
          <w:p w:rsidR="008F534F" w:rsidRDefault="008F534F" w:rsidP="008F534F">
            <w:r w:rsidRPr="008D0187">
              <w:t>procollagen type 1 N-terminal propeptide</w:t>
            </w:r>
          </w:p>
        </w:tc>
      </w:tr>
      <w:tr w:rsidR="008F534F" w:rsidTr="00D609AB">
        <w:tc>
          <w:tcPr>
            <w:tcW w:w="2505" w:type="dxa"/>
          </w:tcPr>
          <w:p w:rsidR="008F534F" w:rsidRPr="00B06816" w:rsidRDefault="008F534F" w:rsidP="008F534F">
            <w:r w:rsidRPr="008D0187">
              <w:t>PBMC</w:t>
            </w:r>
          </w:p>
        </w:tc>
        <w:tc>
          <w:tcPr>
            <w:tcW w:w="6296" w:type="dxa"/>
          </w:tcPr>
          <w:p w:rsidR="008F534F" w:rsidRDefault="008F534F" w:rsidP="008F534F">
            <w:r w:rsidRPr="008D0187">
              <w:t>peripheral blood mononuclear cell</w:t>
            </w:r>
          </w:p>
        </w:tc>
      </w:tr>
      <w:tr w:rsidR="008F534F" w:rsidTr="00D609AB">
        <w:tc>
          <w:tcPr>
            <w:tcW w:w="2505" w:type="dxa"/>
          </w:tcPr>
          <w:p w:rsidR="008F534F" w:rsidRPr="00B06816" w:rsidRDefault="008F534F" w:rsidP="008F534F">
            <w:r w:rsidRPr="008D0187">
              <w:t>PD</w:t>
            </w:r>
          </w:p>
        </w:tc>
        <w:tc>
          <w:tcPr>
            <w:tcW w:w="6296" w:type="dxa"/>
          </w:tcPr>
          <w:p w:rsidR="008F534F" w:rsidRDefault="008F534F" w:rsidP="008F534F">
            <w:r w:rsidRPr="008D0187">
              <w:t>pharmacodynamic(s)</w:t>
            </w:r>
          </w:p>
        </w:tc>
      </w:tr>
      <w:tr w:rsidR="008F534F" w:rsidTr="00D609AB">
        <w:tc>
          <w:tcPr>
            <w:tcW w:w="2505" w:type="dxa"/>
          </w:tcPr>
          <w:p w:rsidR="008F534F" w:rsidRPr="00B06816" w:rsidRDefault="008F534F" w:rsidP="008F534F">
            <w:r w:rsidRPr="008D0187">
              <w:t>P-gp</w:t>
            </w:r>
          </w:p>
        </w:tc>
        <w:tc>
          <w:tcPr>
            <w:tcW w:w="6296" w:type="dxa"/>
          </w:tcPr>
          <w:p w:rsidR="008F534F" w:rsidRDefault="008F534F" w:rsidP="008F534F">
            <w:r w:rsidRPr="008D0187">
              <w:t>P-glycoprotein</w:t>
            </w:r>
          </w:p>
        </w:tc>
      </w:tr>
      <w:tr w:rsidR="008F534F" w:rsidTr="00D609AB">
        <w:tc>
          <w:tcPr>
            <w:tcW w:w="2505" w:type="dxa"/>
          </w:tcPr>
          <w:p w:rsidR="008F534F" w:rsidRPr="00B06816" w:rsidRDefault="008F534F" w:rsidP="008F534F">
            <w:r w:rsidRPr="009D733A">
              <w:t>PK</w:t>
            </w:r>
          </w:p>
        </w:tc>
        <w:tc>
          <w:tcPr>
            <w:tcW w:w="6296" w:type="dxa"/>
          </w:tcPr>
          <w:p w:rsidR="008F534F" w:rsidRDefault="008F534F" w:rsidP="008F534F">
            <w:r w:rsidRPr="009D733A">
              <w:t>pharmacokinetic(s)</w:t>
            </w:r>
          </w:p>
        </w:tc>
      </w:tr>
      <w:tr w:rsidR="008F534F" w:rsidTr="00D609AB">
        <w:tc>
          <w:tcPr>
            <w:tcW w:w="2505" w:type="dxa"/>
          </w:tcPr>
          <w:p w:rsidR="008F534F" w:rsidRPr="00B06816" w:rsidRDefault="008F534F" w:rsidP="008F534F">
            <w:r w:rsidRPr="009D733A">
              <w:t>PP</w:t>
            </w:r>
          </w:p>
        </w:tc>
        <w:tc>
          <w:tcPr>
            <w:tcW w:w="6296" w:type="dxa"/>
          </w:tcPr>
          <w:p w:rsidR="008F534F" w:rsidRDefault="008F534F" w:rsidP="008F534F">
            <w:r w:rsidRPr="009D733A">
              <w:t>Per Protocol</w:t>
            </w:r>
          </w:p>
        </w:tc>
      </w:tr>
      <w:tr w:rsidR="008F534F" w:rsidTr="00D609AB">
        <w:tc>
          <w:tcPr>
            <w:tcW w:w="2505" w:type="dxa"/>
          </w:tcPr>
          <w:p w:rsidR="008F534F" w:rsidRPr="00B06816" w:rsidRDefault="008F534F" w:rsidP="008F534F">
            <w:r w:rsidRPr="009D733A">
              <w:t>PRT</w:t>
            </w:r>
          </w:p>
        </w:tc>
        <w:tc>
          <w:tcPr>
            <w:tcW w:w="6296" w:type="dxa"/>
          </w:tcPr>
          <w:p w:rsidR="008F534F" w:rsidRDefault="008F534F" w:rsidP="008F534F">
            <w:r w:rsidRPr="009D733A">
              <w:t>proximal renal tubulopathy</w:t>
            </w:r>
          </w:p>
        </w:tc>
      </w:tr>
      <w:tr w:rsidR="008F534F" w:rsidTr="00D609AB">
        <w:tc>
          <w:tcPr>
            <w:tcW w:w="2505" w:type="dxa"/>
          </w:tcPr>
          <w:p w:rsidR="008F534F" w:rsidRPr="00B06816" w:rsidRDefault="008F534F" w:rsidP="008F534F">
            <w:r w:rsidRPr="009D733A">
              <w:t>PTH</w:t>
            </w:r>
          </w:p>
        </w:tc>
        <w:tc>
          <w:tcPr>
            <w:tcW w:w="6296" w:type="dxa"/>
          </w:tcPr>
          <w:p w:rsidR="008F534F" w:rsidRDefault="008F534F" w:rsidP="008F534F">
            <w:r w:rsidRPr="009D733A">
              <w:t>parathyroid hormone</w:t>
            </w:r>
          </w:p>
        </w:tc>
      </w:tr>
      <w:tr w:rsidR="0021548E" w:rsidTr="00D609AB">
        <w:tc>
          <w:tcPr>
            <w:tcW w:w="2505" w:type="dxa"/>
          </w:tcPr>
          <w:p w:rsidR="0021548E" w:rsidRPr="009D733A" w:rsidRDefault="0021548E" w:rsidP="008F534F">
            <w:r>
              <w:t>PXR</w:t>
            </w:r>
          </w:p>
        </w:tc>
        <w:tc>
          <w:tcPr>
            <w:tcW w:w="6296" w:type="dxa"/>
          </w:tcPr>
          <w:p w:rsidR="0021548E" w:rsidRPr="009D733A" w:rsidRDefault="0021548E" w:rsidP="008F534F">
            <w:r>
              <w:t>pregnane X receptor</w:t>
            </w:r>
          </w:p>
        </w:tc>
      </w:tr>
      <w:tr w:rsidR="008F534F" w:rsidTr="00D609AB">
        <w:tc>
          <w:tcPr>
            <w:tcW w:w="2505" w:type="dxa"/>
          </w:tcPr>
          <w:p w:rsidR="008F534F" w:rsidRPr="00B06816" w:rsidRDefault="008F534F" w:rsidP="008F534F">
            <w:r w:rsidRPr="009D733A">
              <w:t>Q1, Q3</w:t>
            </w:r>
          </w:p>
        </w:tc>
        <w:tc>
          <w:tcPr>
            <w:tcW w:w="6296" w:type="dxa"/>
          </w:tcPr>
          <w:p w:rsidR="008F534F" w:rsidRDefault="008F534F" w:rsidP="008F534F">
            <w:r w:rsidRPr="009D733A">
              <w:t>first quartile, third quartile</w:t>
            </w:r>
          </w:p>
        </w:tc>
      </w:tr>
      <w:tr w:rsidR="00C70286" w:rsidTr="00D609AB">
        <w:tc>
          <w:tcPr>
            <w:tcW w:w="2505" w:type="dxa"/>
          </w:tcPr>
          <w:p w:rsidR="00C70286" w:rsidRPr="009D733A" w:rsidRDefault="00C70286" w:rsidP="008F534F">
            <w:r w:rsidRPr="00C70286">
              <w:t>QTcF</w:t>
            </w:r>
          </w:p>
        </w:tc>
        <w:tc>
          <w:tcPr>
            <w:tcW w:w="6296" w:type="dxa"/>
          </w:tcPr>
          <w:p w:rsidR="00C70286" w:rsidRPr="009D733A" w:rsidRDefault="00C70286" w:rsidP="008F534F">
            <w:r>
              <w:t>Fridericia’s corrected QT interval for heart rate</w:t>
            </w:r>
          </w:p>
        </w:tc>
      </w:tr>
      <w:tr w:rsidR="005A4943" w:rsidTr="00D609AB">
        <w:tc>
          <w:tcPr>
            <w:tcW w:w="2505" w:type="dxa"/>
          </w:tcPr>
          <w:p w:rsidR="005A4943" w:rsidRPr="009D733A" w:rsidRDefault="005A4943" w:rsidP="008F534F">
            <w:r>
              <w:t>QUAD</w:t>
            </w:r>
          </w:p>
        </w:tc>
        <w:tc>
          <w:tcPr>
            <w:tcW w:w="6296" w:type="dxa"/>
          </w:tcPr>
          <w:p w:rsidR="005A4943" w:rsidRPr="009D733A" w:rsidRDefault="003328D2" w:rsidP="008F534F">
            <w:r>
              <w:t>Stribi</w:t>
            </w:r>
            <w:r w:rsidR="00EB5ADD">
              <w:t>ld</w:t>
            </w:r>
          </w:p>
        </w:tc>
      </w:tr>
      <w:tr w:rsidR="008F534F" w:rsidTr="00D609AB">
        <w:tc>
          <w:tcPr>
            <w:tcW w:w="2505" w:type="dxa"/>
          </w:tcPr>
          <w:p w:rsidR="008F534F" w:rsidRPr="00B06816" w:rsidRDefault="008F534F" w:rsidP="008F534F">
            <w:r w:rsidRPr="009D733A">
              <w:t>-R</w:t>
            </w:r>
          </w:p>
        </w:tc>
        <w:tc>
          <w:tcPr>
            <w:tcW w:w="6296" w:type="dxa"/>
          </w:tcPr>
          <w:p w:rsidR="008F534F" w:rsidRDefault="008F534F" w:rsidP="008F534F">
            <w:r w:rsidRPr="009D733A">
              <w:t>resistant</w:t>
            </w:r>
          </w:p>
        </w:tc>
      </w:tr>
      <w:tr w:rsidR="008F534F" w:rsidTr="00D609AB">
        <w:tc>
          <w:tcPr>
            <w:tcW w:w="2505" w:type="dxa"/>
          </w:tcPr>
          <w:p w:rsidR="008F534F" w:rsidRPr="00B06816" w:rsidRDefault="008F534F" w:rsidP="008F534F">
            <w:r w:rsidRPr="009D733A">
              <w:t>RNA</w:t>
            </w:r>
          </w:p>
        </w:tc>
        <w:tc>
          <w:tcPr>
            <w:tcW w:w="6296" w:type="dxa"/>
          </w:tcPr>
          <w:p w:rsidR="008F534F" w:rsidRDefault="008F534F" w:rsidP="008F534F">
            <w:r w:rsidRPr="009D733A">
              <w:t>ribonucleic acid</w:t>
            </w:r>
          </w:p>
        </w:tc>
      </w:tr>
      <w:tr w:rsidR="008F534F" w:rsidTr="00D609AB">
        <w:tc>
          <w:tcPr>
            <w:tcW w:w="2505" w:type="dxa"/>
          </w:tcPr>
          <w:p w:rsidR="008F534F" w:rsidRPr="00B06816" w:rsidRDefault="008F534F" w:rsidP="008F534F">
            <w:r w:rsidRPr="009D733A">
              <w:t>rNTP</w:t>
            </w:r>
          </w:p>
        </w:tc>
        <w:tc>
          <w:tcPr>
            <w:tcW w:w="6296" w:type="dxa"/>
          </w:tcPr>
          <w:p w:rsidR="008F534F" w:rsidRDefault="008F534F" w:rsidP="008F534F">
            <w:r w:rsidRPr="009D733A">
              <w:t>ribonucleoside triphosphate</w:t>
            </w:r>
          </w:p>
        </w:tc>
      </w:tr>
      <w:tr w:rsidR="008F534F" w:rsidTr="00D609AB">
        <w:tc>
          <w:tcPr>
            <w:tcW w:w="2505" w:type="dxa"/>
          </w:tcPr>
          <w:p w:rsidR="008F534F" w:rsidRPr="00B06816" w:rsidRDefault="008F534F" w:rsidP="008F534F">
            <w:r w:rsidRPr="009D733A">
              <w:t>RT</w:t>
            </w:r>
          </w:p>
        </w:tc>
        <w:tc>
          <w:tcPr>
            <w:tcW w:w="6296" w:type="dxa"/>
          </w:tcPr>
          <w:p w:rsidR="008F534F" w:rsidRDefault="008F534F" w:rsidP="008F534F">
            <w:r w:rsidRPr="009D733A">
              <w:t>reverse transcriptase</w:t>
            </w:r>
          </w:p>
        </w:tc>
      </w:tr>
      <w:tr w:rsidR="008F534F" w:rsidTr="00D609AB">
        <w:tc>
          <w:tcPr>
            <w:tcW w:w="2505" w:type="dxa"/>
          </w:tcPr>
          <w:p w:rsidR="008F534F" w:rsidRPr="00B06816" w:rsidRDefault="008F534F" w:rsidP="008F534F">
            <w:r w:rsidRPr="009D733A">
              <w:t>RTV</w:t>
            </w:r>
          </w:p>
        </w:tc>
        <w:tc>
          <w:tcPr>
            <w:tcW w:w="6296" w:type="dxa"/>
          </w:tcPr>
          <w:p w:rsidR="008F534F" w:rsidRDefault="008F534F" w:rsidP="008F534F">
            <w:r w:rsidRPr="009D733A">
              <w:t>ritonavir</w:t>
            </w:r>
          </w:p>
        </w:tc>
      </w:tr>
      <w:tr w:rsidR="008F534F" w:rsidTr="00D609AB">
        <w:tc>
          <w:tcPr>
            <w:tcW w:w="2505" w:type="dxa"/>
          </w:tcPr>
          <w:p w:rsidR="008F534F" w:rsidRPr="00B06816" w:rsidRDefault="008F534F" w:rsidP="008F534F">
            <w:r w:rsidRPr="009D733A">
              <w:t>SAE</w:t>
            </w:r>
          </w:p>
        </w:tc>
        <w:tc>
          <w:tcPr>
            <w:tcW w:w="6296" w:type="dxa"/>
          </w:tcPr>
          <w:p w:rsidR="008F534F" w:rsidRDefault="008F534F" w:rsidP="008F534F">
            <w:r w:rsidRPr="009D733A">
              <w:t>serious adverse event</w:t>
            </w:r>
          </w:p>
        </w:tc>
      </w:tr>
      <w:tr w:rsidR="008F534F" w:rsidTr="00D609AB">
        <w:tc>
          <w:tcPr>
            <w:tcW w:w="2505" w:type="dxa"/>
          </w:tcPr>
          <w:p w:rsidR="008F534F" w:rsidRPr="00B06816" w:rsidRDefault="008F534F" w:rsidP="008F534F">
            <w:r w:rsidRPr="009D733A">
              <w:lastRenderedPageBreak/>
              <w:t>SAP</w:t>
            </w:r>
          </w:p>
        </w:tc>
        <w:tc>
          <w:tcPr>
            <w:tcW w:w="6296" w:type="dxa"/>
          </w:tcPr>
          <w:p w:rsidR="008F534F" w:rsidRDefault="008F534F" w:rsidP="008F534F">
            <w:r w:rsidRPr="009D733A">
              <w:t>statistical analysis plan</w:t>
            </w:r>
          </w:p>
        </w:tc>
      </w:tr>
      <w:tr w:rsidR="008F534F" w:rsidTr="00D609AB">
        <w:tc>
          <w:tcPr>
            <w:tcW w:w="2505" w:type="dxa"/>
          </w:tcPr>
          <w:p w:rsidR="008F534F" w:rsidRPr="00B06816" w:rsidRDefault="008F534F" w:rsidP="008F534F">
            <w:r w:rsidRPr="009D733A">
              <w:t>SD</w:t>
            </w:r>
          </w:p>
        </w:tc>
        <w:tc>
          <w:tcPr>
            <w:tcW w:w="6296" w:type="dxa"/>
          </w:tcPr>
          <w:p w:rsidR="008F534F" w:rsidRDefault="008F534F" w:rsidP="008F534F">
            <w:r w:rsidRPr="009D733A">
              <w:t>standard deviation</w:t>
            </w:r>
          </w:p>
        </w:tc>
      </w:tr>
      <w:tr w:rsidR="008F534F" w:rsidTr="00D609AB">
        <w:tc>
          <w:tcPr>
            <w:tcW w:w="2505" w:type="dxa"/>
          </w:tcPr>
          <w:p w:rsidR="008F534F" w:rsidRPr="00B06816" w:rsidRDefault="008F534F" w:rsidP="008F534F">
            <w:r w:rsidRPr="009D733A">
              <w:t>SI</w:t>
            </w:r>
          </w:p>
        </w:tc>
        <w:tc>
          <w:tcPr>
            <w:tcW w:w="6296" w:type="dxa"/>
          </w:tcPr>
          <w:p w:rsidR="008F534F" w:rsidRDefault="008F534F" w:rsidP="008F534F">
            <w:r w:rsidRPr="009D733A">
              <w:t>se</w:t>
            </w:r>
            <w:r>
              <w:t xml:space="preserve">lectivity index (ratio of CC50 </w:t>
            </w:r>
            <w:r w:rsidRPr="009D733A">
              <w:t>to IC50 )</w:t>
            </w:r>
          </w:p>
        </w:tc>
      </w:tr>
      <w:tr w:rsidR="00015675" w:rsidTr="00D609AB">
        <w:tc>
          <w:tcPr>
            <w:tcW w:w="2505" w:type="dxa"/>
          </w:tcPr>
          <w:p w:rsidR="00015675" w:rsidRPr="009D733A" w:rsidRDefault="00015675" w:rsidP="008F534F">
            <w:r>
              <w:t>SIV</w:t>
            </w:r>
          </w:p>
        </w:tc>
        <w:tc>
          <w:tcPr>
            <w:tcW w:w="6296" w:type="dxa"/>
          </w:tcPr>
          <w:p w:rsidR="00015675" w:rsidRPr="009D733A" w:rsidRDefault="0094660D" w:rsidP="008F534F">
            <w:r>
              <w:t>Simian immunodeficiency virus</w:t>
            </w:r>
          </w:p>
        </w:tc>
      </w:tr>
      <w:tr w:rsidR="008F534F" w:rsidTr="00D609AB">
        <w:tc>
          <w:tcPr>
            <w:tcW w:w="2505" w:type="dxa"/>
          </w:tcPr>
          <w:p w:rsidR="008F534F" w:rsidRPr="00B06816" w:rsidRDefault="008F534F" w:rsidP="008F534F">
            <w:r w:rsidRPr="009D733A">
              <w:t>SOC</w:t>
            </w:r>
          </w:p>
        </w:tc>
        <w:tc>
          <w:tcPr>
            <w:tcW w:w="6296" w:type="dxa"/>
          </w:tcPr>
          <w:p w:rsidR="008F534F" w:rsidRDefault="008F534F" w:rsidP="008F534F">
            <w:r w:rsidRPr="009D733A">
              <w:t>system organ class</w:t>
            </w:r>
          </w:p>
        </w:tc>
      </w:tr>
      <w:tr w:rsidR="008F534F" w:rsidTr="00D609AB">
        <w:tc>
          <w:tcPr>
            <w:tcW w:w="2505" w:type="dxa"/>
          </w:tcPr>
          <w:p w:rsidR="008F534F" w:rsidRPr="00B06816" w:rsidRDefault="008F534F" w:rsidP="008F534F">
            <w:r w:rsidRPr="009D733A">
              <w:t>STB</w:t>
            </w:r>
          </w:p>
        </w:tc>
        <w:tc>
          <w:tcPr>
            <w:tcW w:w="6296" w:type="dxa"/>
          </w:tcPr>
          <w:p w:rsidR="008F534F" w:rsidRDefault="008F534F" w:rsidP="008F534F">
            <w:pPr>
              <w:pStyle w:val="Abbreviations"/>
            </w:pPr>
            <w:r w:rsidRPr="000C038C">
              <w:t>elvitegravir/cobicistat/emtricitabine/ tenofovir disoproxil fumarate (co</w:t>
            </w:r>
            <w:r w:rsidR="000C551F">
              <w:t>-</w:t>
            </w:r>
            <w:r w:rsidRPr="000C038C">
              <w:t>formulated;</w:t>
            </w:r>
            <w:r>
              <w:t xml:space="preserve"> Stribild</w:t>
            </w:r>
            <w:r w:rsidRPr="000C038C">
              <w:t>)</w:t>
            </w:r>
          </w:p>
        </w:tc>
      </w:tr>
      <w:tr w:rsidR="008F534F" w:rsidTr="00D609AB">
        <w:tc>
          <w:tcPr>
            <w:tcW w:w="2505" w:type="dxa"/>
          </w:tcPr>
          <w:p w:rsidR="008F534F" w:rsidRPr="00B06816" w:rsidRDefault="008F534F" w:rsidP="008F534F">
            <w:r w:rsidRPr="009D733A">
              <w:t>STR</w:t>
            </w:r>
          </w:p>
        </w:tc>
        <w:tc>
          <w:tcPr>
            <w:tcW w:w="6296" w:type="dxa"/>
          </w:tcPr>
          <w:p w:rsidR="008F534F" w:rsidRDefault="008F534F" w:rsidP="008F534F">
            <w:r w:rsidRPr="009D733A">
              <w:t>single-tablet regimen (also referred to as FDC for E/C/F/TAF)</w:t>
            </w:r>
          </w:p>
        </w:tc>
      </w:tr>
      <w:tr w:rsidR="000C551F" w:rsidTr="00D609AB">
        <w:tc>
          <w:tcPr>
            <w:tcW w:w="2505" w:type="dxa"/>
          </w:tcPr>
          <w:p w:rsidR="000C551F" w:rsidRPr="009D733A" w:rsidRDefault="000C551F" w:rsidP="008F534F">
            <w:r>
              <w:t>t½</w:t>
            </w:r>
          </w:p>
        </w:tc>
        <w:tc>
          <w:tcPr>
            <w:tcW w:w="6296" w:type="dxa"/>
          </w:tcPr>
          <w:p w:rsidR="000C551F" w:rsidRPr="009D733A" w:rsidRDefault="000C551F" w:rsidP="008F534F">
            <w:r>
              <w:t>half life</w:t>
            </w:r>
          </w:p>
        </w:tc>
      </w:tr>
      <w:tr w:rsidR="00FF0D5B" w:rsidTr="00D609AB">
        <w:tc>
          <w:tcPr>
            <w:tcW w:w="2505" w:type="dxa"/>
          </w:tcPr>
          <w:p w:rsidR="00FF0D5B" w:rsidRPr="009D733A" w:rsidRDefault="00FF0D5B" w:rsidP="008F534F">
            <w:r>
              <w:t>T3</w:t>
            </w:r>
          </w:p>
        </w:tc>
        <w:tc>
          <w:tcPr>
            <w:tcW w:w="6296" w:type="dxa"/>
          </w:tcPr>
          <w:p w:rsidR="00FF0D5B" w:rsidRPr="009D733A" w:rsidRDefault="00FF0D5B" w:rsidP="008F534F">
            <w:r w:rsidRPr="00FF0D5B">
              <w:t>Triiodothyronine</w:t>
            </w:r>
          </w:p>
        </w:tc>
      </w:tr>
      <w:tr w:rsidR="008F534F" w:rsidTr="00D609AB">
        <w:tc>
          <w:tcPr>
            <w:tcW w:w="2505" w:type="dxa"/>
          </w:tcPr>
          <w:p w:rsidR="008F534F" w:rsidRPr="00B06816" w:rsidRDefault="008F534F" w:rsidP="008F534F">
            <w:r w:rsidRPr="009D733A">
              <w:t>TAF</w:t>
            </w:r>
          </w:p>
        </w:tc>
        <w:tc>
          <w:tcPr>
            <w:tcW w:w="6296" w:type="dxa"/>
          </w:tcPr>
          <w:p w:rsidR="008F534F" w:rsidRDefault="008F534F" w:rsidP="008F534F">
            <w:r w:rsidRPr="009D733A">
              <w:t>tenofovir alafenamide</w:t>
            </w:r>
          </w:p>
        </w:tc>
      </w:tr>
      <w:tr w:rsidR="008F534F" w:rsidTr="00D609AB">
        <w:tc>
          <w:tcPr>
            <w:tcW w:w="2505" w:type="dxa"/>
          </w:tcPr>
          <w:p w:rsidR="008F534F" w:rsidRPr="00B06816" w:rsidRDefault="008F534F" w:rsidP="008F534F">
            <w:r w:rsidRPr="009D733A">
              <w:t>TAM</w:t>
            </w:r>
          </w:p>
        </w:tc>
        <w:tc>
          <w:tcPr>
            <w:tcW w:w="6296" w:type="dxa"/>
          </w:tcPr>
          <w:p w:rsidR="008F534F" w:rsidRDefault="008F534F" w:rsidP="008F534F">
            <w:r w:rsidRPr="009D733A">
              <w:t>thymidine analog mutation</w:t>
            </w:r>
          </w:p>
        </w:tc>
      </w:tr>
      <w:tr w:rsidR="008F534F" w:rsidTr="00D609AB">
        <w:tc>
          <w:tcPr>
            <w:tcW w:w="2505" w:type="dxa"/>
          </w:tcPr>
          <w:p w:rsidR="008F534F" w:rsidRPr="00B06816" w:rsidRDefault="008F534F" w:rsidP="008F534F">
            <w:r w:rsidRPr="009D733A">
              <w:t>TDF</w:t>
            </w:r>
          </w:p>
        </w:tc>
        <w:tc>
          <w:tcPr>
            <w:tcW w:w="6296" w:type="dxa"/>
          </w:tcPr>
          <w:p w:rsidR="008F534F" w:rsidRDefault="008F534F" w:rsidP="008F534F">
            <w:r w:rsidRPr="009D733A">
              <w:t>tenofov</w:t>
            </w:r>
            <w:r>
              <w:t>ir disoproxil fumarate (Viread</w:t>
            </w:r>
            <w:r w:rsidRPr="009D733A">
              <w:t>)</w:t>
            </w:r>
          </w:p>
        </w:tc>
      </w:tr>
      <w:tr w:rsidR="008F534F" w:rsidTr="00D609AB">
        <w:tc>
          <w:tcPr>
            <w:tcW w:w="2505" w:type="dxa"/>
          </w:tcPr>
          <w:p w:rsidR="008F534F" w:rsidRPr="00B06816" w:rsidRDefault="008F534F" w:rsidP="008F534F">
            <w:r>
              <w:t>TFV</w:t>
            </w:r>
          </w:p>
        </w:tc>
        <w:tc>
          <w:tcPr>
            <w:tcW w:w="6296" w:type="dxa"/>
          </w:tcPr>
          <w:p w:rsidR="008F534F" w:rsidRDefault="008F534F" w:rsidP="008F534F">
            <w:r w:rsidRPr="009D733A">
              <w:t>tenofovir</w:t>
            </w:r>
          </w:p>
        </w:tc>
      </w:tr>
      <w:tr w:rsidR="008F534F" w:rsidTr="00D609AB">
        <w:tc>
          <w:tcPr>
            <w:tcW w:w="2505" w:type="dxa"/>
          </w:tcPr>
          <w:p w:rsidR="008F534F" w:rsidRPr="00B06816" w:rsidRDefault="008F534F" w:rsidP="008F534F">
            <w:r w:rsidRPr="009D733A">
              <w:t>TFV-DP</w:t>
            </w:r>
          </w:p>
        </w:tc>
        <w:tc>
          <w:tcPr>
            <w:tcW w:w="6296" w:type="dxa"/>
          </w:tcPr>
          <w:p w:rsidR="008F534F" w:rsidRDefault="008F534F" w:rsidP="008F534F">
            <w:r w:rsidRPr="009D733A">
              <w:t>tenofovir diphosphate</w:t>
            </w:r>
          </w:p>
        </w:tc>
      </w:tr>
      <w:tr w:rsidR="008F534F" w:rsidTr="00D609AB">
        <w:tc>
          <w:tcPr>
            <w:tcW w:w="2505" w:type="dxa"/>
          </w:tcPr>
          <w:p w:rsidR="008F534F" w:rsidRPr="00B06816" w:rsidRDefault="008F534F" w:rsidP="008F534F">
            <w:r w:rsidRPr="009D733A">
              <w:t>TFV-MP</w:t>
            </w:r>
          </w:p>
        </w:tc>
        <w:tc>
          <w:tcPr>
            <w:tcW w:w="6296" w:type="dxa"/>
          </w:tcPr>
          <w:p w:rsidR="008F534F" w:rsidRDefault="008F534F" w:rsidP="008F534F">
            <w:r w:rsidRPr="009D733A">
              <w:t>tenofovir monophosphate (previously referred to as PMPAp)</w:t>
            </w:r>
          </w:p>
        </w:tc>
      </w:tr>
      <w:tr w:rsidR="008F534F" w:rsidTr="00D609AB">
        <w:tc>
          <w:tcPr>
            <w:tcW w:w="2505" w:type="dxa"/>
          </w:tcPr>
          <w:p w:rsidR="008F534F" w:rsidRPr="00B06816" w:rsidRDefault="008F534F" w:rsidP="008F534F">
            <w:r w:rsidRPr="009D733A">
              <w:t>TVD</w:t>
            </w:r>
          </w:p>
        </w:tc>
        <w:tc>
          <w:tcPr>
            <w:tcW w:w="6296" w:type="dxa"/>
          </w:tcPr>
          <w:p w:rsidR="008F534F" w:rsidRDefault="008F534F" w:rsidP="008F534F">
            <w:r w:rsidRPr="009D733A">
              <w:t>emtricitabine/tenofovir disoproxil fumarate (coformulated; Truvada)</w:t>
            </w:r>
          </w:p>
        </w:tc>
      </w:tr>
      <w:tr w:rsidR="008F534F" w:rsidTr="00D609AB">
        <w:tc>
          <w:tcPr>
            <w:tcW w:w="2505" w:type="dxa"/>
          </w:tcPr>
          <w:p w:rsidR="008F534F" w:rsidRPr="009D733A" w:rsidRDefault="008F534F" w:rsidP="008F534F">
            <w:r w:rsidRPr="00612B63">
              <w:t>UGT</w:t>
            </w:r>
          </w:p>
        </w:tc>
        <w:tc>
          <w:tcPr>
            <w:tcW w:w="6296" w:type="dxa"/>
          </w:tcPr>
          <w:p w:rsidR="008F534F" w:rsidRPr="009D733A" w:rsidRDefault="008F534F" w:rsidP="008F534F">
            <w:r w:rsidRPr="00612B63">
              <w:t>uridine diphosphate glucuronosyltransferase</w:t>
            </w:r>
          </w:p>
        </w:tc>
      </w:tr>
      <w:tr w:rsidR="008F534F" w:rsidTr="00D609AB">
        <w:tc>
          <w:tcPr>
            <w:tcW w:w="2505" w:type="dxa"/>
          </w:tcPr>
          <w:p w:rsidR="008F534F" w:rsidRPr="009D733A" w:rsidRDefault="008F534F" w:rsidP="008F534F">
            <w:r w:rsidRPr="00612B63">
              <w:t>ULN</w:t>
            </w:r>
          </w:p>
        </w:tc>
        <w:tc>
          <w:tcPr>
            <w:tcW w:w="6296" w:type="dxa"/>
          </w:tcPr>
          <w:p w:rsidR="008F534F" w:rsidRPr="009D733A" w:rsidRDefault="008F534F" w:rsidP="008F534F">
            <w:r w:rsidRPr="00612B63">
              <w:t>upper limit of normal</w:t>
            </w:r>
          </w:p>
        </w:tc>
      </w:tr>
      <w:tr w:rsidR="008F534F" w:rsidTr="00D609AB">
        <w:tc>
          <w:tcPr>
            <w:tcW w:w="2505" w:type="dxa"/>
          </w:tcPr>
          <w:p w:rsidR="008F534F" w:rsidRPr="009D733A" w:rsidRDefault="008F534F" w:rsidP="008F534F">
            <w:r w:rsidRPr="00612B63">
              <w:t>UPCR</w:t>
            </w:r>
          </w:p>
        </w:tc>
        <w:tc>
          <w:tcPr>
            <w:tcW w:w="6296" w:type="dxa"/>
          </w:tcPr>
          <w:p w:rsidR="008F534F" w:rsidRPr="009D733A" w:rsidRDefault="008F534F" w:rsidP="008F534F">
            <w:r w:rsidRPr="00612B63">
              <w:t>urine protein to creatinine ratio</w:t>
            </w:r>
          </w:p>
        </w:tc>
      </w:tr>
      <w:tr w:rsidR="008F534F" w:rsidTr="00D609AB">
        <w:tc>
          <w:tcPr>
            <w:tcW w:w="2505" w:type="dxa"/>
          </w:tcPr>
          <w:p w:rsidR="008F534F" w:rsidRPr="009D733A" w:rsidRDefault="008F534F" w:rsidP="008F534F">
            <w:r w:rsidRPr="00612B63">
              <w:t>US</w:t>
            </w:r>
          </w:p>
        </w:tc>
        <w:tc>
          <w:tcPr>
            <w:tcW w:w="6296" w:type="dxa"/>
          </w:tcPr>
          <w:p w:rsidR="008F534F" w:rsidRPr="009D733A" w:rsidRDefault="008F534F" w:rsidP="008F534F">
            <w:r w:rsidRPr="00612B63">
              <w:t>United States</w:t>
            </w:r>
          </w:p>
        </w:tc>
      </w:tr>
    </w:tbl>
    <w:p w:rsidR="008E7846" w:rsidRDefault="00F53C07" w:rsidP="004712C5">
      <w:pPr>
        <w:pStyle w:val="Heading2"/>
        <w:pageBreakBefore/>
        <w:spacing w:before="240"/>
      </w:pPr>
      <w:bookmarkStart w:id="9" w:name="_Toc455474476"/>
      <w:r>
        <w:lastRenderedPageBreak/>
        <w:t>I.</w:t>
      </w:r>
      <w:r w:rsidR="008E7846">
        <w:t xml:space="preserve"> Introduction to product submission</w:t>
      </w:r>
      <w:bookmarkEnd w:id="9"/>
      <w:bookmarkEnd w:id="1"/>
      <w:bookmarkEnd w:id="3"/>
    </w:p>
    <w:p w:rsidR="008E7846" w:rsidRDefault="008E7846" w:rsidP="008E7846">
      <w:pPr>
        <w:pStyle w:val="Heading3"/>
        <w:rPr>
          <w:lang w:eastAsia="en-AU"/>
        </w:rPr>
      </w:pPr>
      <w:bookmarkStart w:id="10" w:name="_Toc247691502"/>
      <w:bookmarkStart w:id="11" w:name="_Toc314842483"/>
      <w:bookmarkStart w:id="12" w:name="_Toc455474477"/>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9B1BB7">
            <w:r w:rsidRPr="003D1E62">
              <w:t xml:space="preserve">New </w:t>
            </w:r>
            <w:r w:rsidR="001B5C90">
              <w:t>c</w:t>
            </w:r>
            <w:r w:rsidRPr="003D1E62">
              <w:t xml:space="preserve">hemical </w:t>
            </w:r>
            <w:r w:rsidR="001B5C90">
              <w:t>e</w:t>
            </w:r>
            <w:r w:rsidR="009B1BB7">
              <w:t>ntity/ new fixed dose combination</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9B1BB7" w:rsidP="001B5C90">
            <w:r>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B938B2" w:rsidP="001B5C90">
            <w:r>
              <w:t>12 January 2016</w:t>
            </w:r>
          </w:p>
        </w:tc>
      </w:tr>
      <w:tr w:rsidR="00ED2922" w:rsidRPr="003D1E62" w:rsidTr="0089635C">
        <w:trPr>
          <w:trHeight w:hRule="exact" w:val="454"/>
        </w:trPr>
        <w:tc>
          <w:tcPr>
            <w:tcW w:w="2907" w:type="dxa"/>
          </w:tcPr>
          <w:p w:rsidR="00ED2922" w:rsidRPr="00441C3F" w:rsidRDefault="00ED2922" w:rsidP="001B5C90">
            <w:pPr>
              <w:rPr>
                <w:i/>
              </w:rPr>
            </w:pPr>
            <w:r w:rsidRPr="00441C3F">
              <w:rPr>
                <w:i/>
              </w:rPr>
              <w:t>Date of entry onto ARTG</w:t>
            </w:r>
          </w:p>
        </w:tc>
        <w:tc>
          <w:tcPr>
            <w:tcW w:w="6590" w:type="dxa"/>
          </w:tcPr>
          <w:p w:rsidR="00ED2922" w:rsidRPr="00441C3F" w:rsidRDefault="00B938B2" w:rsidP="00EC463D">
            <w:pPr>
              <w:rPr>
                <w:i/>
              </w:rPr>
            </w:pPr>
            <w:r>
              <w:t>15 January 2016</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B938B2" w:rsidP="00E45619">
            <w:pPr>
              <w:rPr>
                <w:i/>
              </w:rPr>
            </w:pPr>
            <w:r>
              <w:rPr>
                <w:i/>
              </w:rPr>
              <w:t>Active ingredients</w:t>
            </w:r>
            <w:r w:rsidR="001B5C90">
              <w:rPr>
                <w:i/>
              </w:rPr>
              <w:t>:</w:t>
            </w:r>
          </w:p>
        </w:tc>
        <w:tc>
          <w:tcPr>
            <w:tcW w:w="6307" w:type="dxa"/>
          </w:tcPr>
          <w:p w:rsidR="008E7846" w:rsidRPr="00487162" w:rsidRDefault="00B938B2" w:rsidP="00E45619">
            <w:r w:rsidRPr="00B938B2">
              <w:t>Elvitegravir / Cobicistat / Emtricitabine / Tenofovir alafenamide (as fumarate)</w:t>
            </w:r>
          </w:p>
        </w:tc>
      </w:tr>
      <w:tr w:rsidR="008E7846" w:rsidRPr="00487162" w:rsidTr="00BF1190">
        <w:tc>
          <w:tcPr>
            <w:tcW w:w="2907" w:type="dxa"/>
          </w:tcPr>
          <w:p w:rsidR="008E7846" w:rsidRPr="00487162" w:rsidRDefault="008E7846" w:rsidP="001B5C90">
            <w:pPr>
              <w:rPr>
                <w:i/>
              </w:rPr>
            </w:pPr>
            <w:r w:rsidRPr="00487162">
              <w:rPr>
                <w:i/>
              </w:rPr>
              <w:t>Product</w:t>
            </w:r>
            <w:r w:rsidR="00EA6D79">
              <w:rPr>
                <w:i/>
              </w:rPr>
              <w:t xml:space="preserve"> name</w:t>
            </w:r>
            <w:r w:rsidR="001B5C90">
              <w:rPr>
                <w:i/>
              </w:rPr>
              <w:t>:</w:t>
            </w:r>
          </w:p>
        </w:tc>
        <w:tc>
          <w:tcPr>
            <w:tcW w:w="6307" w:type="dxa"/>
          </w:tcPr>
          <w:p w:rsidR="008E7846" w:rsidRPr="00487162" w:rsidRDefault="00734B2E" w:rsidP="00E45619">
            <w:r>
              <w:t>Genvoya</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734B2E" w:rsidP="00AD0F24">
            <w:pPr>
              <w:spacing w:before="0" w:after="0"/>
            </w:pPr>
            <w:r>
              <w:t>Gilead Sciences Pty Ltd</w:t>
            </w:r>
          </w:p>
          <w:p w:rsidR="00734B2E" w:rsidRDefault="00734B2E" w:rsidP="00AD0F24">
            <w:pPr>
              <w:spacing w:before="0" w:after="0"/>
            </w:pPr>
            <w:r>
              <w:t>Level 6/ 417 St Kilda Rd</w:t>
            </w:r>
          </w:p>
          <w:p w:rsidR="00734B2E" w:rsidRPr="00487162" w:rsidRDefault="002736F0" w:rsidP="00AD0F24">
            <w:pPr>
              <w:spacing w:before="0" w:after="0"/>
            </w:pPr>
            <w:r>
              <w:t>Melbourne</w:t>
            </w:r>
          </w:p>
        </w:tc>
      </w:tr>
      <w:tr w:rsidR="008E7846" w:rsidRPr="00487162" w:rsidTr="00BF1190">
        <w:tc>
          <w:tcPr>
            <w:tcW w:w="2907" w:type="dxa"/>
          </w:tcPr>
          <w:p w:rsidR="008E7846" w:rsidRPr="00487162" w:rsidRDefault="009B1BB7" w:rsidP="00E45619">
            <w:pPr>
              <w:rPr>
                <w:i/>
              </w:rPr>
            </w:pPr>
            <w:r>
              <w:rPr>
                <w:i/>
              </w:rPr>
              <w:t>Dose form</w:t>
            </w:r>
            <w:r w:rsidR="001B5C90">
              <w:rPr>
                <w:i/>
              </w:rPr>
              <w:t>:</w:t>
            </w:r>
          </w:p>
        </w:tc>
        <w:tc>
          <w:tcPr>
            <w:tcW w:w="6307" w:type="dxa"/>
          </w:tcPr>
          <w:p w:rsidR="008E7846" w:rsidRPr="00487162" w:rsidRDefault="00734B2E" w:rsidP="00E45619">
            <w:r>
              <w:t>Fixed dose combination table</w:t>
            </w:r>
            <w:r w:rsidR="009B1BB7">
              <w:t>t</w:t>
            </w:r>
          </w:p>
        </w:tc>
      </w:tr>
      <w:tr w:rsidR="008E7846" w:rsidRPr="00487162" w:rsidTr="00BF1190">
        <w:tc>
          <w:tcPr>
            <w:tcW w:w="2907" w:type="dxa"/>
          </w:tcPr>
          <w:p w:rsidR="008E7846" w:rsidRPr="00487162" w:rsidRDefault="009B1BB7" w:rsidP="00E45619">
            <w:pPr>
              <w:rPr>
                <w:i/>
              </w:rPr>
            </w:pPr>
            <w:r>
              <w:rPr>
                <w:i/>
              </w:rPr>
              <w:t>Strength</w:t>
            </w:r>
            <w:r w:rsidR="004D2AB1">
              <w:rPr>
                <w:i/>
              </w:rPr>
              <w:t>:</w:t>
            </w:r>
          </w:p>
        </w:tc>
        <w:tc>
          <w:tcPr>
            <w:tcW w:w="6307" w:type="dxa"/>
          </w:tcPr>
          <w:p w:rsidR="008E7846" w:rsidRPr="00487162" w:rsidRDefault="009B1BB7" w:rsidP="00E45619">
            <w:r>
              <w:t>150 mg of elvitegravir, 150 mg of cobicistat, 200 mg of emtricitabine</w:t>
            </w:r>
            <w:r w:rsidRPr="009B1BB7">
              <w:t xml:space="preserve"> and 10 mg of tenofovir alafenamide(TAF)</w:t>
            </w:r>
          </w:p>
        </w:tc>
      </w:tr>
      <w:tr w:rsidR="008E7846" w:rsidRPr="00487162" w:rsidTr="00BF1190">
        <w:tc>
          <w:tcPr>
            <w:tcW w:w="2907" w:type="dxa"/>
          </w:tcPr>
          <w:p w:rsidR="008E7846" w:rsidRPr="00487162" w:rsidRDefault="00734B2E" w:rsidP="00E45619">
            <w:pPr>
              <w:rPr>
                <w:i/>
              </w:rPr>
            </w:pPr>
            <w:r>
              <w:rPr>
                <w:i/>
              </w:rPr>
              <w:t>Container</w:t>
            </w:r>
            <w:r w:rsidR="008E7846" w:rsidRPr="00487162">
              <w:rPr>
                <w:i/>
              </w:rPr>
              <w:t>:</w:t>
            </w:r>
          </w:p>
        </w:tc>
        <w:tc>
          <w:tcPr>
            <w:tcW w:w="6307" w:type="dxa"/>
          </w:tcPr>
          <w:p w:rsidR="008E7846" w:rsidRPr="00487162" w:rsidRDefault="00734B2E" w:rsidP="00E45619">
            <w:r>
              <w:t>HDPE bottle</w:t>
            </w:r>
          </w:p>
        </w:tc>
      </w:tr>
      <w:tr w:rsidR="008E7846" w:rsidRPr="00487162" w:rsidTr="00BF1190">
        <w:tc>
          <w:tcPr>
            <w:tcW w:w="2907" w:type="dxa"/>
          </w:tcPr>
          <w:p w:rsidR="008E7846" w:rsidRPr="00487162" w:rsidRDefault="00734B2E" w:rsidP="00E45619">
            <w:pPr>
              <w:rPr>
                <w:i/>
              </w:rPr>
            </w:pPr>
            <w:r>
              <w:rPr>
                <w:i/>
              </w:rPr>
              <w:t>Pack size</w:t>
            </w:r>
            <w:r w:rsidR="008E7846" w:rsidRPr="00487162">
              <w:rPr>
                <w:i/>
              </w:rPr>
              <w:t>:</w:t>
            </w:r>
          </w:p>
        </w:tc>
        <w:tc>
          <w:tcPr>
            <w:tcW w:w="6307" w:type="dxa"/>
          </w:tcPr>
          <w:p w:rsidR="008E7846" w:rsidRPr="00487162" w:rsidRDefault="00734B2E" w:rsidP="00E45619">
            <w:r>
              <w:t xml:space="preserve">30 </w:t>
            </w:r>
            <w:r w:rsidR="002736F0">
              <w:t>tablets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97536" w:rsidRPr="00897536" w:rsidRDefault="00897536" w:rsidP="00897536">
            <w:pPr>
              <w:rPr>
                <w:rFonts w:eastAsia="MS Mincho"/>
                <w:i/>
                <w:lang w:eastAsia="ja-JP"/>
              </w:rPr>
            </w:pPr>
            <w:r w:rsidRPr="00897536">
              <w:rPr>
                <w:rFonts w:eastAsia="MS Mincho"/>
                <w:i/>
                <w:lang w:eastAsia="ja-JP"/>
              </w:rPr>
              <w:t xml:space="preserve">Genvoya is indicated as a single tablet regimen for the treatment of HIV-1 infection in adults and adolescents aged 12 years of age and older with body weight at least </w:t>
            </w:r>
            <w:r w:rsidR="00291980">
              <w:rPr>
                <w:rFonts w:eastAsia="MS Mincho"/>
                <w:i/>
                <w:lang w:eastAsia="ja-JP"/>
              </w:rPr>
              <w:t>35 kg who are either treatment,</w:t>
            </w:r>
            <w:r w:rsidRPr="00897536">
              <w:rPr>
                <w:rFonts w:eastAsia="MS Mincho"/>
                <w:i/>
                <w:lang w:eastAsia="ja-JP"/>
              </w:rPr>
              <w:t xml:space="preserve"> </w:t>
            </w:r>
            <w:r w:rsidR="00AD043A">
              <w:rPr>
                <w:rFonts w:eastAsia="MS Mincho"/>
                <w:i/>
                <w:lang w:eastAsia="ja-JP"/>
              </w:rPr>
              <w:t>naive</w:t>
            </w:r>
            <w:r w:rsidRPr="00897536">
              <w:rPr>
                <w:rFonts w:eastAsia="MS Mincho"/>
                <w:i/>
                <w:lang w:eastAsia="ja-JP"/>
              </w:rPr>
              <w:t>; or virologically suppressed (HIV-1 RNA &lt; 50 copies/mL) on a stable antiretroviral regimen at start of therapy in order to replace their current antiretroviral treatment regimen (see clinical trials). Patients must not have a history of treatment failure or known mutations associated with resistance to the antiretroviral components of Genvoya.</w:t>
            </w:r>
          </w:p>
          <w:p w:rsidR="008E7846" w:rsidRPr="00487162" w:rsidRDefault="00897536" w:rsidP="00897536">
            <w:pPr>
              <w:rPr>
                <w:rFonts w:eastAsia="MS Mincho"/>
                <w:lang w:eastAsia="ja-JP"/>
              </w:rPr>
            </w:pPr>
            <w:r w:rsidRPr="00897536">
              <w:rPr>
                <w:rFonts w:eastAsia="MS Mincho"/>
                <w:i/>
                <w:lang w:eastAsia="ja-JP"/>
              </w:rPr>
              <w:t>G</w:t>
            </w:r>
            <w:r w:rsidR="00AD0F24" w:rsidRPr="00897536">
              <w:rPr>
                <w:rFonts w:eastAsia="MS Mincho"/>
                <w:i/>
                <w:lang w:eastAsia="ja-JP"/>
              </w:rPr>
              <w:t>envoya</w:t>
            </w:r>
            <w:r w:rsidRPr="00897536">
              <w:rPr>
                <w:rFonts w:eastAsia="MS Mincho"/>
                <w:i/>
                <w:lang w:eastAsia="ja-JP"/>
              </w:rPr>
              <w:t xml:space="preserve"> is a fixed dose combination of one integrase inhibitor, one pharmacokinetic enhancer and two nucleos(t)ide HIV‐1 reverse transcriptase inhibitors.</w:t>
            </w:r>
          </w:p>
        </w:tc>
      </w:tr>
      <w:tr w:rsidR="008E7846" w:rsidRPr="00487162" w:rsidTr="00BF1190">
        <w:tc>
          <w:tcPr>
            <w:tcW w:w="2907" w:type="dxa"/>
          </w:tcPr>
          <w:p w:rsidR="008E7846" w:rsidRPr="00487162" w:rsidRDefault="00734B2E" w:rsidP="00E45619">
            <w:pPr>
              <w:rPr>
                <w:i/>
              </w:rPr>
            </w:pPr>
            <w:r>
              <w:rPr>
                <w:i/>
              </w:rPr>
              <w:t>Route</w:t>
            </w:r>
            <w:r w:rsidR="008E7846" w:rsidRPr="00487162">
              <w:rPr>
                <w:i/>
              </w:rPr>
              <w:t xml:space="preserve"> of administration:</w:t>
            </w:r>
          </w:p>
        </w:tc>
        <w:tc>
          <w:tcPr>
            <w:tcW w:w="6307" w:type="dxa"/>
          </w:tcPr>
          <w:p w:rsidR="008E7846" w:rsidRPr="00487162" w:rsidRDefault="00D22A79" w:rsidP="00E45619">
            <w:r>
              <w:t>O</w:t>
            </w:r>
            <w:r w:rsidR="00734B2E">
              <w:t>ral</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897536" w:rsidP="00E45619">
            <w:r>
              <w:t>One table</w:t>
            </w:r>
            <w:r w:rsidR="00A33F11">
              <w:t>t</w:t>
            </w:r>
            <w:r>
              <w:t xml:space="preserve"> taken daily with food</w:t>
            </w:r>
          </w:p>
        </w:tc>
      </w:tr>
      <w:tr w:rsidR="008E7846" w:rsidRPr="00487162" w:rsidTr="00BF1190">
        <w:tc>
          <w:tcPr>
            <w:tcW w:w="2907" w:type="dxa"/>
          </w:tcPr>
          <w:p w:rsidR="008E7846" w:rsidRPr="00487162" w:rsidRDefault="008E7846" w:rsidP="001B5C90">
            <w:pPr>
              <w:rPr>
                <w:i/>
              </w:rPr>
            </w:pPr>
            <w:r w:rsidRPr="00487162">
              <w:rPr>
                <w:i/>
              </w:rPr>
              <w:t xml:space="preserve">ARTG </w:t>
            </w:r>
            <w:r w:rsidR="001B5C90">
              <w:rPr>
                <w:i/>
              </w:rPr>
              <w:t>n</w:t>
            </w:r>
            <w:r w:rsidR="00AD0F24">
              <w:rPr>
                <w:i/>
              </w:rPr>
              <w:t>umber</w:t>
            </w:r>
            <w:r w:rsidR="001B5C90">
              <w:rPr>
                <w:i/>
              </w:rPr>
              <w:t>:</w:t>
            </w:r>
          </w:p>
        </w:tc>
        <w:tc>
          <w:tcPr>
            <w:tcW w:w="6307" w:type="dxa"/>
          </w:tcPr>
          <w:p w:rsidR="008E7846" w:rsidRPr="00487162" w:rsidRDefault="00734B2E" w:rsidP="00E45619">
            <w:r>
              <w:t>233398</w:t>
            </w:r>
          </w:p>
        </w:tc>
      </w:tr>
    </w:tbl>
    <w:p w:rsidR="008E7846" w:rsidRDefault="008E7846" w:rsidP="004D2AB1">
      <w:pPr>
        <w:pStyle w:val="Heading3"/>
        <w:pageBreakBefore/>
        <w:spacing w:before="240"/>
      </w:pPr>
      <w:bookmarkStart w:id="13" w:name="_Toc247691503"/>
      <w:bookmarkStart w:id="14" w:name="_Toc314842484"/>
      <w:bookmarkStart w:id="15" w:name="_Toc455474478"/>
      <w:r>
        <w:lastRenderedPageBreak/>
        <w:t>Product background</w:t>
      </w:r>
      <w:bookmarkEnd w:id="13"/>
      <w:bookmarkEnd w:id="14"/>
      <w:bookmarkEnd w:id="15"/>
    </w:p>
    <w:p w:rsidR="008E7846" w:rsidRDefault="00940A89" w:rsidP="004D2AB1">
      <w:r w:rsidRPr="00940A89">
        <w:t xml:space="preserve">This AusPAR describes the application by </w:t>
      </w:r>
      <w:r w:rsidR="00AD0F24" w:rsidRPr="00AD0F24">
        <w:t xml:space="preserve">Gilead Sciences Pty Ltd </w:t>
      </w:r>
      <w:r w:rsidR="00AD0F24">
        <w:t>(</w:t>
      </w:r>
      <w:r w:rsidRPr="00940A89">
        <w:t>the sponsor</w:t>
      </w:r>
      <w:r w:rsidR="00AD0F24">
        <w:t>)</w:t>
      </w:r>
      <w:r w:rsidRPr="00940A89">
        <w:t xml:space="preserve"> to register </w:t>
      </w:r>
      <w:r w:rsidR="00AD0F24">
        <w:t>Genvoya</w:t>
      </w:r>
      <w:r w:rsidRPr="00940A89">
        <w:t xml:space="preserve"> f</w:t>
      </w:r>
      <w:r w:rsidR="00AD0F24">
        <w:t>or the following indication:</w:t>
      </w:r>
    </w:p>
    <w:p w:rsidR="00291980" w:rsidRDefault="00E35BCF" w:rsidP="00AD0F24">
      <w:pPr>
        <w:ind w:left="720"/>
        <w:rPr>
          <w:i/>
        </w:rPr>
      </w:pPr>
      <w:r>
        <w:rPr>
          <w:i/>
        </w:rPr>
        <w:t>Genvoya</w:t>
      </w:r>
      <w:r w:rsidR="00291980" w:rsidRPr="00291980">
        <w:rPr>
          <w:i/>
        </w:rPr>
        <w:t xml:space="preserve"> is </w:t>
      </w:r>
      <w:r>
        <w:rPr>
          <w:i/>
        </w:rPr>
        <w:t xml:space="preserve">indicated </w:t>
      </w:r>
      <w:r w:rsidR="00291980" w:rsidRPr="00291980">
        <w:rPr>
          <w:i/>
        </w:rPr>
        <w:t>for the treatment of HIV-1 infection in adults and paediatric patients 12 years of age and older without any known mutations associated with resistance to the individual components of G</w:t>
      </w:r>
      <w:r w:rsidRPr="00291980">
        <w:rPr>
          <w:i/>
        </w:rPr>
        <w:t>envoya</w:t>
      </w:r>
    </w:p>
    <w:p w:rsidR="008F534F" w:rsidRPr="008F534F" w:rsidRDefault="008F534F" w:rsidP="008F534F">
      <w:r w:rsidRPr="008F534F">
        <w:t xml:space="preserve">This application seeks to register </w:t>
      </w:r>
      <w:r w:rsidR="00CA65A1">
        <w:t>a fixed dose combination tablet</w:t>
      </w:r>
      <w:r w:rsidRPr="008F534F">
        <w:t xml:space="preserve"> comprising of 150 mg of elvitegravir (EVG), 150 mg of cobicistat (COBI), 200 mg of emtricitabine (FTC) and 10 mg of tenofovir alafenamide</w:t>
      </w:r>
      <w:r w:rsidR="00CA65A1">
        <w:t xml:space="preserve"> </w:t>
      </w:r>
      <w:r w:rsidR="009B6756" w:rsidRPr="009B6756">
        <w:t xml:space="preserve">(as fumarate) </w:t>
      </w:r>
      <w:r w:rsidRPr="008F534F">
        <w:t xml:space="preserve">(TAF). The proposed indication is for the treatment of HIV-1 infection in adults and paediatric patients 12 years of age and older without any known mutations associated with resistance to the individual components of </w:t>
      </w:r>
      <w:r w:rsidR="00CA65A1">
        <w:t>Genvoya</w:t>
      </w:r>
      <w:r w:rsidRPr="008F534F">
        <w:t>.</w:t>
      </w:r>
    </w:p>
    <w:p w:rsidR="00E049C8" w:rsidRDefault="008F534F" w:rsidP="004D2AB1">
      <w:r w:rsidRPr="008F534F">
        <w:t xml:space="preserve">The similar registered product, </w:t>
      </w:r>
      <w:r w:rsidR="00CA65A1">
        <w:t>Stribild</w:t>
      </w:r>
      <w:r w:rsidRPr="008F534F">
        <w:t>, was recently approved</w:t>
      </w:r>
      <w:r w:rsidR="00E049C8">
        <w:t xml:space="preserve"> for the following indication:</w:t>
      </w:r>
    </w:p>
    <w:p w:rsidR="008F534F" w:rsidRPr="008F534F" w:rsidRDefault="00CA65A1" w:rsidP="00E049C8">
      <w:pPr>
        <w:ind w:left="720"/>
      </w:pPr>
      <w:r w:rsidRPr="00E049C8">
        <w:rPr>
          <w:i/>
        </w:rPr>
        <w:t>‘</w:t>
      </w:r>
      <w:r w:rsidR="00E049C8" w:rsidRPr="00E049C8">
        <w:rPr>
          <w:i/>
        </w:rPr>
        <w:t>Stribild is indicated</w:t>
      </w:r>
      <w:r w:rsidR="00E049C8">
        <w:t xml:space="preserve"> </w:t>
      </w:r>
      <w:r w:rsidR="008F534F" w:rsidRPr="009B6756">
        <w:rPr>
          <w:i/>
        </w:rPr>
        <w:t>as a single tablet regimen for the treatmen</w:t>
      </w:r>
      <w:r w:rsidRPr="009B6756">
        <w:rPr>
          <w:i/>
        </w:rPr>
        <w:t xml:space="preserve">t of HIV infection in treatment </w:t>
      </w:r>
      <w:r w:rsidR="00AD043A">
        <w:rPr>
          <w:i/>
        </w:rPr>
        <w:t>naive</w:t>
      </w:r>
      <w:r w:rsidR="008F534F" w:rsidRPr="009B6756">
        <w:rPr>
          <w:i/>
        </w:rPr>
        <w:t xml:space="preserve"> adults. </w:t>
      </w:r>
      <w:r w:rsidRPr="009B6756">
        <w:rPr>
          <w:i/>
        </w:rPr>
        <w:t>Stribild</w:t>
      </w:r>
      <w:r w:rsidR="008F534F" w:rsidRPr="009B6756">
        <w:rPr>
          <w:i/>
        </w:rPr>
        <w:t xml:space="preserve"> is also indicated in certain virologically suppressed (HIV</w:t>
      </w:r>
      <w:r w:rsidRPr="009B6756">
        <w:rPr>
          <w:i/>
        </w:rPr>
        <w:t>-</w:t>
      </w:r>
      <w:r w:rsidR="008F534F" w:rsidRPr="009B6756">
        <w:rPr>
          <w:i/>
        </w:rPr>
        <w:t xml:space="preserve">1 RNA </w:t>
      </w:r>
      <w:r w:rsidRPr="009B6756">
        <w:rPr>
          <w:i/>
        </w:rPr>
        <w:t xml:space="preserve">&lt; 50 </w:t>
      </w:r>
      <w:r w:rsidR="008F534F" w:rsidRPr="009B6756">
        <w:rPr>
          <w:i/>
        </w:rPr>
        <w:t>copies/mL) adult patients on a stable antiretroviral regimen at start of therapy in order to replace their current antiretroviral treatme</w:t>
      </w:r>
      <w:r w:rsidRPr="009B6756">
        <w:rPr>
          <w:i/>
        </w:rPr>
        <w:t>nt regimen</w:t>
      </w:r>
      <w:r w:rsidR="008F534F" w:rsidRPr="009B6756">
        <w:rPr>
          <w:i/>
        </w:rPr>
        <w:t xml:space="preserve">. Patients must not have a history of treatment failure or known mutations associated with resistance to the antiretroviral components of </w:t>
      </w:r>
      <w:r w:rsidRPr="009B6756">
        <w:rPr>
          <w:i/>
        </w:rPr>
        <w:t>Stribild</w:t>
      </w:r>
      <w:r w:rsidR="008F534F" w:rsidRPr="009B6756">
        <w:rPr>
          <w:i/>
        </w:rPr>
        <w:t xml:space="preserve"> (tenofovir DF, emtricitabine or elvitegravir)</w:t>
      </w:r>
      <w:r w:rsidR="008F534F" w:rsidRPr="008F534F">
        <w:t>.</w:t>
      </w:r>
      <w:r>
        <w:t>’</w:t>
      </w:r>
    </w:p>
    <w:p w:rsidR="00F6738F" w:rsidRDefault="001F6177" w:rsidP="004D2AB1">
      <w:r w:rsidRPr="001F6177">
        <w:t>Genvoya contains the same doses of EVG, COBI and FTC as the registered fixed dose combination Stribild; however Stribild contains 300 m</w:t>
      </w:r>
      <w:r w:rsidR="00F6738F">
        <w:t>g tenofovir disoproxil fumarate </w:t>
      </w:r>
      <w:r w:rsidRPr="001F6177">
        <w:t xml:space="preserve">(TDF) the first approved oral pro drug of </w:t>
      </w:r>
      <w:r w:rsidR="00F6738F">
        <w:t>tenofovir (</w:t>
      </w:r>
      <w:r w:rsidRPr="001F6177">
        <w:t>TFV</w:t>
      </w:r>
      <w:r w:rsidR="00F6738F">
        <w:t>)</w:t>
      </w:r>
      <w:r w:rsidRPr="001F6177">
        <w:t xml:space="preserve"> which is repl</w:t>
      </w:r>
      <w:r>
        <w:t>aced in Genvoya by 10 mg of TAF</w:t>
      </w:r>
      <w:r w:rsidR="00F6738F">
        <w:t>.</w:t>
      </w:r>
      <w:r w:rsidR="00390CC9">
        <w:t xml:space="preserve"> </w:t>
      </w:r>
      <w:r w:rsidR="00D344EF">
        <w:t xml:space="preserve">The components of Genvoya </w:t>
      </w:r>
      <w:r w:rsidR="00390CC9" w:rsidRPr="00390CC9">
        <w:t>EVG,</w:t>
      </w:r>
      <w:r w:rsidR="00D344EF">
        <w:t xml:space="preserve"> FTC and TAF are anti-HIV drugs.</w:t>
      </w:r>
      <w:r w:rsidR="00390CC9" w:rsidRPr="00390CC9">
        <w:t xml:space="preserve"> COBI is a CYP3A inhibitor that increases systemic levels of EVG, it has no anti-HIV activity.</w:t>
      </w:r>
    </w:p>
    <w:p w:rsidR="00D344EF" w:rsidRDefault="00D344EF" w:rsidP="004D2AB1">
      <w:r w:rsidRPr="00D344EF">
        <w:t>Tenofovir alafenamide is a prodrug for tenofovir (TFV), which is metabolised intracellularly to the active metabolite, tenofovir diphosphate (TFV-DP). Intracellularly, TFV-DP competes with deoxyadenosine triphosphate for incorporation into nascent DNA, and acts as a DNA chain terminator during HIV reverse transcription.</w:t>
      </w:r>
    </w:p>
    <w:p w:rsidR="00F7570A" w:rsidRPr="008F534F" w:rsidRDefault="00E049C8" w:rsidP="004D2AB1">
      <w:r w:rsidRPr="00E049C8">
        <w:t>Tenofovir alafenamide</w:t>
      </w:r>
      <w:r>
        <w:t xml:space="preserve"> </w:t>
      </w:r>
      <w:r w:rsidR="008F534F" w:rsidRPr="008F534F">
        <w:t xml:space="preserve">is more stable in plasma than </w:t>
      </w:r>
      <w:r w:rsidR="00B67152">
        <w:t>TDF</w:t>
      </w:r>
      <w:r w:rsidR="00D344EF">
        <w:t xml:space="preserve"> and</w:t>
      </w:r>
      <w:r w:rsidR="008F534F" w:rsidRPr="008F534F">
        <w:t xml:space="preserve"> is activated intracellularly to </w:t>
      </w:r>
      <w:r w:rsidR="00B67152">
        <w:t>TFV</w:t>
      </w:r>
      <w:r w:rsidR="008F534F" w:rsidRPr="008F534F">
        <w:t xml:space="preserve"> by cathepsin A</w:t>
      </w:r>
      <w:r w:rsidR="002A25DD">
        <w:t xml:space="preserve"> (</w:t>
      </w:r>
      <w:r w:rsidR="002A25DD" w:rsidRPr="002A25DD">
        <w:t>Cat A</w:t>
      </w:r>
      <w:r w:rsidR="002A25DD">
        <w:t>)</w:t>
      </w:r>
      <w:r w:rsidR="008F534F" w:rsidRPr="008F534F">
        <w:t>, which is highly expressed in lymphoid tissues</w:t>
      </w:r>
      <w:r w:rsidR="008F534F" w:rsidRPr="000B4006">
        <w:t>.</w:t>
      </w:r>
      <w:r w:rsidR="008F534F" w:rsidRPr="000B4006">
        <w:rPr>
          <w:vertAlign w:val="superscript"/>
        </w:rPr>
        <w:footnoteReference w:id="1"/>
      </w:r>
      <w:r w:rsidR="008F534F" w:rsidRPr="000B4006">
        <w:rPr>
          <w:vertAlign w:val="superscript"/>
        </w:rPr>
        <w:t xml:space="preserve"> </w:t>
      </w:r>
      <w:r w:rsidR="008F534F" w:rsidRPr="000B4006">
        <w:t xml:space="preserve">Given the intracellular mechanism of action of TAF, there is greater potential for intracellular accumulation in HIV-1 target cells and lower extracellular exposures to </w:t>
      </w:r>
      <w:r w:rsidR="00B67152" w:rsidRPr="000B4006">
        <w:t>TFV</w:t>
      </w:r>
      <w:r w:rsidR="008F534F" w:rsidRPr="000B4006">
        <w:t>,</w:t>
      </w:r>
      <w:r w:rsidR="008F534F" w:rsidRPr="008F534F">
        <w:t xml:space="preserve"> with the potential for less toxicity (nephrotoxicity and reduced bone mineral density). The clinical dose of TAF is therefore much lower than the clinical dose of </w:t>
      </w:r>
      <w:r w:rsidR="00B67152">
        <w:t>TDF</w:t>
      </w:r>
      <w:r w:rsidR="001F6177">
        <w:t xml:space="preserve"> with</w:t>
      </w:r>
      <w:r w:rsidR="001F6177" w:rsidRPr="001F6177">
        <w:t xml:space="preserve"> replacement of TDF 300 mg with TAF 10 mg in Genvoya</w:t>
      </w:r>
      <w:r w:rsidR="00B9427B">
        <w:t xml:space="preserve"> and</w:t>
      </w:r>
      <w:r w:rsidR="001F6177" w:rsidRPr="001F6177">
        <w:t xml:space="preserve"> is intended to reduce the renal and bone toxicities associated with TDF.</w:t>
      </w:r>
    </w:p>
    <w:p w:rsidR="008F534F" w:rsidRPr="008F534F" w:rsidRDefault="00CA65A1" w:rsidP="004D2AB1">
      <w:pPr>
        <w:pStyle w:val="TableTitle"/>
      </w:pPr>
      <w:r>
        <w:lastRenderedPageBreak/>
        <w:t xml:space="preserve">Table 1. </w:t>
      </w:r>
      <w:r w:rsidR="008F534F" w:rsidRPr="008F534F">
        <w:t xml:space="preserve">Comparison of </w:t>
      </w:r>
      <w:r>
        <w:t>composition of Stribild</w:t>
      </w:r>
      <w:r w:rsidR="008F534F" w:rsidRPr="008F534F">
        <w:t xml:space="preserve"> and </w:t>
      </w:r>
      <w:r>
        <w:t>Genvoya</w:t>
      </w:r>
    </w:p>
    <w:tbl>
      <w:tblPr>
        <w:tblStyle w:val="TableTGAblue"/>
        <w:tblW w:w="9340" w:type="dxa"/>
        <w:tblLook w:val="04A0" w:firstRow="1" w:lastRow="0" w:firstColumn="1" w:lastColumn="0" w:noHBand="0" w:noVBand="1"/>
      </w:tblPr>
      <w:tblGrid>
        <w:gridCol w:w="2687"/>
        <w:gridCol w:w="3327"/>
        <w:gridCol w:w="3326"/>
      </w:tblGrid>
      <w:tr w:rsidR="008F534F" w:rsidRPr="00CA65A1" w:rsidTr="00B45DD3">
        <w:trPr>
          <w:cnfStyle w:val="100000000000" w:firstRow="1" w:lastRow="0" w:firstColumn="0" w:lastColumn="0" w:oddVBand="0" w:evenVBand="0" w:oddHBand="0" w:evenHBand="0" w:firstRowFirstColumn="0" w:firstRowLastColumn="0" w:lastRowFirstColumn="0" w:lastRowLastColumn="0"/>
          <w:trHeight w:val="468"/>
        </w:trPr>
        <w:tc>
          <w:tcPr>
            <w:tcW w:w="2687" w:type="dxa"/>
          </w:tcPr>
          <w:p w:rsidR="008F534F" w:rsidRPr="00B45DD3" w:rsidRDefault="00CA65A1" w:rsidP="004D2AB1">
            <w:r w:rsidRPr="00B45DD3">
              <w:t>Genvoya</w:t>
            </w:r>
          </w:p>
        </w:tc>
        <w:tc>
          <w:tcPr>
            <w:tcW w:w="3327" w:type="dxa"/>
          </w:tcPr>
          <w:p w:rsidR="008F534F" w:rsidRPr="00B45DD3" w:rsidRDefault="00CA65A1" w:rsidP="004D2AB1">
            <w:r w:rsidRPr="00B45DD3">
              <w:t>Stribild</w:t>
            </w:r>
          </w:p>
        </w:tc>
        <w:tc>
          <w:tcPr>
            <w:tcW w:w="3326" w:type="dxa"/>
          </w:tcPr>
          <w:p w:rsidR="008F534F" w:rsidRPr="00B45DD3" w:rsidRDefault="008F534F" w:rsidP="004D2AB1">
            <w:r w:rsidRPr="00B45DD3">
              <w:t>Comments</w:t>
            </w:r>
          </w:p>
        </w:tc>
      </w:tr>
      <w:tr w:rsidR="008F534F" w:rsidRPr="00CA65A1" w:rsidTr="00CA65A1">
        <w:trPr>
          <w:trHeight w:val="412"/>
        </w:trPr>
        <w:tc>
          <w:tcPr>
            <w:tcW w:w="2687" w:type="dxa"/>
          </w:tcPr>
          <w:p w:rsidR="008F534F" w:rsidRPr="00CA65A1" w:rsidRDefault="008F534F" w:rsidP="004D2AB1">
            <w:pPr>
              <w:keepNext/>
            </w:pPr>
            <w:r w:rsidRPr="00CA65A1">
              <w:t>Elvitegravir 150mg</w:t>
            </w:r>
          </w:p>
        </w:tc>
        <w:tc>
          <w:tcPr>
            <w:tcW w:w="3327" w:type="dxa"/>
          </w:tcPr>
          <w:p w:rsidR="008F534F" w:rsidRPr="00CA65A1" w:rsidRDefault="008F534F" w:rsidP="004D2AB1">
            <w:r w:rsidRPr="00CA65A1">
              <w:t>Elvitegravir 150mg</w:t>
            </w:r>
          </w:p>
        </w:tc>
        <w:tc>
          <w:tcPr>
            <w:tcW w:w="3326" w:type="dxa"/>
          </w:tcPr>
          <w:p w:rsidR="008F534F" w:rsidRPr="00CA65A1" w:rsidRDefault="008F534F" w:rsidP="004D2AB1">
            <w:r w:rsidRPr="00CA65A1">
              <w:t>HIV-1 integrase strand transfer inhibitor.</w:t>
            </w:r>
          </w:p>
        </w:tc>
      </w:tr>
      <w:tr w:rsidR="008F534F" w:rsidRPr="00CA65A1" w:rsidTr="00CA65A1">
        <w:trPr>
          <w:trHeight w:val="1049"/>
        </w:trPr>
        <w:tc>
          <w:tcPr>
            <w:tcW w:w="2687" w:type="dxa"/>
          </w:tcPr>
          <w:p w:rsidR="008F534F" w:rsidRPr="00CA65A1" w:rsidRDefault="008F534F" w:rsidP="004D2AB1">
            <w:pPr>
              <w:keepNext/>
            </w:pPr>
            <w:r w:rsidRPr="00CA65A1">
              <w:t>Cobicistat 150mg</w:t>
            </w:r>
          </w:p>
        </w:tc>
        <w:tc>
          <w:tcPr>
            <w:tcW w:w="3327" w:type="dxa"/>
          </w:tcPr>
          <w:p w:rsidR="008F534F" w:rsidRPr="00CA65A1" w:rsidRDefault="008F534F" w:rsidP="004D2AB1">
            <w:r w:rsidRPr="00CA65A1">
              <w:t>Cobicistat 150mg</w:t>
            </w:r>
          </w:p>
        </w:tc>
        <w:tc>
          <w:tcPr>
            <w:tcW w:w="3326" w:type="dxa"/>
          </w:tcPr>
          <w:p w:rsidR="008F534F" w:rsidRPr="00CA65A1" w:rsidRDefault="008F534F" w:rsidP="004D2AB1">
            <w:r w:rsidRPr="00CA65A1">
              <w:t>Pharm</w:t>
            </w:r>
            <w:r w:rsidR="00057BBC">
              <w:t>acokinetic enhancer through CYP</w:t>
            </w:r>
            <w:r w:rsidRPr="00CA65A1">
              <w:t>3A inhibition, no direct antiviral activity. Enhances exposure of Elvitegravir (</w:t>
            </w:r>
            <w:r w:rsidR="00057BBC">
              <w:t>CYP</w:t>
            </w:r>
            <w:r w:rsidRPr="00CA65A1">
              <w:t>3A substrate) and TAF (via P-glycoprotein inhibition).</w:t>
            </w:r>
          </w:p>
        </w:tc>
      </w:tr>
      <w:tr w:rsidR="008F534F" w:rsidRPr="00CA65A1" w:rsidTr="00CA65A1">
        <w:trPr>
          <w:trHeight w:val="421"/>
        </w:trPr>
        <w:tc>
          <w:tcPr>
            <w:tcW w:w="2687" w:type="dxa"/>
          </w:tcPr>
          <w:p w:rsidR="008F534F" w:rsidRPr="00CA65A1" w:rsidRDefault="008F534F" w:rsidP="004D2AB1">
            <w:r w:rsidRPr="00CA65A1">
              <w:t>Emtricitabine 200mg</w:t>
            </w:r>
          </w:p>
        </w:tc>
        <w:tc>
          <w:tcPr>
            <w:tcW w:w="3327" w:type="dxa"/>
          </w:tcPr>
          <w:p w:rsidR="008F534F" w:rsidRPr="00CA65A1" w:rsidRDefault="008F534F" w:rsidP="004D2AB1">
            <w:r w:rsidRPr="00CA65A1">
              <w:t>Emtricitabine 200mg</w:t>
            </w:r>
          </w:p>
        </w:tc>
        <w:tc>
          <w:tcPr>
            <w:tcW w:w="3326" w:type="dxa"/>
          </w:tcPr>
          <w:p w:rsidR="008F534F" w:rsidRPr="00CA65A1" w:rsidRDefault="008F534F" w:rsidP="004D2AB1">
            <w:r w:rsidRPr="00CA65A1">
              <w:t>Nucleoside reverse transcriptase inhibitor (NRTI)</w:t>
            </w:r>
          </w:p>
        </w:tc>
      </w:tr>
      <w:tr w:rsidR="008F534F" w:rsidRPr="00CA65A1" w:rsidTr="00CA65A1">
        <w:trPr>
          <w:trHeight w:val="627"/>
        </w:trPr>
        <w:tc>
          <w:tcPr>
            <w:tcW w:w="2687" w:type="dxa"/>
          </w:tcPr>
          <w:p w:rsidR="008F534F" w:rsidRPr="00CA65A1" w:rsidRDefault="008F534F" w:rsidP="004D2AB1">
            <w:r w:rsidRPr="00CA65A1">
              <w:t xml:space="preserve">Tenofovir alafenamide </w:t>
            </w:r>
            <w:r w:rsidR="00F02AA3">
              <w:t>10 mg</w:t>
            </w:r>
            <w:r w:rsidRPr="00CA65A1">
              <w:t>*</w:t>
            </w:r>
          </w:p>
        </w:tc>
        <w:tc>
          <w:tcPr>
            <w:tcW w:w="3327" w:type="dxa"/>
          </w:tcPr>
          <w:p w:rsidR="008F534F" w:rsidRPr="00CA65A1" w:rsidRDefault="008F534F" w:rsidP="004D2AB1">
            <w:r w:rsidRPr="00CA65A1">
              <w:t xml:space="preserve">Tenofovir disoproxil fumarate </w:t>
            </w:r>
            <w:r w:rsidR="00F02AA3">
              <w:t>300 mg</w:t>
            </w:r>
          </w:p>
        </w:tc>
        <w:tc>
          <w:tcPr>
            <w:tcW w:w="3326" w:type="dxa"/>
          </w:tcPr>
          <w:p w:rsidR="008F534F" w:rsidRPr="00CA65A1" w:rsidRDefault="008F534F" w:rsidP="004D2AB1">
            <w:r w:rsidRPr="00CA65A1">
              <w:t>Nucleotide reverse transcriptase inhibitor (NRTI). Tenofovir alafenamide is a prodrug of tenofovir.</w:t>
            </w:r>
          </w:p>
        </w:tc>
      </w:tr>
    </w:tbl>
    <w:p w:rsidR="008A6445" w:rsidRPr="008A6445" w:rsidRDefault="008A6445" w:rsidP="008A6445">
      <w:pPr>
        <w:pStyle w:val="TableDescription"/>
      </w:pPr>
      <w:r w:rsidRPr="008A6445">
        <w:t>*New</w:t>
      </w:r>
      <w:r w:rsidRPr="004D2AB1">
        <w:t xml:space="preserve"> </w:t>
      </w:r>
      <w:r w:rsidRPr="008A6445">
        <w:t>chemical entity</w:t>
      </w:r>
    </w:p>
    <w:p w:rsidR="008A6445" w:rsidRPr="008A6445" w:rsidRDefault="008A6445" w:rsidP="004D2AB1">
      <w:r w:rsidRPr="008A6445">
        <w:t xml:space="preserve">Given the duration for which a newly diagnosed person with HIV may take an antiretroviral therapy (ART) regimen, the </w:t>
      </w:r>
      <w:r w:rsidR="00CA65A1">
        <w:t>Genvoya</w:t>
      </w:r>
      <w:r w:rsidRPr="008A6445">
        <w:t xml:space="preserve"> </w:t>
      </w:r>
      <w:r w:rsidR="00CA65A1">
        <w:t>fixed dose</w:t>
      </w:r>
      <w:r w:rsidRPr="008A6445">
        <w:t xml:space="preserve"> combination tablet may provide a single treatment th</w:t>
      </w:r>
      <w:r w:rsidR="00CA65A1">
        <w:t xml:space="preserve">at optimises tolerability, long </w:t>
      </w:r>
      <w:r w:rsidRPr="008A6445">
        <w:t>term safety, and efficacy.</w:t>
      </w:r>
      <w:r w:rsidR="00CA65A1">
        <w:t xml:space="preserve"> </w:t>
      </w:r>
      <w:r w:rsidRPr="008A6445">
        <w:t>There are specific and complex challenges for the treatment of adolescents, who represent the population that will re</w:t>
      </w:r>
      <w:r w:rsidR="00F86EAE">
        <w:t xml:space="preserve">quire </w:t>
      </w:r>
      <w:r w:rsidR="002A25DD" w:rsidRPr="002A25DD">
        <w:t xml:space="preserve">antiretroviral therapy </w:t>
      </w:r>
      <w:r w:rsidR="002A25DD">
        <w:t xml:space="preserve">(ART) </w:t>
      </w:r>
      <w:r w:rsidR="00F86EAE">
        <w:t>for the longest time.</w:t>
      </w:r>
    </w:p>
    <w:p w:rsidR="009B6756" w:rsidRDefault="00F86EAE" w:rsidP="004D2AB1">
      <w:r>
        <w:t xml:space="preserve">Other TAF </w:t>
      </w:r>
      <w:r w:rsidR="008A6445" w:rsidRPr="008A6445">
        <w:t xml:space="preserve">based antiretroviral therapy </w:t>
      </w:r>
      <w:r w:rsidR="009B6756">
        <w:t xml:space="preserve">that are </w:t>
      </w:r>
      <w:r w:rsidR="008A6445" w:rsidRPr="008A6445">
        <w:t xml:space="preserve">currently under development include </w:t>
      </w:r>
      <w:r w:rsidR="00CA65A1">
        <w:t>fixed dose</w:t>
      </w:r>
      <w:r w:rsidR="008A6445" w:rsidRPr="008A6445">
        <w:t xml:space="preserve"> combinations for</w:t>
      </w:r>
      <w:r w:rsidR="00EA6D79">
        <w:t>;</w:t>
      </w:r>
    </w:p>
    <w:p w:rsidR="009B6756" w:rsidRPr="004D2AB1" w:rsidRDefault="007E6D40" w:rsidP="004D2AB1">
      <w:pPr>
        <w:pStyle w:val="ListBullet"/>
      </w:pPr>
      <w:r>
        <w:t>emtricitabine/</w:t>
      </w:r>
      <w:r w:rsidRPr="004D2AB1">
        <w:t>tenofovir a</w:t>
      </w:r>
      <w:r w:rsidR="008A6445" w:rsidRPr="004D2AB1">
        <w:t>lafenamide</w:t>
      </w:r>
      <w:r w:rsidR="00057BBC" w:rsidRPr="004D2AB1">
        <w:t xml:space="preserve"> (</w:t>
      </w:r>
      <w:r w:rsidR="00D47B67" w:rsidRPr="004D2AB1">
        <w:t>FTC</w:t>
      </w:r>
      <w:r w:rsidR="00057BBC" w:rsidRPr="004D2AB1">
        <w:t>/TAF)</w:t>
      </w:r>
    </w:p>
    <w:p w:rsidR="009B6756" w:rsidRPr="004D2AB1" w:rsidRDefault="007E6D40" w:rsidP="004D2AB1">
      <w:pPr>
        <w:pStyle w:val="ListBullet"/>
      </w:pPr>
      <w:r w:rsidRPr="004D2AB1">
        <w:t>emtricitabine/t</w:t>
      </w:r>
      <w:r w:rsidR="008A6445" w:rsidRPr="004D2AB1">
        <w:t>enofo</w:t>
      </w:r>
      <w:r w:rsidRPr="004D2AB1">
        <w:t>vir alafenamide/</w:t>
      </w:r>
      <w:r w:rsidR="009B6756" w:rsidRPr="004D2AB1">
        <w:t>rilpivirine</w:t>
      </w:r>
      <w:r w:rsidR="00057BBC" w:rsidRPr="004D2AB1">
        <w:t xml:space="preserve"> (</w:t>
      </w:r>
      <w:r w:rsidR="00A9362E" w:rsidRPr="004D2AB1">
        <w:t>FTC</w:t>
      </w:r>
      <w:r w:rsidR="00057BBC" w:rsidRPr="004D2AB1">
        <w:t>/TAF/ rilpivirine)</w:t>
      </w:r>
    </w:p>
    <w:p w:rsidR="008F534F" w:rsidRPr="008F534F" w:rsidRDefault="007E6D40" w:rsidP="004D2AB1">
      <w:pPr>
        <w:pStyle w:val="ListBullet"/>
      </w:pPr>
      <w:r w:rsidRPr="004D2AB1">
        <w:t>emtricitabine/tenofovir alafenamide/cobicistat/</w:t>
      </w:r>
      <w:r w:rsidR="008A6445" w:rsidRPr="004D2AB1">
        <w:t>darunavir</w:t>
      </w:r>
      <w:r w:rsidR="003D6F15" w:rsidRPr="004D2AB1">
        <w:t xml:space="preserve"> </w:t>
      </w:r>
      <w:r w:rsidR="00057BBC" w:rsidRPr="004D2AB1">
        <w:t>(</w:t>
      </w:r>
      <w:r w:rsidR="00A9362E" w:rsidRPr="004D2AB1">
        <w:t>FTC</w:t>
      </w:r>
      <w:r w:rsidR="00057BBC" w:rsidRPr="004D2AB1">
        <w:t>/TAF/COBI/darunavir</w:t>
      </w:r>
      <w:r w:rsidR="00057BBC">
        <w:t>)</w:t>
      </w:r>
      <w:r w:rsidR="00B45DD3">
        <w:t>.</w:t>
      </w:r>
      <w:r w:rsidR="008A6445" w:rsidRPr="00F86EAE">
        <w:rPr>
          <w:vertAlign w:val="superscript"/>
        </w:rPr>
        <w:footnoteReference w:id="2"/>
      </w:r>
    </w:p>
    <w:p w:rsidR="008E7846" w:rsidRPr="003F31A2" w:rsidRDefault="00386150" w:rsidP="004D2AB1">
      <w:pPr>
        <w:pStyle w:val="Heading3"/>
      </w:pPr>
      <w:bookmarkStart w:id="16" w:name="_Toc314842485"/>
      <w:bookmarkStart w:id="17" w:name="_Toc247691504"/>
      <w:bookmarkStart w:id="18" w:name="_Toc455474479"/>
      <w:r>
        <w:t>Regulatory s</w:t>
      </w:r>
      <w:r w:rsidR="008E7846">
        <w:t>tatus</w:t>
      </w:r>
      <w:bookmarkEnd w:id="16"/>
      <w:bookmarkEnd w:id="17"/>
      <w:bookmarkEnd w:id="18"/>
    </w:p>
    <w:p w:rsidR="00F86EAE" w:rsidRDefault="00940A89" w:rsidP="004D2AB1">
      <w:bookmarkStart w:id="19" w:name="_Toc247691505"/>
      <w:bookmarkStart w:id="20" w:name="_Toc314842486"/>
      <w:r w:rsidRPr="00940A89">
        <w:t>The product received initial registration on the Australian Register of Therapeutic Goods (ARTG) on</w:t>
      </w:r>
      <w:r w:rsidR="00F86EAE">
        <w:t xml:space="preserve"> 15 January 2016.</w:t>
      </w:r>
    </w:p>
    <w:p w:rsidR="00940A89" w:rsidRDefault="00940A89" w:rsidP="004D2AB1">
      <w:r w:rsidRPr="00940A89">
        <w:t>At the time the TGA considered this application, similar application</w:t>
      </w:r>
      <w:r w:rsidR="002029D7">
        <w:t>s</w:t>
      </w:r>
      <w:r w:rsidRPr="00940A89">
        <w:t xml:space="preserve"> had been approved in</w:t>
      </w:r>
      <w:r w:rsidR="00017F72">
        <w:t>,</w:t>
      </w:r>
      <w:r w:rsidR="00A9362E">
        <w:t xml:space="preserve"> or</w:t>
      </w:r>
      <w:r w:rsidRPr="00940A89">
        <w:t xml:space="preserve"> </w:t>
      </w:r>
      <w:r w:rsidR="002029D7" w:rsidRPr="00940A89">
        <w:t>w</w:t>
      </w:r>
      <w:r w:rsidR="002029D7">
        <w:t>ere</w:t>
      </w:r>
      <w:r w:rsidR="002029D7" w:rsidRPr="00940A89">
        <w:t xml:space="preserve"> </w:t>
      </w:r>
      <w:r w:rsidRPr="00940A89">
        <w:t>under co</w:t>
      </w:r>
      <w:r>
        <w:t xml:space="preserve">nsideration in </w:t>
      </w:r>
      <w:r w:rsidR="00F86EAE">
        <w:t>the countries/jurisdictions show in Table 2 below</w:t>
      </w:r>
      <w:r>
        <w:t>.</w:t>
      </w:r>
    </w:p>
    <w:p w:rsidR="00F86EAE" w:rsidRDefault="00F86EAE" w:rsidP="00460465">
      <w:pPr>
        <w:pStyle w:val="Tabletitle0"/>
      </w:pPr>
      <w:r>
        <w:lastRenderedPageBreak/>
        <w:t>Tabl</w:t>
      </w:r>
      <w:r w:rsidR="004D2AB1">
        <w:t>e 2. Overseas regulatory status</w:t>
      </w:r>
    </w:p>
    <w:tbl>
      <w:tblPr>
        <w:tblStyle w:val="TableTGAblue"/>
        <w:tblW w:w="0" w:type="auto"/>
        <w:tblLook w:val="04A0" w:firstRow="1" w:lastRow="0" w:firstColumn="1" w:lastColumn="0" w:noHBand="0" w:noVBand="1"/>
      </w:tblPr>
      <w:tblGrid>
        <w:gridCol w:w="2180"/>
        <w:gridCol w:w="2180"/>
        <w:gridCol w:w="4112"/>
      </w:tblGrid>
      <w:tr w:rsidR="00F86EAE" w:rsidRPr="00F86EAE" w:rsidTr="00F86EAE">
        <w:trPr>
          <w:cnfStyle w:val="100000000000" w:firstRow="1" w:lastRow="0" w:firstColumn="0" w:lastColumn="0" w:oddVBand="0" w:evenVBand="0" w:oddHBand="0" w:evenHBand="0" w:firstRowFirstColumn="0" w:firstRowLastColumn="0" w:lastRowFirstColumn="0" w:lastRowLastColumn="0"/>
        </w:trPr>
        <w:tc>
          <w:tcPr>
            <w:tcW w:w="2180" w:type="dxa"/>
          </w:tcPr>
          <w:p w:rsidR="00F86EAE" w:rsidRPr="00F86EAE" w:rsidRDefault="00F86EAE" w:rsidP="004D2AB1">
            <w:r w:rsidRPr="00F86EAE">
              <w:t>Country</w:t>
            </w:r>
          </w:p>
        </w:tc>
        <w:tc>
          <w:tcPr>
            <w:tcW w:w="2180" w:type="dxa"/>
          </w:tcPr>
          <w:p w:rsidR="00F86EAE" w:rsidRPr="00F86EAE" w:rsidRDefault="00F86EAE" w:rsidP="004D2AB1">
            <w:r w:rsidRPr="00F86EAE">
              <w:t>Submission date and approval status</w:t>
            </w:r>
          </w:p>
        </w:tc>
        <w:tc>
          <w:tcPr>
            <w:tcW w:w="4112" w:type="dxa"/>
          </w:tcPr>
          <w:p w:rsidR="00F86EAE" w:rsidRPr="00F86EAE" w:rsidRDefault="00F86EAE" w:rsidP="004D2AB1">
            <w:r w:rsidRPr="00F86EAE">
              <w:t>Approved indication (if available)</w:t>
            </w:r>
          </w:p>
        </w:tc>
      </w:tr>
      <w:tr w:rsidR="00F86EAE" w:rsidRPr="00F86EAE" w:rsidTr="00F86EAE">
        <w:tc>
          <w:tcPr>
            <w:tcW w:w="2180" w:type="dxa"/>
          </w:tcPr>
          <w:p w:rsidR="00F86EAE" w:rsidRPr="00F86EAE" w:rsidRDefault="00F86EAE" w:rsidP="004D2AB1">
            <w:r w:rsidRPr="00F86EAE">
              <w:t>European Union</w:t>
            </w:r>
            <w:r w:rsidR="00057BBC">
              <w:t xml:space="preserve"> (EU)</w:t>
            </w:r>
          </w:p>
        </w:tc>
        <w:tc>
          <w:tcPr>
            <w:tcW w:w="2180" w:type="dxa"/>
          </w:tcPr>
          <w:p w:rsidR="00F86EAE" w:rsidRPr="00F86EAE" w:rsidRDefault="00057BBC" w:rsidP="004D2AB1">
            <w:r>
              <w:t xml:space="preserve">27 November 2014 </w:t>
            </w:r>
            <w:r w:rsidR="00F86EAE" w:rsidRPr="00F86EAE">
              <w:t>Approval pending after CHMP positive opinion</w:t>
            </w:r>
            <w:r w:rsidR="00D3299D">
              <w:rPr>
                <w:rStyle w:val="FootnoteReference"/>
                <w:sz w:val="18"/>
                <w:szCs w:val="18"/>
              </w:rPr>
              <w:footnoteReference w:id="3"/>
            </w:r>
          </w:p>
        </w:tc>
        <w:tc>
          <w:tcPr>
            <w:tcW w:w="4112" w:type="dxa"/>
          </w:tcPr>
          <w:p w:rsidR="00F86EAE" w:rsidRPr="00F86EAE" w:rsidRDefault="00057BBC" w:rsidP="004D2AB1">
            <w:r>
              <w:t>Genvoya</w:t>
            </w:r>
            <w:r w:rsidR="00F86EAE" w:rsidRPr="00F86EAE">
              <w:t xml:space="preserve"> is indicated for the treatment of adults and adolescents (aged 12 years and older with body weight at least 35 kg) infected with human immunodeficiency virus-1 (HIV-1) without any known mutations associated with resistance to the integrase inhibitor class, emtricitabine or tenofovir.</w:t>
            </w:r>
          </w:p>
        </w:tc>
      </w:tr>
      <w:tr w:rsidR="00F86EAE" w:rsidRPr="00F86EAE" w:rsidTr="00F86EAE">
        <w:tc>
          <w:tcPr>
            <w:tcW w:w="2180" w:type="dxa"/>
          </w:tcPr>
          <w:p w:rsidR="00F86EAE" w:rsidRPr="00F86EAE" w:rsidRDefault="00F86EAE" w:rsidP="004D2AB1">
            <w:r w:rsidRPr="00F86EAE">
              <w:t>USA</w:t>
            </w:r>
          </w:p>
        </w:tc>
        <w:tc>
          <w:tcPr>
            <w:tcW w:w="2180" w:type="dxa"/>
          </w:tcPr>
          <w:p w:rsidR="00F86EAE" w:rsidRPr="00F86EAE" w:rsidRDefault="00057BBC" w:rsidP="004D2AB1">
            <w:r>
              <w:t xml:space="preserve">5 Nov 2014 </w:t>
            </w:r>
            <w:r w:rsidR="00F86EAE" w:rsidRPr="00F86EAE">
              <w:t>Approved 5 Nov 2015</w:t>
            </w:r>
          </w:p>
        </w:tc>
        <w:tc>
          <w:tcPr>
            <w:tcW w:w="4112" w:type="dxa"/>
          </w:tcPr>
          <w:p w:rsidR="00F86EAE" w:rsidRPr="00F86EAE" w:rsidRDefault="00057BBC" w:rsidP="004D2AB1">
            <w:r>
              <w:t>Genvoya</w:t>
            </w:r>
            <w:r w:rsidR="00F86EAE" w:rsidRPr="00F86EAE">
              <w:t xml:space="preserve"> is indicated as a complete regimen for the treatment of HIV-1 infection in adults and paediatric patients 12 years of age and older who have no antiretroviral treatment history or to replace the current antiretroviral regimen in those who are virologically-suppressed (HIV-1 RNA less than 50 copies per mL) on a stable antiretroviral regimen for at least 6 months with no history of treatment failure and no known substitutions associated with resistance to the individual components of </w:t>
            </w:r>
            <w:r>
              <w:t>Genvoya</w:t>
            </w:r>
            <w:r w:rsidR="00F86EAE" w:rsidRPr="00F86EAE">
              <w:t>.</w:t>
            </w:r>
          </w:p>
        </w:tc>
      </w:tr>
      <w:tr w:rsidR="00F86EAE" w:rsidRPr="00F86EAE" w:rsidTr="00F86EAE">
        <w:tc>
          <w:tcPr>
            <w:tcW w:w="2180" w:type="dxa"/>
          </w:tcPr>
          <w:p w:rsidR="00F86EAE" w:rsidRPr="00F86EAE" w:rsidRDefault="00F86EAE" w:rsidP="004D2AB1">
            <w:r w:rsidRPr="00F86EAE">
              <w:t>Canada</w:t>
            </w:r>
          </w:p>
        </w:tc>
        <w:tc>
          <w:tcPr>
            <w:tcW w:w="2180" w:type="dxa"/>
          </w:tcPr>
          <w:p w:rsidR="00F86EAE" w:rsidRPr="00F86EAE" w:rsidRDefault="00057BBC" w:rsidP="004D2AB1">
            <w:r>
              <w:t xml:space="preserve">6 January 2015 </w:t>
            </w:r>
            <w:r w:rsidR="00F86EAE" w:rsidRPr="00F86EAE">
              <w:t>Approval pending</w:t>
            </w:r>
            <w:r w:rsidR="00D3299D">
              <w:rPr>
                <w:rStyle w:val="FootnoteReference"/>
                <w:sz w:val="18"/>
                <w:szCs w:val="18"/>
              </w:rPr>
              <w:footnoteReference w:id="4"/>
            </w:r>
          </w:p>
        </w:tc>
        <w:tc>
          <w:tcPr>
            <w:tcW w:w="4112" w:type="dxa"/>
          </w:tcPr>
          <w:p w:rsidR="00F86EAE" w:rsidRPr="00F86EAE" w:rsidRDefault="0088437F" w:rsidP="004D2AB1">
            <w:r w:rsidRPr="001F374C">
              <w:rPr>
                <w:lang w:val="en-US"/>
              </w:rPr>
              <w:t>G</w:t>
            </w:r>
            <w:r w:rsidR="00A06CF6" w:rsidRPr="001F374C">
              <w:rPr>
                <w:lang w:val="en-US"/>
              </w:rPr>
              <w:t>envoya</w:t>
            </w:r>
            <w:r w:rsidRPr="001F374C">
              <w:rPr>
                <w:lang w:val="en-US"/>
              </w:rPr>
              <w:t xml:space="preserve"> (150 mg elvitegravir/150 mg cobicistat/200 mg emtricitabine/10 mg tenofovir</w:t>
            </w:r>
            <w:r>
              <w:rPr>
                <w:lang w:val="en-US"/>
              </w:rPr>
              <w:t xml:space="preserve"> </w:t>
            </w:r>
            <w:r w:rsidRPr="001F374C">
              <w:rPr>
                <w:lang w:val="en-US"/>
              </w:rPr>
              <w:t>alafenamide) is indicated as a complete regimen for the treatment of human immunodeficiency</w:t>
            </w:r>
            <w:r>
              <w:rPr>
                <w:lang w:val="en-US"/>
              </w:rPr>
              <w:t xml:space="preserve"> </w:t>
            </w:r>
            <w:r w:rsidRPr="001F374C">
              <w:rPr>
                <w:lang w:val="en-US"/>
              </w:rPr>
              <w:t>virus type 1 (HIV-1) infection in adults and pediatric patients 12 years of age and older (and</w:t>
            </w:r>
            <w:r>
              <w:rPr>
                <w:lang w:val="en-US"/>
              </w:rPr>
              <w:t xml:space="preserve"> </w:t>
            </w:r>
            <w:r w:rsidRPr="001F374C">
              <w:rPr>
                <w:lang w:val="en-US"/>
              </w:rPr>
              <w:t>weighing ≥ 35 kg) and with no known mutations associated with resistance to the individual</w:t>
            </w:r>
            <w:r>
              <w:rPr>
                <w:lang w:val="en-US"/>
              </w:rPr>
              <w:t xml:space="preserve"> </w:t>
            </w:r>
            <w:r w:rsidRPr="001F374C">
              <w:rPr>
                <w:lang w:val="en-US"/>
              </w:rPr>
              <w:t>components of G</w:t>
            </w:r>
            <w:r w:rsidR="00A06CF6" w:rsidRPr="001F374C">
              <w:rPr>
                <w:lang w:val="en-US"/>
              </w:rPr>
              <w:t>envoya</w:t>
            </w:r>
            <w:r w:rsidRPr="001F374C">
              <w:rPr>
                <w:lang w:val="en-US"/>
              </w:rPr>
              <w:t>.</w:t>
            </w:r>
          </w:p>
        </w:tc>
      </w:tr>
    </w:tbl>
    <w:p w:rsidR="008E7846" w:rsidRDefault="008E7846" w:rsidP="004D2AB1">
      <w:pPr>
        <w:pStyle w:val="Heading3"/>
      </w:pPr>
      <w:bookmarkStart w:id="21" w:name="_Toc455474480"/>
      <w:r>
        <w:t>Product Information</w:t>
      </w:r>
      <w:bookmarkEnd w:id="19"/>
      <w:bookmarkEnd w:id="20"/>
      <w:bookmarkEnd w:id="21"/>
    </w:p>
    <w:p w:rsidR="00940A89" w:rsidRDefault="00940A89" w:rsidP="004D2AB1">
      <w:pPr>
        <w:rPr>
          <w:b/>
          <w:bCs/>
        </w:rPr>
      </w:pPr>
      <w:bookmarkStart w:id="22" w:name="_Toc247691506"/>
      <w:bookmarkStart w:id="23"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4" w:name="_Toc455474481"/>
      <w:r>
        <w:lastRenderedPageBreak/>
        <w:t>II. Qu</w:t>
      </w:r>
      <w:r w:rsidRPr="004D2AB1">
        <w:t>a</w:t>
      </w:r>
      <w:r>
        <w:t>lity</w:t>
      </w:r>
      <w:bookmarkEnd w:id="2"/>
      <w:r>
        <w:t xml:space="preserve"> findings</w:t>
      </w:r>
      <w:bookmarkEnd w:id="22"/>
      <w:bookmarkEnd w:id="23"/>
      <w:bookmarkEnd w:id="24"/>
    </w:p>
    <w:p w:rsidR="00940A89" w:rsidRPr="00F86EAE" w:rsidRDefault="00940A89" w:rsidP="004D2AB1">
      <w:pPr>
        <w:pStyle w:val="Heading3"/>
        <w:rPr>
          <w:rFonts w:ascii="Cambria" w:eastAsia="Cambria" w:hAnsi="Cambria"/>
          <w:b w:val="0"/>
          <w:bCs w:val="0"/>
          <w:szCs w:val="22"/>
        </w:rPr>
      </w:pPr>
      <w:bookmarkStart w:id="25" w:name="_Toc455474482"/>
      <w:bookmarkStart w:id="26" w:name="_Toc247691507"/>
      <w:bookmarkStart w:id="27" w:name="_Toc314842488"/>
      <w:r w:rsidRPr="00F86EAE">
        <w:t>Introduction</w:t>
      </w:r>
      <w:bookmarkEnd w:id="25"/>
    </w:p>
    <w:p w:rsidR="00337E7F" w:rsidRPr="00337E7F" w:rsidRDefault="00CA65A1" w:rsidP="004D2AB1">
      <w:r>
        <w:t>Genvoya</w:t>
      </w:r>
      <w:r w:rsidR="00D22A79">
        <w:t xml:space="preserve"> is comprised</w:t>
      </w:r>
      <w:r w:rsidR="00337E7F" w:rsidRPr="00337E7F">
        <w:t xml:space="preserve"> of three active ingredients previously approved by the TGA, and a fourth active ingredient, tenofovir alafenamide</w:t>
      </w:r>
      <w:r w:rsidR="00F86EAE">
        <w:t xml:space="preserve"> (as</w:t>
      </w:r>
      <w:r w:rsidR="00337E7F" w:rsidRPr="00337E7F">
        <w:t xml:space="preserve"> fumarate</w:t>
      </w:r>
      <w:r w:rsidR="00F86EAE">
        <w:t>)</w:t>
      </w:r>
      <w:r w:rsidR="00D22A79">
        <w:t xml:space="preserve"> (TAF</w:t>
      </w:r>
      <w:r w:rsidR="00337E7F" w:rsidRPr="00337E7F">
        <w:t xml:space="preserve">), </w:t>
      </w:r>
      <w:r w:rsidR="00057BBC">
        <w:t>which is a new chemical entity.</w:t>
      </w:r>
    </w:p>
    <w:p w:rsidR="00D22A79" w:rsidRDefault="00337E7F" w:rsidP="004D2AB1">
      <w:r w:rsidRPr="00337E7F">
        <w:t>The proposed table</w:t>
      </w:r>
      <w:r w:rsidR="00F86EAE">
        <w:t xml:space="preserve">t is closely related to the TGA </w:t>
      </w:r>
      <w:r w:rsidRPr="00337E7F">
        <w:t xml:space="preserve">approved </w:t>
      </w:r>
      <w:r w:rsidR="00CA65A1">
        <w:t>Stribild</w:t>
      </w:r>
      <w:r w:rsidR="00D22A79">
        <w:t xml:space="preserve"> </w:t>
      </w:r>
      <w:r w:rsidR="003D3DB2">
        <w:t xml:space="preserve">fixed dose </w:t>
      </w:r>
      <w:r w:rsidR="00D22A79">
        <w:t>combination tablets (AUST R 194081)</w:t>
      </w:r>
      <w:r w:rsidRPr="00337E7F">
        <w:t xml:space="preserve">, which is formulated with the same quantities of </w:t>
      </w:r>
      <w:r w:rsidR="00057BBC">
        <w:t xml:space="preserve">EVG </w:t>
      </w:r>
      <w:r w:rsidR="00057BBC" w:rsidRPr="00057BBC">
        <w:t>(150mg)</w:t>
      </w:r>
      <w:r w:rsidR="00CA65A1">
        <w:t xml:space="preserve"> </w:t>
      </w:r>
      <w:r w:rsidR="00057BBC">
        <w:t xml:space="preserve">COBI </w:t>
      </w:r>
      <w:r w:rsidR="00057BBC" w:rsidRPr="00057BBC">
        <w:t>(150 mg)</w:t>
      </w:r>
      <w:r w:rsidRPr="00337E7F">
        <w:t xml:space="preserve"> and </w:t>
      </w:r>
      <w:r w:rsidR="00057BBC">
        <w:t xml:space="preserve">FTC </w:t>
      </w:r>
      <w:r w:rsidR="00057BBC" w:rsidRPr="00057BBC">
        <w:t>(200 mg)</w:t>
      </w:r>
      <w:r w:rsidRPr="00337E7F">
        <w:t xml:space="preserve"> together with </w:t>
      </w:r>
      <w:r w:rsidR="00D22A79">
        <w:t>TDF</w:t>
      </w:r>
      <w:r w:rsidRPr="00337E7F">
        <w:t xml:space="preserve"> (</w:t>
      </w:r>
      <w:r w:rsidR="00F02AA3">
        <w:t>300 mg</w:t>
      </w:r>
      <w:r w:rsidRPr="00337E7F">
        <w:t xml:space="preserve">) instead of the </w:t>
      </w:r>
      <w:r w:rsidR="00B67152">
        <w:t>TAF</w:t>
      </w:r>
      <w:r w:rsidRPr="00337E7F">
        <w:t xml:space="preserve"> (</w:t>
      </w:r>
      <w:r w:rsidR="00F02AA3">
        <w:t>10 mg</w:t>
      </w:r>
      <w:r w:rsidR="00057BBC">
        <w:t>, as fumarate).</w:t>
      </w:r>
    </w:p>
    <w:p w:rsidR="008E7846" w:rsidRDefault="009E4EFD" w:rsidP="004D2AB1">
      <w:pPr>
        <w:pStyle w:val="Heading3"/>
      </w:pPr>
      <w:bookmarkStart w:id="28" w:name="_Toc455474483"/>
      <w:r>
        <w:t>A</w:t>
      </w:r>
      <w:r w:rsidR="008E7846" w:rsidRPr="00337E7F">
        <w:t>ctive ingredient</w:t>
      </w:r>
      <w:bookmarkEnd w:id="26"/>
      <w:bookmarkEnd w:id="27"/>
      <w:r>
        <w:t>s</w:t>
      </w:r>
      <w:bookmarkEnd w:id="28"/>
    </w:p>
    <w:p w:rsidR="00337E7F" w:rsidRPr="00337E7F" w:rsidRDefault="00D22A79" w:rsidP="004D2AB1">
      <w:r>
        <w:t>T</w:t>
      </w:r>
      <w:r w:rsidR="00337E7F" w:rsidRPr="00337E7F">
        <w:t xml:space="preserve">enofovir alafenamide </w:t>
      </w:r>
      <w:r>
        <w:t xml:space="preserve">(as </w:t>
      </w:r>
      <w:r w:rsidR="00337E7F" w:rsidRPr="00337E7F">
        <w:t>fumarate</w:t>
      </w:r>
      <w:r>
        <w:t>) (TAF</w:t>
      </w:r>
      <w:r w:rsidR="00337E7F" w:rsidRPr="00337E7F">
        <w:t xml:space="preserve">) </w:t>
      </w:r>
      <w:r>
        <w:t xml:space="preserve">has been developed </w:t>
      </w:r>
      <w:r w:rsidR="00A511E3">
        <w:t xml:space="preserve">as the next </w:t>
      </w:r>
      <w:r w:rsidR="00337E7F" w:rsidRPr="00337E7F">
        <w:t>generation oral prodrug of tenofovir.</w:t>
      </w:r>
      <w:r w:rsidR="00CA65A1">
        <w:t xml:space="preserve"> </w:t>
      </w:r>
      <w:r w:rsidR="00337E7F" w:rsidRPr="00337E7F">
        <w:t>Both TAF and TDF are converted to tenofovir</w:t>
      </w:r>
      <w:r w:rsidR="00A511E3">
        <w:t xml:space="preserve"> (TVF)</w:t>
      </w:r>
      <w:r w:rsidR="00337E7F" w:rsidRPr="00337E7F">
        <w:t xml:space="preserve">, which is metabolised intercellularly to the active metabolite, tenofovir diphosphate (TFV-DP), a competitive inhibitor of HIV-1 reverse transcriptase (RT) and </w:t>
      </w:r>
      <w:r w:rsidR="0094660D" w:rsidRPr="0094660D">
        <w:t xml:space="preserve">hepatitis B virus </w:t>
      </w:r>
      <w:r w:rsidR="0094660D">
        <w:t>(</w:t>
      </w:r>
      <w:r w:rsidR="00337E7F" w:rsidRPr="00337E7F">
        <w:t>HBV</w:t>
      </w:r>
      <w:r w:rsidR="0094660D">
        <w:t>)</w:t>
      </w:r>
      <w:r w:rsidR="00337E7F" w:rsidRPr="00337E7F">
        <w:t xml:space="preserve"> RT, thereby effectively blocking the replication and spread of the HIV virus.</w:t>
      </w:r>
      <w:r w:rsidR="00CA65A1">
        <w:t xml:space="preserve"> </w:t>
      </w:r>
      <w:r w:rsidR="00337E7F" w:rsidRPr="00337E7F">
        <w:t>TAF is claimed to have a unique metabolism that provides enhanced lymphatic delivery of TFV, resulting in higher intracellular levels of the active phosphorylated metabolite TFV-DP, and lower circulating levels of TFV when compared to TDF. Thus, the clinical dose of TAF is much lower than the clinical dose of TDF</w:t>
      </w:r>
      <w:r w:rsidR="00057BBC">
        <w:t xml:space="preserve"> </w:t>
      </w:r>
      <w:r w:rsidR="00F02AA3" w:rsidRPr="00F02AA3">
        <w:t>(10 mg versus 300 mg)</w:t>
      </w:r>
      <w:r w:rsidR="00337E7F" w:rsidRPr="00337E7F">
        <w:t>.</w:t>
      </w:r>
      <w:r w:rsidR="00CA65A1">
        <w:t xml:space="preserve"> </w:t>
      </w:r>
      <w:r w:rsidR="00337E7F" w:rsidRPr="00337E7F">
        <w:t>These features have the potential to translate into less risk of nephrotoxicity and less decrease in bone mineral density, which are noted risks with TDF administration.</w:t>
      </w:r>
    </w:p>
    <w:p w:rsidR="00337E7F" w:rsidRPr="00337E7F" w:rsidRDefault="00337E7F" w:rsidP="004D2AB1">
      <w:pPr>
        <w:pStyle w:val="Heading4"/>
      </w:pPr>
      <w:r w:rsidRPr="00337E7F">
        <w:t>Elvitegravir</w:t>
      </w:r>
    </w:p>
    <w:p w:rsidR="00337E7F" w:rsidRPr="00337E7F" w:rsidRDefault="00337E7F" w:rsidP="00337E7F">
      <w:pPr>
        <w:pStyle w:val="FigureTitle"/>
      </w:pPr>
      <w:r>
        <w:t>Figure 1</w:t>
      </w:r>
      <w:r w:rsidR="00A511E3">
        <w:t>.</w:t>
      </w:r>
      <w:r>
        <w:t xml:space="preserve"> </w:t>
      </w:r>
      <w:r w:rsidR="00A511E3">
        <w:t xml:space="preserve">Structure of </w:t>
      </w:r>
      <w:r w:rsidR="00A511E3" w:rsidRPr="00A511E3">
        <w:t>Elvitegravir</w:t>
      </w:r>
    </w:p>
    <w:p w:rsidR="00337E7F" w:rsidRDefault="00337E7F" w:rsidP="00337E7F">
      <w:r>
        <w:rPr>
          <w:noProof/>
          <w:lang w:eastAsia="en-AU"/>
        </w:rPr>
        <w:drawing>
          <wp:inline distT="0" distB="0" distL="0" distR="0" wp14:anchorId="621AA573" wp14:editId="334A1C59">
            <wp:extent cx="2171700" cy="2047875"/>
            <wp:effectExtent l="0" t="0" r="0" b="9525"/>
            <wp:docPr id="5" name="Picture 5" descr="Figure 1. Structure of Elvitegr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71700" cy="2047875"/>
                    </a:xfrm>
                    <a:prstGeom prst="rect">
                      <a:avLst/>
                    </a:prstGeom>
                  </pic:spPr>
                </pic:pic>
              </a:graphicData>
            </a:graphic>
          </wp:inline>
        </w:drawing>
      </w:r>
    </w:p>
    <w:p w:rsidR="00337E7F" w:rsidRPr="00337E7F" w:rsidRDefault="00337E7F" w:rsidP="004D2AB1">
      <w:r w:rsidRPr="00337E7F">
        <w:t xml:space="preserve">Details of the drug substance were previously evaluated by the TGA as part of the submissions, to register </w:t>
      </w:r>
      <w:r w:rsidR="00A511E3">
        <w:t>V</w:t>
      </w:r>
      <w:r w:rsidR="00A511E3" w:rsidRPr="00337E7F">
        <w:t>itekta</w:t>
      </w:r>
      <w:r w:rsidRPr="00337E7F">
        <w:t xml:space="preserve"> </w:t>
      </w:r>
      <w:r w:rsidR="00A9362E">
        <w:t>(</w:t>
      </w:r>
      <w:r w:rsidRPr="00337E7F">
        <w:t>elvitegravir</w:t>
      </w:r>
      <w:r w:rsidR="00A9362E">
        <w:t>)</w:t>
      </w:r>
      <w:r w:rsidRPr="00337E7F">
        <w:t xml:space="preserve"> 85 mg and 150 mg </w:t>
      </w:r>
      <w:r w:rsidR="00A511E3">
        <w:t>film coated</w:t>
      </w:r>
      <w:r w:rsidRPr="00337E7F">
        <w:t xml:space="preserve"> tablets, and the fixed dose combination tablet </w:t>
      </w:r>
      <w:r w:rsidR="00CA65A1">
        <w:t>Stribild</w:t>
      </w:r>
      <w:r w:rsidRPr="00337E7F">
        <w:t xml:space="preserve"> </w:t>
      </w:r>
      <w:r w:rsidR="00A9362E">
        <w:t>(</w:t>
      </w:r>
      <w:r w:rsidRPr="00337E7F">
        <w:t>elvitegravir/cobicistat/emtricitabine</w:t>
      </w:r>
      <w:r w:rsidR="00A511E3">
        <w:t>/tenofovir disoproxil fumarate</w:t>
      </w:r>
      <w:r w:rsidR="00A9362E">
        <w:t>)</w:t>
      </w:r>
      <w:r w:rsidR="00A511E3">
        <w:t xml:space="preserve"> t</w:t>
      </w:r>
      <w:r w:rsidRPr="00337E7F">
        <w:t>ablets.</w:t>
      </w:r>
    </w:p>
    <w:p w:rsidR="00EA4A7E" w:rsidRDefault="00A511E3" w:rsidP="00EA4A7E">
      <w:pPr>
        <w:pStyle w:val="Heading4"/>
      </w:pPr>
      <w:r>
        <w:lastRenderedPageBreak/>
        <w:t>Cobicistat</w:t>
      </w:r>
    </w:p>
    <w:p w:rsidR="00A511E3" w:rsidRPr="00A511E3" w:rsidRDefault="00A511E3" w:rsidP="00A511E3">
      <w:pPr>
        <w:pStyle w:val="FigureTitle"/>
      </w:pPr>
      <w:r>
        <w:t>Figure 2. Structure of Cobicistat</w:t>
      </w:r>
    </w:p>
    <w:p w:rsidR="00337E7F" w:rsidRDefault="00EA4A7E" w:rsidP="00337E7F">
      <w:r>
        <w:rPr>
          <w:noProof/>
          <w:lang w:eastAsia="en-AU"/>
        </w:rPr>
        <w:drawing>
          <wp:inline distT="0" distB="0" distL="0" distR="0" wp14:anchorId="4CADCA9F" wp14:editId="42432315">
            <wp:extent cx="3800475" cy="2009775"/>
            <wp:effectExtent l="0" t="0" r="9525" b="9525"/>
            <wp:docPr id="6" name="Picture 6" descr="Figure 2. Structure of Cobici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00475" cy="2009775"/>
                    </a:xfrm>
                    <a:prstGeom prst="rect">
                      <a:avLst/>
                    </a:prstGeom>
                  </pic:spPr>
                </pic:pic>
              </a:graphicData>
            </a:graphic>
          </wp:inline>
        </w:drawing>
      </w:r>
    </w:p>
    <w:p w:rsidR="009E4EFD" w:rsidRDefault="00EA4A7E" w:rsidP="004D2AB1">
      <w:r w:rsidRPr="00EA4A7E">
        <w:t>Details of the drug substance were previously evaluated by the TGA as part of the submissions, to register T</w:t>
      </w:r>
      <w:r w:rsidR="00A511E3" w:rsidRPr="00EA4A7E">
        <w:t>ybost</w:t>
      </w:r>
      <w:r w:rsidRPr="00EA4A7E">
        <w:t xml:space="preserve"> </w:t>
      </w:r>
      <w:r w:rsidR="00961682">
        <w:t>(</w:t>
      </w:r>
      <w:r w:rsidRPr="00EA4A7E">
        <w:t>cobicistat</w:t>
      </w:r>
      <w:r w:rsidR="00961682">
        <w:t>)</w:t>
      </w:r>
      <w:r w:rsidRPr="00EA4A7E">
        <w:t xml:space="preserve"> 150 mg </w:t>
      </w:r>
      <w:r w:rsidR="00A511E3">
        <w:t>film coated</w:t>
      </w:r>
      <w:r w:rsidRPr="00EA4A7E">
        <w:t xml:space="preserve"> tablets, and the fixed dose combination tablet </w:t>
      </w:r>
      <w:r w:rsidR="00CA65A1">
        <w:t>Stribild</w:t>
      </w:r>
      <w:r w:rsidR="003328D2">
        <w:t>.</w:t>
      </w:r>
    </w:p>
    <w:p w:rsidR="000C133D" w:rsidRPr="00EA4A7E" w:rsidRDefault="00EA4A7E" w:rsidP="004D2AB1">
      <w:r w:rsidRPr="00EA4A7E">
        <w:t xml:space="preserve">Cobicistat is an amorphous solid that cannot be readily isolated as the neat drug substance. Consequently it is isolated by adsorption onto silicon dioxide to provide a stable solid form, which facilitates handling and is suitable for further </w:t>
      </w:r>
      <w:r w:rsidR="00A511E3">
        <w:t>drug product processing. Hence c</w:t>
      </w:r>
      <w:r w:rsidRPr="00EA4A7E">
        <w:t xml:space="preserve">obicistat on </w:t>
      </w:r>
      <w:r w:rsidR="00A511E3">
        <w:t>silicon dioxide</w:t>
      </w:r>
      <w:r w:rsidRPr="00EA4A7E">
        <w:t xml:space="preserve"> is defined as the drug substance and is used in this form in the manufacture of the combination tablets</w:t>
      </w:r>
      <w:r w:rsidR="003D6F15">
        <w:t>.</w:t>
      </w:r>
    </w:p>
    <w:p w:rsidR="00EA4A7E" w:rsidRDefault="00EA4A7E" w:rsidP="00EA4A7E">
      <w:pPr>
        <w:pStyle w:val="Heading4"/>
      </w:pPr>
      <w:r w:rsidRPr="00EA4A7E">
        <w:t>Emtricitabine</w:t>
      </w:r>
    </w:p>
    <w:p w:rsidR="00A511E3" w:rsidRPr="00A511E3" w:rsidRDefault="00A511E3" w:rsidP="00A511E3">
      <w:pPr>
        <w:pStyle w:val="FigureTitle"/>
      </w:pPr>
      <w:r>
        <w:t xml:space="preserve">Figure 3. Structure of </w:t>
      </w:r>
      <w:r w:rsidRPr="00A511E3">
        <w:t>Emtricitabine</w:t>
      </w:r>
    </w:p>
    <w:p w:rsidR="00EA4A7E" w:rsidRDefault="00EA4A7E" w:rsidP="00337E7F">
      <w:r>
        <w:rPr>
          <w:noProof/>
          <w:lang w:eastAsia="en-AU"/>
        </w:rPr>
        <w:drawing>
          <wp:inline distT="0" distB="0" distL="0" distR="0" wp14:anchorId="79EB02F4" wp14:editId="47DD3C15">
            <wp:extent cx="1895475" cy="1019175"/>
            <wp:effectExtent l="0" t="0" r="9525" b="9525"/>
            <wp:docPr id="8" name="Picture 8" descr="Figure 3. Structure of Emtricita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95475" cy="1019175"/>
                    </a:xfrm>
                    <a:prstGeom prst="rect">
                      <a:avLst/>
                    </a:prstGeom>
                  </pic:spPr>
                </pic:pic>
              </a:graphicData>
            </a:graphic>
          </wp:inline>
        </w:drawing>
      </w:r>
    </w:p>
    <w:p w:rsidR="00EA4A7E" w:rsidRPr="00EA4A7E" w:rsidRDefault="00EA4A7E" w:rsidP="004D2AB1">
      <w:r w:rsidRPr="00EA4A7E">
        <w:t>Details of the drug substance were previously evaluated by the TGA as part of the submissions, to register E</w:t>
      </w:r>
      <w:r w:rsidR="00A511E3" w:rsidRPr="00EA4A7E">
        <w:t>mtriva</w:t>
      </w:r>
      <w:r w:rsidRPr="00EA4A7E">
        <w:t xml:space="preserve"> emtricitabine 200 mg capsules, and the fixed dose combination tablet </w:t>
      </w:r>
      <w:r w:rsidR="00CA65A1">
        <w:t>Stribild</w:t>
      </w:r>
      <w:r w:rsidR="003328D2">
        <w:t>.</w:t>
      </w:r>
    </w:p>
    <w:p w:rsidR="009E4EFD" w:rsidRDefault="009E4EFD" w:rsidP="004D2AB1">
      <w:r w:rsidRPr="009E4EFD">
        <w:t>Assurance has been provided stating that all details relating to the drug substance</w:t>
      </w:r>
      <w:r>
        <w:t>s</w:t>
      </w:r>
      <w:r w:rsidRPr="009E4EFD">
        <w:t xml:space="preserve">, </w:t>
      </w:r>
      <w:r w:rsidR="003C06F8">
        <w:t>EVG</w:t>
      </w:r>
      <w:r>
        <w:t xml:space="preserve">, </w:t>
      </w:r>
      <w:r w:rsidR="003C06F8">
        <w:t>COBI</w:t>
      </w:r>
      <w:r>
        <w:t xml:space="preserve"> and</w:t>
      </w:r>
      <w:r w:rsidRPr="009E4EFD">
        <w:t xml:space="preserve"> </w:t>
      </w:r>
      <w:r w:rsidR="003C06F8">
        <w:t>FTC</w:t>
      </w:r>
      <w:r w:rsidRPr="009E4EFD">
        <w:t>, are identical to those pre</w:t>
      </w:r>
      <w:r w:rsidR="003C06F8">
        <w:t xml:space="preserve">viously evaluated for the above </w:t>
      </w:r>
      <w:r w:rsidRPr="009E4EFD">
        <w:t>mentioned applications and any subsequent amendments.</w:t>
      </w:r>
    </w:p>
    <w:p w:rsidR="00EA4A7E" w:rsidRPr="00EA4A7E" w:rsidRDefault="00EA4A7E" w:rsidP="004D2AB1">
      <w:r w:rsidRPr="00EA4A7E">
        <w:t>The drug substance specifications applied to the drug substance are considered adequate to ensure the quality and consistency of manufacture of the finished product.</w:t>
      </w:r>
    </w:p>
    <w:p w:rsidR="00EA4A7E" w:rsidRDefault="00A511E3" w:rsidP="00EA4A7E">
      <w:pPr>
        <w:pStyle w:val="Heading4"/>
      </w:pPr>
      <w:r>
        <w:lastRenderedPageBreak/>
        <w:t>Tenofovir alafenamide fumarate</w:t>
      </w:r>
    </w:p>
    <w:p w:rsidR="00F02AA3" w:rsidRPr="00F02AA3" w:rsidRDefault="00F02AA3" w:rsidP="00F02AA3">
      <w:pPr>
        <w:pStyle w:val="FigureTitle"/>
      </w:pPr>
      <w:r>
        <w:t>Figure 4.</w:t>
      </w:r>
      <w:r w:rsidR="009E4EFD">
        <w:t xml:space="preserve"> </w:t>
      </w:r>
      <w:r>
        <w:t>Structure of t</w:t>
      </w:r>
      <w:r w:rsidRPr="00F02AA3">
        <w:t>enofovir alafenamide fumarate</w:t>
      </w:r>
      <w:r>
        <w:t xml:space="preserve"> and </w:t>
      </w:r>
      <w:r w:rsidRPr="00F02AA3">
        <w:t>tenofovir disoproxil fumarate</w:t>
      </w:r>
    </w:p>
    <w:p w:rsidR="00EA4A7E" w:rsidRPr="00EA4A7E" w:rsidRDefault="00EA4A7E" w:rsidP="00EA4A7E">
      <w:r>
        <w:rPr>
          <w:noProof/>
          <w:lang w:eastAsia="en-AU"/>
        </w:rPr>
        <w:drawing>
          <wp:inline distT="0" distB="0" distL="0" distR="0" wp14:anchorId="0D56CB9F" wp14:editId="55CE4C02">
            <wp:extent cx="5400040" cy="1318856"/>
            <wp:effectExtent l="0" t="0" r="0" b="0"/>
            <wp:docPr id="9" name="Picture 9" descr="Figure 4. Structure of tenofovir alafenamide fumarate and tenofovir disoproxil fuma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1318856"/>
                    </a:xfrm>
                    <a:prstGeom prst="rect">
                      <a:avLst/>
                    </a:prstGeom>
                  </pic:spPr>
                </pic:pic>
              </a:graphicData>
            </a:graphic>
          </wp:inline>
        </w:drawing>
      </w:r>
    </w:p>
    <w:p w:rsidR="00EA4A7E" w:rsidRPr="00EA4A7E" w:rsidRDefault="00F02AA3" w:rsidP="00EA4A7E">
      <w:r>
        <w:t>Tenofovir alafenamide fumarate is defined as the hemi-fumarate salt depicted above.</w:t>
      </w:r>
      <w:r w:rsidR="009E4EFD">
        <w:t xml:space="preserve"> </w:t>
      </w:r>
      <w:r>
        <w:t xml:space="preserve">It is a </w:t>
      </w:r>
      <w:r w:rsidR="003D6F15">
        <w:t>non-</w:t>
      </w:r>
      <w:r w:rsidR="003D6F15" w:rsidRPr="00EA4A7E">
        <w:t>hygroscopic</w:t>
      </w:r>
      <w:r w:rsidR="00EA4A7E" w:rsidRPr="00EA4A7E">
        <w:t xml:space="preserve"> white to o</w:t>
      </w:r>
      <w:r>
        <w:t>ff-white or tan powder that is soluble to slightly soluble</w:t>
      </w:r>
      <w:r w:rsidR="00EA4A7E" w:rsidRPr="00EA4A7E">
        <w:t xml:space="preserve"> in aqueous media over a wide pH range, with the solubility decreasing with an increase in pH.</w:t>
      </w:r>
      <w:r>
        <w:t xml:space="preserve"> </w:t>
      </w:r>
      <w:r w:rsidR="00EA4A7E" w:rsidRPr="00EA4A7E">
        <w:t>The proposed drug substance specifications comply with TGA requirements and are considered adequate to ensure the quality and consistency of manufacture of the finished</w:t>
      </w:r>
      <w:r>
        <w:t xml:space="preserve"> product.</w:t>
      </w:r>
    </w:p>
    <w:p w:rsidR="00EA4A7E" w:rsidRPr="00EA4A7E" w:rsidRDefault="00EA4A7E" w:rsidP="004D2AB1">
      <w:pPr>
        <w:pStyle w:val="Heading3"/>
      </w:pPr>
      <w:bookmarkStart w:id="29" w:name="_Toc247691508"/>
      <w:bookmarkStart w:id="30" w:name="_Toc314842490"/>
      <w:bookmarkStart w:id="31" w:name="_Toc455474484"/>
      <w:r w:rsidRPr="00EA4A7E">
        <w:t>Drug product</w:t>
      </w:r>
      <w:bookmarkEnd w:id="29"/>
      <w:bookmarkEnd w:id="30"/>
      <w:bookmarkEnd w:id="31"/>
    </w:p>
    <w:p w:rsidR="00EA4A7E" w:rsidRDefault="00EA4A7E" w:rsidP="00EA4A7E">
      <w:r w:rsidRPr="00EA4A7E">
        <w:t xml:space="preserve">The proposed </w:t>
      </w:r>
      <w:r w:rsidR="00057BBC">
        <w:t xml:space="preserve">fixed dose combination </w:t>
      </w:r>
      <w:r w:rsidRPr="00EA4A7E">
        <w:t xml:space="preserve">tablet is green, capsule shaped, and are </w:t>
      </w:r>
      <w:r w:rsidR="00A511E3">
        <w:t>film coated</w:t>
      </w:r>
      <w:r w:rsidRPr="00EA4A7E">
        <w:t xml:space="preserve"> with </w:t>
      </w:r>
      <w:r w:rsidR="00CA65A1">
        <w:t>‘</w:t>
      </w:r>
      <w:r w:rsidRPr="00EA4A7E">
        <w:t>GSI</w:t>
      </w:r>
      <w:r w:rsidR="00CA65A1">
        <w:t>’</w:t>
      </w:r>
      <w:r w:rsidRPr="00EA4A7E">
        <w:t xml:space="preserve"> debossed on one side and </w:t>
      </w:r>
      <w:r w:rsidR="00CA65A1">
        <w:t>‘</w:t>
      </w:r>
      <w:r w:rsidRPr="00EA4A7E">
        <w:t>510</w:t>
      </w:r>
      <w:r w:rsidR="00CA65A1">
        <w:t>’</w:t>
      </w:r>
      <w:r w:rsidRPr="00EA4A7E">
        <w:t xml:space="preserve"> on the other side.</w:t>
      </w:r>
    </w:p>
    <w:p w:rsidR="00460465" w:rsidRPr="00EA4A7E" w:rsidRDefault="00460465" w:rsidP="004D2AB1">
      <w:pPr>
        <w:pStyle w:val="FigureTitle"/>
      </w:pPr>
      <w:r>
        <w:t>Figure 5. Photographs of Genvoya tablets</w:t>
      </w:r>
    </w:p>
    <w:p w:rsidR="00EA4A7E" w:rsidRPr="00EA4A7E" w:rsidRDefault="00EA4A7E" w:rsidP="00EA4A7E">
      <w:r>
        <w:rPr>
          <w:noProof/>
          <w:lang w:eastAsia="en-AU"/>
        </w:rPr>
        <w:drawing>
          <wp:inline distT="0" distB="0" distL="0" distR="0" wp14:anchorId="22675261" wp14:editId="70D01F96">
            <wp:extent cx="2019300" cy="1885950"/>
            <wp:effectExtent l="0" t="0" r="0" b="0"/>
            <wp:docPr id="10" name="Picture 10" descr="Figure 5. Photographs of Genvoya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19300" cy="1885950"/>
                    </a:xfrm>
                    <a:prstGeom prst="rect">
                      <a:avLst/>
                    </a:prstGeom>
                  </pic:spPr>
                </pic:pic>
              </a:graphicData>
            </a:graphic>
          </wp:inline>
        </w:drawing>
      </w:r>
    </w:p>
    <w:p w:rsidR="00EA4A7E" w:rsidRPr="007F3219" w:rsidRDefault="00057BBC" w:rsidP="004D2AB1">
      <w:r>
        <w:t>All excipients</w:t>
      </w:r>
      <w:r w:rsidR="00EA4A7E" w:rsidRPr="007F3219">
        <w:t xml:space="preserve"> are conventional ingredients used in numerous registered oral dosage forms.</w:t>
      </w:r>
    </w:p>
    <w:p w:rsidR="007F3219" w:rsidRPr="007F3219" w:rsidRDefault="007F3219" w:rsidP="004D2AB1">
      <w:r w:rsidRPr="007F3219">
        <w:t>Dissolution performance of the proposed tablets during development and for quality control purposes was monitored by an adequately justified test method. Little or no change in dissolution was observed on storage.</w:t>
      </w:r>
    </w:p>
    <w:p w:rsidR="007F3219" w:rsidRPr="007F3219" w:rsidRDefault="007F3219" w:rsidP="004D2AB1">
      <w:r w:rsidRPr="007F3219">
        <w:t>The tablets are packaged in packs of 30 tabs 100 mL white HDPE bottles containing 30 tablets and 3 grams of silica gel desiccant.</w:t>
      </w:r>
      <w:r w:rsidR="00CA65A1">
        <w:t xml:space="preserve"> </w:t>
      </w:r>
      <w:r w:rsidRPr="007F3219">
        <w:t>Each bottle is capped with a</w:t>
      </w:r>
      <w:r w:rsidR="00F02AA3">
        <w:t xml:space="preserve"> white continuous thread, child </w:t>
      </w:r>
      <w:r w:rsidRPr="007F3219">
        <w:t>resistant polypropylene screw cap fitted with</w:t>
      </w:r>
      <w:r w:rsidR="00F02AA3">
        <w:t xml:space="preserve"> an induction sealed, aluminium </w:t>
      </w:r>
      <w:r w:rsidRPr="007F3219">
        <w:t>faced liner.</w:t>
      </w:r>
    </w:p>
    <w:p w:rsidR="007F3219" w:rsidRPr="004C4FDC" w:rsidRDefault="007F3219" w:rsidP="004D2AB1">
      <w:r w:rsidRPr="004C4FDC">
        <w:t xml:space="preserve">Release and expiry limits are applied for individual unspecified degradants associated with each drug substance which </w:t>
      </w:r>
      <w:r w:rsidR="00DB6CEE">
        <w:t>are</w:t>
      </w:r>
      <w:r w:rsidRPr="004C4FDC">
        <w:t xml:space="preserve"> within the applicable International Conference on Harmoni</w:t>
      </w:r>
      <w:r w:rsidR="00891A26">
        <w:t>sation</w:t>
      </w:r>
      <w:r w:rsidR="00057BBC">
        <w:t xml:space="preserve"> (ICH)</w:t>
      </w:r>
      <w:r w:rsidR="00891A26">
        <w:t xml:space="preserve"> qualification threshold.</w:t>
      </w:r>
    </w:p>
    <w:p w:rsidR="007F3219" w:rsidRPr="004C4FDC" w:rsidRDefault="007F3219" w:rsidP="007F3219">
      <w:r w:rsidRPr="004C4FDC">
        <w:t xml:space="preserve">Degradation pathways for each drug substance have been adequately investigated and limits are applied for specified impurities for each drug substance. These limits have been </w:t>
      </w:r>
      <w:r w:rsidRPr="004C4FDC">
        <w:lastRenderedPageBreak/>
        <w:t>qualified by toxicological studies, which have been assessed as acceptable by the TGA toxicological section.</w:t>
      </w:r>
    </w:p>
    <w:p w:rsidR="007F3219" w:rsidRPr="007F3219" w:rsidRDefault="007F3219" w:rsidP="007F3219">
      <w:r w:rsidRPr="007F3219">
        <w:t>Batches of tablets typically have very low levels of total impurities associated with each drug substance at release</w:t>
      </w:r>
      <w:r w:rsidR="00DB6CEE">
        <w:t>.</w:t>
      </w:r>
      <w:r w:rsidRPr="007F3219">
        <w:t xml:space="preserve"> </w:t>
      </w:r>
      <w:r w:rsidR="00F02AA3">
        <w:t xml:space="preserve">On long </w:t>
      </w:r>
      <w:r w:rsidRPr="007F3219">
        <w:t>term storage (18 months) there were no significant increases in degradants associated with elvitegravir or emtricitabine with min</w:t>
      </w:r>
      <w:r w:rsidR="00F02AA3">
        <w:t xml:space="preserve">or increases in some cobicistat </w:t>
      </w:r>
      <w:r w:rsidRPr="007F3219">
        <w:t>related degrad</w:t>
      </w:r>
      <w:r w:rsidR="00F02AA3">
        <w:t xml:space="preserve">ants. Moderate increases in TAF </w:t>
      </w:r>
      <w:r w:rsidRPr="007F3219">
        <w:t>related degradants were observed but all results were well within specified limits.</w:t>
      </w:r>
    </w:p>
    <w:p w:rsidR="007F3219" w:rsidRPr="007F3219" w:rsidRDefault="007F3219" w:rsidP="007F3219">
      <w:r w:rsidRPr="00D609AB">
        <w:t>The proposed finished product specifications have been adequately justified and comply with TGA requirements, except for t</w:t>
      </w:r>
      <w:r w:rsidR="00057BBC" w:rsidRPr="00D609AB">
        <w:t>he assay limit at expiry for TAF</w:t>
      </w:r>
      <w:r w:rsidR="00F02AA3" w:rsidRPr="00D609AB">
        <w:t xml:space="preserve">. The proposed expiry </w:t>
      </w:r>
      <w:r w:rsidRPr="00D609AB">
        <w:t>does not comply with the official Therapeutic Goods Order 78 ‘General Requirements for Tablets and Capsules’ which requires that all registered tablets which do not have an individual BP monograph must have a content of active of at least 92.5 to 107.5%</w:t>
      </w:r>
      <w:r w:rsidRPr="00D609AB">
        <w:rPr>
          <w:vertAlign w:val="superscript"/>
        </w:rPr>
        <w:footnoteReference w:id="5"/>
      </w:r>
      <w:r w:rsidRPr="00D609AB">
        <w:rPr>
          <w:vertAlign w:val="superscript"/>
        </w:rPr>
        <w:t>.</w:t>
      </w:r>
      <w:r w:rsidRPr="00D609AB">
        <w:t xml:space="preserve"> Since compliance with TGO 78 is a legislative requirement, the product cannot be registered unless this limit is appropriately tightened. Negotiations with the sponsor regarding this issue are ongoing.</w:t>
      </w:r>
      <w:r w:rsidR="00D609AB">
        <w:rPr>
          <w:rStyle w:val="FootnoteReference"/>
        </w:rPr>
        <w:footnoteReference w:id="6"/>
      </w:r>
    </w:p>
    <w:p w:rsidR="007F3219" w:rsidRPr="007F3219" w:rsidRDefault="007F3219" w:rsidP="007F3219">
      <w:r w:rsidRPr="007F3219">
        <w:t>They are considered adequate to ensure the quality of the finished product at release and throughout the shelf-life.</w:t>
      </w:r>
    </w:p>
    <w:p w:rsidR="00940A89" w:rsidRPr="00940A89" w:rsidRDefault="007F3219" w:rsidP="00940A89">
      <w:r w:rsidRPr="007F3219">
        <w:t>The tablets show good stability and a shelf life of 24 months when stored below 30</w:t>
      </w:r>
      <w:r w:rsidR="00F02AA3">
        <w:t>°</w:t>
      </w:r>
      <w:r w:rsidRPr="007F3219">
        <w:t>C, is considered justified, pending acceptable resolution of the issue of the assay limit at ex</w:t>
      </w:r>
      <w:r w:rsidR="00F02AA3">
        <w:t xml:space="preserve">piry for </w:t>
      </w:r>
      <w:r w:rsidR="00D609AB">
        <w:t>TAF</w:t>
      </w:r>
      <w:r w:rsidR="00F02AA3">
        <w:t>.</w:t>
      </w:r>
    </w:p>
    <w:p w:rsidR="008E7846" w:rsidRDefault="008E7846" w:rsidP="004D2AB1">
      <w:pPr>
        <w:pStyle w:val="Heading3"/>
      </w:pPr>
      <w:bookmarkStart w:id="32" w:name="_Toc314842491"/>
      <w:bookmarkStart w:id="33" w:name="_Toc455474485"/>
      <w:r>
        <w:t>Biopharmaceutics</w:t>
      </w:r>
      <w:bookmarkEnd w:id="32"/>
      <w:bookmarkEnd w:id="33"/>
    </w:p>
    <w:p w:rsidR="00E1001B" w:rsidRPr="00E1001B" w:rsidRDefault="00E1001B" w:rsidP="00E1001B">
      <w:pPr>
        <w:pStyle w:val="Heading4"/>
      </w:pPr>
      <w:bookmarkStart w:id="34" w:name="_Toc314842492"/>
      <w:r w:rsidRPr="00E1001B">
        <w:t>Rate and extent of absorption</w:t>
      </w:r>
    </w:p>
    <w:p w:rsidR="00E1001B" w:rsidRPr="00E1001B" w:rsidRDefault="00E1001B" w:rsidP="00E1001B">
      <w:r w:rsidRPr="00E1001B">
        <w:t>Following oral administration of the proposed drug product in HIV-1 infected patients, peak plasma concentrations were obse</w:t>
      </w:r>
      <w:r w:rsidR="00F02AA3">
        <w:t xml:space="preserve">rved approximately 4 hours post </w:t>
      </w:r>
      <w:r w:rsidRPr="00E1001B">
        <w:t>dose</w:t>
      </w:r>
      <w:r w:rsidR="00F02AA3">
        <w:t xml:space="preserve"> for </w:t>
      </w:r>
      <w:r w:rsidR="00057BBC">
        <w:t>EVG</w:t>
      </w:r>
      <w:r w:rsidR="00F02AA3">
        <w:t>, 3</w:t>
      </w:r>
      <w:r w:rsidR="00F41FC2">
        <w:t> </w:t>
      </w:r>
      <w:r w:rsidR="00F02AA3">
        <w:t xml:space="preserve">hours post </w:t>
      </w:r>
      <w:r w:rsidRPr="00E1001B">
        <w:t>do</w:t>
      </w:r>
      <w:r w:rsidR="00F02AA3">
        <w:t xml:space="preserve">se for </w:t>
      </w:r>
      <w:r w:rsidR="00D609AB">
        <w:t>COBI</w:t>
      </w:r>
      <w:r w:rsidR="00F02AA3">
        <w:t xml:space="preserve">, 3 hours post dose for </w:t>
      </w:r>
      <w:r w:rsidR="00D609AB">
        <w:t>FTC</w:t>
      </w:r>
      <w:r w:rsidR="00F02AA3">
        <w:t>, and 1 </w:t>
      </w:r>
      <w:r w:rsidRPr="00E1001B">
        <w:t xml:space="preserve">hour for </w:t>
      </w:r>
      <w:r w:rsidR="00D609AB">
        <w:t>TAF</w:t>
      </w:r>
      <w:r w:rsidRPr="00E1001B">
        <w:t>.</w:t>
      </w:r>
    </w:p>
    <w:p w:rsidR="00E1001B" w:rsidRPr="00E1001B" w:rsidRDefault="00E1001B" w:rsidP="00E1001B">
      <w:pPr>
        <w:pStyle w:val="Heading4"/>
      </w:pPr>
      <w:r w:rsidRPr="00E1001B">
        <w:t>Metabolism and distribution</w:t>
      </w:r>
    </w:p>
    <w:p w:rsidR="00E1001B" w:rsidRDefault="00F02AA3" w:rsidP="00E1001B">
      <w:pPr>
        <w:pStyle w:val="Heading5"/>
      </w:pPr>
      <w:r>
        <w:t>Elvitegravir</w:t>
      </w:r>
    </w:p>
    <w:p w:rsidR="00E1001B" w:rsidRPr="00E1001B" w:rsidRDefault="00F02AA3" w:rsidP="00E1001B">
      <w:r>
        <w:t>Elvitegravir</w:t>
      </w:r>
      <w:r w:rsidR="00D609AB">
        <w:t xml:space="preserve"> (EVG)</w:t>
      </w:r>
      <w:r>
        <w:t xml:space="preserve"> is 98 to </w:t>
      </w:r>
      <w:r w:rsidR="00E1001B" w:rsidRPr="00E1001B">
        <w:t xml:space="preserve">99% bound to human plasma proteins and binding is independent of drug concentration over the range of 1 ng/mL to 1.6 </w:t>
      </w:r>
      <w:r w:rsidR="005640DF">
        <w:t>µ</w:t>
      </w:r>
      <w:r w:rsidR="00E1001B" w:rsidRPr="00E1001B">
        <w:t>g/mL. The mean plasma to blood drug concentration ratio was 1.37.</w:t>
      </w:r>
      <w:r w:rsidR="00CA65A1">
        <w:t xml:space="preserve"> </w:t>
      </w:r>
      <w:r w:rsidR="00E1001B" w:rsidRPr="00E1001B">
        <w:t xml:space="preserve">Elvitegravir undergoes primarily oxidative metabolism via </w:t>
      </w:r>
      <w:r w:rsidR="00D609AB">
        <w:t>c</w:t>
      </w:r>
      <w:r w:rsidR="00057BBC">
        <w:t xml:space="preserve">ytochrome P 450(CYP); </w:t>
      </w:r>
      <w:r w:rsidR="00E1001B" w:rsidRPr="00057BBC">
        <w:t>CYP3A</w:t>
      </w:r>
      <w:r w:rsidR="00E1001B" w:rsidRPr="00E1001B">
        <w:t xml:space="preserve">, and is secondarily glucuronidated via </w:t>
      </w:r>
      <w:r w:rsidR="003B40DF" w:rsidRPr="003B40DF">
        <w:t xml:space="preserve">uridine diphosphate glucuronosyltransferase </w:t>
      </w:r>
      <w:r w:rsidR="003B40DF">
        <w:t xml:space="preserve">(UGT) </w:t>
      </w:r>
      <w:r w:rsidR="00E1001B" w:rsidRPr="00057BBC">
        <w:t>UGT1A1/3</w:t>
      </w:r>
      <w:r w:rsidR="00E1001B" w:rsidRPr="00E1001B">
        <w:t xml:space="preserve"> enzymes. Following oral administration of boosted </w:t>
      </w:r>
      <w:r w:rsidR="00E1001B" w:rsidRPr="005640DF">
        <w:rPr>
          <w:vertAlign w:val="superscript"/>
        </w:rPr>
        <w:t>14</w:t>
      </w:r>
      <w:r w:rsidR="00E1001B" w:rsidRPr="00E1001B">
        <w:t>C</w:t>
      </w:r>
      <w:r w:rsidR="00C40A50">
        <w:t>-</w:t>
      </w:r>
      <w:r w:rsidR="00E1001B" w:rsidRPr="00E1001B">
        <w:t xml:space="preserve">elvitegravir, </w:t>
      </w:r>
      <w:r w:rsidR="00057BBC">
        <w:t>EVG</w:t>
      </w:r>
      <w:r w:rsidR="00E1001B" w:rsidRPr="00E1001B">
        <w:t xml:space="preserve"> was the predominant species in plasma, representing </w:t>
      </w:r>
      <w:r w:rsidR="00A511E3">
        <w:t>approximately</w:t>
      </w:r>
      <w:r w:rsidR="005640DF">
        <w:t xml:space="preserve"> </w:t>
      </w:r>
      <w:r w:rsidR="00E1001B" w:rsidRPr="00E1001B">
        <w:t>94% of the circulating radioactivity.</w:t>
      </w:r>
    </w:p>
    <w:p w:rsidR="00E1001B" w:rsidRDefault="005640DF" w:rsidP="00E1001B">
      <w:pPr>
        <w:pStyle w:val="Heading5"/>
      </w:pPr>
      <w:r>
        <w:t>Cobicistat</w:t>
      </w:r>
    </w:p>
    <w:p w:rsidR="00E1001B" w:rsidRPr="00E1001B" w:rsidRDefault="00E1001B" w:rsidP="00E1001B">
      <w:r w:rsidRPr="00E1001B">
        <w:t>Cobicistat</w:t>
      </w:r>
      <w:r w:rsidR="003C06F8">
        <w:t xml:space="preserve"> (COBI)</w:t>
      </w:r>
      <w:r w:rsidRPr="00E1001B">
        <w:t xml:space="preserve"> is 97</w:t>
      </w:r>
      <w:r w:rsidR="00F02AA3">
        <w:t xml:space="preserve"> to </w:t>
      </w:r>
      <w:r w:rsidRPr="00E1001B">
        <w:t>98% bound to human plasma proteins and the mean plasma to blood drug concentration ratio was 2.</w:t>
      </w:r>
      <w:r w:rsidR="00CA65A1">
        <w:t xml:space="preserve"> </w:t>
      </w:r>
      <w:r w:rsidRPr="00E1001B">
        <w:t>Cobicistat i</w:t>
      </w:r>
      <w:r w:rsidR="005640DF">
        <w:t>s metabol</w:t>
      </w:r>
      <w:r w:rsidR="00527A3B">
        <w:t>ise</w:t>
      </w:r>
      <w:r w:rsidR="005640DF">
        <w:t xml:space="preserve">d via </w:t>
      </w:r>
      <w:r w:rsidR="005640DF" w:rsidRPr="003C06F8">
        <w:t>CYP3A</w:t>
      </w:r>
      <w:r w:rsidR="005640DF">
        <w:t xml:space="preserve"> (major)</w:t>
      </w:r>
      <w:r w:rsidRPr="00E1001B">
        <w:t xml:space="preserve"> an</w:t>
      </w:r>
      <w:r w:rsidR="005640DF">
        <w:t xml:space="preserve">d CYP2D6 (minor) </w:t>
      </w:r>
      <w:r w:rsidRPr="00E1001B">
        <w:t>mediated oxidation and does not undergo glucuronidation.</w:t>
      </w:r>
      <w:r w:rsidR="00CA65A1">
        <w:t xml:space="preserve"> </w:t>
      </w:r>
      <w:r w:rsidRPr="00E1001B">
        <w:t xml:space="preserve">Following oral administration of </w:t>
      </w:r>
      <w:r w:rsidR="00C40A50" w:rsidRPr="00C40A50">
        <w:rPr>
          <w:vertAlign w:val="superscript"/>
        </w:rPr>
        <w:t>14</w:t>
      </w:r>
      <w:r w:rsidR="00C40A50" w:rsidRPr="00C40A50">
        <w:t>C-</w:t>
      </w:r>
      <w:r w:rsidRPr="00E1001B">
        <w:t xml:space="preserve">cobicistat, 99% of circulating radioactivity in plasma was unchanged </w:t>
      </w:r>
      <w:r w:rsidR="003C06F8" w:rsidRPr="003C06F8">
        <w:t>COBI</w:t>
      </w:r>
      <w:r w:rsidRPr="00E1001B">
        <w:t>.</w:t>
      </w:r>
      <w:r w:rsidR="00CA65A1">
        <w:t xml:space="preserve"> </w:t>
      </w:r>
      <w:r w:rsidRPr="00E1001B">
        <w:t xml:space="preserve">Low levels of metabolites are observed in urine and faeces and do not contribute to the </w:t>
      </w:r>
      <w:r w:rsidRPr="003C06F8">
        <w:t>CYP3A</w:t>
      </w:r>
      <w:r w:rsidRPr="00E1001B">
        <w:t xml:space="preserve"> inhibitory activity of </w:t>
      </w:r>
      <w:r w:rsidR="003C06F8" w:rsidRPr="003C06F8">
        <w:t>COBI</w:t>
      </w:r>
      <w:r w:rsidRPr="00E1001B">
        <w:t>.</w:t>
      </w:r>
    </w:p>
    <w:p w:rsidR="00E1001B" w:rsidRDefault="00C40A50" w:rsidP="00E1001B">
      <w:pPr>
        <w:pStyle w:val="Heading5"/>
      </w:pPr>
      <w:r>
        <w:lastRenderedPageBreak/>
        <w:t>Emtricitabine</w:t>
      </w:r>
    </w:p>
    <w:p w:rsidR="00E1001B" w:rsidRPr="00E1001B" w:rsidRDefault="00E1001B" w:rsidP="00E1001B">
      <w:r w:rsidRPr="00E1001B">
        <w:t>In vitro binding of emtricitabine</w:t>
      </w:r>
      <w:r w:rsidR="003C06F8">
        <w:t xml:space="preserve"> (FTC)</w:t>
      </w:r>
      <w:r w:rsidRPr="00E1001B">
        <w:t xml:space="preserve"> to human plasma proteins is </w:t>
      </w:r>
      <w:r w:rsidR="00C40A50">
        <w:t xml:space="preserve">&lt; </w:t>
      </w:r>
      <w:r w:rsidRPr="00E1001B">
        <w:t xml:space="preserve">4% and is independent of concentration over the range of 0.02 to 200 </w:t>
      </w:r>
      <w:r w:rsidR="005640DF">
        <w:t>µ</w:t>
      </w:r>
      <w:r w:rsidRPr="00E1001B">
        <w:t>g/mL.</w:t>
      </w:r>
      <w:r w:rsidR="00CA65A1">
        <w:t xml:space="preserve"> </w:t>
      </w:r>
      <w:r w:rsidRPr="00E1001B">
        <w:t xml:space="preserve">The metabolites of </w:t>
      </w:r>
      <w:r w:rsidR="003C06F8">
        <w:t>FTC</w:t>
      </w:r>
      <w:r w:rsidRPr="00E1001B">
        <w:t xml:space="preserve"> include 3’-sulfoxide diastereomers and their glucuronic acid conjugate.</w:t>
      </w:r>
    </w:p>
    <w:p w:rsidR="00E1001B" w:rsidRDefault="00E1001B" w:rsidP="00E1001B">
      <w:pPr>
        <w:pStyle w:val="Heading5"/>
      </w:pPr>
      <w:r w:rsidRPr="00E1001B">
        <w:t>Tenofovir al</w:t>
      </w:r>
      <w:r w:rsidR="00C40A50">
        <w:t>afenamide</w:t>
      </w:r>
    </w:p>
    <w:p w:rsidR="00E1001B" w:rsidRPr="00E1001B" w:rsidRDefault="00E1001B" w:rsidP="00E1001B">
      <w:r w:rsidRPr="00E1001B">
        <w:t>Metabolism is a major elimination p</w:t>
      </w:r>
      <w:r w:rsidR="00C40A50">
        <w:t>athway for TAF</w:t>
      </w:r>
      <w:r w:rsidRPr="00E1001B">
        <w:t xml:space="preserve"> in humans, accounting for &gt; 80% of an oral dose.</w:t>
      </w:r>
      <w:r w:rsidR="00CA65A1">
        <w:t xml:space="preserve"> </w:t>
      </w:r>
      <w:r w:rsidRPr="00E1001B">
        <w:t xml:space="preserve">In vitro, </w:t>
      </w:r>
      <w:r w:rsidR="00C40A50">
        <w:t>TAF</w:t>
      </w:r>
      <w:r w:rsidRPr="00E1001B">
        <w:t xml:space="preserve"> is hydrolysed within cells to form to </w:t>
      </w:r>
      <w:r w:rsidR="003C06F8">
        <w:t>TFV</w:t>
      </w:r>
      <w:r w:rsidRPr="00E1001B">
        <w:t xml:space="preserve"> (major metabolite), which is phosphorylated to the active metabolite, tenofovir diphosphate</w:t>
      </w:r>
      <w:r w:rsidR="003C06F8">
        <w:t xml:space="preserve"> (TFV-DP)</w:t>
      </w:r>
      <w:r w:rsidRPr="00E1001B">
        <w:t>.</w:t>
      </w:r>
      <w:r w:rsidR="00CA65A1">
        <w:t xml:space="preserve"> </w:t>
      </w:r>
      <w:r w:rsidRPr="00E1001B">
        <w:t xml:space="preserve">In vitro binding of </w:t>
      </w:r>
      <w:r w:rsidR="003C06F8">
        <w:t>TFV</w:t>
      </w:r>
      <w:r w:rsidRPr="00E1001B">
        <w:t xml:space="preserve"> to human plasma proteins is less than 0.7% and is independent of concentration over the range of 0.01 to 25 </w:t>
      </w:r>
      <w:r w:rsidR="00C40A50">
        <w:t>µg</w:t>
      </w:r>
      <w:r w:rsidRPr="00E1001B">
        <w:t xml:space="preserve"> per mL.</w:t>
      </w:r>
      <w:r w:rsidR="00CA65A1">
        <w:t xml:space="preserve"> </w:t>
      </w:r>
      <w:r w:rsidRPr="00E1001B">
        <w:t xml:space="preserve">Ex-vivo binding of </w:t>
      </w:r>
      <w:r w:rsidR="00D609AB">
        <w:t>TAF</w:t>
      </w:r>
      <w:r w:rsidRPr="00E1001B">
        <w:t xml:space="preserve"> to human plasma proteins in samples collected during clinical</w:t>
      </w:r>
      <w:r w:rsidR="00C40A50">
        <w:t xml:space="preserve"> studies was approximately 80%.</w:t>
      </w:r>
    </w:p>
    <w:p w:rsidR="00E1001B" w:rsidRPr="00E1001B" w:rsidRDefault="00E1001B" w:rsidP="00E1001B">
      <w:r w:rsidRPr="00E1001B">
        <w:t xml:space="preserve">Notably, results from the </w:t>
      </w:r>
      <w:r w:rsidR="00C40A50">
        <w:t>Phase I</w:t>
      </w:r>
      <w:r w:rsidRPr="00E1001B">
        <w:t xml:space="preserve"> study showed that exposure to </w:t>
      </w:r>
      <w:r w:rsidR="00C40A50">
        <w:t>TAF</w:t>
      </w:r>
      <w:r w:rsidR="00CA65A1">
        <w:t xml:space="preserve"> </w:t>
      </w:r>
      <w:r w:rsidRPr="00E1001B">
        <w:t>when administered as a component of the combinati</w:t>
      </w:r>
      <w:r w:rsidR="00C40A50">
        <w:t xml:space="preserve">on tablet was approximately 2.2 to 2.6 </w:t>
      </w:r>
      <w:r w:rsidRPr="00E1001B">
        <w:t xml:space="preserve">fold that when administered alone. The greater exposure to </w:t>
      </w:r>
      <w:r w:rsidR="00C40A50">
        <w:t>TAF</w:t>
      </w:r>
      <w:r w:rsidRPr="00E1001B">
        <w:t xml:space="preserve"> when administered as a component of the combination tablet is presumed to result from the inhibition of </w:t>
      </w:r>
      <w:r w:rsidR="00C40A50">
        <w:t>TAF</w:t>
      </w:r>
      <w:r w:rsidRPr="00E1001B">
        <w:t xml:space="preserve"> intestinal sec</w:t>
      </w:r>
      <w:r w:rsidR="00C40A50">
        <w:t xml:space="preserve">retory transport by </w:t>
      </w:r>
      <w:r w:rsidR="003C06F8">
        <w:t>COBI</w:t>
      </w:r>
      <w:r w:rsidR="00C40A50">
        <w:t>.</w:t>
      </w:r>
    </w:p>
    <w:p w:rsidR="00E1001B" w:rsidRPr="00E1001B" w:rsidRDefault="00E1001B" w:rsidP="004D2AB1">
      <w:pPr>
        <w:pStyle w:val="Heading4"/>
      </w:pPr>
      <w:r w:rsidRPr="00E1001B">
        <w:t>Mode, route and rate of elimination</w:t>
      </w:r>
    </w:p>
    <w:p w:rsidR="00E1001B" w:rsidRDefault="00C40A50" w:rsidP="00E1001B">
      <w:pPr>
        <w:pStyle w:val="Heading5"/>
      </w:pPr>
      <w:r>
        <w:t>Elvitegravir</w:t>
      </w:r>
    </w:p>
    <w:p w:rsidR="00E1001B" w:rsidRPr="00E1001B" w:rsidRDefault="00E1001B" w:rsidP="00E1001B">
      <w:r w:rsidRPr="00E1001B">
        <w:t xml:space="preserve">94.8% of the dose of </w:t>
      </w:r>
      <w:r w:rsidR="00057BBC">
        <w:t>EVG</w:t>
      </w:r>
      <w:r w:rsidRPr="00E1001B">
        <w:t xml:space="preserve"> was recovered in faeces, consistent with the hepatobiliary excretion of </w:t>
      </w:r>
      <w:r w:rsidR="00057BBC">
        <w:t>EVG</w:t>
      </w:r>
      <w:r w:rsidRPr="00E1001B">
        <w:t xml:space="preserve">; 6.7% of the administered dose was recovered in urine as unchanged </w:t>
      </w:r>
      <w:r w:rsidR="00057BBC">
        <w:t>EVG</w:t>
      </w:r>
      <w:r w:rsidRPr="00E1001B">
        <w:t>.</w:t>
      </w:r>
      <w:r w:rsidR="00CA65A1">
        <w:t xml:space="preserve"> </w:t>
      </w:r>
      <w:r w:rsidRPr="00E1001B">
        <w:t xml:space="preserve">The median terminal plasma half-life of </w:t>
      </w:r>
      <w:r w:rsidR="00057BBC">
        <w:t>EVG</w:t>
      </w:r>
      <w:r w:rsidRPr="00E1001B">
        <w:t xml:space="preserve"> following administration of the drug product is approximately 12.9 hours.</w:t>
      </w:r>
    </w:p>
    <w:p w:rsidR="00E1001B" w:rsidRDefault="00C40A50" w:rsidP="00E1001B">
      <w:pPr>
        <w:pStyle w:val="Heading5"/>
      </w:pPr>
      <w:r>
        <w:t>Cobicistat</w:t>
      </w:r>
    </w:p>
    <w:p w:rsidR="00E1001B" w:rsidRPr="00E1001B" w:rsidRDefault="00C40A50" w:rsidP="00E1001B">
      <w:r>
        <w:t xml:space="preserve">Eighty </w:t>
      </w:r>
      <w:r w:rsidR="00E1001B" w:rsidRPr="00E1001B">
        <w:t>six p</w:t>
      </w:r>
      <w:r>
        <w:t xml:space="preserve">ercent and 8.2% of the dose of </w:t>
      </w:r>
      <w:r w:rsidR="00D609AB">
        <w:t>COBI</w:t>
      </w:r>
      <w:r w:rsidR="00E1001B" w:rsidRPr="00E1001B">
        <w:t xml:space="preserve"> were recovered in faeces and urine, respectively.</w:t>
      </w:r>
      <w:r w:rsidR="00CA65A1">
        <w:t xml:space="preserve"> </w:t>
      </w:r>
      <w:r w:rsidR="00E1001B" w:rsidRPr="00E1001B">
        <w:t xml:space="preserve">The median terminal plasma half-life of </w:t>
      </w:r>
      <w:r w:rsidR="00D609AB">
        <w:t>COBI</w:t>
      </w:r>
      <w:r w:rsidR="00E1001B" w:rsidRPr="00E1001B">
        <w:t xml:space="preserve"> following administration of the drug product is approximately 3.5 hours.</w:t>
      </w:r>
    </w:p>
    <w:p w:rsidR="00E1001B" w:rsidRDefault="00C40A50" w:rsidP="00E1001B">
      <w:pPr>
        <w:pStyle w:val="Heading5"/>
      </w:pPr>
      <w:r>
        <w:t>Emtricitabine</w:t>
      </w:r>
    </w:p>
    <w:p w:rsidR="00E1001B" w:rsidRPr="00E1001B" w:rsidRDefault="00E1001B" w:rsidP="00E1001B">
      <w:r w:rsidRPr="00E1001B">
        <w:t xml:space="preserve">Following administration of radiolabelled </w:t>
      </w:r>
      <w:r w:rsidR="00D609AB">
        <w:t>FTC</w:t>
      </w:r>
      <w:r w:rsidRPr="00E1001B">
        <w:t xml:space="preserve"> approximately 86% is recovered in the urine and 13% is recovered as metabolites. Emtricitabine is eliminated by a combination of glomerular filtration and active tubular secretion. Following a single oral dose of E</w:t>
      </w:r>
      <w:r w:rsidR="00C40A50" w:rsidRPr="00E1001B">
        <w:t>mtriva</w:t>
      </w:r>
      <w:r w:rsidRPr="00E1001B">
        <w:t xml:space="preserve">, the plasma </w:t>
      </w:r>
      <w:r w:rsidR="003C06F8">
        <w:t>FTC</w:t>
      </w:r>
      <w:r w:rsidRPr="00E1001B">
        <w:t xml:space="preserve"> half-life is approximately 10 hours.</w:t>
      </w:r>
    </w:p>
    <w:p w:rsidR="00E1001B" w:rsidRDefault="00C40A50" w:rsidP="00E1001B">
      <w:pPr>
        <w:pStyle w:val="Heading5"/>
      </w:pPr>
      <w:r>
        <w:t>Tenofovir alafenamide</w:t>
      </w:r>
    </w:p>
    <w:p w:rsidR="00E1001B" w:rsidRPr="00E1001B" w:rsidRDefault="00E1001B" w:rsidP="00E1001B">
      <w:r w:rsidRPr="00E1001B">
        <w:t xml:space="preserve">Tenofovir alafenamide is eliminated following metabolism to </w:t>
      </w:r>
      <w:r w:rsidR="00D609AB">
        <w:t>TFV</w:t>
      </w:r>
      <w:r w:rsidRPr="00E1001B">
        <w:t>.</w:t>
      </w:r>
      <w:r w:rsidR="00CA65A1">
        <w:t xml:space="preserve"> </w:t>
      </w:r>
      <w:r w:rsidR="003C06F8">
        <w:t>TAF</w:t>
      </w:r>
      <w:r w:rsidRPr="00E1001B">
        <w:t xml:space="preserve"> and </w:t>
      </w:r>
      <w:r w:rsidR="003C06F8">
        <w:t>TFV</w:t>
      </w:r>
      <w:r w:rsidRPr="00E1001B">
        <w:t xml:space="preserve"> have a median plasma half-life of 0.51 and 32.37 hours, respectively.</w:t>
      </w:r>
      <w:r w:rsidR="00CA65A1">
        <w:t xml:space="preserve"> </w:t>
      </w:r>
      <w:r w:rsidRPr="00E1001B">
        <w:t>Tenofovir is eliminated from the body by the kidneys by both glomerular filtration and active tubular secretion.</w:t>
      </w:r>
      <w:r w:rsidR="00CA65A1">
        <w:t xml:space="preserve"> </w:t>
      </w:r>
      <w:r w:rsidRPr="00E1001B">
        <w:t xml:space="preserve">Renal excretion of intact </w:t>
      </w:r>
      <w:r w:rsidR="003C06F8">
        <w:t>TAF</w:t>
      </w:r>
      <w:r w:rsidRPr="00E1001B">
        <w:t xml:space="preserve"> is a minor pathway with less than 1% of the dose eliminated in urine.</w:t>
      </w:r>
      <w:r w:rsidR="00CA65A1">
        <w:t xml:space="preserve"> </w:t>
      </w:r>
      <w:r w:rsidRPr="00E1001B">
        <w:t xml:space="preserve">The pharmacologically active metabolite, </w:t>
      </w:r>
      <w:r w:rsidR="003C06F8">
        <w:t>TFV-DP</w:t>
      </w:r>
      <w:r w:rsidRPr="00E1001B">
        <w:t xml:space="preserve">, has a half-life of 150 to 180 hours within </w:t>
      </w:r>
      <w:r w:rsidR="00015675" w:rsidRPr="00015675">
        <w:t>peripheral blood mononuclear cell</w:t>
      </w:r>
      <w:r w:rsidR="00015675">
        <w:t>s</w:t>
      </w:r>
      <w:r w:rsidR="00015675" w:rsidRPr="00015675">
        <w:t xml:space="preserve"> </w:t>
      </w:r>
      <w:r w:rsidR="00015675">
        <w:t>(</w:t>
      </w:r>
      <w:r w:rsidRPr="00E1001B">
        <w:t>PBMCs</w:t>
      </w:r>
      <w:r w:rsidR="00015675">
        <w:t>)</w:t>
      </w:r>
      <w:r w:rsidRPr="00E1001B">
        <w:t>.</w:t>
      </w:r>
    </w:p>
    <w:p w:rsidR="00E1001B" w:rsidRPr="00E1001B" w:rsidRDefault="00E1001B" w:rsidP="004D2AB1">
      <w:pPr>
        <w:pStyle w:val="Heading4"/>
      </w:pPr>
      <w:r w:rsidRPr="00E1001B">
        <w:t>Active entity</w:t>
      </w:r>
    </w:p>
    <w:p w:rsidR="00E1001B" w:rsidRPr="00E1001B" w:rsidRDefault="00E1001B" w:rsidP="004D2AB1">
      <w:r w:rsidRPr="00E1001B">
        <w:t xml:space="preserve">The pharmacological activity is caused by the active entities </w:t>
      </w:r>
      <w:r w:rsidR="007E6D40">
        <w:t>TFV</w:t>
      </w:r>
      <w:r w:rsidRPr="00E1001B">
        <w:t xml:space="preserve">, </w:t>
      </w:r>
      <w:r w:rsidR="007E6D40">
        <w:t>FTC</w:t>
      </w:r>
      <w:r w:rsidRPr="00E1001B">
        <w:t xml:space="preserve"> and </w:t>
      </w:r>
      <w:r w:rsidR="00057BBC">
        <w:t>EVG</w:t>
      </w:r>
      <w:r w:rsidRPr="00E1001B">
        <w:t>.</w:t>
      </w:r>
      <w:r w:rsidR="00CA65A1">
        <w:t xml:space="preserve"> </w:t>
      </w:r>
      <w:r w:rsidRPr="00E1001B">
        <w:t xml:space="preserve">Cobicistat is </w:t>
      </w:r>
      <w:r w:rsidRPr="007E6D40">
        <w:t>a CYP3A</w:t>
      </w:r>
      <w:r w:rsidRPr="00E1001B">
        <w:t xml:space="preserve"> inhibitor, present to boost plasma levels of the therapeutically active agents, particularly </w:t>
      </w:r>
      <w:r w:rsidR="00057BBC">
        <w:t>EVG</w:t>
      </w:r>
      <w:r w:rsidRPr="00E1001B">
        <w:t>. It is described as a p</w:t>
      </w:r>
      <w:r w:rsidR="00C40A50">
        <w:t>harmacokinetic enhancer.</w:t>
      </w:r>
    </w:p>
    <w:p w:rsidR="00E1001B" w:rsidRPr="00E1001B" w:rsidRDefault="00E1001B" w:rsidP="00E1001B">
      <w:pPr>
        <w:pStyle w:val="Heading4"/>
      </w:pPr>
      <w:r w:rsidRPr="00E1001B">
        <w:lastRenderedPageBreak/>
        <w:t>Dose response proportionality</w:t>
      </w:r>
    </w:p>
    <w:p w:rsidR="00E1001B" w:rsidRDefault="00C40A50" w:rsidP="00E1001B">
      <w:pPr>
        <w:pStyle w:val="Heading5"/>
      </w:pPr>
      <w:r>
        <w:t>Elvitegravir</w:t>
      </w:r>
    </w:p>
    <w:p w:rsidR="00E1001B" w:rsidRPr="00E1001B" w:rsidRDefault="00E1001B" w:rsidP="00E1001B">
      <w:r w:rsidRPr="00E1001B">
        <w:t>Elvitegravir plasma exposures are non-linear and less than dose proport</w:t>
      </w:r>
      <w:r w:rsidR="00C40A50">
        <w:t xml:space="preserve">ional, likely due to solubility </w:t>
      </w:r>
      <w:r w:rsidRPr="00E1001B">
        <w:t>limited absorption.</w:t>
      </w:r>
    </w:p>
    <w:p w:rsidR="00E1001B" w:rsidRDefault="00C40A50" w:rsidP="00E1001B">
      <w:pPr>
        <w:pStyle w:val="Heading5"/>
      </w:pPr>
      <w:r>
        <w:t>Cobicistat</w:t>
      </w:r>
    </w:p>
    <w:p w:rsidR="00E1001B" w:rsidRPr="00E1001B" w:rsidRDefault="00C40A50" w:rsidP="00E1001B">
      <w:r>
        <w:t>Cobicistat exposures are nonl</w:t>
      </w:r>
      <w:r w:rsidRPr="00E1001B">
        <w:t>inear</w:t>
      </w:r>
      <w:r w:rsidR="00E1001B" w:rsidRPr="00E1001B">
        <w:t xml:space="preserve"> and greater</w:t>
      </w:r>
      <w:r>
        <w:t xml:space="preserve"> than dose </w:t>
      </w:r>
      <w:r w:rsidR="00E1001B" w:rsidRPr="00E1001B">
        <w:t xml:space="preserve">proportional over the range of 50 mg to 400 </w:t>
      </w:r>
      <w:r>
        <w:t xml:space="preserve">mg, consistent with a mechanism </w:t>
      </w:r>
      <w:r w:rsidR="00E1001B" w:rsidRPr="00E1001B">
        <w:t xml:space="preserve">based </w:t>
      </w:r>
      <w:r w:rsidR="00E1001B" w:rsidRPr="007E6D40">
        <w:t>CYP3A</w:t>
      </w:r>
      <w:r w:rsidR="00E1001B" w:rsidRPr="00E1001B">
        <w:t xml:space="preserve"> inhibitor.</w:t>
      </w:r>
    </w:p>
    <w:p w:rsidR="00E1001B" w:rsidRPr="00E1001B" w:rsidRDefault="00E1001B" w:rsidP="00E1001B">
      <w:pPr>
        <w:pStyle w:val="Heading4"/>
      </w:pPr>
      <w:r w:rsidRPr="00E1001B">
        <w:t>Effects of food</w:t>
      </w:r>
    </w:p>
    <w:p w:rsidR="00E1001B" w:rsidRPr="00E1001B" w:rsidRDefault="00E1001B" w:rsidP="00E1001B">
      <w:r w:rsidRPr="00E1001B">
        <w:t>Relative to fasting conditions, the administration with a light meal (</w:t>
      </w:r>
      <w:r w:rsidR="00A511E3">
        <w:t>approximately</w:t>
      </w:r>
      <w:r w:rsidR="007E6D40">
        <w:t xml:space="preserve"> </w:t>
      </w:r>
      <w:r w:rsidR="00C40A50">
        <w:t>373 </w:t>
      </w:r>
      <w:r w:rsidRPr="00E1001B">
        <w:t xml:space="preserve">kcal, 20% fat) increased the mean systemic exposure of </w:t>
      </w:r>
      <w:r w:rsidR="00057BBC">
        <w:t>EVG</w:t>
      </w:r>
      <w:r w:rsidRPr="00E1001B">
        <w:t xml:space="preserve"> by 34%.</w:t>
      </w:r>
      <w:r w:rsidR="00CA65A1">
        <w:t xml:space="preserve"> </w:t>
      </w:r>
      <w:r w:rsidRPr="00E1001B">
        <w:t xml:space="preserve">The alterations in mean systemic exposures of </w:t>
      </w:r>
      <w:r w:rsidR="007E6D40">
        <w:t>COBI</w:t>
      </w:r>
      <w:r w:rsidRPr="00E1001B">
        <w:t xml:space="preserve"> and </w:t>
      </w:r>
      <w:r w:rsidR="00D609AB">
        <w:t>FTC</w:t>
      </w:r>
      <w:r w:rsidRPr="00E1001B">
        <w:t xml:space="preserve"> were not clinically significant.</w:t>
      </w:r>
    </w:p>
    <w:p w:rsidR="00E1001B" w:rsidRPr="00E1001B" w:rsidRDefault="00E1001B" w:rsidP="00E1001B">
      <w:r w:rsidRPr="00E1001B">
        <w:t>Relative to fasting conditions, the administration with a high fat meal (</w:t>
      </w:r>
      <w:r w:rsidR="00A511E3">
        <w:t>approximately</w:t>
      </w:r>
      <w:r w:rsidR="00C40A50">
        <w:t xml:space="preserve"> 800 </w:t>
      </w:r>
      <w:r w:rsidRPr="00E1001B">
        <w:t xml:space="preserve">kcal, 50% fat) increased the mean systemic exposure of </w:t>
      </w:r>
      <w:r w:rsidR="00057BBC">
        <w:t>EVG</w:t>
      </w:r>
      <w:r w:rsidRPr="00E1001B">
        <w:t xml:space="preserve"> by 87%.</w:t>
      </w:r>
      <w:r w:rsidR="00CA65A1">
        <w:t xml:space="preserve"> </w:t>
      </w:r>
      <w:r w:rsidRPr="00E1001B">
        <w:t xml:space="preserve">The alterations in mean systemic exposures of </w:t>
      </w:r>
      <w:r w:rsidR="007E6D40">
        <w:t>COBI</w:t>
      </w:r>
      <w:r w:rsidRPr="00E1001B">
        <w:t xml:space="preserve"> and </w:t>
      </w:r>
      <w:r w:rsidR="00D609AB">
        <w:t>FTC</w:t>
      </w:r>
      <w:r w:rsidRPr="00E1001B">
        <w:t xml:space="preserve"> were not clinically significant.</w:t>
      </w:r>
    </w:p>
    <w:p w:rsidR="00E1001B" w:rsidRPr="00E1001B" w:rsidRDefault="00E1001B" w:rsidP="00E1001B">
      <w:r w:rsidRPr="00E1001B">
        <w:t xml:space="preserve">Relative to fasting conditions, the administration of </w:t>
      </w:r>
      <w:r w:rsidR="003328D2" w:rsidRPr="00E1001B">
        <w:t>Genvoya</w:t>
      </w:r>
      <w:r w:rsidRPr="00E1001B">
        <w:t xml:space="preserve"> with a light meal (</w:t>
      </w:r>
      <w:r w:rsidR="00A511E3">
        <w:t>approximately</w:t>
      </w:r>
      <w:r w:rsidRPr="00E1001B">
        <w:t>400 kcal, 20% fat) or high fat meal (</w:t>
      </w:r>
      <w:r w:rsidR="00A511E3">
        <w:t>approximately</w:t>
      </w:r>
      <w:r w:rsidR="00C40A50">
        <w:t xml:space="preserve"> </w:t>
      </w:r>
      <w:r w:rsidRPr="00E1001B">
        <w:t xml:space="preserve">800 kcal, 50% fat) increased the mean systemic exposures of </w:t>
      </w:r>
      <w:r w:rsidR="00F7570A">
        <w:t>TAF</w:t>
      </w:r>
      <w:r w:rsidRPr="00E1001B">
        <w:t xml:space="preserve"> by approximately 15% and 18%, respectively.</w:t>
      </w:r>
      <w:r w:rsidR="00CA65A1">
        <w:t xml:space="preserve"> </w:t>
      </w:r>
      <w:r w:rsidRPr="00E1001B">
        <w:t xml:space="preserve">The alterations in mean systemic exposures of </w:t>
      </w:r>
      <w:r w:rsidR="00F7570A">
        <w:t>TAF</w:t>
      </w:r>
      <w:r w:rsidRPr="00E1001B">
        <w:t xml:space="preserve"> were not clinically significant.</w:t>
      </w:r>
      <w:r w:rsidR="00CA65A1">
        <w:t xml:space="preserve"> Genvoya</w:t>
      </w:r>
      <w:r w:rsidRPr="00E1001B">
        <w:t xml:space="preserve"> should be taken with food.</w:t>
      </w:r>
    </w:p>
    <w:p w:rsidR="00E1001B" w:rsidRPr="00E1001B" w:rsidRDefault="00E1001B" w:rsidP="00C40A50">
      <w:pPr>
        <w:pStyle w:val="Heading4"/>
      </w:pPr>
      <w:r w:rsidRPr="00E1001B">
        <w:t xml:space="preserve">Summary of </w:t>
      </w:r>
      <w:r w:rsidR="00F41FC2">
        <w:t>b</w:t>
      </w:r>
      <w:r w:rsidRPr="00E1001B">
        <w:t xml:space="preserve">ioavailability and </w:t>
      </w:r>
      <w:r w:rsidR="00F41FC2">
        <w:t>b</w:t>
      </w:r>
      <w:r w:rsidRPr="00E1001B">
        <w:t xml:space="preserve">ioequivalence </w:t>
      </w:r>
      <w:r w:rsidR="00F41FC2">
        <w:t>s</w:t>
      </w:r>
      <w:r w:rsidRPr="00E1001B">
        <w:t>tudies</w:t>
      </w:r>
    </w:p>
    <w:p w:rsidR="00E1001B" w:rsidRPr="00E1001B" w:rsidRDefault="00C40A50" w:rsidP="00E1001B">
      <w:pPr>
        <w:pStyle w:val="Heading5"/>
      </w:pPr>
      <w:r>
        <w:t>Absolute bioavailability</w:t>
      </w:r>
    </w:p>
    <w:p w:rsidR="00E1001B" w:rsidRPr="00E1001B" w:rsidRDefault="00C40A50" w:rsidP="004D2AB1">
      <w:r>
        <w:t>The s</w:t>
      </w:r>
      <w:r w:rsidR="00E1001B" w:rsidRPr="00E1001B">
        <w:t>ponsor provided a justification for not providing any biopharmaceutic and/or absolute bioavailability data and this is considered acceptable, in part because of the similarity of the pro</w:t>
      </w:r>
      <w:r>
        <w:t xml:space="preserve">posed product to the previously </w:t>
      </w:r>
      <w:r w:rsidR="00E1001B" w:rsidRPr="00E1001B">
        <w:t xml:space="preserve">approved </w:t>
      </w:r>
      <w:r w:rsidR="00CA65A1">
        <w:t>Stribild</w:t>
      </w:r>
      <w:r>
        <w:t xml:space="preserve"> t</w:t>
      </w:r>
      <w:r w:rsidR="00E1001B" w:rsidRPr="00E1001B">
        <w:t>ablet.</w:t>
      </w:r>
    </w:p>
    <w:p w:rsidR="00E1001B" w:rsidRPr="00E1001B" w:rsidRDefault="00C40A50" w:rsidP="00E1001B">
      <w:pPr>
        <w:pStyle w:val="Heading5"/>
      </w:pPr>
      <w:r>
        <w:t>Comparative bioavailability</w:t>
      </w:r>
    </w:p>
    <w:p w:rsidR="00E1001B" w:rsidRPr="00E1001B" w:rsidRDefault="00E1001B" w:rsidP="00E1001B">
      <w:r w:rsidRPr="00E1001B">
        <w:t xml:space="preserve">A single comparative bioavailability study was submitted (Study GS-US-292-0103) comparing the bioavailability of </w:t>
      </w:r>
      <w:r w:rsidR="00057BBC">
        <w:t>EVG</w:t>
      </w:r>
      <w:r w:rsidRPr="00E1001B">
        <w:t xml:space="preserve">, </w:t>
      </w:r>
      <w:r w:rsidR="007E6D40">
        <w:t>COBI</w:t>
      </w:r>
      <w:r w:rsidRPr="00E1001B">
        <w:t xml:space="preserve">, </w:t>
      </w:r>
      <w:r w:rsidR="00D609AB">
        <w:t>FTC</w:t>
      </w:r>
      <w:r w:rsidRPr="00E1001B">
        <w:t xml:space="preserve">, </w:t>
      </w:r>
      <w:r w:rsidR="00D609AB">
        <w:t>TAF</w:t>
      </w:r>
      <w:r w:rsidRPr="00E1001B">
        <w:t xml:space="preserve">, and the active metabolite </w:t>
      </w:r>
      <w:r w:rsidR="00D609AB">
        <w:t>TFV</w:t>
      </w:r>
      <w:r w:rsidRPr="00E1001B">
        <w:t xml:space="preserve"> following</w:t>
      </w:r>
      <w:r w:rsidR="00C40A50">
        <w:t xml:space="preserve"> the administration of a single </w:t>
      </w:r>
      <w:r w:rsidRPr="00E1001B">
        <w:t>tablet regimen</w:t>
      </w:r>
      <w:r w:rsidR="00CA65A1">
        <w:t xml:space="preserve"> </w:t>
      </w:r>
      <w:r w:rsidRPr="00E1001B">
        <w:t xml:space="preserve">containing the proposed </w:t>
      </w:r>
      <w:r w:rsidR="00CA65A1">
        <w:t>fixed dose</w:t>
      </w:r>
      <w:r w:rsidRPr="00E1001B">
        <w:t xml:space="preserve"> combination tablet, and following administration of the components separately, in healthy subject</w:t>
      </w:r>
      <w:r w:rsidR="00C40A50">
        <w:t xml:space="preserve">s. The study was a single </w:t>
      </w:r>
      <w:r w:rsidR="00C40A50" w:rsidRPr="00E1001B">
        <w:t>centre</w:t>
      </w:r>
      <w:r w:rsidR="00C40A50">
        <w:t>, random</w:t>
      </w:r>
      <w:r w:rsidR="00527A3B">
        <w:t>ise</w:t>
      </w:r>
      <w:r w:rsidR="00C40A50">
        <w:t xml:space="preserve">d, open </w:t>
      </w:r>
      <w:r w:rsidRPr="00E1001B">
        <w:t xml:space="preserve">label, </w:t>
      </w:r>
      <w:r w:rsidR="00C40A50">
        <w:t>multiple dose</w:t>
      </w:r>
      <w:r w:rsidRPr="00E1001B">
        <w:t>, multiple</w:t>
      </w:r>
      <w:r w:rsidR="00C40A50">
        <w:t xml:space="preserve"> cohort, 2 </w:t>
      </w:r>
      <w:r w:rsidRPr="00E1001B">
        <w:t>period, crossover study in healthy adult subjects.</w:t>
      </w:r>
    </w:p>
    <w:p w:rsidR="00E1001B" w:rsidRPr="00E1001B" w:rsidRDefault="00E1001B" w:rsidP="00C40A50">
      <w:pPr>
        <w:pStyle w:val="ListBullet"/>
      </w:pPr>
      <w:r w:rsidRPr="00E1001B">
        <w:t>Cohort 1</w:t>
      </w:r>
    </w:p>
    <w:p w:rsidR="00E1001B" w:rsidRPr="00E1001B" w:rsidRDefault="00E1001B" w:rsidP="00C40A50">
      <w:pPr>
        <w:pStyle w:val="ListBullet2"/>
      </w:pPr>
      <w:r w:rsidRPr="00E1001B">
        <w:t xml:space="preserve">Treatment A: one proposed combination tablet of </w:t>
      </w:r>
      <w:r w:rsidR="00057BBC">
        <w:t>EVG</w:t>
      </w:r>
      <w:r w:rsidRPr="00E1001B">
        <w:t xml:space="preserve">, </w:t>
      </w:r>
      <w:r w:rsidR="007E6D40">
        <w:t>COBI</w:t>
      </w:r>
      <w:r w:rsidRPr="00E1001B">
        <w:t xml:space="preserve">, </w:t>
      </w:r>
      <w:r w:rsidR="00D609AB">
        <w:t>FTC</w:t>
      </w:r>
      <w:r w:rsidRPr="00E1001B">
        <w:t xml:space="preserve">, </w:t>
      </w:r>
      <w:r w:rsidR="00D609AB">
        <w:t>TAF</w:t>
      </w:r>
      <w:r w:rsidR="004D2AB1">
        <w:t xml:space="preserve"> (150 / 150 / 200 / 10 mg)</w:t>
      </w:r>
    </w:p>
    <w:p w:rsidR="00E1001B" w:rsidRPr="00E1001B" w:rsidRDefault="00E1001B" w:rsidP="00C40A50">
      <w:pPr>
        <w:pStyle w:val="ListBullet2"/>
      </w:pPr>
      <w:r w:rsidRPr="00E1001B">
        <w:t xml:space="preserve">Treatment B: </w:t>
      </w:r>
      <w:r w:rsidR="00057BBC">
        <w:t>EVG</w:t>
      </w:r>
      <w:r w:rsidRPr="00E1001B">
        <w:t xml:space="preserve"> 150 mg tablet + </w:t>
      </w:r>
      <w:r w:rsidR="007E6D40">
        <w:t>COBI</w:t>
      </w:r>
      <w:r w:rsidRPr="00E1001B">
        <w:t xml:space="preserve"> 150 mg tab</w:t>
      </w:r>
    </w:p>
    <w:p w:rsidR="00E1001B" w:rsidRPr="00E1001B" w:rsidRDefault="00E1001B" w:rsidP="00C40A50">
      <w:pPr>
        <w:pStyle w:val="ListBullet"/>
      </w:pPr>
      <w:r w:rsidRPr="00E1001B">
        <w:t>Cohort 2</w:t>
      </w:r>
    </w:p>
    <w:p w:rsidR="00E1001B" w:rsidRPr="00E1001B" w:rsidRDefault="00E1001B" w:rsidP="00C40A50">
      <w:pPr>
        <w:pStyle w:val="ListBullet2"/>
      </w:pPr>
      <w:r w:rsidRPr="00E1001B">
        <w:t xml:space="preserve">Treatment A: one proposed combination tablet of </w:t>
      </w:r>
      <w:r w:rsidR="00057BBC">
        <w:t>EVG</w:t>
      </w:r>
      <w:r w:rsidRPr="00E1001B">
        <w:t xml:space="preserve">, </w:t>
      </w:r>
      <w:r w:rsidR="007E6D40">
        <w:t>COBI</w:t>
      </w:r>
      <w:r w:rsidRPr="00E1001B">
        <w:t xml:space="preserve">, </w:t>
      </w:r>
      <w:r w:rsidR="00D609AB">
        <w:t>FTC,</w:t>
      </w:r>
      <w:r w:rsidRPr="00E1001B">
        <w:t xml:space="preserve"> </w:t>
      </w:r>
      <w:r w:rsidR="00D609AB">
        <w:t>TAF</w:t>
      </w:r>
      <w:r w:rsidRPr="00E1001B">
        <w:t xml:space="preserve"> (150 / 150 / 200 / 10 mg)</w:t>
      </w:r>
    </w:p>
    <w:p w:rsidR="00DA1551" w:rsidRDefault="00E1001B" w:rsidP="00C40A50">
      <w:pPr>
        <w:pStyle w:val="ListBullet2"/>
      </w:pPr>
      <w:r w:rsidRPr="00E1001B">
        <w:t xml:space="preserve">Treatment C: </w:t>
      </w:r>
      <w:r w:rsidR="00D609AB">
        <w:t xml:space="preserve">FTC 200 mg </w:t>
      </w:r>
      <w:r w:rsidRPr="00E1001B">
        <w:t xml:space="preserve">+ </w:t>
      </w:r>
      <w:r w:rsidR="00D609AB">
        <w:t>TAF</w:t>
      </w:r>
      <w:r w:rsidRPr="00E1001B">
        <w:t xml:space="preserve"> 25 mg</w:t>
      </w:r>
    </w:p>
    <w:p w:rsidR="00DA1551" w:rsidRPr="00DA1551" w:rsidRDefault="00DA1551" w:rsidP="00DA1551">
      <w:r w:rsidRPr="00DA1551">
        <w:t xml:space="preserve">It is noted that the single tablet dose of </w:t>
      </w:r>
      <w:r w:rsidR="00D609AB">
        <w:t>TAF</w:t>
      </w:r>
      <w:r w:rsidRPr="00DA1551">
        <w:t xml:space="preserve"> of 25 mg (</w:t>
      </w:r>
      <w:r w:rsidR="00F02AA3">
        <w:t>versus</w:t>
      </w:r>
      <w:r w:rsidRPr="00DA1551">
        <w:t xml:space="preserve"> the </w:t>
      </w:r>
      <w:r w:rsidR="00D609AB">
        <w:t>TAF</w:t>
      </w:r>
      <w:r w:rsidRPr="00DA1551">
        <w:t xml:space="preserve"> content of the combination tablet of </w:t>
      </w:r>
      <w:r w:rsidR="00F02AA3">
        <w:t>10 mg</w:t>
      </w:r>
      <w:r w:rsidRPr="00DA1551">
        <w:t xml:space="preserve">) was chosen based on results from the </w:t>
      </w:r>
      <w:r w:rsidR="00C40A50">
        <w:t>Phase I</w:t>
      </w:r>
      <w:r w:rsidRPr="00DA1551">
        <w:t xml:space="preserve"> study GS-US-292-0101 which showed that exposure to </w:t>
      </w:r>
      <w:r w:rsidR="00D609AB">
        <w:t>TAF</w:t>
      </w:r>
      <w:r w:rsidRPr="00DA1551">
        <w:t xml:space="preserve"> when administered as a component of the combination tablet was approximately 2.2 to 2.6</w:t>
      </w:r>
      <w:r w:rsidR="00C40A50">
        <w:t xml:space="preserve"> fold</w:t>
      </w:r>
      <w:r w:rsidRPr="00DA1551">
        <w:t xml:space="preserve"> that when administered alone. The </w:t>
      </w:r>
      <w:r w:rsidRPr="00DA1551">
        <w:lastRenderedPageBreak/>
        <w:t xml:space="preserve">greater exposure to </w:t>
      </w:r>
      <w:r w:rsidR="00D609AB">
        <w:t>TAF</w:t>
      </w:r>
      <w:r w:rsidRPr="00DA1551">
        <w:t xml:space="preserve"> when administered as a component of the combination tablet is presumed to result from the inhibition of </w:t>
      </w:r>
      <w:r w:rsidR="00D609AB">
        <w:t>TAF</w:t>
      </w:r>
      <w:r w:rsidRPr="00DA1551">
        <w:t xml:space="preserve"> intestinal secretory transport by </w:t>
      </w:r>
      <w:r w:rsidR="007E6D40">
        <w:t>COBI</w:t>
      </w:r>
      <w:r w:rsidRPr="00DA1551">
        <w:t xml:space="preserve">. The single tablets of </w:t>
      </w:r>
      <w:r w:rsidR="007E6D40">
        <w:t>COBI</w:t>
      </w:r>
      <w:r w:rsidRPr="00DA1551">
        <w:t xml:space="preserve"> and </w:t>
      </w:r>
      <w:r w:rsidR="00D609AB">
        <w:t>TAF</w:t>
      </w:r>
      <w:r w:rsidRPr="00DA1551">
        <w:t xml:space="preserve"> are not co-administered in either of the coh</w:t>
      </w:r>
      <w:r w:rsidR="00F616AC">
        <w:t>orts.</w:t>
      </w:r>
    </w:p>
    <w:p w:rsidR="00DA1551" w:rsidRPr="00DA1551" w:rsidRDefault="00DA1551" w:rsidP="00DA1551">
      <w:r w:rsidRPr="00DA1551">
        <w:t xml:space="preserve">The </w:t>
      </w:r>
      <w:r w:rsidR="001C4FBE">
        <w:t>s</w:t>
      </w:r>
      <w:r w:rsidR="007664CA">
        <w:t>ponsor</w:t>
      </w:r>
      <w:r w:rsidR="007664CA" w:rsidRPr="00DA1551">
        <w:t xml:space="preserve"> </w:t>
      </w:r>
      <w:r w:rsidRPr="00DA1551">
        <w:t>submitted a rationalisation for applying wider than normal limits (70% to 143%) for the 90%</w:t>
      </w:r>
      <w:r w:rsidR="00F227C7">
        <w:t xml:space="preserve"> confidence interval (</w:t>
      </w:r>
      <w:r w:rsidRPr="00DA1551">
        <w:t>CI</w:t>
      </w:r>
      <w:r w:rsidR="00F227C7">
        <w:t>)</w:t>
      </w:r>
      <w:r w:rsidRPr="00DA1551">
        <w:t xml:space="preserve"> for all of the calculated parameters (</w:t>
      </w:r>
      <w:r w:rsidR="00F616AC">
        <w:t xml:space="preserve">that </w:t>
      </w:r>
      <w:r w:rsidR="00F616AC" w:rsidRPr="00D609AB">
        <w:t>is</w:t>
      </w:r>
      <w:r w:rsidRPr="00D609AB">
        <w:t xml:space="preserve"> </w:t>
      </w:r>
      <w:r w:rsidR="00F616AC" w:rsidRPr="00D609AB">
        <w:t>AUC</w:t>
      </w:r>
      <w:r w:rsidR="00F616AC" w:rsidRPr="00D609AB">
        <w:rPr>
          <w:vertAlign w:val="subscript"/>
        </w:rPr>
        <w:t>tau</w:t>
      </w:r>
      <w:r w:rsidR="00D609AB" w:rsidRPr="00D609AB">
        <w:rPr>
          <w:rStyle w:val="FootnoteReference"/>
        </w:rPr>
        <w:footnoteReference w:id="7"/>
      </w:r>
      <w:r w:rsidRPr="00D609AB">
        <w:t xml:space="preserve">, </w:t>
      </w:r>
      <w:r w:rsidR="00F616AC" w:rsidRPr="00D609AB">
        <w:t>C</w:t>
      </w:r>
      <w:r w:rsidR="00F616AC" w:rsidRPr="00D609AB">
        <w:rPr>
          <w:vertAlign w:val="subscript"/>
        </w:rPr>
        <w:t>max</w:t>
      </w:r>
      <w:r w:rsidR="00D609AB" w:rsidRPr="00D609AB">
        <w:rPr>
          <w:rStyle w:val="FootnoteReference"/>
        </w:rPr>
        <w:footnoteReference w:id="8"/>
      </w:r>
      <w:r w:rsidRPr="00D609AB">
        <w:t xml:space="preserve"> and </w:t>
      </w:r>
      <w:r w:rsidR="00F616AC" w:rsidRPr="00D609AB">
        <w:t>C</w:t>
      </w:r>
      <w:r w:rsidR="00F616AC" w:rsidRPr="00D609AB">
        <w:rPr>
          <w:vertAlign w:val="subscript"/>
        </w:rPr>
        <w:t>tau</w:t>
      </w:r>
      <w:r w:rsidR="00D609AB" w:rsidRPr="00D609AB">
        <w:rPr>
          <w:rStyle w:val="FootnoteReference"/>
        </w:rPr>
        <w:footnoteReference w:id="9"/>
      </w:r>
      <w:r w:rsidRPr="00D609AB">
        <w:t>)</w:t>
      </w:r>
      <w:r w:rsidRPr="00DA1551">
        <w:t xml:space="preserve"> and this has been submitted for clinical comment.</w:t>
      </w:r>
    </w:p>
    <w:p w:rsidR="00DA1551" w:rsidRPr="00DA1551" w:rsidRDefault="00DA1551" w:rsidP="00DA1551">
      <w:r w:rsidRPr="00DA1551">
        <w:t>Notwithstanding this, more usual, tighter limits of 80</w:t>
      </w:r>
      <w:r w:rsidR="00F02AA3">
        <w:t xml:space="preserve"> to </w:t>
      </w:r>
      <w:r w:rsidRPr="00DA1551">
        <w:t>125% were met for AUC</w:t>
      </w:r>
      <w:r w:rsidRPr="00F616AC">
        <w:rPr>
          <w:vertAlign w:val="subscript"/>
        </w:rPr>
        <w:t>0-tau</w:t>
      </w:r>
      <w:r w:rsidRPr="00DA1551">
        <w:t xml:space="preserve"> and </w:t>
      </w:r>
      <w:r w:rsidR="00F616AC" w:rsidRPr="00DA1551">
        <w:t>C</w:t>
      </w:r>
      <w:r w:rsidR="00F616AC" w:rsidRPr="00F616AC">
        <w:rPr>
          <w:vertAlign w:val="subscript"/>
        </w:rPr>
        <w:t>max</w:t>
      </w:r>
      <w:r w:rsidRPr="00DA1551">
        <w:t xml:space="preserve"> for plasma levels of all four of the drug substances. The tighter limits were also met for the parameter </w:t>
      </w:r>
      <w:r w:rsidR="00F616AC" w:rsidRPr="00DA1551">
        <w:t>C</w:t>
      </w:r>
      <w:r w:rsidR="00F616AC" w:rsidRPr="00F616AC">
        <w:rPr>
          <w:vertAlign w:val="subscript"/>
        </w:rPr>
        <w:t>tau</w:t>
      </w:r>
      <w:r w:rsidR="00F616AC">
        <w:t xml:space="preserve"> for the drug substances </w:t>
      </w:r>
      <w:r w:rsidR="00057BBC">
        <w:t>EVG</w:t>
      </w:r>
      <w:r w:rsidRPr="00DA1551">
        <w:t xml:space="preserve"> and </w:t>
      </w:r>
      <w:r w:rsidR="00D609AB">
        <w:t>TAF</w:t>
      </w:r>
      <w:r w:rsidRPr="00DA1551">
        <w:t>.</w:t>
      </w:r>
      <w:r w:rsidR="00CA65A1">
        <w:t xml:space="preserve"> </w:t>
      </w:r>
      <w:r w:rsidR="00F616AC">
        <w:t xml:space="preserve">However for </w:t>
      </w:r>
      <w:r w:rsidR="007E6D40">
        <w:t>COBI</w:t>
      </w:r>
      <w:r w:rsidR="00F616AC">
        <w:t xml:space="preserve"> and </w:t>
      </w:r>
      <w:r w:rsidR="00D609AB">
        <w:t>FTC</w:t>
      </w:r>
      <w:r w:rsidRPr="00DA1551">
        <w:t xml:space="preserve">, the parameter </w:t>
      </w:r>
      <w:r w:rsidR="00F616AC" w:rsidRPr="00DA1551">
        <w:t>C</w:t>
      </w:r>
      <w:r w:rsidR="00F616AC" w:rsidRPr="00F616AC">
        <w:rPr>
          <w:vertAlign w:val="subscript"/>
        </w:rPr>
        <w:t>tau</w:t>
      </w:r>
      <w:r w:rsidRPr="00DA1551">
        <w:t xml:space="preserve"> was just outside the normal range on the upper side (133% and 128%, respectively). For the active metabolite </w:t>
      </w:r>
      <w:r w:rsidR="00D609AB">
        <w:t>TFV</w:t>
      </w:r>
      <w:r w:rsidRPr="00DA1551">
        <w:t>, all 3 measured parameters (</w:t>
      </w:r>
      <w:r w:rsidR="00F616AC" w:rsidRPr="00DA1551">
        <w:t>AUC</w:t>
      </w:r>
      <w:r w:rsidR="00F616AC" w:rsidRPr="00F616AC">
        <w:rPr>
          <w:vertAlign w:val="subscript"/>
        </w:rPr>
        <w:t>tau</w:t>
      </w:r>
      <w:r w:rsidRPr="00DA1551">
        <w:t xml:space="preserve">, </w:t>
      </w:r>
      <w:r w:rsidR="00F616AC" w:rsidRPr="00DA1551">
        <w:t>C</w:t>
      </w:r>
      <w:r w:rsidR="00F616AC" w:rsidRPr="00F616AC">
        <w:rPr>
          <w:vertAlign w:val="subscript"/>
        </w:rPr>
        <w:t>max</w:t>
      </w:r>
      <w:r w:rsidRPr="00DA1551">
        <w:t xml:space="preserve"> and </w:t>
      </w:r>
      <w:r w:rsidR="00F616AC" w:rsidRPr="00DA1551">
        <w:t>C</w:t>
      </w:r>
      <w:r w:rsidR="00F616AC" w:rsidRPr="00F616AC">
        <w:rPr>
          <w:vertAlign w:val="subscript"/>
        </w:rPr>
        <w:t>tau</w:t>
      </w:r>
      <w:r w:rsidRPr="00DA1551">
        <w:t>) were just outside the normal range on the upper side (130%, 134 and 134%, respectively). Comment of the clinical significance of these results has been sought.</w:t>
      </w:r>
    </w:p>
    <w:p w:rsidR="008E7846" w:rsidRPr="004D2AB1" w:rsidRDefault="008E7846" w:rsidP="004D2AB1">
      <w:pPr>
        <w:pStyle w:val="Heading3"/>
      </w:pPr>
      <w:bookmarkStart w:id="35" w:name="_Toc247691509"/>
      <w:bookmarkStart w:id="36" w:name="_Toc314842493"/>
      <w:bookmarkStart w:id="37" w:name="_Toc455474486"/>
      <w:bookmarkEnd w:id="34"/>
      <w:r w:rsidRPr="004D2AB1">
        <w:t>Quality summary and conclusions</w:t>
      </w:r>
      <w:bookmarkEnd w:id="35"/>
      <w:bookmarkEnd w:id="36"/>
      <w:bookmarkEnd w:id="37"/>
    </w:p>
    <w:p w:rsidR="00DA1551" w:rsidRPr="00DA1551" w:rsidRDefault="00DA1551" w:rsidP="00DA1551">
      <w:r w:rsidRPr="00DA1551">
        <w:t>All pharmaceutical chemistry issues raised during the initial evaluation of this application have now been satisfactorily resolved apart from:</w:t>
      </w:r>
    </w:p>
    <w:p w:rsidR="00DA1551" w:rsidRPr="00DA1551" w:rsidRDefault="00DA1551" w:rsidP="00DA1551">
      <w:pPr>
        <w:pStyle w:val="ListBullet"/>
      </w:pPr>
      <w:r w:rsidRPr="00DA1551">
        <w:t>the expiry limit for assay of tenofovir alafenamide (TAF) in the finished product specifications does not comply with TGO 78 and consequently registration cannot be recommended. This is a critical issue and for registration approval to be considered, this limit must be tightened to at least 92.5 to 107.5.</w:t>
      </w:r>
    </w:p>
    <w:p w:rsidR="00DA1551" w:rsidRPr="00DA1551" w:rsidRDefault="00DA1551" w:rsidP="00DA1551">
      <w:r w:rsidRPr="00DA1551">
        <w:t>It is anticipated that the sponsor will take s</w:t>
      </w:r>
      <w:r w:rsidR="00D609AB">
        <w:t>teps to resolve the above issue prior to the D</w:t>
      </w:r>
      <w:r w:rsidRPr="00DA1551">
        <w:t>elegate’s decision.</w:t>
      </w:r>
    </w:p>
    <w:p w:rsidR="008E7846" w:rsidRDefault="00DA1551" w:rsidP="008E7846">
      <w:r w:rsidRPr="00DA1551">
        <w:t xml:space="preserve">Pending resolution of </w:t>
      </w:r>
      <w:r w:rsidR="00D609AB">
        <w:t>the above issue</w:t>
      </w:r>
      <w:r w:rsidR="00F616AC">
        <w:t xml:space="preserve">, the proposed </w:t>
      </w:r>
      <w:r w:rsidR="00CA65A1">
        <w:t>Genvoya</w:t>
      </w:r>
      <w:r w:rsidRPr="00DA1551">
        <w:t xml:space="preserve"> elvitegravir (150</w:t>
      </w:r>
      <w:r w:rsidR="00F616AC">
        <w:t xml:space="preserve"> </w:t>
      </w:r>
      <w:r w:rsidRPr="00DA1551">
        <w:t xml:space="preserve">mg), </w:t>
      </w:r>
      <w:r w:rsidR="00D609AB">
        <w:t>cobicistat</w:t>
      </w:r>
      <w:r w:rsidRPr="00DA1551">
        <w:t xml:space="preserve"> (150 mg), emtricitabine (200 mg) and tenofovir alafenamide fumarate (</w:t>
      </w:r>
      <w:r w:rsidR="00F02AA3">
        <w:t>10 mg</w:t>
      </w:r>
      <w:r w:rsidRPr="00DA1551">
        <w:t>) fixed dose combination tablets is</w:t>
      </w:r>
      <w:r w:rsidR="00CA65A1">
        <w:t xml:space="preserve"> </w:t>
      </w:r>
      <w:r w:rsidRPr="00DA1551">
        <w:t>recommended for registration with respect to ph</w:t>
      </w:r>
      <w:r w:rsidR="00F616AC">
        <w:t>armaceutical chemistry aspects.</w:t>
      </w:r>
    </w:p>
    <w:p w:rsidR="008E7846" w:rsidRDefault="008E7846" w:rsidP="008E7846">
      <w:pPr>
        <w:pStyle w:val="Heading2"/>
      </w:pPr>
      <w:bookmarkStart w:id="38" w:name="_Toc196046439"/>
      <w:bookmarkStart w:id="39" w:name="_Toc247691510"/>
      <w:bookmarkStart w:id="40" w:name="_Toc314842494"/>
      <w:bookmarkStart w:id="41" w:name="_Toc455474487"/>
      <w:r>
        <w:t>III. Nonclinical</w:t>
      </w:r>
      <w:bookmarkEnd w:id="38"/>
      <w:r>
        <w:t xml:space="preserve"> findings</w:t>
      </w:r>
      <w:bookmarkEnd w:id="39"/>
      <w:bookmarkEnd w:id="40"/>
      <w:bookmarkEnd w:id="41"/>
    </w:p>
    <w:p w:rsidR="008E7846" w:rsidRDefault="008E7846" w:rsidP="00940A89">
      <w:pPr>
        <w:pStyle w:val="Heading3"/>
      </w:pPr>
      <w:bookmarkStart w:id="42" w:name="_Toc247691511"/>
      <w:bookmarkStart w:id="43" w:name="_Toc314842495"/>
      <w:bookmarkStart w:id="44" w:name="_Toc455474488"/>
      <w:r>
        <w:t>Introduction</w:t>
      </w:r>
      <w:bookmarkEnd w:id="42"/>
      <w:bookmarkEnd w:id="43"/>
      <w:bookmarkEnd w:id="44"/>
    </w:p>
    <w:p w:rsidR="004334C7" w:rsidRPr="004334C7" w:rsidRDefault="00AB3272" w:rsidP="004334C7">
      <w:r w:rsidRPr="00AB3272">
        <w:t xml:space="preserve">The submitted nonclinical studies were in accordance with regulatory guidelines for registration of a new chemical entity (TAF), and all </w:t>
      </w:r>
      <w:r w:rsidR="00F616AC">
        <w:t xml:space="preserve">pivotal safety studies </w:t>
      </w:r>
      <w:r w:rsidR="00D11D3B">
        <w:t xml:space="preserve">were good laboratory practice </w:t>
      </w:r>
      <w:r w:rsidR="00D11D3B" w:rsidRPr="00D11D3B">
        <w:t>(</w:t>
      </w:r>
      <w:r w:rsidR="00F616AC" w:rsidRPr="00D11D3B">
        <w:t>GLP</w:t>
      </w:r>
      <w:r w:rsidR="00D11D3B">
        <w:t>)</w:t>
      </w:r>
      <w:r w:rsidR="00F616AC">
        <w:t xml:space="preserve"> </w:t>
      </w:r>
      <w:r w:rsidRPr="00AB3272">
        <w:t>compliant. The ICH M3</w:t>
      </w:r>
      <w:r w:rsidR="00F41FC2">
        <w:t xml:space="preserve"> </w:t>
      </w:r>
      <w:r w:rsidRPr="00AB3272">
        <w:t>(R2) guideline</w:t>
      </w:r>
      <w:bookmarkStart w:id="45" w:name="_Ref451180826"/>
      <w:r w:rsidRPr="00F616AC">
        <w:rPr>
          <w:vertAlign w:val="superscript"/>
        </w:rPr>
        <w:footnoteReference w:id="10"/>
      </w:r>
      <w:bookmarkEnd w:id="45"/>
      <w:r w:rsidRPr="00AB3272">
        <w:t xml:space="preserve"> states that toxicity studies are generally not warranted for drug combinations for HIV, and adequate scientific justification was provided for their absence. The FDA and EMA waived requiremen</w:t>
      </w:r>
      <w:r w:rsidR="00F616AC">
        <w:t xml:space="preserve">ts for carcinogenicity and peri </w:t>
      </w:r>
      <w:r w:rsidRPr="00AB3272">
        <w:t>postnatal studies due to lack of TAF exposure in rats and TgRasH2 mice</w:t>
      </w:r>
      <w:r w:rsidR="00D11D3B">
        <w:rPr>
          <w:rStyle w:val="FootnoteReference"/>
        </w:rPr>
        <w:footnoteReference w:id="11"/>
      </w:r>
      <w:r w:rsidRPr="00AB3272">
        <w:t xml:space="preserve">, and lower TFV exposure after TAF administration. Most of the virology studies were provided in </w:t>
      </w:r>
      <w:r w:rsidR="00F616AC">
        <w:t>the clinical dossier</w:t>
      </w:r>
      <w:r w:rsidRPr="00AB3272">
        <w:t>.</w:t>
      </w:r>
    </w:p>
    <w:p w:rsidR="008E7846" w:rsidRDefault="008E7846" w:rsidP="008E7846">
      <w:pPr>
        <w:pStyle w:val="Heading3"/>
      </w:pPr>
      <w:bookmarkStart w:id="46" w:name="_Toc247691512"/>
      <w:bookmarkStart w:id="47" w:name="_Toc314842496"/>
      <w:bookmarkStart w:id="48" w:name="_Toc455474489"/>
      <w:r w:rsidRPr="00020030">
        <w:lastRenderedPageBreak/>
        <w:t>Pharmacology</w:t>
      </w:r>
      <w:bookmarkEnd w:id="46"/>
      <w:bookmarkEnd w:id="47"/>
      <w:bookmarkEnd w:id="48"/>
    </w:p>
    <w:p w:rsidR="00AB3272" w:rsidRPr="00AB3272" w:rsidRDefault="00AB3272" w:rsidP="004D2AB1">
      <w:pPr>
        <w:pStyle w:val="Heading4"/>
      </w:pPr>
      <w:r w:rsidRPr="00AB3272">
        <w:t>Primary pharmacology</w:t>
      </w:r>
    </w:p>
    <w:p w:rsidR="00AB3272" w:rsidRPr="00AB3272" w:rsidRDefault="00015675" w:rsidP="00AB3272">
      <w:r>
        <w:t>T</w:t>
      </w:r>
      <w:r w:rsidRPr="00015675">
        <w:t xml:space="preserve">enofovir alafenamide </w:t>
      </w:r>
      <w:r>
        <w:t>(</w:t>
      </w:r>
      <w:r w:rsidR="00AB3272" w:rsidRPr="00AB3272">
        <w:t>TAF</w:t>
      </w:r>
      <w:r>
        <w:t>)</w:t>
      </w:r>
      <w:r w:rsidR="00AB3272" w:rsidRPr="00AB3272">
        <w:t xml:space="preserve"> is a prodrug for tenofovir (TFV), which is metabolised intracellularly to the active metab</w:t>
      </w:r>
      <w:r w:rsidR="000C551F">
        <w:t>olite, TFV-DP</w:t>
      </w:r>
      <w:r w:rsidR="00AB3272" w:rsidRPr="00AB3272">
        <w:t>. Intracellularly, TFV-DP competes with deoxyadenosine triphosphate for incorporation into nascent DNA, and acts as a DNA chain terminator du</w:t>
      </w:r>
      <w:r w:rsidR="00D11D3B">
        <w:t>ring HIV reverse transcription.</w:t>
      </w:r>
    </w:p>
    <w:p w:rsidR="00AB3272" w:rsidRPr="00AB3272" w:rsidRDefault="00AB3272" w:rsidP="00AB3272">
      <w:r w:rsidRPr="00AB3272">
        <w:t xml:space="preserve">The lysosomal </w:t>
      </w:r>
      <w:r w:rsidRPr="00015675">
        <w:t>carboxypeptidase Cat</w:t>
      </w:r>
      <w:r w:rsidR="00015675" w:rsidRPr="00015675">
        <w:t xml:space="preserve"> </w:t>
      </w:r>
      <w:r w:rsidRPr="00015675">
        <w:t>A</w:t>
      </w:r>
      <w:r w:rsidR="00CA65A1" w:rsidRPr="00015675">
        <w:t xml:space="preserve"> </w:t>
      </w:r>
      <w:r w:rsidRPr="00015675">
        <w:t>is</w:t>
      </w:r>
      <w:r w:rsidRPr="00AB3272">
        <w:t xml:space="preserve"> essential to the intracellular activation of TAF</w:t>
      </w:r>
      <w:r w:rsidRPr="005B1451">
        <w:rPr>
          <w:vertAlign w:val="superscript"/>
        </w:rPr>
        <w:footnoteReference w:id="12"/>
      </w:r>
      <w:r w:rsidRPr="00AB3272">
        <w:t>. Cat</w:t>
      </w:r>
      <w:r w:rsidR="00015675">
        <w:t xml:space="preserve"> </w:t>
      </w:r>
      <w:r w:rsidRPr="00AB3272">
        <w:t xml:space="preserve">A activity in primary </w:t>
      </w:r>
      <w:r w:rsidR="00015675" w:rsidRPr="00015675">
        <w:t xml:space="preserve">cluster determinant 4 </w:t>
      </w:r>
      <w:r w:rsidR="00015675">
        <w:t>(</w:t>
      </w:r>
      <w:r w:rsidRPr="00AB3272">
        <w:t>CD4</w:t>
      </w:r>
      <w:r w:rsidR="00015675">
        <w:t>)</w:t>
      </w:r>
      <w:r w:rsidRPr="00AB3272">
        <w:t>+</w:t>
      </w:r>
      <w:r w:rsidR="005B1451">
        <w:t xml:space="preserve"> T cells and monocyte </w:t>
      </w:r>
      <w:r w:rsidRPr="00AB3272">
        <w:t>derive</w:t>
      </w:r>
      <w:r w:rsidR="005B1451">
        <w:t>d</w:t>
      </w:r>
      <w:r w:rsidRPr="00AB3272">
        <w:t xml:space="preserve"> macrophages showed similar levels of activity in cells from 13 donors of differing age, gender, ethnicity and sex (Study PC-120-2017). Some viral protease inhibitors may strongly inhibit Cat</w:t>
      </w:r>
      <w:r w:rsidR="00015675">
        <w:t xml:space="preserve"> </w:t>
      </w:r>
      <w:r w:rsidRPr="00AB3272">
        <w:t>A, and in vitro assays with purified Cat</w:t>
      </w:r>
      <w:r w:rsidR="00015675">
        <w:t xml:space="preserve"> </w:t>
      </w:r>
      <w:r w:rsidRPr="00AB3272">
        <w:t>A (</w:t>
      </w:r>
      <w:r w:rsidR="00015675">
        <w:t>Study</w:t>
      </w:r>
      <w:r w:rsidRPr="00AB3272">
        <w:t xml:space="preserve"> PC-120-2001) showed that telaprevir and boceprevir, registered inhibitors of the </w:t>
      </w:r>
      <w:r w:rsidR="00A85406">
        <w:t>Hepatitis C virus (</w:t>
      </w:r>
      <w:r w:rsidRPr="00AB3272">
        <w:t>HCV</w:t>
      </w:r>
      <w:r w:rsidR="00A85406">
        <w:t>)</w:t>
      </w:r>
      <w:r w:rsidRPr="00AB3272">
        <w:t xml:space="preserve"> pr</w:t>
      </w:r>
      <w:r w:rsidR="005B1451">
        <w:t>otease, strongly inhibited Cat</w:t>
      </w:r>
      <w:r w:rsidR="00015675">
        <w:t xml:space="preserve"> </w:t>
      </w:r>
      <w:r w:rsidR="005B1451">
        <w:t xml:space="preserve">A </w:t>
      </w:r>
      <w:r w:rsidRPr="00AB3272">
        <w:t>mediated hydrolysis of TAF, with respective IC50 values of 0.3 and 0.2 µM, 6</w:t>
      </w:r>
      <w:r w:rsidR="005B1451">
        <w:t xml:space="preserve"> </w:t>
      </w:r>
      <w:r w:rsidRPr="00AB3272">
        <w:t>x and 8</w:t>
      </w:r>
      <w:r w:rsidR="005B1451">
        <w:t xml:space="preserve"> </w:t>
      </w:r>
      <w:r w:rsidRPr="00AB3272">
        <w:t xml:space="preserve">x below the clinical </w:t>
      </w:r>
      <w:r w:rsidR="00F616AC" w:rsidRPr="00DA1551">
        <w:t>C</w:t>
      </w:r>
      <w:r w:rsidR="00F616AC" w:rsidRPr="00F616AC">
        <w:rPr>
          <w:vertAlign w:val="subscript"/>
        </w:rPr>
        <w:t>max</w:t>
      </w:r>
      <w:r w:rsidRPr="00AB3272">
        <w:t xml:space="preserve"> adjusted for plasma protein binding. The more recently registered inhibitors of HCV protease, simeprevir, asunaprevir and paritaprevir, were not tested.</w:t>
      </w:r>
      <w:r w:rsidR="00CA65A1">
        <w:t xml:space="preserve"> </w:t>
      </w:r>
      <w:r w:rsidRPr="00AB3272">
        <w:t>The HIV protease inhibitors darunavir, atazanavir, lopinavir and ritonavir,</w:t>
      </w:r>
      <w:r w:rsidR="005B1451">
        <w:t xml:space="preserve"> and COBI, did not inhibit </w:t>
      </w:r>
      <w:r w:rsidR="00015675">
        <w:t>Cat A</w:t>
      </w:r>
      <w:r w:rsidR="005B1451">
        <w:t xml:space="preserve"> </w:t>
      </w:r>
      <w:r w:rsidRPr="00AB3272">
        <w:t xml:space="preserve">mediated hydrolysis of TAF at concentrations up to 50 µM. The </w:t>
      </w:r>
      <w:r w:rsidR="005B1451" w:rsidRPr="00AB3272">
        <w:t>precautions</w:t>
      </w:r>
      <w:r w:rsidRPr="00AB3272">
        <w:t xml:space="preserve"> section of the draft </w:t>
      </w:r>
      <w:r w:rsidR="00CA65A1">
        <w:t>Genvoya</w:t>
      </w:r>
      <w:r w:rsidRPr="00AB3272">
        <w:t xml:space="preserve"> </w:t>
      </w:r>
      <w:r w:rsidR="005B1451">
        <w:t>PI</w:t>
      </w:r>
      <w:r w:rsidRPr="00AB3272">
        <w:t xml:space="preserve"> states that </w:t>
      </w:r>
      <w:r w:rsidR="00CA65A1">
        <w:t>‘</w:t>
      </w:r>
      <w:r w:rsidR="00CA65A1" w:rsidRPr="005B1451">
        <w:rPr>
          <w:i/>
        </w:rPr>
        <w:t>Genvoya</w:t>
      </w:r>
      <w:r w:rsidRPr="005B1451">
        <w:rPr>
          <w:i/>
        </w:rPr>
        <w:t xml:space="preserve"> should not be used in conjunction with protease inhibitors .… due to potential drug-drug interactions including altered and/or suboptimal pharmacokinetics of </w:t>
      </w:r>
      <w:r w:rsidR="00A85406">
        <w:rPr>
          <w:i/>
        </w:rPr>
        <w:t>cobicistat</w:t>
      </w:r>
      <w:r w:rsidRPr="005B1451">
        <w:rPr>
          <w:i/>
        </w:rPr>
        <w:t xml:space="preserve">, </w:t>
      </w:r>
      <w:r w:rsidR="003D6F15">
        <w:rPr>
          <w:i/>
        </w:rPr>
        <w:t>e</w:t>
      </w:r>
      <w:r w:rsidR="00A85406">
        <w:rPr>
          <w:i/>
        </w:rPr>
        <w:t>lvitegravir</w:t>
      </w:r>
      <w:r w:rsidRPr="005B1451">
        <w:rPr>
          <w:i/>
        </w:rPr>
        <w:t>, and/or the co-administered products</w:t>
      </w:r>
      <w:r w:rsidR="00CA65A1" w:rsidRPr="005B1451">
        <w:rPr>
          <w:i/>
        </w:rPr>
        <w:t>’</w:t>
      </w:r>
      <w:r w:rsidR="00015675">
        <w:t>.</w:t>
      </w:r>
      <w:r w:rsidR="00C90242">
        <w:rPr>
          <w:rStyle w:val="FootnoteReference"/>
        </w:rPr>
        <w:footnoteReference w:id="13"/>
      </w:r>
    </w:p>
    <w:p w:rsidR="00AB3272" w:rsidRPr="00AB3272" w:rsidRDefault="00AB3272" w:rsidP="00AB3272">
      <w:r w:rsidRPr="00AB3272">
        <w:t>TAF showed anti-HIV-1</w:t>
      </w:r>
      <w:r w:rsidR="00015675">
        <w:t xml:space="preserve"> activity in vitro against wild </w:t>
      </w:r>
      <w:r w:rsidRPr="00AB3272">
        <w:t xml:space="preserve">type clinical isolates from Group M (subtypes A to G), and Groups N and O, and HIV-2, in human activated </w:t>
      </w:r>
      <w:r w:rsidRPr="00015675">
        <w:t>PBMCs</w:t>
      </w:r>
      <w:r w:rsidRPr="00AB3272">
        <w:t>, wit</w:t>
      </w:r>
      <w:r w:rsidR="005B1451">
        <w:t xml:space="preserve">h </w:t>
      </w:r>
      <w:r w:rsidR="00015675" w:rsidRPr="00015675">
        <w:t>concentration of a compound inhibiting virus replication by 50%</w:t>
      </w:r>
      <w:r w:rsidR="00015675">
        <w:t xml:space="preserve"> (</w:t>
      </w:r>
      <w:r w:rsidR="005B1451">
        <w:t>EC50</w:t>
      </w:r>
      <w:r w:rsidR="00015675">
        <w:t>)</w:t>
      </w:r>
      <w:r w:rsidR="005B1451">
        <w:t xml:space="preserve"> values ranging from 0.14 to </w:t>
      </w:r>
      <w:r w:rsidRPr="00AB3272">
        <w:t>12.0 nM (Study PC-120-2004). TAF mean EC50 values were 11.0</w:t>
      </w:r>
      <w:r w:rsidR="005B1451">
        <w:t xml:space="preserve"> </w:t>
      </w:r>
      <w:r w:rsidRPr="00AB3272">
        <w:t>±</w:t>
      </w:r>
      <w:r w:rsidR="005B1451">
        <w:t xml:space="preserve"> </w:t>
      </w:r>
      <w:r w:rsidRPr="00AB3272">
        <w:t>11.3 nM and 9.7 ± 4</w:t>
      </w:r>
      <w:r w:rsidR="005B1451">
        <w:t xml:space="preserve">.6 in CD4+ T cells and monocyte </w:t>
      </w:r>
      <w:r w:rsidRPr="00AB3272">
        <w:t xml:space="preserve">derived macrophages from diverse human donors (Study PC-120-2017). TAF showed a range of synergistic activity, and no </w:t>
      </w:r>
      <w:r w:rsidR="005B1451">
        <w:t xml:space="preserve">antagonism, when tested in pair </w:t>
      </w:r>
      <w:r w:rsidRPr="00AB3272">
        <w:t xml:space="preserve">wise combinations with </w:t>
      </w:r>
      <w:r w:rsidR="00015675" w:rsidRPr="00015675">
        <w:t>nucleoside reverse transcriptase inhibitors (</w:t>
      </w:r>
      <w:r w:rsidRPr="00015675">
        <w:t>NRTIs</w:t>
      </w:r>
      <w:r w:rsidR="00015675" w:rsidRPr="00015675">
        <w:t>)</w:t>
      </w:r>
      <w:r w:rsidRPr="00AB3272">
        <w:t xml:space="preserve"> (including emtricitabine), </w:t>
      </w:r>
      <w:r w:rsidR="00015675" w:rsidRPr="00015675">
        <w:t>nonnucleoside reverse transcriptase inhibitor (</w:t>
      </w:r>
      <w:r w:rsidRPr="00015675">
        <w:t>NNRTIs</w:t>
      </w:r>
      <w:r w:rsidR="00015675">
        <w:t>)</w:t>
      </w:r>
      <w:r w:rsidRPr="00AB3272">
        <w:t xml:space="preserve">, </w:t>
      </w:r>
      <w:r w:rsidR="00015675">
        <w:t>protease inhibitor</w:t>
      </w:r>
      <w:r w:rsidRPr="00AB3272">
        <w:t xml:space="preserve">s and </w:t>
      </w:r>
      <w:r w:rsidR="00015675">
        <w:t xml:space="preserve">integrase strand </w:t>
      </w:r>
      <w:r w:rsidR="00015675" w:rsidRPr="00015675">
        <w:t>transfer inhibitors (</w:t>
      </w:r>
      <w:r w:rsidRPr="00015675">
        <w:t>INSTIs</w:t>
      </w:r>
      <w:r w:rsidR="00015675" w:rsidRPr="00015675">
        <w:t>)</w:t>
      </w:r>
      <w:r w:rsidRPr="00AB3272">
        <w:t xml:space="preserve"> (including elvitegravir) in vitro in MT-2 cells infected with HIV-1</w:t>
      </w:r>
      <w:r w:rsidR="00015675">
        <w:t xml:space="preserve"> IIIB (Study PC-120-2002).</w:t>
      </w:r>
    </w:p>
    <w:p w:rsidR="00AB3272" w:rsidRPr="00AB3272" w:rsidRDefault="005B1451" w:rsidP="00AB3272">
      <w:r>
        <w:t xml:space="preserve">In a dose </w:t>
      </w:r>
      <w:r w:rsidR="00AB3272" w:rsidRPr="00AB3272">
        <w:t>escalation resistance study, TAF and TFV showed nearly identical resistance profiles, with emergence of the K65R ± S68N mutation in reverse transcriptase, associated with up to 6.5</w:t>
      </w:r>
      <w:r w:rsidR="00C40A50">
        <w:t xml:space="preserve"> fold</w:t>
      </w:r>
      <w:r w:rsidR="00AB3272" w:rsidRPr="00AB3272">
        <w:t xml:space="preserve"> phenotypic resistance to TFV (Study PC-120-2011). TAF and TFV also had identical phenotypic resistance profile</w:t>
      </w:r>
      <w:r>
        <w:t xml:space="preserve">s against a panel of 24 patient </w:t>
      </w:r>
      <w:r w:rsidR="00AB3272" w:rsidRPr="00AB3272">
        <w:t>derived HIV-1 isolates with a wide range of NRTI resistance mutations (Study PC-120-2014). These results are consistent with TAF and TFV having the same</w:t>
      </w:r>
      <w:r w:rsidR="000C551F">
        <w:t xml:space="preserve"> active anti-HIV component, TFV</w:t>
      </w:r>
      <w:r w:rsidR="000C551F">
        <w:noBreakHyphen/>
      </w:r>
      <w:r w:rsidR="00AB3272" w:rsidRPr="00AB3272">
        <w:t>DP.</w:t>
      </w:r>
    </w:p>
    <w:p w:rsidR="00AB3272" w:rsidRPr="00AB3272" w:rsidRDefault="00AB3272" w:rsidP="004D2AB1">
      <w:pPr>
        <w:pStyle w:val="Heading4"/>
      </w:pPr>
      <w:r w:rsidRPr="00AB3272">
        <w:t>Secondary pharmacodynamics</w:t>
      </w:r>
    </w:p>
    <w:p w:rsidR="00AB3272" w:rsidRPr="00AB3272" w:rsidRDefault="00015675" w:rsidP="00AB3272">
      <w:r w:rsidRPr="00015675">
        <w:t xml:space="preserve">Tenofovir alafenamide </w:t>
      </w:r>
      <w:r>
        <w:t>(</w:t>
      </w:r>
      <w:r w:rsidR="00AB3272" w:rsidRPr="00AB3272">
        <w:t>TAF</w:t>
      </w:r>
      <w:r>
        <w:t>)</w:t>
      </w:r>
      <w:r w:rsidR="00AB3272" w:rsidRPr="00AB3272">
        <w:t xml:space="preserve"> did not exhibit antiviral activity against the majority of a panel of 18 human viruses, other than HIV and </w:t>
      </w:r>
      <w:r w:rsidR="0094660D" w:rsidRPr="0094660D">
        <w:t xml:space="preserve">Simian immunodeficiency virus </w:t>
      </w:r>
      <w:r w:rsidR="0094660D">
        <w:t>(</w:t>
      </w:r>
      <w:r w:rsidR="00AB3272" w:rsidRPr="00AB3272">
        <w:t>SIV</w:t>
      </w:r>
      <w:r w:rsidR="0094660D">
        <w:t>)</w:t>
      </w:r>
      <w:r w:rsidR="00AB3272" w:rsidRPr="00AB3272">
        <w:t xml:space="preserve">. </w:t>
      </w:r>
      <w:r w:rsidR="0094660D" w:rsidRPr="0094660D">
        <w:t>Tenofovir alafenamide</w:t>
      </w:r>
      <w:r w:rsidR="00AB3272" w:rsidRPr="00AB3272">
        <w:t xml:space="preserve"> weakly inhibited </w:t>
      </w:r>
      <w:r w:rsidR="0094660D" w:rsidRPr="0094660D">
        <w:t>Herpes simplex virus -2</w:t>
      </w:r>
      <w:r w:rsidR="0094660D">
        <w:t xml:space="preserve"> (</w:t>
      </w:r>
      <w:r w:rsidR="00AB3272" w:rsidRPr="00AB3272">
        <w:t>HSV-2</w:t>
      </w:r>
      <w:r w:rsidR="0094660D">
        <w:t>)</w:t>
      </w:r>
      <w:r w:rsidR="00AB3272" w:rsidRPr="00AB3272">
        <w:t xml:space="preserve"> KW (EC50 = </w:t>
      </w:r>
      <w:r w:rsidR="00AB3272" w:rsidRPr="00AB3272">
        <w:lastRenderedPageBreak/>
        <w:t>424</w:t>
      </w:r>
      <w:r w:rsidR="00F41FC2">
        <w:t> </w:t>
      </w:r>
      <w:r w:rsidR="00AB3272" w:rsidRPr="00AB3272">
        <w:t>nM) and human parainfluenza virus (EC50 = 843 nM) (Study PC-120-2003). However, TAF was active against HB</w:t>
      </w:r>
      <w:r w:rsidR="0094660D">
        <w:t>V, with an EC50 value of 18 nM.</w:t>
      </w:r>
    </w:p>
    <w:p w:rsidR="00AB3272" w:rsidRPr="00AB3272" w:rsidRDefault="00AB3272" w:rsidP="00AB3272">
      <w:r w:rsidRPr="00AB3272">
        <w:t>Mitochondrial toxicity is a recogn</w:t>
      </w:r>
      <w:r w:rsidR="00527A3B">
        <w:t>ise</w:t>
      </w:r>
      <w:r w:rsidRPr="00AB3272">
        <w:t>d potential adverse effect of long-term nucleoside analogue therapy, which may manifest as myopathy, peripheral neuropathy, and hepatic steatosis with lactic acidosis</w:t>
      </w:r>
      <w:r w:rsidR="00A6355F">
        <w:t>.</w:t>
      </w:r>
      <w:r w:rsidRPr="005B1451">
        <w:rPr>
          <w:vertAlign w:val="superscript"/>
        </w:rPr>
        <w:footnoteReference w:id="14"/>
      </w:r>
      <w:r w:rsidRPr="00AB3272">
        <w:t xml:space="preserve"> A lack of selectivity for HIV reverse transcriptase (a viral DNA polymerase) may lead to binding to host DNA polymerases, including mitochondrial DNA (mtDNA) polymerase ϒ, which is required for replication of mtDNA. The kinetic inhibition (</w:t>
      </w:r>
      <w:r w:rsidRPr="00A85406">
        <w:t>Ki)</w:t>
      </w:r>
      <w:r w:rsidRPr="00AB3272">
        <w:t xml:space="preserve"> constant for TFV-DP against HIV-1 reverse transcriptase of 0.21 µM was significantly lower than its Ki for human DNA polymerases α (5.2 µM), β (81.7 µM)</w:t>
      </w:r>
      <w:r w:rsidR="00A85406">
        <w:t xml:space="preserve"> </w:t>
      </w:r>
      <w:r w:rsidRPr="00AB3272">
        <w:t>and ϒ (59.5 µM)</w:t>
      </w:r>
      <w:r w:rsidR="00A6355F">
        <w:t>.</w:t>
      </w:r>
      <w:r w:rsidRPr="00A6355F">
        <w:rPr>
          <w:vertAlign w:val="superscript"/>
        </w:rPr>
        <w:footnoteReference w:id="15"/>
      </w:r>
      <w:r w:rsidRPr="00AB3272">
        <w:t xml:space="preserve"> The relative efficiency of incorporation of TFV-DP into DNA by human polymerases α, β and ϒ relative to natural 2’-deoxynucleoside triphosphates (dNTPs) was 1.4%, 1.3% and 0.06%</w:t>
      </w:r>
      <w:r w:rsidR="00A6355F">
        <w:t>.</w:t>
      </w:r>
      <w:r w:rsidRPr="00A6355F">
        <w:rPr>
          <w:vertAlign w:val="superscript"/>
        </w:rPr>
        <w:footnoteReference w:id="16"/>
      </w:r>
      <w:r w:rsidRPr="00AB3272">
        <w:t xml:space="preserve"> TAF did not deplete mtDNA </w:t>
      </w:r>
      <w:r w:rsidRPr="00A85406">
        <w:t>in HepG2</w:t>
      </w:r>
      <w:r w:rsidR="00A85406" w:rsidRPr="00A85406">
        <w:rPr>
          <w:rStyle w:val="FootnoteReference"/>
        </w:rPr>
        <w:footnoteReference w:id="17"/>
      </w:r>
      <w:r w:rsidRPr="00A85406">
        <w:t xml:space="preserve"> cells</w:t>
      </w:r>
      <w:r w:rsidRPr="00AB3272">
        <w:t xml:space="preserve"> over 10 days culture at concentrations up to 1 µM (Study PC-120-2006). These studies indicate selectivity of TFV-DP for HIV-1 reverse transcriptase in relation to host (patient) polymerases. Furthermore, examination of kidney, liver and skeletal muscle for indicators of mitocho</w:t>
      </w:r>
      <w:r w:rsidR="00A6355F">
        <w:t xml:space="preserve">ndrial toxicity in the monkey 4 </w:t>
      </w:r>
      <w:r w:rsidRPr="00AB3272">
        <w:t>week to</w:t>
      </w:r>
      <w:r w:rsidR="00A6355F">
        <w:t>xicity study showed no effects.</w:t>
      </w:r>
    </w:p>
    <w:p w:rsidR="00AB3272" w:rsidRPr="00AB3272" w:rsidRDefault="00AB3272" w:rsidP="00AB3272">
      <w:r w:rsidRPr="00AB3272">
        <w:t xml:space="preserve">TDF may have effects on bone mineral </w:t>
      </w:r>
      <w:r w:rsidR="00A85406" w:rsidRPr="00AB3272">
        <w:t>density</w:t>
      </w:r>
      <w:r w:rsidRPr="00AB3272">
        <w:t xml:space="preserve"> and turnover, however the TAF </w:t>
      </w:r>
      <w:r w:rsidR="003D31CD">
        <w:t>h</w:t>
      </w:r>
      <w:r w:rsidR="003D31CD" w:rsidRPr="003D31CD">
        <w:t xml:space="preserve">alf maximal cytotoxic concentration </w:t>
      </w:r>
      <w:r w:rsidR="003D31CD">
        <w:t>(</w:t>
      </w:r>
      <w:r w:rsidRPr="00AB3272">
        <w:t>CC50</w:t>
      </w:r>
      <w:r w:rsidR="003D31CD">
        <w:t>)</w:t>
      </w:r>
      <w:r w:rsidRPr="00AB3272">
        <w:t xml:space="preserve"> was &gt;</w:t>
      </w:r>
      <w:r w:rsidR="00A85406">
        <w:t> </w:t>
      </w:r>
      <w:r w:rsidRPr="00AB3272">
        <w:t xml:space="preserve">500 µM (TAF plasma </w:t>
      </w:r>
      <w:r w:rsidR="00F616AC" w:rsidRPr="00DA1551">
        <w:t>C</w:t>
      </w:r>
      <w:r w:rsidR="00F616AC" w:rsidRPr="00F616AC">
        <w:rPr>
          <w:vertAlign w:val="subscript"/>
        </w:rPr>
        <w:t>max</w:t>
      </w:r>
      <w:r w:rsidRPr="00AB3272">
        <w:t xml:space="preserve"> 484 nM after 25 mg dose) in human primary osteoblasts in vitro (Study PC-120-2008). Levels of TAF in primary osteoblasts were similar to those in PBMCs. Cytotoxicity studies in human resting and dividing PBMCs (Study PC-120-2009), lymphoblastoid cell lines MT-2 and MT-4, the hepatic cell line HepG2 (Study PC-120-2007), human myeloid and erythroid progenitor cells from 3 donors (Study PC-120-2016), and HEK293T cells expressing renal </w:t>
      </w:r>
      <w:r w:rsidR="003D31CD">
        <w:t>organic anion transporters (OAT) OAT1 and OAT3</w:t>
      </w:r>
      <w:r w:rsidRPr="00AB3272">
        <w:t>, showed no significant TAF toxicity at clinicall</w:t>
      </w:r>
      <w:r w:rsidR="003D31CD">
        <w:t>y relevant concentrations.</w:t>
      </w:r>
    </w:p>
    <w:p w:rsidR="00AB3272" w:rsidRPr="00AB3272" w:rsidRDefault="00AB3272" w:rsidP="004D2AB1">
      <w:pPr>
        <w:pStyle w:val="Heading4"/>
      </w:pPr>
      <w:r w:rsidRPr="00AB3272">
        <w:t>Safety pharmacology</w:t>
      </w:r>
    </w:p>
    <w:p w:rsidR="00AB3272" w:rsidRPr="00AB3272" w:rsidRDefault="00AB3272" w:rsidP="00AB3272">
      <w:r w:rsidRPr="00AB3272">
        <w:t>The sponsor submitted five studies investigating the safety pharmacology effects of TAF in vitro and in vivo. Rats administered a single oral dose of 1000 mg/kg TAF showed no biologically significant signs of a pharmacological effect on the central n</w:t>
      </w:r>
      <w:r w:rsidR="003D31CD">
        <w:t>ervous system (Study</w:t>
      </w:r>
      <w:r w:rsidR="00A6355F">
        <w:t xml:space="preserve"> R990188).</w:t>
      </w:r>
    </w:p>
    <w:p w:rsidR="00AB3272" w:rsidRPr="00AB3272" w:rsidRDefault="00AB3272" w:rsidP="00AB3272">
      <w:r w:rsidRPr="00AB3272">
        <w:t>In vitro cardiovascular investigations found that TAF (</w:t>
      </w:r>
      <w:r w:rsidR="00A6355F">
        <w:t xml:space="preserve">≤ </w:t>
      </w:r>
      <w:r w:rsidRPr="00AB3272">
        <w:t xml:space="preserve">10 µM) does not statistically significantly inhibit hERG when compared with vehicle control values, with the IC50 inhibitory effect of TAF on hERG potassium current estimated </w:t>
      </w:r>
      <w:r w:rsidR="00A669E9">
        <w:t>&gt;</w:t>
      </w:r>
      <w:r w:rsidR="00A6355F">
        <w:t xml:space="preserve"> </w:t>
      </w:r>
      <w:r w:rsidR="0031719D">
        <w:t>10 µM (Study</w:t>
      </w:r>
      <w:r w:rsidRPr="00AB3272">
        <w:t xml:space="preserve"> PC-120-2005). An in vivo study in dogs found no treatment related effects on ECG, heart rate or systemic blood pressure at 100 </w:t>
      </w:r>
      <w:r w:rsidR="003D31CD">
        <w:t>mg/kg (Study</w:t>
      </w:r>
      <w:r w:rsidR="00A6355F">
        <w:t xml:space="preserve"> D2000006). In a 9 month repeat </w:t>
      </w:r>
      <w:r w:rsidRPr="00AB3272">
        <w:t>dose toxicity study in dogs administration of</w:t>
      </w:r>
      <w:r w:rsidR="00CA65A1">
        <w:t xml:space="preserve"> </w:t>
      </w:r>
      <w:r w:rsidR="00A6355F">
        <w:t xml:space="preserve">≥ </w:t>
      </w:r>
      <w:r w:rsidRPr="00AB3272">
        <w:t>6 mg/kg/day produced a statistically significa</w:t>
      </w:r>
      <w:r w:rsidR="0031719D">
        <w:t>nt prolonged PR interval</w:t>
      </w:r>
      <w:r w:rsidR="00FF0D5B">
        <w:rPr>
          <w:rStyle w:val="FootnoteReference"/>
        </w:rPr>
        <w:footnoteReference w:id="18"/>
      </w:r>
      <w:r w:rsidR="0031719D">
        <w:t xml:space="preserve"> (Study</w:t>
      </w:r>
      <w:r w:rsidRPr="00AB3272">
        <w:t xml:space="preserve"> TX-120-002). However, mild PR prolongation has occasionally been seen in normal relaxed dogs and a definitive relationship of an effect of PR prolongation with exposure to TAF cannot be confirmed by this study due to the small number of dogs assessed. The dog study observed a statistically significant reduced heart </w:t>
      </w:r>
      <w:r w:rsidRPr="00AB3272">
        <w:lastRenderedPageBreak/>
        <w:t>rate with QT prolonging effect at week 39 in animals administered 18/12 mg/kg/day, which were reversed following the 3</w:t>
      </w:r>
      <w:r w:rsidR="00A6355F">
        <w:t xml:space="preserve"> month</w:t>
      </w:r>
      <w:r w:rsidRPr="00AB3272">
        <w:t xml:space="preserve"> recovery period. A reduction in serum </w:t>
      </w:r>
      <w:r w:rsidR="00FF0D5B" w:rsidRPr="00FF0D5B">
        <w:t xml:space="preserve">Triiodothyronine </w:t>
      </w:r>
      <w:r w:rsidR="00FF0D5B">
        <w:t>(</w:t>
      </w:r>
      <w:r w:rsidRPr="00AB3272">
        <w:t>T3</w:t>
      </w:r>
      <w:r w:rsidR="00FF0D5B">
        <w:t>)</w:t>
      </w:r>
      <w:r w:rsidRPr="00AB3272">
        <w:t xml:space="preserve"> levels at the </w:t>
      </w:r>
      <w:r w:rsidR="00FF0D5B">
        <w:t>high dose (</w:t>
      </w:r>
      <w:r w:rsidRPr="00AB3272">
        <w:t>HD</w:t>
      </w:r>
      <w:r w:rsidR="00FF0D5B">
        <w:t>)</w:t>
      </w:r>
      <w:r w:rsidRPr="00AB3272">
        <w:t xml:space="preserve"> might have been associated with t</w:t>
      </w:r>
      <w:r w:rsidR="00FF0D5B">
        <w:t>he heart effects.</w:t>
      </w:r>
    </w:p>
    <w:p w:rsidR="004334C7" w:rsidRPr="004334C7" w:rsidRDefault="00AB3272" w:rsidP="004334C7">
      <w:r w:rsidRPr="00AB3272">
        <w:t>A rena</w:t>
      </w:r>
      <w:r w:rsidR="00FF0D5B">
        <w:t>l function study in rats (Study</w:t>
      </w:r>
      <w:r w:rsidRPr="00AB3272">
        <w:t xml:space="preserve"> R990186) following single oral administration of TAF </w:t>
      </w:r>
      <w:r w:rsidR="00A6355F">
        <w:t>≤</w:t>
      </w:r>
      <w:r w:rsidR="00FF0D5B">
        <w:t xml:space="preserve"> </w:t>
      </w:r>
      <w:r w:rsidRPr="00AB3272">
        <w:t>1</w:t>
      </w:r>
      <w:r w:rsidR="00FF0D5B">
        <w:t>,</w:t>
      </w:r>
      <w:r w:rsidRPr="00AB3272">
        <w:t>000 mg/kg found that although urinary output of calcium was increased at 1</w:t>
      </w:r>
      <w:r w:rsidR="00FF0D5B">
        <w:t>,</w:t>
      </w:r>
      <w:r w:rsidRPr="00AB3272">
        <w:t xml:space="preserve">000 mg/kg, there was a correlation with an increase in serum calcium concentration which indicated that the kidneys were functioning in order to reduce the serum calcium load. The </w:t>
      </w:r>
      <w:r w:rsidR="000A6835">
        <w:t xml:space="preserve">no observed adverse effect </w:t>
      </w:r>
      <w:r w:rsidR="000A6835" w:rsidRPr="000A6835">
        <w:t xml:space="preserve">level </w:t>
      </w:r>
      <w:r w:rsidR="000A6835">
        <w:t>(</w:t>
      </w:r>
      <w:r w:rsidRPr="00AB3272">
        <w:t>NOAEL</w:t>
      </w:r>
      <w:r w:rsidR="000A6835">
        <w:t>)</w:t>
      </w:r>
      <w:r w:rsidRPr="00AB3272">
        <w:t xml:space="preserve"> on male rat kidney function was 1</w:t>
      </w:r>
      <w:r w:rsidR="000A6835">
        <w:t xml:space="preserve">,000 mg/kg. </w:t>
      </w:r>
      <w:r w:rsidRPr="00AB3272">
        <w:t>TAF 100 mg/kg had no clear effect on gastric emptying whereas administration of 1</w:t>
      </w:r>
      <w:r w:rsidR="000A6835">
        <w:t>,</w:t>
      </w:r>
      <w:r w:rsidRPr="00AB3272">
        <w:t>000 mg/kg significantly reducing the rate of gastric emptying.</w:t>
      </w:r>
    </w:p>
    <w:p w:rsidR="008E7846" w:rsidRDefault="008E7846" w:rsidP="008E7846">
      <w:pPr>
        <w:pStyle w:val="Heading3"/>
      </w:pPr>
      <w:bookmarkStart w:id="49" w:name="_Toc247691513"/>
      <w:bookmarkStart w:id="50" w:name="_Toc314842497"/>
      <w:bookmarkStart w:id="51" w:name="_Toc455474490"/>
      <w:r>
        <w:t>Pharmacokinetics</w:t>
      </w:r>
      <w:bookmarkEnd w:id="49"/>
      <w:bookmarkEnd w:id="50"/>
      <w:bookmarkEnd w:id="51"/>
    </w:p>
    <w:p w:rsidR="00AB3272" w:rsidRDefault="000A6835" w:rsidP="004D2AB1">
      <w:pPr>
        <w:pStyle w:val="Heading4"/>
      </w:pPr>
      <w:bookmarkStart w:id="52" w:name="_Toc247691514"/>
      <w:bookmarkStart w:id="53" w:name="_Toc314842498"/>
      <w:r>
        <w:t>Absorption</w:t>
      </w:r>
    </w:p>
    <w:p w:rsidR="00AB3272" w:rsidRPr="00AB3272" w:rsidRDefault="00AB3272" w:rsidP="00AB3272">
      <w:r w:rsidRPr="00AB3272">
        <w:t>The sponsor has submitted one in vitro and eleven in vivo absorption and plasma pharmacokinetic studies. In vitro permeability of TAF (1</w:t>
      </w:r>
      <w:r w:rsidR="000A6835">
        <w:t>,</w:t>
      </w:r>
      <w:r w:rsidRPr="00AB3272">
        <w:t>000 µM) was studied in forward (apical to basolateral) and reverse (basolateral to apical) directions</w:t>
      </w:r>
      <w:r w:rsidR="000A6835">
        <w:t xml:space="preserve"> using Caco-2</w:t>
      </w:r>
      <w:r w:rsidR="000A6835">
        <w:rPr>
          <w:rStyle w:val="FootnoteReference"/>
        </w:rPr>
        <w:footnoteReference w:id="19"/>
      </w:r>
      <w:r w:rsidR="000A6835">
        <w:t xml:space="preserve"> monolayers (Study</w:t>
      </w:r>
      <w:r w:rsidRPr="00AB3272">
        <w:t> AD</w:t>
      </w:r>
      <w:r w:rsidRPr="00AB3272">
        <w:noBreakHyphen/>
        <w:t>120</w:t>
      </w:r>
      <w:r w:rsidRPr="00AB3272">
        <w:noBreakHyphen/>
        <w:t xml:space="preserve">2037). Under the study conditions, TAF showed a dose dependent increase in forward permeability and a decrease in efflux ratio indicating saturable efflux transport, with the addition of </w:t>
      </w:r>
      <w:r w:rsidR="008359BE" w:rsidRPr="008359BE">
        <w:t xml:space="preserve">ciclosporin </w:t>
      </w:r>
      <w:r w:rsidR="008359BE">
        <w:t>(</w:t>
      </w:r>
      <w:r w:rsidRPr="00AB3272">
        <w:t>CsA</w:t>
      </w:r>
      <w:r w:rsidR="008359BE">
        <w:t>)</w:t>
      </w:r>
      <w:r w:rsidRPr="00AB3272">
        <w:t xml:space="preserve"> diminishing the efflux ration and i</w:t>
      </w:r>
      <w:r w:rsidR="00355657">
        <w:t>ncreasing forward permeability.</w:t>
      </w:r>
    </w:p>
    <w:p w:rsidR="00AB3272" w:rsidRPr="00AB3272" w:rsidRDefault="00355657" w:rsidP="00AB3272">
      <w:r>
        <w:t xml:space="preserve">Mouse studies following single </w:t>
      </w:r>
      <w:r w:rsidR="00AB3272" w:rsidRPr="00AB3272">
        <w:t>dose oral administration of TAF found exposure in plasma was observed in a dose dependent manner, with TFV plasma exposure increasing with increased dose in a greater than do</w:t>
      </w:r>
      <w:r>
        <w:t>se proportional manner (Studies AD-120-2014 and</w:t>
      </w:r>
      <w:r w:rsidR="00AB3272" w:rsidRPr="00AB3272">
        <w:t xml:space="preserve"> AD-120-2016). Rat plasma analysis following single oral dose administration found that TAF was rapidly absorbed and converted to TFV, with TFV exposure increasing with the increase in dose that was greater </w:t>
      </w:r>
      <w:r>
        <w:t xml:space="preserve">than dose-proportional (Studies R990130, AD-120-2015 and </w:t>
      </w:r>
      <w:r w:rsidR="00AB3272" w:rsidRPr="00AB3272">
        <w:t xml:space="preserve">R2000065). Dogs administered a single oral or IV dose of TAF, were observed with no apparent changes in pharmacokinetic parameters following oral administration of TAF, displaying </w:t>
      </w:r>
      <w:r w:rsidR="0092744D">
        <w:t>dose dependent</w:t>
      </w:r>
      <w:r w:rsidR="00AB3272" w:rsidRPr="00AB3272">
        <w:t xml:space="preserve"> pharmacokineti</w:t>
      </w:r>
      <w:r>
        <w:t xml:space="preserve">cs with TFV observed to be dose </w:t>
      </w:r>
      <w:r w:rsidR="00AB3272" w:rsidRPr="00AB3272">
        <w:t>proportionality in plasma and oral bioavailability of TAF and</w:t>
      </w:r>
      <w:r>
        <w:t xml:space="preserve"> TFV was reduced by food (Study</w:t>
      </w:r>
      <w:r w:rsidR="00AB3272" w:rsidRPr="00AB3272">
        <w:t xml:space="preserve"> 99-DDM-1278-001-PK). TAF was found to be rapidly absorbed following singl</w:t>
      </w:r>
      <w:r>
        <w:t xml:space="preserve">e </w:t>
      </w:r>
      <w:r w:rsidR="00AB3272" w:rsidRPr="00AB3272">
        <w:t>dose administration in dogs which was followed by the rapid appearance of TFV in plasma and that exposure of TAF and TFV i</w:t>
      </w:r>
      <w:r>
        <w:t xml:space="preserve">ncreased in a greater than dose </w:t>
      </w:r>
      <w:r w:rsidR="00AB3272" w:rsidRPr="00AB3272">
        <w:t>proportional manner with the major metabolites being TFV in plasma</w:t>
      </w:r>
      <w:r>
        <w:t xml:space="preserve"> and TFV-DP in the liver (Study</w:t>
      </w:r>
      <w:r w:rsidR="00AB3272" w:rsidRPr="00AB3272">
        <w:t xml:space="preserve"> AD-120-2034)</w:t>
      </w:r>
      <w:r>
        <w:t xml:space="preserve">. Monkeys administered a single </w:t>
      </w:r>
      <w:r w:rsidR="00AB3272" w:rsidRPr="00AB3272">
        <w:t>dose of TAF either via oral or IV administration had rapid absorption of TAF followed by the rapid appearance of TFV in plasma where exposure of TAF and TFV i</w:t>
      </w:r>
      <w:r>
        <w:t xml:space="preserve">ncreased in a greater than dose </w:t>
      </w:r>
      <w:r w:rsidR="00AB3272" w:rsidRPr="00AB3272">
        <w:t xml:space="preserve">proportional manner, with no significant </w:t>
      </w:r>
      <w:r>
        <w:t>gender based differences (Study</w:t>
      </w:r>
      <w:r w:rsidR="00AB3272" w:rsidRPr="00AB3272">
        <w:t> P2000087). PBMC assays found that TFV concentration declined more slowly compared to plasma, wi</w:t>
      </w:r>
      <w:r>
        <w:t xml:space="preserve">th a significant portion of TFV </w:t>
      </w:r>
      <w:r w:rsidR="00AB3272" w:rsidRPr="00AB3272">
        <w:t>related material in PBMCs present in pho</w:t>
      </w:r>
      <w:r>
        <w:t xml:space="preserve">sphorylated states. Oral repeat </w:t>
      </w:r>
      <w:r w:rsidR="00AB3272" w:rsidRPr="00AB3272">
        <w:t>dose studies in dogs found that TAF was rapidly absorbed, with TFV and its phosphorylated metabolites efficiently formed post-dose and found to be the major metabolite in plasma and TFV</w:t>
      </w:r>
      <w:r w:rsidR="00AB3272" w:rsidRPr="00AB3272">
        <w:noBreakHyphen/>
        <w:t>DP was efficie</w:t>
      </w:r>
      <w:r>
        <w:t>ntly formed in the liver (Study AD</w:t>
      </w:r>
      <w:r>
        <w:noBreakHyphen/>
        <w:t xml:space="preserve">120-2033 and Study </w:t>
      </w:r>
      <w:r w:rsidR="00AB3272" w:rsidRPr="00AB3272">
        <w:t>P2000087)</w:t>
      </w:r>
      <w:r>
        <w:t xml:space="preserve">. Repeat </w:t>
      </w:r>
      <w:r w:rsidR="00AB3272" w:rsidRPr="00AB3272">
        <w:t xml:space="preserve">dose studies in monkeys found that peak TAF plasma concentrations were observed within 1 h post-dose and </w:t>
      </w:r>
      <w:r>
        <w:t>rapidly converted to TFV (Study P2000114-PK).</w:t>
      </w:r>
    </w:p>
    <w:p w:rsidR="00AB3272" w:rsidRPr="00AB3272" w:rsidRDefault="00AB3272" w:rsidP="00AB3272">
      <w:r w:rsidRPr="00AB3272">
        <w:lastRenderedPageBreak/>
        <w:t xml:space="preserve">Overall, the various submitted in </w:t>
      </w:r>
      <w:r w:rsidR="00355657">
        <w:t xml:space="preserve">vivo absorption studies, single or repeat </w:t>
      </w:r>
      <w:r w:rsidRPr="00AB3272">
        <w:t xml:space="preserve">dose, have demonstrated that TAF generates sufficient exposure in the animal models chosen and is rapidly converted to </w:t>
      </w:r>
      <w:r w:rsidR="00B20BE8">
        <w:t>TFV</w:t>
      </w:r>
      <w:r w:rsidR="00B20BE8" w:rsidRPr="00AB3272">
        <w:t xml:space="preserve"> </w:t>
      </w:r>
      <w:r w:rsidRPr="00AB3272">
        <w:t>after administration, with some accumulation of TFV-DP in the liver.</w:t>
      </w:r>
    </w:p>
    <w:p w:rsidR="00AB3272" w:rsidRDefault="00355657" w:rsidP="004D2AB1">
      <w:pPr>
        <w:pStyle w:val="Heading4"/>
      </w:pPr>
      <w:r>
        <w:t>Distribution</w:t>
      </w:r>
    </w:p>
    <w:p w:rsidR="00AB3272" w:rsidRPr="00AB3272" w:rsidRDefault="00AB3272" w:rsidP="00AB3272">
      <w:r w:rsidRPr="00AB3272">
        <w:t>Human and dog plasma was util</w:t>
      </w:r>
      <w:r w:rsidR="00527A3B">
        <w:t>ise</w:t>
      </w:r>
      <w:r w:rsidRPr="00AB3272">
        <w:t>d for protein binding in vitro which found t</w:t>
      </w:r>
      <w:r w:rsidR="00355657">
        <w:t>hat TAF bound moderately (Study</w:t>
      </w:r>
      <w:r w:rsidRPr="00AB3272">
        <w:t xml:space="preserve"> AD-120-2026). Mice were used for tissue distribution studies with radio labelled TAF, showing most tissues reached maximum concentration by 1 h post-dose, with blood:</w:t>
      </w:r>
      <w:r w:rsidR="00355657">
        <w:t xml:space="preserve"> </w:t>
      </w:r>
      <w:r w:rsidRPr="00AB3272">
        <w:t xml:space="preserve">plasma concentration ratios suggesting radioactivity was preferentially distributed into the cellular </w:t>
      </w:r>
      <w:r w:rsidR="00355657">
        <w:t xml:space="preserve">fraction of whole blood (Study </w:t>
      </w:r>
      <w:r w:rsidRPr="00AB3272">
        <w:t>AD-120-2011). Distribution an</w:t>
      </w:r>
      <w:r w:rsidR="00355657">
        <w:t xml:space="preserve">alysis in rats following repeat </w:t>
      </w:r>
      <w:r w:rsidRPr="00AB3272">
        <w:t>dose administration of TAF found that blood:</w:t>
      </w:r>
      <w:r w:rsidR="00355657">
        <w:t> </w:t>
      </w:r>
      <w:r w:rsidRPr="00AB3272">
        <w:t>plasma concentration ratios of radioactivity post</w:t>
      </w:r>
      <w:r w:rsidRPr="00AB3272">
        <w:noBreakHyphen/>
        <w:t>dose suggested limited distribution of radioactivity into the cellular</w:t>
      </w:r>
      <w:r w:rsidR="00355657">
        <w:t xml:space="preserve"> fraction of whole blood (Study</w:t>
      </w:r>
      <w:r w:rsidRPr="00AB3272">
        <w:t> AD</w:t>
      </w:r>
      <w:r w:rsidRPr="00AB3272">
        <w:noBreakHyphen/>
        <w:t>120-2020). Radioactivity was found to be widely distributed to most tissues. The small percentage of radioactivity eliminated in bile indicated that biliary excretion was a minor route of radioactivity elimination in rats. Studies in dogs found that after reaching maximum concentrations, radioactivity in blood and plasma declined through 24 h post</w:t>
      </w:r>
      <w:r w:rsidRPr="00AB3272">
        <w:noBreakHyphen/>
        <w:t>dose, with the highest concentrations observed in the liver and kidney, with a high concentration of total radioactivity in bile, suggesting that a substantial portion of the absorbed dose undergoes b</w:t>
      </w:r>
      <w:r w:rsidR="00355657">
        <w:t>iliary excretion in dogs (Study AD-120-2009 and Study D990173-BP).</w:t>
      </w:r>
    </w:p>
    <w:p w:rsidR="00AB3272" w:rsidRPr="00AB3272" w:rsidRDefault="00AB3272" w:rsidP="00AB3272">
      <w:bookmarkStart w:id="54" w:name="_Ref428792363"/>
      <w:r w:rsidRPr="00AB3272">
        <w:t>Overall, in vitro analysis found TAF moderately bound in plasma. In vivo studies in mice found TAF was well tolerated in mice and was rapidly distributed into tissues with most reaching maximum concentration by 1 h post-dose. Radioactivity was mainly retained in the liver, which is consistent with high hepatic extraction, and kidneys.</w:t>
      </w:r>
      <w:r w:rsidR="00CA65A1">
        <w:t xml:space="preserve"> </w:t>
      </w:r>
      <w:r w:rsidRPr="00AB3272">
        <w:t>Low levels of radioactivity observed in brain and testis in mice indicate that TAF minimally crosses the blood:</w:t>
      </w:r>
      <w:r w:rsidR="00355657">
        <w:t xml:space="preserve"> </w:t>
      </w:r>
      <w:r w:rsidRPr="00AB3272">
        <w:t>brain and blood:</w:t>
      </w:r>
      <w:r w:rsidR="00355657">
        <w:t xml:space="preserve"> </w:t>
      </w:r>
      <w:r w:rsidRPr="00AB3272">
        <w:t>testis barrier.</w:t>
      </w:r>
      <w:r w:rsidR="00CA65A1">
        <w:t xml:space="preserve"> </w:t>
      </w:r>
      <w:r w:rsidRPr="00AB3272">
        <w:t>Results observed in the tissues of pigmented mice show that distribution trends in the pigmented uveal tract of the eye and pigmented skin indicate that TAF is not sele</w:t>
      </w:r>
      <w:r w:rsidR="00355657">
        <w:t xml:space="preserve">ctively associated with melanin </w:t>
      </w:r>
      <w:r w:rsidRPr="00AB3272">
        <w:t>containing tissues with no melanin binding was observed. Similarly, results indicate no binding of TAF to melanin in rats.</w:t>
      </w:r>
    </w:p>
    <w:bookmarkEnd w:id="54"/>
    <w:p w:rsidR="00AB3272" w:rsidRPr="004D2AB1" w:rsidRDefault="00355657" w:rsidP="004D2AB1">
      <w:pPr>
        <w:pStyle w:val="Heading4"/>
      </w:pPr>
      <w:r w:rsidRPr="004D2AB1">
        <w:t>Metabolism</w:t>
      </w:r>
    </w:p>
    <w:p w:rsidR="00AB3272" w:rsidRPr="00AB3272" w:rsidRDefault="00AB3272" w:rsidP="00AB3272">
      <w:r w:rsidRPr="00AB3272">
        <w:t>In vivo metabolism studies have been cond</w:t>
      </w:r>
      <w:r w:rsidR="00355657">
        <w:t>ucted in mice, rats and dogs. R</w:t>
      </w:r>
      <w:r w:rsidRPr="00AB3272">
        <w:t>adiolabelled TAF underwent rapid biotransformation in mice via oxidation, hydrolysis, dealkylation, glucuronidation, and acetylation pathways, with hydrolysis of isopropylalanine and phenoxy groups being the major pathway. In mice, the major route of radioactive elimination was via faeces and renal elimination. Metabolism in dogs was indicated to be via oxidation, hydrolysis, dealkylation, and glucuronidation, with a major route elimination of rad</w:t>
      </w:r>
      <w:r w:rsidR="00355657">
        <w:t xml:space="preserve">ioactivity in bile duct </w:t>
      </w:r>
      <w:r w:rsidRPr="00AB3272">
        <w:t xml:space="preserve">intact dogs via faeces. Biotransformation of TAF was studied in mice, rats, and dogs and compared to humans, with endogenous purine metabolites including hypoxanthine, xanthine, allantoin, and uric acid observed in all species. TFV was found to be the major metabolite in plasma, urine, and faeces in all species except for human plasma, with no unique human metabolites observed. The major enzymes involved in intracellular conversion of TAF to TFV in PBMCs and primary human hepatocytes are </w:t>
      </w:r>
      <w:r w:rsidR="00015675">
        <w:t>Cat A</w:t>
      </w:r>
      <w:r w:rsidR="00355657">
        <w:t xml:space="preserve"> and </w:t>
      </w:r>
      <w:r w:rsidR="00355657" w:rsidRPr="00355657">
        <w:t>carboxylesterase 1</w:t>
      </w:r>
      <w:r w:rsidR="00355657">
        <w:t xml:space="preserve"> (CES1), respectively.</w:t>
      </w:r>
    </w:p>
    <w:p w:rsidR="00355657" w:rsidRPr="00355657" w:rsidRDefault="00355657" w:rsidP="004D2AB1">
      <w:pPr>
        <w:pStyle w:val="Heading4"/>
      </w:pPr>
      <w:r w:rsidRPr="00355657">
        <w:t>Excretion</w:t>
      </w:r>
    </w:p>
    <w:p w:rsidR="00AB3272" w:rsidRPr="00AB3272" w:rsidRDefault="00AB3272" w:rsidP="00AB3272">
      <w:r w:rsidRPr="00AB3272">
        <w:t>Absorption and excretion analysis following a single dose of ra</w:t>
      </w:r>
      <w:r w:rsidR="00355657">
        <w:t xml:space="preserve">diolabelled TAF in to bile duct intact and to bile duct </w:t>
      </w:r>
      <w:r w:rsidRPr="00AB3272">
        <w:t>cannu</w:t>
      </w:r>
      <w:r w:rsidR="00355657">
        <w:t xml:space="preserve">lated dogs found that bile duct </w:t>
      </w:r>
      <w:r w:rsidRPr="00AB3272">
        <w:t>in</w:t>
      </w:r>
      <w:r w:rsidR="00355657">
        <w:t xml:space="preserve">tact dogs, as well as bile duct </w:t>
      </w:r>
      <w:r w:rsidRPr="00AB3272">
        <w:t>cannulated dogs eliminated radioac</w:t>
      </w:r>
      <w:r w:rsidR="00355657">
        <w:t>tivity rapidly post-dose (Study</w:t>
      </w:r>
      <w:r w:rsidRPr="00AB3272">
        <w:t xml:space="preserve"> AD-120-2007). </w:t>
      </w:r>
      <w:r w:rsidRPr="00AB3272">
        <w:lastRenderedPageBreak/>
        <w:t>Elimination of a large percentage of radioact</w:t>
      </w:r>
      <w:r w:rsidR="00355657">
        <w:t xml:space="preserve">ivity was via bile in bile duct </w:t>
      </w:r>
      <w:r w:rsidRPr="00AB3272">
        <w:t>cannulated dogs, indicating a major route of elimination is through biliary excretion. At the end of the study period, low recoveries of radioactivity remained measurable in urine and faeces, suggesting radioactivity was possibly retained in the carcasses.</w:t>
      </w:r>
    </w:p>
    <w:p w:rsidR="00AB3272" w:rsidRDefault="00355657" w:rsidP="004D2AB1">
      <w:pPr>
        <w:pStyle w:val="Heading4"/>
      </w:pPr>
      <w:r>
        <w:t>Conclusion</w:t>
      </w:r>
    </w:p>
    <w:p w:rsidR="00AB3272" w:rsidRPr="00AB3272" w:rsidRDefault="00AB3272" w:rsidP="00AB3272">
      <w:r w:rsidRPr="00AB3272">
        <w:t>The pharmacokinetic profiles in the laboratory animal species (particularly those used in the pivotal r</w:t>
      </w:r>
      <w:r w:rsidR="00355657">
        <w:t xml:space="preserve">epeat </w:t>
      </w:r>
      <w:r w:rsidRPr="00AB3272">
        <w:t>dose toxicity studies) were sufficiently similar to allow them to serve as appropriate models for the assessm</w:t>
      </w:r>
      <w:r w:rsidR="00355657">
        <w:t>ent of drug toxicity in humans.</w:t>
      </w:r>
    </w:p>
    <w:p w:rsidR="00AB3272" w:rsidRPr="00AB3272" w:rsidRDefault="00AB3272" w:rsidP="00AB3272">
      <w:pPr>
        <w:pStyle w:val="Heading4"/>
      </w:pPr>
      <w:bookmarkStart w:id="55" w:name="_Toc294861725"/>
      <w:r w:rsidRPr="00AB3272">
        <w:t>Pharmacokinetic drug interactions</w:t>
      </w:r>
      <w:bookmarkEnd w:id="55"/>
    </w:p>
    <w:p w:rsidR="00AB3272" w:rsidRPr="00AB3272" w:rsidRDefault="00AB3272" w:rsidP="00AB3272">
      <w:r w:rsidRPr="00AB3272">
        <w:t xml:space="preserve">In vitro studies have been submitted to investigate the potential for TAF </w:t>
      </w:r>
      <w:r w:rsidR="00355657">
        <w:t xml:space="preserve">and/or TFV to inhibit human CYP </w:t>
      </w:r>
      <w:r w:rsidRPr="00AB3272">
        <w:t>mediated drug metabolism, as well as investigating the inhibitory activity of TAF with human liver microsomal CYP isozymes (</w:t>
      </w:r>
      <w:r w:rsidR="00355657">
        <w:t>that is,</w:t>
      </w:r>
      <w:r w:rsidRPr="00AB3272">
        <w:t xml:space="preserve"> CYP1A2, CYP2B6, C</w:t>
      </w:r>
      <w:r w:rsidR="00355657">
        <w:t xml:space="preserve">YP2C8, CYP2C9, CYP2C19, CYP2D6 and </w:t>
      </w:r>
      <w:r w:rsidRPr="00AB3272">
        <w:t>CYP</w:t>
      </w:r>
      <w:r w:rsidR="00057BBC">
        <w:t xml:space="preserve">3A). TAF weakly inhibited CYP3A </w:t>
      </w:r>
      <w:r w:rsidRPr="00AB3272">
        <w:t xml:space="preserve">mediated oxidation of midazolam or testosterone, and did not inhibit CYP1A2, CYP2C9, CYP2D6, CYP2E1, and CYP3A. </w:t>
      </w:r>
      <w:r w:rsidR="00355657">
        <w:t>TAF incubation produced no time</w:t>
      </w:r>
      <w:r w:rsidRPr="00AB3272">
        <w:t xml:space="preserve"> or cofactor dependent inhibition of any enzyme, and cytotoxicity was only observed at a high concentration (100 µM) used in cultured human hepatocytes. At low, non</w:t>
      </w:r>
      <w:r w:rsidRPr="00AB3272">
        <w:noBreakHyphen/>
        <w:t>cytotoxic concentrations (1</w:t>
      </w:r>
      <w:r w:rsidR="00355657">
        <w:t xml:space="preserve"> to </w:t>
      </w:r>
      <w:r w:rsidRPr="00AB3272">
        <w:t xml:space="preserve">10 µM), TAF had no significant effects on increasing </w:t>
      </w:r>
      <w:r w:rsidR="003B40DF">
        <w:t>messenger RNA (</w:t>
      </w:r>
      <w:r w:rsidRPr="00AB3272">
        <w:t>mRNA</w:t>
      </w:r>
      <w:r w:rsidR="003B40DF">
        <w:t>)</w:t>
      </w:r>
      <w:r w:rsidRPr="00AB3272">
        <w:t xml:space="preserve"> levels and/or CYP activities, with no significant induction of </w:t>
      </w:r>
      <w:r w:rsidR="00355657" w:rsidRPr="00355657">
        <w:t xml:space="preserve">P-glycoprotein </w:t>
      </w:r>
      <w:r w:rsidR="00355657">
        <w:t>(</w:t>
      </w:r>
      <w:r w:rsidRPr="00AB3272">
        <w:t>P-gp</w:t>
      </w:r>
      <w:r w:rsidR="00355657">
        <w:t>)</w:t>
      </w:r>
      <w:r w:rsidRPr="00AB3272">
        <w:t xml:space="preserve"> and/or UGT1A1 mRNA. TAF incubation in cultured human hepatocytes demonstrated little or no potential for CYP induction at clinically relevant concentration (1 </w:t>
      </w:r>
      <w:r w:rsidR="005640DF">
        <w:t>µ</w:t>
      </w:r>
      <w:r w:rsidR="00355657">
        <w:t>M).</w:t>
      </w:r>
    </w:p>
    <w:p w:rsidR="00AB3272" w:rsidRPr="00AB3272" w:rsidRDefault="00203713" w:rsidP="00AB3272">
      <w:r>
        <w:t xml:space="preserve">Hepatoma </w:t>
      </w:r>
      <w:r w:rsidR="00AB3272" w:rsidRPr="00AB3272">
        <w:t xml:space="preserve">derived cell lines incubated with TAF (50 µM) demonstrated the extent of activation of </w:t>
      </w:r>
      <w:r w:rsidR="0021548E">
        <w:t>pregnane X receptor (</w:t>
      </w:r>
      <w:r w:rsidR="00AB3272" w:rsidRPr="00AB3272">
        <w:t>PXR</w:t>
      </w:r>
      <w:r w:rsidR="0021548E">
        <w:t>)</w:t>
      </w:r>
      <w:r w:rsidR="00AB3272" w:rsidRPr="00AB3272">
        <w:t xml:space="preserve"> being only 23% of the maximal effect of rifampicin, while incubation with lower concentrations found it did not activate </w:t>
      </w:r>
      <w:r w:rsidR="00460465" w:rsidRPr="00460465">
        <w:t xml:space="preserve">aryl hydrocarbon receptors </w:t>
      </w:r>
      <w:r w:rsidR="00460465">
        <w:t>(</w:t>
      </w:r>
      <w:r w:rsidR="00AB3272" w:rsidRPr="00AB3272">
        <w:t>AhR</w:t>
      </w:r>
      <w:r w:rsidR="00460465">
        <w:t>)</w:t>
      </w:r>
      <w:r w:rsidR="00AB3272" w:rsidRPr="00AB3272">
        <w:t>. In caco-2 cells, TAF increased absorption in the presence of CsA or COBI. Pre-treatment with CsA in dogs increased TAF plasma exposure and oral bioavailability (</w:t>
      </w:r>
      <w:r w:rsidR="00A511E3">
        <w:t>approximately</w:t>
      </w:r>
      <w:r w:rsidR="00AB3272" w:rsidRPr="00AB3272">
        <w:t>10</w:t>
      </w:r>
      <w:r w:rsidR="00C40A50">
        <w:t xml:space="preserve"> fold</w:t>
      </w:r>
      <w:r w:rsidR="00AB3272" w:rsidRPr="00AB3272">
        <w:t>), indicating that co-administration of efflux inhibitors increases TAF absorption. TAF was found to be a substrate for OATP1B1 and OATP1B3 (hepatic uptake transporters) but not a substrate for OAT</w:t>
      </w:r>
      <w:r w:rsidR="00460465">
        <w:t>1 or OAT3 (renal transporters).</w:t>
      </w:r>
    </w:p>
    <w:p w:rsidR="00AB3272" w:rsidRPr="00AB3272" w:rsidRDefault="00AB3272" w:rsidP="00AB3272">
      <w:r w:rsidRPr="00AB3272">
        <w:t>Overall, the stability of TAF in intestinal subcellular fractions was not markedly affected following incubation with HIV-1 protease inhibitors or CYP inhibitors, indicating that FTC and TFV, EVG and COBI are unlikely to interact with high specificity of the enzymes catalysing the phosphorylation of nucleoside analogues. TAF’s lack of or weak potency for CYP inhibition indicates it will be unlikely to:</w:t>
      </w:r>
    </w:p>
    <w:p w:rsidR="00AB3272" w:rsidRPr="00AB3272" w:rsidRDefault="00AB3272" w:rsidP="00AB3272">
      <w:pPr>
        <w:pStyle w:val="Numberbullet0"/>
      </w:pPr>
      <w:r w:rsidRPr="00AB3272">
        <w:t>Significantl</w:t>
      </w:r>
      <w:r w:rsidR="00460465">
        <w:t>y affect hepatic CYP3A activity</w:t>
      </w:r>
    </w:p>
    <w:p w:rsidR="00AB3272" w:rsidRPr="00AB3272" w:rsidRDefault="00AB3272" w:rsidP="00AB3272">
      <w:pPr>
        <w:pStyle w:val="Numberbullet0"/>
      </w:pPr>
      <w:r w:rsidRPr="00AB3272">
        <w:t>Affect the metabolism o</w:t>
      </w:r>
      <w:r w:rsidR="00460465">
        <w:t>f EVG or COBI</w:t>
      </w:r>
    </w:p>
    <w:p w:rsidR="00AB3272" w:rsidRPr="00BB6AE6" w:rsidRDefault="00AB3272" w:rsidP="00AB3272">
      <w:pPr>
        <w:pStyle w:val="Numberbullet0"/>
      </w:pPr>
      <w:r w:rsidRPr="00BB6AE6">
        <w:t>Activ</w:t>
      </w:r>
      <w:r w:rsidR="00460465" w:rsidRPr="00BB6AE6">
        <w:t xml:space="preserve">ate </w:t>
      </w:r>
      <w:r w:rsidR="00BB6AE6" w:rsidRPr="00BB6AE6">
        <w:t>either PXR</w:t>
      </w:r>
      <w:r w:rsidR="00460465" w:rsidRPr="00BB6AE6">
        <w:t xml:space="preserve"> </w:t>
      </w:r>
      <w:r w:rsidR="00BB6AE6" w:rsidRPr="00BB6AE6">
        <w:t>or AhR receptors</w:t>
      </w:r>
    </w:p>
    <w:p w:rsidR="00AB3272" w:rsidRPr="00AB3272" w:rsidRDefault="00AB3272" w:rsidP="00AB3272">
      <w:pPr>
        <w:pStyle w:val="Numberbullet0"/>
      </w:pPr>
      <w:r w:rsidRPr="00AB3272">
        <w:t xml:space="preserve">Contribute to renal tubular cell loading of TFV, since it is not a substrate for </w:t>
      </w:r>
      <w:r w:rsidR="00460465">
        <w:t>renal transporters (OAT1; OAT3)</w:t>
      </w:r>
    </w:p>
    <w:p w:rsidR="00AB3272" w:rsidRPr="00AB3272" w:rsidRDefault="00AB3272" w:rsidP="00AB3272">
      <w:pPr>
        <w:pStyle w:val="Numberbullet0"/>
      </w:pPr>
      <w:r w:rsidRPr="00AB3272">
        <w:t>Be a pharmaceutical agent to mediate transporter drug interactions.</w:t>
      </w:r>
    </w:p>
    <w:p w:rsidR="004334C7" w:rsidRDefault="00AB3272" w:rsidP="004334C7">
      <w:r w:rsidRPr="00AB3272">
        <w:t xml:space="preserve">However, TAF is a substrate for intestinal efflux transporters (P-gp; </w:t>
      </w:r>
      <w:r w:rsidR="00460465">
        <w:t>breast cancer resistance protein (</w:t>
      </w:r>
      <w:r w:rsidRPr="00AB3272">
        <w:t>BCRP</w:t>
      </w:r>
      <w:r w:rsidR="00460465">
        <w:t>)</w:t>
      </w:r>
      <w:r w:rsidRPr="00AB3272">
        <w:t>) and hepatic uptake transporters (OATP1B1; OATP1B3), its exposure may be affected by inhibitors and/or inducers of the intestinal efflux transporters and inhibitors or genetic polymorphisms of OATPs.</w:t>
      </w:r>
    </w:p>
    <w:p w:rsidR="001B5C90" w:rsidRDefault="008E7846" w:rsidP="001B5C90">
      <w:pPr>
        <w:pStyle w:val="Heading3"/>
      </w:pPr>
      <w:bookmarkStart w:id="56" w:name="_Toc455474491"/>
      <w:r>
        <w:lastRenderedPageBreak/>
        <w:t>Toxicology</w:t>
      </w:r>
      <w:bookmarkEnd w:id="52"/>
      <w:bookmarkEnd w:id="53"/>
      <w:bookmarkEnd w:id="56"/>
    </w:p>
    <w:p w:rsidR="00AB3272" w:rsidRPr="00AB3272" w:rsidRDefault="00AB3272" w:rsidP="00AB3272">
      <w:pPr>
        <w:pStyle w:val="Heading4"/>
      </w:pPr>
      <w:bookmarkStart w:id="57" w:name="_Toc294861727"/>
      <w:r w:rsidRPr="00AB3272">
        <w:t>Acute toxicity</w:t>
      </w:r>
      <w:bookmarkEnd w:id="57"/>
    </w:p>
    <w:p w:rsidR="00AB3272" w:rsidRPr="00AB3272" w:rsidRDefault="00460465" w:rsidP="00AB3272">
      <w:r>
        <w:t xml:space="preserve">Three single </w:t>
      </w:r>
      <w:r w:rsidR="00AB3272" w:rsidRPr="00AB3272">
        <w:t>dose toxicity studies were conducted in rats and dogs. Rats administered TAF (0</w:t>
      </w:r>
      <w:r>
        <w:t xml:space="preserve"> to </w:t>
      </w:r>
      <w:r w:rsidR="00AB3272" w:rsidRPr="00AB3272">
        <w:t>1</w:t>
      </w:r>
      <w:r>
        <w:t>,</w:t>
      </w:r>
      <w:r w:rsidR="00AB3272" w:rsidRPr="00AB3272">
        <w:t>000 mg/kg) were observed with slight reductions in lymphocyte counts, liver weight and salivation immediately following dose administration (NOEL 6.25 mg/kg (males) and 25 mg/kg (females); NOEL 1</w:t>
      </w:r>
      <w:r>
        <w:t>,</w:t>
      </w:r>
      <w:r w:rsidR="00AB3272" w:rsidRPr="00AB3272">
        <w:t>000 mg/kg). A single administration of TAF (30</w:t>
      </w:r>
      <w:r>
        <w:t xml:space="preserve"> to </w:t>
      </w:r>
      <w:r w:rsidR="00AB3272" w:rsidRPr="00AB3272">
        <w:t>270 mg/kg) in dogs resulted in slight weight loss, reduced food consumption, and microscopic renal changes at 90 and 270 mg/kg (NOEL 30 mg/kg). Overall, the single dose studies in rats and dogs found that TA</w:t>
      </w:r>
      <w:r>
        <w:t xml:space="preserve">F was well tolerated. No single </w:t>
      </w:r>
      <w:r w:rsidR="00AB3272" w:rsidRPr="00AB3272">
        <w:t>dose toxicity studies ha</w:t>
      </w:r>
      <w:r>
        <w:t>ve been performed with the proposed fixed dose combination (FDC).</w:t>
      </w:r>
    </w:p>
    <w:p w:rsidR="00AB3272" w:rsidRPr="00AB3272" w:rsidRDefault="003328D2" w:rsidP="00AB3272">
      <w:pPr>
        <w:pStyle w:val="Heading4"/>
      </w:pPr>
      <w:bookmarkStart w:id="58" w:name="_Toc294861728"/>
      <w:r>
        <w:t xml:space="preserve">Repeat </w:t>
      </w:r>
      <w:r w:rsidR="00AB3272" w:rsidRPr="00AB3272">
        <w:t>dose toxicity</w:t>
      </w:r>
      <w:bookmarkEnd w:id="58"/>
    </w:p>
    <w:p w:rsidR="00AB3272" w:rsidRPr="00AB3272" w:rsidRDefault="00460465" w:rsidP="00AB3272">
      <w:r>
        <w:t xml:space="preserve">A series of GLP compliant oral repeat </w:t>
      </w:r>
      <w:r w:rsidR="00AB3272" w:rsidRPr="00AB3272">
        <w:t>dose toxicity studies in mice (2, 13 weeks), rats (1, 4, 26 weeks), dogs (4, 39 weeks) and monkeys (4 weeks) were submitted. The studies were in accordance w</w:t>
      </w:r>
      <w:r>
        <w:t>ith ICH Guidelines</w:t>
      </w:r>
      <w:r w:rsidR="00AB3272" w:rsidRPr="00AB3272">
        <w:t xml:space="preserve"> on repeat dose toxicity, where the repeat-dose toxicity studies have been conducted in at least two mammalian specie</w:t>
      </w:r>
      <w:r>
        <w:t xml:space="preserve">s (one </w:t>
      </w:r>
      <w:r w:rsidR="00EA6D79">
        <w:t>non-</w:t>
      </w:r>
      <w:r w:rsidR="00EA6D79" w:rsidRPr="00AB3272">
        <w:t>rodent</w:t>
      </w:r>
      <w:r w:rsidR="00AB3272" w:rsidRPr="00AB3272">
        <w:t>)</w:t>
      </w:r>
      <w:r>
        <w:t>.</w:t>
      </w:r>
      <w:r>
        <w:rPr>
          <w:rStyle w:val="FootnoteReference"/>
        </w:rPr>
        <w:footnoteReference w:id="20"/>
      </w:r>
      <w:r w:rsidR="00AB3272" w:rsidRPr="00AB3272">
        <w:t xml:space="preserve"> The studies have been well designed and attained high relative systemic exposures (see </w:t>
      </w:r>
      <w:r>
        <w:t>Relative exposure; Table 3 below).</w:t>
      </w:r>
    </w:p>
    <w:p w:rsidR="00AB3272" w:rsidRPr="00AB3272" w:rsidRDefault="00AB3272" w:rsidP="00AB3272">
      <w:pPr>
        <w:pStyle w:val="Heading4"/>
      </w:pPr>
      <w:r w:rsidRPr="00AB3272">
        <w:t>Relative exposure</w:t>
      </w:r>
    </w:p>
    <w:p w:rsidR="00AB3272" w:rsidRDefault="00AB3272" w:rsidP="00AB3272">
      <w:r w:rsidRPr="00AB3272">
        <w:t>Exposure ratios have been calculated based on TFV animal:</w:t>
      </w:r>
      <w:r w:rsidR="00460465">
        <w:t xml:space="preserve"> </w:t>
      </w:r>
      <w:r w:rsidRPr="00AB3272">
        <w:t>human plasma AUC</w:t>
      </w:r>
      <w:r w:rsidRPr="00460465">
        <w:rPr>
          <w:vertAlign w:val="subscript"/>
        </w:rPr>
        <w:t>0–24 h</w:t>
      </w:r>
      <w:r w:rsidRPr="00AB3272">
        <w:t xml:space="preserve">. Human reference values are from </w:t>
      </w:r>
      <w:r w:rsidR="00460465" w:rsidRPr="00AB3272">
        <w:t xml:space="preserve">clinical study </w:t>
      </w:r>
      <w:r w:rsidRPr="00AB3272">
        <w:t xml:space="preserve">GS-US-292-0104 and GS-US-292-0111. Relative exposure in mice was observed from very low at the lowest concentration of TAF used to very high at the highest TAF dose used, while mice administered TDF in the carcinogenicity study were observed to have extremely high exposure ratios when compared to TFV human steady state values (Table </w:t>
      </w:r>
      <w:r w:rsidR="00460465">
        <w:t xml:space="preserve">3 </w:t>
      </w:r>
      <w:r w:rsidRPr="00AB3272">
        <w:t>below). A 6 month rat study found that the relative exposure for TAF ranged from very low to extremely high, while the carcinogenicity study using TDF and compared to TFV steady state values in humans found that the relative exposure ranged from moderate to extremely high in the doses used for both sexes. The 9</w:t>
      </w:r>
      <w:r w:rsidR="00A6355F">
        <w:t xml:space="preserve"> month</w:t>
      </w:r>
      <w:r w:rsidRPr="00AB3272">
        <w:t xml:space="preserve"> study in dogs observed exposure ratios ranging from subclinical to moderate. The exp</w:t>
      </w:r>
      <w:r w:rsidR="00460465">
        <w:t xml:space="preserve">osures observed in the repeat </w:t>
      </w:r>
      <w:r w:rsidRPr="00AB3272">
        <w:t>dose toxicity studies have greatly exceeded the human exposure levels observed in the clinical studies of TAF within the FDC. Overall, studies showed that TAF was rapidly converted to TFV, with no substantial plasma accumulation of either TAF or TFV.</w:t>
      </w:r>
    </w:p>
    <w:p w:rsidR="00AB3272" w:rsidRPr="00AB3272" w:rsidRDefault="00460465" w:rsidP="00AB3272">
      <w:pPr>
        <w:pStyle w:val="TableTitle"/>
      </w:pPr>
      <w:r>
        <w:t xml:space="preserve">Table 3. </w:t>
      </w:r>
      <w:r w:rsidR="00AB3272" w:rsidRPr="00AB3272">
        <w:t>Relative exposure of TFV after admi</w:t>
      </w:r>
      <w:r>
        <w:t xml:space="preserve">nistration of TAF/TDF in repeat </w:t>
      </w:r>
      <w:r w:rsidR="00AB3272" w:rsidRPr="00AB3272">
        <w:t>dose toxic</w:t>
      </w:r>
      <w:r>
        <w:t>ity and carcinogenicity studies</w:t>
      </w:r>
    </w:p>
    <w:tbl>
      <w:tblPr>
        <w:tblStyle w:val="TableTGAblue"/>
        <w:tblW w:w="8864" w:type="dxa"/>
        <w:tblLayout w:type="fixed"/>
        <w:tblLook w:val="01E0" w:firstRow="1" w:lastRow="1" w:firstColumn="1" w:lastColumn="1" w:noHBand="0" w:noVBand="0"/>
      </w:tblPr>
      <w:tblGrid>
        <w:gridCol w:w="1242"/>
        <w:gridCol w:w="1560"/>
        <w:gridCol w:w="1134"/>
        <w:gridCol w:w="1275"/>
        <w:gridCol w:w="1276"/>
        <w:gridCol w:w="1134"/>
        <w:gridCol w:w="1243"/>
      </w:tblGrid>
      <w:tr w:rsidR="00AB3272" w:rsidRPr="00AB3272" w:rsidTr="00E0350C">
        <w:trPr>
          <w:cnfStyle w:val="100000000000" w:firstRow="1" w:lastRow="0" w:firstColumn="0" w:lastColumn="0" w:oddVBand="0" w:evenVBand="0" w:oddHBand="0" w:evenHBand="0" w:firstRowFirstColumn="0" w:firstRowLastColumn="0" w:lastRowFirstColumn="0" w:lastRowLastColumn="0"/>
          <w:trHeight w:val="511"/>
        </w:trPr>
        <w:tc>
          <w:tcPr>
            <w:tcW w:w="1242"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Species</w:t>
            </w:r>
          </w:p>
        </w:tc>
        <w:tc>
          <w:tcPr>
            <w:tcW w:w="1560"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Study duration (drug)</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Sex</w:t>
            </w: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Study d</w:t>
            </w:r>
            <w:r>
              <w:rPr>
                <w:rFonts w:asciiTheme="minorHAnsi" w:hAnsiTheme="minorHAnsi"/>
                <w:sz w:val="18"/>
                <w:szCs w:val="18"/>
              </w:rPr>
              <w:t xml:space="preserve">ose </w:t>
            </w:r>
            <w:r w:rsidRPr="00460465">
              <w:rPr>
                <w:rFonts w:asciiTheme="minorHAnsi" w:hAnsiTheme="minorHAnsi"/>
                <w:sz w:val="16"/>
                <w:szCs w:val="16"/>
              </w:rPr>
              <w:t>(mg/kg/day)</w:t>
            </w:r>
          </w:p>
        </w:tc>
        <w:tc>
          <w:tcPr>
            <w:tcW w:w="1276" w:type="dxa"/>
          </w:tcPr>
          <w:p w:rsidR="00AB3272" w:rsidRPr="00AB3272" w:rsidRDefault="00460465" w:rsidP="00AB3272">
            <w:pPr>
              <w:ind w:left="0" w:right="0"/>
              <w:rPr>
                <w:rFonts w:asciiTheme="minorHAnsi" w:hAnsiTheme="minorHAnsi"/>
                <w:sz w:val="18"/>
                <w:szCs w:val="18"/>
              </w:rPr>
            </w:pPr>
            <w:r>
              <w:rPr>
                <w:rFonts w:asciiTheme="minorHAnsi" w:hAnsiTheme="minorHAnsi"/>
                <w:sz w:val="18"/>
                <w:szCs w:val="18"/>
              </w:rPr>
              <w:t>TFV AUCss </w:t>
            </w:r>
            <w:r>
              <w:rPr>
                <w:rFonts w:asciiTheme="minorHAnsi" w:hAnsiTheme="minorHAnsi"/>
                <w:sz w:val="18"/>
                <w:szCs w:val="18"/>
                <w:vertAlign w:val="subscript"/>
              </w:rPr>
              <w:t>0</w:t>
            </w:r>
            <w:r>
              <w:rPr>
                <w:rFonts w:asciiTheme="minorHAnsi" w:hAnsiTheme="minorHAnsi"/>
                <w:sz w:val="18"/>
                <w:szCs w:val="18"/>
                <w:vertAlign w:val="subscript"/>
              </w:rPr>
              <w:noBreakHyphen/>
            </w:r>
            <w:r w:rsidR="00AB3272" w:rsidRPr="00460465">
              <w:rPr>
                <w:rFonts w:asciiTheme="minorHAnsi" w:hAnsiTheme="minorHAnsi"/>
                <w:sz w:val="18"/>
                <w:szCs w:val="18"/>
                <w:vertAlign w:val="subscript"/>
              </w:rPr>
              <w:t>24h</w:t>
            </w:r>
            <w:r w:rsidR="00AB3272">
              <w:rPr>
                <w:rFonts w:asciiTheme="minorHAnsi" w:hAnsiTheme="minorHAnsi"/>
                <w:sz w:val="18"/>
                <w:szCs w:val="18"/>
              </w:rPr>
              <w:t xml:space="preserve"> </w:t>
            </w:r>
            <w:r w:rsidR="00AB3272" w:rsidRPr="00AB3272">
              <w:rPr>
                <w:rFonts w:asciiTheme="minorHAnsi" w:hAnsiTheme="minorHAnsi"/>
                <w:sz w:val="18"/>
                <w:szCs w:val="18"/>
              </w:rPr>
              <w:t>(ng∙h/mL)</w:t>
            </w:r>
          </w:p>
        </w:tc>
        <w:tc>
          <w:tcPr>
            <w:tcW w:w="1134" w:type="dxa"/>
          </w:tcPr>
          <w:p w:rsidR="00AB3272" w:rsidRPr="00AB3272" w:rsidRDefault="00460465" w:rsidP="00AB3272">
            <w:pPr>
              <w:ind w:left="0" w:right="0"/>
              <w:rPr>
                <w:rFonts w:asciiTheme="minorHAnsi" w:hAnsiTheme="minorHAnsi"/>
                <w:sz w:val="18"/>
                <w:szCs w:val="18"/>
              </w:rPr>
            </w:pPr>
            <w:r>
              <w:rPr>
                <w:rFonts w:asciiTheme="minorHAnsi" w:hAnsiTheme="minorHAnsi"/>
                <w:sz w:val="18"/>
                <w:szCs w:val="18"/>
              </w:rPr>
              <w:t>TAF AUCss </w:t>
            </w:r>
            <w:r w:rsidR="00AB3272" w:rsidRPr="00460465">
              <w:rPr>
                <w:rFonts w:asciiTheme="minorHAnsi" w:hAnsiTheme="minorHAnsi"/>
                <w:sz w:val="18"/>
                <w:szCs w:val="18"/>
                <w:vertAlign w:val="subscript"/>
              </w:rPr>
              <w:t>0–24h</w:t>
            </w:r>
            <w:r w:rsidR="00AC1C8B">
              <w:rPr>
                <w:rFonts w:asciiTheme="minorHAnsi" w:hAnsiTheme="minorHAnsi"/>
                <w:sz w:val="18"/>
                <w:szCs w:val="18"/>
              </w:rPr>
              <w:t xml:space="preserve"> </w:t>
            </w:r>
            <w:r w:rsidR="00AB3272" w:rsidRPr="00AB3272">
              <w:rPr>
                <w:rFonts w:asciiTheme="minorHAnsi" w:hAnsiTheme="minorHAnsi"/>
                <w:sz w:val="18"/>
                <w:szCs w:val="18"/>
              </w:rPr>
              <w:t>(ng∙h/mL)</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TFV/TAF exposure ratio#*</w:t>
            </w:r>
          </w:p>
        </w:tc>
      </w:tr>
      <w:tr w:rsidR="00AC1C8B" w:rsidRPr="00AB3272" w:rsidTr="00E0350C">
        <w:trPr>
          <w:trHeight w:val="224"/>
        </w:trPr>
        <w:tc>
          <w:tcPr>
            <w:tcW w:w="1242" w:type="dxa"/>
            <w:vMerge w:val="restart"/>
          </w:tcPr>
          <w:p w:rsidR="00AB3272" w:rsidRPr="00AB3272" w:rsidRDefault="00460465" w:rsidP="00AB3272">
            <w:pPr>
              <w:ind w:left="0" w:right="0"/>
              <w:rPr>
                <w:rFonts w:asciiTheme="minorHAnsi" w:hAnsiTheme="minorHAnsi"/>
                <w:sz w:val="18"/>
                <w:szCs w:val="18"/>
              </w:rPr>
            </w:pPr>
            <w:r>
              <w:rPr>
                <w:rFonts w:asciiTheme="minorHAnsi" w:hAnsiTheme="minorHAnsi"/>
                <w:sz w:val="18"/>
                <w:szCs w:val="18"/>
              </w:rPr>
              <w:t xml:space="preserve">Mouse </w:t>
            </w:r>
            <w:r w:rsidR="00AB3272" w:rsidRPr="00AB3272">
              <w:rPr>
                <w:rFonts w:asciiTheme="minorHAnsi" w:hAnsiTheme="minorHAnsi"/>
                <w:sz w:val="18"/>
                <w:szCs w:val="18"/>
              </w:rPr>
              <w:t>(CD</w:t>
            </w:r>
            <w:r w:rsidR="00AB3272" w:rsidRPr="00AB3272">
              <w:rPr>
                <w:rFonts w:asciiTheme="minorHAnsi" w:hAnsiTheme="minorHAnsi"/>
                <w:sz w:val="18"/>
                <w:szCs w:val="18"/>
              </w:rPr>
              <w:noBreakHyphen/>
              <w:t>1)</w:t>
            </w:r>
          </w:p>
        </w:tc>
        <w:tc>
          <w:tcPr>
            <w:tcW w:w="1560"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13 weeks (TAF)</w:t>
            </w:r>
          </w:p>
        </w:tc>
        <w:tc>
          <w:tcPr>
            <w:tcW w:w="1134"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Combined</w:t>
            </w: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10</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213</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NC</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0.72/NC</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tcPr>
          <w:p w:rsidR="00AB3272" w:rsidRPr="00AB3272" w:rsidRDefault="00AB3272" w:rsidP="00AB3272">
            <w:pPr>
              <w:ind w:left="0" w:right="0"/>
              <w:rPr>
                <w:rFonts w:asciiTheme="minorHAnsi" w:hAnsiTheme="minorHAnsi"/>
                <w:sz w:val="18"/>
                <w:szCs w:val="18"/>
              </w:rPr>
            </w:pP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30</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w:t>
            </w:r>
            <w:r w:rsidR="003328D2">
              <w:rPr>
                <w:rFonts w:asciiTheme="minorHAnsi" w:hAnsiTheme="minorHAnsi"/>
                <w:sz w:val="18"/>
                <w:szCs w:val="18"/>
              </w:rPr>
              <w:t>,</w:t>
            </w:r>
            <w:r w:rsidRPr="00AB3272">
              <w:rPr>
                <w:rFonts w:asciiTheme="minorHAnsi" w:hAnsiTheme="minorHAnsi"/>
                <w:sz w:val="18"/>
                <w:szCs w:val="18"/>
              </w:rPr>
              <w:t>507</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NC</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5.14/NC</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tcPr>
          <w:p w:rsidR="00AB3272" w:rsidRPr="00AB3272" w:rsidRDefault="00AB3272" w:rsidP="00AB3272">
            <w:pPr>
              <w:ind w:left="0" w:right="0"/>
              <w:rPr>
                <w:rFonts w:asciiTheme="minorHAnsi" w:hAnsiTheme="minorHAnsi"/>
                <w:sz w:val="18"/>
                <w:szCs w:val="18"/>
              </w:rPr>
            </w:pP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100</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7</w:t>
            </w:r>
            <w:r w:rsidR="003328D2">
              <w:rPr>
                <w:rFonts w:asciiTheme="minorHAnsi" w:hAnsiTheme="minorHAnsi"/>
                <w:sz w:val="18"/>
                <w:szCs w:val="18"/>
              </w:rPr>
              <w:t>,</w:t>
            </w:r>
            <w:r w:rsidRPr="00AB3272">
              <w:rPr>
                <w:rFonts w:asciiTheme="minorHAnsi" w:hAnsiTheme="minorHAnsi"/>
                <w:sz w:val="18"/>
                <w:szCs w:val="18"/>
              </w:rPr>
              <w:t>397</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NC</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25.24/NC</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 years (TDF)</w:t>
            </w:r>
            <w:r w:rsidR="00AC1C8B">
              <w:rPr>
                <w:rFonts w:asciiTheme="minorHAnsi" w:hAnsiTheme="minorHAnsi"/>
                <w:sz w:val="18"/>
                <w:szCs w:val="18"/>
              </w:rPr>
              <w:t xml:space="preserve"> </w:t>
            </w:r>
            <w:r w:rsidR="00A511E3">
              <w:rPr>
                <w:rFonts w:asciiTheme="minorHAnsi" w:hAnsiTheme="minorHAnsi"/>
                <w:sz w:val="18"/>
                <w:szCs w:val="18"/>
              </w:rPr>
              <w:t>(</w:t>
            </w:r>
            <w:r w:rsidRPr="00AB3272">
              <w:rPr>
                <w:rFonts w:asciiTheme="minorHAnsi" w:hAnsiTheme="minorHAnsi"/>
                <w:sz w:val="18"/>
                <w:szCs w:val="18"/>
              </w:rPr>
              <w:t>carcinogenicity</w:t>
            </w:r>
            <w:r w:rsidR="00A511E3">
              <w:rPr>
                <w:rFonts w:asciiTheme="minorHAnsi" w:hAnsiTheme="minorHAnsi"/>
                <w:sz w:val="18"/>
                <w:szCs w:val="18"/>
              </w:rPr>
              <w:t>)</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Males</w:t>
            </w:r>
          </w:p>
        </w:tc>
        <w:tc>
          <w:tcPr>
            <w:tcW w:w="1275"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600</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44,300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NA</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151.19/NA</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Females</w:t>
            </w:r>
          </w:p>
        </w:tc>
        <w:tc>
          <w:tcPr>
            <w:tcW w:w="1275" w:type="dxa"/>
            <w:vMerge/>
          </w:tcPr>
          <w:p w:rsidR="00AB3272" w:rsidRPr="00AB3272" w:rsidRDefault="00AB3272" w:rsidP="00AB3272">
            <w:pPr>
              <w:ind w:left="0" w:right="0"/>
              <w:rPr>
                <w:rFonts w:asciiTheme="minorHAnsi" w:hAnsiTheme="minorHAnsi"/>
                <w:sz w:val="18"/>
                <w:szCs w:val="18"/>
              </w:rPr>
            </w:pP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50,900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NA</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173.72/NA</w:t>
            </w:r>
          </w:p>
        </w:tc>
      </w:tr>
      <w:tr w:rsidR="00AC1C8B" w:rsidRPr="00AB3272" w:rsidTr="00E0350C">
        <w:trPr>
          <w:trHeight w:val="224"/>
        </w:trPr>
        <w:tc>
          <w:tcPr>
            <w:tcW w:w="1242"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Rat</w:t>
            </w:r>
            <w:r w:rsidR="00460465">
              <w:rPr>
                <w:rFonts w:asciiTheme="minorHAnsi" w:hAnsiTheme="minorHAnsi"/>
                <w:sz w:val="18"/>
                <w:szCs w:val="18"/>
              </w:rPr>
              <w:t xml:space="preserve"> </w:t>
            </w:r>
            <w:r w:rsidRPr="00AB3272">
              <w:rPr>
                <w:rFonts w:asciiTheme="minorHAnsi" w:hAnsiTheme="minorHAnsi"/>
                <w:sz w:val="18"/>
                <w:szCs w:val="18"/>
              </w:rPr>
              <w:t>(SD)</w:t>
            </w:r>
          </w:p>
        </w:tc>
        <w:tc>
          <w:tcPr>
            <w:tcW w:w="1560"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6 months (TAF)</w:t>
            </w:r>
          </w:p>
        </w:tc>
        <w:tc>
          <w:tcPr>
            <w:tcW w:w="1134"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Males</w:t>
            </w: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5</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740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NA</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2.52</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tcPr>
          <w:p w:rsidR="00AB3272" w:rsidRPr="00AB3272" w:rsidRDefault="00AB3272" w:rsidP="00AB3272">
            <w:pPr>
              <w:ind w:left="0" w:right="0"/>
              <w:rPr>
                <w:rFonts w:asciiTheme="minorHAnsi" w:hAnsiTheme="minorHAnsi"/>
                <w:sz w:val="18"/>
                <w:szCs w:val="18"/>
              </w:rPr>
            </w:pP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25</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3</w:t>
            </w:r>
            <w:r w:rsidR="003328D2">
              <w:rPr>
                <w:rFonts w:asciiTheme="minorHAnsi" w:hAnsiTheme="minorHAnsi"/>
                <w:sz w:val="18"/>
                <w:szCs w:val="18"/>
              </w:rPr>
              <w:t>,</w:t>
            </w:r>
            <w:r w:rsidRPr="00AB3272">
              <w:rPr>
                <w:rFonts w:asciiTheme="minorHAnsi" w:hAnsiTheme="minorHAnsi"/>
                <w:sz w:val="18"/>
                <w:szCs w:val="18"/>
              </w:rPr>
              <w:t>530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NA</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12.05</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tcPr>
          <w:p w:rsidR="00AB3272" w:rsidRPr="00AB3272" w:rsidRDefault="00AB3272" w:rsidP="00AB3272">
            <w:pPr>
              <w:ind w:left="0" w:right="0"/>
              <w:rPr>
                <w:rFonts w:asciiTheme="minorHAnsi" w:hAnsiTheme="minorHAnsi"/>
                <w:sz w:val="18"/>
                <w:szCs w:val="18"/>
              </w:rPr>
            </w:pP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100</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15,930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NA</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54.37</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Females</w:t>
            </w: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5</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600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NA</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2.05</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tcPr>
          <w:p w:rsidR="00AB3272" w:rsidRPr="00AB3272" w:rsidRDefault="00AB3272" w:rsidP="00AB3272">
            <w:pPr>
              <w:ind w:left="0" w:right="0"/>
              <w:rPr>
                <w:rFonts w:asciiTheme="minorHAnsi" w:hAnsiTheme="minorHAnsi"/>
                <w:sz w:val="18"/>
                <w:szCs w:val="18"/>
              </w:rPr>
            </w:pP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25</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4</w:t>
            </w:r>
            <w:r w:rsidR="003328D2">
              <w:rPr>
                <w:rFonts w:asciiTheme="minorHAnsi" w:hAnsiTheme="minorHAnsi"/>
                <w:sz w:val="18"/>
                <w:szCs w:val="18"/>
              </w:rPr>
              <w:t>,</w:t>
            </w:r>
            <w:r w:rsidRPr="00AB3272">
              <w:rPr>
                <w:rFonts w:asciiTheme="minorHAnsi" w:hAnsiTheme="minorHAnsi"/>
                <w:sz w:val="18"/>
                <w:szCs w:val="18"/>
              </w:rPr>
              <w:t>000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NA</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13.65</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tcPr>
          <w:p w:rsidR="00AB3272" w:rsidRPr="00AB3272" w:rsidRDefault="00AB3272" w:rsidP="00AB3272">
            <w:pPr>
              <w:ind w:left="0" w:right="0"/>
              <w:rPr>
                <w:rFonts w:asciiTheme="minorHAnsi" w:hAnsiTheme="minorHAnsi"/>
                <w:sz w:val="18"/>
                <w:szCs w:val="18"/>
              </w:rPr>
            </w:pP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100</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15,140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NA</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51.67</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 years (TDF)</w:t>
            </w:r>
            <w:r w:rsidR="00AC1C8B">
              <w:rPr>
                <w:rFonts w:asciiTheme="minorHAnsi" w:hAnsiTheme="minorHAnsi"/>
                <w:sz w:val="18"/>
                <w:szCs w:val="18"/>
              </w:rPr>
              <w:t xml:space="preserve"> </w:t>
            </w:r>
            <w:r w:rsidR="00A511E3">
              <w:rPr>
                <w:rFonts w:asciiTheme="minorHAnsi" w:hAnsiTheme="minorHAnsi"/>
                <w:sz w:val="18"/>
                <w:szCs w:val="18"/>
              </w:rPr>
              <w:t>(</w:t>
            </w:r>
            <w:r w:rsidRPr="00AB3272">
              <w:rPr>
                <w:rFonts w:asciiTheme="minorHAnsi" w:hAnsiTheme="minorHAnsi"/>
                <w:sz w:val="18"/>
                <w:szCs w:val="18"/>
              </w:rPr>
              <w:t>carcinogenicity</w:t>
            </w:r>
            <w:r w:rsidR="00A511E3">
              <w:rPr>
                <w:rFonts w:asciiTheme="minorHAnsi" w:hAnsiTheme="minorHAnsi"/>
                <w:sz w:val="18"/>
                <w:szCs w:val="18"/>
              </w:rPr>
              <w:t>)</w:t>
            </w:r>
          </w:p>
        </w:tc>
        <w:tc>
          <w:tcPr>
            <w:tcW w:w="1134"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Males</w:t>
            </w: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10/300</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16,690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NA</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56.96/NA</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tcPr>
          <w:p w:rsidR="00AB3272" w:rsidRPr="00AB3272" w:rsidRDefault="00AB3272" w:rsidP="00AB3272">
            <w:pPr>
              <w:ind w:left="0" w:right="0"/>
              <w:rPr>
                <w:rFonts w:asciiTheme="minorHAnsi" w:hAnsiTheme="minorHAnsi"/>
                <w:sz w:val="18"/>
                <w:szCs w:val="18"/>
              </w:rPr>
            </w:pP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30</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w:t>
            </w:r>
            <w:r w:rsidR="003328D2">
              <w:rPr>
                <w:rFonts w:asciiTheme="minorHAnsi" w:hAnsiTheme="minorHAnsi"/>
                <w:sz w:val="18"/>
                <w:szCs w:val="18"/>
              </w:rPr>
              <w:t>,</w:t>
            </w:r>
            <w:r w:rsidRPr="00AB3272">
              <w:rPr>
                <w:rFonts w:asciiTheme="minorHAnsi" w:hAnsiTheme="minorHAnsi"/>
                <w:sz w:val="18"/>
                <w:szCs w:val="18"/>
              </w:rPr>
              <w:t>700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NA</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9.22/NA</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tcPr>
          <w:p w:rsidR="00AB3272" w:rsidRPr="00AB3272" w:rsidRDefault="00AB3272" w:rsidP="00AB3272">
            <w:pPr>
              <w:ind w:left="0" w:right="0"/>
              <w:rPr>
                <w:rFonts w:asciiTheme="minorHAnsi" w:hAnsiTheme="minorHAnsi"/>
                <w:sz w:val="18"/>
                <w:szCs w:val="18"/>
              </w:rPr>
            </w:pP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100</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6</w:t>
            </w:r>
            <w:r w:rsidR="003328D2">
              <w:rPr>
                <w:rFonts w:asciiTheme="minorHAnsi" w:hAnsiTheme="minorHAnsi"/>
                <w:sz w:val="18"/>
                <w:szCs w:val="18"/>
              </w:rPr>
              <w:t>,</w:t>
            </w:r>
            <w:r w:rsidRPr="00AB3272">
              <w:rPr>
                <w:rFonts w:asciiTheme="minorHAnsi" w:hAnsiTheme="minorHAnsi"/>
                <w:sz w:val="18"/>
                <w:szCs w:val="18"/>
              </w:rPr>
              <w:t>600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NA</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22.53/NA</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Females</w:t>
            </w: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10/300</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15,720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NA</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53.65/NA</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tcPr>
          <w:p w:rsidR="00AB3272" w:rsidRPr="00AB3272" w:rsidRDefault="00AB3272" w:rsidP="00AB3272">
            <w:pPr>
              <w:ind w:left="0" w:right="0"/>
              <w:rPr>
                <w:rFonts w:asciiTheme="minorHAnsi" w:hAnsiTheme="minorHAnsi"/>
                <w:sz w:val="18"/>
                <w:szCs w:val="18"/>
              </w:rPr>
            </w:pP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30</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3</w:t>
            </w:r>
            <w:r w:rsidR="003328D2">
              <w:rPr>
                <w:rFonts w:asciiTheme="minorHAnsi" w:hAnsiTheme="minorHAnsi"/>
                <w:sz w:val="18"/>
                <w:szCs w:val="18"/>
              </w:rPr>
              <w:t>,</w:t>
            </w:r>
            <w:r w:rsidRPr="00AB3272">
              <w:rPr>
                <w:rFonts w:asciiTheme="minorHAnsi" w:hAnsiTheme="minorHAnsi"/>
                <w:sz w:val="18"/>
                <w:szCs w:val="18"/>
              </w:rPr>
              <w:t>060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NA</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10.44/NA</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tcPr>
          <w:p w:rsidR="00AB3272" w:rsidRPr="00AB3272" w:rsidRDefault="00AB3272" w:rsidP="00AB3272">
            <w:pPr>
              <w:ind w:left="0" w:right="0"/>
              <w:rPr>
                <w:rFonts w:asciiTheme="minorHAnsi" w:hAnsiTheme="minorHAnsi"/>
                <w:sz w:val="18"/>
                <w:szCs w:val="18"/>
              </w:rPr>
            </w:pP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100</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7</w:t>
            </w:r>
            <w:r w:rsidR="003328D2">
              <w:rPr>
                <w:rFonts w:asciiTheme="minorHAnsi" w:hAnsiTheme="minorHAnsi"/>
                <w:sz w:val="18"/>
                <w:szCs w:val="18"/>
              </w:rPr>
              <w:t>,</w:t>
            </w:r>
            <w:r w:rsidRPr="00AB3272">
              <w:rPr>
                <w:rFonts w:asciiTheme="minorHAnsi" w:hAnsiTheme="minorHAnsi"/>
                <w:sz w:val="18"/>
                <w:szCs w:val="18"/>
              </w:rPr>
              <w:t>460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NA</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25.46/NA</w:t>
            </w:r>
          </w:p>
        </w:tc>
      </w:tr>
      <w:tr w:rsidR="00AC1C8B" w:rsidRPr="00AB3272" w:rsidTr="00E0350C">
        <w:trPr>
          <w:trHeight w:val="224"/>
        </w:trPr>
        <w:tc>
          <w:tcPr>
            <w:tcW w:w="1242"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Dog</w:t>
            </w:r>
            <w:r w:rsidR="00460465">
              <w:rPr>
                <w:rFonts w:asciiTheme="minorHAnsi" w:hAnsiTheme="minorHAnsi"/>
                <w:sz w:val="18"/>
                <w:szCs w:val="18"/>
              </w:rPr>
              <w:t xml:space="preserve"> </w:t>
            </w:r>
            <w:r w:rsidRPr="00AB3272">
              <w:rPr>
                <w:rFonts w:asciiTheme="minorHAnsi" w:hAnsiTheme="minorHAnsi"/>
                <w:sz w:val="18"/>
                <w:szCs w:val="18"/>
              </w:rPr>
              <w:t>(Beagle)</w:t>
            </w:r>
          </w:p>
        </w:tc>
        <w:tc>
          <w:tcPr>
            <w:tcW w:w="1560"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9 months (TAF)</w:t>
            </w:r>
          </w:p>
        </w:tc>
        <w:tc>
          <w:tcPr>
            <w:tcW w:w="1134"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Males</w:t>
            </w: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w:t>
            </w:r>
            <w:r w:rsidR="003328D2">
              <w:rPr>
                <w:rFonts w:asciiTheme="minorHAnsi" w:hAnsiTheme="minorHAnsi"/>
                <w:sz w:val="18"/>
                <w:szCs w:val="18"/>
              </w:rPr>
              <w:t>,</w:t>
            </w:r>
            <w:r w:rsidRPr="00AB3272">
              <w:rPr>
                <w:rFonts w:asciiTheme="minorHAnsi" w:hAnsiTheme="minorHAnsi"/>
                <w:sz w:val="18"/>
                <w:szCs w:val="18"/>
              </w:rPr>
              <w:t>300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90</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4.44/0.44</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tcPr>
          <w:p w:rsidR="00AB3272" w:rsidRPr="00AB3272" w:rsidRDefault="00AB3272" w:rsidP="00AB3272">
            <w:pPr>
              <w:ind w:left="0" w:right="0"/>
              <w:rPr>
                <w:rFonts w:asciiTheme="minorHAnsi" w:hAnsiTheme="minorHAnsi"/>
                <w:sz w:val="18"/>
                <w:szCs w:val="18"/>
              </w:rPr>
            </w:pP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6</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3</w:t>
            </w:r>
            <w:r w:rsidR="003328D2">
              <w:rPr>
                <w:rFonts w:asciiTheme="minorHAnsi" w:hAnsiTheme="minorHAnsi"/>
                <w:sz w:val="18"/>
                <w:szCs w:val="18"/>
              </w:rPr>
              <w:t>,</w:t>
            </w:r>
            <w:r w:rsidRPr="00AB3272">
              <w:rPr>
                <w:rFonts w:asciiTheme="minorHAnsi" w:hAnsiTheme="minorHAnsi"/>
                <w:sz w:val="18"/>
                <w:szCs w:val="18"/>
              </w:rPr>
              <w:t>890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1290</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6.25/6.26</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tcPr>
          <w:p w:rsidR="00AB3272" w:rsidRPr="00AB3272" w:rsidRDefault="00AB3272" w:rsidP="00AB3272">
            <w:pPr>
              <w:ind w:left="0" w:right="0"/>
              <w:rPr>
                <w:rFonts w:asciiTheme="minorHAnsi" w:hAnsiTheme="minorHAnsi"/>
                <w:sz w:val="18"/>
                <w:szCs w:val="18"/>
              </w:rPr>
            </w:pP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18/12</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14,900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2160</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13.28/10.48</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Females</w:t>
            </w: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w:t>
            </w:r>
            <w:r w:rsidR="003328D2">
              <w:rPr>
                <w:rFonts w:asciiTheme="minorHAnsi" w:hAnsiTheme="minorHAnsi"/>
                <w:sz w:val="18"/>
                <w:szCs w:val="18"/>
              </w:rPr>
              <w:t>,</w:t>
            </w:r>
            <w:r w:rsidRPr="00AB3272">
              <w:rPr>
                <w:rFonts w:asciiTheme="minorHAnsi" w:hAnsiTheme="minorHAnsi"/>
                <w:sz w:val="18"/>
                <w:szCs w:val="18"/>
              </w:rPr>
              <w:t>070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60</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3.65/0.29</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tcPr>
          <w:p w:rsidR="00AB3272" w:rsidRPr="00AB3272" w:rsidRDefault="00AB3272" w:rsidP="00AB3272">
            <w:pPr>
              <w:ind w:left="0" w:right="0"/>
              <w:rPr>
                <w:rFonts w:asciiTheme="minorHAnsi" w:hAnsiTheme="minorHAnsi"/>
                <w:sz w:val="18"/>
                <w:szCs w:val="18"/>
              </w:rPr>
            </w:pP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6</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5010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780</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17.10/3.79</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tcPr>
          <w:p w:rsidR="00AB3272" w:rsidRPr="00AB3272" w:rsidRDefault="00AB3272" w:rsidP="00AB3272">
            <w:pPr>
              <w:ind w:left="0" w:right="0"/>
              <w:rPr>
                <w:rFonts w:asciiTheme="minorHAnsi" w:hAnsiTheme="minorHAnsi"/>
                <w:sz w:val="18"/>
                <w:szCs w:val="18"/>
              </w:rPr>
            </w:pP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18/12</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12,570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1750</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42.90/8.50</w:t>
            </w:r>
          </w:p>
        </w:tc>
      </w:tr>
      <w:tr w:rsidR="00AC1C8B" w:rsidRPr="00AB3272" w:rsidTr="00E0350C">
        <w:trPr>
          <w:trHeight w:val="224"/>
        </w:trPr>
        <w:tc>
          <w:tcPr>
            <w:tcW w:w="1242"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Monkey</w:t>
            </w:r>
            <w:r w:rsidR="00460465">
              <w:rPr>
                <w:rFonts w:asciiTheme="minorHAnsi" w:hAnsiTheme="minorHAnsi"/>
                <w:sz w:val="18"/>
                <w:szCs w:val="18"/>
              </w:rPr>
              <w:t xml:space="preserve"> </w:t>
            </w:r>
            <w:r w:rsidRPr="00AB3272">
              <w:rPr>
                <w:rFonts w:asciiTheme="minorHAnsi" w:hAnsiTheme="minorHAnsi"/>
                <w:sz w:val="18"/>
                <w:szCs w:val="18"/>
              </w:rPr>
              <w:t>(Rhesus)</w:t>
            </w:r>
          </w:p>
        </w:tc>
        <w:tc>
          <w:tcPr>
            <w:tcW w:w="1560"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4 weeks (TAF)</w:t>
            </w:r>
          </w:p>
        </w:tc>
        <w:tc>
          <w:tcPr>
            <w:tcW w:w="1134" w:type="dxa"/>
            <w:vMerge w:val="restart"/>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Combined</w:t>
            </w: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3</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350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NC</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1.19/NA</w:t>
            </w:r>
          </w:p>
        </w:tc>
      </w:tr>
      <w:tr w:rsidR="00AC1C8B" w:rsidRPr="00AB3272" w:rsidTr="00E0350C">
        <w:trPr>
          <w:trHeight w:val="224"/>
        </w:trPr>
        <w:tc>
          <w:tcPr>
            <w:tcW w:w="1242" w:type="dxa"/>
            <w:vMerge/>
          </w:tcPr>
          <w:p w:rsidR="00AB3272" w:rsidRPr="00AB3272" w:rsidRDefault="00AB3272" w:rsidP="00AB3272">
            <w:pPr>
              <w:ind w:left="0" w:right="0"/>
              <w:rPr>
                <w:rFonts w:asciiTheme="minorHAnsi" w:hAnsiTheme="minorHAnsi"/>
                <w:sz w:val="18"/>
                <w:szCs w:val="18"/>
              </w:rPr>
            </w:pPr>
          </w:p>
        </w:tc>
        <w:tc>
          <w:tcPr>
            <w:tcW w:w="1560" w:type="dxa"/>
            <w:vMerge/>
          </w:tcPr>
          <w:p w:rsidR="00AB3272" w:rsidRPr="00AB3272" w:rsidRDefault="00AB3272" w:rsidP="00AB3272">
            <w:pPr>
              <w:ind w:left="0" w:right="0"/>
              <w:rPr>
                <w:rFonts w:asciiTheme="minorHAnsi" w:hAnsiTheme="minorHAnsi"/>
                <w:sz w:val="18"/>
                <w:szCs w:val="18"/>
              </w:rPr>
            </w:pPr>
          </w:p>
        </w:tc>
        <w:tc>
          <w:tcPr>
            <w:tcW w:w="1134" w:type="dxa"/>
            <w:vMerge/>
          </w:tcPr>
          <w:p w:rsidR="00AB3272" w:rsidRPr="00AB3272" w:rsidRDefault="00AB3272" w:rsidP="00AB3272">
            <w:pPr>
              <w:ind w:left="0" w:right="0"/>
              <w:rPr>
                <w:rFonts w:asciiTheme="minorHAnsi" w:hAnsiTheme="minorHAnsi"/>
                <w:sz w:val="18"/>
                <w:szCs w:val="18"/>
              </w:rPr>
            </w:pPr>
          </w:p>
        </w:tc>
        <w:tc>
          <w:tcPr>
            <w:tcW w:w="1275"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30</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5</w:t>
            </w:r>
            <w:r w:rsidR="003328D2">
              <w:rPr>
                <w:rFonts w:asciiTheme="minorHAnsi" w:hAnsiTheme="minorHAnsi"/>
                <w:sz w:val="18"/>
                <w:szCs w:val="18"/>
              </w:rPr>
              <w:t>,</w:t>
            </w:r>
            <w:r w:rsidRPr="00AB3272">
              <w:rPr>
                <w:rFonts w:asciiTheme="minorHAnsi" w:hAnsiTheme="minorHAnsi"/>
                <w:sz w:val="18"/>
                <w:szCs w:val="18"/>
              </w:rPr>
              <w:t>870</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1030</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20.03/5.0</w:t>
            </w:r>
          </w:p>
        </w:tc>
      </w:tr>
      <w:tr w:rsidR="00AC1C8B" w:rsidRPr="00AB3272" w:rsidTr="00E0350C">
        <w:trPr>
          <w:trHeight w:val="232"/>
        </w:trPr>
        <w:tc>
          <w:tcPr>
            <w:tcW w:w="1242"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Human</w:t>
            </w:r>
            <w:r w:rsidR="00AC1C8B">
              <w:rPr>
                <w:rFonts w:asciiTheme="minorHAnsi" w:hAnsiTheme="minorHAnsi"/>
                <w:sz w:val="18"/>
                <w:szCs w:val="18"/>
              </w:rPr>
              <w:t xml:space="preserve"> </w:t>
            </w:r>
            <w:r w:rsidRPr="00AB3272">
              <w:rPr>
                <w:rFonts w:asciiTheme="minorHAnsi" w:hAnsiTheme="minorHAnsi"/>
                <w:sz w:val="18"/>
                <w:szCs w:val="18"/>
              </w:rPr>
              <w:t>(healthy volunteers)</w:t>
            </w:r>
          </w:p>
        </w:tc>
        <w:tc>
          <w:tcPr>
            <w:tcW w:w="1560"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steady state (TAF)</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w:t>
            </w:r>
          </w:p>
        </w:tc>
        <w:tc>
          <w:tcPr>
            <w:tcW w:w="1275" w:type="dxa"/>
          </w:tcPr>
          <w:p w:rsidR="00AB3272" w:rsidRPr="00AB3272" w:rsidRDefault="00A511E3" w:rsidP="00AB3272">
            <w:pPr>
              <w:ind w:left="0" w:right="0"/>
              <w:rPr>
                <w:rFonts w:asciiTheme="minorHAnsi" w:hAnsiTheme="minorHAnsi"/>
                <w:sz w:val="18"/>
                <w:szCs w:val="18"/>
              </w:rPr>
            </w:pPr>
            <w:r>
              <w:rPr>
                <w:rFonts w:asciiTheme="minorHAnsi" w:hAnsiTheme="minorHAnsi"/>
                <w:sz w:val="18"/>
                <w:szCs w:val="18"/>
              </w:rPr>
              <w:t>(</w:t>
            </w:r>
            <w:r w:rsidR="00F02AA3">
              <w:rPr>
                <w:rFonts w:asciiTheme="minorHAnsi" w:hAnsiTheme="minorHAnsi"/>
                <w:sz w:val="18"/>
                <w:szCs w:val="18"/>
              </w:rPr>
              <w:t>10 mg</w:t>
            </w:r>
            <w:r>
              <w:rPr>
                <w:rFonts w:asciiTheme="minorHAnsi" w:hAnsiTheme="minorHAnsi"/>
                <w:sz w:val="18"/>
                <w:szCs w:val="18"/>
              </w:rPr>
              <w:t>)</w:t>
            </w:r>
          </w:p>
        </w:tc>
        <w:tc>
          <w:tcPr>
            <w:tcW w:w="1276"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293*</w:t>
            </w:r>
          </w:p>
        </w:tc>
        <w:tc>
          <w:tcPr>
            <w:tcW w:w="1134"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206*</w:t>
            </w:r>
          </w:p>
        </w:tc>
        <w:tc>
          <w:tcPr>
            <w:tcW w:w="1243" w:type="dxa"/>
          </w:tcPr>
          <w:p w:rsidR="00AB3272" w:rsidRPr="00AB3272" w:rsidRDefault="00AB3272" w:rsidP="00AB3272">
            <w:pPr>
              <w:ind w:left="0" w:right="0"/>
              <w:rPr>
                <w:rFonts w:asciiTheme="minorHAnsi" w:hAnsiTheme="minorHAnsi"/>
                <w:sz w:val="18"/>
                <w:szCs w:val="18"/>
              </w:rPr>
            </w:pPr>
            <w:r w:rsidRPr="00AB3272">
              <w:rPr>
                <w:rFonts w:asciiTheme="minorHAnsi" w:hAnsiTheme="minorHAnsi"/>
                <w:sz w:val="18"/>
                <w:szCs w:val="18"/>
              </w:rPr>
              <w:t>–</w:t>
            </w:r>
          </w:p>
        </w:tc>
      </w:tr>
    </w:tbl>
    <w:p w:rsidR="00AC1C8B" w:rsidRPr="00AC1C8B" w:rsidRDefault="00460465" w:rsidP="00E0350C">
      <w:pPr>
        <w:pStyle w:val="TableDescription"/>
      </w:pPr>
      <w:r>
        <w:t xml:space="preserve">* Mean steady </w:t>
      </w:r>
      <w:r w:rsidR="00AC1C8B" w:rsidRPr="00AC1C8B">
        <w:t>state AUC</w:t>
      </w:r>
      <w:r w:rsidR="00AC1C8B" w:rsidRPr="00460465">
        <w:rPr>
          <w:vertAlign w:val="subscript"/>
        </w:rPr>
        <w:t>SS</w:t>
      </w:r>
      <w:r w:rsidR="00AC1C8B" w:rsidRPr="00AC1C8B">
        <w:t xml:space="preserve"> in pivotal studies for TFV (GS-US-292-0104 and GS-US-292-0111); **</w:t>
      </w:r>
      <w:r w:rsidR="00AC1C8B">
        <w:t> = </w:t>
      </w:r>
      <w:r w:rsidR="00AC1C8B" w:rsidRPr="00AC1C8B">
        <w:t>animal:</w:t>
      </w:r>
      <w:r w:rsidR="0036557E">
        <w:t xml:space="preserve"> </w:t>
      </w:r>
      <w:r w:rsidR="00AC1C8B" w:rsidRPr="00AC1C8B">
        <w:t>human plasma AUC</w:t>
      </w:r>
      <w:r w:rsidR="00AC1C8B" w:rsidRPr="00460465">
        <w:rPr>
          <w:vertAlign w:val="subscript"/>
        </w:rPr>
        <w:t>ss</w:t>
      </w:r>
      <w:r w:rsidR="00AC1C8B" w:rsidRPr="00AC1C8B">
        <w:t xml:space="preserve"> </w:t>
      </w:r>
      <w:r w:rsidR="00AC1C8B" w:rsidRPr="00460465">
        <w:rPr>
          <w:vertAlign w:val="subscript"/>
        </w:rPr>
        <w:t>0–24h</w:t>
      </w:r>
      <w:r w:rsidR="00AC1C8B">
        <w:t xml:space="preserve"> </w:t>
      </w:r>
      <w:r w:rsidR="00AC1C8B" w:rsidRPr="00AC1C8B">
        <w:t xml:space="preserve">NC = not </w:t>
      </w:r>
      <w:r w:rsidR="00AC1C8B">
        <w:t>calculated, NA = not applicable</w:t>
      </w:r>
    </w:p>
    <w:p w:rsidR="00AC1C8B" w:rsidRPr="00AC1C8B" w:rsidRDefault="00AC1C8B" w:rsidP="00E0350C">
      <w:pPr>
        <w:pStyle w:val="Heading5"/>
      </w:pPr>
      <w:r w:rsidRPr="00AC1C8B">
        <w:lastRenderedPageBreak/>
        <w:t>Major toxicities</w:t>
      </w:r>
    </w:p>
    <w:p w:rsidR="00AC1C8B" w:rsidRPr="00AC1C8B" w:rsidRDefault="00460465" w:rsidP="00AC1C8B">
      <w:r>
        <w:t xml:space="preserve">Repeat </w:t>
      </w:r>
      <w:r w:rsidR="00AC1C8B" w:rsidRPr="00AC1C8B">
        <w:t>dose toxicity studies identified the kidney (karyomegaly, tubular</w:t>
      </w:r>
      <w:r>
        <w:t xml:space="preserve"> degeneration in rats and dogs)</w:t>
      </w:r>
      <w:r w:rsidR="00AC1C8B" w:rsidRPr="00AC1C8B">
        <w:t xml:space="preserve"> and bone (atrophy of cancellous bone in rats, increased markers of bone turnover in rats and dogs) as the main ta</w:t>
      </w:r>
      <w:r>
        <w:t>rgets in the long-term studies.</w:t>
      </w:r>
    </w:p>
    <w:p w:rsidR="00AC1C8B" w:rsidRPr="00AC1C8B" w:rsidRDefault="00AC1C8B" w:rsidP="00AC1C8B">
      <w:pPr>
        <w:pStyle w:val="Heading6"/>
        <w:rPr>
          <w:rFonts w:eastAsiaTheme="minorHAnsi"/>
        </w:rPr>
      </w:pPr>
      <w:r w:rsidRPr="00AC1C8B">
        <w:rPr>
          <w:rFonts w:eastAsiaTheme="minorHAnsi"/>
        </w:rPr>
        <w:t>Kidney toxicity</w:t>
      </w:r>
    </w:p>
    <w:p w:rsidR="00AC1C8B" w:rsidRPr="00AC1C8B" w:rsidRDefault="00AC1C8B" w:rsidP="00AC1C8B">
      <w:r w:rsidRPr="00AC1C8B">
        <w:t>The 7</w:t>
      </w:r>
      <w:r w:rsidR="00A6355F">
        <w:t xml:space="preserve"> day</w:t>
      </w:r>
      <w:r w:rsidRPr="00AC1C8B">
        <w:t xml:space="preserve"> toxicity study in rats showed tubular epithelial cell enlargement and vacuolation enlargement in only one female at the HD of 400 mg/kg/day, might have been indicative of an early toxic effect on tubular cells. In the 4</w:t>
      </w:r>
      <w:r w:rsidR="00A6355F">
        <w:t xml:space="preserve"> week </w:t>
      </w:r>
      <w:r w:rsidRPr="00AC1C8B">
        <w:t>study, foci and occasional contiguous areas of cortical tubular basophilia, generally associated with minimal to slight focal nuclear karyomegaly, were observed in both sex</w:t>
      </w:r>
      <w:r w:rsidR="00330D0C">
        <w:t>es at 400 mg/kg/day, and at 100 </w:t>
      </w:r>
      <w:r w:rsidRPr="00AC1C8B">
        <w:t>mg/kg/day in males. The respective NOAELs wer</w:t>
      </w:r>
      <w:r w:rsidR="00330D0C">
        <w:t>e 25 mg/kg/day in males and 100 </w:t>
      </w:r>
      <w:r w:rsidRPr="00AC1C8B">
        <w:t>mg/kg/day in females. In the 26</w:t>
      </w:r>
      <w:r w:rsidR="00A6355F">
        <w:t xml:space="preserve"> week </w:t>
      </w:r>
      <w:r w:rsidRPr="00AC1C8B">
        <w:t>study, renal cortical tubular karyomegaly of minimal severity was observed only at the HD of 100 mg/kg/day, with</w:t>
      </w:r>
      <w:r w:rsidR="00CA65A1">
        <w:t xml:space="preserve"> </w:t>
      </w:r>
      <w:r w:rsidRPr="00AC1C8B">
        <w:t>an incidence of 73% in males and 13% in females. At the NOAEL of 25 mg/kg/day the TFV systemic exposure (AUC) ratio was 13.</w:t>
      </w:r>
    </w:p>
    <w:p w:rsidR="00AC1C8B" w:rsidRPr="00AC1C8B" w:rsidRDefault="00AC1C8B" w:rsidP="00AC1C8B">
      <w:r w:rsidRPr="00AC1C8B">
        <w:t>In the 4</w:t>
      </w:r>
      <w:r w:rsidR="00A6355F">
        <w:t xml:space="preserve"> week </w:t>
      </w:r>
      <w:r w:rsidRPr="00AC1C8B">
        <w:t>toxicity study in dogs, tubular karyomegaly was observed in all HD (10 mg/kg/day) dogs, and in 1 male and 1 female at 3 mg/kg/day.</w:t>
      </w:r>
      <w:r w:rsidR="00CA65A1">
        <w:t xml:space="preserve"> </w:t>
      </w:r>
      <w:r w:rsidRPr="00AC1C8B">
        <w:t>In the 9</w:t>
      </w:r>
      <w:r w:rsidR="00A6355F">
        <w:t xml:space="preserve"> month</w:t>
      </w:r>
      <w:r w:rsidRPr="00AC1C8B">
        <w:t xml:space="preserve"> study, renal cortical tubular degeneration/regeneration and karyomegaly were observed after 3 months at 6 and 18/12 mg/kg/day. The changes were minimal to slight at 6 mg/kg/day, and mild to moderate at 18/12 mg/kg/day. Similar (minimal) lesions were also observed after 9 months in 2 </w:t>
      </w:r>
      <w:r w:rsidR="00330D0C">
        <w:t>low dose (</w:t>
      </w:r>
      <w:r w:rsidRPr="00AC1C8B">
        <w:t>LD</w:t>
      </w:r>
      <w:r w:rsidR="00330D0C">
        <w:t>)</w:t>
      </w:r>
      <w:r w:rsidRPr="00AC1C8B">
        <w:t xml:space="preserve"> (2 mg/kg/day) males. The kidney lesions were still evident after 3 months recovery, but were of reduced incidence and severity. At the NOAEL of 2 mg/kg/day</w:t>
      </w:r>
      <w:r w:rsidR="00330D0C">
        <w:t>, the TFV exposure ratio was 4.</w:t>
      </w:r>
    </w:p>
    <w:p w:rsidR="00AC1C8B" w:rsidRPr="00AC1C8B" w:rsidRDefault="00AC1C8B" w:rsidP="00AC1C8B">
      <w:pPr>
        <w:pStyle w:val="Heading6"/>
      </w:pPr>
      <w:r w:rsidRPr="00AC1C8B">
        <w:t>Bone toxicity</w:t>
      </w:r>
    </w:p>
    <w:p w:rsidR="00AC1C8B" w:rsidRPr="00AC1C8B" w:rsidRDefault="00AC1C8B" w:rsidP="00AC1C8B">
      <w:r w:rsidRPr="00AC1C8B">
        <w:t>In the 7</w:t>
      </w:r>
      <w:r w:rsidR="00A6355F">
        <w:t xml:space="preserve"> day</w:t>
      </w:r>
      <w:r w:rsidRPr="00AC1C8B">
        <w:t xml:space="preserve"> toxicity study in rats, mean plasma parathyroid hormone (PTH) was increased and mean plasma 1,25-dihydroxyvitamin D3, a marker of bone turnover) was decreased at all doses (-74% at HD), however 25-dihydroxyvitamin D3, mean plasma total calcium and ionised calcium were unaffected.</w:t>
      </w:r>
      <w:r w:rsidR="00CA65A1">
        <w:t xml:space="preserve"> </w:t>
      </w:r>
      <w:r w:rsidRPr="00AC1C8B">
        <w:t>Bone mineral density scans were performed by peripheral quantitative computed tomography in the 4</w:t>
      </w:r>
      <w:r w:rsidR="00A6355F">
        <w:t xml:space="preserve"> week </w:t>
      </w:r>
      <w:r w:rsidRPr="00AC1C8B">
        <w:t>and 26</w:t>
      </w:r>
      <w:r w:rsidR="00A6355F">
        <w:t xml:space="preserve"> week </w:t>
      </w:r>
      <w:r w:rsidRPr="00AC1C8B">
        <w:t>toxicity studies. In the 4</w:t>
      </w:r>
      <w:r w:rsidR="00A6355F">
        <w:t xml:space="preserve"> week </w:t>
      </w:r>
      <w:r w:rsidRPr="00AC1C8B">
        <w:t xml:space="preserve">study, decreased bone areas and circumferences were consistent with effects on bodyweight, however bone mineral density was decreased, and urinary calcium increased, at the HD of 400 mg/kg/day. There were no significant effects on </w:t>
      </w:r>
      <w:r w:rsidR="00330D0C">
        <w:t>markers of bone turnover</w:t>
      </w:r>
      <w:r w:rsidR="00A6355F">
        <w:t xml:space="preserve">. Dose </w:t>
      </w:r>
      <w:r w:rsidRPr="00AC1C8B">
        <w:t>related decreases in 1,25 dihydroxy</w:t>
      </w:r>
      <w:r w:rsidR="00330D0C">
        <w:t xml:space="preserve"> </w:t>
      </w:r>
      <w:r w:rsidRPr="00AC1C8B">
        <w:t xml:space="preserve">vitamin D3 were observed at </w:t>
      </w:r>
      <w:r w:rsidR="00A6355F">
        <w:t>≥ </w:t>
      </w:r>
      <w:r w:rsidRPr="00AC1C8B">
        <w:t>6.25 mg/kg/day. It was suggested that in growing rats the effect on bone mass may be due to a failure to accrue bone and/or fully mineral</w:t>
      </w:r>
      <w:r w:rsidR="00527A3B">
        <w:t>ise</w:t>
      </w:r>
      <w:r w:rsidRPr="00AC1C8B">
        <w:t xml:space="preserve"> bone, rather than removal of existing bone. In the 26</w:t>
      </w:r>
      <w:r w:rsidR="00A6355F">
        <w:t xml:space="preserve"> week </w:t>
      </w:r>
      <w:r w:rsidRPr="00AC1C8B">
        <w:t>toxicity study, tibial cancellous bone atrophy, and decreases in bone mineral density and content at the tibial metaphysis and distal femur metaphysis were observed at 100 mg/kg/day. Increases in markers of bone turnover (deoxypyridine-DPD, C telopeptide-CTx) and related hormones (1,25 dihydroxy</w:t>
      </w:r>
      <w:r w:rsidR="00330D0C">
        <w:t xml:space="preserve"> </w:t>
      </w:r>
      <w:r w:rsidRPr="00AC1C8B">
        <w:t>vitamin D3 and</w:t>
      </w:r>
      <w:r w:rsidR="00330D0C">
        <w:t xml:space="preserve"> 25 hydroxc</w:t>
      </w:r>
      <w:r w:rsidRPr="00AC1C8B">
        <w:t>y</w:t>
      </w:r>
      <w:r w:rsidR="00330D0C">
        <w:t xml:space="preserve"> </w:t>
      </w:r>
      <w:r w:rsidRPr="00AC1C8B">
        <w:t>vitamin D3) were observed at 25 and 100 mg/kg/day (TFV exposure rati</w:t>
      </w:r>
      <w:r w:rsidR="00A6355F">
        <w:t>o 13 at NOAEL of 25 mg/kg/day).</w:t>
      </w:r>
    </w:p>
    <w:p w:rsidR="00AC1C8B" w:rsidRPr="00AC1C8B" w:rsidRDefault="00AC1C8B" w:rsidP="00AC1C8B">
      <w:r w:rsidRPr="00AC1C8B">
        <w:t>In the 4</w:t>
      </w:r>
      <w:r w:rsidR="00A6355F">
        <w:t xml:space="preserve"> week </w:t>
      </w:r>
      <w:r w:rsidRPr="00AC1C8B">
        <w:t>toxicity study in dogs, bone mineral density and markers of bone turnover were generally unaffected at doses up to 10 mg/kg/day. In the 9</w:t>
      </w:r>
      <w:r w:rsidR="00A6355F">
        <w:t xml:space="preserve"> month</w:t>
      </w:r>
      <w:r w:rsidRPr="00AC1C8B">
        <w:t xml:space="preserve"> study, decreases in bone density (whole body, femur and lumbar spine) at the HD of 18/12 mg/kg/day were considered secondary to effects on bodyweights. A significant increase in the bone resorption marker </w:t>
      </w:r>
      <w:r w:rsidR="00DC05DD" w:rsidRPr="00DC05DD">
        <w:t>collagen type 1 cross-linked N-telopeptide (</w:t>
      </w:r>
      <w:r w:rsidRPr="00DC05DD">
        <w:t>NTx</w:t>
      </w:r>
      <w:r w:rsidR="00DC05DD" w:rsidRPr="00DC05DD">
        <w:t>)</w:t>
      </w:r>
      <w:r w:rsidRPr="00DC05DD">
        <w:t>, and</w:t>
      </w:r>
      <w:r w:rsidRPr="00AC1C8B">
        <w:t xml:space="preserve"> significant decreases in 1,25-dihydroxyvitamin D and 25-hydroxyvitamin D were observed at the HD. There was some evidence of recovery of these parameters 3 months after cessation of treatment, in conjunction with bodyweight gains. At </w:t>
      </w:r>
      <w:r w:rsidRPr="00DC05DD">
        <w:t>the NOAEL of 2 mg</w:t>
      </w:r>
      <w:r w:rsidRPr="00AC1C8B">
        <w:t>/kg/day, the TFV</w:t>
      </w:r>
      <w:r w:rsidR="00A6355F">
        <w:t xml:space="preserve"> systemic exposure ratio was 4.</w:t>
      </w:r>
    </w:p>
    <w:p w:rsidR="00AC1C8B" w:rsidRPr="00AC1C8B" w:rsidRDefault="00AC1C8B" w:rsidP="00AC1C8B">
      <w:r w:rsidRPr="00AC1C8B">
        <w:lastRenderedPageBreak/>
        <w:t>There was no evidence of bone deformities in rats or dogs. Dogs were more sensitive to the bone (and renal) effects than rats. Osteomalacic lesions were reported in a previous study in juvenile monkeys in which TFV was chronically administered by SC injection at 30 mg/kg/day,</w:t>
      </w:r>
      <w:r w:rsidR="00CA65A1">
        <w:t xml:space="preserve"> </w:t>
      </w:r>
      <w:r w:rsidRPr="00AC1C8B">
        <w:t>resulting in very hig</w:t>
      </w:r>
      <w:r w:rsidR="00A6355F">
        <w:t>h TFV systemic exposure ratios.</w:t>
      </w:r>
    </w:p>
    <w:p w:rsidR="00AC1C8B" w:rsidRPr="00AC1C8B" w:rsidRDefault="00AC1C8B" w:rsidP="00AC1C8B">
      <w:r w:rsidRPr="00AC1C8B">
        <w:t>In the 1</w:t>
      </w:r>
      <w:r w:rsidR="00A6355F">
        <w:t xml:space="preserve"> month</w:t>
      </w:r>
      <w:r w:rsidRPr="00AC1C8B">
        <w:t xml:space="preserve"> toxicity study in m</w:t>
      </w:r>
      <w:r w:rsidR="00A6355F">
        <w:t xml:space="preserve">onkeys, there were no treatment </w:t>
      </w:r>
      <w:r w:rsidRPr="00AC1C8B">
        <w:t xml:space="preserve">related effects on bone morphology, PTH, 1,25-(OH)2 </w:t>
      </w:r>
      <w:r w:rsidR="00A6355F">
        <w:t xml:space="preserve">vitamin D2, or bone </w:t>
      </w:r>
      <w:r w:rsidRPr="00AC1C8B">
        <w:t>derived alkaline phosphatase at doses up to 30 mg/kg/day (TFV exposure ratio 20).</w:t>
      </w:r>
    </w:p>
    <w:p w:rsidR="00AC1C8B" w:rsidRPr="00AC1C8B" w:rsidRDefault="00AC1C8B" w:rsidP="00AC1C8B">
      <w:pPr>
        <w:pStyle w:val="Heading6"/>
        <w:rPr>
          <w:rFonts w:eastAsiaTheme="minorHAnsi"/>
        </w:rPr>
      </w:pPr>
      <w:r w:rsidRPr="00AC1C8B">
        <w:rPr>
          <w:rFonts w:eastAsiaTheme="minorHAnsi"/>
        </w:rPr>
        <w:t>Other toxicities</w:t>
      </w:r>
    </w:p>
    <w:p w:rsidR="00AC1C8B" w:rsidRPr="00AC1C8B" w:rsidRDefault="00AC1C8B" w:rsidP="00AC1C8B">
      <w:r w:rsidRPr="00AC1C8B">
        <w:t>Other toxicities included microscopic changes in the nasal mucosa in mice, and minimal histiocyte infiltration in the eye, lung and spleen in dogs. ECG changes observed in dogs are assessed under Safety pharmacology above.</w:t>
      </w:r>
    </w:p>
    <w:p w:rsidR="00AC1C8B" w:rsidRPr="00AC1C8B" w:rsidRDefault="00AC1C8B" w:rsidP="00AC1C8B">
      <w:pPr>
        <w:pStyle w:val="Heading6"/>
        <w:rPr>
          <w:rFonts w:eastAsiaTheme="minorHAnsi"/>
        </w:rPr>
      </w:pPr>
      <w:r w:rsidRPr="00AC1C8B">
        <w:rPr>
          <w:rFonts w:eastAsiaTheme="minorHAnsi"/>
        </w:rPr>
        <w:t xml:space="preserve">Nasal </w:t>
      </w:r>
      <w:r w:rsidR="003328D2" w:rsidRPr="00AC1C8B">
        <w:rPr>
          <w:rFonts w:eastAsiaTheme="minorHAnsi"/>
        </w:rPr>
        <w:t>tu</w:t>
      </w:r>
      <w:r w:rsidRPr="00AC1C8B">
        <w:rPr>
          <w:rFonts w:eastAsiaTheme="minorHAnsi"/>
        </w:rPr>
        <w:t>rbinates</w:t>
      </w:r>
    </w:p>
    <w:p w:rsidR="00AC1C8B" w:rsidRPr="00AC1C8B" w:rsidRDefault="00AC1C8B" w:rsidP="00AC1C8B">
      <w:r w:rsidRPr="00AC1C8B">
        <w:t xml:space="preserve">Mice administered TAF </w:t>
      </w:r>
      <w:r w:rsidR="00DC05DD">
        <w:t>≥</w:t>
      </w:r>
      <w:r w:rsidR="00A6355F">
        <w:t xml:space="preserve"> </w:t>
      </w:r>
      <w:r w:rsidRPr="00AC1C8B">
        <w:t>10 mg/kg/da</w:t>
      </w:r>
      <w:r w:rsidR="00A6355F">
        <w:t xml:space="preserve">y for 13 weeks showed treatment </w:t>
      </w:r>
      <w:r w:rsidRPr="00AC1C8B">
        <w:t xml:space="preserve">related microscopic findings in the nasal turbinates (infiltrates of neutrophils in respiratory and olfactory mucosa, as well as exudate in the lumen). Analysis of nasal turbinate sections showed a decrease in the nuclear density/thickness of the olfactory epithelial layer on the ethmoid turbinates, nasal septum, and/or dorsal meatus associated with minimal to moderate severity of olfactory epithelium degeneration, with animals administered </w:t>
      </w:r>
      <w:r w:rsidR="00A6355F">
        <w:t>≥ </w:t>
      </w:r>
      <w:r w:rsidRPr="00AC1C8B">
        <w:t>30 mg/kg/day experiencing greater severely. These effects were not observed in rats, dogs or monkeys, and are unlik</w:t>
      </w:r>
      <w:r w:rsidR="00DC05DD">
        <w:t>ely to have clinical relevance.</w:t>
      </w:r>
    </w:p>
    <w:p w:rsidR="00AC1C8B" w:rsidRPr="00AC1C8B" w:rsidRDefault="00AC1C8B" w:rsidP="00AC1C8B">
      <w:pPr>
        <w:pStyle w:val="Heading6"/>
        <w:rPr>
          <w:rFonts w:eastAsiaTheme="minorHAnsi"/>
        </w:rPr>
      </w:pPr>
      <w:r w:rsidRPr="00AC1C8B">
        <w:rPr>
          <w:rFonts w:eastAsiaTheme="minorHAnsi"/>
        </w:rPr>
        <w:t>Histiocyte infiltration in dogs</w:t>
      </w:r>
    </w:p>
    <w:p w:rsidR="00AC1C8B" w:rsidRPr="00AC1C8B" w:rsidRDefault="00AC1C8B" w:rsidP="00AC1C8B">
      <w:r w:rsidRPr="00AC1C8B">
        <w:t>Some HD dogs showed minimal to slight infiltration of mononuclear cells in the ocular posterior uvea at the HD of 18/12 mg/kg/day in the 9</w:t>
      </w:r>
      <w:r w:rsidR="00A6355F">
        <w:t xml:space="preserve"> month</w:t>
      </w:r>
      <w:r w:rsidRPr="00AC1C8B">
        <w:t xml:space="preserve"> study only.</w:t>
      </w:r>
      <w:r w:rsidR="00CA65A1">
        <w:t xml:space="preserve"> </w:t>
      </w:r>
      <w:r w:rsidRPr="00AC1C8B">
        <w:t>An accumulation of macrophages with pigment was also noted in the lungs and spleen of HD dogs, which may have r</w:t>
      </w:r>
      <w:r w:rsidR="00DC05DD">
        <w:t xml:space="preserve">epresented accumulation of drug </w:t>
      </w:r>
      <w:r w:rsidRPr="00AC1C8B">
        <w:t xml:space="preserve">related material. </w:t>
      </w:r>
      <w:r w:rsidRPr="00DC05DD">
        <w:rPr>
          <w:vertAlign w:val="superscript"/>
        </w:rPr>
        <w:t>14</w:t>
      </w:r>
      <w:r w:rsidRPr="00AC1C8B">
        <w:t>C-TAF distribution studies showe</w:t>
      </w:r>
      <w:r w:rsidR="00DC05DD">
        <w:t xml:space="preserve">d only low levels of drug </w:t>
      </w:r>
      <w:r w:rsidRPr="00AC1C8B">
        <w:t>related radioactivity in the eyes of rats and dogs, and no selective binding to melanin. Since this</w:t>
      </w:r>
      <w:r w:rsidR="00CA65A1">
        <w:t xml:space="preserve"> </w:t>
      </w:r>
      <w:r w:rsidRPr="00AC1C8B">
        <w:t>effect was only observed at multiples of the clinical TFV exposure in dogs, was not observed in mice, rats or monkeys, and microscopic and ophthalmic examinations did not reveal any eye abnormalities in any test species, it is unlikely to have clinical relevance.</w:t>
      </w:r>
    </w:p>
    <w:p w:rsidR="00AC1C8B" w:rsidRPr="00AC1C8B" w:rsidRDefault="00AC1C8B" w:rsidP="00AC1C8B">
      <w:pPr>
        <w:pStyle w:val="Heading6"/>
        <w:rPr>
          <w:rFonts w:eastAsiaTheme="minorHAnsi"/>
        </w:rPr>
      </w:pPr>
      <w:r w:rsidRPr="00AC1C8B">
        <w:rPr>
          <w:rFonts w:eastAsiaTheme="minorHAnsi"/>
        </w:rPr>
        <w:t>Combination toxicity studies</w:t>
      </w:r>
    </w:p>
    <w:p w:rsidR="00AC1C8B" w:rsidRPr="00AC1C8B" w:rsidRDefault="00AC1C8B" w:rsidP="00AC1C8B">
      <w:r w:rsidRPr="00AC1C8B">
        <w:t xml:space="preserve">No toxicity studies were conducted with the </w:t>
      </w:r>
      <w:r w:rsidR="00DC05DD">
        <w:t>FDC. The ICH M3 (R2) guideline;</w:t>
      </w:r>
      <w:r w:rsidRPr="00AC1C8B">
        <w:t xml:space="preserve"> questions and answers</w:t>
      </w:r>
      <w:r w:rsidRPr="00A6355F">
        <w:rPr>
          <w:vertAlign w:val="superscript"/>
        </w:rPr>
        <w:footnoteReference w:id="21"/>
      </w:r>
      <w:r w:rsidRPr="00AC1C8B">
        <w:t xml:space="preserve"> states ‘</w:t>
      </w:r>
      <w:r w:rsidRPr="00DC05DD">
        <w:rPr>
          <w:i/>
        </w:rPr>
        <w:t>It is accepted that combination studies on advanced cancer, tuberculosis, and HIV products are generally</w:t>
      </w:r>
      <w:r w:rsidRPr="00AC1C8B">
        <w:t xml:space="preserve"> </w:t>
      </w:r>
      <w:r w:rsidRPr="00DC05DD">
        <w:rPr>
          <w:i/>
        </w:rPr>
        <w:t>not warranted unless there is a specific cause for concern under clinically relevant conditions.</w:t>
      </w:r>
      <w:r w:rsidRPr="00AC1C8B">
        <w:t>’</w:t>
      </w:r>
      <w:r w:rsidR="00CA65A1">
        <w:t xml:space="preserve"> </w:t>
      </w:r>
      <w:r w:rsidRPr="00AC1C8B">
        <w:t>A previously submitted 2</w:t>
      </w:r>
      <w:r w:rsidR="00A6355F">
        <w:t xml:space="preserve"> week </w:t>
      </w:r>
      <w:r w:rsidRPr="00AC1C8B">
        <w:t>toxicity study in rats (TX-164-2001) showed no exacerbation of toxicity with the combination of TDF/FTC</w:t>
      </w:r>
      <w:r w:rsidR="00A6355F">
        <w:t>.</w:t>
      </w:r>
    </w:p>
    <w:p w:rsidR="00AC1C8B" w:rsidRPr="00AC1C8B" w:rsidRDefault="00AC1C8B" w:rsidP="00AC1C8B">
      <w:pPr>
        <w:pStyle w:val="Heading5"/>
      </w:pPr>
      <w:bookmarkStart w:id="59" w:name="_Toc294861729"/>
      <w:r w:rsidRPr="00AC1C8B">
        <w:t>Genotoxicity</w:t>
      </w:r>
      <w:bookmarkEnd w:id="59"/>
    </w:p>
    <w:p w:rsidR="00AC1C8B" w:rsidRPr="00AC1C8B" w:rsidRDefault="00AC1C8B" w:rsidP="00AC1C8B">
      <w:r w:rsidRPr="00AC1C8B">
        <w:t>Three genotoxicity studies have been submitted investigating TAF. The gene mutation assays with bacterial strains (Salmonella typhimurium, Escherichia coli), as well as a L5178Y gene mutation assay in mouse lymphoma cells demonstrated that TAF had no genotoxic potential. The studies submitted are appropriate to support the submission and are in accordance to EMEA genotoxicity testin</w:t>
      </w:r>
      <w:r w:rsidR="00DC05DD">
        <w:t>g guidelines (CPMP/ICH/174/95).</w:t>
      </w:r>
    </w:p>
    <w:p w:rsidR="00AC1C8B" w:rsidRPr="00AC1C8B" w:rsidRDefault="00AC1C8B" w:rsidP="00AC1C8B">
      <w:pPr>
        <w:pStyle w:val="Heading5"/>
      </w:pPr>
      <w:bookmarkStart w:id="60" w:name="_Toc294861730"/>
      <w:r w:rsidRPr="00AC1C8B">
        <w:t>Carcinogenicity</w:t>
      </w:r>
      <w:bookmarkEnd w:id="60"/>
    </w:p>
    <w:p w:rsidR="00AC1C8B" w:rsidRPr="00AC1C8B" w:rsidRDefault="00AC1C8B" w:rsidP="00AC1C8B">
      <w:r w:rsidRPr="00AC1C8B">
        <w:t xml:space="preserve">The sponsor made separate agreements with the FDA (Reference ID: 3161161) and EMA (EMA/CHMP/SAWP/629722/2012, FAL 2410-1-2012), which stated that carcinogenicity </w:t>
      </w:r>
      <w:r w:rsidRPr="00AC1C8B">
        <w:lastRenderedPageBreak/>
        <w:t xml:space="preserve">studies were not required for TAF registration due to the lack of TAF exposure in rats and TgRasH2 mice, and lower TFV exposure in rats and mice compared to TDF. Therefore, the sponsor has submitted two carcinogenicity studies with TDF in mice and rats. Exposures were </w:t>
      </w:r>
      <w:r w:rsidR="00A511E3">
        <w:t>approximately</w:t>
      </w:r>
      <w:r w:rsidRPr="00AC1C8B">
        <w:t xml:space="preserve">10 times (mice) and </w:t>
      </w:r>
      <w:r w:rsidR="00A511E3">
        <w:t>approximately</w:t>
      </w:r>
      <w:r w:rsidRPr="00AC1C8B">
        <w:t>4 times (rats) those at the therapeutic dose in humans. Both studies were in accordance with EMEA guidance</w:t>
      </w:r>
      <w:r w:rsidR="00A6355F">
        <w:rPr>
          <w:rStyle w:val="FootnoteReference"/>
        </w:rPr>
        <w:footnoteReference w:id="22"/>
      </w:r>
      <w:r w:rsidRPr="00AC1C8B">
        <w:t xml:space="preserve"> for carcinogenicity studies.</w:t>
      </w:r>
    </w:p>
    <w:p w:rsidR="00AC1C8B" w:rsidRPr="00AC1C8B" w:rsidRDefault="00AC1C8B" w:rsidP="00AC1C8B">
      <w:r w:rsidRPr="00AC1C8B">
        <w:t>The studies in mice investigating the carcinogenic effects of TDF found that under the study conditions female mice showed a low incidence of liver adenomas (600 mg/kg/day) and rats did not show any carcinogenic potential in the long-term study. In comparison with the genotoxicity studies, results suggest that TAF has no genotoxic potential and that there are no carcinogenic potentials identified under the study conditions in animals or possibly humans administered TAF/TDF. No new 104</w:t>
      </w:r>
      <w:r w:rsidR="00A6355F">
        <w:t xml:space="preserve"> week </w:t>
      </w:r>
      <w:r w:rsidRPr="00AC1C8B">
        <w:t>carcinogenicity studies have been conducted for EVG, COBI or FTC since they have previously been submitted for the individual agent approvals. No carcinogenicity studies have been submitted for the FDC, which is acceptable.</w:t>
      </w:r>
    </w:p>
    <w:p w:rsidR="00AC1C8B" w:rsidRPr="00AC1C8B" w:rsidRDefault="00AC1C8B" w:rsidP="00AC1C8B">
      <w:pPr>
        <w:pStyle w:val="Heading5"/>
      </w:pPr>
      <w:r w:rsidRPr="00AC1C8B">
        <w:t>Reproductive and developmental toxicity</w:t>
      </w:r>
    </w:p>
    <w:p w:rsidR="00AC1C8B" w:rsidRPr="00AC1C8B" w:rsidRDefault="00AC1C8B" w:rsidP="00AC1C8B">
      <w:r w:rsidRPr="00AC1C8B">
        <w:t xml:space="preserve">No toxicological interactions were expected with the E/C/F/TAF FDC and further studies with E/C/F/TAF FDC are not required in accordance to </w:t>
      </w:r>
      <w:r w:rsidR="00DC05DD">
        <w:t xml:space="preserve">the </w:t>
      </w:r>
      <w:r w:rsidRPr="00AC1C8B">
        <w:t>guideline.</w:t>
      </w:r>
      <w:r w:rsidR="00DC05DD" w:rsidRPr="00DC05DD">
        <w:rPr>
          <w:vertAlign w:val="superscript"/>
        </w:rPr>
        <w:fldChar w:fldCharType="begin"/>
      </w:r>
      <w:r w:rsidR="00DC05DD" w:rsidRPr="00DC05DD">
        <w:rPr>
          <w:vertAlign w:val="superscript"/>
        </w:rPr>
        <w:instrText xml:space="preserve"> NOTEREF _Ref451177044 \h </w:instrText>
      </w:r>
      <w:r w:rsidR="00DC05DD">
        <w:rPr>
          <w:vertAlign w:val="superscript"/>
        </w:rPr>
        <w:instrText xml:space="preserve"> \* MERGEFORMAT </w:instrText>
      </w:r>
      <w:r w:rsidR="00DC05DD" w:rsidRPr="00DC05DD">
        <w:rPr>
          <w:vertAlign w:val="superscript"/>
        </w:rPr>
      </w:r>
      <w:r w:rsidR="00DC05DD" w:rsidRPr="00DC05DD">
        <w:rPr>
          <w:vertAlign w:val="superscript"/>
        </w:rPr>
        <w:fldChar w:fldCharType="separate"/>
      </w:r>
      <w:r w:rsidR="00B45DD3">
        <w:rPr>
          <w:vertAlign w:val="superscript"/>
        </w:rPr>
        <w:t>27</w:t>
      </w:r>
      <w:r w:rsidR="00DC05DD" w:rsidRPr="00DC05DD">
        <w:rPr>
          <w:vertAlign w:val="superscript"/>
        </w:rPr>
        <w:fldChar w:fldCharType="end"/>
      </w:r>
      <w:r w:rsidRPr="00DC05DD">
        <w:rPr>
          <w:vertAlign w:val="superscript"/>
        </w:rPr>
        <w:t xml:space="preserve"> </w:t>
      </w:r>
      <w:r w:rsidRPr="00AC1C8B">
        <w:t>Previously submitted studies for the registration of EVG, COBI and FTC demonstrated n</w:t>
      </w:r>
      <w:r w:rsidR="00FD5597">
        <w:t>o significant effects on embryo</w:t>
      </w:r>
      <w:r w:rsidRPr="00AC1C8B">
        <w:t xml:space="preserve">fetal </w:t>
      </w:r>
      <w:r w:rsidR="00DC05DD">
        <w:t>development in rats or rabbits.</w:t>
      </w:r>
    </w:p>
    <w:p w:rsidR="00AC1C8B" w:rsidRPr="00AC1C8B" w:rsidRDefault="00AC1C8B" w:rsidP="00AC1C8B">
      <w:r w:rsidRPr="00AC1C8B">
        <w:t>Reproductive toxicity studies with TAF/TFV were cond</w:t>
      </w:r>
      <w:r w:rsidR="00DC05DD">
        <w:t>ucted in two mammalian species:</w:t>
      </w:r>
    </w:p>
    <w:p w:rsidR="00AC1C8B" w:rsidRPr="00AC1C8B" w:rsidRDefault="00AC1C8B" w:rsidP="00A540E3">
      <w:pPr>
        <w:pStyle w:val="Numberbullet0"/>
        <w:numPr>
          <w:ilvl w:val="0"/>
          <w:numId w:val="9"/>
        </w:numPr>
      </w:pPr>
      <w:r w:rsidRPr="00AC1C8B">
        <w:t xml:space="preserve">One study in rats investigating fertility </w:t>
      </w:r>
      <w:r w:rsidR="00DC05DD">
        <w:t>and early embryonic development</w:t>
      </w:r>
    </w:p>
    <w:p w:rsidR="00AC1C8B" w:rsidRPr="00AC1C8B" w:rsidRDefault="00AC1C8B" w:rsidP="00A540E3">
      <w:pPr>
        <w:pStyle w:val="Numberbullet0"/>
        <w:numPr>
          <w:ilvl w:val="0"/>
          <w:numId w:val="9"/>
        </w:numPr>
      </w:pPr>
      <w:r w:rsidRPr="00AC1C8B">
        <w:t>Two studies in rats and two in rabbits invest</w:t>
      </w:r>
      <w:r w:rsidR="00DC05DD">
        <w:t>igating embryofetal development</w:t>
      </w:r>
    </w:p>
    <w:p w:rsidR="00AC1C8B" w:rsidRPr="00AC1C8B" w:rsidRDefault="00AC1C8B" w:rsidP="00A540E3">
      <w:pPr>
        <w:pStyle w:val="Numberbullet0"/>
        <w:numPr>
          <w:ilvl w:val="0"/>
          <w:numId w:val="9"/>
        </w:numPr>
      </w:pPr>
      <w:r w:rsidRPr="00AC1C8B">
        <w:t>One study with TDF in rats investigating p</w:t>
      </w:r>
      <w:r w:rsidR="00DC05DD">
        <w:t>erinatal/postnatal reproduction</w:t>
      </w:r>
      <w:r w:rsidRPr="00AC1C8B">
        <w:t>.</w:t>
      </w:r>
    </w:p>
    <w:p w:rsidR="00AC1C8B" w:rsidRPr="00AC1C8B" w:rsidRDefault="00AC1C8B" w:rsidP="00AC1C8B">
      <w:r w:rsidRPr="00AC1C8B">
        <w:t xml:space="preserve">The fertility and early embryonic development study in rats administered TAF orally as per clinical use. As stated, the use of the rat model, timing and duration of treatment (males: 10 weeks old and treated from 4 weeks prior to mating for </w:t>
      </w:r>
      <w:r w:rsidR="00A511E3">
        <w:t>approximately</w:t>
      </w:r>
      <w:r w:rsidR="0092744D">
        <w:t>10 </w:t>
      </w:r>
      <w:r w:rsidRPr="00AC1C8B">
        <w:t xml:space="preserve">weeks; Females: 12 weeks old and treated from 2 weeks prior to mating for, throughout mating and through to </w:t>
      </w:r>
      <w:r w:rsidR="005033BB">
        <w:t>gestation day 7 (</w:t>
      </w:r>
      <w:r w:rsidRPr="00AC1C8B">
        <w:t>GD7</w:t>
      </w:r>
      <w:r w:rsidR="005033BB">
        <w:t>)</w:t>
      </w:r>
      <w:r w:rsidRPr="00AC1C8B">
        <w:t>), as well as group size per treatment dose was in accordance with ICH guidelines</w:t>
      </w:r>
      <w:r w:rsidR="005033BB">
        <w:t>.</w:t>
      </w:r>
      <w:r w:rsidR="005033BB">
        <w:rPr>
          <w:rStyle w:val="FootnoteReference"/>
        </w:rPr>
        <w:footnoteReference w:id="23"/>
      </w:r>
      <w:r w:rsidRPr="00AC1C8B">
        <w:t xml:space="preserve"> The study was appropriately designed, and observed:</w:t>
      </w:r>
    </w:p>
    <w:p w:rsidR="00AC1C8B" w:rsidRPr="00F97E7F" w:rsidRDefault="00AC1C8B" w:rsidP="00E0350C">
      <w:pPr>
        <w:pStyle w:val="ListBullet"/>
      </w:pPr>
      <w:r w:rsidRPr="00F97E7F">
        <w:t xml:space="preserve">Males: No </w:t>
      </w:r>
      <w:r w:rsidR="0092744D" w:rsidRPr="00F97E7F">
        <w:t>treatment related</w:t>
      </w:r>
      <w:r w:rsidRPr="00F97E7F">
        <w:t xml:space="preserve"> effects on reproductive parameters or mean epididymal sperm motility or on sperm concentration. No statistically significant differences in organ weights for the epididymis, prostate, </w:t>
      </w:r>
      <w:r w:rsidR="005033BB" w:rsidRPr="00F97E7F">
        <w:t>seminal vesicles or pituitary</w:t>
      </w:r>
    </w:p>
    <w:p w:rsidR="00AC1C8B" w:rsidRPr="00F97E7F" w:rsidRDefault="00AC1C8B">
      <w:pPr>
        <w:pStyle w:val="ListBullet"/>
      </w:pPr>
      <w:r w:rsidRPr="00F97E7F">
        <w:t xml:space="preserve">Females: No </w:t>
      </w:r>
      <w:r w:rsidR="0092744D" w:rsidRPr="00F97E7F">
        <w:t>treatment related</w:t>
      </w:r>
      <w:r w:rsidRPr="00F97E7F">
        <w:t xml:space="preserve"> differences in any reproductive parameters measured, macroscopic findings at necropsy. No statistically significant differences in reproductive organ weights or </w:t>
      </w:r>
      <w:r w:rsidR="0092744D" w:rsidRPr="00F97E7F">
        <w:t>treatment related</w:t>
      </w:r>
      <w:r w:rsidRPr="00F97E7F">
        <w:t xml:space="preserve"> effects on any of th</w:t>
      </w:r>
      <w:r w:rsidR="005033BB" w:rsidRPr="00F97E7F">
        <w:t>e caesarean section parameters</w:t>
      </w:r>
    </w:p>
    <w:p w:rsidR="00AC1C8B" w:rsidRPr="00AC1C8B" w:rsidRDefault="00AC1C8B">
      <w:pPr>
        <w:pStyle w:val="ListBullet"/>
      </w:pPr>
      <w:r w:rsidRPr="00F97E7F">
        <w:t xml:space="preserve">A </w:t>
      </w:r>
      <w:r w:rsidR="0092744D" w:rsidRPr="00F97E7F">
        <w:t>dose dependent</w:t>
      </w:r>
      <w:r w:rsidRPr="00F97E7F">
        <w:t xml:space="preserve"> decrease in mean body weight was observed for animals administered </w:t>
      </w:r>
      <w:r w:rsidR="0092744D" w:rsidRPr="00F97E7F">
        <w:t xml:space="preserve">≥ </w:t>
      </w:r>
      <w:r w:rsidRPr="00F97E7F">
        <w:t xml:space="preserve">80 mg/kg/day. During gestation the mean gestation body weight was found to be </w:t>
      </w:r>
      <w:r w:rsidR="0092744D" w:rsidRPr="00F97E7F">
        <w:t>dose dependent</w:t>
      </w:r>
      <w:r w:rsidRPr="00F97E7F">
        <w:t xml:space="preserve">ly reduced with statistically significant reductions noted on </w:t>
      </w:r>
      <w:r w:rsidR="005033BB" w:rsidRPr="00F97E7F">
        <w:t>GD3,</w:t>
      </w:r>
      <w:r w:rsidR="005033BB">
        <w:t xml:space="preserve"> 7, and 10 (160 mg/kg/day)</w:t>
      </w:r>
    </w:p>
    <w:p w:rsidR="00AC1C8B" w:rsidRPr="00F97E7F" w:rsidRDefault="00AC1C8B">
      <w:pPr>
        <w:pStyle w:val="ListBullet"/>
      </w:pPr>
      <w:r w:rsidRPr="00F97E7F">
        <w:t>NOAEL (male and fertility): 80 mg/kg/day; NOAEL (reproductive and early embryonic toxicity): 160 mg/kg/day.</w:t>
      </w:r>
    </w:p>
    <w:p w:rsidR="00AC1C8B" w:rsidRPr="00AC1C8B" w:rsidRDefault="00AC1C8B" w:rsidP="00EA6D79">
      <w:pPr>
        <w:pStyle w:val="Heading6"/>
      </w:pPr>
      <w:r w:rsidRPr="00AC1C8B">
        <w:lastRenderedPageBreak/>
        <w:t>Embryofetal development studies found:</w:t>
      </w:r>
    </w:p>
    <w:p w:rsidR="00A400FC" w:rsidRPr="00AC1C8B" w:rsidRDefault="00AC1C8B" w:rsidP="00AC1C8B">
      <w:r w:rsidRPr="00AC1C8B">
        <w:t>Rats:</w:t>
      </w:r>
    </w:p>
    <w:p w:rsidR="00AC1C8B" w:rsidRPr="00F97E7F" w:rsidRDefault="00AC1C8B">
      <w:pPr>
        <w:pStyle w:val="ListBullet"/>
      </w:pPr>
      <w:r w:rsidRPr="00F97E7F">
        <w:t xml:space="preserve">Administration of </w:t>
      </w:r>
      <w:r w:rsidR="0092744D" w:rsidRPr="00F97E7F">
        <w:t xml:space="preserve">≥ </w:t>
      </w:r>
      <w:r w:rsidRPr="00F97E7F">
        <w:t>100 mg/kg/day was maternally toxic, and administration of 250 mg/kg/day to dams produced a decreased fetal body weight associated with some minor transitory del</w:t>
      </w:r>
      <w:r w:rsidR="005033BB" w:rsidRPr="00F97E7F">
        <w:t>ays in the rate of ossification</w:t>
      </w:r>
    </w:p>
    <w:p w:rsidR="00AC1C8B" w:rsidRPr="00F97E7F" w:rsidRDefault="00AC1C8B">
      <w:pPr>
        <w:pStyle w:val="ListBullet"/>
      </w:pPr>
      <w:r w:rsidRPr="00F97E7F">
        <w:t xml:space="preserve">No </w:t>
      </w:r>
      <w:r w:rsidR="0092744D" w:rsidRPr="00F97E7F">
        <w:t>treatment related</w:t>
      </w:r>
      <w:r w:rsidRPr="00F97E7F">
        <w:t xml:space="preserve"> evidence of embryo</w:t>
      </w:r>
      <w:r w:rsidR="005033BB" w:rsidRPr="00F97E7F">
        <w:t xml:space="preserve"> lethality or teratogenicity</w:t>
      </w:r>
    </w:p>
    <w:p w:rsidR="00AC1C8B" w:rsidRPr="00AC1C8B" w:rsidRDefault="00AC1C8B">
      <w:pPr>
        <w:pStyle w:val="ListBullet"/>
      </w:pPr>
      <w:r w:rsidRPr="00F97E7F">
        <w:t>NOAEL (Maternal): 100</w:t>
      </w:r>
      <w:r w:rsidRPr="00AC1C8B">
        <w:t xml:space="preserve"> mg/kg/day; NOAEL (Embryo-fetal): 200 mg/kg/day; NOAEL (Fetal): 100 mg/kg/day.</w:t>
      </w:r>
    </w:p>
    <w:p w:rsidR="00AC1C8B" w:rsidRDefault="0092744D" w:rsidP="00AC1C8B">
      <w:r>
        <w:t>Rabbits:</w:t>
      </w:r>
    </w:p>
    <w:p w:rsidR="00AE2978" w:rsidRPr="00F97E7F" w:rsidRDefault="00AE2978">
      <w:pPr>
        <w:pStyle w:val="ListBullet"/>
      </w:pPr>
      <w:r w:rsidRPr="00F97E7F">
        <w:t xml:space="preserve">Maternal clinical signs included higher decreased faecal output compared to control during the treatment period, which was associated </w:t>
      </w:r>
      <w:r w:rsidR="00FD5597">
        <w:t>with decreased food intake (100 </w:t>
      </w:r>
      <w:r w:rsidRPr="00F97E7F">
        <w:t>mg/kg/day). Compared to control, maternal body weight gains were observed to be statistically significantly decreased for absolute and percentage gain, as well as an overall decrease in food consumption during the treatment period (100 mg/kg/day). Uterine findings included a p</w:t>
      </w:r>
      <w:r w:rsidR="00FD5597">
        <w:t xml:space="preserve">regnancy rate of  at least 85% </w:t>
      </w:r>
      <w:r w:rsidRPr="00F97E7F">
        <w:t>per group with the numbers of corpora lutea, implantation sites, live and dead fetuses and resorptions, the sex ratio, as well as the pre and post implantation losses and fetal weights were comparable to controls at all doses</w:t>
      </w:r>
    </w:p>
    <w:p w:rsidR="00AC1C8B" w:rsidRPr="00F97E7F" w:rsidRDefault="00AC1C8B">
      <w:pPr>
        <w:pStyle w:val="ListBullet"/>
      </w:pPr>
      <w:r w:rsidRPr="00F97E7F">
        <w:t>No evidence of embryo</w:t>
      </w:r>
      <w:r w:rsidR="0092744D" w:rsidRPr="00F97E7F">
        <w:t xml:space="preserve"> </w:t>
      </w:r>
      <w:r w:rsidRPr="00F97E7F">
        <w:t>lethality, fetotoxicity or t</w:t>
      </w:r>
      <w:r w:rsidR="005033BB" w:rsidRPr="00F97E7F">
        <w:t>eratogenicity at any dose level</w:t>
      </w:r>
    </w:p>
    <w:p w:rsidR="00AC1C8B" w:rsidRPr="00F97E7F" w:rsidRDefault="00AC1C8B">
      <w:pPr>
        <w:pStyle w:val="ListBullet"/>
      </w:pPr>
      <w:r w:rsidRPr="00F97E7F">
        <w:t>NO</w:t>
      </w:r>
      <w:r w:rsidR="00C25353" w:rsidRPr="00F97E7F">
        <w:t>A</w:t>
      </w:r>
      <w:r w:rsidRPr="00F97E7F">
        <w:t xml:space="preserve">EL (Maternal): </w:t>
      </w:r>
      <w:r w:rsidR="00C25353" w:rsidRPr="00F97E7F">
        <w:t>30 </w:t>
      </w:r>
      <w:r w:rsidRPr="00F97E7F">
        <w:t xml:space="preserve">mg/kg/day; NOEL (Embryo-fetal): </w:t>
      </w:r>
      <w:r w:rsidR="00C25353" w:rsidRPr="00F97E7F">
        <w:t>100 </w:t>
      </w:r>
      <w:r w:rsidRPr="00F97E7F">
        <w:t>mg/kg/day.</w:t>
      </w:r>
    </w:p>
    <w:p w:rsidR="00AC1C8B" w:rsidRPr="00AC1C8B" w:rsidRDefault="00AC1C8B" w:rsidP="00AC1C8B">
      <w:r w:rsidRPr="00AC1C8B">
        <w:t xml:space="preserve">As per separate agreements with the </w:t>
      </w:r>
      <w:r w:rsidR="0092744D">
        <w:t>FDA</w:t>
      </w:r>
      <w:r w:rsidR="005033BB">
        <w:rPr>
          <w:rStyle w:val="FootnoteReference"/>
        </w:rPr>
        <w:footnoteReference w:id="24"/>
      </w:r>
      <w:r w:rsidRPr="00AC1C8B">
        <w:t xml:space="preserve"> and </w:t>
      </w:r>
      <w:r w:rsidR="0092744D">
        <w:t>EMA</w:t>
      </w:r>
      <w:r w:rsidR="005033BB">
        <w:rPr>
          <w:rStyle w:val="FootnoteReference"/>
        </w:rPr>
        <w:footnoteReference w:id="25"/>
      </w:r>
      <w:r w:rsidRPr="00AC1C8B">
        <w:t>, a perinatal and postnatal study were not required for TAF registration due to the lack of TAF exposure in rats and TgRasH2 mice and lower TFV exposure in rats and mice compared to the same studies in which TDF was administered. Therefore, a perinatal/postnatal reproduction study in rats orally administered TDF (50</w:t>
      </w:r>
      <w:r w:rsidR="0092744D">
        <w:t xml:space="preserve"> to </w:t>
      </w:r>
      <w:r w:rsidRPr="00AC1C8B">
        <w:t>600 mg/kg/day) was submitted. The study was appropriately designed and observed:</w:t>
      </w:r>
    </w:p>
    <w:p w:rsidR="00AC1C8B" w:rsidRPr="00F97E7F" w:rsidRDefault="00AC1C8B">
      <w:pPr>
        <w:pStyle w:val="ListBullet"/>
      </w:pPr>
      <w:r w:rsidRPr="00F97E7F">
        <w:t xml:space="preserve">An increase in pup mortality at maternally toxic doses </w:t>
      </w:r>
      <w:r w:rsidR="0092744D" w:rsidRPr="00F97E7F">
        <w:t xml:space="preserve">≥ </w:t>
      </w:r>
      <w:r w:rsidR="005033BB" w:rsidRPr="00F97E7F">
        <w:t>450 mg/kg/day</w:t>
      </w:r>
    </w:p>
    <w:p w:rsidR="00AC1C8B" w:rsidRPr="00F97E7F" w:rsidRDefault="00AC1C8B">
      <w:pPr>
        <w:pStyle w:val="ListBullet"/>
      </w:pPr>
      <w:r w:rsidRPr="00F97E7F">
        <w:t xml:space="preserve">Maternal (F0): Adverse clinical observations at </w:t>
      </w:r>
      <w:r w:rsidR="0092744D" w:rsidRPr="00F97E7F">
        <w:t xml:space="preserve">≥ </w:t>
      </w:r>
      <w:r w:rsidRPr="00F97E7F">
        <w:t xml:space="preserve">150 mg/kg/day, included reductions in body weight gain during gestation and increases in body weight gain during lactation. Dams administered </w:t>
      </w:r>
      <w:r w:rsidR="0092744D" w:rsidRPr="00F97E7F">
        <w:t xml:space="preserve">≥ </w:t>
      </w:r>
      <w:r w:rsidRPr="00F97E7F">
        <w:t>450 mg</w:t>
      </w:r>
      <w:r w:rsidR="0092744D" w:rsidRPr="00F97E7F">
        <w:t>/kg/day had increased peri/post</w:t>
      </w:r>
      <w:r w:rsidRPr="00F97E7F">
        <w:t>partum pup mortality, reduced pup surviva</w:t>
      </w:r>
      <w:r w:rsidR="005033BB" w:rsidRPr="00F97E7F">
        <w:t>l and reduced pup body weights</w:t>
      </w:r>
    </w:p>
    <w:p w:rsidR="00AC1C8B" w:rsidRPr="00F97E7F" w:rsidRDefault="00AC1C8B">
      <w:pPr>
        <w:pStyle w:val="ListBullet"/>
      </w:pPr>
      <w:r w:rsidRPr="00F97E7F">
        <w:t xml:space="preserve">Pups (F1): </w:t>
      </w:r>
      <w:r w:rsidR="0092744D" w:rsidRPr="00F97E7F">
        <w:t>Treatment related</w:t>
      </w:r>
      <w:r w:rsidRPr="00F97E7F">
        <w:t xml:space="preserve">, </w:t>
      </w:r>
      <w:r w:rsidR="0092744D" w:rsidRPr="00F97E7F">
        <w:t>dose dependent</w:t>
      </w:r>
      <w:r w:rsidRPr="00F97E7F">
        <w:t xml:space="preserve"> prolongation of sexual maturation was observed. No significant </w:t>
      </w:r>
      <w:r w:rsidR="0092744D" w:rsidRPr="00F97E7F">
        <w:t>treatment related</w:t>
      </w:r>
      <w:r w:rsidRPr="00F97E7F">
        <w:t xml:space="preserve"> observations in behavioural evaluations. Mating performance of both sex</w:t>
      </w:r>
      <w:r w:rsidR="005033BB" w:rsidRPr="00F97E7F">
        <w:t>es was unaffected by treatment</w:t>
      </w:r>
    </w:p>
    <w:p w:rsidR="00AC1C8B" w:rsidRPr="00F97E7F" w:rsidRDefault="00AC1C8B">
      <w:pPr>
        <w:pStyle w:val="ListBullet"/>
      </w:pPr>
      <w:r w:rsidRPr="00F97E7F">
        <w:t>Toxicokinetic milk analysis (Day 11 postpartum) confirmed the presence of excreted TFV which was not concentrated. Pharmacokinetic plasma data and plasma profiles indicate an increased exposure of TFV with increased oral doses of TDF.</w:t>
      </w:r>
    </w:p>
    <w:p w:rsidR="00AC1C8B" w:rsidRPr="00AC1C8B" w:rsidRDefault="00AC1C8B" w:rsidP="00AC1C8B">
      <w:r w:rsidRPr="00AC1C8B">
        <w:t>Relative exposure ratios to TFV after administration of TAF in rats and rabbits were observed to be extremely high at the highest concentrations used compared human steady st</w:t>
      </w:r>
      <w:r w:rsidR="005033BB">
        <w:t xml:space="preserve">ate values. Additionally, cross </w:t>
      </w:r>
      <w:r w:rsidRPr="00AC1C8B">
        <w:t>species comparisons of exposure in F0 and F1 generation animals, demonstrate</w:t>
      </w:r>
      <w:r w:rsidR="00CA65A1">
        <w:t xml:space="preserve"> </w:t>
      </w:r>
      <w:r w:rsidRPr="005033BB">
        <w:t>that F0</w:t>
      </w:r>
      <w:r w:rsidRPr="00AC1C8B">
        <w:t xml:space="preserve"> </w:t>
      </w:r>
      <w:r w:rsidRPr="005033BB">
        <w:t>and F1 generation</w:t>
      </w:r>
      <w:r w:rsidRPr="00AC1C8B">
        <w:t xml:space="preserve"> animals experienced minimal reproductive toxi</w:t>
      </w:r>
      <w:r w:rsidR="0092744D">
        <w:t>city at high doses more than 40</w:t>
      </w:r>
      <w:r w:rsidRPr="00AC1C8B">
        <w:t xml:space="preserve"> to 59</w:t>
      </w:r>
      <w:r w:rsidR="00C40A50">
        <w:t xml:space="preserve"> fold</w:t>
      </w:r>
      <w:r w:rsidRPr="00AC1C8B">
        <w:t xml:space="preserve"> (rats) and 93</w:t>
      </w:r>
      <w:r w:rsidR="00C40A50">
        <w:t xml:space="preserve"> fold</w:t>
      </w:r>
      <w:r w:rsidRPr="00AC1C8B">
        <w:t xml:space="preserve"> (rabbits) the exposure of TFV compared to the predicted safety margin relative to humans. The exposure to TAF at NOAEL for reproductive toxicity was 1.2</w:t>
      </w:r>
      <w:r w:rsidR="00C40A50">
        <w:t xml:space="preserve"> fold</w:t>
      </w:r>
      <w:r w:rsidRPr="00AC1C8B">
        <w:t xml:space="preserve"> (rats) and 53.6</w:t>
      </w:r>
      <w:r w:rsidR="00C40A50">
        <w:t xml:space="preserve"> fold</w:t>
      </w:r>
      <w:r w:rsidRPr="00AC1C8B">
        <w:t xml:space="preserve"> </w:t>
      </w:r>
      <w:r w:rsidRPr="00AC1C8B">
        <w:lastRenderedPageBreak/>
        <w:t xml:space="preserve">greater than the predicted safety margin relative to human steady state AUC (Table </w:t>
      </w:r>
      <w:r w:rsidR="005033BB">
        <w:t xml:space="preserve">4 </w:t>
      </w:r>
      <w:r w:rsidRPr="00AC1C8B">
        <w:t>below). Overall, studies showed that TAF was rapidly converted to TFV, with no substantial plasma accumulation of either TAF or TFV. The doses used and exposure ratios in the rat and rabbit reproductive toxicity studies are acceptable.</w:t>
      </w:r>
    </w:p>
    <w:p w:rsidR="00152840" w:rsidRPr="00152840" w:rsidRDefault="00152840" w:rsidP="00152840">
      <w:pPr>
        <w:pStyle w:val="TableTitle"/>
      </w:pPr>
      <w:r>
        <w:t>Table</w:t>
      </w:r>
      <w:r w:rsidR="005033BB">
        <w:t xml:space="preserve"> 4.</w:t>
      </w:r>
      <w:r>
        <w:t xml:space="preserve"> </w:t>
      </w:r>
      <w:r w:rsidRPr="00152840">
        <w:t>Relative exposure of TFV after administration of TAF in embryofetal development studies</w:t>
      </w:r>
    </w:p>
    <w:tbl>
      <w:tblPr>
        <w:tblStyle w:val="TableTGAblue"/>
        <w:tblW w:w="8613" w:type="dxa"/>
        <w:tblLayout w:type="fixed"/>
        <w:tblLook w:val="01E0" w:firstRow="1" w:lastRow="1" w:firstColumn="1" w:lastColumn="1" w:noHBand="0" w:noVBand="0"/>
      </w:tblPr>
      <w:tblGrid>
        <w:gridCol w:w="1101"/>
        <w:gridCol w:w="1134"/>
        <w:gridCol w:w="1275"/>
        <w:gridCol w:w="1134"/>
        <w:gridCol w:w="1418"/>
        <w:gridCol w:w="1276"/>
        <w:gridCol w:w="1275"/>
      </w:tblGrid>
      <w:tr w:rsidR="00152840" w:rsidRPr="00152840" w:rsidTr="00E2695E">
        <w:trPr>
          <w:cnfStyle w:val="100000000000" w:firstRow="1" w:lastRow="0" w:firstColumn="0" w:lastColumn="0" w:oddVBand="0" w:evenVBand="0" w:oddHBand="0" w:evenHBand="0" w:firstRowFirstColumn="0" w:firstRowLastColumn="0" w:lastRowFirstColumn="0" w:lastRowLastColumn="0"/>
        </w:trPr>
        <w:tc>
          <w:tcPr>
            <w:tcW w:w="1101" w:type="dxa"/>
          </w:tcPr>
          <w:p w:rsidR="00152840" w:rsidRPr="00152840" w:rsidRDefault="00152840" w:rsidP="00152840">
            <w:pPr>
              <w:ind w:left="0" w:right="0"/>
              <w:rPr>
                <w:sz w:val="18"/>
                <w:szCs w:val="18"/>
              </w:rPr>
            </w:pPr>
            <w:r w:rsidRPr="00152840">
              <w:rPr>
                <w:sz w:val="18"/>
                <w:szCs w:val="18"/>
              </w:rPr>
              <w:t>Species</w:t>
            </w:r>
          </w:p>
        </w:tc>
        <w:tc>
          <w:tcPr>
            <w:tcW w:w="1134" w:type="dxa"/>
          </w:tcPr>
          <w:p w:rsidR="00152840" w:rsidRPr="00152840" w:rsidRDefault="00152840" w:rsidP="00152840">
            <w:pPr>
              <w:ind w:left="0" w:right="0"/>
              <w:rPr>
                <w:sz w:val="18"/>
                <w:szCs w:val="18"/>
              </w:rPr>
            </w:pPr>
            <w:r w:rsidRPr="00152840">
              <w:rPr>
                <w:sz w:val="18"/>
                <w:szCs w:val="18"/>
              </w:rPr>
              <w:t>Study</w:t>
            </w:r>
          </w:p>
        </w:tc>
        <w:tc>
          <w:tcPr>
            <w:tcW w:w="1275" w:type="dxa"/>
          </w:tcPr>
          <w:p w:rsidR="00152840" w:rsidRPr="00152840" w:rsidRDefault="00152840" w:rsidP="00152840">
            <w:pPr>
              <w:ind w:left="0" w:right="0"/>
              <w:rPr>
                <w:sz w:val="18"/>
                <w:szCs w:val="18"/>
              </w:rPr>
            </w:pPr>
            <w:r w:rsidRPr="00152840">
              <w:rPr>
                <w:sz w:val="18"/>
                <w:szCs w:val="18"/>
              </w:rPr>
              <w:t>Test Article</w:t>
            </w:r>
          </w:p>
        </w:tc>
        <w:tc>
          <w:tcPr>
            <w:tcW w:w="1134" w:type="dxa"/>
          </w:tcPr>
          <w:p w:rsidR="00152840" w:rsidRPr="00152840" w:rsidRDefault="00BB6AE6" w:rsidP="00152840">
            <w:pPr>
              <w:ind w:left="0" w:right="0"/>
              <w:rPr>
                <w:sz w:val="18"/>
                <w:szCs w:val="18"/>
              </w:rPr>
            </w:pPr>
            <w:r>
              <w:rPr>
                <w:sz w:val="18"/>
                <w:szCs w:val="18"/>
              </w:rPr>
              <w:t xml:space="preserve">Test dose </w:t>
            </w:r>
            <w:r w:rsidR="00152840" w:rsidRPr="00152840">
              <w:rPr>
                <w:sz w:val="18"/>
                <w:szCs w:val="18"/>
              </w:rPr>
              <w:t>(mg/kg/day)</w:t>
            </w:r>
          </w:p>
        </w:tc>
        <w:tc>
          <w:tcPr>
            <w:tcW w:w="1418" w:type="dxa"/>
          </w:tcPr>
          <w:p w:rsidR="00152840" w:rsidRPr="00152840" w:rsidRDefault="00BB6AE6" w:rsidP="00152840">
            <w:pPr>
              <w:ind w:left="0" w:right="0"/>
              <w:rPr>
                <w:sz w:val="18"/>
                <w:szCs w:val="18"/>
              </w:rPr>
            </w:pPr>
            <w:r>
              <w:rPr>
                <w:sz w:val="18"/>
                <w:szCs w:val="18"/>
              </w:rPr>
              <w:t xml:space="preserve">TFV AUC0–t </w:t>
            </w:r>
            <w:r w:rsidR="00152840" w:rsidRPr="00152840">
              <w:rPr>
                <w:sz w:val="18"/>
                <w:szCs w:val="18"/>
              </w:rPr>
              <w:t>(ng∙h/mL)</w:t>
            </w:r>
          </w:p>
        </w:tc>
        <w:tc>
          <w:tcPr>
            <w:tcW w:w="1276" w:type="dxa"/>
          </w:tcPr>
          <w:p w:rsidR="00152840" w:rsidRPr="00152840" w:rsidRDefault="00BB6AE6" w:rsidP="00152840">
            <w:pPr>
              <w:ind w:left="0" w:right="0"/>
              <w:rPr>
                <w:sz w:val="18"/>
                <w:szCs w:val="18"/>
              </w:rPr>
            </w:pPr>
            <w:r>
              <w:rPr>
                <w:sz w:val="18"/>
                <w:szCs w:val="18"/>
              </w:rPr>
              <w:t xml:space="preserve">TAF AUC0–t </w:t>
            </w:r>
            <w:r w:rsidR="00152840" w:rsidRPr="00152840">
              <w:rPr>
                <w:sz w:val="18"/>
                <w:szCs w:val="18"/>
              </w:rPr>
              <w:t>(ng∙h/mL)</w:t>
            </w:r>
          </w:p>
        </w:tc>
        <w:tc>
          <w:tcPr>
            <w:tcW w:w="1275" w:type="dxa"/>
          </w:tcPr>
          <w:p w:rsidR="00152840" w:rsidRPr="00152840" w:rsidRDefault="00152840" w:rsidP="00152840">
            <w:pPr>
              <w:ind w:left="0" w:right="0"/>
              <w:rPr>
                <w:sz w:val="18"/>
                <w:szCs w:val="18"/>
              </w:rPr>
            </w:pPr>
            <w:r w:rsidRPr="00152840">
              <w:rPr>
                <w:sz w:val="18"/>
                <w:szCs w:val="18"/>
              </w:rPr>
              <w:t>TFV/TAF exposure ratio#*</w:t>
            </w:r>
          </w:p>
        </w:tc>
      </w:tr>
      <w:tr w:rsidR="00152840" w:rsidRPr="00152840" w:rsidTr="00E2695E">
        <w:trPr>
          <w:trHeight w:val="227"/>
        </w:trPr>
        <w:tc>
          <w:tcPr>
            <w:tcW w:w="1101" w:type="dxa"/>
            <w:vMerge w:val="restart"/>
          </w:tcPr>
          <w:p w:rsidR="00152840" w:rsidRPr="00152840" w:rsidRDefault="005033BB" w:rsidP="00152840">
            <w:pPr>
              <w:ind w:left="0" w:right="0"/>
              <w:rPr>
                <w:sz w:val="18"/>
                <w:szCs w:val="18"/>
              </w:rPr>
            </w:pPr>
            <w:r>
              <w:rPr>
                <w:sz w:val="18"/>
                <w:szCs w:val="18"/>
              </w:rPr>
              <w:t xml:space="preserve">Rat </w:t>
            </w:r>
            <w:r w:rsidR="00152840" w:rsidRPr="00152840">
              <w:rPr>
                <w:sz w:val="18"/>
                <w:szCs w:val="18"/>
              </w:rPr>
              <w:t>(SD)</w:t>
            </w:r>
          </w:p>
        </w:tc>
        <w:tc>
          <w:tcPr>
            <w:tcW w:w="1134" w:type="dxa"/>
            <w:vMerge w:val="restart"/>
          </w:tcPr>
          <w:p w:rsidR="00152840" w:rsidRPr="00152840" w:rsidRDefault="00152840" w:rsidP="00152840">
            <w:pPr>
              <w:ind w:left="0" w:right="0"/>
              <w:rPr>
                <w:sz w:val="18"/>
                <w:szCs w:val="18"/>
              </w:rPr>
            </w:pPr>
            <w:r w:rsidRPr="00152840">
              <w:rPr>
                <w:sz w:val="18"/>
                <w:szCs w:val="18"/>
              </w:rPr>
              <w:t>TX-120-2001</w:t>
            </w:r>
          </w:p>
        </w:tc>
        <w:tc>
          <w:tcPr>
            <w:tcW w:w="1275" w:type="dxa"/>
            <w:vMerge w:val="restart"/>
          </w:tcPr>
          <w:p w:rsidR="00152840" w:rsidRPr="00152840" w:rsidRDefault="00152840" w:rsidP="00152840">
            <w:pPr>
              <w:ind w:left="0" w:right="0"/>
              <w:rPr>
                <w:sz w:val="18"/>
                <w:szCs w:val="18"/>
              </w:rPr>
            </w:pPr>
            <w:r w:rsidRPr="00152840">
              <w:rPr>
                <w:sz w:val="18"/>
                <w:szCs w:val="18"/>
              </w:rPr>
              <w:t>TAF</w:t>
            </w:r>
          </w:p>
        </w:tc>
        <w:tc>
          <w:tcPr>
            <w:tcW w:w="1134" w:type="dxa"/>
          </w:tcPr>
          <w:p w:rsidR="00152840" w:rsidRPr="00152840" w:rsidRDefault="00152840" w:rsidP="00152840">
            <w:pPr>
              <w:ind w:left="0" w:right="0"/>
              <w:rPr>
                <w:sz w:val="18"/>
                <w:szCs w:val="18"/>
              </w:rPr>
            </w:pPr>
            <w:r w:rsidRPr="00152840">
              <w:rPr>
                <w:sz w:val="18"/>
                <w:szCs w:val="18"/>
              </w:rPr>
              <w:t>5</w:t>
            </w:r>
          </w:p>
        </w:tc>
        <w:tc>
          <w:tcPr>
            <w:tcW w:w="1418" w:type="dxa"/>
          </w:tcPr>
          <w:p w:rsidR="00152840" w:rsidRPr="00152840" w:rsidRDefault="00152840" w:rsidP="00152840">
            <w:pPr>
              <w:ind w:left="0" w:right="0"/>
              <w:rPr>
                <w:sz w:val="18"/>
                <w:szCs w:val="18"/>
              </w:rPr>
            </w:pPr>
            <w:r w:rsidRPr="00152840">
              <w:rPr>
                <w:sz w:val="18"/>
                <w:szCs w:val="18"/>
              </w:rPr>
              <w:t>414</w:t>
            </w:r>
          </w:p>
        </w:tc>
        <w:tc>
          <w:tcPr>
            <w:tcW w:w="1276" w:type="dxa"/>
          </w:tcPr>
          <w:p w:rsidR="00152840" w:rsidRPr="00152840" w:rsidRDefault="00152840" w:rsidP="00152840">
            <w:pPr>
              <w:ind w:left="0" w:right="0"/>
              <w:rPr>
                <w:sz w:val="18"/>
                <w:szCs w:val="18"/>
              </w:rPr>
            </w:pPr>
            <w:r w:rsidRPr="00152840">
              <w:rPr>
                <w:sz w:val="18"/>
                <w:szCs w:val="18"/>
              </w:rPr>
              <w:t>NC</w:t>
            </w:r>
          </w:p>
        </w:tc>
        <w:tc>
          <w:tcPr>
            <w:tcW w:w="1275" w:type="dxa"/>
          </w:tcPr>
          <w:p w:rsidR="00152840" w:rsidRPr="00152840" w:rsidRDefault="00152840" w:rsidP="00152840">
            <w:pPr>
              <w:ind w:left="0" w:right="0"/>
              <w:rPr>
                <w:sz w:val="18"/>
                <w:szCs w:val="18"/>
              </w:rPr>
            </w:pPr>
            <w:r w:rsidRPr="00152840">
              <w:rPr>
                <w:sz w:val="18"/>
                <w:szCs w:val="18"/>
              </w:rPr>
              <w:t>1.41/NA</w:t>
            </w:r>
          </w:p>
        </w:tc>
      </w:tr>
      <w:tr w:rsidR="00152840" w:rsidRPr="00152840" w:rsidTr="00E2695E">
        <w:trPr>
          <w:trHeight w:val="227"/>
        </w:trPr>
        <w:tc>
          <w:tcPr>
            <w:tcW w:w="1101" w:type="dxa"/>
            <w:vMerge/>
          </w:tcPr>
          <w:p w:rsidR="00152840" w:rsidRPr="00152840" w:rsidRDefault="00152840" w:rsidP="00152840">
            <w:pPr>
              <w:ind w:left="0" w:right="0"/>
              <w:rPr>
                <w:sz w:val="18"/>
                <w:szCs w:val="18"/>
              </w:rPr>
            </w:pPr>
          </w:p>
        </w:tc>
        <w:tc>
          <w:tcPr>
            <w:tcW w:w="1134" w:type="dxa"/>
            <w:vMerge/>
          </w:tcPr>
          <w:p w:rsidR="00152840" w:rsidRPr="00152840" w:rsidRDefault="00152840" w:rsidP="00152840">
            <w:pPr>
              <w:ind w:left="0" w:right="0"/>
              <w:rPr>
                <w:sz w:val="18"/>
                <w:szCs w:val="18"/>
              </w:rPr>
            </w:pPr>
          </w:p>
        </w:tc>
        <w:tc>
          <w:tcPr>
            <w:tcW w:w="1275" w:type="dxa"/>
            <w:vMerge/>
          </w:tcPr>
          <w:p w:rsidR="00152840" w:rsidRPr="00152840" w:rsidRDefault="00152840" w:rsidP="00152840">
            <w:pPr>
              <w:ind w:left="0" w:right="0"/>
              <w:rPr>
                <w:sz w:val="18"/>
                <w:szCs w:val="18"/>
              </w:rPr>
            </w:pPr>
          </w:p>
        </w:tc>
        <w:tc>
          <w:tcPr>
            <w:tcW w:w="1134" w:type="dxa"/>
          </w:tcPr>
          <w:p w:rsidR="00152840" w:rsidRPr="00152840" w:rsidRDefault="00152840" w:rsidP="00152840">
            <w:pPr>
              <w:ind w:left="0" w:right="0"/>
              <w:rPr>
                <w:sz w:val="18"/>
                <w:szCs w:val="18"/>
              </w:rPr>
            </w:pPr>
            <w:r w:rsidRPr="00152840">
              <w:rPr>
                <w:sz w:val="18"/>
                <w:szCs w:val="18"/>
              </w:rPr>
              <w:t>100</w:t>
            </w:r>
          </w:p>
        </w:tc>
        <w:tc>
          <w:tcPr>
            <w:tcW w:w="1418" w:type="dxa"/>
          </w:tcPr>
          <w:p w:rsidR="00152840" w:rsidRPr="00152840" w:rsidRDefault="00152840" w:rsidP="00152840">
            <w:pPr>
              <w:ind w:left="0" w:right="0"/>
              <w:rPr>
                <w:sz w:val="18"/>
                <w:szCs w:val="18"/>
              </w:rPr>
            </w:pPr>
            <w:r w:rsidRPr="00152840">
              <w:rPr>
                <w:sz w:val="18"/>
                <w:szCs w:val="18"/>
              </w:rPr>
              <w:t>20,588</w:t>
            </w:r>
          </w:p>
        </w:tc>
        <w:tc>
          <w:tcPr>
            <w:tcW w:w="1276" w:type="dxa"/>
          </w:tcPr>
          <w:p w:rsidR="00152840" w:rsidRPr="00152840" w:rsidRDefault="00152840" w:rsidP="00152840">
            <w:pPr>
              <w:ind w:left="0" w:right="0"/>
              <w:rPr>
                <w:sz w:val="18"/>
                <w:szCs w:val="18"/>
              </w:rPr>
            </w:pPr>
            <w:r w:rsidRPr="00152840">
              <w:rPr>
                <w:sz w:val="18"/>
                <w:szCs w:val="18"/>
              </w:rPr>
              <w:t>NC</w:t>
            </w:r>
          </w:p>
        </w:tc>
        <w:tc>
          <w:tcPr>
            <w:tcW w:w="1275" w:type="dxa"/>
          </w:tcPr>
          <w:p w:rsidR="00152840" w:rsidRPr="00152840" w:rsidRDefault="00152840" w:rsidP="00152840">
            <w:pPr>
              <w:ind w:left="0" w:right="0"/>
              <w:rPr>
                <w:sz w:val="18"/>
                <w:szCs w:val="18"/>
              </w:rPr>
            </w:pPr>
            <w:r w:rsidRPr="00152840">
              <w:rPr>
                <w:sz w:val="18"/>
                <w:szCs w:val="18"/>
              </w:rPr>
              <w:t>70.27/NA</w:t>
            </w:r>
          </w:p>
        </w:tc>
      </w:tr>
      <w:tr w:rsidR="00152840" w:rsidRPr="00152840" w:rsidTr="00E2695E">
        <w:trPr>
          <w:trHeight w:val="227"/>
        </w:trPr>
        <w:tc>
          <w:tcPr>
            <w:tcW w:w="1101" w:type="dxa"/>
            <w:vMerge/>
          </w:tcPr>
          <w:p w:rsidR="00152840" w:rsidRPr="00152840" w:rsidRDefault="00152840" w:rsidP="00152840">
            <w:pPr>
              <w:ind w:left="0" w:right="0"/>
              <w:rPr>
                <w:sz w:val="18"/>
                <w:szCs w:val="18"/>
              </w:rPr>
            </w:pPr>
          </w:p>
        </w:tc>
        <w:tc>
          <w:tcPr>
            <w:tcW w:w="1134" w:type="dxa"/>
            <w:vMerge/>
          </w:tcPr>
          <w:p w:rsidR="00152840" w:rsidRPr="00152840" w:rsidRDefault="00152840" w:rsidP="00152840">
            <w:pPr>
              <w:ind w:left="0" w:right="0"/>
              <w:rPr>
                <w:sz w:val="18"/>
                <w:szCs w:val="18"/>
              </w:rPr>
            </w:pPr>
          </w:p>
        </w:tc>
        <w:tc>
          <w:tcPr>
            <w:tcW w:w="1275" w:type="dxa"/>
            <w:vMerge/>
          </w:tcPr>
          <w:p w:rsidR="00152840" w:rsidRPr="00152840" w:rsidRDefault="00152840" w:rsidP="00152840">
            <w:pPr>
              <w:ind w:left="0" w:right="0"/>
              <w:rPr>
                <w:sz w:val="18"/>
                <w:szCs w:val="18"/>
              </w:rPr>
            </w:pPr>
          </w:p>
        </w:tc>
        <w:tc>
          <w:tcPr>
            <w:tcW w:w="1134" w:type="dxa"/>
          </w:tcPr>
          <w:p w:rsidR="00152840" w:rsidRPr="00152840" w:rsidRDefault="00152840" w:rsidP="00152840">
            <w:pPr>
              <w:ind w:left="0" w:right="0"/>
              <w:rPr>
                <w:sz w:val="18"/>
                <w:szCs w:val="18"/>
              </w:rPr>
            </w:pPr>
            <w:r w:rsidRPr="00152840">
              <w:rPr>
                <w:sz w:val="18"/>
                <w:szCs w:val="18"/>
              </w:rPr>
              <w:t>200</w:t>
            </w:r>
          </w:p>
        </w:tc>
        <w:tc>
          <w:tcPr>
            <w:tcW w:w="1418" w:type="dxa"/>
          </w:tcPr>
          <w:p w:rsidR="00152840" w:rsidRPr="00152840" w:rsidRDefault="00152840" w:rsidP="00152840">
            <w:pPr>
              <w:ind w:left="0" w:right="0"/>
              <w:rPr>
                <w:sz w:val="18"/>
                <w:szCs w:val="18"/>
              </w:rPr>
            </w:pPr>
            <w:r w:rsidRPr="00152840">
              <w:rPr>
                <w:sz w:val="18"/>
                <w:szCs w:val="18"/>
              </w:rPr>
              <w:t>35,682</w:t>
            </w:r>
          </w:p>
        </w:tc>
        <w:tc>
          <w:tcPr>
            <w:tcW w:w="1276" w:type="dxa"/>
          </w:tcPr>
          <w:p w:rsidR="00152840" w:rsidRPr="00152840" w:rsidRDefault="00152840" w:rsidP="00152840">
            <w:pPr>
              <w:ind w:left="0" w:right="0"/>
              <w:rPr>
                <w:sz w:val="18"/>
                <w:szCs w:val="18"/>
              </w:rPr>
            </w:pPr>
            <w:r w:rsidRPr="00152840">
              <w:rPr>
                <w:sz w:val="18"/>
                <w:szCs w:val="18"/>
              </w:rPr>
              <w:t>NC</w:t>
            </w:r>
          </w:p>
        </w:tc>
        <w:tc>
          <w:tcPr>
            <w:tcW w:w="1275" w:type="dxa"/>
          </w:tcPr>
          <w:p w:rsidR="00152840" w:rsidRPr="00152840" w:rsidRDefault="00152840" w:rsidP="00152840">
            <w:pPr>
              <w:ind w:left="0" w:right="0"/>
              <w:rPr>
                <w:sz w:val="18"/>
                <w:szCs w:val="18"/>
              </w:rPr>
            </w:pPr>
            <w:r w:rsidRPr="00152840">
              <w:rPr>
                <w:sz w:val="18"/>
                <w:szCs w:val="18"/>
              </w:rPr>
              <w:t>121.78/NA</w:t>
            </w:r>
          </w:p>
        </w:tc>
      </w:tr>
      <w:tr w:rsidR="00152840" w:rsidRPr="00152840" w:rsidTr="00E2695E">
        <w:trPr>
          <w:trHeight w:val="227"/>
        </w:trPr>
        <w:tc>
          <w:tcPr>
            <w:tcW w:w="1101" w:type="dxa"/>
            <w:vMerge/>
          </w:tcPr>
          <w:p w:rsidR="00152840" w:rsidRPr="00152840" w:rsidRDefault="00152840" w:rsidP="00152840">
            <w:pPr>
              <w:ind w:left="0" w:right="0"/>
              <w:rPr>
                <w:sz w:val="18"/>
                <w:szCs w:val="18"/>
              </w:rPr>
            </w:pPr>
          </w:p>
        </w:tc>
        <w:tc>
          <w:tcPr>
            <w:tcW w:w="1134" w:type="dxa"/>
            <w:vMerge w:val="restart"/>
          </w:tcPr>
          <w:p w:rsidR="00152840" w:rsidRPr="00152840" w:rsidRDefault="00152840" w:rsidP="00152840">
            <w:pPr>
              <w:ind w:left="0" w:right="0"/>
              <w:rPr>
                <w:sz w:val="18"/>
                <w:szCs w:val="18"/>
              </w:rPr>
            </w:pPr>
            <w:r w:rsidRPr="00152840">
              <w:rPr>
                <w:sz w:val="18"/>
                <w:szCs w:val="18"/>
              </w:rPr>
              <w:t>TX-120-2002</w:t>
            </w:r>
          </w:p>
        </w:tc>
        <w:tc>
          <w:tcPr>
            <w:tcW w:w="1275" w:type="dxa"/>
            <w:vMerge w:val="restart"/>
          </w:tcPr>
          <w:p w:rsidR="00152840" w:rsidRPr="00152840" w:rsidRDefault="00152840" w:rsidP="00152840">
            <w:pPr>
              <w:ind w:left="0" w:right="0"/>
              <w:rPr>
                <w:sz w:val="18"/>
                <w:szCs w:val="18"/>
              </w:rPr>
            </w:pPr>
            <w:r w:rsidRPr="00152840">
              <w:rPr>
                <w:sz w:val="18"/>
                <w:szCs w:val="18"/>
              </w:rPr>
              <w:t>TAF</w:t>
            </w:r>
          </w:p>
        </w:tc>
        <w:tc>
          <w:tcPr>
            <w:tcW w:w="1134" w:type="dxa"/>
          </w:tcPr>
          <w:p w:rsidR="00152840" w:rsidRPr="00152840" w:rsidRDefault="00152840" w:rsidP="00152840">
            <w:pPr>
              <w:ind w:left="0" w:right="0"/>
              <w:rPr>
                <w:sz w:val="18"/>
                <w:szCs w:val="18"/>
              </w:rPr>
            </w:pPr>
            <w:r w:rsidRPr="00152840">
              <w:rPr>
                <w:sz w:val="18"/>
                <w:szCs w:val="18"/>
              </w:rPr>
              <w:t>25</w:t>
            </w:r>
          </w:p>
        </w:tc>
        <w:tc>
          <w:tcPr>
            <w:tcW w:w="1418" w:type="dxa"/>
          </w:tcPr>
          <w:p w:rsidR="00152840" w:rsidRPr="00152840" w:rsidRDefault="00152840" w:rsidP="00152840">
            <w:pPr>
              <w:ind w:left="0" w:right="0"/>
              <w:rPr>
                <w:sz w:val="18"/>
                <w:szCs w:val="18"/>
              </w:rPr>
            </w:pPr>
            <w:r w:rsidRPr="00152840">
              <w:rPr>
                <w:sz w:val="18"/>
                <w:szCs w:val="18"/>
              </w:rPr>
              <w:t>2803</w:t>
            </w:r>
          </w:p>
        </w:tc>
        <w:tc>
          <w:tcPr>
            <w:tcW w:w="1276" w:type="dxa"/>
          </w:tcPr>
          <w:p w:rsidR="00152840" w:rsidRPr="00152840" w:rsidRDefault="00152840" w:rsidP="00152840">
            <w:pPr>
              <w:ind w:left="0" w:right="0"/>
              <w:rPr>
                <w:sz w:val="18"/>
                <w:szCs w:val="18"/>
              </w:rPr>
            </w:pPr>
            <w:r w:rsidRPr="00152840">
              <w:rPr>
                <w:sz w:val="18"/>
                <w:szCs w:val="18"/>
              </w:rPr>
              <w:t>NC</w:t>
            </w:r>
          </w:p>
        </w:tc>
        <w:tc>
          <w:tcPr>
            <w:tcW w:w="1275" w:type="dxa"/>
          </w:tcPr>
          <w:p w:rsidR="00152840" w:rsidRPr="00152840" w:rsidRDefault="00152840" w:rsidP="00152840">
            <w:pPr>
              <w:ind w:left="0" w:right="0"/>
              <w:rPr>
                <w:sz w:val="18"/>
                <w:szCs w:val="18"/>
              </w:rPr>
            </w:pPr>
            <w:r w:rsidRPr="00152840">
              <w:rPr>
                <w:sz w:val="18"/>
                <w:szCs w:val="18"/>
              </w:rPr>
              <w:t>9.57/NA</w:t>
            </w:r>
          </w:p>
        </w:tc>
      </w:tr>
      <w:tr w:rsidR="00152840" w:rsidRPr="00152840" w:rsidTr="00E2695E">
        <w:trPr>
          <w:trHeight w:val="227"/>
        </w:trPr>
        <w:tc>
          <w:tcPr>
            <w:tcW w:w="1101" w:type="dxa"/>
            <w:vMerge/>
          </w:tcPr>
          <w:p w:rsidR="00152840" w:rsidRPr="00152840" w:rsidRDefault="00152840" w:rsidP="00152840">
            <w:pPr>
              <w:ind w:left="0" w:right="0"/>
              <w:rPr>
                <w:sz w:val="18"/>
                <w:szCs w:val="18"/>
              </w:rPr>
            </w:pPr>
          </w:p>
        </w:tc>
        <w:tc>
          <w:tcPr>
            <w:tcW w:w="1134" w:type="dxa"/>
            <w:vMerge/>
          </w:tcPr>
          <w:p w:rsidR="00152840" w:rsidRPr="00152840" w:rsidRDefault="00152840" w:rsidP="00152840">
            <w:pPr>
              <w:ind w:left="0" w:right="0"/>
              <w:rPr>
                <w:sz w:val="18"/>
                <w:szCs w:val="18"/>
              </w:rPr>
            </w:pPr>
          </w:p>
        </w:tc>
        <w:tc>
          <w:tcPr>
            <w:tcW w:w="1275" w:type="dxa"/>
            <w:vMerge/>
          </w:tcPr>
          <w:p w:rsidR="00152840" w:rsidRPr="00152840" w:rsidRDefault="00152840" w:rsidP="00152840">
            <w:pPr>
              <w:ind w:left="0" w:right="0"/>
              <w:rPr>
                <w:sz w:val="18"/>
                <w:szCs w:val="18"/>
              </w:rPr>
            </w:pPr>
          </w:p>
        </w:tc>
        <w:tc>
          <w:tcPr>
            <w:tcW w:w="1134" w:type="dxa"/>
          </w:tcPr>
          <w:p w:rsidR="00152840" w:rsidRPr="00152840" w:rsidRDefault="00152840" w:rsidP="00152840">
            <w:pPr>
              <w:ind w:left="0" w:right="0"/>
              <w:rPr>
                <w:sz w:val="18"/>
                <w:szCs w:val="18"/>
              </w:rPr>
            </w:pPr>
            <w:r w:rsidRPr="00152840">
              <w:rPr>
                <w:sz w:val="18"/>
                <w:szCs w:val="18"/>
              </w:rPr>
              <w:t>100</w:t>
            </w:r>
          </w:p>
        </w:tc>
        <w:tc>
          <w:tcPr>
            <w:tcW w:w="1418" w:type="dxa"/>
          </w:tcPr>
          <w:p w:rsidR="00152840" w:rsidRPr="00152840" w:rsidRDefault="00152840" w:rsidP="00152840">
            <w:pPr>
              <w:ind w:left="0" w:right="0"/>
              <w:rPr>
                <w:sz w:val="18"/>
                <w:szCs w:val="18"/>
              </w:rPr>
            </w:pPr>
            <w:r w:rsidRPr="00152840">
              <w:rPr>
                <w:sz w:val="18"/>
                <w:szCs w:val="18"/>
              </w:rPr>
              <w:t>17,392</w:t>
            </w:r>
          </w:p>
        </w:tc>
        <w:tc>
          <w:tcPr>
            <w:tcW w:w="1276" w:type="dxa"/>
          </w:tcPr>
          <w:p w:rsidR="00152840" w:rsidRPr="00152840" w:rsidRDefault="00152840" w:rsidP="00152840">
            <w:pPr>
              <w:ind w:left="0" w:right="0"/>
              <w:rPr>
                <w:sz w:val="18"/>
                <w:szCs w:val="18"/>
              </w:rPr>
            </w:pPr>
            <w:r w:rsidRPr="00152840">
              <w:rPr>
                <w:sz w:val="18"/>
                <w:szCs w:val="18"/>
              </w:rPr>
              <w:t>242</w:t>
            </w:r>
          </w:p>
        </w:tc>
        <w:tc>
          <w:tcPr>
            <w:tcW w:w="1275" w:type="dxa"/>
          </w:tcPr>
          <w:p w:rsidR="00152840" w:rsidRPr="00152840" w:rsidRDefault="00152840" w:rsidP="00152840">
            <w:pPr>
              <w:ind w:left="0" w:right="0"/>
              <w:rPr>
                <w:sz w:val="18"/>
                <w:szCs w:val="18"/>
              </w:rPr>
            </w:pPr>
            <w:r w:rsidRPr="00152840">
              <w:rPr>
                <w:sz w:val="18"/>
                <w:szCs w:val="18"/>
              </w:rPr>
              <w:t>59.36/1.17</w:t>
            </w:r>
          </w:p>
        </w:tc>
      </w:tr>
      <w:tr w:rsidR="00152840" w:rsidRPr="00152840" w:rsidTr="00E2695E">
        <w:trPr>
          <w:trHeight w:val="227"/>
        </w:trPr>
        <w:tc>
          <w:tcPr>
            <w:tcW w:w="1101" w:type="dxa"/>
            <w:vMerge/>
          </w:tcPr>
          <w:p w:rsidR="00152840" w:rsidRPr="00152840" w:rsidRDefault="00152840" w:rsidP="00152840">
            <w:pPr>
              <w:ind w:left="0" w:right="0"/>
              <w:rPr>
                <w:sz w:val="18"/>
                <w:szCs w:val="18"/>
              </w:rPr>
            </w:pPr>
          </w:p>
        </w:tc>
        <w:tc>
          <w:tcPr>
            <w:tcW w:w="1134" w:type="dxa"/>
            <w:vMerge/>
          </w:tcPr>
          <w:p w:rsidR="00152840" w:rsidRPr="00152840" w:rsidRDefault="00152840" w:rsidP="00152840">
            <w:pPr>
              <w:ind w:left="0" w:right="0"/>
              <w:rPr>
                <w:sz w:val="18"/>
                <w:szCs w:val="18"/>
              </w:rPr>
            </w:pPr>
          </w:p>
        </w:tc>
        <w:tc>
          <w:tcPr>
            <w:tcW w:w="1275" w:type="dxa"/>
            <w:vMerge/>
          </w:tcPr>
          <w:p w:rsidR="00152840" w:rsidRPr="00152840" w:rsidRDefault="00152840" w:rsidP="00152840">
            <w:pPr>
              <w:ind w:left="0" w:right="0"/>
              <w:rPr>
                <w:sz w:val="18"/>
                <w:szCs w:val="18"/>
              </w:rPr>
            </w:pPr>
          </w:p>
        </w:tc>
        <w:tc>
          <w:tcPr>
            <w:tcW w:w="1134" w:type="dxa"/>
          </w:tcPr>
          <w:p w:rsidR="00152840" w:rsidRPr="00152840" w:rsidRDefault="00152840" w:rsidP="00152840">
            <w:pPr>
              <w:ind w:left="0" w:right="0"/>
              <w:rPr>
                <w:sz w:val="18"/>
                <w:szCs w:val="18"/>
              </w:rPr>
            </w:pPr>
            <w:r w:rsidRPr="00152840">
              <w:rPr>
                <w:sz w:val="18"/>
                <w:szCs w:val="18"/>
              </w:rPr>
              <w:t>250</w:t>
            </w:r>
          </w:p>
        </w:tc>
        <w:tc>
          <w:tcPr>
            <w:tcW w:w="1418" w:type="dxa"/>
          </w:tcPr>
          <w:p w:rsidR="00152840" w:rsidRPr="00152840" w:rsidRDefault="00152840" w:rsidP="00152840">
            <w:pPr>
              <w:ind w:left="0" w:right="0"/>
              <w:rPr>
                <w:sz w:val="18"/>
                <w:szCs w:val="18"/>
              </w:rPr>
            </w:pPr>
            <w:r w:rsidRPr="00152840">
              <w:rPr>
                <w:sz w:val="18"/>
                <w:szCs w:val="18"/>
              </w:rPr>
              <w:t>55,728</w:t>
            </w:r>
          </w:p>
        </w:tc>
        <w:tc>
          <w:tcPr>
            <w:tcW w:w="1276" w:type="dxa"/>
          </w:tcPr>
          <w:p w:rsidR="00152840" w:rsidRPr="00152840" w:rsidRDefault="00152840" w:rsidP="00152840">
            <w:pPr>
              <w:ind w:left="0" w:right="0"/>
              <w:rPr>
                <w:sz w:val="18"/>
                <w:szCs w:val="18"/>
              </w:rPr>
            </w:pPr>
            <w:r w:rsidRPr="00152840">
              <w:rPr>
                <w:sz w:val="18"/>
                <w:szCs w:val="18"/>
              </w:rPr>
              <w:t>1382</w:t>
            </w:r>
          </w:p>
        </w:tc>
        <w:tc>
          <w:tcPr>
            <w:tcW w:w="1275" w:type="dxa"/>
          </w:tcPr>
          <w:p w:rsidR="00152840" w:rsidRPr="00152840" w:rsidRDefault="00152840" w:rsidP="00152840">
            <w:pPr>
              <w:ind w:left="0" w:right="0"/>
              <w:rPr>
                <w:sz w:val="18"/>
                <w:szCs w:val="18"/>
              </w:rPr>
            </w:pPr>
            <w:r w:rsidRPr="00152840">
              <w:rPr>
                <w:sz w:val="18"/>
                <w:szCs w:val="18"/>
              </w:rPr>
              <w:t>190.20/6.71</w:t>
            </w:r>
          </w:p>
        </w:tc>
      </w:tr>
      <w:tr w:rsidR="00152840" w:rsidRPr="00152840" w:rsidTr="00E2695E">
        <w:trPr>
          <w:trHeight w:val="227"/>
        </w:trPr>
        <w:tc>
          <w:tcPr>
            <w:tcW w:w="1101" w:type="dxa"/>
            <w:vMerge w:val="restart"/>
          </w:tcPr>
          <w:p w:rsidR="00152840" w:rsidRPr="00152840" w:rsidRDefault="005033BB" w:rsidP="00152840">
            <w:pPr>
              <w:ind w:left="0" w:right="0"/>
              <w:rPr>
                <w:sz w:val="18"/>
                <w:szCs w:val="18"/>
              </w:rPr>
            </w:pPr>
            <w:r>
              <w:rPr>
                <w:sz w:val="18"/>
                <w:szCs w:val="18"/>
              </w:rPr>
              <w:t xml:space="preserve">Rabbit </w:t>
            </w:r>
            <w:r w:rsidR="00152840" w:rsidRPr="00152840">
              <w:rPr>
                <w:sz w:val="18"/>
                <w:szCs w:val="18"/>
              </w:rPr>
              <w:t>(NZW)</w:t>
            </w:r>
          </w:p>
        </w:tc>
        <w:tc>
          <w:tcPr>
            <w:tcW w:w="1134" w:type="dxa"/>
            <w:vMerge w:val="restart"/>
          </w:tcPr>
          <w:p w:rsidR="00152840" w:rsidRPr="00152840" w:rsidRDefault="00152840" w:rsidP="00152840">
            <w:pPr>
              <w:ind w:left="0" w:right="0"/>
              <w:rPr>
                <w:sz w:val="18"/>
                <w:szCs w:val="18"/>
              </w:rPr>
            </w:pPr>
            <w:r w:rsidRPr="00152840">
              <w:rPr>
                <w:sz w:val="18"/>
                <w:szCs w:val="18"/>
              </w:rPr>
              <w:t>TX-120-2004</w:t>
            </w:r>
          </w:p>
        </w:tc>
        <w:tc>
          <w:tcPr>
            <w:tcW w:w="1275" w:type="dxa"/>
            <w:vMerge w:val="restart"/>
          </w:tcPr>
          <w:p w:rsidR="00152840" w:rsidRPr="00152840" w:rsidRDefault="00152840" w:rsidP="00152840">
            <w:pPr>
              <w:ind w:left="0" w:right="0"/>
              <w:rPr>
                <w:sz w:val="18"/>
                <w:szCs w:val="18"/>
              </w:rPr>
            </w:pPr>
            <w:r w:rsidRPr="00152840">
              <w:rPr>
                <w:sz w:val="18"/>
                <w:szCs w:val="18"/>
              </w:rPr>
              <w:t>TAF</w:t>
            </w:r>
          </w:p>
        </w:tc>
        <w:tc>
          <w:tcPr>
            <w:tcW w:w="1134" w:type="dxa"/>
          </w:tcPr>
          <w:p w:rsidR="00152840" w:rsidRPr="00152840" w:rsidRDefault="00152840" w:rsidP="00152840">
            <w:pPr>
              <w:ind w:left="0" w:right="0"/>
              <w:rPr>
                <w:sz w:val="18"/>
                <w:szCs w:val="18"/>
              </w:rPr>
            </w:pPr>
            <w:r w:rsidRPr="00152840">
              <w:rPr>
                <w:sz w:val="18"/>
                <w:szCs w:val="18"/>
              </w:rPr>
              <w:t>5</w:t>
            </w:r>
          </w:p>
        </w:tc>
        <w:tc>
          <w:tcPr>
            <w:tcW w:w="1418" w:type="dxa"/>
          </w:tcPr>
          <w:p w:rsidR="00152840" w:rsidRPr="00152840" w:rsidRDefault="00152840" w:rsidP="00152840">
            <w:pPr>
              <w:ind w:left="0" w:right="0"/>
              <w:rPr>
                <w:sz w:val="18"/>
                <w:szCs w:val="18"/>
              </w:rPr>
            </w:pPr>
            <w:r w:rsidRPr="00152840">
              <w:rPr>
                <w:sz w:val="18"/>
                <w:szCs w:val="18"/>
              </w:rPr>
              <w:t>1560</w:t>
            </w:r>
          </w:p>
        </w:tc>
        <w:tc>
          <w:tcPr>
            <w:tcW w:w="1276" w:type="dxa"/>
          </w:tcPr>
          <w:p w:rsidR="00152840" w:rsidRPr="00152840" w:rsidRDefault="00152840" w:rsidP="00152840">
            <w:pPr>
              <w:ind w:left="0" w:right="0"/>
              <w:rPr>
                <w:sz w:val="18"/>
                <w:szCs w:val="18"/>
              </w:rPr>
            </w:pPr>
            <w:r w:rsidRPr="00152840">
              <w:rPr>
                <w:sz w:val="18"/>
                <w:szCs w:val="18"/>
              </w:rPr>
              <w:t>NC</w:t>
            </w:r>
          </w:p>
        </w:tc>
        <w:tc>
          <w:tcPr>
            <w:tcW w:w="1275" w:type="dxa"/>
          </w:tcPr>
          <w:p w:rsidR="00152840" w:rsidRPr="00152840" w:rsidRDefault="00152840" w:rsidP="00152840">
            <w:pPr>
              <w:ind w:left="0" w:right="0"/>
              <w:rPr>
                <w:sz w:val="18"/>
                <w:szCs w:val="18"/>
              </w:rPr>
            </w:pPr>
            <w:r w:rsidRPr="00152840">
              <w:rPr>
                <w:sz w:val="18"/>
                <w:szCs w:val="18"/>
              </w:rPr>
              <w:t>5.32/NA</w:t>
            </w:r>
          </w:p>
        </w:tc>
      </w:tr>
      <w:tr w:rsidR="00152840" w:rsidRPr="00152840" w:rsidTr="00E2695E">
        <w:trPr>
          <w:trHeight w:val="227"/>
        </w:trPr>
        <w:tc>
          <w:tcPr>
            <w:tcW w:w="1101" w:type="dxa"/>
            <w:vMerge/>
          </w:tcPr>
          <w:p w:rsidR="00152840" w:rsidRPr="00152840" w:rsidRDefault="00152840" w:rsidP="00152840">
            <w:pPr>
              <w:ind w:left="0" w:right="0"/>
              <w:rPr>
                <w:sz w:val="18"/>
                <w:szCs w:val="18"/>
              </w:rPr>
            </w:pPr>
          </w:p>
        </w:tc>
        <w:tc>
          <w:tcPr>
            <w:tcW w:w="1134" w:type="dxa"/>
            <w:vMerge/>
          </w:tcPr>
          <w:p w:rsidR="00152840" w:rsidRPr="00152840" w:rsidRDefault="00152840" w:rsidP="00152840">
            <w:pPr>
              <w:ind w:left="0" w:right="0"/>
              <w:rPr>
                <w:sz w:val="18"/>
                <w:szCs w:val="18"/>
              </w:rPr>
            </w:pPr>
          </w:p>
        </w:tc>
        <w:tc>
          <w:tcPr>
            <w:tcW w:w="1275" w:type="dxa"/>
            <w:vMerge/>
          </w:tcPr>
          <w:p w:rsidR="00152840" w:rsidRPr="00152840" w:rsidRDefault="00152840" w:rsidP="00152840">
            <w:pPr>
              <w:ind w:left="0" w:right="0"/>
              <w:rPr>
                <w:sz w:val="18"/>
                <w:szCs w:val="18"/>
              </w:rPr>
            </w:pPr>
          </w:p>
        </w:tc>
        <w:tc>
          <w:tcPr>
            <w:tcW w:w="1134" w:type="dxa"/>
          </w:tcPr>
          <w:p w:rsidR="00152840" w:rsidRPr="00152840" w:rsidRDefault="00152840" w:rsidP="00152840">
            <w:pPr>
              <w:ind w:left="0" w:right="0"/>
              <w:rPr>
                <w:sz w:val="18"/>
                <w:szCs w:val="18"/>
              </w:rPr>
            </w:pPr>
            <w:r w:rsidRPr="00152840">
              <w:rPr>
                <w:sz w:val="18"/>
                <w:szCs w:val="18"/>
              </w:rPr>
              <w:t>25</w:t>
            </w:r>
          </w:p>
        </w:tc>
        <w:tc>
          <w:tcPr>
            <w:tcW w:w="1418" w:type="dxa"/>
          </w:tcPr>
          <w:p w:rsidR="00152840" w:rsidRPr="00152840" w:rsidRDefault="00152840" w:rsidP="00152840">
            <w:pPr>
              <w:ind w:left="0" w:right="0"/>
              <w:rPr>
                <w:sz w:val="18"/>
                <w:szCs w:val="18"/>
              </w:rPr>
            </w:pPr>
            <w:r w:rsidRPr="00152840">
              <w:rPr>
                <w:sz w:val="18"/>
                <w:szCs w:val="18"/>
              </w:rPr>
              <w:t>6014</w:t>
            </w:r>
          </w:p>
        </w:tc>
        <w:tc>
          <w:tcPr>
            <w:tcW w:w="1276" w:type="dxa"/>
          </w:tcPr>
          <w:p w:rsidR="00152840" w:rsidRPr="00152840" w:rsidRDefault="00152840" w:rsidP="00152840">
            <w:pPr>
              <w:ind w:left="0" w:right="0"/>
              <w:rPr>
                <w:sz w:val="18"/>
                <w:szCs w:val="18"/>
              </w:rPr>
            </w:pPr>
            <w:r w:rsidRPr="00152840">
              <w:rPr>
                <w:sz w:val="18"/>
                <w:szCs w:val="18"/>
              </w:rPr>
              <w:t>NC</w:t>
            </w:r>
          </w:p>
        </w:tc>
        <w:tc>
          <w:tcPr>
            <w:tcW w:w="1275" w:type="dxa"/>
          </w:tcPr>
          <w:p w:rsidR="00152840" w:rsidRPr="00152840" w:rsidRDefault="00152840" w:rsidP="00152840">
            <w:pPr>
              <w:ind w:left="0" w:right="0"/>
              <w:rPr>
                <w:sz w:val="18"/>
                <w:szCs w:val="18"/>
              </w:rPr>
            </w:pPr>
            <w:r w:rsidRPr="00152840">
              <w:rPr>
                <w:sz w:val="18"/>
                <w:szCs w:val="18"/>
              </w:rPr>
              <w:t>20.53/NA</w:t>
            </w:r>
          </w:p>
        </w:tc>
      </w:tr>
      <w:tr w:rsidR="00152840" w:rsidRPr="00152840" w:rsidTr="00E2695E">
        <w:trPr>
          <w:trHeight w:val="227"/>
        </w:trPr>
        <w:tc>
          <w:tcPr>
            <w:tcW w:w="1101" w:type="dxa"/>
            <w:vMerge/>
          </w:tcPr>
          <w:p w:rsidR="00152840" w:rsidRPr="00152840" w:rsidRDefault="00152840" w:rsidP="00152840">
            <w:pPr>
              <w:ind w:left="0" w:right="0"/>
              <w:rPr>
                <w:sz w:val="18"/>
                <w:szCs w:val="18"/>
              </w:rPr>
            </w:pPr>
          </w:p>
        </w:tc>
        <w:tc>
          <w:tcPr>
            <w:tcW w:w="1134" w:type="dxa"/>
            <w:vMerge/>
          </w:tcPr>
          <w:p w:rsidR="00152840" w:rsidRPr="00152840" w:rsidRDefault="00152840" w:rsidP="00152840">
            <w:pPr>
              <w:ind w:left="0" w:right="0"/>
              <w:rPr>
                <w:sz w:val="18"/>
                <w:szCs w:val="18"/>
              </w:rPr>
            </w:pPr>
          </w:p>
        </w:tc>
        <w:tc>
          <w:tcPr>
            <w:tcW w:w="1275" w:type="dxa"/>
            <w:vMerge/>
          </w:tcPr>
          <w:p w:rsidR="00152840" w:rsidRPr="00152840" w:rsidRDefault="00152840" w:rsidP="00152840">
            <w:pPr>
              <w:ind w:left="0" w:right="0"/>
              <w:rPr>
                <w:sz w:val="18"/>
                <w:szCs w:val="18"/>
              </w:rPr>
            </w:pPr>
          </w:p>
        </w:tc>
        <w:tc>
          <w:tcPr>
            <w:tcW w:w="1134" w:type="dxa"/>
          </w:tcPr>
          <w:p w:rsidR="00152840" w:rsidRPr="00152840" w:rsidRDefault="00152840" w:rsidP="00152840">
            <w:pPr>
              <w:ind w:left="0" w:right="0"/>
              <w:rPr>
                <w:sz w:val="18"/>
                <w:szCs w:val="18"/>
              </w:rPr>
            </w:pPr>
            <w:r w:rsidRPr="00152840">
              <w:rPr>
                <w:sz w:val="18"/>
                <w:szCs w:val="18"/>
              </w:rPr>
              <w:t>20</w:t>
            </w:r>
          </w:p>
        </w:tc>
        <w:tc>
          <w:tcPr>
            <w:tcW w:w="1418" w:type="dxa"/>
          </w:tcPr>
          <w:p w:rsidR="00152840" w:rsidRPr="00152840" w:rsidRDefault="00152840" w:rsidP="00152840">
            <w:pPr>
              <w:ind w:left="0" w:right="0"/>
              <w:rPr>
                <w:sz w:val="18"/>
                <w:szCs w:val="18"/>
              </w:rPr>
            </w:pPr>
            <w:r w:rsidRPr="00152840">
              <w:rPr>
                <w:sz w:val="18"/>
                <w:szCs w:val="18"/>
              </w:rPr>
              <w:t>11,769</w:t>
            </w:r>
          </w:p>
        </w:tc>
        <w:tc>
          <w:tcPr>
            <w:tcW w:w="1276" w:type="dxa"/>
          </w:tcPr>
          <w:p w:rsidR="00152840" w:rsidRPr="00152840" w:rsidRDefault="00152840" w:rsidP="00152840">
            <w:pPr>
              <w:ind w:left="0" w:right="0"/>
              <w:rPr>
                <w:sz w:val="18"/>
                <w:szCs w:val="18"/>
              </w:rPr>
            </w:pPr>
            <w:r w:rsidRPr="00152840">
              <w:rPr>
                <w:sz w:val="18"/>
                <w:szCs w:val="18"/>
              </w:rPr>
              <w:t>NC</w:t>
            </w:r>
          </w:p>
        </w:tc>
        <w:tc>
          <w:tcPr>
            <w:tcW w:w="1275" w:type="dxa"/>
          </w:tcPr>
          <w:p w:rsidR="00152840" w:rsidRPr="00152840" w:rsidRDefault="00152840" w:rsidP="00152840">
            <w:pPr>
              <w:ind w:left="0" w:right="0"/>
              <w:rPr>
                <w:sz w:val="18"/>
                <w:szCs w:val="18"/>
              </w:rPr>
            </w:pPr>
            <w:r w:rsidRPr="00152840">
              <w:rPr>
                <w:sz w:val="18"/>
                <w:szCs w:val="18"/>
              </w:rPr>
              <w:t>40.17/NA</w:t>
            </w:r>
          </w:p>
        </w:tc>
      </w:tr>
      <w:tr w:rsidR="00152840" w:rsidRPr="00152840" w:rsidTr="00E2695E">
        <w:trPr>
          <w:trHeight w:val="227"/>
        </w:trPr>
        <w:tc>
          <w:tcPr>
            <w:tcW w:w="1101" w:type="dxa"/>
            <w:vMerge/>
          </w:tcPr>
          <w:p w:rsidR="00152840" w:rsidRPr="00152840" w:rsidRDefault="00152840" w:rsidP="00152840">
            <w:pPr>
              <w:ind w:left="0" w:right="0"/>
              <w:rPr>
                <w:sz w:val="18"/>
                <w:szCs w:val="18"/>
              </w:rPr>
            </w:pPr>
          </w:p>
        </w:tc>
        <w:tc>
          <w:tcPr>
            <w:tcW w:w="1134" w:type="dxa"/>
            <w:vMerge/>
          </w:tcPr>
          <w:p w:rsidR="00152840" w:rsidRPr="00152840" w:rsidRDefault="00152840" w:rsidP="00152840">
            <w:pPr>
              <w:ind w:left="0" w:right="0"/>
              <w:rPr>
                <w:sz w:val="18"/>
                <w:szCs w:val="18"/>
              </w:rPr>
            </w:pPr>
          </w:p>
        </w:tc>
        <w:tc>
          <w:tcPr>
            <w:tcW w:w="1275" w:type="dxa"/>
            <w:vMerge/>
          </w:tcPr>
          <w:p w:rsidR="00152840" w:rsidRPr="00152840" w:rsidRDefault="00152840" w:rsidP="00152840">
            <w:pPr>
              <w:ind w:left="0" w:right="0"/>
              <w:rPr>
                <w:sz w:val="18"/>
                <w:szCs w:val="18"/>
              </w:rPr>
            </w:pPr>
          </w:p>
        </w:tc>
        <w:tc>
          <w:tcPr>
            <w:tcW w:w="1134" w:type="dxa"/>
          </w:tcPr>
          <w:p w:rsidR="00152840" w:rsidRPr="00152840" w:rsidRDefault="00152840" w:rsidP="00152840">
            <w:pPr>
              <w:ind w:left="0" w:right="0"/>
              <w:rPr>
                <w:sz w:val="18"/>
                <w:szCs w:val="18"/>
              </w:rPr>
            </w:pPr>
            <w:r w:rsidRPr="00152840">
              <w:rPr>
                <w:sz w:val="18"/>
                <w:szCs w:val="18"/>
              </w:rPr>
              <w:t>100</w:t>
            </w:r>
          </w:p>
        </w:tc>
        <w:tc>
          <w:tcPr>
            <w:tcW w:w="1418" w:type="dxa"/>
          </w:tcPr>
          <w:p w:rsidR="00152840" w:rsidRPr="00152840" w:rsidRDefault="00152840" w:rsidP="00152840">
            <w:pPr>
              <w:ind w:left="0" w:right="0"/>
              <w:rPr>
                <w:sz w:val="18"/>
                <w:szCs w:val="18"/>
              </w:rPr>
            </w:pPr>
            <w:r w:rsidRPr="00152840">
              <w:rPr>
                <w:sz w:val="18"/>
                <w:szCs w:val="18"/>
              </w:rPr>
              <w:t>23,525</w:t>
            </w:r>
          </w:p>
        </w:tc>
        <w:tc>
          <w:tcPr>
            <w:tcW w:w="1276" w:type="dxa"/>
          </w:tcPr>
          <w:p w:rsidR="00152840" w:rsidRPr="00152840" w:rsidRDefault="00152840" w:rsidP="00152840">
            <w:pPr>
              <w:ind w:left="0" w:right="0"/>
              <w:rPr>
                <w:sz w:val="18"/>
                <w:szCs w:val="18"/>
              </w:rPr>
            </w:pPr>
            <w:r w:rsidRPr="00152840">
              <w:rPr>
                <w:sz w:val="18"/>
                <w:szCs w:val="18"/>
              </w:rPr>
              <w:t>NC</w:t>
            </w:r>
          </w:p>
        </w:tc>
        <w:tc>
          <w:tcPr>
            <w:tcW w:w="1275" w:type="dxa"/>
          </w:tcPr>
          <w:p w:rsidR="00152840" w:rsidRPr="00152840" w:rsidRDefault="00152840" w:rsidP="00152840">
            <w:pPr>
              <w:ind w:left="0" w:right="0"/>
              <w:rPr>
                <w:sz w:val="18"/>
                <w:szCs w:val="18"/>
              </w:rPr>
            </w:pPr>
            <w:r w:rsidRPr="00152840">
              <w:rPr>
                <w:sz w:val="18"/>
                <w:szCs w:val="18"/>
              </w:rPr>
              <w:t>80.29/NA</w:t>
            </w:r>
          </w:p>
        </w:tc>
      </w:tr>
      <w:tr w:rsidR="00152840" w:rsidRPr="00152840" w:rsidTr="00E2695E">
        <w:trPr>
          <w:trHeight w:val="227"/>
        </w:trPr>
        <w:tc>
          <w:tcPr>
            <w:tcW w:w="1101" w:type="dxa"/>
            <w:vMerge/>
          </w:tcPr>
          <w:p w:rsidR="00152840" w:rsidRPr="00152840" w:rsidRDefault="00152840" w:rsidP="00152840">
            <w:pPr>
              <w:ind w:left="0" w:right="0"/>
              <w:rPr>
                <w:sz w:val="18"/>
                <w:szCs w:val="18"/>
              </w:rPr>
            </w:pPr>
          </w:p>
        </w:tc>
        <w:tc>
          <w:tcPr>
            <w:tcW w:w="1134" w:type="dxa"/>
            <w:vMerge w:val="restart"/>
          </w:tcPr>
          <w:p w:rsidR="00152840" w:rsidRPr="00152840" w:rsidRDefault="00152840" w:rsidP="00152840">
            <w:pPr>
              <w:ind w:left="0" w:right="0"/>
              <w:rPr>
                <w:sz w:val="18"/>
                <w:szCs w:val="18"/>
              </w:rPr>
            </w:pPr>
            <w:r w:rsidRPr="00152840">
              <w:rPr>
                <w:sz w:val="18"/>
                <w:szCs w:val="18"/>
              </w:rPr>
              <w:t>TX-120-2005</w:t>
            </w:r>
          </w:p>
        </w:tc>
        <w:tc>
          <w:tcPr>
            <w:tcW w:w="1275" w:type="dxa"/>
            <w:vMerge w:val="restart"/>
          </w:tcPr>
          <w:p w:rsidR="00152840" w:rsidRPr="00152840" w:rsidRDefault="00152840" w:rsidP="00152840">
            <w:pPr>
              <w:ind w:left="0" w:right="0"/>
              <w:rPr>
                <w:sz w:val="18"/>
                <w:szCs w:val="18"/>
              </w:rPr>
            </w:pPr>
            <w:r w:rsidRPr="00152840">
              <w:rPr>
                <w:sz w:val="18"/>
                <w:szCs w:val="18"/>
              </w:rPr>
              <w:t>TAF</w:t>
            </w:r>
          </w:p>
        </w:tc>
        <w:tc>
          <w:tcPr>
            <w:tcW w:w="1134" w:type="dxa"/>
          </w:tcPr>
          <w:p w:rsidR="00152840" w:rsidRPr="00152840" w:rsidRDefault="00152840" w:rsidP="00152840">
            <w:pPr>
              <w:ind w:left="0" w:right="0"/>
              <w:rPr>
                <w:sz w:val="18"/>
                <w:szCs w:val="18"/>
              </w:rPr>
            </w:pPr>
            <w:r w:rsidRPr="00152840">
              <w:rPr>
                <w:sz w:val="18"/>
                <w:szCs w:val="18"/>
              </w:rPr>
              <w:t>10</w:t>
            </w:r>
          </w:p>
        </w:tc>
        <w:tc>
          <w:tcPr>
            <w:tcW w:w="1418" w:type="dxa"/>
          </w:tcPr>
          <w:p w:rsidR="00152840" w:rsidRPr="00152840" w:rsidRDefault="00152840" w:rsidP="00152840">
            <w:pPr>
              <w:ind w:left="0" w:right="0"/>
              <w:rPr>
                <w:sz w:val="18"/>
                <w:szCs w:val="18"/>
              </w:rPr>
            </w:pPr>
            <w:r w:rsidRPr="00152840">
              <w:rPr>
                <w:sz w:val="18"/>
                <w:szCs w:val="18"/>
              </w:rPr>
              <w:t>2018</w:t>
            </w:r>
          </w:p>
        </w:tc>
        <w:tc>
          <w:tcPr>
            <w:tcW w:w="1276" w:type="dxa"/>
          </w:tcPr>
          <w:p w:rsidR="00152840" w:rsidRPr="00152840" w:rsidRDefault="00152840" w:rsidP="00152840">
            <w:pPr>
              <w:ind w:left="0" w:right="0"/>
              <w:rPr>
                <w:sz w:val="18"/>
                <w:szCs w:val="18"/>
              </w:rPr>
            </w:pPr>
            <w:r w:rsidRPr="00152840">
              <w:rPr>
                <w:sz w:val="18"/>
                <w:szCs w:val="18"/>
              </w:rPr>
              <w:t>NC</w:t>
            </w:r>
          </w:p>
        </w:tc>
        <w:tc>
          <w:tcPr>
            <w:tcW w:w="1275" w:type="dxa"/>
          </w:tcPr>
          <w:p w:rsidR="00152840" w:rsidRPr="00152840" w:rsidRDefault="00152840" w:rsidP="00152840">
            <w:pPr>
              <w:ind w:left="0" w:right="0"/>
              <w:rPr>
                <w:sz w:val="18"/>
                <w:szCs w:val="18"/>
              </w:rPr>
            </w:pPr>
            <w:r w:rsidRPr="00152840">
              <w:rPr>
                <w:sz w:val="18"/>
                <w:szCs w:val="18"/>
              </w:rPr>
              <w:t>6.89/NA</w:t>
            </w:r>
          </w:p>
        </w:tc>
      </w:tr>
      <w:tr w:rsidR="00152840" w:rsidRPr="00152840" w:rsidTr="00E2695E">
        <w:trPr>
          <w:trHeight w:val="227"/>
        </w:trPr>
        <w:tc>
          <w:tcPr>
            <w:tcW w:w="1101" w:type="dxa"/>
            <w:vMerge/>
          </w:tcPr>
          <w:p w:rsidR="00152840" w:rsidRPr="00152840" w:rsidRDefault="00152840" w:rsidP="00152840">
            <w:pPr>
              <w:ind w:left="0" w:right="0"/>
              <w:rPr>
                <w:sz w:val="18"/>
                <w:szCs w:val="18"/>
              </w:rPr>
            </w:pPr>
          </w:p>
        </w:tc>
        <w:tc>
          <w:tcPr>
            <w:tcW w:w="1134" w:type="dxa"/>
            <w:vMerge/>
          </w:tcPr>
          <w:p w:rsidR="00152840" w:rsidRPr="00152840" w:rsidRDefault="00152840" w:rsidP="00152840">
            <w:pPr>
              <w:ind w:left="0" w:right="0"/>
              <w:rPr>
                <w:sz w:val="18"/>
                <w:szCs w:val="18"/>
              </w:rPr>
            </w:pPr>
          </w:p>
        </w:tc>
        <w:tc>
          <w:tcPr>
            <w:tcW w:w="1275" w:type="dxa"/>
            <w:vMerge/>
          </w:tcPr>
          <w:p w:rsidR="00152840" w:rsidRPr="00152840" w:rsidRDefault="00152840" w:rsidP="00152840">
            <w:pPr>
              <w:ind w:left="0" w:right="0"/>
              <w:rPr>
                <w:sz w:val="18"/>
                <w:szCs w:val="18"/>
              </w:rPr>
            </w:pPr>
          </w:p>
        </w:tc>
        <w:tc>
          <w:tcPr>
            <w:tcW w:w="1134" w:type="dxa"/>
          </w:tcPr>
          <w:p w:rsidR="00152840" w:rsidRPr="00152840" w:rsidRDefault="00152840" w:rsidP="00152840">
            <w:pPr>
              <w:ind w:left="0" w:right="0"/>
              <w:rPr>
                <w:sz w:val="18"/>
                <w:szCs w:val="18"/>
              </w:rPr>
            </w:pPr>
            <w:r w:rsidRPr="00152840">
              <w:rPr>
                <w:sz w:val="18"/>
                <w:szCs w:val="18"/>
              </w:rPr>
              <w:t>30</w:t>
            </w:r>
          </w:p>
        </w:tc>
        <w:tc>
          <w:tcPr>
            <w:tcW w:w="1418" w:type="dxa"/>
          </w:tcPr>
          <w:p w:rsidR="00152840" w:rsidRPr="00152840" w:rsidRDefault="00152840" w:rsidP="00152840">
            <w:pPr>
              <w:ind w:left="0" w:right="0"/>
              <w:rPr>
                <w:sz w:val="18"/>
                <w:szCs w:val="18"/>
              </w:rPr>
            </w:pPr>
            <w:r w:rsidRPr="00152840">
              <w:rPr>
                <w:sz w:val="18"/>
                <w:szCs w:val="18"/>
              </w:rPr>
              <w:t>5005</w:t>
            </w:r>
          </w:p>
        </w:tc>
        <w:tc>
          <w:tcPr>
            <w:tcW w:w="1276" w:type="dxa"/>
          </w:tcPr>
          <w:p w:rsidR="00152840" w:rsidRPr="00152840" w:rsidRDefault="00152840" w:rsidP="00152840">
            <w:pPr>
              <w:ind w:left="0" w:right="0"/>
              <w:rPr>
                <w:sz w:val="18"/>
                <w:szCs w:val="18"/>
              </w:rPr>
            </w:pPr>
            <w:r w:rsidRPr="00152840">
              <w:rPr>
                <w:sz w:val="18"/>
                <w:szCs w:val="18"/>
              </w:rPr>
              <w:t>1135</w:t>
            </w:r>
          </w:p>
        </w:tc>
        <w:tc>
          <w:tcPr>
            <w:tcW w:w="1275" w:type="dxa"/>
          </w:tcPr>
          <w:p w:rsidR="00152840" w:rsidRPr="00152840" w:rsidRDefault="00152840" w:rsidP="00152840">
            <w:pPr>
              <w:ind w:left="0" w:right="0"/>
              <w:rPr>
                <w:sz w:val="18"/>
                <w:szCs w:val="18"/>
              </w:rPr>
            </w:pPr>
            <w:r w:rsidRPr="00152840">
              <w:rPr>
                <w:sz w:val="18"/>
                <w:szCs w:val="18"/>
              </w:rPr>
              <w:t>17.08/5.51</w:t>
            </w:r>
          </w:p>
        </w:tc>
      </w:tr>
      <w:tr w:rsidR="00152840" w:rsidRPr="00152840" w:rsidTr="00E2695E">
        <w:trPr>
          <w:trHeight w:val="227"/>
        </w:trPr>
        <w:tc>
          <w:tcPr>
            <w:tcW w:w="1101" w:type="dxa"/>
            <w:vMerge/>
          </w:tcPr>
          <w:p w:rsidR="00152840" w:rsidRPr="00152840" w:rsidRDefault="00152840" w:rsidP="00152840">
            <w:pPr>
              <w:ind w:left="0" w:right="0"/>
              <w:rPr>
                <w:sz w:val="18"/>
                <w:szCs w:val="18"/>
              </w:rPr>
            </w:pPr>
          </w:p>
        </w:tc>
        <w:tc>
          <w:tcPr>
            <w:tcW w:w="1134" w:type="dxa"/>
            <w:vMerge/>
          </w:tcPr>
          <w:p w:rsidR="00152840" w:rsidRPr="00152840" w:rsidRDefault="00152840" w:rsidP="00152840">
            <w:pPr>
              <w:ind w:left="0" w:right="0"/>
              <w:rPr>
                <w:sz w:val="18"/>
                <w:szCs w:val="18"/>
              </w:rPr>
            </w:pPr>
          </w:p>
        </w:tc>
        <w:tc>
          <w:tcPr>
            <w:tcW w:w="1275" w:type="dxa"/>
            <w:vMerge/>
          </w:tcPr>
          <w:p w:rsidR="00152840" w:rsidRPr="00152840" w:rsidRDefault="00152840" w:rsidP="00152840">
            <w:pPr>
              <w:ind w:left="0" w:right="0"/>
              <w:rPr>
                <w:sz w:val="18"/>
                <w:szCs w:val="18"/>
              </w:rPr>
            </w:pPr>
          </w:p>
        </w:tc>
        <w:tc>
          <w:tcPr>
            <w:tcW w:w="1134" w:type="dxa"/>
          </w:tcPr>
          <w:p w:rsidR="00152840" w:rsidRPr="00152840" w:rsidRDefault="00152840" w:rsidP="00152840">
            <w:pPr>
              <w:ind w:left="0" w:right="0"/>
              <w:rPr>
                <w:sz w:val="18"/>
                <w:szCs w:val="18"/>
              </w:rPr>
            </w:pPr>
            <w:r w:rsidRPr="00152840">
              <w:rPr>
                <w:sz w:val="18"/>
                <w:szCs w:val="18"/>
              </w:rPr>
              <w:t>100</w:t>
            </w:r>
          </w:p>
        </w:tc>
        <w:tc>
          <w:tcPr>
            <w:tcW w:w="1418" w:type="dxa"/>
          </w:tcPr>
          <w:p w:rsidR="00152840" w:rsidRPr="00152840" w:rsidRDefault="00152840" w:rsidP="00152840">
            <w:pPr>
              <w:ind w:left="0" w:right="0"/>
              <w:rPr>
                <w:sz w:val="18"/>
                <w:szCs w:val="18"/>
              </w:rPr>
            </w:pPr>
            <w:r w:rsidRPr="00152840">
              <w:rPr>
                <w:sz w:val="18"/>
                <w:szCs w:val="18"/>
              </w:rPr>
              <w:t>27,251</w:t>
            </w:r>
          </w:p>
        </w:tc>
        <w:tc>
          <w:tcPr>
            <w:tcW w:w="1276" w:type="dxa"/>
          </w:tcPr>
          <w:p w:rsidR="00152840" w:rsidRPr="00152840" w:rsidRDefault="00152840" w:rsidP="00152840">
            <w:pPr>
              <w:ind w:left="0" w:right="0"/>
              <w:rPr>
                <w:sz w:val="18"/>
                <w:szCs w:val="18"/>
              </w:rPr>
            </w:pPr>
            <w:r w:rsidRPr="00152840">
              <w:rPr>
                <w:sz w:val="18"/>
                <w:szCs w:val="18"/>
              </w:rPr>
              <w:t>11,043</w:t>
            </w:r>
          </w:p>
        </w:tc>
        <w:tc>
          <w:tcPr>
            <w:tcW w:w="1275" w:type="dxa"/>
          </w:tcPr>
          <w:p w:rsidR="00152840" w:rsidRPr="00152840" w:rsidRDefault="00152840" w:rsidP="00152840">
            <w:pPr>
              <w:ind w:left="0" w:right="0"/>
              <w:rPr>
                <w:sz w:val="18"/>
                <w:szCs w:val="18"/>
              </w:rPr>
            </w:pPr>
            <w:r w:rsidRPr="00152840">
              <w:rPr>
                <w:sz w:val="18"/>
                <w:szCs w:val="18"/>
              </w:rPr>
              <w:t>93.00/53.61</w:t>
            </w:r>
          </w:p>
        </w:tc>
      </w:tr>
      <w:tr w:rsidR="00152840" w:rsidRPr="00152840" w:rsidTr="00E2695E">
        <w:trPr>
          <w:trHeight w:val="283"/>
        </w:trPr>
        <w:tc>
          <w:tcPr>
            <w:tcW w:w="1101" w:type="dxa"/>
          </w:tcPr>
          <w:p w:rsidR="00152840" w:rsidRPr="00152840" w:rsidRDefault="005033BB" w:rsidP="00152840">
            <w:pPr>
              <w:ind w:left="0" w:right="0"/>
              <w:rPr>
                <w:sz w:val="18"/>
                <w:szCs w:val="18"/>
              </w:rPr>
            </w:pPr>
            <w:r>
              <w:rPr>
                <w:sz w:val="18"/>
                <w:szCs w:val="18"/>
              </w:rPr>
              <w:t xml:space="preserve">Human </w:t>
            </w:r>
            <w:r w:rsidR="003130DA">
              <w:rPr>
                <w:sz w:val="18"/>
                <w:szCs w:val="18"/>
              </w:rPr>
              <w:t>-healthy volunteers</w:t>
            </w:r>
          </w:p>
        </w:tc>
        <w:tc>
          <w:tcPr>
            <w:tcW w:w="1134" w:type="dxa"/>
          </w:tcPr>
          <w:p w:rsidR="00152840" w:rsidRPr="00152840" w:rsidRDefault="00152840" w:rsidP="00152840">
            <w:pPr>
              <w:ind w:left="0" w:right="0"/>
              <w:rPr>
                <w:sz w:val="18"/>
                <w:szCs w:val="18"/>
              </w:rPr>
            </w:pPr>
            <w:r w:rsidRPr="00152840">
              <w:rPr>
                <w:sz w:val="18"/>
                <w:szCs w:val="18"/>
              </w:rPr>
              <w:t>steady state *</w:t>
            </w:r>
          </w:p>
        </w:tc>
        <w:tc>
          <w:tcPr>
            <w:tcW w:w="1275" w:type="dxa"/>
          </w:tcPr>
          <w:p w:rsidR="00152840" w:rsidRPr="00152840" w:rsidRDefault="00152840" w:rsidP="00152840">
            <w:pPr>
              <w:ind w:left="0" w:right="0"/>
              <w:rPr>
                <w:sz w:val="18"/>
                <w:szCs w:val="18"/>
              </w:rPr>
            </w:pPr>
            <w:r w:rsidRPr="00152840">
              <w:rPr>
                <w:sz w:val="18"/>
                <w:szCs w:val="18"/>
              </w:rPr>
              <w:t>–</w:t>
            </w:r>
          </w:p>
        </w:tc>
        <w:tc>
          <w:tcPr>
            <w:tcW w:w="1134" w:type="dxa"/>
          </w:tcPr>
          <w:p w:rsidR="00152840" w:rsidRPr="00152840" w:rsidRDefault="00A511E3" w:rsidP="00152840">
            <w:pPr>
              <w:ind w:left="0" w:right="0"/>
              <w:rPr>
                <w:sz w:val="18"/>
                <w:szCs w:val="18"/>
              </w:rPr>
            </w:pPr>
            <w:r>
              <w:rPr>
                <w:sz w:val="18"/>
                <w:szCs w:val="18"/>
              </w:rPr>
              <w:t>(</w:t>
            </w:r>
            <w:r w:rsidR="00F02AA3">
              <w:rPr>
                <w:sz w:val="18"/>
                <w:szCs w:val="18"/>
              </w:rPr>
              <w:t>10 mg</w:t>
            </w:r>
            <w:r>
              <w:rPr>
                <w:sz w:val="18"/>
                <w:szCs w:val="18"/>
              </w:rPr>
              <w:t>)</w:t>
            </w:r>
          </w:p>
        </w:tc>
        <w:tc>
          <w:tcPr>
            <w:tcW w:w="1418" w:type="dxa"/>
          </w:tcPr>
          <w:p w:rsidR="00152840" w:rsidRPr="00152840" w:rsidRDefault="00152840" w:rsidP="00152840">
            <w:pPr>
              <w:ind w:left="0" w:right="0"/>
              <w:rPr>
                <w:sz w:val="18"/>
                <w:szCs w:val="18"/>
              </w:rPr>
            </w:pPr>
            <w:r w:rsidRPr="00152840">
              <w:rPr>
                <w:sz w:val="18"/>
                <w:szCs w:val="18"/>
              </w:rPr>
              <w:t>293.00</w:t>
            </w:r>
          </w:p>
        </w:tc>
        <w:tc>
          <w:tcPr>
            <w:tcW w:w="1276" w:type="dxa"/>
          </w:tcPr>
          <w:p w:rsidR="00152840" w:rsidRPr="00152840" w:rsidRDefault="00152840" w:rsidP="00152840">
            <w:pPr>
              <w:ind w:left="0" w:right="0"/>
              <w:rPr>
                <w:sz w:val="18"/>
                <w:szCs w:val="18"/>
              </w:rPr>
            </w:pPr>
            <w:r w:rsidRPr="00152840">
              <w:rPr>
                <w:sz w:val="18"/>
                <w:szCs w:val="18"/>
              </w:rPr>
              <w:t>206.0</w:t>
            </w:r>
          </w:p>
        </w:tc>
        <w:tc>
          <w:tcPr>
            <w:tcW w:w="1275" w:type="dxa"/>
          </w:tcPr>
          <w:p w:rsidR="00152840" w:rsidRPr="00152840" w:rsidRDefault="00152840" w:rsidP="00152840">
            <w:pPr>
              <w:ind w:left="0" w:right="0"/>
              <w:rPr>
                <w:sz w:val="18"/>
                <w:szCs w:val="18"/>
              </w:rPr>
            </w:pPr>
            <w:r w:rsidRPr="00152840">
              <w:rPr>
                <w:sz w:val="18"/>
                <w:szCs w:val="18"/>
              </w:rPr>
              <w:t>–</w:t>
            </w:r>
          </w:p>
        </w:tc>
      </w:tr>
    </w:tbl>
    <w:p w:rsidR="00152840" w:rsidRPr="00152840" w:rsidRDefault="00152840" w:rsidP="00152840">
      <w:pPr>
        <w:pStyle w:val="TableDescription"/>
      </w:pPr>
      <w:r w:rsidRPr="00152840">
        <w:t>* Mean steady-state AUC</w:t>
      </w:r>
      <w:r w:rsidRPr="005033BB">
        <w:rPr>
          <w:vertAlign w:val="subscript"/>
        </w:rPr>
        <w:t>SS</w:t>
      </w:r>
      <w:r w:rsidRPr="00152840">
        <w:t xml:space="preserve"> in pivotal studies for TAF (GS-US-292-0104 and GS-US-292-0111);</w:t>
      </w:r>
      <w:r w:rsidR="00CA65A1">
        <w:t xml:space="preserve"> </w:t>
      </w:r>
      <w:r w:rsidRPr="00152840">
        <w:t>*# = animal:</w:t>
      </w:r>
      <w:r w:rsidR="005033BB">
        <w:t xml:space="preserve"> </w:t>
      </w:r>
      <w:r w:rsidRPr="00152840">
        <w:t>human plasma AUC</w:t>
      </w:r>
      <w:r w:rsidRPr="005033BB">
        <w:rPr>
          <w:vertAlign w:val="subscript"/>
        </w:rPr>
        <w:t>0–24 h</w:t>
      </w:r>
      <w:r w:rsidR="00CA65A1">
        <w:t xml:space="preserve"> </w:t>
      </w:r>
      <w:r w:rsidRPr="00152840">
        <w:t>NC = not calculated, NA = not app</w:t>
      </w:r>
      <w:r w:rsidR="005033BB">
        <w:t>licable</w:t>
      </w:r>
    </w:p>
    <w:p w:rsidR="00152840" w:rsidRPr="00152840" w:rsidRDefault="007A7DA0" w:rsidP="00E2695E">
      <w:pPr>
        <w:pStyle w:val="TableTitle"/>
        <w:pageBreakBefore/>
      </w:pPr>
      <w:r>
        <w:lastRenderedPageBreak/>
        <w:t xml:space="preserve">Table </w:t>
      </w:r>
      <w:r w:rsidR="005033BB">
        <w:t>5</w:t>
      </w:r>
      <w:r>
        <w:t xml:space="preserve">. </w:t>
      </w:r>
      <w:r w:rsidR="00152840" w:rsidRPr="00152840">
        <w:t>TFV/TAF exposure ratios at the NOAELs in reprotox studies</w:t>
      </w:r>
    </w:p>
    <w:tbl>
      <w:tblPr>
        <w:tblStyle w:val="TableTGAblue"/>
        <w:tblW w:w="0" w:type="auto"/>
        <w:tblLayout w:type="fixed"/>
        <w:tblLook w:val="01E0" w:firstRow="1" w:lastRow="1" w:firstColumn="1" w:lastColumn="1" w:noHBand="0" w:noVBand="0"/>
      </w:tblPr>
      <w:tblGrid>
        <w:gridCol w:w="1384"/>
        <w:gridCol w:w="970"/>
        <w:gridCol w:w="949"/>
        <w:gridCol w:w="1303"/>
        <w:gridCol w:w="1386"/>
        <w:gridCol w:w="1457"/>
        <w:gridCol w:w="1271"/>
      </w:tblGrid>
      <w:tr w:rsidR="00152840" w:rsidRPr="005033BB" w:rsidTr="00152840">
        <w:trPr>
          <w:cnfStyle w:val="100000000000" w:firstRow="1" w:lastRow="0" w:firstColumn="0" w:lastColumn="0" w:oddVBand="0" w:evenVBand="0" w:oddHBand="0" w:evenHBand="0" w:firstRowFirstColumn="0" w:firstRowLastColumn="0" w:lastRowFirstColumn="0" w:lastRowLastColumn="0"/>
        </w:trPr>
        <w:tc>
          <w:tcPr>
            <w:tcW w:w="1384" w:type="dxa"/>
            <w:vMerge w:val="restart"/>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Target Organ Effect</w:t>
            </w:r>
          </w:p>
        </w:tc>
        <w:tc>
          <w:tcPr>
            <w:tcW w:w="970" w:type="dxa"/>
            <w:vMerge w:val="restart"/>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Study</w:t>
            </w:r>
          </w:p>
        </w:tc>
        <w:tc>
          <w:tcPr>
            <w:tcW w:w="949" w:type="dxa"/>
            <w:vMerge w:val="restart"/>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Species</w:t>
            </w:r>
          </w:p>
        </w:tc>
        <w:tc>
          <w:tcPr>
            <w:tcW w:w="1303" w:type="dxa"/>
            <w:vMerge w:val="restart"/>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Study duration</w:t>
            </w:r>
          </w:p>
        </w:tc>
        <w:tc>
          <w:tcPr>
            <w:tcW w:w="1386" w:type="dxa"/>
            <w:vMerge w:val="restart"/>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TAF NOAEL (mg/kg/day)</w:t>
            </w:r>
          </w:p>
        </w:tc>
        <w:tc>
          <w:tcPr>
            <w:tcW w:w="1457"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AUCss (ng</w:t>
            </w:r>
            <w:r w:rsidRPr="005033BB">
              <w:rPr>
                <w:rFonts w:ascii="Cambria Math" w:hAnsi="Cambria Math" w:cs="Cambria Math"/>
                <w:sz w:val="18"/>
                <w:szCs w:val="18"/>
              </w:rPr>
              <w:t>⋅</w:t>
            </w:r>
            <w:r w:rsidR="00BB6AE6">
              <w:rPr>
                <w:rFonts w:asciiTheme="minorHAnsi" w:hAnsiTheme="minorHAnsi"/>
                <w:sz w:val="18"/>
                <w:szCs w:val="18"/>
              </w:rPr>
              <w:t xml:space="preserve">h/mL) </w:t>
            </w:r>
            <w:r w:rsidRPr="005033BB">
              <w:rPr>
                <w:rFonts w:asciiTheme="minorHAnsi" w:hAnsiTheme="minorHAnsi"/>
                <w:sz w:val="18"/>
                <w:szCs w:val="18"/>
              </w:rPr>
              <w:t>NOAEL</w:t>
            </w:r>
          </w:p>
        </w:tc>
        <w:tc>
          <w:tcPr>
            <w:tcW w:w="1271" w:type="dxa"/>
          </w:tcPr>
          <w:p w:rsidR="00152840" w:rsidRPr="005033BB" w:rsidRDefault="00BB6AE6" w:rsidP="005033BB">
            <w:pPr>
              <w:ind w:left="0" w:right="0"/>
              <w:rPr>
                <w:rFonts w:asciiTheme="minorHAnsi" w:hAnsiTheme="minorHAnsi"/>
                <w:sz w:val="18"/>
                <w:szCs w:val="18"/>
              </w:rPr>
            </w:pPr>
            <w:r>
              <w:rPr>
                <w:rFonts w:asciiTheme="minorHAnsi" w:hAnsiTheme="minorHAnsi"/>
                <w:sz w:val="18"/>
                <w:szCs w:val="18"/>
              </w:rPr>
              <w:t xml:space="preserve">Margin Relative to Human </w:t>
            </w:r>
            <w:r w:rsidR="00152840" w:rsidRPr="005033BB">
              <w:rPr>
                <w:rFonts w:asciiTheme="minorHAnsi" w:hAnsiTheme="minorHAnsi"/>
                <w:sz w:val="18"/>
                <w:szCs w:val="18"/>
              </w:rPr>
              <w:t>AUCss</w:t>
            </w:r>
          </w:p>
        </w:tc>
      </w:tr>
      <w:tr w:rsidR="00152840" w:rsidRPr="005033BB" w:rsidTr="00152840">
        <w:tc>
          <w:tcPr>
            <w:tcW w:w="1384" w:type="dxa"/>
            <w:vMerge/>
          </w:tcPr>
          <w:p w:rsidR="00152840" w:rsidRPr="005033BB" w:rsidRDefault="00152840" w:rsidP="005033BB">
            <w:pPr>
              <w:ind w:left="0" w:right="0"/>
              <w:rPr>
                <w:rFonts w:asciiTheme="minorHAnsi" w:hAnsiTheme="minorHAnsi"/>
                <w:sz w:val="18"/>
                <w:szCs w:val="18"/>
              </w:rPr>
            </w:pPr>
          </w:p>
        </w:tc>
        <w:tc>
          <w:tcPr>
            <w:tcW w:w="970" w:type="dxa"/>
            <w:vMerge/>
          </w:tcPr>
          <w:p w:rsidR="00152840" w:rsidRPr="005033BB" w:rsidRDefault="00152840" w:rsidP="005033BB">
            <w:pPr>
              <w:ind w:left="0" w:right="0"/>
              <w:rPr>
                <w:rFonts w:asciiTheme="minorHAnsi" w:hAnsiTheme="minorHAnsi"/>
                <w:sz w:val="18"/>
                <w:szCs w:val="18"/>
              </w:rPr>
            </w:pPr>
          </w:p>
        </w:tc>
        <w:tc>
          <w:tcPr>
            <w:tcW w:w="949" w:type="dxa"/>
            <w:vMerge/>
          </w:tcPr>
          <w:p w:rsidR="00152840" w:rsidRPr="005033BB" w:rsidRDefault="00152840" w:rsidP="005033BB">
            <w:pPr>
              <w:ind w:left="0" w:right="0"/>
              <w:rPr>
                <w:rFonts w:asciiTheme="minorHAnsi" w:hAnsiTheme="minorHAnsi"/>
                <w:sz w:val="18"/>
                <w:szCs w:val="18"/>
              </w:rPr>
            </w:pPr>
          </w:p>
        </w:tc>
        <w:tc>
          <w:tcPr>
            <w:tcW w:w="1303" w:type="dxa"/>
            <w:vMerge/>
          </w:tcPr>
          <w:p w:rsidR="00152840" w:rsidRPr="005033BB" w:rsidRDefault="00152840" w:rsidP="005033BB">
            <w:pPr>
              <w:ind w:left="0" w:right="0"/>
              <w:rPr>
                <w:rFonts w:asciiTheme="minorHAnsi" w:hAnsiTheme="minorHAnsi"/>
                <w:sz w:val="18"/>
                <w:szCs w:val="18"/>
              </w:rPr>
            </w:pPr>
          </w:p>
        </w:tc>
        <w:tc>
          <w:tcPr>
            <w:tcW w:w="1386" w:type="dxa"/>
            <w:vMerge/>
          </w:tcPr>
          <w:p w:rsidR="00152840" w:rsidRPr="005033BB" w:rsidRDefault="00152840" w:rsidP="005033BB">
            <w:pPr>
              <w:ind w:left="0" w:right="0"/>
              <w:rPr>
                <w:rFonts w:asciiTheme="minorHAnsi" w:hAnsiTheme="minorHAnsi"/>
                <w:sz w:val="18"/>
                <w:szCs w:val="18"/>
              </w:rPr>
            </w:pPr>
          </w:p>
        </w:tc>
        <w:tc>
          <w:tcPr>
            <w:tcW w:w="1457" w:type="dxa"/>
            <w:shd w:val="clear" w:color="auto" w:fill="006DA7"/>
          </w:tcPr>
          <w:p w:rsidR="00152840" w:rsidRPr="005033BB" w:rsidRDefault="00152840" w:rsidP="005033BB">
            <w:pPr>
              <w:ind w:left="0" w:right="0"/>
              <w:rPr>
                <w:rFonts w:asciiTheme="minorHAnsi" w:hAnsiTheme="minorHAnsi"/>
                <w:b/>
                <w:color w:val="FFFFFF" w:themeColor="background1"/>
                <w:sz w:val="18"/>
                <w:szCs w:val="18"/>
              </w:rPr>
            </w:pPr>
            <w:r w:rsidRPr="005033BB">
              <w:rPr>
                <w:rFonts w:asciiTheme="minorHAnsi" w:hAnsiTheme="minorHAnsi"/>
                <w:b/>
                <w:color w:val="FFFFFF" w:themeColor="background1"/>
                <w:sz w:val="18"/>
                <w:szCs w:val="18"/>
              </w:rPr>
              <w:t>TFV/TAF</w:t>
            </w:r>
          </w:p>
        </w:tc>
        <w:tc>
          <w:tcPr>
            <w:tcW w:w="1271" w:type="dxa"/>
            <w:shd w:val="clear" w:color="auto" w:fill="006DA7"/>
          </w:tcPr>
          <w:p w:rsidR="00152840" w:rsidRPr="005033BB" w:rsidRDefault="00152840" w:rsidP="005033BB">
            <w:pPr>
              <w:ind w:left="0" w:right="0"/>
              <w:rPr>
                <w:rFonts w:asciiTheme="minorHAnsi" w:hAnsiTheme="minorHAnsi"/>
                <w:b/>
                <w:color w:val="FFFFFF" w:themeColor="background1"/>
                <w:sz w:val="18"/>
                <w:szCs w:val="18"/>
              </w:rPr>
            </w:pPr>
            <w:r w:rsidRPr="005033BB">
              <w:rPr>
                <w:rFonts w:asciiTheme="minorHAnsi" w:hAnsiTheme="minorHAnsi"/>
                <w:b/>
                <w:color w:val="FFFFFF" w:themeColor="background1"/>
                <w:sz w:val="18"/>
                <w:szCs w:val="18"/>
              </w:rPr>
              <w:t>TFV</w:t>
            </w:r>
            <w:r w:rsidRPr="005033BB">
              <w:rPr>
                <w:rFonts w:asciiTheme="minorHAnsi" w:hAnsiTheme="minorHAnsi"/>
                <w:b/>
                <w:color w:val="FFFFFF" w:themeColor="background1"/>
                <w:sz w:val="18"/>
                <w:szCs w:val="18"/>
                <w:vertAlign w:val="superscript"/>
              </w:rPr>
              <w:t>a</w:t>
            </w:r>
            <w:r w:rsidRPr="005033BB">
              <w:rPr>
                <w:rFonts w:asciiTheme="minorHAnsi" w:hAnsiTheme="minorHAnsi"/>
                <w:b/>
                <w:color w:val="FFFFFF" w:themeColor="background1"/>
                <w:sz w:val="18"/>
                <w:szCs w:val="18"/>
              </w:rPr>
              <w:t>/TAF</w:t>
            </w:r>
            <w:r w:rsidRPr="005033BB">
              <w:rPr>
                <w:rFonts w:asciiTheme="minorHAnsi" w:hAnsiTheme="minorHAnsi"/>
                <w:b/>
                <w:color w:val="FFFFFF" w:themeColor="background1"/>
                <w:sz w:val="18"/>
                <w:szCs w:val="18"/>
                <w:vertAlign w:val="superscript"/>
              </w:rPr>
              <w:t>b</w:t>
            </w:r>
          </w:p>
        </w:tc>
      </w:tr>
      <w:tr w:rsidR="00152840" w:rsidRPr="005033BB" w:rsidTr="00152840">
        <w:tc>
          <w:tcPr>
            <w:tcW w:w="1384"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 xml:space="preserve">Fertility </w:t>
            </w:r>
            <w:r w:rsidRPr="005033BB">
              <w:rPr>
                <w:rFonts w:asciiTheme="minorHAnsi" w:hAnsiTheme="minorHAnsi"/>
                <w:sz w:val="18"/>
                <w:szCs w:val="18"/>
                <w:vertAlign w:val="superscript"/>
              </w:rPr>
              <w:t>c</w:t>
            </w:r>
          </w:p>
        </w:tc>
        <w:tc>
          <w:tcPr>
            <w:tcW w:w="970"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TX-120-2012</w:t>
            </w:r>
          </w:p>
        </w:tc>
        <w:tc>
          <w:tcPr>
            <w:tcW w:w="949"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Rat</w:t>
            </w:r>
          </w:p>
        </w:tc>
        <w:tc>
          <w:tcPr>
            <w:tcW w:w="1303"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sym w:font="Symbol" w:char="F0A3"/>
            </w:r>
            <w:r w:rsidR="005033BB">
              <w:rPr>
                <w:rFonts w:asciiTheme="minorHAnsi" w:hAnsiTheme="minorHAnsi"/>
                <w:sz w:val="18"/>
                <w:szCs w:val="18"/>
              </w:rPr>
              <w:t xml:space="preserve"> </w:t>
            </w:r>
            <w:r w:rsidRPr="005033BB">
              <w:rPr>
                <w:rFonts w:asciiTheme="minorHAnsi" w:hAnsiTheme="minorHAnsi"/>
                <w:sz w:val="18"/>
                <w:szCs w:val="18"/>
              </w:rPr>
              <w:t>10 weeks</w:t>
            </w:r>
          </w:p>
        </w:tc>
        <w:tc>
          <w:tcPr>
            <w:tcW w:w="1386"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160</w:t>
            </w:r>
          </w:p>
        </w:tc>
        <w:tc>
          <w:tcPr>
            <w:tcW w:w="1457"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NA</w:t>
            </w:r>
          </w:p>
        </w:tc>
        <w:tc>
          <w:tcPr>
            <w:tcW w:w="1271"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NA</w:t>
            </w:r>
          </w:p>
        </w:tc>
      </w:tr>
      <w:tr w:rsidR="00152840" w:rsidRPr="005033BB" w:rsidTr="00152840">
        <w:tc>
          <w:tcPr>
            <w:tcW w:w="1384" w:type="dxa"/>
            <w:vMerge w:val="restart"/>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 xml:space="preserve">Embryofetal development </w:t>
            </w:r>
            <w:r w:rsidRPr="005033BB">
              <w:rPr>
                <w:rFonts w:asciiTheme="minorHAnsi" w:hAnsiTheme="minorHAnsi"/>
                <w:sz w:val="18"/>
                <w:szCs w:val="18"/>
                <w:vertAlign w:val="superscript"/>
              </w:rPr>
              <w:t>c</w:t>
            </w:r>
          </w:p>
        </w:tc>
        <w:tc>
          <w:tcPr>
            <w:tcW w:w="970"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TX-120-2002</w:t>
            </w:r>
          </w:p>
        </w:tc>
        <w:tc>
          <w:tcPr>
            <w:tcW w:w="949"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Rat</w:t>
            </w:r>
          </w:p>
        </w:tc>
        <w:tc>
          <w:tcPr>
            <w:tcW w:w="1303"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12 days</w:t>
            </w:r>
          </w:p>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(GD6</w:t>
            </w:r>
            <w:r w:rsidRPr="005033BB">
              <w:rPr>
                <w:rFonts w:asciiTheme="minorHAnsi" w:hAnsiTheme="minorHAnsi"/>
                <w:sz w:val="18"/>
                <w:szCs w:val="18"/>
              </w:rPr>
              <w:sym w:font="Symbol" w:char="F02D"/>
            </w:r>
            <w:r w:rsidRPr="005033BB">
              <w:rPr>
                <w:rFonts w:asciiTheme="minorHAnsi" w:hAnsiTheme="minorHAnsi"/>
                <w:sz w:val="18"/>
                <w:szCs w:val="18"/>
              </w:rPr>
              <w:t>GD17)</w:t>
            </w:r>
          </w:p>
        </w:tc>
        <w:tc>
          <w:tcPr>
            <w:tcW w:w="1386" w:type="dxa"/>
          </w:tcPr>
          <w:p w:rsidR="00152840" w:rsidRPr="005033BB" w:rsidRDefault="00152840" w:rsidP="00877B4A">
            <w:pPr>
              <w:ind w:left="0" w:right="0"/>
              <w:rPr>
                <w:rFonts w:asciiTheme="minorHAnsi" w:hAnsiTheme="minorHAnsi"/>
                <w:sz w:val="18"/>
                <w:szCs w:val="18"/>
              </w:rPr>
            </w:pPr>
            <w:r w:rsidRPr="005033BB">
              <w:rPr>
                <w:rFonts w:asciiTheme="minorHAnsi" w:hAnsiTheme="minorHAnsi"/>
                <w:sz w:val="18"/>
                <w:szCs w:val="18"/>
              </w:rPr>
              <w:t>100</w:t>
            </w:r>
          </w:p>
        </w:tc>
        <w:tc>
          <w:tcPr>
            <w:tcW w:w="1457"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17,392/242</w:t>
            </w:r>
          </w:p>
        </w:tc>
        <w:tc>
          <w:tcPr>
            <w:tcW w:w="1271"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59.36/1.17</w:t>
            </w:r>
          </w:p>
        </w:tc>
      </w:tr>
      <w:tr w:rsidR="00152840" w:rsidRPr="005033BB" w:rsidTr="00152840">
        <w:tc>
          <w:tcPr>
            <w:tcW w:w="1384" w:type="dxa"/>
            <w:vMerge/>
          </w:tcPr>
          <w:p w:rsidR="00152840" w:rsidRPr="005033BB" w:rsidRDefault="00152840" w:rsidP="005033BB">
            <w:pPr>
              <w:ind w:left="0" w:right="0"/>
              <w:rPr>
                <w:rFonts w:asciiTheme="minorHAnsi" w:hAnsiTheme="minorHAnsi"/>
                <w:sz w:val="18"/>
                <w:szCs w:val="18"/>
              </w:rPr>
            </w:pPr>
          </w:p>
        </w:tc>
        <w:tc>
          <w:tcPr>
            <w:tcW w:w="970"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TX-120-2005</w:t>
            </w:r>
          </w:p>
        </w:tc>
        <w:tc>
          <w:tcPr>
            <w:tcW w:w="949"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Rabbit</w:t>
            </w:r>
          </w:p>
        </w:tc>
        <w:tc>
          <w:tcPr>
            <w:tcW w:w="1303"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14 days</w:t>
            </w:r>
          </w:p>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(GD7</w:t>
            </w:r>
            <w:r w:rsidRPr="005033BB">
              <w:rPr>
                <w:rFonts w:asciiTheme="minorHAnsi" w:hAnsiTheme="minorHAnsi"/>
                <w:sz w:val="18"/>
                <w:szCs w:val="18"/>
              </w:rPr>
              <w:sym w:font="Symbol" w:char="F02D"/>
            </w:r>
            <w:r w:rsidRPr="005033BB">
              <w:rPr>
                <w:rFonts w:asciiTheme="minorHAnsi" w:hAnsiTheme="minorHAnsi"/>
                <w:sz w:val="18"/>
                <w:szCs w:val="18"/>
              </w:rPr>
              <w:t>GD20)</w:t>
            </w:r>
          </w:p>
        </w:tc>
        <w:tc>
          <w:tcPr>
            <w:tcW w:w="1386"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100</w:t>
            </w:r>
          </w:p>
        </w:tc>
        <w:tc>
          <w:tcPr>
            <w:tcW w:w="1457"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27,251/11,043</w:t>
            </w:r>
          </w:p>
        </w:tc>
        <w:tc>
          <w:tcPr>
            <w:tcW w:w="1271"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93.01/53.61</w:t>
            </w:r>
          </w:p>
        </w:tc>
      </w:tr>
      <w:tr w:rsidR="00152840" w:rsidRPr="005033BB" w:rsidTr="00152840">
        <w:tc>
          <w:tcPr>
            <w:tcW w:w="1384"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Perinatal/</w:t>
            </w:r>
          </w:p>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postnatal c</w:t>
            </w:r>
          </w:p>
        </w:tc>
        <w:tc>
          <w:tcPr>
            <w:tcW w:w="970"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R990202</w:t>
            </w:r>
          </w:p>
        </w:tc>
        <w:tc>
          <w:tcPr>
            <w:tcW w:w="949"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Rat</w:t>
            </w:r>
          </w:p>
        </w:tc>
        <w:tc>
          <w:tcPr>
            <w:tcW w:w="1303"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27 days (GD7</w:t>
            </w:r>
            <w:r w:rsidRPr="005033BB">
              <w:rPr>
                <w:rFonts w:asciiTheme="minorHAnsi" w:hAnsiTheme="minorHAnsi"/>
                <w:sz w:val="18"/>
                <w:szCs w:val="18"/>
              </w:rPr>
              <w:sym w:font="Symbol" w:char="F02D"/>
            </w:r>
            <w:r w:rsidRPr="005033BB">
              <w:rPr>
                <w:rFonts w:asciiTheme="minorHAnsi" w:hAnsiTheme="minorHAnsi"/>
                <w:sz w:val="18"/>
                <w:szCs w:val="18"/>
              </w:rPr>
              <w:t>LD20)</w:t>
            </w:r>
          </w:p>
        </w:tc>
        <w:tc>
          <w:tcPr>
            <w:tcW w:w="1386"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150</w:t>
            </w:r>
          </w:p>
        </w:tc>
        <w:tc>
          <w:tcPr>
            <w:tcW w:w="1457"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11,716/NA</w:t>
            </w:r>
          </w:p>
        </w:tc>
        <w:tc>
          <w:tcPr>
            <w:tcW w:w="1271" w:type="dxa"/>
          </w:tcPr>
          <w:p w:rsidR="00152840" w:rsidRPr="005033BB" w:rsidRDefault="00152840" w:rsidP="005033BB">
            <w:pPr>
              <w:ind w:left="0" w:right="0"/>
              <w:rPr>
                <w:rFonts w:asciiTheme="minorHAnsi" w:hAnsiTheme="minorHAnsi"/>
                <w:sz w:val="18"/>
                <w:szCs w:val="18"/>
              </w:rPr>
            </w:pPr>
            <w:r w:rsidRPr="005033BB">
              <w:rPr>
                <w:rFonts w:asciiTheme="minorHAnsi" w:hAnsiTheme="minorHAnsi"/>
                <w:sz w:val="18"/>
                <w:szCs w:val="18"/>
              </w:rPr>
              <w:t>39.99/NA</w:t>
            </w:r>
          </w:p>
        </w:tc>
      </w:tr>
    </w:tbl>
    <w:p w:rsidR="00AB3272" w:rsidRPr="007A7DA0" w:rsidRDefault="00152840" w:rsidP="007A7DA0">
      <w:pPr>
        <w:pStyle w:val="TableDescription"/>
      </w:pPr>
      <w:r w:rsidRPr="007A7DA0">
        <w:t>NA = not applicable; NC = insufficient data to calculate</w:t>
      </w:r>
      <w:r w:rsidR="007A7DA0">
        <w:t xml:space="preserve"> </w:t>
      </w:r>
      <w:r w:rsidRPr="007A7DA0">
        <w:rPr>
          <w:vertAlign w:val="superscript"/>
        </w:rPr>
        <w:t xml:space="preserve">a </w:t>
      </w:r>
      <w:r w:rsidRPr="007A7DA0">
        <w:t>Predicted safety margin for TFV human exposure is based on poole</w:t>
      </w:r>
      <w:r w:rsidR="005033BB">
        <w:t>d PK data from E/C/F/TAF Phase III pivotal S</w:t>
      </w:r>
      <w:r w:rsidRPr="007A7DA0">
        <w:t>tudies</w:t>
      </w:r>
      <w:r w:rsidR="007A7DA0">
        <w:t xml:space="preserve"> </w:t>
      </w:r>
      <w:r w:rsidRPr="007A7DA0">
        <w:t>GS-US-292-104 and GS-US-292-111 where the mean TFV AUCss = 293 ng.h/mL;</w:t>
      </w:r>
      <w:r w:rsidR="00CA65A1">
        <w:t xml:space="preserve"> </w:t>
      </w:r>
      <w:r w:rsidRPr="007A7DA0">
        <w:rPr>
          <w:vertAlign w:val="superscript"/>
        </w:rPr>
        <w:t>b</w:t>
      </w:r>
      <w:r w:rsidRPr="007A7DA0">
        <w:t xml:space="preserve"> Predicted safety margin for TAF human exposure is based on poole</w:t>
      </w:r>
      <w:r w:rsidR="005033BB">
        <w:t>d PK data from E/C/F/TAF Phase III pivotal S</w:t>
      </w:r>
      <w:r w:rsidRPr="007A7DA0">
        <w:t>tudies</w:t>
      </w:r>
      <w:r w:rsidR="007A7DA0">
        <w:t xml:space="preserve"> </w:t>
      </w:r>
      <w:r w:rsidRPr="007A7DA0">
        <w:t>GS-US-292-104 and GS-US-292-111 where the mean TAF AUC</w:t>
      </w:r>
      <w:r w:rsidRPr="005033BB">
        <w:rPr>
          <w:vertAlign w:val="subscript"/>
        </w:rPr>
        <w:t>ss</w:t>
      </w:r>
      <w:r w:rsidRPr="007A7DA0">
        <w:t xml:space="preserve"> = 206 ng.h/mL; </w:t>
      </w:r>
      <w:r w:rsidRPr="007A7DA0">
        <w:rPr>
          <w:vertAlign w:val="superscript"/>
        </w:rPr>
        <w:t>c</w:t>
      </w:r>
      <w:r w:rsidRPr="007A7DA0">
        <w:t xml:space="preserve"> NOAEL for reproductive endpoints provided; AUC data is for maternal exposure; the peri/postnatal study was conducted with TDF not TAF</w:t>
      </w:r>
    </w:p>
    <w:p w:rsidR="007A7DA0" w:rsidRPr="007A7DA0" w:rsidRDefault="0092744D" w:rsidP="007A7DA0">
      <w:pPr>
        <w:pStyle w:val="Heading5"/>
      </w:pPr>
      <w:r>
        <w:t>Pregnancy classification</w:t>
      </w:r>
    </w:p>
    <w:p w:rsidR="007A7DA0" w:rsidRPr="007A7DA0" w:rsidRDefault="007A7DA0" w:rsidP="007A7DA0">
      <w:r w:rsidRPr="007A7DA0">
        <w:t>The registered drugs EVG, COBI, and FTC have respective pregnancy categories of B2</w:t>
      </w:r>
      <w:r w:rsidR="0092744D">
        <w:rPr>
          <w:rStyle w:val="FootnoteReference"/>
        </w:rPr>
        <w:footnoteReference w:id="26"/>
      </w:r>
      <w:r w:rsidRPr="007A7DA0">
        <w:t>, B1</w:t>
      </w:r>
      <w:r w:rsidR="0092744D">
        <w:rPr>
          <w:rStyle w:val="FootnoteReference"/>
        </w:rPr>
        <w:footnoteReference w:id="27"/>
      </w:r>
      <w:r w:rsidRPr="007A7DA0">
        <w:t xml:space="preserve"> and B1. TFV has category B3</w:t>
      </w:r>
      <w:r w:rsidR="0092744D">
        <w:rPr>
          <w:rStyle w:val="FootnoteReference"/>
        </w:rPr>
        <w:footnoteReference w:id="28"/>
      </w:r>
      <w:r w:rsidRPr="007A7DA0">
        <w:t xml:space="preserve">. An Australian pregnancy category of B3 is appropriate for </w:t>
      </w:r>
      <w:r w:rsidR="00CA65A1">
        <w:t>Genvoya</w:t>
      </w:r>
      <w:r w:rsidR="0092744D">
        <w:t>.</w:t>
      </w:r>
    </w:p>
    <w:p w:rsidR="007A7DA0" w:rsidRPr="007A7DA0" w:rsidRDefault="0092744D" w:rsidP="007A7DA0">
      <w:pPr>
        <w:pStyle w:val="Heading4"/>
      </w:pPr>
      <w:r>
        <w:t>Local tolerance</w:t>
      </w:r>
    </w:p>
    <w:p w:rsidR="007A7DA0" w:rsidRPr="007A7DA0" w:rsidRDefault="007A7DA0" w:rsidP="007A7DA0">
      <w:r w:rsidRPr="007A7DA0">
        <w:t>The sponsor submitted two local tolerance studies, one in rabbits and one using bovine eyes. The adequately designed stud</w:t>
      </w:r>
      <w:r w:rsidR="005033BB">
        <w:t xml:space="preserve">ies conclude that TAF was a </w:t>
      </w:r>
      <w:r w:rsidR="00A400FC">
        <w:t>non-corrosive</w:t>
      </w:r>
      <w:r w:rsidR="005033BB">
        <w:t xml:space="preserve">/non </w:t>
      </w:r>
      <w:r w:rsidRPr="007A7DA0">
        <w:t>severe eye</w:t>
      </w:r>
      <w:r w:rsidR="005033BB">
        <w:t xml:space="preserve"> irritant, as well as being non irritating/non </w:t>
      </w:r>
      <w:r w:rsidRPr="007A7DA0">
        <w:t>corr</w:t>
      </w:r>
      <w:r w:rsidR="005033BB">
        <w:t xml:space="preserve">osive to rabbit skin under semi </w:t>
      </w:r>
      <w:r w:rsidRPr="007A7DA0">
        <w:t>occluded conditions. Previously submitted studies for registration showed that EVG was not irritating to skin, not a severe irritant to eyes and showed no potential for phototoxicity. Similarly, COBI in previously submitted studies was mildly irritating to skin, not a severe irritant to eyes and showed no potential phototoxicity. No local tolerance studies were conducted for the EVG/COBI/FTC/TAF combination.</w:t>
      </w:r>
    </w:p>
    <w:p w:rsidR="007A7DA0" w:rsidRPr="007A7DA0" w:rsidRDefault="007A7DA0" w:rsidP="007A7DA0">
      <w:pPr>
        <w:pStyle w:val="Heading4"/>
      </w:pPr>
      <w:r w:rsidRPr="007A7DA0">
        <w:lastRenderedPageBreak/>
        <w:t>Paediatric use</w:t>
      </w:r>
    </w:p>
    <w:p w:rsidR="007A7DA0" w:rsidRPr="007A7DA0" w:rsidRDefault="007A7DA0" w:rsidP="007A7DA0">
      <w:r w:rsidRPr="007A7DA0">
        <w:t>The FDC is proposed for paediatric use, for children over 12 years old, however no specific studies in juvenile</w:t>
      </w:r>
      <w:r w:rsidR="008C4728">
        <w:t xml:space="preserve"> animals were submitted. Repeat </w:t>
      </w:r>
      <w:r w:rsidRPr="007A7DA0">
        <w:t>dose toxicity studies in adult animals did not identify systems that maybe targets for toxicity at clinically relevant exposure levels.</w:t>
      </w:r>
    </w:p>
    <w:p w:rsidR="007A7DA0" w:rsidRPr="007A7DA0" w:rsidRDefault="007A7DA0" w:rsidP="007A7DA0">
      <w:pPr>
        <w:pStyle w:val="Heading4"/>
      </w:pPr>
      <w:bookmarkStart w:id="61" w:name="_Toc295290868"/>
      <w:bookmarkStart w:id="62" w:name="_Toc435192695"/>
      <w:r w:rsidRPr="007A7DA0">
        <w:t xml:space="preserve">Comments on </w:t>
      </w:r>
      <w:r w:rsidR="00FF3153" w:rsidRPr="007A7DA0">
        <w:t>the safety specification of the risk management plan</w:t>
      </w:r>
      <w:bookmarkEnd w:id="61"/>
      <w:bookmarkEnd w:id="62"/>
    </w:p>
    <w:p w:rsidR="007A7DA0" w:rsidRPr="007A7DA0" w:rsidRDefault="007A7DA0" w:rsidP="007A7DA0">
      <w:r w:rsidRPr="007A7DA0">
        <w:t xml:space="preserve">Results and conclusions drawn from the nonclinical program for </w:t>
      </w:r>
      <w:r w:rsidR="00CA65A1">
        <w:t>Genvoya</w:t>
      </w:r>
      <w:r w:rsidRPr="007A7DA0">
        <w:t xml:space="preserve"> detailed in the sponso</w:t>
      </w:r>
      <w:r w:rsidR="008611F6">
        <w:t xml:space="preserve">r’s draft Risk Management Plan </w:t>
      </w:r>
      <w:r w:rsidRPr="007A7DA0">
        <w:t xml:space="preserve">are in general concordance with those of the </w:t>
      </w:r>
      <w:r w:rsidR="008C4728" w:rsidRPr="007A7DA0">
        <w:t>nonclinical evaluator</w:t>
      </w:r>
      <w:r w:rsidRPr="007A7DA0">
        <w:t>.</w:t>
      </w:r>
    </w:p>
    <w:p w:rsidR="00AB3272" w:rsidRDefault="0036557E" w:rsidP="00AB3272">
      <w:r>
        <w:t>The nonclinical evaluator made recommendations regarding the PI but these are beyond the scope of the AusPAR.</w:t>
      </w:r>
    </w:p>
    <w:p w:rsidR="008E7846" w:rsidRDefault="008E7846" w:rsidP="008E7846">
      <w:pPr>
        <w:pStyle w:val="Heading3"/>
      </w:pPr>
      <w:bookmarkStart w:id="63" w:name="_Toc247691515"/>
      <w:bookmarkStart w:id="64" w:name="_Toc314842499"/>
      <w:bookmarkStart w:id="65" w:name="_Toc455474492"/>
      <w:r>
        <w:t>Nonclinical summary and conclusions</w:t>
      </w:r>
      <w:bookmarkEnd w:id="63"/>
      <w:bookmarkEnd w:id="64"/>
      <w:bookmarkEnd w:id="65"/>
    </w:p>
    <w:p w:rsidR="00DA1551" w:rsidRPr="00DA1551" w:rsidRDefault="00DA1551" w:rsidP="00DA1551">
      <w:pPr>
        <w:pStyle w:val="ListBullet"/>
      </w:pPr>
      <w:r w:rsidRPr="00DA1551">
        <w:t>The nonclinical studies submitted were adequate, well design</w:t>
      </w:r>
      <w:r w:rsidR="008C4728">
        <w:t xml:space="preserve">ed, and safety studies were GLP </w:t>
      </w:r>
      <w:r w:rsidRPr="00DA1551">
        <w:t>compliant and in accordance with ICH guidelines for a new chemical entity (TAF). The guideline</w:t>
      </w:r>
      <w:r w:rsidR="008611F6" w:rsidRPr="008611F6">
        <w:rPr>
          <w:vertAlign w:val="superscript"/>
        </w:rPr>
        <w:fldChar w:fldCharType="begin"/>
      </w:r>
      <w:r w:rsidR="008611F6" w:rsidRPr="008611F6">
        <w:rPr>
          <w:vertAlign w:val="superscript"/>
        </w:rPr>
        <w:instrText xml:space="preserve"> NOTEREF _Ref451180826 \h </w:instrText>
      </w:r>
      <w:r w:rsidR="008611F6">
        <w:rPr>
          <w:vertAlign w:val="superscript"/>
        </w:rPr>
        <w:instrText xml:space="preserve"> \* MERGEFORMAT </w:instrText>
      </w:r>
      <w:r w:rsidR="008611F6" w:rsidRPr="008611F6">
        <w:rPr>
          <w:vertAlign w:val="superscript"/>
        </w:rPr>
      </w:r>
      <w:r w:rsidR="008611F6" w:rsidRPr="008611F6">
        <w:rPr>
          <w:vertAlign w:val="superscript"/>
        </w:rPr>
        <w:fldChar w:fldCharType="separate"/>
      </w:r>
      <w:r w:rsidR="00B45DD3">
        <w:rPr>
          <w:vertAlign w:val="superscript"/>
        </w:rPr>
        <w:t>8</w:t>
      </w:r>
      <w:r w:rsidR="008611F6" w:rsidRPr="008611F6">
        <w:rPr>
          <w:vertAlign w:val="superscript"/>
        </w:rPr>
        <w:fldChar w:fldCharType="end"/>
      </w:r>
      <w:r w:rsidRPr="00DA1551">
        <w:t xml:space="preserve"> states that combination toxicity studies with drugs for HCV are generally not warranted, and adequate scientific justification was provided for their absence.</w:t>
      </w:r>
    </w:p>
    <w:p w:rsidR="00DA1551" w:rsidRPr="00DA1551" w:rsidRDefault="00DA1551" w:rsidP="00DA1551">
      <w:pPr>
        <w:pStyle w:val="ListBullet"/>
      </w:pPr>
      <w:r w:rsidRPr="00DA1551">
        <w:t>Primary pharmacology: TAF is a prodrug for tenofovir (TFV), which is metabolised intracellularly to the active met</w:t>
      </w:r>
      <w:r w:rsidR="000C551F">
        <w:t>abolite, TFV-DP</w:t>
      </w:r>
      <w:r w:rsidRPr="00DA1551">
        <w:t xml:space="preserve">, and acts as a DNA chain terminator during HIV reverse transcription. The lysosomal carboxypeptidase </w:t>
      </w:r>
      <w:r w:rsidR="00015675">
        <w:t>Cat A</w:t>
      </w:r>
      <w:r w:rsidR="00CA65A1">
        <w:t xml:space="preserve"> </w:t>
      </w:r>
      <w:r w:rsidRPr="00DA1551">
        <w:t xml:space="preserve">is essential to the intracellular conversion of TAF to TFV. Some viral protease inhibitors may strongly inhibit </w:t>
      </w:r>
      <w:r w:rsidR="00015675">
        <w:t>Cat A</w:t>
      </w:r>
      <w:r w:rsidRPr="00DA1551">
        <w:t xml:space="preserve">, in vitro assays revealed that telaprevir and boceprevir, inhibitors of the HCV protease, strongly inhibited </w:t>
      </w:r>
      <w:r w:rsidR="00015675">
        <w:t>Cat A</w:t>
      </w:r>
      <w:r w:rsidR="008C4728">
        <w:t xml:space="preserve"> </w:t>
      </w:r>
      <w:r w:rsidRPr="00DA1551">
        <w:t>mediated hydrolysis of TAF. The HIV protease inhibitors darunavir, atazanavir, lopinavir and ritonavir, and COBI, had no clinically relevant effect.</w:t>
      </w:r>
    </w:p>
    <w:p w:rsidR="00DA1551" w:rsidRPr="00DA1551" w:rsidRDefault="00DA1551" w:rsidP="00DA1551">
      <w:pPr>
        <w:pStyle w:val="ListBullet"/>
      </w:pPr>
      <w:r w:rsidRPr="00DA1551">
        <w:t>TAF showed anti-HIV-1</w:t>
      </w:r>
      <w:r w:rsidR="008611F6">
        <w:t xml:space="preserve"> activity in vitro against wild </w:t>
      </w:r>
      <w:r w:rsidRPr="00DA1551">
        <w:t xml:space="preserve">type clinical isolates from Group M (subtypes A to G), and Groups N and O, and HIV-2, in human activated PBMCs, with </w:t>
      </w:r>
      <w:r w:rsidRPr="00015675">
        <w:t>EC50</w:t>
      </w:r>
      <w:r w:rsidRPr="00DA1551">
        <w:t xml:space="preserve"> values ranging from 0.14</w:t>
      </w:r>
      <w:r w:rsidR="00F02AA3">
        <w:t xml:space="preserve"> to </w:t>
      </w:r>
      <w:r w:rsidRPr="00DA1551">
        <w:t>12.0 nM. TAF respective mean EC50 values were 11.0</w:t>
      </w:r>
      <w:r w:rsidR="008611F6">
        <w:t xml:space="preserve"> </w:t>
      </w:r>
      <w:r w:rsidRPr="00DA1551">
        <w:t>±</w:t>
      </w:r>
      <w:r w:rsidR="008611F6">
        <w:t xml:space="preserve"> </w:t>
      </w:r>
      <w:r w:rsidRPr="00DA1551">
        <w:t>11.3 nM and 9.7 ± 4</w:t>
      </w:r>
      <w:r w:rsidR="008C4728">
        <w:t xml:space="preserve">.6 in CD4+ T cells and monocyte </w:t>
      </w:r>
      <w:r w:rsidRPr="00DA1551">
        <w:t xml:space="preserve">derived macrophages from diverse human donors. TAF showed a range of synergistic activity, and no </w:t>
      </w:r>
      <w:r w:rsidR="008C4728">
        <w:t xml:space="preserve">antagonism, when tested in pair </w:t>
      </w:r>
      <w:r w:rsidRPr="00DA1551">
        <w:t xml:space="preserve">wise combinations with anti-HIV NRTIs, NNRTIs, </w:t>
      </w:r>
      <w:r w:rsidR="003B40DF">
        <w:t>protease inhibitor</w:t>
      </w:r>
      <w:r w:rsidRPr="00DA1551">
        <w:t xml:space="preserve">s and INSTIs in vitro in MT-2 </w:t>
      </w:r>
      <w:r w:rsidR="008C4728">
        <w:t>cells infected with HIV-1 IIIB.</w:t>
      </w:r>
    </w:p>
    <w:p w:rsidR="00DA1551" w:rsidRPr="00DA1551" w:rsidRDefault="00DA1551" w:rsidP="00DA1551">
      <w:pPr>
        <w:pStyle w:val="ListBullet"/>
      </w:pPr>
      <w:r w:rsidRPr="00DA1551">
        <w:t>Since TAF and TFV are prodrugs for the same active intracellular metabolite, TFV-DP, they showed nearly identical resistance profiles in vitro, with emergence of the K65R ± S68N mutation in reverse transcriptase, associated with up to 6.5</w:t>
      </w:r>
      <w:r w:rsidR="00C40A50">
        <w:t xml:space="preserve"> fold</w:t>
      </w:r>
      <w:r w:rsidRPr="00DA1551">
        <w:t xml:space="preserve"> phenotypic resistance to TFV in a long-term selection study. TAF and TFV also had identical phenotypic resistance profile</w:t>
      </w:r>
      <w:r w:rsidR="008C4728">
        <w:t xml:space="preserve">s against a panel of 24 patient </w:t>
      </w:r>
      <w:r w:rsidRPr="00DA1551">
        <w:t>derived HIV-1 isolates with a wide range of NRTI resistance mutations.</w:t>
      </w:r>
    </w:p>
    <w:p w:rsidR="00DA1551" w:rsidRPr="00DA1551" w:rsidRDefault="00DA1551" w:rsidP="00DA1551">
      <w:pPr>
        <w:pStyle w:val="ListBullet"/>
      </w:pPr>
      <w:r w:rsidRPr="00DA1551">
        <w:t xml:space="preserve">Secondary pharmacodynamics studies showed that TAF had potent activity against HIV-1, </w:t>
      </w:r>
      <w:r w:rsidRPr="008611F6">
        <w:t>SIV</w:t>
      </w:r>
      <w:r w:rsidRPr="00DA1551">
        <w:t xml:space="preserve">, and </w:t>
      </w:r>
      <w:r w:rsidR="00DC6AAC">
        <w:t xml:space="preserve">HBV </w:t>
      </w:r>
      <w:r w:rsidRPr="008611F6">
        <w:t>(</w:t>
      </w:r>
      <w:r w:rsidRPr="00DA1551">
        <w:t>EC50 18 nM), but no significant activity against a range of other viruses. In vitro studies indicated that TFV-DP was selectiv</w:t>
      </w:r>
      <w:r>
        <w:t>e for HIV reverse transcriptase</w:t>
      </w:r>
      <w:r w:rsidRPr="00DA1551">
        <w:t xml:space="preserve"> in comparison to human DNA polymerases</w:t>
      </w:r>
      <w:r w:rsidR="00CA65A1">
        <w:t xml:space="preserve"> </w:t>
      </w:r>
      <w:r w:rsidRPr="00DA1551">
        <w:t>α, β, and ϒ, and did not deplete mitochondrial DNA in cultured HepG2 cells.</w:t>
      </w:r>
    </w:p>
    <w:p w:rsidR="00DA1551" w:rsidRPr="00DA1551" w:rsidRDefault="00DA1551" w:rsidP="00DA1551">
      <w:pPr>
        <w:pStyle w:val="ListBullet"/>
      </w:pPr>
      <w:r w:rsidRPr="00DA1551">
        <w:t xml:space="preserve">Safety pharmacology investigations showed that TAF had no effect on the central nervous system after a single dose in rats. TAF did not significantly inhibit </w:t>
      </w:r>
      <w:r w:rsidRPr="008611F6">
        <w:t>hERG</w:t>
      </w:r>
      <w:r w:rsidRPr="00DA1551">
        <w:t xml:space="preserve"> in vitro. Cardiovascular investigations in dogs found no TAF </w:t>
      </w:r>
      <w:r w:rsidR="0092744D">
        <w:t>treatment related</w:t>
      </w:r>
      <w:r w:rsidRPr="00DA1551">
        <w:t xml:space="preserve"> effects on </w:t>
      </w:r>
      <w:r w:rsidRPr="00DA1551">
        <w:lastRenderedPageBreak/>
        <w:t>the ECG, heart rate or systemic blood pressure. Single oral administration in rats found that TAF increased urinary output of calcium and there was a correlation with an increase in serum calcium concentration which indicated that the kidneys were functioning in order to reduce the serum calcium load. A gastrointestinal study in rats found that TAF 100 mg/kg had no clear effect on gastric emptying whereas administration of 1</w:t>
      </w:r>
      <w:r w:rsidR="008C4728">
        <w:t>,</w:t>
      </w:r>
      <w:r w:rsidRPr="00DA1551">
        <w:t>000 mg/kg significantly reducin</w:t>
      </w:r>
      <w:r w:rsidR="008C4728">
        <w:t>g the rate of gastric emptying.</w:t>
      </w:r>
    </w:p>
    <w:p w:rsidR="00DA1551" w:rsidRPr="00DA1551" w:rsidRDefault="00DA1551" w:rsidP="00DA1551">
      <w:pPr>
        <w:pStyle w:val="ListBullet"/>
      </w:pPr>
      <w:r w:rsidRPr="00DA1551">
        <w:t>Pharmacokinetics: Abs</w:t>
      </w:r>
      <w:r w:rsidR="008C4728">
        <w:t xml:space="preserve">orption studies, whether single or repeat </w:t>
      </w:r>
      <w:r w:rsidRPr="00DA1551">
        <w:t>dose showed that following administration of TAF in different animal models, the intact prodrug was rapidly converted to TVF, with some accumulation of TFV-DP in the liver. Distribution studies found that TAF moderately bound in plasma. In vivo studies in mice demonstrated that TAF was well tolerated. Studies showed that radioactivity was mainly retained in the liver and kidneys and minimally crossed the blood:</w:t>
      </w:r>
      <w:r w:rsidR="008611F6">
        <w:t xml:space="preserve"> </w:t>
      </w:r>
      <w:r w:rsidRPr="00DA1551">
        <w:t>brain and blood:</w:t>
      </w:r>
      <w:r w:rsidR="008611F6">
        <w:t xml:space="preserve"> </w:t>
      </w:r>
      <w:r w:rsidRPr="00DA1551">
        <w:t xml:space="preserve">testis barrier. Study results in rats suggest there is possibly no binding of TAF to melanin. In vivo metabolism studies in mice, rats and dogs indicated that </w:t>
      </w:r>
      <w:r w:rsidRPr="008C4728">
        <w:rPr>
          <w:vertAlign w:val="superscript"/>
        </w:rPr>
        <w:t>14</w:t>
      </w:r>
      <w:r w:rsidRPr="00DA1551">
        <w:t>C-TAF underwent rapid biotransformation via oxidation, hydrolysis, dealkylation and glucuronidation pathways. The studies concluded that clearance of TAF was via faeces as well as renal elimination. Elimination of a large percentage of radioactiv</w:t>
      </w:r>
      <w:r w:rsidR="008611F6">
        <w:t xml:space="preserve">ity was via bile from bile duct </w:t>
      </w:r>
      <w:r w:rsidRPr="00DA1551">
        <w:t>cannulated dogs, which indicated that biliary excretion maybe a major route of elimination of</w:t>
      </w:r>
      <w:r w:rsidR="008C4728">
        <w:t xml:space="preserve"> </w:t>
      </w:r>
      <w:r w:rsidR="008C4728" w:rsidRPr="008C4728">
        <w:rPr>
          <w:vertAlign w:val="superscript"/>
        </w:rPr>
        <w:t>14</w:t>
      </w:r>
      <w:r w:rsidR="008C4728">
        <w:t>C</w:t>
      </w:r>
      <w:r w:rsidR="008C4728">
        <w:noBreakHyphen/>
        <w:t>TAF</w:t>
      </w:r>
      <w:r w:rsidR="008C4728">
        <w:noBreakHyphen/>
        <w:t>derived radioactivity.</w:t>
      </w:r>
    </w:p>
    <w:p w:rsidR="00DA1551" w:rsidRPr="00DA1551" w:rsidRDefault="00DA1551" w:rsidP="00DA1551">
      <w:pPr>
        <w:pStyle w:val="ListBullet"/>
      </w:pPr>
      <w:r w:rsidRPr="00DA1551">
        <w:t xml:space="preserve">Single dose toxicity studies in rats showed slight reductions in lymphocyte counts, liver weight and salivation immediately following dose administration. Dogs administered TAF showed slight weight loss, reduced food consumption, and microscopic renal changes at 90 </w:t>
      </w:r>
      <w:r w:rsidR="008C4728">
        <w:t>and 270 mg/kg (NOAEL 30 mg/kg).</w:t>
      </w:r>
    </w:p>
    <w:p w:rsidR="00DA1551" w:rsidRPr="00DA1551" w:rsidRDefault="005A4943" w:rsidP="00DA1551">
      <w:pPr>
        <w:pStyle w:val="ListBullet"/>
      </w:pPr>
      <w:r>
        <w:t xml:space="preserve">Repeat </w:t>
      </w:r>
      <w:r w:rsidR="00DA1551" w:rsidRPr="00DA1551">
        <w:t xml:space="preserve">dose toxicity studies of 2 and 13 weeks duration in mice, 1, 4 and 26 weeks duration in rats, 4 and 39 weeks duration in dogs, and 4 weeks in monkeys identified the kidney (karyomegaly, tubular degeneration in rats and dogs), and bone (atrophy of cancellous bone in rats, bone mineral loss, increased markers of bone turnover in rats and dogs) as the main targets in the longer studies. In dogs, the bone kidney changes were still present, but with reduced incidence and severity, after 13 weeks recovery. TFV exposure ratios at the respective </w:t>
      </w:r>
      <w:r w:rsidR="00DA1551" w:rsidRPr="005A4943">
        <w:t>TAF NOAELs of 25, 2 and 30 mg/kg</w:t>
      </w:r>
      <w:r w:rsidRPr="005A4943">
        <w:t>/day in</w:t>
      </w:r>
      <w:r>
        <w:t xml:space="preserve"> the 26 </w:t>
      </w:r>
      <w:r w:rsidR="00DA1551" w:rsidRPr="00DA1551">
        <w:t>week, 39</w:t>
      </w:r>
      <w:r w:rsidR="00A6355F">
        <w:t xml:space="preserve"> week </w:t>
      </w:r>
      <w:r w:rsidR="00DA1551" w:rsidRPr="00DA1551">
        <w:t>and 4</w:t>
      </w:r>
      <w:r w:rsidR="00A6355F">
        <w:t xml:space="preserve"> week </w:t>
      </w:r>
      <w:r w:rsidR="00DA1551" w:rsidRPr="00DA1551">
        <w:t>toxicity studies in rats, dogs and monkeys were 13, 4 and 20.</w:t>
      </w:r>
    </w:p>
    <w:p w:rsidR="00DA1551" w:rsidRPr="00DA1551" w:rsidRDefault="00DA1551" w:rsidP="00DA1551">
      <w:pPr>
        <w:pStyle w:val="ListBullet"/>
      </w:pPr>
      <w:r w:rsidRPr="00DA1551">
        <w:t xml:space="preserve">Mice showed degenerative and inflammatory (neutrophil infiltrate) changes in the nasal mucosa, however these effects were not observed in rats, dogs or monkeys, and are unlikely to have clinical relevance. Minimal infiltration of histiocytes was observed in the eye (choroid plexus, ciliary body), lung and spleen at the </w:t>
      </w:r>
      <w:r w:rsidR="00D602F3">
        <w:t>high dose</w:t>
      </w:r>
      <w:r w:rsidR="00D602F3" w:rsidRPr="00DA1551">
        <w:t xml:space="preserve"> </w:t>
      </w:r>
      <w:r w:rsidRPr="00DA1551">
        <w:t>in the 39</w:t>
      </w:r>
      <w:r w:rsidR="00A6355F">
        <w:t xml:space="preserve"> week </w:t>
      </w:r>
      <w:r w:rsidRPr="00DA1551">
        <w:t>study in dogs, but is unlikely to have clinical relevance.</w:t>
      </w:r>
    </w:p>
    <w:p w:rsidR="00DA1551" w:rsidRPr="00DA1551" w:rsidRDefault="00DA1551" w:rsidP="00DA1551">
      <w:pPr>
        <w:pStyle w:val="ListBullet"/>
      </w:pPr>
      <w:r w:rsidRPr="00DA1551">
        <w:t>TAF was not genotoxic, and TFV had no relevant carcinogenic potential. Adequate justification was provided for the lack of genotoxicity and carcin</w:t>
      </w:r>
      <w:r w:rsidR="005A4943">
        <w:t>ogenicity studies with the FDC.</w:t>
      </w:r>
    </w:p>
    <w:p w:rsidR="00DA1551" w:rsidRPr="00DA1551" w:rsidRDefault="00DA1551" w:rsidP="00DA1551">
      <w:pPr>
        <w:pStyle w:val="ListBullet"/>
      </w:pPr>
      <w:r w:rsidRPr="00DA1551">
        <w:t xml:space="preserve">A fertility and early embryonic development study in rats with TAF found no statistically significant </w:t>
      </w:r>
      <w:r w:rsidR="0092744D">
        <w:t>treatment related</w:t>
      </w:r>
      <w:r w:rsidRPr="00DA1551">
        <w:t xml:space="preserve"> changes in organ weights for the epididymis, prostate, seminal vesicles or pituitary. Females were observed with no </w:t>
      </w:r>
      <w:r w:rsidR="0092744D">
        <w:t>treatment related</w:t>
      </w:r>
      <w:r w:rsidRPr="00DA1551">
        <w:t xml:space="preserve"> differences in any reproductive parameters measured, or macroscopic findings at necropsy. There were no statistically significant differences in reproductive organ weights or </w:t>
      </w:r>
      <w:r w:rsidR="0092744D">
        <w:t>treatment related</w:t>
      </w:r>
      <w:r w:rsidRPr="00DA1551">
        <w:t xml:space="preserve"> effects on any of the caesarean section parameters. Embryofetal development studies in rats and rabbits found no </w:t>
      </w:r>
      <w:r w:rsidR="0092744D">
        <w:t>treatment related</w:t>
      </w:r>
      <w:r w:rsidRPr="00DA1551">
        <w:t xml:space="preserve"> evidence of embryo</w:t>
      </w:r>
      <w:r w:rsidR="008611F6">
        <w:t xml:space="preserve"> </w:t>
      </w:r>
      <w:r w:rsidRPr="00DA1551">
        <w:t>lethality or teratogenicity. The perinatal/postnatal reproduction study in rats administered TDF found:</w:t>
      </w:r>
    </w:p>
    <w:p w:rsidR="00DA1551" w:rsidRPr="00DA1551" w:rsidRDefault="00DA1551" w:rsidP="00DA1551">
      <w:pPr>
        <w:pStyle w:val="ListBullet2"/>
      </w:pPr>
      <w:r w:rsidRPr="00DA1551">
        <w:t xml:space="preserve">No significant </w:t>
      </w:r>
      <w:r w:rsidR="0092744D">
        <w:t>treatment related</w:t>
      </w:r>
      <w:r w:rsidRPr="00DA1551">
        <w:t xml:space="preserve"> behavioural ev</w:t>
      </w:r>
      <w:r w:rsidR="008611F6">
        <w:t>aluations of F1 generation pups</w:t>
      </w:r>
    </w:p>
    <w:p w:rsidR="00DA1551" w:rsidRPr="00DA1551" w:rsidRDefault="00DA1551" w:rsidP="00E2695E">
      <w:pPr>
        <w:pStyle w:val="ListBullet2"/>
      </w:pPr>
      <w:r w:rsidRPr="00DA1551">
        <w:lastRenderedPageBreak/>
        <w:t>Mating performance of both F1 generation sexes was unaffected by t</w:t>
      </w:r>
      <w:r w:rsidR="008611F6">
        <w:t>reatment of F0 generation dams</w:t>
      </w:r>
    </w:p>
    <w:p w:rsidR="00DA1551" w:rsidRPr="00DA1551" w:rsidRDefault="00DA1551" w:rsidP="00DA1551">
      <w:pPr>
        <w:pStyle w:val="ListBullet2"/>
      </w:pPr>
      <w:r w:rsidRPr="00DA1551">
        <w:t xml:space="preserve">Administration of TAF to the F0 generation dams resulted in no </w:t>
      </w:r>
      <w:r w:rsidR="0092744D">
        <w:t>treatment related</w:t>
      </w:r>
      <w:r w:rsidRPr="00DA1551">
        <w:t xml:space="preserve"> effects in F1 generation fem</w:t>
      </w:r>
      <w:r w:rsidR="008611F6">
        <w:t xml:space="preserve">ale rats. Analysis of caesarean </w:t>
      </w:r>
      <w:r w:rsidRPr="00DA1551">
        <w:t>sectioning and litter parameters found that</w:t>
      </w:r>
      <w:r w:rsidR="00CA65A1">
        <w:t xml:space="preserve"> </w:t>
      </w:r>
      <w:r w:rsidRPr="00DA1551">
        <w:t>litter averages for corpora lutea, implantations, litter sizes, live fetuses, early and late resorptions, fetal body weights, percent resorbed conceptuses, and percent live male fet</w:t>
      </w:r>
      <w:r w:rsidR="008611F6">
        <w:t>uses were comparable to control</w:t>
      </w:r>
    </w:p>
    <w:p w:rsidR="00DA1551" w:rsidRPr="00DA1551" w:rsidRDefault="008611F6" w:rsidP="00DA1551">
      <w:pPr>
        <w:pStyle w:val="ListBullet2"/>
      </w:pPr>
      <w:r>
        <w:t>All placentae appeared normal</w:t>
      </w:r>
    </w:p>
    <w:p w:rsidR="00DA1551" w:rsidRPr="00DA1551" w:rsidRDefault="00DA1551" w:rsidP="00DA1551">
      <w:pPr>
        <w:pStyle w:val="ListBullet2"/>
      </w:pPr>
      <w:r w:rsidRPr="00DA1551">
        <w:t>Toxicokinetic milk analysis (Day 11 postpartum) confirmed the presence of excreted TFV, which was not concentrated. Pharmacokinetic plasma data and plasma profiles indicate an increased exposure of TFV with increased oral doses of TDF.</w:t>
      </w:r>
    </w:p>
    <w:p w:rsidR="00DA1551" w:rsidRPr="00DA1551" w:rsidRDefault="00DA1551" w:rsidP="00DA1551">
      <w:pPr>
        <w:pStyle w:val="ListBullet"/>
      </w:pPr>
      <w:r w:rsidRPr="00DA1551">
        <w:t>Local tolerance studies found t</w:t>
      </w:r>
      <w:r w:rsidR="008611F6">
        <w:t xml:space="preserve">hat TAF was a </w:t>
      </w:r>
      <w:r w:rsidR="00A400FC">
        <w:t>non-corrosive</w:t>
      </w:r>
      <w:r w:rsidR="008611F6">
        <w:t xml:space="preserve">/non </w:t>
      </w:r>
      <w:r w:rsidRPr="00DA1551">
        <w:t>severe eye</w:t>
      </w:r>
      <w:r w:rsidR="008611F6">
        <w:t xml:space="preserve"> irritant, as well as being non irritating/non </w:t>
      </w:r>
      <w:r w:rsidRPr="00DA1551">
        <w:t xml:space="preserve">corrosive to rabbit skin </w:t>
      </w:r>
      <w:r w:rsidR="008611F6">
        <w:t xml:space="preserve">under semi </w:t>
      </w:r>
      <w:r w:rsidR="005A4943">
        <w:t>occluded conditions.</w:t>
      </w:r>
    </w:p>
    <w:p w:rsidR="00DA1551" w:rsidRPr="00DA1551" w:rsidRDefault="00DA1551" w:rsidP="00DA1551">
      <w:pPr>
        <w:pStyle w:val="ListBullet"/>
      </w:pPr>
      <w:r w:rsidRPr="00DA1551">
        <w:t xml:space="preserve">The stability and degradation of EVG, FTC and COBI were reportedly comparable in both </w:t>
      </w:r>
      <w:r w:rsidR="00CA65A1">
        <w:t>Genvoya</w:t>
      </w:r>
      <w:r w:rsidRPr="00DA1551">
        <w:t xml:space="preserve"> and </w:t>
      </w:r>
      <w:r w:rsidR="00CA65A1">
        <w:t>Stribild</w:t>
      </w:r>
      <w:r w:rsidRPr="00DA1551">
        <w:t xml:space="preserve">, and there were no unique impurities or degradants in </w:t>
      </w:r>
      <w:r w:rsidR="00CA65A1">
        <w:t>Genvoya</w:t>
      </w:r>
      <w:r w:rsidRPr="00DA1551">
        <w:t>. However, there was insufficient data to qualify two T</w:t>
      </w:r>
      <w:r w:rsidR="005A4943">
        <w:t>AF impurities.</w:t>
      </w:r>
    </w:p>
    <w:p w:rsidR="00DA1551" w:rsidRPr="00DA1551" w:rsidRDefault="005A4943" w:rsidP="00DA1551">
      <w:pPr>
        <w:pStyle w:val="Heading5"/>
      </w:pPr>
      <w:bookmarkStart w:id="66" w:name="_Toc294861479"/>
      <w:bookmarkStart w:id="67" w:name="_Toc295290862"/>
      <w:bookmarkStart w:id="68" w:name="_Toc435192689"/>
      <w:r>
        <w:t>C</w:t>
      </w:r>
      <w:r w:rsidRPr="00DA1551">
        <w:t>onclusions</w:t>
      </w:r>
      <w:bookmarkEnd w:id="66"/>
      <w:bookmarkEnd w:id="67"/>
      <w:bookmarkEnd w:id="68"/>
    </w:p>
    <w:p w:rsidR="00DA1551" w:rsidRPr="00DA1551" w:rsidRDefault="00DA1551" w:rsidP="00DA1551">
      <w:pPr>
        <w:pStyle w:val="ListBullet"/>
      </w:pPr>
      <w:r w:rsidRPr="00DA1551">
        <w:t>There were no major defici</w:t>
      </w:r>
      <w:r w:rsidR="005A4943">
        <w:t>encies in the nonclinical data.</w:t>
      </w:r>
    </w:p>
    <w:p w:rsidR="00DA1551" w:rsidRPr="00DA1551" w:rsidRDefault="00DA1551" w:rsidP="00DA1551">
      <w:pPr>
        <w:pStyle w:val="ListBullet"/>
      </w:pPr>
      <w:r w:rsidRPr="00DA1551">
        <w:t xml:space="preserve">Primary pharmacology studies with TAF support its use for the proposed indication. TAF is metabolised intracellularly to the active metabolite, tenofovir diphosphate. The lysosomal carboxypeptidase </w:t>
      </w:r>
      <w:r w:rsidR="00015675">
        <w:t>Cat A</w:t>
      </w:r>
      <w:r w:rsidR="00CA65A1">
        <w:t xml:space="preserve"> </w:t>
      </w:r>
      <w:r w:rsidRPr="00DA1551">
        <w:t>is essential to the intracellular conversion of TAF to TFV. The resistance profile of TAF was almost identical to that of TDF. In vitro assays revealed that the HCV</w:t>
      </w:r>
      <w:r w:rsidR="00CA65A1">
        <w:t xml:space="preserve"> </w:t>
      </w:r>
      <w:r w:rsidRPr="00DA1551">
        <w:t xml:space="preserve">protease inhibitors telaprevir and boceprevir strongly inhibited </w:t>
      </w:r>
      <w:r w:rsidR="00015675">
        <w:t>Cat A</w:t>
      </w:r>
      <w:r w:rsidR="008611F6">
        <w:t xml:space="preserve"> </w:t>
      </w:r>
      <w:r w:rsidRPr="00DA1551">
        <w:t>mediated hydrolysis of TAF. More recently registered HCV protease inhibitors were not tested. This is brought to the attention of the clinical evaluator.</w:t>
      </w:r>
    </w:p>
    <w:p w:rsidR="00DA1551" w:rsidRPr="00DA1551" w:rsidRDefault="00DA1551" w:rsidP="00DA1551">
      <w:pPr>
        <w:pStyle w:val="ListBullet"/>
      </w:pPr>
      <w:r w:rsidRPr="00DA1551">
        <w:t>No clinically relevant hazards were identified with secondary pharmacodynamics a</w:t>
      </w:r>
      <w:r w:rsidR="005A4943">
        <w:t>nd safety pharmacology studies.</w:t>
      </w:r>
    </w:p>
    <w:p w:rsidR="00DA1551" w:rsidRPr="00DA1551" w:rsidRDefault="008611F6" w:rsidP="00DA1551">
      <w:pPr>
        <w:pStyle w:val="ListBullet"/>
      </w:pPr>
      <w:r>
        <w:t xml:space="preserve">Repeat </w:t>
      </w:r>
      <w:r w:rsidR="00DA1551" w:rsidRPr="00DA1551">
        <w:t>dose toxicity studies conducted in mice, rats, dogs and monkeys achieved high tenofovir exposure ratios. The main targets were the kidney (karyomegaly, tubular degeneration) and bone (mineral lo</w:t>
      </w:r>
      <w:r>
        <w:t>s</w:t>
      </w:r>
      <w:r w:rsidR="00DA1551" w:rsidRPr="00DA1551">
        <w:t>s, increased turnover), at multiples of the TFV clinical exposure. There was no evidence of bone deformities.</w:t>
      </w:r>
    </w:p>
    <w:p w:rsidR="00DA1551" w:rsidRPr="00DA1551" w:rsidRDefault="00DA1551" w:rsidP="00DA1551">
      <w:pPr>
        <w:pStyle w:val="ListBullet"/>
      </w:pPr>
      <w:r w:rsidRPr="00DA1551">
        <w:t>In</w:t>
      </w:r>
      <w:r w:rsidR="008611F6">
        <w:t xml:space="preserve"> accordance with the</w:t>
      </w:r>
      <w:r w:rsidRPr="00DA1551">
        <w:t xml:space="preserve"> guideline</w:t>
      </w:r>
      <w:r w:rsidR="008611F6" w:rsidRPr="008611F6">
        <w:rPr>
          <w:vertAlign w:val="superscript"/>
        </w:rPr>
        <w:fldChar w:fldCharType="begin"/>
      </w:r>
      <w:r w:rsidR="008611F6" w:rsidRPr="008611F6">
        <w:rPr>
          <w:vertAlign w:val="superscript"/>
        </w:rPr>
        <w:instrText xml:space="preserve"> NOTEREF _Ref451180826 \h </w:instrText>
      </w:r>
      <w:r w:rsidR="008611F6">
        <w:rPr>
          <w:vertAlign w:val="superscript"/>
        </w:rPr>
        <w:instrText xml:space="preserve"> \* MERGEFORMAT </w:instrText>
      </w:r>
      <w:r w:rsidR="008611F6" w:rsidRPr="008611F6">
        <w:rPr>
          <w:vertAlign w:val="superscript"/>
        </w:rPr>
      </w:r>
      <w:r w:rsidR="008611F6" w:rsidRPr="008611F6">
        <w:rPr>
          <w:vertAlign w:val="superscript"/>
        </w:rPr>
        <w:fldChar w:fldCharType="separate"/>
      </w:r>
      <w:r w:rsidR="00B45DD3">
        <w:rPr>
          <w:vertAlign w:val="superscript"/>
        </w:rPr>
        <w:t>8</w:t>
      </w:r>
      <w:r w:rsidR="008611F6" w:rsidRPr="008611F6">
        <w:rPr>
          <w:vertAlign w:val="superscript"/>
        </w:rPr>
        <w:fldChar w:fldCharType="end"/>
      </w:r>
      <w:r w:rsidRPr="005A4943">
        <w:rPr>
          <w:vertAlign w:val="superscript"/>
        </w:rPr>
        <w:t>,</w:t>
      </w:r>
      <w:r w:rsidRPr="00DA1551">
        <w:t xml:space="preserve"> toxicity studies were not conducted with the drug combination, and adequate scientific justification was provided for the absence o</w:t>
      </w:r>
      <w:r w:rsidR="005A4943">
        <w:t>f combination toxicity studies.</w:t>
      </w:r>
    </w:p>
    <w:p w:rsidR="00DA1551" w:rsidRPr="00DA1551" w:rsidRDefault="00DA1551" w:rsidP="00DA1551">
      <w:pPr>
        <w:pStyle w:val="ListBullet"/>
      </w:pPr>
      <w:r w:rsidRPr="00DA1551">
        <w:t>Genotoxicity and carcinogenicity were conducted in accordance with ICH guidelines. TAF was not genotoxic and TFV had no relevant carcinogenic potential.</w:t>
      </w:r>
    </w:p>
    <w:p w:rsidR="00DA1551" w:rsidRPr="00DA1551" w:rsidRDefault="00DA1551" w:rsidP="00DA1551">
      <w:pPr>
        <w:pStyle w:val="ListBullet"/>
      </w:pPr>
      <w:r w:rsidRPr="00DA1551">
        <w:t>Reproductive toxicity studies with TAF/TDF were appropriately designed and in accordance to the ICH guidelines, with no evidence of embryo</w:t>
      </w:r>
      <w:r w:rsidR="008611F6">
        <w:t xml:space="preserve"> </w:t>
      </w:r>
      <w:r w:rsidRPr="00DA1551">
        <w:t>lethality, fetotoxicity or teratogenic</w:t>
      </w:r>
      <w:r w:rsidR="005A4943">
        <w:t>ity.</w:t>
      </w:r>
    </w:p>
    <w:p w:rsidR="00DA1551" w:rsidRDefault="00DA1551" w:rsidP="00DA1551">
      <w:pPr>
        <w:pStyle w:val="ListBullet"/>
      </w:pPr>
      <w:r w:rsidRPr="00DA1551">
        <w:t>All impurities were qualified except for the two TAF degradants.</w:t>
      </w:r>
    </w:p>
    <w:p w:rsidR="005A4943" w:rsidRPr="005A4943" w:rsidRDefault="005A4943" w:rsidP="005A4943">
      <w:pPr>
        <w:pStyle w:val="Heading5"/>
      </w:pPr>
      <w:r>
        <w:t>Recommendation</w:t>
      </w:r>
    </w:p>
    <w:p w:rsidR="00DA1551" w:rsidRPr="005A4943" w:rsidRDefault="00DA1551" w:rsidP="005A4943">
      <w:r w:rsidRPr="005A4943">
        <w:t xml:space="preserve">There are no nonclinical objections to </w:t>
      </w:r>
      <w:r w:rsidR="005A4943" w:rsidRPr="005A4943">
        <w:t>registration;</w:t>
      </w:r>
      <w:r w:rsidRPr="005A4943">
        <w:t xml:space="preserve"> however the qualification of 2 TAF impurities requires further clarification.</w:t>
      </w:r>
    </w:p>
    <w:p w:rsidR="008E7846" w:rsidRPr="00254787" w:rsidRDefault="008E7846" w:rsidP="008E7846">
      <w:pPr>
        <w:pStyle w:val="Heading2"/>
      </w:pPr>
      <w:bookmarkStart w:id="69" w:name="_Toc196046462"/>
      <w:bookmarkStart w:id="70" w:name="_Toc247691516"/>
      <w:bookmarkStart w:id="71" w:name="_Toc314842500"/>
      <w:bookmarkStart w:id="72" w:name="_Toc455474493"/>
      <w:bookmarkStart w:id="73" w:name="_Toc163441353"/>
      <w:bookmarkStart w:id="74" w:name="_Toc163441348"/>
      <w:r>
        <w:lastRenderedPageBreak/>
        <w:t xml:space="preserve">IV. </w:t>
      </w:r>
      <w:r w:rsidRPr="00254787">
        <w:t>Clinical</w:t>
      </w:r>
      <w:bookmarkEnd w:id="69"/>
      <w:r>
        <w:t xml:space="preserve"> </w:t>
      </w:r>
      <w:r w:rsidR="003A7F6C">
        <w:t>f</w:t>
      </w:r>
      <w:r>
        <w:t>indings</w:t>
      </w:r>
      <w:bookmarkEnd w:id="70"/>
      <w:bookmarkEnd w:id="71"/>
      <w:bookmarkEnd w:id="72"/>
    </w:p>
    <w:p w:rsidR="00C80137" w:rsidRDefault="00C80137" w:rsidP="00D425BB">
      <w:bookmarkStart w:id="75"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605AD4" w:rsidRDefault="00605AD4" w:rsidP="00E2695E">
      <w:pPr>
        <w:pStyle w:val="Heading3"/>
      </w:pPr>
      <w:bookmarkStart w:id="76" w:name="_Toc455474494"/>
      <w:bookmarkStart w:id="77" w:name="_Toc196046464"/>
      <w:bookmarkStart w:id="78" w:name="_Toc247691518"/>
      <w:bookmarkStart w:id="79" w:name="_Toc314842502"/>
      <w:bookmarkEnd w:id="75"/>
      <w:r w:rsidRPr="00605AD4">
        <w:t xml:space="preserve">Clinical </w:t>
      </w:r>
      <w:r w:rsidR="00EF59DC">
        <w:t>r</w:t>
      </w:r>
      <w:r w:rsidRPr="00605AD4">
        <w:t>ationale</w:t>
      </w:r>
      <w:bookmarkEnd w:id="76"/>
    </w:p>
    <w:p w:rsidR="00BC6CE7" w:rsidRPr="00166E33" w:rsidRDefault="00BC6CE7" w:rsidP="00BC6CE7">
      <w:r w:rsidRPr="00166E33">
        <w:t>Standard of care for the treatment of HIV-1 infection uses combination antiretroviral therapy (ART) to suppress viral replication to below detectable limits, increase CD4 cell counts, and st</w:t>
      </w:r>
      <w:r>
        <w:t xml:space="preserve">op disease progression. For </w:t>
      </w:r>
      <w:r w:rsidR="008611F6">
        <w:t>ART</w:t>
      </w:r>
      <w:r>
        <w:t xml:space="preserve"> </w:t>
      </w:r>
      <w:r w:rsidR="00AD043A">
        <w:t>naive</w:t>
      </w:r>
      <w:r w:rsidRPr="00166E33">
        <w:t xml:space="preserve"> </w:t>
      </w:r>
      <w:r>
        <w:t>HIV infected</w:t>
      </w:r>
      <w:r w:rsidRPr="00166E33">
        <w:t xml:space="preserve"> patients, current treatment guidelines suggest that initial therapy consist of 2 nucleos(t)ide reverse transcriptase inhibitors (N</w:t>
      </w:r>
      <w:r>
        <w:t>(</w:t>
      </w:r>
      <w:r w:rsidRPr="00166E33">
        <w:t>t</w:t>
      </w:r>
      <w:r>
        <w:t>)</w:t>
      </w:r>
      <w:r w:rsidRPr="00166E33">
        <w:t>RTI) and either a nonnucleoside reverse transcriptase inhibitor (NNRTI), a boosted protease inhibit</w:t>
      </w:r>
      <w:r w:rsidR="003B40DF">
        <w:t>or</w:t>
      </w:r>
      <w:r>
        <w:t xml:space="preserve">, or an integrase strand </w:t>
      </w:r>
      <w:r w:rsidRPr="00166E33">
        <w:t>transfer inhibitor (INSTI).</w:t>
      </w:r>
    </w:p>
    <w:p w:rsidR="00BC6CE7" w:rsidRPr="00166E33" w:rsidRDefault="00BC6CE7" w:rsidP="00BC6CE7">
      <w:r>
        <w:t xml:space="preserve">The success of potent and well </w:t>
      </w:r>
      <w:r w:rsidRPr="002A25DD">
        <w:t xml:space="preserve">tolerated </w:t>
      </w:r>
      <w:r w:rsidR="002A25DD" w:rsidRPr="002A25DD">
        <w:t>ART</w:t>
      </w:r>
      <w:r w:rsidRPr="00166E33">
        <w:t xml:space="preserve"> means that mor</w:t>
      </w:r>
      <w:r>
        <w:t xml:space="preserve">bidity and mortality in the HIV </w:t>
      </w:r>
      <w:r w:rsidRPr="00166E33">
        <w:t>infected populatio</w:t>
      </w:r>
      <w:r>
        <w:t xml:space="preserve">n is increasingly driven by </w:t>
      </w:r>
      <w:r w:rsidR="00A400FC">
        <w:t>non-</w:t>
      </w:r>
      <w:r w:rsidR="00A400FC" w:rsidRPr="002A25DD">
        <w:t>acquired</w:t>
      </w:r>
      <w:r w:rsidR="002A25DD" w:rsidRPr="002A25DD">
        <w:t xml:space="preserve"> immunodeficiency syndrome (</w:t>
      </w:r>
      <w:r w:rsidRPr="002A25DD">
        <w:t>AIDS</w:t>
      </w:r>
      <w:r w:rsidR="002A25DD" w:rsidRPr="002A25DD">
        <w:t>)</w:t>
      </w:r>
      <w:r>
        <w:t xml:space="preserve"> </w:t>
      </w:r>
      <w:r w:rsidRPr="00166E33">
        <w:t xml:space="preserve">associated comorbidities. Clinical attention has become more focused on the optimization of tolerability, long-term safety, and adherence to potent ART regimens. There remains a significant medical need for new, effective therapies that </w:t>
      </w:r>
      <w:r>
        <w:t xml:space="preserve">take into consideration the non </w:t>
      </w:r>
      <w:r w:rsidRPr="00166E33">
        <w:t>HIV co</w:t>
      </w:r>
      <w:r w:rsidR="008611F6" w:rsidRPr="00166E33">
        <w:t>morbidities</w:t>
      </w:r>
      <w:r w:rsidR="008611F6">
        <w:t>;</w:t>
      </w:r>
      <w:r>
        <w:t xml:space="preserve"> demographics of the aging HIV </w:t>
      </w:r>
      <w:r w:rsidRPr="00166E33">
        <w:t>infected population, antiretroviral (ARV) resistance, and regimen simplification. Chronic kidney disease is important, since observational studies have demonstrated a relationship between kidney disease and progression t</w:t>
      </w:r>
      <w:r>
        <w:t xml:space="preserve">o AIDS and death. Moreover, HIV </w:t>
      </w:r>
      <w:r w:rsidRPr="00166E33">
        <w:t xml:space="preserve">associated nephropathy present in up to 30% of patients is a common </w:t>
      </w:r>
      <w:r>
        <w:t xml:space="preserve">cause of end </w:t>
      </w:r>
      <w:r w:rsidRPr="00166E33">
        <w:t xml:space="preserve">stage renal disease </w:t>
      </w:r>
      <w:r w:rsidRPr="008611F6">
        <w:t>(ESRD)</w:t>
      </w:r>
      <w:r w:rsidRPr="00166E33">
        <w:t xml:space="preserve"> requiring dialysis. A</w:t>
      </w:r>
      <w:r w:rsidR="005A4943" w:rsidRPr="005A4943">
        <w:t>ntiretroviral therapy</w:t>
      </w:r>
      <w:r w:rsidRPr="00166E33">
        <w:t xml:space="preserve"> with proven efficacy and safety in the both elderly and young patients is important; limited data and treatment options are available in both populations. The elderly have increased risks for comorbidities, including those related to renal and bone. There are specific and complex challenges for the treatment of adolescents, who also represent the population that will re</w:t>
      </w:r>
      <w:r>
        <w:t>quire ART for the longest time.</w:t>
      </w:r>
    </w:p>
    <w:p w:rsidR="00BC6CE7" w:rsidRPr="00BC6CE7" w:rsidRDefault="00BC6CE7" w:rsidP="00BC6CE7">
      <w:r w:rsidRPr="00166E33">
        <w:t xml:space="preserve">Given the duration for which a newly diagnosed person with HIV may take an ART regimen throughout his or her lifetime, the E/C/F/TAF </w:t>
      </w:r>
      <w:r w:rsidRPr="008611F6">
        <w:t>FDC</w:t>
      </w:r>
      <w:r w:rsidRPr="00166E33">
        <w:t xml:space="preserve"> tablet may provide the longevity of a single treatment that optim</w:t>
      </w:r>
      <w:r w:rsidR="00527A3B">
        <w:t>ise</w:t>
      </w:r>
      <w:r w:rsidRPr="00166E33">
        <w:t xml:space="preserve">s tolerability, long-term safety, and durable efficacy. For </w:t>
      </w:r>
      <w:r>
        <w:t>HIV infected</w:t>
      </w:r>
      <w:r w:rsidR="005A4943">
        <w:t xml:space="preserve">, ART </w:t>
      </w:r>
      <w:r w:rsidR="00AD043A">
        <w:t>naive</w:t>
      </w:r>
      <w:r w:rsidRPr="00166E33">
        <w:t xml:space="preserve"> patients, E/C/F/TAF may have advantages over the existing marketed product of Stribild, specifically less proteinuria, less need for renal monitoring, and less impact on bone mineralization relative to TDF treatment. The relatively low dose of TAF (10 mg </w:t>
      </w:r>
      <w:r>
        <w:t>versus TDF 300 </w:t>
      </w:r>
      <w:r w:rsidRPr="00166E33">
        <w:t>mg) that is used in the E/C/F/TAF FDC also allows for co</w:t>
      </w:r>
      <w:r>
        <w:t>-</w:t>
      </w:r>
      <w:r w:rsidRPr="00166E33">
        <w:t xml:space="preserve">formulation with multiple other third ARV agents. This will allow </w:t>
      </w:r>
      <w:r>
        <w:t>HIV infected</w:t>
      </w:r>
      <w:r w:rsidRPr="00166E33">
        <w:t>, virologically suppressed</w:t>
      </w:r>
      <w:r>
        <w:t xml:space="preserve"> patients to convert from a TDF </w:t>
      </w:r>
      <w:r w:rsidRPr="00166E33">
        <w:t>based regimen to receive a TFV prodrug co</w:t>
      </w:r>
      <w:r>
        <w:t>-</w:t>
      </w:r>
      <w:r w:rsidRPr="00166E33">
        <w:t xml:space="preserve">formulated with 2 active agents without any diminution of efficacy, but with renal and bone safety advantages. E/C/F/TAF can potentially provide a lifelong treatment option </w:t>
      </w:r>
      <w:r>
        <w:t>that can minim</w:t>
      </w:r>
      <w:r w:rsidR="00527A3B">
        <w:t>ise</w:t>
      </w:r>
      <w:r>
        <w:t xml:space="preserve"> impact on non </w:t>
      </w:r>
      <w:r w:rsidRPr="00166E33">
        <w:t xml:space="preserve">AIDS comorbidities that </w:t>
      </w:r>
      <w:r>
        <w:t xml:space="preserve">may be more important than AIDS </w:t>
      </w:r>
      <w:r w:rsidRPr="00166E33">
        <w:t>related opportunistic infections.</w:t>
      </w:r>
    </w:p>
    <w:p w:rsidR="00605AD4" w:rsidRPr="00E2695E" w:rsidRDefault="00605AD4" w:rsidP="00E2695E">
      <w:pPr>
        <w:pStyle w:val="Heading4"/>
      </w:pPr>
      <w:r w:rsidRPr="00E2695E">
        <w:t>Contents of the clinical dossier</w:t>
      </w:r>
    </w:p>
    <w:p w:rsidR="00BC6CE7" w:rsidRPr="00166E33" w:rsidRDefault="00BC6CE7" w:rsidP="00BC6CE7">
      <w:r w:rsidRPr="00166E33">
        <w:t>The submission contained the following clinical information:</w:t>
      </w:r>
    </w:p>
    <w:p w:rsidR="00BC6CE7" w:rsidRPr="00166E33" w:rsidRDefault="00BC6CE7" w:rsidP="00BC6CE7">
      <w:r w:rsidRPr="00166E33">
        <w:t xml:space="preserve">In total, the sponsor has submitted clinical trial data, in </w:t>
      </w:r>
      <w:r>
        <w:t>addition to clinical discussion</w:t>
      </w:r>
      <w:r w:rsidRPr="00166E33">
        <w:t xml:space="preserve"> papers. Many of these studies overlap in terms of their objectives and therefore cannot be clearly categorised as, efficacy, safety or pharmacokinetics/pharmacodynamics. The </w:t>
      </w:r>
      <w:r>
        <w:t>evaluator</w:t>
      </w:r>
      <w:r w:rsidRPr="00166E33">
        <w:t xml:space="preserve"> has focussed on the most relevant and pivotal studies for review as many of the studies submitted have identical designs, methodologies and analytical frame</w:t>
      </w:r>
      <w:r>
        <w:t>works and geographic locations.</w:t>
      </w:r>
    </w:p>
    <w:p w:rsidR="00BC6CE7" w:rsidRPr="00BC6CE7" w:rsidRDefault="00BC6CE7" w:rsidP="00BC6CE7">
      <w:pPr>
        <w:pStyle w:val="ListBullet"/>
      </w:pPr>
      <w:r w:rsidRPr="00BC6CE7">
        <w:lastRenderedPageBreak/>
        <w:t xml:space="preserve">15 Phase I and Phase II studies of clinical pharmacology, including 10 that provided </w:t>
      </w:r>
      <w:r w:rsidR="008611F6">
        <w:t>PK</w:t>
      </w:r>
      <w:r w:rsidRPr="00BC6CE7">
        <w:t xml:space="preserve"> data and 5 that provided pharmacodynamic data.</w:t>
      </w:r>
    </w:p>
    <w:p w:rsidR="00BC6CE7" w:rsidRPr="00BC6CE7" w:rsidRDefault="00BC6CE7" w:rsidP="00BC6CE7">
      <w:pPr>
        <w:pStyle w:val="ListBullet"/>
      </w:pPr>
      <w:r w:rsidRPr="00BC6CE7">
        <w:t>2 pivotal efficacy/safety studies GS-US-292-0104 and GS-US-292-0111. Both studies are random</w:t>
      </w:r>
      <w:r w:rsidR="00527A3B">
        <w:t>ise</w:t>
      </w:r>
      <w:r w:rsidRPr="00BC6CE7">
        <w:t xml:space="preserve">d; double blind trials conducted in HIV-1 </w:t>
      </w:r>
      <w:r w:rsidR="00BD123B">
        <w:t xml:space="preserve">positive, antiretroviral </w:t>
      </w:r>
      <w:r w:rsidR="00802EA3">
        <w:t>treatment</w:t>
      </w:r>
      <w:r w:rsidR="00877B4A">
        <w:t xml:space="preserve"> </w:t>
      </w:r>
      <w:r w:rsidR="00802EA3">
        <w:t>naive</w:t>
      </w:r>
      <w:r w:rsidR="00802EA3" w:rsidRPr="00BC6CE7">
        <w:t xml:space="preserve"> </w:t>
      </w:r>
      <w:r w:rsidRPr="00BC6CE7">
        <w:t>adults and provide a direct comparison of E/C/F/TAF (Genvoya) with E/C/F/TDF (Stribild), the currently approved and marketed FDC.</w:t>
      </w:r>
    </w:p>
    <w:p w:rsidR="00BC6CE7" w:rsidRPr="00BC6CE7" w:rsidRDefault="00BC6CE7" w:rsidP="00BC6CE7">
      <w:pPr>
        <w:pStyle w:val="ListBullet"/>
      </w:pPr>
      <w:r w:rsidRPr="00BC6CE7">
        <w:t xml:space="preserve">Additional studies include GS-US-292-0109; a Phase III, </w:t>
      </w:r>
      <w:r w:rsidR="005A4943">
        <w:t>open label</w:t>
      </w:r>
      <w:r w:rsidRPr="00BC6CE7">
        <w:t xml:space="preserve"> study to evaluate the potential renal and/or bone benefits of switching from a TDF based regimen to the Genvoya in virologically-suppressed HIV-1 positive subjects; GS-US-292-0112; an </w:t>
      </w:r>
      <w:r w:rsidR="005A4943">
        <w:t>open label</w:t>
      </w:r>
      <w:r w:rsidRPr="00BC6CE7">
        <w:t xml:space="preserve"> study of Genvoya in patients with mild to moderate renal impairm</w:t>
      </w:r>
      <w:r w:rsidR="005A4943">
        <w:t xml:space="preserve">ent and GS-US-292-0106; an open </w:t>
      </w:r>
      <w:r w:rsidRPr="00BC6CE7">
        <w:t xml:space="preserve">label study of Genvoya in HIV infected </w:t>
      </w:r>
      <w:r w:rsidR="00512A53">
        <w:t xml:space="preserve">treatment </w:t>
      </w:r>
      <w:r w:rsidR="00AD043A">
        <w:t>naive</w:t>
      </w:r>
      <w:r w:rsidRPr="00BC6CE7">
        <w:t xml:space="preserve"> adolescents.</w:t>
      </w:r>
    </w:p>
    <w:p w:rsidR="00BC6CE7" w:rsidRPr="00BC6CE7" w:rsidRDefault="00BC6CE7" w:rsidP="00BC6CE7">
      <w:pPr>
        <w:pStyle w:val="ListBullet"/>
      </w:pPr>
      <w:r w:rsidRPr="00BC6CE7">
        <w:t>Clinical overview, summary of clinical efficacy, summary of clinical safety and literature references.</w:t>
      </w:r>
    </w:p>
    <w:p w:rsidR="00605AD4" w:rsidRDefault="00605AD4" w:rsidP="00605AD4">
      <w:pPr>
        <w:pStyle w:val="Heading4"/>
      </w:pPr>
      <w:r w:rsidRPr="00605AD4">
        <w:t>Paediatric data</w:t>
      </w:r>
    </w:p>
    <w:p w:rsidR="00BC6CE7" w:rsidRPr="00BC6CE7" w:rsidRDefault="00BC6CE7" w:rsidP="00BC6CE7">
      <w:r w:rsidRPr="00166E33">
        <w:t>The submission included paediatric pharmacokinetic /pharmacodynamic /efficacy /safety data for</w:t>
      </w:r>
      <w:r>
        <w:t xml:space="preserve"> HIV </w:t>
      </w:r>
      <w:r w:rsidRPr="00166E33">
        <w:t xml:space="preserve">infected treatment </w:t>
      </w:r>
      <w:r w:rsidR="00AD043A">
        <w:t>naive</w:t>
      </w:r>
      <w:r w:rsidRPr="00166E33">
        <w:t xml:space="preserve"> adolescents 12 years old or greater (GS-US-292-0106).</w:t>
      </w:r>
    </w:p>
    <w:p w:rsidR="00605AD4" w:rsidRDefault="00605AD4" w:rsidP="00605AD4">
      <w:pPr>
        <w:pStyle w:val="Heading4"/>
      </w:pPr>
      <w:r w:rsidRPr="00605AD4">
        <w:t>Good clinical practice</w:t>
      </w:r>
    </w:p>
    <w:p w:rsidR="00BC6CE7" w:rsidRPr="00BC6CE7" w:rsidRDefault="00BC6CE7" w:rsidP="00BC6CE7">
      <w:r w:rsidRPr="00166E33">
        <w:t>The clinical studies reviewed in this evaluation were in compliance with CPMP/ICH/135/95 Note for Guidance on Good Clinical Practice.</w:t>
      </w:r>
    </w:p>
    <w:p w:rsidR="008E7846" w:rsidRDefault="008E7846" w:rsidP="00605AD4">
      <w:pPr>
        <w:pStyle w:val="Heading3"/>
      </w:pPr>
      <w:bookmarkStart w:id="80" w:name="_Toc455474495"/>
      <w:r w:rsidRPr="00254787">
        <w:t>Pharmacokinetics</w:t>
      </w:r>
      <w:bookmarkEnd w:id="73"/>
      <w:bookmarkEnd w:id="77"/>
      <w:bookmarkEnd w:id="78"/>
      <w:bookmarkEnd w:id="79"/>
      <w:bookmarkEnd w:id="80"/>
    </w:p>
    <w:p w:rsidR="00605AD4" w:rsidRDefault="00605AD4" w:rsidP="00605AD4">
      <w:pPr>
        <w:pStyle w:val="Heading4"/>
      </w:pPr>
      <w:r>
        <w:t>Studies</w:t>
      </w:r>
      <w:r w:rsidR="00512A53">
        <w:t xml:space="preserve"> providing pharmacokinetic data</w:t>
      </w:r>
    </w:p>
    <w:p w:rsidR="00560BFC" w:rsidRDefault="00512A53" w:rsidP="00560BFC">
      <w:r>
        <w:t>Table 6</w:t>
      </w:r>
      <w:r w:rsidR="00560BFC">
        <w:t xml:space="preserve"> </w:t>
      </w:r>
      <w:r w:rsidR="00560BFC" w:rsidRPr="000C038C">
        <w:t>shows the studies relatin</w:t>
      </w:r>
      <w:r w:rsidR="00560BFC">
        <w:t>g to each pharmacokinetic topic</w:t>
      </w:r>
      <w:r w:rsidR="00560BFC" w:rsidRPr="000C038C">
        <w:t>.</w:t>
      </w:r>
    </w:p>
    <w:p w:rsidR="005A4943" w:rsidRDefault="005A4943" w:rsidP="005A4943">
      <w:pPr>
        <w:pStyle w:val="TableTitle"/>
      </w:pPr>
      <w:r>
        <w:t>Ta</w:t>
      </w:r>
      <w:r w:rsidR="00512A53">
        <w:t>ble 6</w:t>
      </w:r>
      <w:r w:rsidR="00FF3153">
        <w:t>. Pharmacokinetic studies</w:t>
      </w:r>
    </w:p>
    <w:tbl>
      <w:tblPr>
        <w:tblStyle w:val="TableTGAblue"/>
        <w:tblW w:w="8755" w:type="dxa"/>
        <w:tblLayout w:type="fixed"/>
        <w:tblLook w:val="04A0" w:firstRow="1" w:lastRow="0" w:firstColumn="1" w:lastColumn="0" w:noHBand="0" w:noVBand="1"/>
      </w:tblPr>
      <w:tblGrid>
        <w:gridCol w:w="1668"/>
        <w:gridCol w:w="3260"/>
        <w:gridCol w:w="1984"/>
        <w:gridCol w:w="1843"/>
      </w:tblGrid>
      <w:tr w:rsidR="00560BFC" w:rsidRPr="00560BFC" w:rsidTr="005663D3">
        <w:trPr>
          <w:cnfStyle w:val="100000000000" w:firstRow="1" w:lastRow="0" w:firstColumn="0" w:lastColumn="0" w:oddVBand="0" w:evenVBand="0" w:oddHBand="0" w:evenHBand="0" w:firstRowFirstColumn="0" w:firstRowLastColumn="0" w:lastRowFirstColumn="0" w:lastRowLastColumn="0"/>
        </w:trPr>
        <w:tc>
          <w:tcPr>
            <w:tcW w:w="1668"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PK topic</w:t>
            </w:r>
          </w:p>
        </w:tc>
        <w:tc>
          <w:tcPr>
            <w:tcW w:w="3260"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Subtopic</w:t>
            </w:r>
          </w:p>
        </w:tc>
        <w:tc>
          <w:tcPr>
            <w:tcW w:w="1984"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Study ID</w:t>
            </w:r>
          </w:p>
        </w:tc>
        <w:tc>
          <w:tcPr>
            <w:tcW w:w="1843"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Primary Drug</w:t>
            </w:r>
          </w:p>
        </w:tc>
      </w:tr>
      <w:tr w:rsidR="00560BFC" w:rsidRPr="00560BFC" w:rsidTr="005663D3">
        <w:tc>
          <w:tcPr>
            <w:tcW w:w="1668" w:type="dxa"/>
            <w:vMerge w:val="restart"/>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PK in healthy adults</w:t>
            </w:r>
          </w:p>
        </w:tc>
        <w:tc>
          <w:tcPr>
            <w:tcW w:w="3260"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General PK Single dose</w:t>
            </w:r>
          </w:p>
        </w:tc>
        <w:tc>
          <w:tcPr>
            <w:tcW w:w="1984"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GS-US-292-0108</w:t>
            </w:r>
          </w:p>
        </w:tc>
        <w:tc>
          <w:tcPr>
            <w:tcW w:w="1843"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E/C/F/TAF</w:t>
            </w:r>
          </w:p>
        </w:tc>
      </w:tr>
      <w:tr w:rsidR="00560BFC" w:rsidRPr="00560BFC" w:rsidTr="005663D3">
        <w:tc>
          <w:tcPr>
            <w:tcW w:w="1668" w:type="dxa"/>
            <w:vMerge/>
          </w:tcPr>
          <w:p w:rsidR="00560BFC" w:rsidRPr="00560BFC" w:rsidRDefault="00560BFC" w:rsidP="00512A53">
            <w:pPr>
              <w:ind w:left="0" w:right="0"/>
              <w:rPr>
                <w:rFonts w:asciiTheme="minorHAnsi" w:hAnsiTheme="minorHAnsi"/>
                <w:sz w:val="18"/>
                <w:szCs w:val="18"/>
              </w:rPr>
            </w:pPr>
          </w:p>
        </w:tc>
        <w:tc>
          <w:tcPr>
            <w:tcW w:w="3260" w:type="dxa"/>
            <w:vMerge w:val="restart"/>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General PK Multi-dose</w:t>
            </w:r>
          </w:p>
        </w:tc>
        <w:tc>
          <w:tcPr>
            <w:tcW w:w="1984"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GS-US-292-0103</w:t>
            </w:r>
          </w:p>
        </w:tc>
        <w:tc>
          <w:tcPr>
            <w:tcW w:w="1843"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E/C/F/TAF</w:t>
            </w:r>
          </w:p>
        </w:tc>
      </w:tr>
      <w:tr w:rsidR="00560BFC" w:rsidRPr="00560BFC" w:rsidTr="005663D3">
        <w:tc>
          <w:tcPr>
            <w:tcW w:w="1668" w:type="dxa"/>
            <w:vMerge/>
          </w:tcPr>
          <w:p w:rsidR="00560BFC" w:rsidRPr="00560BFC" w:rsidRDefault="00560BFC" w:rsidP="00512A53">
            <w:pPr>
              <w:ind w:left="0" w:right="0"/>
              <w:rPr>
                <w:rFonts w:asciiTheme="minorHAnsi" w:hAnsiTheme="minorHAnsi"/>
                <w:sz w:val="18"/>
                <w:szCs w:val="18"/>
              </w:rPr>
            </w:pPr>
          </w:p>
        </w:tc>
        <w:tc>
          <w:tcPr>
            <w:tcW w:w="3260" w:type="dxa"/>
            <w:vMerge/>
          </w:tcPr>
          <w:p w:rsidR="00560BFC" w:rsidRPr="00560BFC" w:rsidRDefault="00560BFC" w:rsidP="00512A53">
            <w:pPr>
              <w:ind w:left="0" w:right="0"/>
              <w:rPr>
                <w:rFonts w:asciiTheme="minorHAnsi" w:hAnsiTheme="minorHAnsi"/>
                <w:sz w:val="18"/>
                <w:szCs w:val="18"/>
              </w:rPr>
            </w:pPr>
          </w:p>
        </w:tc>
        <w:tc>
          <w:tcPr>
            <w:tcW w:w="1984"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GS-US-292-0101</w:t>
            </w:r>
          </w:p>
        </w:tc>
        <w:tc>
          <w:tcPr>
            <w:tcW w:w="1843"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TAF</w:t>
            </w:r>
          </w:p>
        </w:tc>
      </w:tr>
      <w:tr w:rsidR="00560BFC" w:rsidRPr="00560BFC" w:rsidTr="005663D3">
        <w:tc>
          <w:tcPr>
            <w:tcW w:w="1668" w:type="dxa"/>
            <w:vMerge/>
          </w:tcPr>
          <w:p w:rsidR="00560BFC" w:rsidRPr="00560BFC" w:rsidRDefault="00560BFC" w:rsidP="00512A53">
            <w:pPr>
              <w:ind w:left="0" w:right="0"/>
              <w:rPr>
                <w:rFonts w:asciiTheme="minorHAnsi" w:hAnsiTheme="minorHAnsi"/>
                <w:sz w:val="18"/>
                <w:szCs w:val="18"/>
              </w:rPr>
            </w:pPr>
          </w:p>
        </w:tc>
        <w:tc>
          <w:tcPr>
            <w:tcW w:w="3260"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Food effect</w:t>
            </w:r>
          </w:p>
        </w:tc>
        <w:tc>
          <w:tcPr>
            <w:tcW w:w="1984"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GS-US-292-0110</w:t>
            </w:r>
          </w:p>
        </w:tc>
        <w:tc>
          <w:tcPr>
            <w:tcW w:w="1843"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E/C/F/TAF</w:t>
            </w:r>
          </w:p>
        </w:tc>
      </w:tr>
      <w:tr w:rsidR="00560BFC" w:rsidRPr="00560BFC" w:rsidTr="005663D3">
        <w:tc>
          <w:tcPr>
            <w:tcW w:w="1668" w:type="dxa"/>
            <w:vMerge w:val="restart"/>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PK in special populations</w:t>
            </w:r>
          </w:p>
        </w:tc>
        <w:tc>
          <w:tcPr>
            <w:tcW w:w="3260"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Target HIV infected Multi-dose</w:t>
            </w:r>
          </w:p>
        </w:tc>
        <w:tc>
          <w:tcPr>
            <w:tcW w:w="1984"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GS-US-292-0112</w:t>
            </w:r>
          </w:p>
        </w:tc>
        <w:tc>
          <w:tcPr>
            <w:tcW w:w="1843"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TAF</w:t>
            </w:r>
          </w:p>
        </w:tc>
      </w:tr>
      <w:tr w:rsidR="00560BFC" w:rsidRPr="00560BFC" w:rsidTr="005663D3">
        <w:tc>
          <w:tcPr>
            <w:tcW w:w="1668" w:type="dxa"/>
            <w:vMerge/>
          </w:tcPr>
          <w:p w:rsidR="00560BFC" w:rsidRPr="00560BFC" w:rsidRDefault="00560BFC" w:rsidP="00512A53">
            <w:pPr>
              <w:ind w:left="0" w:right="0"/>
              <w:rPr>
                <w:rFonts w:asciiTheme="minorHAnsi" w:hAnsiTheme="minorHAnsi"/>
                <w:sz w:val="18"/>
                <w:szCs w:val="18"/>
              </w:rPr>
            </w:pPr>
          </w:p>
        </w:tc>
        <w:tc>
          <w:tcPr>
            <w:tcW w:w="3260"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Hepatic impairment</w:t>
            </w:r>
          </w:p>
        </w:tc>
        <w:tc>
          <w:tcPr>
            <w:tcW w:w="1984"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GS-US-120-0114</w:t>
            </w:r>
          </w:p>
        </w:tc>
        <w:tc>
          <w:tcPr>
            <w:tcW w:w="1843"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TAF</w:t>
            </w:r>
          </w:p>
        </w:tc>
      </w:tr>
      <w:tr w:rsidR="00560BFC" w:rsidRPr="00560BFC" w:rsidTr="005663D3">
        <w:tc>
          <w:tcPr>
            <w:tcW w:w="1668" w:type="dxa"/>
            <w:vMerge/>
          </w:tcPr>
          <w:p w:rsidR="00560BFC" w:rsidRPr="00560BFC" w:rsidRDefault="00560BFC" w:rsidP="00512A53">
            <w:pPr>
              <w:ind w:left="0" w:right="0"/>
              <w:rPr>
                <w:rFonts w:asciiTheme="minorHAnsi" w:hAnsiTheme="minorHAnsi"/>
                <w:sz w:val="18"/>
                <w:szCs w:val="18"/>
              </w:rPr>
            </w:pPr>
          </w:p>
        </w:tc>
        <w:tc>
          <w:tcPr>
            <w:tcW w:w="3260"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Renal impairment</w:t>
            </w:r>
          </w:p>
        </w:tc>
        <w:tc>
          <w:tcPr>
            <w:tcW w:w="1984"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GS-US-120-0108</w:t>
            </w:r>
          </w:p>
        </w:tc>
        <w:tc>
          <w:tcPr>
            <w:tcW w:w="1843"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E/C/F/TAF</w:t>
            </w:r>
          </w:p>
        </w:tc>
      </w:tr>
      <w:tr w:rsidR="00560BFC" w:rsidRPr="00560BFC" w:rsidTr="005663D3">
        <w:tc>
          <w:tcPr>
            <w:tcW w:w="1668" w:type="dxa"/>
            <w:vMerge/>
          </w:tcPr>
          <w:p w:rsidR="00560BFC" w:rsidRPr="00560BFC" w:rsidRDefault="00560BFC" w:rsidP="00512A53">
            <w:pPr>
              <w:ind w:left="0" w:right="0"/>
              <w:rPr>
                <w:rFonts w:asciiTheme="minorHAnsi" w:hAnsiTheme="minorHAnsi"/>
                <w:sz w:val="18"/>
                <w:szCs w:val="18"/>
              </w:rPr>
            </w:pPr>
          </w:p>
        </w:tc>
        <w:tc>
          <w:tcPr>
            <w:tcW w:w="3260"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Adolescents (12-18 years of age) §</w:t>
            </w:r>
          </w:p>
        </w:tc>
        <w:tc>
          <w:tcPr>
            <w:tcW w:w="1984"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GS-US-292-0106</w:t>
            </w:r>
          </w:p>
        </w:tc>
        <w:tc>
          <w:tcPr>
            <w:tcW w:w="1843"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E/C/F/TAF</w:t>
            </w:r>
          </w:p>
        </w:tc>
      </w:tr>
      <w:tr w:rsidR="00560BFC" w:rsidRPr="00560BFC" w:rsidTr="005663D3">
        <w:tc>
          <w:tcPr>
            <w:tcW w:w="1668" w:type="dxa"/>
            <w:vMerge/>
          </w:tcPr>
          <w:p w:rsidR="00560BFC" w:rsidRPr="00560BFC" w:rsidRDefault="00560BFC" w:rsidP="00512A53">
            <w:pPr>
              <w:ind w:left="0" w:right="0"/>
              <w:rPr>
                <w:rFonts w:asciiTheme="minorHAnsi" w:hAnsiTheme="minorHAnsi"/>
                <w:sz w:val="18"/>
                <w:szCs w:val="18"/>
              </w:rPr>
            </w:pPr>
          </w:p>
        </w:tc>
        <w:tc>
          <w:tcPr>
            <w:tcW w:w="3260"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Japanese Healthy subjects</w:t>
            </w:r>
          </w:p>
        </w:tc>
        <w:tc>
          <w:tcPr>
            <w:tcW w:w="1984"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GS-US-292-0108</w:t>
            </w:r>
          </w:p>
        </w:tc>
        <w:tc>
          <w:tcPr>
            <w:tcW w:w="1843"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E/C/F/TAF</w:t>
            </w:r>
          </w:p>
        </w:tc>
      </w:tr>
      <w:tr w:rsidR="00560BFC" w:rsidRPr="00560BFC" w:rsidTr="005663D3">
        <w:tc>
          <w:tcPr>
            <w:tcW w:w="1668" w:type="dxa"/>
            <w:vMerge w:val="restart"/>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lastRenderedPageBreak/>
              <w:t>PK interactions</w:t>
            </w:r>
          </w:p>
        </w:tc>
        <w:tc>
          <w:tcPr>
            <w:tcW w:w="3260"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Sertraline</w:t>
            </w:r>
          </w:p>
        </w:tc>
        <w:tc>
          <w:tcPr>
            <w:tcW w:w="1984"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GS-US-292-1316</w:t>
            </w:r>
          </w:p>
        </w:tc>
        <w:tc>
          <w:tcPr>
            <w:tcW w:w="1843"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E/C/F/TAF</w:t>
            </w:r>
          </w:p>
        </w:tc>
      </w:tr>
      <w:tr w:rsidR="00560BFC" w:rsidRPr="00560BFC" w:rsidTr="005663D3">
        <w:tc>
          <w:tcPr>
            <w:tcW w:w="1668" w:type="dxa"/>
            <w:vMerge/>
          </w:tcPr>
          <w:p w:rsidR="00560BFC" w:rsidRPr="00560BFC" w:rsidRDefault="00560BFC" w:rsidP="00512A53">
            <w:pPr>
              <w:ind w:left="0" w:right="0"/>
              <w:rPr>
                <w:rFonts w:asciiTheme="minorHAnsi" w:hAnsiTheme="minorHAnsi"/>
                <w:sz w:val="18"/>
                <w:szCs w:val="18"/>
              </w:rPr>
            </w:pPr>
          </w:p>
        </w:tc>
        <w:tc>
          <w:tcPr>
            <w:tcW w:w="3260"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Sofosbuvir</w:t>
            </w:r>
          </w:p>
        </w:tc>
        <w:tc>
          <w:tcPr>
            <w:tcW w:w="1984"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GS-US-342-1167</w:t>
            </w:r>
          </w:p>
        </w:tc>
        <w:tc>
          <w:tcPr>
            <w:tcW w:w="1843"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E/C/F/TAF</w:t>
            </w:r>
          </w:p>
        </w:tc>
      </w:tr>
      <w:tr w:rsidR="00560BFC" w:rsidRPr="00560BFC" w:rsidTr="005663D3">
        <w:tc>
          <w:tcPr>
            <w:tcW w:w="1668" w:type="dxa"/>
            <w:vMerge/>
          </w:tcPr>
          <w:p w:rsidR="00560BFC" w:rsidRPr="00560BFC" w:rsidRDefault="00560BFC" w:rsidP="00512A53">
            <w:pPr>
              <w:ind w:left="0" w:right="0"/>
              <w:rPr>
                <w:rFonts w:asciiTheme="minorHAnsi" w:hAnsiTheme="minorHAnsi"/>
                <w:sz w:val="18"/>
                <w:szCs w:val="18"/>
              </w:rPr>
            </w:pPr>
          </w:p>
        </w:tc>
        <w:tc>
          <w:tcPr>
            <w:tcW w:w="3260"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Efavirenz and Darunavir</w:t>
            </w:r>
          </w:p>
        </w:tc>
        <w:tc>
          <w:tcPr>
            <w:tcW w:w="1984"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GS-US-311-0101</w:t>
            </w:r>
          </w:p>
        </w:tc>
        <w:tc>
          <w:tcPr>
            <w:tcW w:w="1843"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TAF+COBI</w:t>
            </w:r>
          </w:p>
        </w:tc>
      </w:tr>
      <w:tr w:rsidR="00560BFC" w:rsidRPr="00560BFC" w:rsidTr="005663D3">
        <w:tc>
          <w:tcPr>
            <w:tcW w:w="1668" w:type="dxa"/>
            <w:vMerge/>
          </w:tcPr>
          <w:p w:rsidR="00560BFC" w:rsidRPr="00560BFC" w:rsidRDefault="00560BFC" w:rsidP="00512A53">
            <w:pPr>
              <w:ind w:left="0" w:right="0"/>
              <w:rPr>
                <w:rFonts w:asciiTheme="minorHAnsi" w:hAnsiTheme="minorHAnsi"/>
                <w:sz w:val="18"/>
                <w:szCs w:val="18"/>
              </w:rPr>
            </w:pPr>
          </w:p>
        </w:tc>
        <w:tc>
          <w:tcPr>
            <w:tcW w:w="3260"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Rilpivarine</w:t>
            </w:r>
          </w:p>
        </w:tc>
        <w:tc>
          <w:tcPr>
            <w:tcW w:w="1984"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GS-US-120-0117</w:t>
            </w:r>
          </w:p>
        </w:tc>
        <w:tc>
          <w:tcPr>
            <w:tcW w:w="1843"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TAF</w:t>
            </w:r>
          </w:p>
        </w:tc>
      </w:tr>
      <w:tr w:rsidR="00560BFC" w:rsidRPr="00560BFC" w:rsidTr="005663D3">
        <w:tc>
          <w:tcPr>
            <w:tcW w:w="1668" w:type="dxa"/>
            <w:vMerge/>
          </w:tcPr>
          <w:p w:rsidR="00560BFC" w:rsidRPr="00560BFC" w:rsidRDefault="00560BFC" w:rsidP="00512A53">
            <w:pPr>
              <w:ind w:left="0" w:right="0"/>
              <w:rPr>
                <w:rFonts w:asciiTheme="minorHAnsi" w:hAnsiTheme="minorHAnsi"/>
                <w:sz w:val="18"/>
                <w:szCs w:val="18"/>
              </w:rPr>
            </w:pPr>
          </w:p>
        </w:tc>
        <w:tc>
          <w:tcPr>
            <w:tcW w:w="3260"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ATV+RTV/DRV+RTV/LPR/r</w:t>
            </w:r>
          </w:p>
        </w:tc>
        <w:tc>
          <w:tcPr>
            <w:tcW w:w="1984"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GS-US-120-0118</w:t>
            </w:r>
          </w:p>
        </w:tc>
        <w:tc>
          <w:tcPr>
            <w:tcW w:w="1843"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TAF</w:t>
            </w:r>
          </w:p>
        </w:tc>
      </w:tr>
      <w:tr w:rsidR="00560BFC" w:rsidRPr="00560BFC" w:rsidTr="005663D3">
        <w:tc>
          <w:tcPr>
            <w:tcW w:w="1668" w:type="dxa"/>
            <w:vMerge/>
          </w:tcPr>
          <w:p w:rsidR="00560BFC" w:rsidRPr="00560BFC" w:rsidRDefault="00560BFC" w:rsidP="00512A53">
            <w:pPr>
              <w:ind w:left="0" w:right="0"/>
              <w:rPr>
                <w:rFonts w:asciiTheme="minorHAnsi" w:hAnsiTheme="minorHAnsi"/>
                <w:sz w:val="18"/>
                <w:szCs w:val="18"/>
              </w:rPr>
            </w:pPr>
          </w:p>
        </w:tc>
        <w:tc>
          <w:tcPr>
            <w:tcW w:w="3260"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Methadone and Buprenorphine/Naloxone</w:t>
            </w:r>
          </w:p>
        </w:tc>
        <w:tc>
          <w:tcPr>
            <w:tcW w:w="1984"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GS-US-216-0125</w:t>
            </w:r>
          </w:p>
        </w:tc>
        <w:tc>
          <w:tcPr>
            <w:tcW w:w="1843" w:type="dxa"/>
          </w:tcPr>
          <w:p w:rsidR="00560BFC" w:rsidRPr="00560BFC" w:rsidRDefault="00560BFC" w:rsidP="00512A53">
            <w:pPr>
              <w:ind w:left="0" w:right="0"/>
              <w:rPr>
                <w:rFonts w:asciiTheme="minorHAnsi" w:hAnsiTheme="minorHAnsi"/>
                <w:sz w:val="18"/>
                <w:szCs w:val="18"/>
              </w:rPr>
            </w:pPr>
            <w:r w:rsidRPr="00560BFC">
              <w:rPr>
                <w:rFonts w:asciiTheme="minorHAnsi" w:hAnsiTheme="minorHAnsi"/>
                <w:sz w:val="18"/>
                <w:szCs w:val="18"/>
              </w:rPr>
              <w:t>EVG/COBI</w:t>
            </w:r>
          </w:p>
        </w:tc>
      </w:tr>
    </w:tbl>
    <w:p w:rsidR="00560BFC" w:rsidRPr="00166E33" w:rsidRDefault="00560BFC" w:rsidP="00560BFC">
      <w:pPr>
        <w:pStyle w:val="TableDescription"/>
      </w:pPr>
      <w:r w:rsidRPr="00166E33">
        <w:t>† Bioequival</w:t>
      </w:r>
      <w:r>
        <w:t xml:space="preserve">ence of different formulations. </w:t>
      </w:r>
      <w:r w:rsidRPr="00166E33">
        <w:t>§ Subjects who would be eligible to receive the drug if approved for the proposed indication.</w:t>
      </w:r>
    </w:p>
    <w:p w:rsidR="00560BFC" w:rsidRDefault="00560BFC" w:rsidP="00560BFC">
      <w:r w:rsidRPr="00560BFC">
        <w:t>None of the pharmacokinetic studies had deficiencies that excluded their results from consideration.</w:t>
      </w:r>
    </w:p>
    <w:p w:rsidR="00560BFC" w:rsidRPr="00560BFC" w:rsidRDefault="00560BFC" w:rsidP="00560BFC">
      <w:r>
        <w:t>For further details on the evaluation of the pharmacokineti</w:t>
      </w:r>
      <w:r w:rsidR="003130DA">
        <w:t>c studies please see Attachment </w:t>
      </w:r>
      <w:r>
        <w:t>2.</w:t>
      </w:r>
    </w:p>
    <w:p w:rsidR="00605AD4" w:rsidRDefault="00605AD4" w:rsidP="00605AD4">
      <w:pPr>
        <w:pStyle w:val="Heading4"/>
      </w:pPr>
      <w:r>
        <w:t>Evaluator’s conclusions on pharmacokinetics</w:t>
      </w:r>
    </w:p>
    <w:p w:rsidR="00560BFC" w:rsidRDefault="00560BFC" w:rsidP="00560BFC">
      <w:r w:rsidRPr="00560BFC">
        <w:t xml:space="preserve">The </w:t>
      </w:r>
      <w:r w:rsidR="005A4943">
        <w:t xml:space="preserve">new </w:t>
      </w:r>
      <w:r w:rsidRPr="00560BFC">
        <w:t xml:space="preserve">drug for which the sponsor seeks approval is </w:t>
      </w:r>
      <w:r w:rsidR="00512A53">
        <w:t>TAF</w:t>
      </w:r>
      <w:r w:rsidRPr="00560BFC">
        <w:t xml:space="preserve">. This compound is intended as a replacement component for </w:t>
      </w:r>
      <w:r w:rsidR="00512A53">
        <w:t>TDF</w:t>
      </w:r>
      <w:r w:rsidRPr="00560BFC">
        <w:t xml:space="preserve"> in the </w:t>
      </w:r>
      <w:r w:rsidR="00512A53">
        <w:t>single tablet regimen</w:t>
      </w:r>
      <w:r w:rsidRPr="00560BFC">
        <w:t xml:space="preserve"> which is currently approved as Stribild</w:t>
      </w:r>
      <w:r w:rsidR="00512A53">
        <w:t xml:space="preserve"> (also </w:t>
      </w:r>
      <w:r w:rsidR="00BC538D">
        <w:t>referred to</w:t>
      </w:r>
      <w:r w:rsidR="00512A53">
        <w:t xml:space="preserve"> as QUAD)</w:t>
      </w:r>
      <w:r w:rsidRPr="00560BFC">
        <w:t xml:space="preserve">. The other three components of this </w:t>
      </w:r>
      <w:r w:rsidR="00512A53">
        <w:t>single tablet regimen</w:t>
      </w:r>
      <w:r w:rsidRPr="00560BFC">
        <w:t xml:space="preserve"> (EVG/COBI/FTC) have been extensively assessed and approved, both individually and in combination. Their formulations and dosages in the applicant </w:t>
      </w:r>
      <w:r w:rsidR="00512A53">
        <w:t>single tablet regimen</w:t>
      </w:r>
      <w:r w:rsidRPr="00560BFC">
        <w:t xml:space="preserve"> will remain the same as in Stribild. TAF is a prodrug of tenofovir</w:t>
      </w:r>
      <w:r w:rsidR="00512A53">
        <w:t xml:space="preserve"> (TFV)</w:t>
      </w:r>
      <w:r w:rsidRPr="00560BFC">
        <w:t xml:space="preserve"> which is metabolised intracellularly by Cat</w:t>
      </w:r>
      <w:r w:rsidR="002A25DD">
        <w:t xml:space="preserve"> </w:t>
      </w:r>
      <w:r w:rsidR="00512A53">
        <w:t>A</w:t>
      </w:r>
      <w:r w:rsidRPr="00560BFC">
        <w:t xml:space="preserve"> to tenofovir diphosphate</w:t>
      </w:r>
      <w:r w:rsidR="00512A53">
        <w:t xml:space="preserve"> (TFV-DP)</w:t>
      </w:r>
      <w:r w:rsidRPr="00560BFC">
        <w:t xml:space="preserve">, the form that has anti-viral activity. The reason the sponsor is applying to replace TDF with TAF is that TDF has higher and more prolonged plasma circulating levels of </w:t>
      </w:r>
      <w:r w:rsidR="00512A53">
        <w:t>TFV</w:t>
      </w:r>
      <w:r w:rsidRPr="00560BFC">
        <w:t xml:space="preserve"> which is associated with an increased risk of renal and bone toxicity. The PK studies submitted by the sponsor indicate that TAF at a dose of 10 mg in </w:t>
      </w:r>
      <w:r w:rsidRPr="00512A53">
        <w:t xml:space="preserve">the </w:t>
      </w:r>
      <w:r w:rsidR="00512A53" w:rsidRPr="00512A53">
        <w:t>single tablet regimen</w:t>
      </w:r>
      <w:r w:rsidRPr="00512A53">
        <w:t xml:space="preserve"> (boosted by COBI) or</w:t>
      </w:r>
      <w:r w:rsidRPr="00560BFC">
        <w:t xml:space="preserve"> 25 mg (un boosted) have a circulating level of </w:t>
      </w:r>
      <w:r w:rsidR="00BC538D">
        <w:t>TFV</w:t>
      </w:r>
      <w:r w:rsidRPr="00560BFC">
        <w:t xml:space="preserve"> that is 90% less than the current dose of TDF 300 mg, which is the approved dose component of Stribild. The sponsor has submitted an extensive number of studies to support this application which indicate that the pharmacokinetics of TAF are not affected by race, mild to moderate hepatic failure, renal failure or age (for teenagers more than 12 years of age). Specifically the clinical trial with Japanese subjects GS-US-292-0108 demonstrated no PK effect of Japanese origins. PK studies conducted as a part of the pivotal efficacy/safety clinical trial, GS-US-292-0104 and GS-US-0111 show that the </w:t>
      </w:r>
      <w:r w:rsidR="00F616AC" w:rsidRPr="00DA1551">
        <w:t>AUC</w:t>
      </w:r>
      <w:r w:rsidR="00F616AC" w:rsidRPr="00F616AC">
        <w:rPr>
          <w:vertAlign w:val="subscript"/>
        </w:rPr>
        <w:t>tau</w:t>
      </w:r>
      <w:r w:rsidRPr="00560BFC">
        <w:t xml:space="preserve"> of E/C/F/TAF was 91% lower than tenofovir exposure compared with E/C/F/TDF and the PBMC </w:t>
      </w:r>
      <w:r w:rsidR="005A4943" w:rsidRPr="005A4943">
        <w:t>AUC</w:t>
      </w:r>
      <w:r w:rsidR="005A4943" w:rsidRPr="005A4943">
        <w:rPr>
          <w:vertAlign w:val="subscript"/>
        </w:rPr>
        <w:t>tau</w:t>
      </w:r>
      <w:r w:rsidRPr="00560BFC">
        <w:t xml:space="preserve"> was 4.1 times higher with administration of E/C/F/TAF compared with E/C/F/TDF.</w:t>
      </w:r>
    </w:p>
    <w:p w:rsidR="00560BFC" w:rsidRPr="004E2E8C" w:rsidRDefault="00BC0213" w:rsidP="00560BFC">
      <w:pPr>
        <w:pStyle w:val="FigureTitle"/>
      </w:pPr>
      <w:r>
        <w:lastRenderedPageBreak/>
        <w:t>Figure 6</w:t>
      </w:r>
      <w:r w:rsidR="00560BFC">
        <w:t>. Plasma TVF and Intracellular TFV-DP</w:t>
      </w:r>
    </w:p>
    <w:p w:rsidR="00560BFC" w:rsidRDefault="001C29D0" w:rsidP="00560BFC">
      <w:r>
        <w:rPr>
          <w:noProof/>
          <w:lang w:eastAsia="en-AU"/>
        </w:rPr>
        <w:drawing>
          <wp:inline distT="0" distB="0" distL="0" distR="0" wp14:anchorId="067AD186" wp14:editId="30C4A951">
            <wp:extent cx="5400040" cy="3225601"/>
            <wp:effectExtent l="0" t="0" r="0" b="0"/>
            <wp:docPr id="7" name="Picture 7" descr="Figure 6. Plasma TVF and Intracellular TFV-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225601"/>
                    </a:xfrm>
                    <a:prstGeom prst="rect">
                      <a:avLst/>
                    </a:prstGeom>
                  </pic:spPr>
                </pic:pic>
              </a:graphicData>
            </a:graphic>
          </wp:inline>
        </w:drawing>
      </w:r>
    </w:p>
    <w:p w:rsidR="001C29D0" w:rsidRPr="001C29D0" w:rsidRDefault="001C29D0" w:rsidP="001C29D0">
      <w:r w:rsidRPr="001C29D0">
        <w:t xml:space="preserve">There are limited data on subjects of advanced ages. All studies in healthy subjects and in the target populations have been designed and analysed according to standardised procedures and all data are available for assessment. There are no specific interactions between TAF and other drugs commonly used by patients with HIV, although there are many drug interactions associated with the Genvoya FDC. These are primarily due to the COBI component and have been described in detail in previous assessments of </w:t>
      </w:r>
      <w:r w:rsidR="00BC0213">
        <w:t>Stribild</w:t>
      </w:r>
      <w:r w:rsidRPr="001C29D0">
        <w:t xml:space="preserve"> and of COBI. As TAF is not available as a single agent and the sponsor has applied for TAF to be included only as a component of the FDC, the evaluator did not consider the interaction of TAF, as a single agent, with other HIV antiretroviral agents. It is the opinion of the evaluator that the sponsor has adequately covered issues of the PK of TAF in the dossier.</w:t>
      </w:r>
    </w:p>
    <w:p w:rsidR="008E7846" w:rsidRDefault="008E7846" w:rsidP="008E7846">
      <w:pPr>
        <w:pStyle w:val="Heading3"/>
      </w:pPr>
      <w:bookmarkStart w:id="81" w:name="_Toc196046481"/>
      <w:bookmarkStart w:id="82" w:name="_Toc247691520"/>
      <w:bookmarkStart w:id="83" w:name="_Toc314842503"/>
      <w:bookmarkStart w:id="84" w:name="_Toc455474496"/>
      <w:r w:rsidRPr="00254787">
        <w:t>Pharmacodynamics</w:t>
      </w:r>
      <w:bookmarkEnd w:id="74"/>
      <w:bookmarkEnd w:id="81"/>
      <w:bookmarkEnd w:id="82"/>
      <w:bookmarkEnd w:id="83"/>
      <w:bookmarkEnd w:id="84"/>
    </w:p>
    <w:p w:rsidR="00605AD4" w:rsidRDefault="00605AD4" w:rsidP="00605AD4">
      <w:pPr>
        <w:pStyle w:val="Heading4"/>
      </w:pPr>
      <w:r>
        <w:t>Studies providing pharmacodynamic data</w:t>
      </w:r>
    </w:p>
    <w:p w:rsidR="001C29D0" w:rsidRPr="00025B27" w:rsidRDefault="001C29D0" w:rsidP="001C29D0">
      <w:r w:rsidRPr="00025B27">
        <w:t xml:space="preserve">Summaries of the pharmacodynamic studies </w:t>
      </w:r>
      <w:r>
        <w:t>were provided</w:t>
      </w:r>
      <w:r w:rsidRPr="00025B27">
        <w:t xml:space="preserve">. </w:t>
      </w:r>
      <w:r w:rsidRPr="00BC0213">
        <w:t xml:space="preserve">Table </w:t>
      </w:r>
      <w:r w:rsidR="00BC0213" w:rsidRPr="00BC0213">
        <w:t>7</w:t>
      </w:r>
      <w:r w:rsidR="00112E87">
        <w:t xml:space="preserve"> </w:t>
      </w:r>
      <w:r w:rsidRPr="00BC0213">
        <w:t>shows the</w:t>
      </w:r>
      <w:r w:rsidRPr="00025B27">
        <w:t xml:space="preserve"> studies relating to each pharmacodynamic topic.</w:t>
      </w:r>
    </w:p>
    <w:p w:rsidR="001C29D0" w:rsidRPr="001C29D0" w:rsidRDefault="001C29D0" w:rsidP="001C29D0">
      <w:pPr>
        <w:pStyle w:val="TableTitle"/>
      </w:pPr>
      <w:bookmarkStart w:id="85" w:name="_Ref295031217"/>
      <w:bookmarkStart w:id="86" w:name="_Ref269985397"/>
      <w:bookmarkStart w:id="87" w:name="_Toc296947882"/>
      <w:r w:rsidRPr="001C29D0">
        <w:t xml:space="preserve">Table </w:t>
      </w:r>
      <w:bookmarkEnd w:id="85"/>
      <w:r w:rsidR="00BC0213">
        <w:t>7</w:t>
      </w:r>
      <w:r w:rsidRPr="001C29D0">
        <w:t xml:space="preserve">. </w:t>
      </w:r>
      <w:bookmarkEnd w:id="86"/>
      <w:r w:rsidRPr="001C29D0">
        <w:t>Submitted pharmacodynamic studies</w:t>
      </w:r>
      <w:bookmarkEnd w:id="87"/>
    </w:p>
    <w:tbl>
      <w:tblPr>
        <w:tblStyle w:val="TableTGAblue"/>
        <w:tblW w:w="8577" w:type="dxa"/>
        <w:tblLayout w:type="fixed"/>
        <w:tblLook w:val="04A0" w:firstRow="1" w:lastRow="0" w:firstColumn="1" w:lastColumn="0" w:noHBand="0" w:noVBand="1"/>
      </w:tblPr>
      <w:tblGrid>
        <w:gridCol w:w="2235"/>
        <w:gridCol w:w="3402"/>
        <w:gridCol w:w="1559"/>
        <w:gridCol w:w="1381"/>
      </w:tblGrid>
      <w:tr w:rsidR="001C29D0" w:rsidRPr="001C29D0" w:rsidTr="00692EBC">
        <w:trPr>
          <w:cnfStyle w:val="100000000000" w:firstRow="1" w:lastRow="0" w:firstColumn="0" w:lastColumn="0" w:oddVBand="0" w:evenVBand="0" w:oddHBand="0" w:evenHBand="0" w:firstRowFirstColumn="0" w:firstRowLastColumn="0" w:lastRowFirstColumn="0" w:lastRowLastColumn="0"/>
          <w:trHeight w:val="146"/>
        </w:trPr>
        <w:tc>
          <w:tcPr>
            <w:tcW w:w="2235" w:type="dxa"/>
          </w:tcPr>
          <w:p w:rsidR="001C29D0" w:rsidRPr="00692EBC" w:rsidRDefault="001C29D0" w:rsidP="00692EBC">
            <w:pPr>
              <w:ind w:left="0" w:right="0"/>
              <w:rPr>
                <w:sz w:val="18"/>
                <w:szCs w:val="18"/>
              </w:rPr>
            </w:pPr>
            <w:r w:rsidRPr="00692EBC">
              <w:rPr>
                <w:sz w:val="18"/>
                <w:szCs w:val="18"/>
              </w:rPr>
              <w:t>PD Topic</w:t>
            </w:r>
          </w:p>
        </w:tc>
        <w:tc>
          <w:tcPr>
            <w:tcW w:w="3402" w:type="dxa"/>
          </w:tcPr>
          <w:p w:rsidR="001C29D0" w:rsidRPr="00692EBC" w:rsidRDefault="001C29D0" w:rsidP="00692EBC">
            <w:pPr>
              <w:ind w:left="0" w:right="0"/>
              <w:rPr>
                <w:sz w:val="18"/>
                <w:szCs w:val="18"/>
              </w:rPr>
            </w:pPr>
            <w:r w:rsidRPr="00692EBC">
              <w:rPr>
                <w:sz w:val="18"/>
                <w:szCs w:val="18"/>
              </w:rPr>
              <w:t>Subtopic</w:t>
            </w:r>
          </w:p>
        </w:tc>
        <w:tc>
          <w:tcPr>
            <w:tcW w:w="1559" w:type="dxa"/>
          </w:tcPr>
          <w:p w:rsidR="001C29D0" w:rsidRPr="00692EBC" w:rsidRDefault="001C29D0" w:rsidP="00692EBC">
            <w:pPr>
              <w:ind w:left="0" w:right="0"/>
              <w:rPr>
                <w:sz w:val="18"/>
                <w:szCs w:val="18"/>
              </w:rPr>
            </w:pPr>
            <w:r w:rsidRPr="00692EBC">
              <w:rPr>
                <w:sz w:val="18"/>
                <w:szCs w:val="18"/>
              </w:rPr>
              <w:t>Study ID</w:t>
            </w:r>
          </w:p>
        </w:tc>
        <w:tc>
          <w:tcPr>
            <w:tcW w:w="1381" w:type="dxa"/>
          </w:tcPr>
          <w:p w:rsidR="001C29D0" w:rsidRPr="00692EBC" w:rsidRDefault="001C29D0" w:rsidP="00692EBC">
            <w:pPr>
              <w:ind w:left="0" w:right="0"/>
              <w:rPr>
                <w:sz w:val="18"/>
                <w:szCs w:val="18"/>
              </w:rPr>
            </w:pPr>
            <w:r w:rsidRPr="00692EBC">
              <w:rPr>
                <w:sz w:val="18"/>
                <w:szCs w:val="18"/>
              </w:rPr>
              <w:t>Primary Drug</w:t>
            </w:r>
          </w:p>
        </w:tc>
      </w:tr>
      <w:tr w:rsidR="001C29D0" w:rsidRPr="001C29D0" w:rsidTr="00692EBC">
        <w:trPr>
          <w:trHeight w:val="146"/>
        </w:trPr>
        <w:tc>
          <w:tcPr>
            <w:tcW w:w="2235" w:type="dxa"/>
            <w:vMerge w:val="restart"/>
          </w:tcPr>
          <w:p w:rsidR="001C29D0" w:rsidRPr="001C29D0" w:rsidRDefault="001C29D0" w:rsidP="00BC0213">
            <w:pPr>
              <w:ind w:left="0" w:right="0"/>
              <w:rPr>
                <w:sz w:val="18"/>
                <w:szCs w:val="18"/>
              </w:rPr>
            </w:pPr>
            <w:r w:rsidRPr="001C29D0">
              <w:rPr>
                <w:sz w:val="18"/>
                <w:szCs w:val="18"/>
              </w:rPr>
              <w:t>Primary Pharmacology</w:t>
            </w:r>
          </w:p>
        </w:tc>
        <w:tc>
          <w:tcPr>
            <w:tcW w:w="3402" w:type="dxa"/>
          </w:tcPr>
          <w:p w:rsidR="001C29D0" w:rsidRPr="001C29D0" w:rsidRDefault="001C29D0" w:rsidP="00BC0213">
            <w:pPr>
              <w:ind w:left="0" w:right="0"/>
              <w:rPr>
                <w:sz w:val="18"/>
                <w:szCs w:val="18"/>
              </w:rPr>
            </w:pPr>
            <w:r w:rsidRPr="001C29D0">
              <w:rPr>
                <w:sz w:val="18"/>
                <w:szCs w:val="18"/>
              </w:rPr>
              <w:t>Effect on antiviral activity</w:t>
            </w:r>
          </w:p>
        </w:tc>
        <w:tc>
          <w:tcPr>
            <w:tcW w:w="1559" w:type="dxa"/>
          </w:tcPr>
          <w:p w:rsidR="001C29D0" w:rsidRPr="001C29D0" w:rsidRDefault="001C29D0" w:rsidP="00BC0213">
            <w:pPr>
              <w:ind w:left="0" w:right="0"/>
              <w:jc w:val="center"/>
              <w:rPr>
                <w:sz w:val="18"/>
                <w:szCs w:val="18"/>
              </w:rPr>
            </w:pPr>
            <w:r w:rsidRPr="001C29D0">
              <w:rPr>
                <w:sz w:val="18"/>
                <w:szCs w:val="18"/>
              </w:rPr>
              <w:t>GS-US-120-1101</w:t>
            </w:r>
          </w:p>
        </w:tc>
        <w:tc>
          <w:tcPr>
            <w:tcW w:w="1381" w:type="dxa"/>
          </w:tcPr>
          <w:p w:rsidR="001C29D0" w:rsidRPr="001C29D0" w:rsidRDefault="001C29D0" w:rsidP="00BC0213">
            <w:pPr>
              <w:ind w:left="0" w:right="0"/>
              <w:jc w:val="center"/>
              <w:rPr>
                <w:sz w:val="18"/>
                <w:szCs w:val="18"/>
              </w:rPr>
            </w:pPr>
            <w:r w:rsidRPr="001C29D0">
              <w:rPr>
                <w:sz w:val="18"/>
                <w:szCs w:val="18"/>
              </w:rPr>
              <w:t>TAF</w:t>
            </w:r>
          </w:p>
        </w:tc>
      </w:tr>
      <w:tr w:rsidR="001C29D0" w:rsidRPr="001C29D0" w:rsidTr="00692EBC">
        <w:trPr>
          <w:trHeight w:val="146"/>
        </w:trPr>
        <w:tc>
          <w:tcPr>
            <w:tcW w:w="2235" w:type="dxa"/>
            <w:vMerge/>
          </w:tcPr>
          <w:p w:rsidR="001C29D0" w:rsidRPr="001C29D0" w:rsidRDefault="001C29D0" w:rsidP="00BC0213">
            <w:pPr>
              <w:ind w:left="0" w:right="0"/>
              <w:rPr>
                <w:sz w:val="18"/>
                <w:szCs w:val="18"/>
              </w:rPr>
            </w:pPr>
          </w:p>
        </w:tc>
        <w:tc>
          <w:tcPr>
            <w:tcW w:w="3402" w:type="dxa"/>
          </w:tcPr>
          <w:p w:rsidR="001C29D0" w:rsidRPr="001C29D0" w:rsidRDefault="001C29D0" w:rsidP="00BC0213">
            <w:pPr>
              <w:ind w:left="0" w:right="0"/>
              <w:rPr>
                <w:sz w:val="18"/>
                <w:szCs w:val="18"/>
              </w:rPr>
            </w:pPr>
            <w:r w:rsidRPr="001C29D0">
              <w:rPr>
                <w:sz w:val="18"/>
                <w:szCs w:val="18"/>
              </w:rPr>
              <w:t>Effect on Antiviral activity of escalating doses</w:t>
            </w:r>
          </w:p>
        </w:tc>
        <w:tc>
          <w:tcPr>
            <w:tcW w:w="1559" w:type="dxa"/>
          </w:tcPr>
          <w:p w:rsidR="001C29D0" w:rsidRPr="001C29D0" w:rsidRDefault="001C29D0" w:rsidP="00BC0213">
            <w:pPr>
              <w:ind w:left="0" w:right="0"/>
              <w:jc w:val="center"/>
              <w:rPr>
                <w:sz w:val="18"/>
                <w:szCs w:val="18"/>
              </w:rPr>
            </w:pPr>
            <w:r w:rsidRPr="001C29D0">
              <w:rPr>
                <w:sz w:val="18"/>
                <w:szCs w:val="18"/>
              </w:rPr>
              <w:t>GS-US-120-0104</w:t>
            </w:r>
          </w:p>
        </w:tc>
        <w:tc>
          <w:tcPr>
            <w:tcW w:w="1381" w:type="dxa"/>
          </w:tcPr>
          <w:p w:rsidR="001C29D0" w:rsidRPr="001C29D0" w:rsidRDefault="001C29D0" w:rsidP="00BC0213">
            <w:pPr>
              <w:ind w:left="0" w:right="0"/>
              <w:jc w:val="center"/>
              <w:rPr>
                <w:sz w:val="18"/>
                <w:szCs w:val="18"/>
              </w:rPr>
            </w:pPr>
            <w:r w:rsidRPr="001C29D0">
              <w:rPr>
                <w:sz w:val="18"/>
                <w:szCs w:val="18"/>
              </w:rPr>
              <w:t>TAF</w:t>
            </w:r>
          </w:p>
        </w:tc>
      </w:tr>
      <w:tr w:rsidR="001C29D0" w:rsidRPr="001C29D0" w:rsidTr="00692EBC">
        <w:trPr>
          <w:trHeight w:val="146"/>
        </w:trPr>
        <w:tc>
          <w:tcPr>
            <w:tcW w:w="2235" w:type="dxa"/>
          </w:tcPr>
          <w:p w:rsidR="001C29D0" w:rsidRPr="001C29D0" w:rsidRDefault="001C29D0" w:rsidP="00BC0213">
            <w:pPr>
              <w:ind w:left="0" w:right="0"/>
              <w:rPr>
                <w:sz w:val="18"/>
                <w:szCs w:val="18"/>
              </w:rPr>
            </w:pPr>
            <w:r w:rsidRPr="001C29D0">
              <w:rPr>
                <w:sz w:val="18"/>
                <w:szCs w:val="18"/>
              </w:rPr>
              <w:t>Secondary Pharmacology</w:t>
            </w:r>
          </w:p>
        </w:tc>
        <w:tc>
          <w:tcPr>
            <w:tcW w:w="3402" w:type="dxa"/>
          </w:tcPr>
          <w:p w:rsidR="001C29D0" w:rsidRPr="001C29D0" w:rsidRDefault="001C29D0" w:rsidP="00BC0213">
            <w:pPr>
              <w:ind w:left="0" w:right="0"/>
              <w:rPr>
                <w:sz w:val="18"/>
                <w:szCs w:val="18"/>
              </w:rPr>
            </w:pPr>
            <w:r w:rsidRPr="001C29D0">
              <w:rPr>
                <w:sz w:val="18"/>
                <w:szCs w:val="18"/>
              </w:rPr>
              <w:t>Effect on QTcF</w:t>
            </w:r>
          </w:p>
        </w:tc>
        <w:tc>
          <w:tcPr>
            <w:tcW w:w="1559" w:type="dxa"/>
          </w:tcPr>
          <w:p w:rsidR="001C29D0" w:rsidRPr="001C29D0" w:rsidRDefault="001C29D0" w:rsidP="00BC0213">
            <w:pPr>
              <w:ind w:left="0" w:right="0"/>
              <w:jc w:val="center"/>
              <w:rPr>
                <w:sz w:val="18"/>
                <w:szCs w:val="18"/>
              </w:rPr>
            </w:pPr>
            <w:r w:rsidRPr="001C29D0">
              <w:rPr>
                <w:sz w:val="18"/>
                <w:szCs w:val="18"/>
              </w:rPr>
              <w:t>GS-US-120-0107</w:t>
            </w:r>
          </w:p>
        </w:tc>
        <w:tc>
          <w:tcPr>
            <w:tcW w:w="1381" w:type="dxa"/>
          </w:tcPr>
          <w:p w:rsidR="001C29D0" w:rsidRPr="001C29D0" w:rsidRDefault="001C29D0" w:rsidP="00BC0213">
            <w:pPr>
              <w:ind w:left="0" w:right="0"/>
              <w:jc w:val="center"/>
              <w:rPr>
                <w:sz w:val="18"/>
                <w:szCs w:val="18"/>
              </w:rPr>
            </w:pPr>
            <w:r w:rsidRPr="001C29D0">
              <w:rPr>
                <w:sz w:val="18"/>
                <w:szCs w:val="18"/>
              </w:rPr>
              <w:t>TAF</w:t>
            </w:r>
          </w:p>
        </w:tc>
      </w:tr>
      <w:tr w:rsidR="001C29D0" w:rsidRPr="001C29D0" w:rsidTr="00692EBC">
        <w:trPr>
          <w:trHeight w:val="61"/>
        </w:trPr>
        <w:tc>
          <w:tcPr>
            <w:tcW w:w="2235" w:type="dxa"/>
            <w:vMerge w:val="restart"/>
          </w:tcPr>
          <w:p w:rsidR="001C29D0" w:rsidRPr="001C29D0" w:rsidRDefault="001C29D0" w:rsidP="00BC0213">
            <w:pPr>
              <w:ind w:left="0" w:right="0"/>
              <w:rPr>
                <w:sz w:val="18"/>
                <w:szCs w:val="18"/>
              </w:rPr>
            </w:pPr>
            <w:r w:rsidRPr="001C29D0">
              <w:rPr>
                <w:sz w:val="18"/>
                <w:szCs w:val="18"/>
              </w:rPr>
              <w:t>Population PD and PK-PD analyses</w:t>
            </w:r>
          </w:p>
        </w:tc>
        <w:tc>
          <w:tcPr>
            <w:tcW w:w="3402" w:type="dxa"/>
          </w:tcPr>
          <w:p w:rsidR="001C29D0" w:rsidRPr="001C29D0" w:rsidRDefault="001C29D0" w:rsidP="00BC0213">
            <w:pPr>
              <w:ind w:left="0" w:right="0"/>
              <w:rPr>
                <w:sz w:val="18"/>
                <w:szCs w:val="18"/>
              </w:rPr>
            </w:pPr>
            <w:r w:rsidRPr="001C29D0">
              <w:rPr>
                <w:sz w:val="18"/>
                <w:szCs w:val="18"/>
              </w:rPr>
              <w:t>Healthy subjects</w:t>
            </w:r>
          </w:p>
        </w:tc>
        <w:tc>
          <w:tcPr>
            <w:tcW w:w="1559" w:type="dxa"/>
          </w:tcPr>
          <w:p w:rsidR="00692EBC" w:rsidRDefault="001C29D0" w:rsidP="00BC0213">
            <w:pPr>
              <w:ind w:left="0" w:right="0"/>
              <w:jc w:val="center"/>
              <w:rPr>
                <w:sz w:val="18"/>
                <w:szCs w:val="18"/>
              </w:rPr>
            </w:pPr>
            <w:r w:rsidRPr="001C29D0">
              <w:rPr>
                <w:sz w:val="18"/>
                <w:szCs w:val="18"/>
              </w:rPr>
              <w:t>GS-US-292-0103</w:t>
            </w:r>
          </w:p>
          <w:p w:rsidR="00692EBC" w:rsidRPr="001C29D0" w:rsidRDefault="001C29D0" w:rsidP="00BC0213">
            <w:pPr>
              <w:ind w:left="0" w:right="0"/>
              <w:jc w:val="center"/>
              <w:rPr>
                <w:sz w:val="18"/>
                <w:szCs w:val="18"/>
              </w:rPr>
            </w:pPr>
            <w:r w:rsidRPr="001C29D0">
              <w:rPr>
                <w:sz w:val="18"/>
                <w:szCs w:val="18"/>
              </w:rPr>
              <w:t>GS-US-292-0108</w:t>
            </w:r>
          </w:p>
          <w:p w:rsidR="001C29D0" w:rsidRPr="001C29D0" w:rsidRDefault="001C29D0" w:rsidP="00BC0213">
            <w:pPr>
              <w:ind w:left="0" w:right="0"/>
              <w:jc w:val="center"/>
              <w:rPr>
                <w:sz w:val="18"/>
                <w:szCs w:val="18"/>
              </w:rPr>
            </w:pPr>
            <w:r w:rsidRPr="001C29D0">
              <w:rPr>
                <w:sz w:val="18"/>
                <w:szCs w:val="18"/>
              </w:rPr>
              <w:lastRenderedPageBreak/>
              <w:t>GS-US-292-0110</w:t>
            </w:r>
          </w:p>
        </w:tc>
        <w:tc>
          <w:tcPr>
            <w:tcW w:w="1381" w:type="dxa"/>
          </w:tcPr>
          <w:p w:rsidR="001C29D0" w:rsidRPr="001C29D0" w:rsidRDefault="001C29D0" w:rsidP="00BC0213">
            <w:pPr>
              <w:ind w:left="0" w:right="0"/>
              <w:jc w:val="center"/>
              <w:rPr>
                <w:sz w:val="18"/>
                <w:szCs w:val="18"/>
              </w:rPr>
            </w:pPr>
          </w:p>
        </w:tc>
      </w:tr>
      <w:tr w:rsidR="001C29D0" w:rsidRPr="001C29D0" w:rsidTr="00692EBC">
        <w:trPr>
          <w:trHeight w:val="2425"/>
        </w:trPr>
        <w:tc>
          <w:tcPr>
            <w:tcW w:w="2235" w:type="dxa"/>
            <w:vMerge/>
          </w:tcPr>
          <w:p w:rsidR="001C29D0" w:rsidRPr="001C29D0" w:rsidRDefault="001C29D0" w:rsidP="00BC0213">
            <w:pPr>
              <w:ind w:left="0" w:right="0"/>
              <w:rPr>
                <w:sz w:val="18"/>
                <w:szCs w:val="18"/>
              </w:rPr>
            </w:pPr>
          </w:p>
        </w:tc>
        <w:tc>
          <w:tcPr>
            <w:tcW w:w="3402" w:type="dxa"/>
          </w:tcPr>
          <w:p w:rsidR="001C29D0" w:rsidRPr="001C29D0" w:rsidRDefault="001C29D0" w:rsidP="00BC0213">
            <w:pPr>
              <w:ind w:left="0" w:right="0"/>
              <w:rPr>
                <w:sz w:val="18"/>
                <w:szCs w:val="18"/>
              </w:rPr>
            </w:pPr>
            <w:r w:rsidRPr="001C29D0">
              <w:rPr>
                <w:sz w:val="18"/>
                <w:szCs w:val="18"/>
              </w:rPr>
              <w:t>Target population‡§</w:t>
            </w:r>
          </w:p>
        </w:tc>
        <w:tc>
          <w:tcPr>
            <w:tcW w:w="1559" w:type="dxa"/>
          </w:tcPr>
          <w:p w:rsidR="001C29D0" w:rsidRPr="001C29D0" w:rsidRDefault="001C29D0" w:rsidP="00BC0213">
            <w:pPr>
              <w:ind w:left="0" w:right="0"/>
              <w:jc w:val="center"/>
              <w:rPr>
                <w:sz w:val="18"/>
                <w:szCs w:val="18"/>
              </w:rPr>
            </w:pPr>
            <w:r w:rsidRPr="001C29D0">
              <w:rPr>
                <w:sz w:val="18"/>
                <w:szCs w:val="18"/>
              </w:rPr>
              <w:t>GS-US-292-0102</w:t>
            </w:r>
          </w:p>
          <w:p w:rsidR="001C29D0" w:rsidRPr="001C29D0" w:rsidRDefault="001C29D0" w:rsidP="00BC0213">
            <w:pPr>
              <w:ind w:left="0" w:right="0"/>
              <w:jc w:val="center"/>
              <w:rPr>
                <w:sz w:val="18"/>
                <w:szCs w:val="18"/>
              </w:rPr>
            </w:pPr>
            <w:r w:rsidRPr="001C29D0">
              <w:rPr>
                <w:sz w:val="18"/>
                <w:szCs w:val="18"/>
              </w:rPr>
              <w:t>GS-US-292-0106</w:t>
            </w:r>
          </w:p>
          <w:p w:rsidR="001C29D0" w:rsidRPr="001C29D0" w:rsidRDefault="001C29D0" w:rsidP="00BC0213">
            <w:pPr>
              <w:ind w:left="0" w:right="0"/>
              <w:jc w:val="center"/>
              <w:rPr>
                <w:sz w:val="18"/>
                <w:szCs w:val="18"/>
              </w:rPr>
            </w:pPr>
            <w:r w:rsidRPr="001C29D0">
              <w:rPr>
                <w:sz w:val="18"/>
                <w:szCs w:val="18"/>
              </w:rPr>
              <w:t>GS-US-292-0104</w:t>
            </w:r>
          </w:p>
          <w:p w:rsidR="001C29D0" w:rsidRPr="001C29D0" w:rsidRDefault="001C29D0" w:rsidP="00BC0213">
            <w:pPr>
              <w:ind w:left="0" w:right="0"/>
              <w:jc w:val="center"/>
              <w:rPr>
                <w:sz w:val="18"/>
                <w:szCs w:val="18"/>
              </w:rPr>
            </w:pPr>
            <w:r w:rsidRPr="001C29D0">
              <w:rPr>
                <w:sz w:val="18"/>
                <w:szCs w:val="18"/>
              </w:rPr>
              <w:t>GS-US-292-0109</w:t>
            </w:r>
          </w:p>
          <w:p w:rsidR="001C29D0" w:rsidRPr="001C29D0" w:rsidRDefault="001C29D0" w:rsidP="00BC0213">
            <w:pPr>
              <w:ind w:left="0" w:right="0"/>
              <w:jc w:val="center"/>
              <w:rPr>
                <w:sz w:val="18"/>
                <w:szCs w:val="18"/>
              </w:rPr>
            </w:pPr>
            <w:r w:rsidRPr="001C29D0">
              <w:rPr>
                <w:sz w:val="18"/>
                <w:szCs w:val="18"/>
              </w:rPr>
              <w:t>GS-US-292-0111</w:t>
            </w:r>
          </w:p>
          <w:p w:rsidR="001C29D0" w:rsidRPr="001C29D0" w:rsidRDefault="001C29D0" w:rsidP="00BC0213">
            <w:pPr>
              <w:ind w:left="0" w:right="0"/>
              <w:jc w:val="center"/>
              <w:rPr>
                <w:sz w:val="18"/>
                <w:szCs w:val="18"/>
              </w:rPr>
            </w:pPr>
            <w:r w:rsidRPr="001C29D0">
              <w:rPr>
                <w:sz w:val="18"/>
                <w:szCs w:val="18"/>
              </w:rPr>
              <w:t>GS-US_292-0112</w:t>
            </w:r>
          </w:p>
        </w:tc>
        <w:tc>
          <w:tcPr>
            <w:tcW w:w="1381" w:type="dxa"/>
          </w:tcPr>
          <w:p w:rsidR="001C29D0" w:rsidRPr="001C29D0" w:rsidRDefault="001C29D0" w:rsidP="00BC0213">
            <w:pPr>
              <w:ind w:left="0" w:right="0"/>
              <w:jc w:val="center"/>
              <w:rPr>
                <w:sz w:val="18"/>
                <w:szCs w:val="18"/>
              </w:rPr>
            </w:pPr>
          </w:p>
        </w:tc>
      </w:tr>
    </w:tbl>
    <w:p w:rsidR="001C29D0" w:rsidRDefault="001C29D0" w:rsidP="00692EBC">
      <w:pPr>
        <w:pStyle w:val="TableDescription"/>
      </w:pPr>
      <w:r w:rsidRPr="001C29D0">
        <w:t>§ Subjects who would be eligible to receive the drug if approved for the proposed indication. ‡ And adolescents if applicable.</w:t>
      </w:r>
    </w:p>
    <w:p w:rsidR="001C29D0" w:rsidRDefault="001C29D0" w:rsidP="001C29D0">
      <w:r w:rsidRPr="00025B27">
        <w:t>None of the pharmacodynamic studies had deficiencies that excluded their results from consideration.</w:t>
      </w:r>
    </w:p>
    <w:p w:rsidR="005A4943" w:rsidRPr="001C29D0" w:rsidRDefault="005A4943" w:rsidP="001C29D0">
      <w:r>
        <w:t>For further details of the clinical evaluation of pharmac</w:t>
      </w:r>
      <w:r w:rsidR="003130DA">
        <w:t>odynamics please see Attachment </w:t>
      </w:r>
      <w:r>
        <w:t>2.</w:t>
      </w:r>
    </w:p>
    <w:p w:rsidR="00605AD4" w:rsidRDefault="00605AD4" w:rsidP="00605AD4">
      <w:pPr>
        <w:pStyle w:val="Heading4"/>
      </w:pPr>
      <w:r>
        <w:t>Evaluator’s conclusions on pharmacodynamics</w:t>
      </w:r>
    </w:p>
    <w:p w:rsidR="001C29D0" w:rsidRPr="00760C44" w:rsidRDefault="001C29D0" w:rsidP="001C29D0">
      <w:r>
        <w:t xml:space="preserve">TAF showed broad anti </w:t>
      </w:r>
      <w:r w:rsidRPr="00760C44">
        <w:t>HIV activity in human PBMCs against all HIV-1 groups and potent antiviral activity against HIV-2. TAF also has shown potent antiviral activity against HIV-1 isolates resistant to other ARV drug classes (</w:t>
      </w:r>
      <w:r>
        <w:t>that is</w:t>
      </w:r>
      <w:r w:rsidRPr="00C70286">
        <w:t xml:space="preserve">, </w:t>
      </w:r>
      <w:r w:rsidR="00B328A8">
        <w:t>NNRTI-resistant (NNRTI-R)</w:t>
      </w:r>
      <w:r w:rsidRPr="00C70286">
        <w:t xml:space="preserve">, </w:t>
      </w:r>
      <w:r w:rsidR="003B40DF" w:rsidRPr="00C70286">
        <w:t>protease inhibitor</w:t>
      </w:r>
      <w:r w:rsidR="00B328A8">
        <w:t>-resistant (</w:t>
      </w:r>
      <w:r w:rsidR="00B328A8" w:rsidRPr="00B328A8">
        <w:t>protease inhibitor-</w:t>
      </w:r>
      <w:r w:rsidR="00B328A8">
        <w:t>R) and INSTI-resistant</w:t>
      </w:r>
      <w:r w:rsidRPr="00C70286">
        <w:t xml:space="preserve"> </w:t>
      </w:r>
      <w:r w:rsidR="00B328A8" w:rsidRPr="00B328A8">
        <w:t>(INSTI-R)</w:t>
      </w:r>
      <w:r w:rsidR="00B328A8">
        <w:t xml:space="preserve"> </w:t>
      </w:r>
      <w:r w:rsidRPr="00C70286">
        <w:t>mutants</w:t>
      </w:r>
      <w:r w:rsidR="00B328A8">
        <w:t xml:space="preserve"> </w:t>
      </w:r>
      <w:r w:rsidRPr="00C70286">
        <w:t xml:space="preserve">and combination NRTI-R + NNRTI-R or NRTI-R + NNRTI-R + </w:t>
      </w:r>
      <w:r w:rsidR="003B40DF" w:rsidRPr="00C70286">
        <w:t xml:space="preserve">protease inhibitor </w:t>
      </w:r>
      <w:r w:rsidRPr="00C70286">
        <w:t>-R mutants).</w:t>
      </w:r>
    </w:p>
    <w:p w:rsidR="001C29D0" w:rsidRPr="00760C44" w:rsidRDefault="001C29D0" w:rsidP="001C29D0">
      <w:r w:rsidRPr="00760C44">
        <w:t>The PK/PD profiles of E/C/F/TAF and its components have been wel</w:t>
      </w:r>
      <w:r>
        <w:t xml:space="preserve">l established in HIV-1 infected </w:t>
      </w:r>
      <w:r w:rsidRPr="00760C44">
        <w:t>subjects and certain special populations. No clinically relevant differences in the PK/PD of the E/C/F/TAF FDC were observed with respect to demographic variables. The PK/PD of the individual components of E/C/F/TAF in adolescents were consistent with the range of exposures associated</w:t>
      </w:r>
      <w:r>
        <w:t xml:space="preserve"> </w:t>
      </w:r>
      <w:r w:rsidRPr="00760C44">
        <w:t>with antiviral activity of E/C/F/TAF in adults, which supports the extrapolation of efficacy data from paediatrics to adult subjects and the use of E/C/F/TAF in patients &gt; 12 years.</w:t>
      </w:r>
    </w:p>
    <w:p w:rsidR="001C29D0" w:rsidRPr="001C29D0" w:rsidRDefault="001C29D0" w:rsidP="001C29D0">
      <w:r w:rsidRPr="00760C44">
        <w:t xml:space="preserve">Based on PK/PD analysis for efficacy parameters, the exposure associated with TAF 25 mg (or ECFTAF 10 </w:t>
      </w:r>
      <w:r w:rsidR="005A4943">
        <w:t xml:space="preserve">mg) is expected to provide near </w:t>
      </w:r>
      <w:r w:rsidRPr="00760C44">
        <w:t>maximal activity.</w:t>
      </w:r>
    </w:p>
    <w:p w:rsidR="008E7846" w:rsidRDefault="00605AD4" w:rsidP="00692EBC">
      <w:pPr>
        <w:pStyle w:val="Heading3"/>
      </w:pPr>
      <w:bookmarkStart w:id="88" w:name="_Toc455474497"/>
      <w:r>
        <w:t>Dosage selection for the pivotal studies</w:t>
      </w:r>
      <w:bookmarkEnd w:id="88"/>
    </w:p>
    <w:p w:rsidR="001C29D0" w:rsidRPr="00760C44" w:rsidRDefault="001C29D0" w:rsidP="001C29D0">
      <w:r w:rsidRPr="00760C44">
        <w:t xml:space="preserve">The dose for the pivotal studies was the approved FDC Stribild as the comparator with the same components as the approved FDC, with TAF </w:t>
      </w:r>
      <w:r>
        <w:t>10 mg</w:t>
      </w:r>
      <w:r w:rsidRPr="00760C44">
        <w:t xml:space="preserve"> substituted for TDF 30</w:t>
      </w:r>
      <w:r>
        <w:t>0 m</w:t>
      </w:r>
      <w:r w:rsidRPr="00760C44">
        <w:t>g in Stribild.</w:t>
      </w:r>
    </w:p>
    <w:p w:rsidR="001C29D0" w:rsidRPr="00760C44" w:rsidRDefault="001C29D0" w:rsidP="001C29D0">
      <w:r w:rsidRPr="00760C44">
        <w:t xml:space="preserve">The proposed commercial E/C/F/TAF FDC tablet contains EVG 150 mg, COBI 150 mg, FTC 200 mg, and TAF 10 mg. The </w:t>
      </w:r>
      <w:r>
        <w:t>150 mg</w:t>
      </w:r>
      <w:r w:rsidRPr="00760C44">
        <w:t xml:space="preserve"> dose of EVG is 1 of the 2 marketed doses of the product as a single agent (85 mg is the other dose). The </w:t>
      </w:r>
      <w:r>
        <w:t>150 mg</w:t>
      </w:r>
      <w:r w:rsidRPr="00760C44">
        <w:t xml:space="preserve"> boosting dose of COBI is the marketed dose of COBI as a single agent, and the dose associated with boosting of the </w:t>
      </w:r>
      <w:r>
        <w:t>150 mg</w:t>
      </w:r>
      <w:r w:rsidRPr="00760C44">
        <w:t xml:space="preserve"> dose of EVG. The 200</w:t>
      </w:r>
      <w:r>
        <w:t xml:space="preserve"> mg</w:t>
      </w:r>
      <w:r w:rsidRPr="00760C44">
        <w:t xml:space="preserve"> dose of FTC represents the marketed dose.</w:t>
      </w:r>
    </w:p>
    <w:p w:rsidR="001C29D0" w:rsidRPr="001C29D0" w:rsidRDefault="001C29D0" w:rsidP="001C29D0">
      <w:r w:rsidRPr="00760C44">
        <w:t>Cumulative assessment of exposure:</w:t>
      </w:r>
      <w:r>
        <w:t xml:space="preserve"> response data from proof of </w:t>
      </w:r>
      <w:r w:rsidR="005A064A">
        <w:t>concept Study GS</w:t>
      </w:r>
      <w:r w:rsidR="005A064A">
        <w:noBreakHyphen/>
        <w:t>US</w:t>
      </w:r>
      <w:r w:rsidR="005A064A">
        <w:noBreakHyphen/>
      </w:r>
      <w:r w:rsidRPr="00760C44">
        <w:t>120-0104 indicated that TAF 25</w:t>
      </w:r>
      <w:r>
        <w:t xml:space="preserve"> mg</w:t>
      </w:r>
      <w:r w:rsidRPr="00760C44">
        <w:t xml:space="preserve"> ex</w:t>
      </w:r>
      <w:r>
        <w:t xml:space="preserve">posure provided potent and near </w:t>
      </w:r>
      <w:r w:rsidRPr="00760C44">
        <w:t>maximal antiviral activity. Relative to TDF 300 mg, TAF 25 mg demonstrated no loss in efficacy, but 90% reduction in TFV plasma levels that potentially translates into an improvement in off-</w:t>
      </w:r>
      <w:r w:rsidRPr="00760C44">
        <w:lastRenderedPageBreak/>
        <w:t>target side effects. Pharmacokinetic data from Studi</w:t>
      </w:r>
      <w:r w:rsidR="005A064A">
        <w:t>es GS-US-292-0101 and GS</w:t>
      </w:r>
      <w:r w:rsidR="005A064A">
        <w:noBreakHyphen/>
        <w:t>US</w:t>
      </w:r>
      <w:r w:rsidR="005A064A">
        <w:noBreakHyphen/>
        <w:t>311</w:t>
      </w:r>
      <w:r w:rsidR="005A064A">
        <w:noBreakHyphen/>
      </w:r>
      <w:r w:rsidRPr="00760C44">
        <w:t>0101 indica</w:t>
      </w:r>
      <w:r>
        <w:t>ted that TAF exposure from an 8</w:t>
      </w:r>
      <w:r w:rsidRPr="00760C44">
        <w:t xml:space="preserve"> to 10</w:t>
      </w:r>
      <w:r>
        <w:t xml:space="preserve"> mg</w:t>
      </w:r>
      <w:r w:rsidRPr="00760C44">
        <w:t xml:space="preserve"> dose in combination with COBI (single agent or as E/C/F/TAF) were comparable with that from TAF 25 mg administered alone. Cumulative results from Studies GS-US-120-0104, GS-US-292-0101, and GS-US-311-0101 were used in selecting a 10</w:t>
      </w:r>
      <w:r>
        <w:t xml:space="preserve"> mg</w:t>
      </w:r>
      <w:r w:rsidRPr="00760C44">
        <w:t xml:space="preserve"> TAF dose for clinical development within the E/C/F/TAF FDC.</w:t>
      </w:r>
    </w:p>
    <w:p w:rsidR="008E7846" w:rsidRPr="00254787" w:rsidRDefault="008E7846" w:rsidP="00692EBC">
      <w:pPr>
        <w:pStyle w:val="Heading3"/>
      </w:pPr>
      <w:bookmarkStart w:id="89" w:name="_Toc163441372"/>
      <w:bookmarkStart w:id="90" w:name="_Toc196046485"/>
      <w:bookmarkStart w:id="91" w:name="_Toc247691521"/>
      <w:bookmarkStart w:id="92" w:name="_Toc314842504"/>
      <w:bookmarkStart w:id="93" w:name="_Toc455474498"/>
      <w:r w:rsidRPr="00254787">
        <w:t>Efficacy</w:t>
      </w:r>
      <w:bookmarkEnd w:id="89"/>
      <w:bookmarkEnd w:id="90"/>
      <w:bookmarkEnd w:id="91"/>
      <w:bookmarkEnd w:id="92"/>
      <w:bookmarkEnd w:id="93"/>
    </w:p>
    <w:p w:rsidR="00605AD4" w:rsidRDefault="00605AD4" w:rsidP="00692EBC">
      <w:pPr>
        <w:pStyle w:val="Heading4"/>
      </w:pPr>
      <w:bookmarkStart w:id="94" w:name="_Toc184439992"/>
      <w:bookmarkStart w:id="95" w:name="_Toc184440279"/>
      <w:bookmarkStart w:id="96" w:name="_Toc184444657"/>
      <w:bookmarkStart w:id="97" w:name="_Toc196046487"/>
      <w:r>
        <w:t>Studies providing efficacy data</w:t>
      </w:r>
    </w:p>
    <w:p w:rsidR="001C29D0" w:rsidRPr="00166E33" w:rsidRDefault="001C29D0" w:rsidP="00EA6D79">
      <w:pPr>
        <w:pStyle w:val="ListBullet"/>
        <w:ind w:left="360" w:hanging="360"/>
      </w:pPr>
      <w:r w:rsidRPr="00166E33">
        <w:t>2 pivotal efficacy/safety studies GS-US-292-0104 and GS-US-292-0111. Both studies are random</w:t>
      </w:r>
      <w:r w:rsidR="00527A3B">
        <w:t>ise</w:t>
      </w:r>
      <w:r w:rsidRPr="00166E33">
        <w:t xml:space="preserve">d; </w:t>
      </w:r>
      <w:r>
        <w:t>double blind</w:t>
      </w:r>
      <w:r w:rsidRPr="00166E33">
        <w:t xml:space="preserve"> trials conducted in </w:t>
      </w:r>
      <w:r w:rsidR="0029189F" w:rsidRPr="0029189F">
        <w:t>HIV-1 pos</w:t>
      </w:r>
      <w:r w:rsidR="00877B4A">
        <w:t xml:space="preserve">itive, antiretroviral treatment </w:t>
      </w:r>
      <w:r w:rsidR="0029189F" w:rsidRPr="0029189F">
        <w:t xml:space="preserve">naive </w:t>
      </w:r>
      <w:r w:rsidRPr="00166E33">
        <w:t>adults and provide a direct comparison of E/C/F/TAF (Genvoya) with E/C/F/TDF (</w:t>
      </w:r>
      <w:r>
        <w:t>Stribild</w:t>
      </w:r>
      <w:r w:rsidRPr="00166E33">
        <w:t>), the currently approved and marketed FDC.</w:t>
      </w:r>
    </w:p>
    <w:p w:rsidR="001C29D0" w:rsidRPr="00166E33" w:rsidRDefault="001C29D0" w:rsidP="001C29D0">
      <w:pPr>
        <w:pStyle w:val="ListBullet"/>
        <w:numPr>
          <w:ilvl w:val="0"/>
          <w:numId w:val="0"/>
        </w:numPr>
      </w:pPr>
      <w:r w:rsidRPr="00166E33">
        <w:t xml:space="preserve">Additional studies include GS-US-292-0109; a Phase </w:t>
      </w:r>
      <w:r>
        <w:t>III</w:t>
      </w:r>
      <w:r w:rsidR="005A4943">
        <w:t xml:space="preserve">, open </w:t>
      </w:r>
      <w:r w:rsidRPr="00166E33">
        <w:t>label study to evaluate the potential renal and/or bone b</w:t>
      </w:r>
      <w:r>
        <w:t xml:space="preserve">enefits of switching from a TDF </w:t>
      </w:r>
      <w:r w:rsidRPr="00166E33">
        <w:t xml:space="preserve">based regimen to the </w:t>
      </w:r>
      <w:r>
        <w:t>Genvoya</w:t>
      </w:r>
      <w:r w:rsidRPr="00166E33">
        <w:t xml:space="preserve"> in virologically-suppressed HIV-1 positive su</w:t>
      </w:r>
      <w:r w:rsidR="005A4943">
        <w:t xml:space="preserve">bjects; GS-US-292-0112; an open </w:t>
      </w:r>
      <w:r w:rsidRPr="00166E33">
        <w:t xml:space="preserve">label study of </w:t>
      </w:r>
      <w:r>
        <w:t>Genvoya</w:t>
      </w:r>
      <w:r w:rsidRPr="00166E33">
        <w:t xml:space="preserve"> in patients with mild to mode</w:t>
      </w:r>
      <w:r w:rsidR="005A064A">
        <w:t>rate renal impairment and GS</w:t>
      </w:r>
      <w:r w:rsidR="005A064A">
        <w:noBreakHyphen/>
        <w:t>US</w:t>
      </w:r>
      <w:r w:rsidR="005A064A">
        <w:noBreakHyphen/>
      </w:r>
      <w:r w:rsidRPr="00166E33">
        <w:t xml:space="preserve">292-0106; an </w:t>
      </w:r>
      <w:r w:rsidR="005A4943">
        <w:t>open label</w:t>
      </w:r>
      <w:r w:rsidRPr="00166E33">
        <w:t xml:space="preserve"> study of </w:t>
      </w:r>
      <w:r>
        <w:t>Genvoya</w:t>
      </w:r>
      <w:r w:rsidRPr="00166E33">
        <w:t xml:space="preserve"> in </w:t>
      </w:r>
      <w:r>
        <w:t xml:space="preserve">HIV infected </w:t>
      </w:r>
      <w:r w:rsidR="00877B4A" w:rsidRPr="00877B4A">
        <w:t xml:space="preserve">treatment naive </w:t>
      </w:r>
      <w:r>
        <w:t>adolescents.</w:t>
      </w:r>
    </w:p>
    <w:p w:rsidR="001C29D0" w:rsidRPr="001C29D0" w:rsidRDefault="001C29D0" w:rsidP="00692EBC">
      <w:pPr>
        <w:pStyle w:val="Tabletitle0"/>
      </w:pPr>
      <w:bookmarkStart w:id="98" w:name="_Ref295031286"/>
      <w:bookmarkStart w:id="99" w:name="_Toc296947883"/>
      <w:r w:rsidRPr="001C29D0">
        <w:t xml:space="preserve">Table </w:t>
      </w:r>
      <w:bookmarkEnd w:id="98"/>
      <w:r w:rsidR="005A064A">
        <w:t>8</w:t>
      </w:r>
      <w:r w:rsidRPr="001C29D0">
        <w:t>. Efficacy endpoints included in this summary by study</w:t>
      </w:r>
      <w:bookmarkEnd w:id="99"/>
    </w:p>
    <w:p w:rsidR="001C29D0" w:rsidRDefault="001C29D0" w:rsidP="001C29D0">
      <w:r>
        <w:rPr>
          <w:noProof/>
          <w:lang w:eastAsia="en-AU"/>
        </w:rPr>
        <w:drawing>
          <wp:inline distT="0" distB="0" distL="0" distR="0" wp14:anchorId="506004B5" wp14:editId="0EA17623">
            <wp:extent cx="5400040" cy="3030022"/>
            <wp:effectExtent l="0" t="0" r="0" b="0"/>
            <wp:docPr id="11" name="Picture 11" descr="Table 8. Efficacy endpoints included in this summary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3030022"/>
                    </a:xfrm>
                    <a:prstGeom prst="rect">
                      <a:avLst/>
                    </a:prstGeom>
                  </pic:spPr>
                </pic:pic>
              </a:graphicData>
            </a:graphic>
          </wp:inline>
        </w:drawing>
      </w:r>
    </w:p>
    <w:p w:rsidR="001C29D0" w:rsidRPr="001C29D0" w:rsidRDefault="001C29D0" w:rsidP="001C29D0">
      <w:r>
        <w:t>For the details of the evaluation of the efficacy data please see Attachment 2.</w:t>
      </w:r>
    </w:p>
    <w:p w:rsidR="008E7846" w:rsidRDefault="00605AD4" w:rsidP="00605AD4">
      <w:pPr>
        <w:pStyle w:val="Heading4"/>
      </w:pPr>
      <w:r>
        <w:t>Evaluator’s conclusions on efficacy</w:t>
      </w:r>
    </w:p>
    <w:p w:rsidR="001C29D0" w:rsidRPr="00712994" w:rsidRDefault="001C29D0" w:rsidP="001C29D0">
      <w:r w:rsidRPr="00712994">
        <w:t>Evaluator’s conclusions on clinical efficacy for the treatment of HIV-1 infection in adults and paediatric patients 12 years of age and older</w:t>
      </w:r>
      <w:r>
        <w:t>.</w:t>
      </w:r>
    </w:p>
    <w:p w:rsidR="001C29D0" w:rsidRPr="00783BE4" w:rsidRDefault="001C29D0" w:rsidP="001C29D0">
      <w:r w:rsidRPr="00783BE4">
        <w:t>The sponsor has submitted at least ten separate clinical trials, involving more than 2</w:t>
      </w:r>
      <w:r>
        <w:t>,</w:t>
      </w:r>
      <w:r w:rsidRPr="00783BE4">
        <w:t xml:space="preserve">500 patients in more than 40 countries. The clinical efficacy objective of these studies was to confirm that </w:t>
      </w:r>
      <w:r w:rsidR="005A064A">
        <w:t>TAF</w:t>
      </w:r>
      <w:r w:rsidRPr="00783BE4">
        <w:t xml:space="preserve"> is equivalent to </w:t>
      </w:r>
      <w:r w:rsidR="005A064A">
        <w:t>TDF</w:t>
      </w:r>
      <w:r w:rsidRPr="00783BE4">
        <w:t xml:space="preserve"> when combined in an FDC tablet with </w:t>
      </w:r>
      <w:r w:rsidR="005A064A">
        <w:t>EVG, COBI and FTC</w:t>
      </w:r>
      <w:r w:rsidRPr="00783BE4">
        <w:t xml:space="preserve">. The single parameter of efficacy has been defined as achieving an HIV-1 RNA viral </w:t>
      </w:r>
      <w:r w:rsidRPr="00783BE4">
        <w:lastRenderedPageBreak/>
        <w:t xml:space="preserve">load of less than 50 copies per </w:t>
      </w:r>
      <w:r>
        <w:t>mL</w:t>
      </w:r>
      <w:r w:rsidRPr="00783BE4">
        <w:t xml:space="preserve">. These studies universally confirm that TAF, as a component of Genvoya, is clinically equivalent to TDF as a component of Stribild </w:t>
      </w:r>
      <w:r w:rsidR="005A064A">
        <w:t>(</w:t>
      </w:r>
      <w:r w:rsidRPr="00783BE4">
        <w:t>or QUAD</w:t>
      </w:r>
      <w:r w:rsidR="005A064A">
        <w:t>)</w:t>
      </w:r>
      <w:r w:rsidRPr="00783BE4">
        <w:t xml:space="preserve">, which has been approved. The equivalence of TAF with TDF is supported by the comprehensive pharmacokinetics data submitted by the sponsor. The PK studies provide data to demonstrate that TAF at a dose of </w:t>
      </w:r>
      <w:r>
        <w:t>10 mg</w:t>
      </w:r>
      <w:r w:rsidRPr="00783BE4">
        <w:t xml:space="preserve">, boosted by COBI </w:t>
      </w:r>
      <w:r>
        <w:t>150 mg</w:t>
      </w:r>
      <w:r w:rsidRPr="00783BE4">
        <w:t xml:space="preserve">, results in the equivalent intracellular levels of the active substance </w:t>
      </w:r>
      <w:r w:rsidR="005A064A">
        <w:t>TFV</w:t>
      </w:r>
      <w:r w:rsidRPr="00783BE4">
        <w:t>, as a dose of 30</w:t>
      </w:r>
      <w:r>
        <w:t>0 m</w:t>
      </w:r>
      <w:r w:rsidRPr="00783BE4">
        <w:t>g of TDF. The sponsor provides further data</w:t>
      </w:r>
      <w:r>
        <w:t xml:space="preserve"> to conclude that, in the short to </w:t>
      </w:r>
      <w:r w:rsidRPr="00783BE4">
        <w:t xml:space="preserve">medium term this lower dose requirement of TAF will result in a lower rate of adverse renal and bone density effects. This observation will be detailed in </w:t>
      </w:r>
      <w:r>
        <w:t>the s</w:t>
      </w:r>
      <w:r w:rsidRPr="00783BE4">
        <w:t>ection on clinical safety.</w:t>
      </w:r>
    </w:p>
    <w:p w:rsidR="001C29D0" w:rsidRPr="00783BE4" w:rsidRDefault="001C29D0" w:rsidP="001C29D0">
      <w:r w:rsidRPr="00783BE4">
        <w:t xml:space="preserve">The pivotal efficacy studies in this submission are GS-US-292-0104 and </w:t>
      </w:r>
      <w:r w:rsidRPr="00712994">
        <w:t>GS-US-292-</w:t>
      </w:r>
      <w:r w:rsidRPr="00783BE4">
        <w:t>0111. These are the studies that have been pooled for analysis. The data shows that the FDC containing TAF (Genvoya) resulted in equivalent viral suppression when compared with the FDC containing TDF (Stribild), both achieving &gt; 90% of patients with an HIV-1 RNA viral load of &lt;</w:t>
      </w:r>
      <w:r>
        <w:t xml:space="preserve"> 50 copies per </w:t>
      </w:r>
      <w:r w:rsidRPr="00712994">
        <w:t>mL</w:t>
      </w:r>
      <w:r w:rsidRPr="00783BE4">
        <w:t>. Virological failure was infrequent in both groups (3.6% and 4.0% respectively). It was observed that the TAF combination appeared to be significantly better for women and for those with a baseline viral load of &lt;</w:t>
      </w:r>
      <w:r>
        <w:t xml:space="preserve"> </w:t>
      </w:r>
      <w:r w:rsidRPr="00783BE4">
        <w:t xml:space="preserve">100,000 copies per mL. The TAF group also appeared to have a significantly higher CD4 increase when compared with the TDF group. Other parameters such as age, ethnicity, area of residence and mild to moderate renal and hepatic abnormality did not have an effect on the efficacy outcomes. Study GS-US-292-0109 provided data on both HIV-1 treatment </w:t>
      </w:r>
      <w:r w:rsidR="00AD043A">
        <w:t>naive</w:t>
      </w:r>
      <w:r w:rsidRPr="00783BE4">
        <w:t xml:space="preserve"> patients and patient who switched from a regimen containing TDF to one containing TAF. This study with more than 1</w:t>
      </w:r>
      <w:r>
        <w:t>,</w:t>
      </w:r>
      <w:r w:rsidRPr="00783BE4">
        <w:t>400 patients also</w:t>
      </w:r>
      <w:r>
        <w:t xml:space="preserve"> showed that suppression of HIV</w:t>
      </w:r>
      <w:r>
        <w:noBreakHyphen/>
      </w:r>
      <w:r w:rsidRPr="00783BE4">
        <w:t>1 RNA viral load was maintained when patients switched to the</w:t>
      </w:r>
      <w:r>
        <w:t xml:space="preserve"> TAF containing regimen.</w:t>
      </w:r>
    </w:p>
    <w:p w:rsidR="001C29D0" w:rsidRPr="001C29D0" w:rsidRDefault="001C29D0" w:rsidP="001C29D0">
      <w:r w:rsidRPr="00783BE4">
        <w:t xml:space="preserve">It is the opinion of the </w:t>
      </w:r>
      <w:r>
        <w:t>evaluator</w:t>
      </w:r>
      <w:r w:rsidRPr="00783BE4">
        <w:t xml:space="preserve"> that</w:t>
      </w:r>
      <w:r>
        <w:t xml:space="preserve"> the Genvoya FDC provides a </w:t>
      </w:r>
      <w:r w:rsidR="00794B10">
        <w:t>non-</w:t>
      </w:r>
      <w:r w:rsidR="00794B10" w:rsidRPr="00783BE4">
        <w:t>inferior</w:t>
      </w:r>
      <w:r w:rsidRPr="00783BE4">
        <w:t xml:space="preserve"> viral suppression </w:t>
      </w:r>
      <w:r w:rsidR="003B2F88">
        <w:t>single tablet regimen</w:t>
      </w:r>
      <w:r>
        <w:t xml:space="preserve"> to an already approved FDC.</w:t>
      </w:r>
    </w:p>
    <w:p w:rsidR="008E7846" w:rsidRPr="002E238E" w:rsidRDefault="008E7846" w:rsidP="008E7846">
      <w:pPr>
        <w:pStyle w:val="Heading3"/>
      </w:pPr>
      <w:bookmarkStart w:id="100" w:name="_Toc163441378"/>
      <w:bookmarkStart w:id="101" w:name="_Toc196046495"/>
      <w:bookmarkStart w:id="102" w:name="_Toc247691522"/>
      <w:bookmarkStart w:id="103" w:name="_Toc314842505"/>
      <w:bookmarkStart w:id="104" w:name="_Toc455474499"/>
      <w:bookmarkEnd w:id="94"/>
      <w:bookmarkEnd w:id="95"/>
      <w:bookmarkEnd w:id="96"/>
      <w:bookmarkEnd w:id="97"/>
      <w:r w:rsidRPr="002E238E">
        <w:t>Safety</w:t>
      </w:r>
      <w:bookmarkEnd w:id="100"/>
      <w:bookmarkEnd w:id="101"/>
      <w:bookmarkEnd w:id="102"/>
      <w:bookmarkEnd w:id="103"/>
      <w:bookmarkEnd w:id="104"/>
    </w:p>
    <w:p w:rsidR="00605AD4" w:rsidRDefault="00605AD4" w:rsidP="00605AD4">
      <w:pPr>
        <w:pStyle w:val="Heading4"/>
      </w:pPr>
      <w:bookmarkStart w:id="105" w:name="_Toc247691524"/>
      <w:bookmarkStart w:id="106" w:name="_Toc314842508"/>
      <w:bookmarkStart w:id="107" w:name="_Toc196046504"/>
      <w:bookmarkStart w:id="108" w:name="_Toc163441390"/>
      <w:r w:rsidRPr="00605AD4">
        <w:t>Studies providing safety data</w:t>
      </w:r>
    </w:p>
    <w:p w:rsidR="003864CC" w:rsidRDefault="003864CC" w:rsidP="003864CC">
      <w:r w:rsidRPr="00783BE4">
        <w:t xml:space="preserve">The sponsor has submitted 20 separate clinical studies that, in some aspects address the safety of TAF, either as a separate tablet or in combination with E/C/F as the compound Genvoya, which is submitted for assessment. As the current application for TAF is not as a separate tablet, the assessor has considered the safety of TAF in combination with E/C/F. The pivotal safety data provided by the sponsor are GS-US-292-0104 </w:t>
      </w:r>
      <w:r w:rsidRPr="00712994">
        <w:t>and GS-US-292-0111</w:t>
      </w:r>
      <w:r w:rsidRPr="00783BE4">
        <w:t xml:space="preserve"> which were the pivotal efficacy studies. The key safety data for this submission is the documented renal and bone mineral density toxicity reported for the Stribild and due to the TDF component. The sponsor’s submission states that this toxicity is due to the TDF component because it is in plasma for an extended period before being incorporated into PBMCs. The sponsor’s submission is intended to show that, because TAF is incorporated into PBMCs at a much more rapid rate than TDF the effects on renal and bone mineral function will be much ameliorated.</w:t>
      </w:r>
    </w:p>
    <w:p w:rsidR="003864CC" w:rsidRDefault="003864CC" w:rsidP="00870F3F">
      <w:pPr>
        <w:pStyle w:val="Heading5"/>
      </w:pPr>
      <w:bookmarkStart w:id="109" w:name="_Ref269204367"/>
      <w:bookmarkStart w:id="110" w:name="_Ref271195835"/>
      <w:bookmarkStart w:id="111" w:name="_Ref271195841"/>
      <w:bookmarkStart w:id="112" w:name="_Toc272414660"/>
      <w:bookmarkStart w:id="113" w:name="_Toc290846285"/>
      <w:bookmarkStart w:id="114" w:name="_Toc296947787"/>
      <w:bookmarkStart w:id="115" w:name="_Toc448735908"/>
      <w:r w:rsidRPr="003864CC">
        <w:t>Pivotal studies that assessed safety as a primary outcome</w:t>
      </w:r>
      <w:bookmarkEnd w:id="109"/>
      <w:bookmarkEnd w:id="110"/>
      <w:bookmarkEnd w:id="111"/>
      <w:bookmarkEnd w:id="112"/>
      <w:bookmarkEnd w:id="113"/>
      <w:bookmarkEnd w:id="114"/>
      <w:bookmarkEnd w:id="115"/>
    </w:p>
    <w:p w:rsidR="003864CC" w:rsidRDefault="003864CC" w:rsidP="003864CC">
      <w:r w:rsidRPr="003864CC">
        <w:t>The three studies regarded as the most important in relation to safety are GS-US-292-0104, GS-US-292-0111 and GS-US-292-0109.</w:t>
      </w:r>
      <w:r>
        <w:t xml:space="preserve"> </w:t>
      </w:r>
      <w:r w:rsidRPr="003864CC">
        <w:t>The first two studies have been pooled as their design, implementation and analysis frameworks are identical.</w:t>
      </w:r>
    </w:p>
    <w:p w:rsidR="003864CC" w:rsidRPr="003864CC" w:rsidRDefault="003864CC" w:rsidP="00870F3F">
      <w:pPr>
        <w:pStyle w:val="Heading5"/>
      </w:pPr>
      <w:r w:rsidRPr="003864CC">
        <w:t>Pivotal studies that assessed safety as a secondary outcome</w:t>
      </w:r>
    </w:p>
    <w:p w:rsidR="003864CC" w:rsidRPr="003864CC" w:rsidRDefault="003864CC" w:rsidP="003864CC">
      <w:r w:rsidRPr="00783BE4">
        <w:t>Studies GS-US-292-0104, GS-US-292-0111, GS-US-292-0106, G</w:t>
      </w:r>
      <w:r w:rsidR="00A37DFD">
        <w:t>S-US-292-0109, GS</w:t>
      </w:r>
      <w:r w:rsidR="00A37DFD">
        <w:noBreakHyphen/>
        <w:t>US</w:t>
      </w:r>
      <w:r w:rsidR="00A37DFD">
        <w:noBreakHyphen/>
        <w:t>292</w:t>
      </w:r>
      <w:r w:rsidR="00A37DFD">
        <w:noBreakHyphen/>
      </w:r>
      <w:r w:rsidRPr="00783BE4">
        <w:t xml:space="preserve">0102 were pivotal studies that assessed safety as a secondary outcome in parallel with their primary outcome of efficacy (equivalence between E/C/F/TAF and E/C/F/TDF). These studies are described </w:t>
      </w:r>
      <w:r>
        <w:t>below</w:t>
      </w:r>
      <w:r w:rsidRPr="00783BE4">
        <w:t xml:space="preserve">. Study GS-US-292-0112 is relevant, </w:t>
      </w:r>
      <w:r w:rsidRPr="00783BE4">
        <w:lastRenderedPageBreak/>
        <w:t xml:space="preserve">although not a pivotal safety study as it is a </w:t>
      </w:r>
      <w:r>
        <w:t xml:space="preserve">Phase III </w:t>
      </w:r>
      <w:r w:rsidRPr="00783BE4">
        <w:t>open label study of patients treated with E/C/F/TAF who have mild to moderate renal impairment. This study is important in consideration of the i</w:t>
      </w:r>
      <w:r>
        <w:t>mpact of TAF on renal function.</w:t>
      </w:r>
    </w:p>
    <w:p w:rsidR="00605AD4" w:rsidRDefault="00605AD4" w:rsidP="00605AD4">
      <w:pPr>
        <w:pStyle w:val="Heading4"/>
      </w:pPr>
      <w:r w:rsidRPr="00605AD4">
        <w:t>Patient exposure</w:t>
      </w:r>
    </w:p>
    <w:p w:rsidR="00A669E9" w:rsidRPr="00A669E9" w:rsidRDefault="00A669E9" w:rsidP="00A669E9">
      <w:pPr>
        <w:pStyle w:val="Heading5"/>
      </w:pPr>
      <w:r w:rsidRPr="00A669E9">
        <w:t>GS-US-292-0104</w:t>
      </w:r>
    </w:p>
    <w:p w:rsidR="00A669E9" w:rsidRPr="005128F6" w:rsidRDefault="00A669E9" w:rsidP="00A669E9">
      <w:r w:rsidRPr="005128F6">
        <w:t xml:space="preserve">The duration of exposure to study drugs was similar between the 2 treatment groups. Median (Q1, Q3) exposure was as follows: E/C/F/TAF 60.0 weeks (48.0, 71.3); </w:t>
      </w:r>
      <w:r w:rsidR="00057BBC">
        <w:t>Stribild</w:t>
      </w:r>
      <w:r w:rsidRPr="005128F6">
        <w:t xml:space="preserve"> 59.4 weeks (48.0, 65.1). The majority of subjects in each treatment group had received study drugs for ≥ 48 weeks at the time of the Week 48 data cut date (E/C/F/TAF 78.9%, 343 subjects; </w:t>
      </w:r>
      <w:r w:rsidR="00057BBC">
        <w:t>Stribild</w:t>
      </w:r>
      <w:r w:rsidRPr="005128F6">
        <w:t xml:space="preserve"> 76.6%, 331 subjects). There was no statistically significant difference between groups in the overall </w:t>
      </w:r>
      <w:r w:rsidR="004672FA" w:rsidRPr="004672FA">
        <w:t>Kaplan-Meier</w:t>
      </w:r>
      <w:r w:rsidR="004672FA">
        <w:t xml:space="preserve"> (</w:t>
      </w:r>
      <w:r w:rsidRPr="005128F6">
        <w:t>KM</w:t>
      </w:r>
      <w:r w:rsidR="004672FA">
        <w:t>)</w:t>
      </w:r>
      <w:r w:rsidRPr="005128F6">
        <w:t xml:space="preserve"> estimate of time to premature discontinuation.</w:t>
      </w:r>
    </w:p>
    <w:p w:rsidR="00A669E9" w:rsidRPr="005128F6" w:rsidRDefault="00A669E9" w:rsidP="00A669E9">
      <w:pPr>
        <w:pStyle w:val="Tabletitle0"/>
      </w:pPr>
      <w:bookmarkStart w:id="116" w:name="_Toc296947891"/>
      <w:r w:rsidRPr="005128F6">
        <w:t>Table</w:t>
      </w:r>
      <w:r w:rsidR="004672FA">
        <w:t xml:space="preserve"> </w:t>
      </w:r>
      <w:r>
        <w:t>9</w:t>
      </w:r>
      <w:r w:rsidRPr="005128F6">
        <w:t>. GS-US-292-0104: Duration of exposure to study drug (safety analysis set)</w:t>
      </w:r>
      <w:bookmarkEnd w:id="116"/>
    </w:p>
    <w:p w:rsidR="00A669E9" w:rsidRDefault="00A669E9" w:rsidP="00A669E9">
      <w:r>
        <w:rPr>
          <w:noProof/>
          <w:lang w:eastAsia="en-AU"/>
        </w:rPr>
        <w:drawing>
          <wp:inline distT="0" distB="0" distL="0" distR="0" wp14:anchorId="345509B5" wp14:editId="3D6230E2">
            <wp:extent cx="5400040" cy="4444071"/>
            <wp:effectExtent l="0" t="0" r="0" b="0"/>
            <wp:docPr id="15" name="Picture 15" descr="Table 9. GS-US-292-0104: Duration of exposure to study drug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4444071"/>
                    </a:xfrm>
                    <a:prstGeom prst="rect">
                      <a:avLst/>
                    </a:prstGeom>
                  </pic:spPr>
                </pic:pic>
              </a:graphicData>
            </a:graphic>
          </wp:inline>
        </w:drawing>
      </w:r>
    </w:p>
    <w:p w:rsidR="00A669E9" w:rsidRDefault="00A669E9" w:rsidP="00A669E9">
      <w:pPr>
        <w:pStyle w:val="Heading5"/>
      </w:pPr>
      <w:r w:rsidRPr="00A669E9">
        <w:t>GS-US-292-0111</w:t>
      </w:r>
    </w:p>
    <w:p w:rsidR="00A669E9" w:rsidRPr="005128F6" w:rsidRDefault="00A669E9" w:rsidP="00A669E9">
      <w:r w:rsidRPr="005128F6">
        <w:t xml:space="preserve">The duration of exposure to study drug was similar between </w:t>
      </w:r>
      <w:r w:rsidR="004672FA">
        <w:t>the 2 treatment groups (Table 1</w:t>
      </w:r>
      <w:r>
        <w:t>0</w:t>
      </w:r>
      <w:r w:rsidRPr="005128F6">
        <w:t xml:space="preserve">). Median (Q1, Q3) exposure was as follows: E/C/F/TAF 48.1 weeks (45.4, 60.1); </w:t>
      </w:r>
      <w:r w:rsidR="00057BBC">
        <w:t>Stribild</w:t>
      </w:r>
      <w:r w:rsidRPr="005128F6">
        <w:t xml:space="preserve"> 48.3 weeks (44.4, 60.1). However, the distributions of time to premature discontinuation of study drug between the treatment groups as measured by the KM estimates were different, mainly due to more subjects discontinuing study drug in the </w:t>
      </w:r>
      <w:r w:rsidR="00057BBC">
        <w:t>Stribild</w:t>
      </w:r>
      <w:r w:rsidRPr="005128F6">
        <w:t xml:space="preserve"> group (p = 0.04).</w:t>
      </w:r>
    </w:p>
    <w:p w:rsidR="00A669E9" w:rsidRPr="00A669E9" w:rsidRDefault="004672FA" w:rsidP="00A669E9">
      <w:pPr>
        <w:pStyle w:val="Tabletitle0"/>
      </w:pPr>
      <w:bookmarkStart w:id="117" w:name="_Toc296947892"/>
      <w:r>
        <w:lastRenderedPageBreak/>
        <w:t>Table 1</w:t>
      </w:r>
      <w:r w:rsidR="00A669E9" w:rsidRPr="00A669E9">
        <w:t>0. GS-US-292-0111: Duration of exposure to study drug (safety analysis set)</w:t>
      </w:r>
      <w:bookmarkEnd w:id="117"/>
    </w:p>
    <w:p w:rsidR="00A669E9" w:rsidRPr="00A669E9" w:rsidRDefault="00A669E9" w:rsidP="00A669E9">
      <w:r>
        <w:rPr>
          <w:noProof/>
          <w:lang w:eastAsia="en-AU"/>
        </w:rPr>
        <w:drawing>
          <wp:inline distT="0" distB="0" distL="0" distR="0" wp14:anchorId="7AFA168E" wp14:editId="67403839">
            <wp:extent cx="5400040" cy="4394456"/>
            <wp:effectExtent l="0" t="0" r="0" b="6350"/>
            <wp:docPr id="16" name="Picture 16" descr="Table 10. GS-US-292-0111: Duration of exposure to study drug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4394456"/>
                    </a:xfrm>
                    <a:prstGeom prst="rect">
                      <a:avLst/>
                    </a:prstGeom>
                  </pic:spPr>
                </pic:pic>
              </a:graphicData>
            </a:graphic>
          </wp:inline>
        </w:drawing>
      </w:r>
    </w:p>
    <w:p w:rsidR="00605AD4" w:rsidRDefault="00605AD4" w:rsidP="00605AD4">
      <w:pPr>
        <w:pStyle w:val="Heading4"/>
      </w:pPr>
      <w:r w:rsidRPr="00605AD4">
        <w:t>Safety issues with the potential for major regulatory impact</w:t>
      </w:r>
    </w:p>
    <w:p w:rsidR="0028794E" w:rsidRPr="00783BE4" w:rsidRDefault="0028794E" w:rsidP="0028794E">
      <w:r w:rsidRPr="00783BE4">
        <w:t>The primary safety analyses for these studies focussed on re</w:t>
      </w:r>
      <w:r>
        <w:t xml:space="preserve">nal and bone mineral toxicity. </w:t>
      </w:r>
      <w:r w:rsidRPr="00783BE4">
        <w:t xml:space="preserve">The primary safety outcomes were specified as hip </w:t>
      </w:r>
      <w:r w:rsidR="002A25DD" w:rsidRPr="002A25DD">
        <w:t xml:space="preserve">bone mineral density </w:t>
      </w:r>
      <w:r w:rsidR="002A25DD">
        <w:t>(</w:t>
      </w:r>
      <w:r w:rsidRPr="00783BE4">
        <w:t>BMD</w:t>
      </w:r>
      <w:r w:rsidR="002A25DD">
        <w:t>)</w:t>
      </w:r>
      <w:r w:rsidRPr="00783BE4">
        <w:t>; spine BMD, serum creatinine and trea</w:t>
      </w:r>
      <w:r>
        <w:t>tment emergent proteinuria.</w:t>
      </w:r>
    </w:p>
    <w:p w:rsidR="00A669E9" w:rsidRPr="00A669E9" w:rsidRDefault="0028794E" w:rsidP="00A669E9">
      <w:r>
        <w:t>For a full evaluation of the results of the studies see Attachment 2.</w:t>
      </w:r>
    </w:p>
    <w:p w:rsidR="00605AD4" w:rsidRDefault="00605AD4" w:rsidP="00605AD4">
      <w:pPr>
        <w:pStyle w:val="Heading4"/>
      </w:pPr>
      <w:r w:rsidRPr="00605AD4">
        <w:t>Post</w:t>
      </w:r>
      <w:r w:rsidR="00CF7B39">
        <w:t>-</w:t>
      </w:r>
      <w:r w:rsidRPr="00605AD4">
        <w:t>marketing data</w:t>
      </w:r>
    </w:p>
    <w:p w:rsidR="003864CC" w:rsidRPr="003864CC" w:rsidRDefault="003864CC" w:rsidP="003864CC">
      <w:r w:rsidRPr="00233151">
        <w:t>There is no post-marketing experience as this FDC is not av</w:t>
      </w:r>
      <w:r>
        <w:t>ailable in any market globally.</w:t>
      </w:r>
    </w:p>
    <w:p w:rsidR="00605AD4" w:rsidRPr="00605AD4" w:rsidRDefault="00605AD4" w:rsidP="00605AD4">
      <w:pPr>
        <w:pStyle w:val="Heading4"/>
      </w:pPr>
      <w:r w:rsidRPr="00605AD4">
        <w:t>Evaluator’s conclusions on safety</w:t>
      </w:r>
    </w:p>
    <w:p w:rsidR="003864CC" w:rsidRPr="003864CC" w:rsidRDefault="003864CC" w:rsidP="003864CC">
      <w:r w:rsidRPr="003864CC">
        <w:t>Statistically significant differences</w:t>
      </w:r>
      <w:r w:rsidR="00CA65A1">
        <w:t xml:space="preserve"> </w:t>
      </w:r>
      <w:r w:rsidRPr="003864CC">
        <w:t xml:space="preserve">favouring E/C/F/TAF over </w:t>
      </w:r>
      <w:r w:rsidR="00057BBC">
        <w:t>Stribild</w:t>
      </w:r>
      <w:r w:rsidRPr="003864CC">
        <w:t xml:space="preserve"> or TDF containing regimens were observed at Week 48 for all key secondary safety endpoints in both ART </w:t>
      </w:r>
      <w:r w:rsidR="00AD043A">
        <w:t>naive</w:t>
      </w:r>
      <w:r w:rsidRPr="003864CC">
        <w:t xml:space="preserve"> and virologically suppressed subjects: mean percentage changes from baseline in hip BMD (p &lt; 0.001 for both ART naive and virologically suppressed subjects) and spine BMD (p &lt; 0.001 for both ART naive and virologically suppressed subjects), mean change from baseline in serum creatinine (p &lt; 0.001 for both ART naive and virologically suppressed subjects), change from baseline in treatment emergent proteinuria (ART naive subjects, p = 0.022), and change from baseline in EFV related symptom assessment composite score (virologically suppressed subjects; p &lt; 0.001).</w:t>
      </w:r>
    </w:p>
    <w:p w:rsidR="003864CC" w:rsidRPr="003864CC" w:rsidRDefault="003864CC" w:rsidP="003864CC">
      <w:r w:rsidRPr="003864CC">
        <w:t xml:space="preserve">The clinical relevance of improving BMD is unquestionable in terms of potentially reducing fractures. It is not possible to determine if the 48 week follow-up period is long </w:t>
      </w:r>
      <w:r w:rsidRPr="003864CC">
        <w:lastRenderedPageBreak/>
        <w:t>enough. However statistically significant differences between Genvoya and Stribild were observed by 48 weeks. There is no reason to assume these differences will be reduced following longer term observation as the pharmacokinetics of TDF and TAF should remain consistent.</w:t>
      </w:r>
    </w:p>
    <w:p w:rsidR="003864CC" w:rsidRPr="003864CC" w:rsidRDefault="003864CC" w:rsidP="003864CC">
      <w:r w:rsidRPr="003864CC">
        <w:t>There appears to be a positive benefit of Genvoya in terms of renal toxicity, compared with Stribild and also when patients were switch to Genvoya from a TDF containing regimen. There were no untoward adverse reactions to Genvoya, in cohorts of either naive or treatment experienced patients. There were no untoward AEs or SAEs in adolescents or patients who had baseline mild to moderate renal impairment.</w:t>
      </w:r>
    </w:p>
    <w:p w:rsidR="00605AD4" w:rsidRPr="00605AD4" w:rsidRDefault="003864CC" w:rsidP="00605AD4">
      <w:r w:rsidRPr="003864CC">
        <w:t>The overall safety profile of Genvoya is a significant improvement over the safety profile of Stribild.</w:t>
      </w:r>
    </w:p>
    <w:p w:rsidR="00605AD4" w:rsidRPr="00605AD4" w:rsidRDefault="00692EBC" w:rsidP="00692EBC">
      <w:pPr>
        <w:pStyle w:val="Heading3"/>
        <w:rPr>
          <w:rFonts w:eastAsia="Cambria"/>
        </w:rPr>
      </w:pPr>
      <w:bookmarkStart w:id="118" w:name="_Toc455474500"/>
      <w:r>
        <w:rPr>
          <w:rFonts w:eastAsia="Cambria"/>
        </w:rPr>
        <w:t>First r</w:t>
      </w:r>
      <w:r w:rsidR="00605AD4" w:rsidRPr="00605AD4">
        <w:rPr>
          <w:rFonts w:eastAsia="Cambria"/>
        </w:rPr>
        <w:t xml:space="preserve">ound </w:t>
      </w:r>
      <w:r>
        <w:rPr>
          <w:rFonts w:eastAsia="Cambria"/>
        </w:rPr>
        <w:t>b</w:t>
      </w:r>
      <w:r w:rsidR="00605AD4" w:rsidRPr="00605AD4">
        <w:rPr>
          <w:rFonts w:eastAsia="Cambria"/>
        </w:rPr>
        <w:t>enefit-</w:t>
      </w:r>
      <w:r>
        <w:rPr>
          <w:rFonts w:eastAsia="Cambria"/>
        </w:rPr>
        <w:t>r</w:t>
      </w:r>
      <w:r w:rsidR="00605AD4" w:rsidRPr="00605AD4">
        <w:rPr>
          <w:rFonts w:eastAsia="Cambria"/>
        </w:rPr>
        <w:t xml:space="preserve">isk </w:t>
      </w:r>
      <w:r>
        <w:rPr>
          <w:rFonts w:eastAsia="Cambria"/>
        </w:rPr>
        <w:t>a</w:t>
      </w:r>
      <w:r w:rsidR="00605AD4" w:rsidRPr="00605AD4">
        <w:rPr>
          <w:rFonts w:eastAsia="Cambria"/>
        </w:rPr>
        <w:t>ssessment</w:t>
      </w:r>
      <w:bookmarkEnd w:id="118"/>
    </w:p>
    <w:p w:rsidR="00605AD4" w:rsidRDefault="00605AD4" w:rsidP="00692EBC">
      <w:pPr>
        <w:pStyle w:val="Heading4"/>
      </w:pPr>
      <w:r w:rsidRPr="00605AD4">
        <w:t>First round assessment of benefits</w:t>
      </w:r>
    </w:p>
    <w:p w:rsidR="003864CC" w:rsidRPr="003864CC" w:rsidRDefault="003864CC" w:rsidP="00692EBC">
      <w:r w:rsidRPr="003864CC">
        <w:t>The benefits of Genvoya in the proposed usage are:</w:t>
      </w:r>
    </w:p>
    <w:p w:rsidR="003864CC" w:rsidRPr="003864CC" w:rsidRDefault="003864CC" w:rsidP="003864CC">
      <w:pPr>
        <w:pStyle w:val="ListBullet"/>
      </w:pPr>
      <w:r w:rsidRPr="003864CC">
        <w:t>Higher treatment response rate with Genvoya (92.4%) compared with the currently approved Stribild (90.4%). This confirmed equivalence</w:t>
      </w:r>
    </w:p>
    <w:p w:rsidR="003864CC" w:rsidRPr="003864CC" w:rsidRDefault="003864CC" w:rsidP="003864CC">
      <w:pPr>
        <w:pStyle w:val="ListBullet"/>
      </w:pPr>
      <w:r w:rsidRPr="003864CC">
        <w:t>Significant reduction in loss of bone density in Genvoya cohort compared with the Stribild cohort</w:t>
      </w:r>
      <w:r w:rsidR="0028794E">
        <w:t>.</w:t>
      </w:r>
    </w:p>
    <w:p w:rsidR="003864CC" w:rsidRPr="003864CC" w:rsidRDefault="00CF7B39" w:rsidP="003864CC">
      <w:pPr>
        <w:pStyle w:val="FigureTitle"/>
      </w:pPr>
      <w:r>
        <w:t>Figure 7</w:t>
      </w:r>
      <w:r w:rsidR="003864CC" w:rsidRPr="003864CC">
        <w:t>. Comparison bone density loss; Genvoya compared with Stribild</w:t>
      </w:r>
    </w:p>
    <w:p w:rsidR="003864CC" w:rsidRDefault="00537C81" w:rsidP="003864CC">
      <w:r>
        <w:rPr>
          <w:noProof/>
          <w:lang w:eastAsia="en-AU"/>
        </w:rPr>
        <w:drawing>
          <wp:inline distT="0" distB="0" distL="0" distR="0" wp14:anchorId="25B9DF77" wp14:editId="66BE9C43">
            <wp:extent cx="5400040" cy="2266748"/>
            <wp:effectExtent l="0" t="0" r="0" b="635"/>
            <wp:docPr id="12" name="Picture 12" descr="Figure 7. Comparison bone density loss; Genvoya compared with Stri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2266748"/>
                    </a:xfrm>
                    <a:prstGeom prst="rect">
                      <a:avLst/>
                    </a:prstGeom>
                  </pic:spPr>
                </pic:pic>
              </a:graphicData>
            </a:graphic>
          </wp:inline>
        </w:drawing>
      </w:r>
    </w:p>
    <w:p w:rsidR="00537C81" w:rsidRPr="00537C81" w:rsidRDefault="00537C81" w:rsidP="00537C81">
      <w:pPr>
        <w:pStyle w:val="ListBullet"/>
      </w:pPr>
      <w:r w:rsidRPr="00537C81">
        <w:t>This reduction in bone loss was apparent in both hip and spine DEXA scans</w:t>
      </w:r>
    </w:p>
    <w:p w:rsidR="00537C81" w:rsidRPr="00537C81" w:rsidRDefault="00537C81" w:rsidP="00537C81">
      <w:pPr>
        <w:pStyle w:val="ListBullet"/>
      </w:pPr>
      <w:r w:rsidRPr="00537C81">
        <w:t>Improvement and reversal in bone loss and reduction of laboratory markers of bone resorption in patients switched from E/C/F/TDF to E/C/F/TAF</w:t>
      </w:r>
    </w:p>
    <w:p w:rsidR="00537C81" w:rsidRPr="00537C81" w:rsidRDefault="00537C81" w:rsidP="00537C81">
      <w:pPr>
        <w:pStyle w:val="ListBullet"/>
      </w:pPr>
      <w:r w:rsidRPr="00537C81">
        <w:t>Bone density loss was reduced in E/C/F/TAF cohorts of patients who had baseline mild to moderate renal impairment</w:t>
      </w:r>
    </w:p>
    <w:p w:rsidR="00537C81" w:rsidRPr="00537C81" w:rsidRDefault="00537C81" w:rsidP="00537C81">
      <w:pPr>
        <w:pStyle w:val="ListBullet"/>
      </w:pPr>
      <w:r w:rsidRPr="00537C81">
        <w:t>No additional adverse reactions for Genvoya compared with the approved Stribild. Low level of drug discontinuation due the study medication and equal between Genvoya and Stribild (8:0.9% versus. 13: 1.5%). No SAEs resulting in death were related to study medications</w:t>
      </w:r>
    </w:p>
    <w:p w:rsidR="00537C81" w:rsidRPr="00537C81" w:rsidRDefault="00537C81" w:rsidP="00537C81">
      <w:pPr>
        <w:pStyle w:val="ListBullet"/>
      </w:pPr>
      <w:r w:rsidRPr="00537C81">
        <w:t>Renal toxicity observed with Stribild, not found with Genvoya as shown by significantly reduced parameters of renal toxicity in the E/C/F/TAF group compared with the E/C/F/TDF group</w:t>
      </w:r>
    </w:p>
    <w:p w:rsidR="00537C81" w:rsidRPr="0008299E" w:rsidRDefault="00537C81" w:rsidP="00537C81">
      <w:pPr>
        <w:pStyle w:val="FigureTitle"/>
      </w:pPr>
      <w:bookmarkStart w:id="119" w:name="_Toc296947937"/>
      <w:r w:rsidRPr="0008299E">
        <w:lastRenderedPageBreak/>
        <w:t xml:space="preserve">Figure </w:t>
      </w:r>
      <w:r w:rsidR="00CF7B39">
        <w:t>8</w:t>
      </w:r>
      <w:r>
        <w:t xml:space="preserve">. </w:t>
      </w:r>
      <w:r w:rsidRPr="0008299E">
        <w:t>Parameter</w:t>
      </w:r>
      <w:r>
        <w:t>s of renal toxicity;</w:t>
      </w:r>
      <w:r w:rsidRPr="0008299E">
        <w:t xml:space="preserve"> Genvoya compared with Stribild</w:t>
      </w:r>
      <w:bookmarkEnd w:id="119"/>
    </w:p>
    <w:p w:rsidR="00537C81" w:rsidRDefault="00537C81" w:rsidP="00537C81">
      <w:r>
        <w:rPr>
          <w:noProof/>
          <w:lang w:eastAsia="en-AU"/>
        </w:rPr>
        <w:drawing>
          <wp:inline distT="0" distB="0" distL="0" distR="0" wp14:anchorId="397DB3D8" wp14:editId="266948D3">
            <wp:extent cx="5003596" cy="3482204"/>
            <wp:effectExtent l="0" t="0" r="6985" b="4445"/>
            <wp:docPr id="13" name="Picture 13" descr="Figure 8. Parameters of renal toxicity; Genvoya compared with Stri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04915" cy="3483122"/>
                    </a:xfrm>
                    <a:prstGeom prst="rect">
                      <a:avLst/>
                    </a:prstGeom>
                  </pic:spPr>
                </pic:pic>
              </a:graphicData>
            </a:graphic>
          </wp:inline>
        </w:drawing>
      </w:r>
    </w:p>
    <w:p w:rsidR="00537C81" w:rsidRPr="00537C81" w:rsidRDefault="00537C81" w:rsidP="00537C81">
      <w:pPr>
        <w:pStyle w:val="ListBullet"/>
      </w:pPr>
      <w:r w:rsidRPr="00537C81">
        <w:t>Improvement in parameters of renal function in cohort of E/C/F/TDF group when switched to E/C/F/TAF</w:t>
      </w:r>
    </w:p>
    <w:p w:rsidR="00537C81" w:rsidRPr="00537C81" w:rsidRDefault="00537C81" w:rsidP="00537C81">
      <w:pPr>
        <w:pStyle w:val="ListBullet"/>
      </w:pPr>
      <w:r w:rsidRPr="00537C81">
        <w:t>Fractures were not common in either comparative groups and not related to study medication as almost all were due to trauma</w:t>
      </w:r>
    </w:p>
    <w:p w:rsidR="00537C81" w:rsidRPr="00537C81" w:rsidRDefault="00794B10" w:rsidP="00537C81">
      <w:pPr>
        <w:pStyle w:val="ListBullet"/>
      </w:pPr>
      <w:r w:rsidRPr="00537C81">
        <w:t>Non-significant</w:t>
      </w:r>
      <w:r w:rsidR="00537C81" w:rsidRPr="00537C81">
        <w:t xml:space="preserve"> increases in blood lipids noted in the E/C/F/TAF group compared with the E/C/F/TDF group.</w:t>
      </w:r>
    </w:p>
    <w:p w:rsidR="00605AD4" w:rsidRDefault="00605AD4" w:rsidP="00605AD4">
      <w:pPr>
        <w:pStyle w:val="Heading4"/>
      </w:pPr>
      <w:r w:rsidRPr="00605AD4">
        <w:t>First round assessment of risks</w:t>
      </w:r>
    </w:p>
    <w:p w:rsidR="00537C81" w:rsidRPr="00537C81" w:rsidRDefault="00537C81" w:rsidP="00537C81">
      <w:r w:rsidRPr="00537C81">
        <w:t>The risks of Genvoya in the proposed usage are:</w:t>
      </w:r>
    </w:p>
    <w:p w:rsidR="00537C81" w:rsidRPr="00537C81" w:rsidRDefault="00537C81" w:rsidP="00537C81">
      <w:pPr>
        <w:pStyle w:val="ListBullet"/>
      </w:pPr>
      <w:r w:rsidRPr="00537C81">
        <w:t>That the apparent improvement in bone density observed in this submission did not include a substantial number of elderly men and post-menopausal women. This is understandable, given the epidemiology and demography of the HIV-1 infected populations in the study countries. It is these populations who are at most risk of have bone density problems when taking life-long HIV-1 therapies. The sponsor may be requested to maintain a post-marketing strategy to determine if the bone density advantages of Genvoya are sustained over the long term</w:t>
      </w:r>
    </w:p>
    <w:p w:rsidR="00537C81" w:rsidRPr="00537C81" w:rsidRDefault="00537C81" w:rsidP="00537C81">
      <w:pPr>
        <w:pStyle w:val="ListBullet"/>
      </w:pPr>
      <w:r w:rsidRPr="00537C81">
        <w:t>The proportion of patients with advanced HIV-1 disease was small in all studies, although because the overall cohort numbers were large, the actual number of patients appears reasonable. The sponsor will need to investigate the efficacy and safety of E/C/F/TAF in patients with advanced disease to determine if Genvoya is effective and safe for this cohort, as it appears to be from sub analysis of the submitted studies.</w:t>
      </w:r>
    </w:p>
    <w:p w:rsidR="00605AD4" w:rsidRPr="00605AD4" w:rsidRDefault="00605AD4" w:rsidP="00605AD4">
      <w:pPr>
        <w:pStyle w:val="Heading4"/>
      </w:pPr>
      <w:r w:rsidRPr="00605AD4">
        <w:t>First round assessment of benefit-risk balance</w:t>
      </w:r>
    </w:p>
    <w:p w:rsidR="00605AD4" w:rsidRPr="00605AD4" w:rsidRDefault="00537C81" w:rsidP="00605AD4">
      <w:r w:rsidRPr="0008299E">
        <w:t>The benefit-risk balance of Genvoya, given the proposed usage, is favourable.</w:t>
      </w:r>
    </w:p>
    <w:p w:rsidR="00605AD4" w:rsidRPr="00605AD4" w:rsidRDefault="00692EBC" w:rsidP="00692EBC">
      <w:pPr>
        <w:pStyle w:val="Heading3"/>
        <w:rPr>
          <w:rFonts w:eastAsia="Cambria"/>
        </w:rPr>
      </w:pPr>
      <w:bookmarkStart w:id="120" w:name="_Toc455474501"/>
      <w:r>
        <w:rPr>
          <w:rFonts w:eastAsia="Cambria"/>
        </w:rPr>
        <w:lastRenderedPageBreak/>
        <w:t>First r</w:t>
      </w:r>
      <w:r w:rsidR="00605AD4" w:rsidRPr="00605AD4">
        <w:rPr>
          <w:rFonts w:eastAsia="Cambria"/>
        </w:rPr>
        <w:t xml:space="preserve">ound </w:t>
      </w:r>
      <w:r>
        <w:rPr>
          <w:rFonts w:eastAsia="Cambria"/>
        </w:rPr>
        <w:t>r</w:t>
      </w:r>
      <w:r w:rsidR="00605AD4" w:rsidRPr="00605AD4">
        <w:rPr>
          <w:rFonts w:eastAsia="Cambria"/>
        </w:rPr>
        <w:t xml:space="preserve">ecommendation </w:t>
      </w:r>
      <w:r>
        <w:rPr>
          <w:rFonts w:eastAsia="Cambria"/>
        </w:rPr>
        <w:t>r</w:t>
      </w:r>
      <w:r w:rsidR="00605AD4" w:rsidRPr="00605AD4">
        <w:rPr>
          <w:rFonts w:eastAsia="Cambria"/>
        </w:rPr>
        <w:t xml:space="preserve">egarding </w:t>
      </w:r>
      <w:r>
        <w:rPr>
          <w:rFonts w:eastAsia="Cambria"/>
        </w:rPr>
        <w:t>a</w:t>
      </w:r>
      <w:r w:rsidR="00605AD4" w:rsidRPr="00605AD4">
        <w:rPr>
          <w:rFonts w:eastAsia="Cambria"/>
        </w:rPr>
        <w:t>uthorisation</w:t>
      </w:r>
      <w:bookmarkEnd w:id="120"/>
    </w:p>
    <w:p w:rsidR="00537C81" w:rsidRPr="0008299E" w:rsidRDefault="00537C81" w:rsidP="00537C81">
      <w:r>
        <w:t>Genvoya</w:t>
      </w:r>
      <w:r w:rsidRPr="0008299E">
        <w:t xml:space="preserve"> is indicated for the treatment of HIV-1 infection in adults and paediatric patients 12 years of age and older without any known mutations associated with resistance to the individual components of </w:t>
      </w:r>
      <w:r>
        <w:t>Genvoya</w:t>
      </w:r>
      <w:r w:rsidR="004672FA">
        <w:t>.</w:t>
      </w:r>
    </w:p>
    <w:p w:rsidR="00605AD4" w:rsidRPr="00605AD4" w:rsidRDefault="00537C81" w:rsidP="00605AD4">
      <w:r w:rsidRPr="0008299E">
        <w:t>It is recommended that authorisation is approved for Genvoya.</w:t>
      </w:r>
    </w:p>
    <w:p w:rsidR="00605AD4" w:rsidRPr="00605AD4" w:rsidRDefault="00605AD4" w:rsidP="00692EBC">
      <w:pPr>
        <w:pStyle w:val="Heading3"/>
        <w:rPr>
          <w:rFonts w:eastAsia="Cambria"/>
        </w:rPr>
      </w:pPr>
      <w:bookmarkStart w:id="121" w:name="_Toc455474502"/>
      <w:r w:rsidRPr="00605AD4">
        <w:rPr>
          <w:rFonts w:eastAsia="Cambria"/>
        </w:rPr>
        <w:t xml:space="preserve">Clinical </w:t>
      </w:r>
      <w:r w:rsidR="00692EBC">
        <w:rPr>
          <w:rFonts w:eastAsia="Cambria"/>
        </w:rPr>
        <w:t>q</w:t>
      </w:r>
      <w:r w:rsidRPr="00605AD4">
        <w:rPr>
          <w:rFonts w:eastAsia="Cambria"/>
        </w:rPr>
        <w:t>uestions</w:t>
      </w:r>
      <w:bookmarkEnd w:id="121"/>
    </w:p>
    <w:p w:rsidR="00605AD4" w:rsidRPr="00605AD4" w:rsidRDefault="004A0AAE" w:rsidP="00546154">
      <w:pPr>
        <w:rPr>
          <w:lang w:eastAsia="ja-JP"/>
        </w:rPr>
      </w:pPr>
      <w:r>
        <w:rPr>
          <w:lang w:eastAsia="ja-JP"/>
        </w:rPr>
        <w:t>No clinical questions were raised</w:t>
      </w:r>
      <w:r w:rsidR="004672FA">
        <w:rPr>
          <w:lang w:eastAsia="ja-JP"/>
        </w:rPr>
        <w:t>.</w:t>
      </w:r>
    </w:p>
    <w:p w:rsidR="008E7846" w:rsidRPr="00E41208" w:rsidRDefault="008E7846" w:rsidP="00692EBC">
      <w:pPr>
        <w:pStyle w:val="Heading2"/>
      </w:pPr>
      <w:bookmarkStart w:id="122" w:name="_Toc455474503"/>
      <w:r w:rsidRPr="00E41208">
        <w:t xml:space="preserve">V. Pharmacovigilance </w:t>
      </w:r>
      <w:r>
        <w:t>f</w:t>
      </w:r>
      <w:r w:rsidRPr="00E41208">
        <w:t>indings</w:t>
      </w:r>
      <w:bookmarkEnd w:id="105"/>
      <w:bookmarkEnd w:id="106"/>
      <w:bookmarkEnd w:id="122"/>
    </w:p>
    <w:p w:rsidR="008E7846" w:rsidRDefault="00386150" w:rsidP="00692EBC">
      <w:pPr>
        <w:pStyle w:val="Heading3"/>
        <w:rPr>
          <w:lang w:eastAsia="en-AU"/>
        </w:rPr>
      </w:pPr>
      <w:bookmarkStart w:id="123" w:name="_Toc247691526"/>
      <w:bookmarkStart w:id="124" w:name="_Toc314842509"/>
      <w:bookmarkStart w:id="125" w:name="_Toc455474504"/>
      <w:r>
        <w:rPr>
          <w:lang w:eastAsia="en-AU"/>
        </w:rPr>
        <w:t>Risk m</w:t>
      </w:r>
      <w:r w:rsidR="008E7846">
        <w:rPr>
          <w:lang w:eastAsia="en-AU"/>
        </w:rPr>
        <w:t xml:space="preserve">anagement </w:t>
      </w:r>
      <w:r>
        <w:rPr>
          <w:lang w:eastAsia="en-AU"/>
        </w:rPr>
        <w:t>p</w:t>
      </w:r>
      <w:r w:rsidR="008E7846">
        <w:rPr>
          <w:lang w:eastAsia="en-AU"/>
        </w:rPr>
        <w:t>lan</w:t>
      </w:r>
      <w:bookmarkEnd w:id="123"/>
      <w:bookmarkEnd w:id="124"/>
      <w:bookmarkEnd w:id="125"/>
    </w:p>
    <w:p w:rsidR="008E7846" w:rsidRDefault="008E7846" w:rsidP="008E7846">
      <w:pPr>
        <w:rPr>
          <w:lang w:eastAsia="en-AU"/>
        </w:rPr>
      </w:pPr>
      <w:r>
        <w:rPr>
          <w:lang w:eastAsia="en-AU"/>
        </w:rPr>
        <w:t xml:space="preserve">The sponsor submitted a Risk Management </w:t>
      </w:r>
      <w:r w:rsidRPr="009A2025">
        <w:t>Plan</w:t>
      </w:r>
      <w:r w:rsidR="006F25B8" w:rsidRPr="009A2025">
        <w:t xml:space="preserve"> </w:t>
      </w:r>
      <w:r w:rsidR="009A2025" w:rsidRPr="009A2025">
        <w:rPr>
          <w:lang w:eastAsia="en-AU"/>
        </w:rPr>
        <w:t xml:space="preserve">EU-RMP (Version: 0.1, dated 10 November 2014) with an Australian Specific Annex (ASA) as Annex 13 (undated) </w:t>
      </w:r>
      <w:r>
        <w:rPr>
          <w:lang w:eastAsia="en-AU"/>
        </w:rPr>
        <w:t xml:space="preserve">which was reviewed by the </w:t>
      </w:r>
      <w:r w:rsidR="00FC1FCA">
        <w:rPr>
          <w:lang w:eastAsia="en-AU"/>
        </w:rPr>
        <w:t>RMP evaluator.</w:t>
      </w:r>
    </w:p>
    <w:p w:rsidR="008E7846" w:rsidRDefault="003A7F6C" w:rsidP="00692EBC">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CF7B39">
        <w:rPr>
          <w:lang w:eastAsia="en-AU"/>
        </w:rPr>
        <w:t>11.</w:t>
      </w:r>
    </w:p>
    <w:p w:rsidR="00CF7B39" w:rsidRDefault="00CF7B39" w:rsidP="00CF7B39">
      <w:pPr>
        <w:pStyle w:val="Tabletitle0"/>
        <w:rPr>
          <w:lang w:eastAsia="en-AU"/>
        </w:rPr>
      </w:pPr>
      <w:r>
        <w:rPr>
          <w:lang w:eastAsia="en-AU"/>
        </w:rPr>
        <w:t>Table 11. Summary of ongoing safety concerns for Genvoya.</w:t>
      </w:r>
    </w:p>
    <w:tbl>
      <w:tblPr>
        <w:tblStyle w:val="TableTGAblue"/>
        <w:tblW w:w="0" w:type="auto"/>
        <w:tblLook w:val="04A0" w:firstRow="1" w:lastRow="0" w:firstColumn="1" w:lastColumn="0" w:noHBand="0" w:noVBand="1"/>
      </w:tblPr>
      <w:tblGrid>
        <w:gridCol w:w="3369"/>
        <w:gridCol w:w="5351"/>
      </w:tblGrid>
      <w:tr w:rsidR="009A2025" w:rsidRPr="0028794E" w:rsidTr="0028794E">
        <w:trPr>
          <w:cnfStyle w:val="100000000000" w:firstRow="1" w:lastRow="0" w:firstColumn="0" w:lastColumn="0" w:oddVBand="0" w:evenVBand="0" w:oddHBand="0" w:evenHBand="0" w:firstRowFirstColumn="0" w:firstRowLastColumn="0" w:lastRowFirstColumn="0" w:lastRowLastColumn="0"/>
        </w:trPr>
        <w:tc>
          <w:tcPr>
            <w:tcW w:w="3369" w:type="dxa"/>
          </w:tcPr>
          <w:p w:rsidR="009A2025" w:rsidRPr="0028794E" w:rsidRDefault="00876607" w:rsidP="00692EBC">
            <w:r w:rsidRPr="0028794E">
              <w:t>Category</w:t>
            </w:r>
          </w:p>
        </w:tc>
        <w:tc>
          <w:tcPr>
            <w:tcW w:w="5351" w:type="dxa"/>
          </w:tcPr>
          <w:p w:rsidR="009A2025" w:rsidRPr="0028794E" w:rsidRDefault="00FB6375" w:rsidP="00692EBC">
            <w:r w:rsidRPr="0028794E">
              <w:t>Safety concerns</w:t>
            </w:r>
          </w:p>
        </w:tc>
      </w:tr>
      <w:tr w:rsidR="009A2025" w:rsidRPr="0028794E" w:rsidTr="0028794E">
        <w:tc>
          <w:tcPr>
            <w:tcW w:w="3369" w:type="dxa"/>
          </w:tcPr>
          <w:p w:rsidR="009A2025" w:rsidRPr="0028794E" w:rsidRDefault="00876607" w:rsidP="00692EBC">
            <w:r w:rsidRPr="0028794E">
              <w:t>Important identified risks</w:t>
            </w:r>
          </w:p>
        </w:tc>
        <w:tc>
          <w:tcPr>
            <w:tcW w:w="5351" w:type="dxa"/>
          </w:tcPr>
          <w:p w:rsidR="009A2025" w:rsidRPr="0028794E" w:rsidRDefault="00876607" w:rsidP="00692EBC">
            <w:r w:rsidRPr="0028794E">
              <w:t>Post treatment hepatic flares in HIV/HBV co infected patients</w:t>
            </w:r>
          </w:p>
        </w:tc>
      </w:tr>
      <w:tr w:rsidR="009A2025" w:rsidRPr="0028794E" w:rsidTr="0028794E">
        <w:tc>
          <w:tcPr>
            <w:tcW w:w="3369" w:type="dxa"/>
          </w:tcPr>
          <w:p w:rsidR="009A2025" w:rsidRPr="0028794E" w:rsidRDefault="00876607" w:rsidP="00692EBC">
            <w:r w:rsidRPr="0028794E">
              <w:t>Important potential risks</w:t>
            </w:r>
          </w:p>
        </w:tc>
        <w:tc>
          <w:tcPr>
            <w:tcW w:w="5351" w:type="dxa"/>
          </w:tcPr>
          <w:p w:rsidR="009A2025" w:rsidRPr="0028794E" w:rsidRDefault="00876607" w:rsidP="00692EBC">
            <w:r w:rsidRPr="0028794E">
              <w:t>Suicidal ideation/suicide attempt in patients with a pre-existing history of depression or psychiatric illness</w:t>
            </w:r>
          </w:p>
          <w:p w:rsidR="00876607" w:rsidRPr="0028794E" w:rsidRDefault="00876607" w:rsidP="00692EBC">
            <w:r w:rsidRPr="0028794E">
              <w:t>Concurrent use of drugs whose co administration with E/C/F/TAF is contraindicated</w:t>
            </w:r>
          </w:p>
        </w:tc>
      </w:tr>
      <w:tr w:rsidR="009A2025" w:rsidRPr="0028794E" w:rsidTr="0028794E">
        <w:tc>
          <w:tcPr>
            <w:tcW w:w="3369" w:type="dxa"/>
          </w:tcPr>
          <w:p w:rsidR="009A2025" w:rsidRPr="0028794E" w:rsidRDefault="00876607" w:rsidP="00692EBC">
            <w:r w:rsidRPr="0028794E">
              <w:t>Missing information</w:t>
            </w:r>
          </w:p>
        </w:tc>
        <w:tc>
          <w:tcPr>
            <w:tcW w:w="5351" w:type="dxa"/>
          </w:tcPr>
          <w:p w:rsidR="009A2025" w:rsidRPr="0028794E" w:rsidRDefault="00876607" w:rsidP="00692EBC">
            <w:r w:rsidRPr="0028794E">
              <w:t>Long term safety information in adults and adolescents</w:t>
            </w:r>
          </w:p>
          <w:p w:rsidR="00876607" w:rsidRPr="0028794E" w:rsidRDefault="00876607" w:rsidP="00692EBC">
            <w:r w:rsidRPr="0028794E">
              <w:t>Safety in children aged 6 to &lt; 12 years</w:t>
            </w:r>
          </w:p>
          <w:p w:rsidR="00876607" w:rsidRPr="0028794E" w:rsidRDefault="00876607" w:rsidP="00692EBC">
            <w:r w:rsidRPr="0028794E">
              <w:t>Safety in pregnancy</w:t>
            </w:r>
          </w:p>
          <w:p w:rsidR="00876607" w:rsidRPr="0028794E" w:rsidRDefault="00876607" w:rsidP="00692EBC">
            <w:r w:rsidRPr="0028794E">
              <w:t>Safety in lactation</w:t>
            </w:r>
          </w:p>
          <w:p w:rsidR="00876607" w:rsidRPr="0028794E" w:rsidRDefault="00876607" w:rsidP="00692EBC">
            <w:r w:rsidRPr="0028794E">
              <w:t>Safety in severe hepatic impairment (CPT score C)</w:t>
            </w:r>
          </w:p>
          <w:p w:rsidR="00876607" w:rsidRPr="0028794E" w:rsidRDefault="00876607" w:rsidP="00692EBC">
            <w:r w:rsidRPr="0028794E">
              <w:t>Safety in patients with cardiac conduction disorders</w:t>
            </w:r>
          </w:p>
          <w:p w:rsidR="00876607" w:rsidRPr="0028794E" w:rsidRDefault="00876607" w:rsidP="00692EBC">
            <w:r w:rsidRPr="0028794E">
              <w:t>Safety in patients with HBV or HCV co</w:t>
            </w:r>
            <w:r w:rsidR="00794B10">
              <w:t>-</w:t>
            </w:r>
            <w:r w:rsidRPr="0028794E">
              <w:t>infection</w:t>
            </w:r>
          </w:p>
        </w:tc>
      </w:tr>
    </w:tbl>
    <w:p w:rsidR="00876607" w:rsidRPr="00876607" w:rsidRDefault="00FB6375" w:rsidP="00FB6375">
      <w:pPr>
        <w:pStyle w:val="TableDescription"/>
      </w:pPr>
      <w:r>
        <w:t>CPT: Child-Pugh-Turcotte; HBV: hepatitis B virus; HCV: hepatitis C virus; HIV: human immunodeficiency virus</w:t>
      </w:r>
    </w:p>
    <w:p w:rsidR="00FB6375" w:rsidRDefault="00FB6375" w:rsidP="00FB6375">
      <w:r w:rsidRPr="00FB6375">
        <w:lastRenderedPageBreak/>
        <w:t xml:space="preserve">In Australia the accepted summary of the safety concerns and missing information for </w:t>
      </w:r>
      <w:r w:rsidR="00CA65A1">
        <w:t>Stribild</w:t>
      </w:r>
      <w:r w:rsidRPr="00FB6375">
        <w:t xml:space="preserve">, which contains a number of common active ingredients with </w:t>
      </w:r>
      <w:r w:rsidR="00CA65A1">
        <w:t>Genvoya</w:t>
      </w:r>
      <w:r w:rsidRPr="00FB6375">
        <w:t xml:space="preserve">, is </w:t>
      </w:r>
      <w:r w:rsidR="00CF7B39">
        <w:t>shown in Table 12.</w:t>
      </w:r>
    </w:p>
    <w:p w:rsidR="00CF7B39" w:rsidRPr="00FB6375" w:rsidRDefault="00CF7B39" w:rsidP="00CF7B39">
      <w:pPr>
        <w:pStyle w:val="TableTitle"/>
      </w:pPr>
      <w:r>
        <w:t>Table 12. Ongoing safety concerns for Stribild.</w:t>
      </w:r>
    </w:p>
    <w:tbl>
      <w:tblPr>
        <w:tblStyle w:val="TableTGAblue"/>
        <w:tblW w:w="0" w:type="auto"/>
        <w:tblLook w:val="04A0" w:firstRow="1" w:lastRow="0" w:firstColumn="1" w:lastColumn="0" w:noHBand="0" w:noVBand="1"/>
      </w:tblPr>
      <w:tblGrid>
        <w:gridCol w:w="2376"/>
        <w:gridCol w:w="6237"/>
      </w:tblGrid>
      <w:tr w:rsidR="007B377F" w:rsidRPr="00423A3F" w:rsidTr="00692EBC">
        <w:trPr>
          <w:cnfStyle w:val="100000000000" w:firstRow="1" w:lastRow="0" w:firstColumn="0" w:lastColumn="0" w:oddVBand="0" w:evenVBand="0" w:oddHBand="0" w:evenHBand="0" w:firstRowFirstColumn="0" w:firstRowLastColumn="0" w:lastRowFirstColumn="0" w:lastRowLastColumn="0"/>
        </w:trPr>
        <w:tc>
          <w:tcPr>
            <w:tcW w:w="2376" w:type="dxa"/>
          </w:tcPr>
          <w:p w:rsidR="007B377F" w:rsidRPr="00423A3F" w:rsidRDefault="007B377F" w:rsidP="00692EBC">
            <w:r w:rsidRPr="00423A3F">
              <w:t>Category</w:t>
            </w:r>
          </w:p>
        </w:tc>
        <w:tc>
          <w:tcPr>
            <w:tcW w:w="6237" w:type="dxa"/>
          </w:tcPr>
          <w:p w:rsidR="007B377F" w:rsidRPr="00423A3F" w:rsidRDefault="007B377F" w:rsidP="00692EBC">
            <w:r w:rsidRPr="00423A3F">
              <w:t xml:space="preserve">Safety concerns for </w:t>
            </w:r>
            <w:r w:rsidR="00057BBC">
              <w:t>Stribild</w:t>
            </w:r>
            <w:r>
              <w:t xml:space="preserve"> (</w:t>
            </w:r>
            <w:r w:rsidRPr="00423A3F">
              <w:t xml:space="preserve">Attributable component(s) of </w:t>
            </w:r>
            <w:r w:rsidR="00057BBC">
              <w:t>Stribild</w:t>
            </w:r>
            <w:r>
              <w:t>)</w:t>
            </w:r>
          </w:p>
        </w:tc>
      </w:tr>
      <w:tr w:rsidR="007B377F" w:rsidRPr="00423A3F" w:rsidTr="00692EBC">
        <w:tc>
          <w:tcPr>
            <w:tcW w:w="2376" w:type="dxa"/>
          </w:tcPr>
          <w:p w:rsidR="007B377F" w:rsidRPr="00423A3F" w:rsidRDefault="007B377F" w:rsidP="00692EBC">
            <w:r w:rsidRPr="00423A3F">
              <w:t>Important identified risks</w:t>
            </w:r>
          </w:p>
        </w:tc>
        <w:tc>
          <w:tcPr>
            <w:tcW w:w="6237" w:type="dxa"/>
          </w:tcPr>
          <w:p w:rsidR="007B377F" w:rsidRPr="00423A3F" w:rsidRDefault="007B377F" w:rsidP="00692EBC">
            <w:r w:rsidRPr="00423A3F">
              <w:t>Renal toxicity</w:t>
            </w:r>
            <w:r>
              <w:t xml:space="preserve"> (</w:t>
            </w:r>
            <w:r w:rsidRPr="00423A3F">
              <w:t>TDF</w:t>
            </w:r>
            <w:r>
              <w:t>)</w:t>
            </w:r>
          </w:p>
          <w:p w:rsidR="007B377F" w:rsidRPr="00423A3F" w:rsidRDefault="007B377F" w:rsidP="00692EBC">
            <w:r w:rsidRPr="00423A3F">
              <w:t>Bone events due to proximal renal tubulopathy /loss of BMD</w:t>
            </w:r>
            <w:r>
              <w:t xml:space="preserve"> </w:t>
            </w:r>
            <w:r w:rsidRPr="00423A3F">
              <w:t>(TDF)</w:t>
            </w:r>
          </w:p>
          <w:p w:rsidR="007B377F" w:rsidRDefault="007B377F" w:rsidP="00692EBC">
            <w:r w:rsidRPr="00423A3F">
              <w:t>Post treatment hepatic flares in HIV/HBV co infected patients</w:t>
            </w:r>
            <w:r>
              <w:t xml:space="preserve"> (</w:t>
            </w:r>
            <w:r w:rsidRPr="007B377F">
              <w:t>FTC, TDF</w:t>
            </w:r>
            <w:r>
              <w:t>)</w:t>
            </w:r>
          </w:p>
          <w:p w:rsidR="007B377F" w:rsidRDefault="007B377F" w:rsidP="00692EBC">
            <w:r>
              <w:t xml:space="preserve">Interaction with didanosine </w:t>
            </w:r>
            <w:r w:rsidRPr="007B377F">
              <w:t>(TDF)</w:t>
            </w:r>
          </w:p>
          <w:p w:rsidR="007B377F" w:rsidRDefault="007B377F" w:rsidP="00692EBC">
            <w:r>
              <w:t xml:space="preserve">Pancreatitis </w:t>
            </w:r>
            <w:r w:rsidRPr="007B377F">
              <w:t>(TDF)</w:t>
            </w:r>
          </w:p>
          <w:p w:rsidR="007B377F" w:rsidRDefault="007B377F" w:rsidP="00692EBC">
            <w:r>
              <w:t xml:space="preserve">Lactic acidosis and severe hepatomegaly with steatosis </w:t>
            </w:r>
            <w:r w:rsidRPr="007B377F">
              <w:t>(FTC, TDF)</w:t>
            </w:r>
          </w:p>
          <w:p w:rsidR="007B377F" w:rsidRDefault="007B377F" w:rsidP="00692EBC">
            <w:r>
              <w:t xml:space="preserve">Lipodystrophy </w:t>
            </w:r>
            <w:r w:rsidRPr="007B377F">
              <w:t>(FTC, TDF)</w:t>
            </w:r>
          </w:p>
          <w:p w:rsidR="007B377F" w:rsidRPr="00423A3F" w:rsidRDefault="007B377F" w:rsidP="00692EBC">
            <w:r w:rsidRPr="00423A3F">
              <w:t>Suicidal ideation/suicide attempt in patients with a pre-existing history of depression or psychiatric illness</w:t>
            </w:r>
            <w:r>
              <w:t xml:space="preserve"> (</w:t>
            </w:r>
            <w:r w:rsidRPr="007B377F">
              <w:t>EVG</w:t>
            </w:r>
            <w:r>
              <w:t>)</w:t>
            </w:r>
          </w:p>
        </w:tc>
      </w:tr>
      <w:tr w:rsidR="007B377F" w:rsidRPr="00423A3F" w:rsidTr="00692EBC">
        <w:tc>
          <w:tcPr>
            <w:tcW w:w="2376" w:type="dxa"/>
          </w:tcPr>
          <w:p w:rsidR="007B377F" w:rsidRPr="00423A3F" w:rsidRDefault="007B377F" w:rsidP="00692EBC">
            <w:r w:rsidRPr="00423A3F">
              <w:t>Important potential risks</w:t>
            </w:r>
          </w:p>
        </w:tc>
        <w:tc>
          <w:tcPr>
            <w:tcW w:w="6237" w:type="dxa"/>
          </w:tcPr>
          <w:p w:rsidR="007B377F" w:rsidRDefault="007B377F" w:rsidP="00692EBC">
            <w:r>
              <w:t xml:space="preserve">Overdose (occurring through accidental concurrent use of </w:t>
            </w:r>
            <w:r w:rsidR="00057BBC">
              <w:t>Stribild</w:t>
            </w:r>
            <w:r>
              <w:t xml:space="preserve"> with any other TDF containing product </w:t>
            </w:r>
            <w:r w:rsidRPr="007B377F">
              <w:t>(TDF)</w:t>
            </w:r>
          </w:p>
          <w:p w:rsidR="007B377F" w:rsidRPr="00423A3F" w:rsidRDefault="007B377F" w:rsidP="00692EBC">
            <w:r>
              <w:t xml:space="preserve">Concurrent use of drugs whose co administration with </w:t>
            </w:r>
            <w:r w:rsidR="00057BBC">
              <w:t>Stribild</w:t>
            </w:r>
            <w:r>
              <w:t xml:space="preserve"> is contraindicated (COBI, EVG)</w:t>
            </w:r>
          </w:p>
        </w:tc>
      </w:tr>
      <w:tr w:rsidR="007B377F" w:rsidRPr="00423A3F" w:rsidTr="00692EBC">
        <w:tc>
          <w:tcPr>
            <w:tcW w:w="2376" w:type="dxa"/>
          </w:tcPr>
          <w:p w:rsidR="007B377F" w:rsidRPr="00423A3F" w:rsidRDefault="007B377F" w:rsidP="00692EBC">
            <w:r w:rsidRPr="00423A3F">
              <w:t>Missing information</w:t>
            </w:r>
          </w:p>
        </w:tc>
        <w:tc>
          <w:tcPr>
            <w:tcW w:w="6237" w:type="dxa"/>
          </w:tcPr>
          <w:p w:rsidR="007B377F" w:rsidRDefault="007B377F" w:rsidP="00692EBC">
            <w:r>
              <w:t>Long term safety information (</w:t>
            </w:r>
            <w:r w:rsidR="00057BBC">
              <w:t>Stribild</w:t>
            </w:r>
            <w:r>
              <w:t>)</w:t>
            </w:r>
          </w:p>
          <w:p w:rsidR="007B377F" w:rsidRDefault="007B377F" w:rsidP="00692EBC">
            <w:r>
              <w:t>Safety in children (EVG, COBI, TDF)</w:t>
            </w:r>
          </w:p>
          <w:p w:rsidR="007B377F" w:rsidRDefault="007B377F" w:rsidP="00692EBC">
            <w:r>
              <w:t>Safety in elderly patients (EVG, COBI, FTC, TDF)</w:t>
            </w:r>
          </w:p>
          <w:p w:rsidR="007B377F" w:rsidRDefault="007B377F" w:rsidP="00692EBC">
            <w:r>
              <w:t>Safety in pregnancy (</w:t>
            </w:r>
            <w:r w:rsidRPr="007B377F">
              <w:t>EVG, COBI, FTC, TDF</w:t>
            </w:r>
            <w:r>
              <w:t>)</w:t>
            </w:r>
          </w:p>
          <w:p w:rsidR="007B377F" w:rsidRDefault="007B377F" w:rsidP="00692EBC">
            <w:r>
              <w:t xml:space="preserve">Safety in lactation </w:t>
            </w:r>
            <w:r w:rsidR="00251BB4" w:rsidRPr="00251BB4">
              <w:t>(EVG, COBI, FTC, TDF)</w:t>
            </w:r>
          </w:p>
          <w:p w:rsidR="00251BB4" w:rsidRDefault="00251BB4" w:rsidP="00692EBC">
            <w:r>
              <w:t>Safety in patients with renal impairment (</w:t>
            </w:r>
            <w:r w:rsidR="00057BBC">
              <w:t>Stribild</w:t>
            </w:r>
            <w:r>
              <w:t xml:space="preserve"> (as a STR), COBI, TDF)</w:t>
            </w:r>
          </w:p>
          <w:p w:rsidR="00251BB4" w:rsidRDefault="00251BB4" w:rsidP="00692EBC">
            <w:r>
              <w:t>Safety in patients with severe hepatic impairment (CTP score C) (EVG, COBI)</w:t>
            </w:r>
          </w:p>
          <w:p w:rsidR="00251BB4" w:rsidRDefault="00251BB4" w:rsidP="00692EBC">
            <w:r>
              <w:t>Drug-drug interactions (COBI)</w:t>
            </w:r>
          </w:p>
          <w:p w:rsidR="00251BB4" w:rsidRDefault="00251BB4" w:rsidP="00692EBC">
            <w:r>
              <w:t>PK of EVG in subjects with UGT1A1 polymorphisms (EVG)</w:t>
            </w:r>
          </w:p>
          <w:p w:rsidR="00251BB4" w:rsidRPr="00423A3F" w:rsidRDefault="00251BB4" w:rsidP="00692EBC">
            <w:r>
              <w:t>Safety in patients with cardiac conduction disorders (COBI)</w:t>
            </w:r>
          </w:p>
        </w:tc>
      </w:tr>
    </w:tbl>
    <w:p w:rsidR="008E7846" w:rsidRDefault="008E7846" w:rsidP="00692EBC">
      <w:pPr>
        <w:pStyle w:val="Heading4"/>
        <w:rPr>
          <w:lang w:eastAsia="en-AU"/>
        </w:rPr>
      </w:pPr>
      <w:r>
        <w:rPr>
          <w:lang w:eastAsia="en-AU"/>
        </w:rPr>
        <w:t xml:space="preserve">Pharmacovigilance </w:t>
      </w:r>
      <w:r w:rsidR="003A7F6C">
        <w:rPr>
          <w:lang w:eastAsia="en-AU"/>
        </w:rPr>
        <w:t>p</w:t>
      </w:r>
      <w:r>
        <w:rPr>
          <w:lang w:eastAsia="en-AU"/>
        </w:rPr>
        <w:t>lan</w:t>
      </w:r>
    </w:p>
    <w:p w:rsidR="00251BB4" w:rsidRDefault="00251BB4" w:rsidP="00251BB4">
      <w:r w:rsidRPr="00251BB4">
        <w:t>The sponsor proposes routine pharmacovigilance activities to monitor all the specified safety concerns and missing information, except for the missing information: ‘Long-term safety information in adults and adolescents’ for which no routine pharmacovigilance is proposed.</w:t>
      </w:r>
    </w:p>
    <w:p w:rsidR="00251BB4" w:rsidRPr="00251BB4" w:rsidRDefault="00251BB4" w:rsidP="00251BB4">
      <w:r w:rsidRPr="00251BB4">
        <w:lastRenderedPageBreak/>
        <w:t>To further characterise the important potential risk: ‘Suicidal ideation/suicide attempt in patients with a pre-existing history of depression or psychiatric illness’ and the missing information: ‘Long-term safety information in adults and adolescents’, the sponsor is conducting the following ongoing i</w:t>
      </w:r>
      <w:r w:rsidR="00CF7B39">
        <w:t>nterventional clinical studies:</w:t>
      </w:r>
    </w:p>
    <w:p w:rsidR="00251BB4" w:rsidRPr="00251BB4" w:rsidRDefault="0028794E" w:rsidP="00251BB4">
      <w:pPr>
        <w:pStyle w:val="ListBullet"/>
      </w:pPr>
      <w:r>
        <w:t>Study GS-US-292-0104: A Phase III</w:t>
      </w:r>
      <w:r w:rsidR="00251BB4" w:rsidRPr="00251BB4">
        <w:t xml:space="preserve">, </w:t>
      </w:r>
      <w:r>
        <w:t>random</w:t>
      </w:r>
      <w:r w:rsidR="00527A3B">
        <w:t>ise</w:t>
      </w:r>
      <w:r>
        <w:t xml:space="preserve">d, double </w:t>
      </w:r>
      <w:r w:rsidRPr="00251BB4">
        <w:t>blind study to evaluate the safety and efficac</w:t>
      </w:r>
      <w:r w:rsidR="00251BB4" w:rsidRPr="00251BB4">
        <w:t xml:space="preserve">y of </w:t>
      </w:r>
      <w:r w:rsidR="00CF7B39">
        <w:t>EVG</w:t>
      </w:r>
      <w:r w:rsidR="00251BB4" w:rsidRPr="00251BB4">
        <w:t>/C</w:t>
      </w:r>
      <w:r w:rsidR="00CF7B39">
        <w:t>OBI</w:t>
      </w:r>
      <w:r w:rsidR="00251BB4" w:rsidRPr="00251BB4">
        <w:t>/</w:t>
      </w:r>
      <w:r w:rsidR="00CF7B39">
        <w:t>FTC</w:t>
      </w:r>
      <w:r w:rsidR="00251BB4" w:rsidRPr="00251BB4">
        <w:t>/</w:t>
      </w:r>
      <w:r w:rsidR="00CF7B39">
        <w:t>TAF</w:t>
      </w:r>
      <w:r w:rsidR="0054303F">
        <w:t xml:space="preserve"> v</w:t>
      </w:r>
      <w:r w:rsidR="00251BB4" w:rsidRPr="00251BB4">
        <w:t xml:space="preserve">ersus </w:t>
      </w:r>
      <w:r w:rsidR="00CF7B39">
        <w:t>EVG</w:t>
      </w:r>
      <w:r w:rsidR="00251BB4" w:rsidRPr="00251BB4">
        <w:t>/C</w:t>
      </w:r>
      <w:r w:rsidR="00CF7B39">
        <w:t>OBI</w:t>
      </w:r>
      <w:r w:rsidR="00251BB4" w:rsidRPr="00251BB4">
        <w:t>/</w:t>
      </w:r>
      <w:r w:rsidR="00CF7B39">
        <w:t>FTC</w:t>
      </w:r>
      <w:r w:rsidR="00251BB4" w:rsidRPr="00251BB4">
        <w:t>/</w:t>
      </w:r>
      <w:r w:rsidR="00CF7B39">
        <w:t>TDF</w:t>
      </w:r>
      <w:r w:rsidR="00251BB4" w:rsidRPr="00251BB4">
        <w:t xml:space="preserve"> in HIV-1 </w:t>
      </w:r>
      <w:r>
        <w:t>p</w:t>
      </w:r>
      <w:r w:rsidR="00251BB4" w:rsidRPr="00251BB4">
        <w:t xml:space="preserve">ositive, </w:t>
      </w:r>
      <w:r w:rsidR="00CF7B39">
        <w:t xml:space="preserve">antiretroviral treatment </w:t>
      </w:r>
      <w:r w:rsidR="00AD043A">
        <w:t>naive</w:t>
      </w:r>
      <w:r w:rsidRPr="00251BB4">
        <w:t xml:space="preserve"> adults</w:t>
      </w:r>
      <w:r w:rsidR="00251BB4" w:rsidRPr="00251BB4">
        <w:t>.</w:t>
      </w:r>
      <w:r w:rsidR="00CA65A1">
        <w:t xml:space="preserve"> </w:t>
      </w:r>
      <w:r w:rsidR="00251BB4" w:rsidRPr="00251BB4">
        <w:t xml:space="preserve">A final protocol for this study </w:t>
      </w:r>
      <w:r>
        <w:t>was</w:t>
      </w:r>
      <w:r w:rsidR="00251BB4" w:rsidRPr="00251BB4">
        <w:t xml:space="preserve"> provided in ‘</w:t>
      </w:r>
      <w:r w:rsidRPr="00251BB4">
        <w:t xml:space="preserve">protocols for proposed and ongoing studies in categories 1 to 3 </w:t>
      </w:r>
      <w:r w:rsidR="00251BB4" w:rsidRPr="00251BB4">
        <w:t>in RMP Part III’ of the EU-RMP.</w:t>
      </w:r>
      <w:r w:rsidR="00CA65A1">
        <w:t xml:space="preserve"> </w:t>
      </w:r>
      <w:r w:rsidR="00251BB4" w:rsidRPr="00251BB4">
        <w:t>The anticipated submission of the Week 96 report is by Q3 2016.</w:t>
      </w:r>
    </w:p>
    <w:p w:rsidR="00251BB4" w:rsidRPr="00251BB4" w:rsidRDefault="00251BB4" w:rsidP="00251BB4">
      <w:pPr>
        <w:pStyle w:val="ListBullet"/>
      </w:pPr>
      <w:r w:rsidRPr="00251BB4">
        <w:t xml:space="preserve">Study GS-US-292-0111: A Phase </w:t>
      </w:r>
      <w:r w:rsidR="0028794E">
        <w:t>III</w:t>
      </w:r>
      <w:r w:rsidRPr="00251BB4">
        <w:t xml:space="preserve">, </w:t>
      </w:r>
      <w:r w:rsidR="0054303F">
        <w:t>random</w:t>
      </w:r>
      <w:r w:rsidR="00527A3B">
        <w:t>ise</w:t>
      </w:r>
      <w:r w:rsidR="0054303F">
        <w:t xml:space="preserve">d, double </w:t>
      </w:r>
      <w:r w:rsidR="0028794E" w:rsidRPr="00251BB4">
        <w:t>blind study to evaluate the safety and effic</w:t>
      </w:r>
      <w:r w:rsidRPr="00251BB4">
        <w:t xml:space="preserve">acy of </w:t>
      </w:r>
      <w:r w:rsidR="0054303F" w:rsidRPr="0054303F">
        <w:t xml:space="preserve">EVG/COBI/FTC/TAF </w:t>
      </w:r>
      <w:r w:rsidR="0054303F">
        <w:t>v</w:t>
      </w:r>
      <w:r w:rsidRPr="00251BB4">
        <w:t xml:space="preserve">ersus </w:t>
      </w:r>
      <w:r w:rsidR="0054303F" w:rsidRPr="0054303F">
        <w:t xml:space="preserve">EVG/COBI/FTC/TDF </w:t>
      </w:r>
      <w:r w:rsidRPr="00251BB4">
        <w:t xml:space="preserve">in HIV-1 </w:t>
      </w:r>
      <w:r w:rsidR="0028794E" w:rsidRPr="00251BB4">
        <w:t>pos</w:t>
      </w:r>
      <w:r w:rsidR="0054303F">
        <w:t xml:space="preserve">itive, antiretroviral treatment </w:t>
      </w:r>
      <w:r w:rsidR="00AD043A">
        <w:t>naive</w:t>
      </w:r>
      <w:r w:rsidR="0028794E" w:rsidRPr="00251BB4">
        <w:t xml:space="preserve"> adults</w:t>
      </w:r>
      <w:r w:rsidRPr="00251BB4">
        <w:t>.</w:t>
      </w:r>
      <w:r w:rsidR="00CA65A1">
        <w:t xml:space="preserve"> </w:t>
      </w:r>
      <w:r w:rsidRPr="00251BB4">
        <w:t xml:space="preserve">A final protocol for this study </w:t>
      </w:r>
      <w:r w:rsidR="0028794E">
        <w:t>was</w:t>
      </w:r>
      <w:r w:rsidRPr="00251BB4">
        <w:t xml:space="preserve"> provided</w:t>
      </w:r>
      <w:r w:rsidR="0028794E">
        <w:t xml:space="preserve"> in the EU-RMP</w:t>
      </w:r>
      <w:r w:rsidRPr="00251BB4">
        <w:t>.</w:t>
      </w:r>
      <w:r w:rsidR="00CA65A1">
        <w:t xml:space="preserve"> </w:t>
      </w:r>
      <w:r w:rsidRPr="00251BB4">
        <w:t>The anticipated submission of the Week 96 report is by Q3 2016.</w:t>
      </w:r>
    </w:p>
    <w:p w:rsidR="00251BB4" w:rsidRPr="00251BB4" w:rsidRDefault="00251BB4" w:rsidP="00251BB4">
      <w:r w:rsidRPr="00251BB4">
        <w:t>To further characterise the missing information: ‘Long-term safety information in adults and adolescents’, the sponsor is conducting the following ongoing clinical studies:</w:t>
      </w:r>
    </w:p>
    <w:p w:rsidR="00251BB4" w:rsidRPr="00251BB4" w:rsidRDefault="00251BB4" w:rsidP="00251BB4">
      <w:pPr>
        <w:pStyle w:val="ListBullet"/>
      </w:pPr>
      <w:r w:rsidRPr="00251BB4">
        <w:t>Study GS-US-292-0109: A Ph</w:t>
      </w:r>
      <w:r w:rsidR="0028794E">
        <w:t>ase III</w:t>
      </w:r>
      <w:r w:rsidRPr="00251BB4">
        <w:t xml:space="preserve">, </w:t>
      </w:r>
      <w:r w:rsidR="0028794E">
        <w:t>open label</w:t>
      </w:r>
      <w:r w:rsidR="0028794E" w:rsidRPr="00251BB4">
        <w:t xml:space="preserve"> study to evaluate switching fr</w:t>
      </w:r>
      <w:r w:rsidRPr="00251BB4">
        <w:t>om a TDF-</w:t>
      </w:r>
      <w:r w:rsidR="0028794E" w:rsidRPr="00251BB4">
        <w:t xml:space="preserve">containing combination regimen </w:t>
      </w:r>
      <w:r w:rsidRPr="00251BB4">
        <w:t>to a TAF-</w:t>
      </w:r>
      <w:r w:rsidR="0028794E" w:rsidRPr="00251BB4">
        <w:t>containing combination single tablet regim</w:t>
      </w:r>
      <w:r w:rsidR="0054303F">
        <w:t>en</w:t>
      </w:r>
      <w:r w:rsidRPr="00251BB4">
        <w:t xml:space="preserve"> in </w:t>
      </w:r>
      <w:r w:rsidR="0028794E">
        <w:t xml:space="preserve">virologically </w:t>
      </w:r>
      <w:r w:rsidR="0028794E" w:rsidRPr="00251BB4">
        <w:t>suppressed</w:t>
      </w:r>
      <w:r w:rsidRPr="00251BB4">
        <w:t xml:space="preserve">, HIV-1 </w:t>
      </w:r>
      <w:r w:rsidR="0028794E" w:rsidRPr="00251BB4">
        <w:t>positive subjects</w:t>
      </w:r>
      <w:r w:rsidRPr="00251BB4">
        <w:t>.</w:t>
      </w:r>
      <w:r w:rsidR="00CA65A1">
        <w:t xml:space="preserve"> </w:t>
      </w:r>
      <w:r w:rsidRPr="00251BB4">
        <w:t xml:space="preserve">A tabular synopsis for this study </w:t>
      </w:r>
      <w:r w:rsidR="0028794E">
        <w:t>was</w:t>
      </w:r>
      <w:r w:rsidRPr="00251BB4">
        <w:t xml:space="preserve"> provided in the EU-RMP.</w:t>
      </w:r>
      <w:r w:rsidR="00CA65A1">
        <w:t xml:space="preserve"> </w:t>
      </w:r>
      <w:r w:rsidRPr="00251BB4">
        <w:t>The anticipated submission of the Week 96 report is by Q1 2017.</w:t>
      </w:r>
    </w:p>
    <w:p w:rsidR="00251BB4" w:rsidRPr="00251BB4" w:rsidRDefault="00251BB4" w:rsidP="00251BB4">
      <w:pPr>
        <w:pStyle w:val="ListBullet"/>
      </w:pPr>
      <w:r w:rsidRPr="00251BB4">
        <w:t xml:space="preserve">Study GS-US-292-0106: A Phase </w:t>
      </w:r>
      <w:r w:rsidR="00B41CDD">
        <w:t>II/III</w:t>
      </w:r>
      <w:r w:rsidRPr="00251BB4">
        <w:t xml:space="preserve">, </w:t>
      </w:r>
      <w:r w:rsidR="00B41CDD">
        <w:t>open label</w:t>
      </w:r>
      <w:r w:rsidR="00B41CDD" w:rsidRPr="00251BB4">
        <w:t xml:space="preserve"> study of the pharmacokinetics, safety, and antiviral activity of t</w:t>
      </w:r>
      <w:r w:rsidRPr="00251BB4">
        <w:t xml:space="preserve">he Elvitegravir/Cobicistat/Emtricitabine/Tenofovir Alafenamide (E/C/F/TAF) </w:t>
      </w:r>
      <w:r w:rsidR="0054303F">
        <w:t>single tablet regimen</w:t>
      </w:r>
      <w:r w:rsidRPr="00251BB4">
        <w:t xml:space="preserve"> in HIV-</w:t>
      </w:r>
      <w:r w:rsidR="00B41CDD" w:rsidRPr="00251BB4">
        <w:t>1 in</w:t>
      </w:r>
      <w:r w:rsidR="0054303F">
        <w:t xml:space="preserve">fected antiretroviral treatment </w:t>
      </w:r>
      <w:r w:rsidR="00B41CDD" w:rsidRPr="00251BB4">
        <w:t>naive adolescents.</w:t>
      </w:r>
      <w:r w:rsidR="00CA65A1">
        <w:t xml:space="preserve"> </w:t>
      </w:r>
      <w:r w:rsidRPr="00251BB4">
        <w:t xml:space="preserve">A tabular synopsis for this study </w:t>
      </w:r>
      <w:r w:rsidR="00B41CDD">
        <w:t>wa</w:t>
      </w:r>
      <w:r w:rsidRPr="00251BB4">
        <w:t>s provided in the EU-RMP.</w:t>
      </w:r>
      <w:r w:rsidR="00CA65A1">
        <w:t xml:space="preserve"> </w:t>
      </w:r>
      <w:r w:rsidRPr="00251BB4">
        <w:t>The anticipated submission of the Week 48 report is by Q1 2016 and the final report is by Q2 2022.</w:t>
      </w:r>
    </w:p>
    <w:p w:rsidR="00251BB4" w:rsidRPr="00251BB4" w:rsidRDefault="00251BB4" w:rsidP="00251BB4">
      <w:r w:rsidRPr="00251BB4">
        <w:t>To further characterise the missing information: ‘Safety in children aged 6 to &lt; 12 years</w:t>
      </w:r>
      <w:r w:rsidR="003C68E0">
        <w:t>’</w:t>
      </w:r>
      <w:r w:rsidRPr="00251BB4">
        <w:t xml:space="preserve">, the sponsor plans to conduct Study GS-US-292-0113: </w:t>
      </w:r>
      <w:r w:rsidR="005A4943">
        <w:t>Open label</w:t>
      </w:r>
      <w:r w:rsidR="00ED04F5">
        <w:t xml:space="preserve">, multicentre, two part, single </w:t>
      </w:r>
      <w:r w:rsidRPr="00251BB4">
        <w:t xml:space="preserve">arm trial to evaluate the </w:t>
      </w:r>
      <w:r w:rsidR="0054303F">
        <w:t>PK</w:t>
      </w:r>
      <w:r w:rsidRPr="00251BB4">
        <w:t xml:space="preserve">, safety, tolerability, and antiviral activity of EVG, COBI, FTC and </w:t>
      </w:r>
      <w:r w:rsidR="00ED04F5">
        <w:t xml:space="preserve">TAF in antiretroviral treatment </w:t>
      </w:r>
      <w:r w:rsidRPr="00251BB4">
        <w:t>experienced, HIV-1 infected children and adolescents from 6 to less than 18 years of age.</w:t>
      </w:r>
      <w:r w:rsidR="00CA65A1">
        <w:t xml:space="preserve"> </w:t>
      </w:r>
      <w:r w:rsidRPr="00251BB4">
        <w:t>No draft protocol for this study been provided, although the anticipated submission of the final report is by March 2018.</w:t>
      </w:r>
    </w:p>
    <w:p w:rsidR="00251BB4" w:rsidRPr="00251BB4" w:rsidRDefault="00251BB4" w:rsidP="00251BB4">
      <w:r w:rsidRPr="00251BB4">
        <w:t>To further characterise the missing information: ‘Safety in pregnancy’, the sponsor is co-sponsoring a prospective, observational, ex</w:t>
      </w:r>
      <w:r w:rsidR="00AD043A">
        <w:t xml:space="preserve">posure </w:t>
      </w:r>
      <w:r w:rsidRPr="00251BB4">
        <w:t>registration and follow-up study of pregnant patients exposed to antiretroviral drugs via the international Antiretroviral Pregnancy Registry (APR).</w:t>
      </w:r>
      <w:r w:rsidR="00CA65A1">
        <w:t xml:space="preserve"> </w:t>
      </w:r>
      <w:r w:rsidRPr="00251BB4">
        <w:t>A final protocol for this study is provided in the EU-RMP.</w:t>
      </w:r>
      <w:r w:rsidR="00CA65A1">
        <w:t xml:space="preserve"> </w:t>
      </w:r>
      <w:r w:rsidRPr="00251BB4">
        <w:t>Interim reports will be included in the PSURs for the proposed medicine.</w:t>
      </w:r>
    </w:p>
    <w:p w:rsidR="00251BB4" w:rsidRPr="00251BB4" w:rsidRDefault="00251BB4" w:rsidP="00251BB4">
      <w:r w:rsidRPr="00251BB4">
        <w:t>To further characterise the missing information: ‘Safety in patients with HBV or HCV co</w:t>
      </w:r>
      <w:r w:rsidR="003C68E0">
        <w:noBreakHyphen/>
      </w:r>
      <w:r w:rsidRPr="00251BB4">
        <w:t xml:space="preserve">infection’, the sponsor is conducting an ongoing </w:t>
      </w:r>
      <w:r w:rsidR="005A4943">
        <w:t>open label</w:t>
      </w:r>
      <w:r w:rsidR="00ED04F5">
        <w:t xml:space="preserve">, single </w:t>
      </w:r>
      <w:r w:rsidRPr="00251BB4">
        <w:t>arm, multi-</w:t>
      </w:r>
      <w:r w:rsidR="00ED04F5">
        <w:t xml:space="preserve">centre, dual </w:t>
      </w:r>
      <w:r w:rsidRPr="00251BB4">
        <w:t>cohort study in HIV/HBV co-infected adult subjects:</w:t>
      </w:r>
      <w:r w:rsidR="00ED04F5">
        <w:t xml:space="preserve"> Study GS-US-292-1249: A Phase</w:t>
      </w:r>
      <w:r w:rsidR="003C68E0">
        <w:t> </w:t>
      </w:r>
      <w:r w:rsidR="00ED04F5">
        <w:t>III</w:t>
      </w:r>
      <w:r w:rsidRPr="00251BB4">
        <w:t xml:space="preserve">b </w:t>
      </w:r>
      <w:r w:rsidR="00ED04F5">
        <w:t>open label</w:t>
      </w:r>
      <w:r w:rsidR="00ED04F5" w:rsidRPr="00251BB4">
        <w:t xml:space="preserve"> study of the efficacy and safety </w:t>
      </w:r>
      <w:r w:rsidRPr="00251BB4">
        <w:t xml:space="preserve">of </w:t>
      </w:r>
      <w:r w:rsidR="0054303F" w:rsidRPr="0054303F">
        <w:t>EVG/COBI/FTC/TAF</w:t>
      </w:r>
      <w:r w:rsidR="00ED04F5">
        <w:t xml:space="preserve"> single </w:t>
      </w:r>
      <w:r w:rsidR="00ED04F5" w:rsidRPr="00251BB4">
        <w:t xml:space="preserve">tablet regimen </w:t>
      </w:r>
      <w:r w:rsidRPr="00251BB4">
        <w:t xml:space="preserve">in HIV-1/Hepatitis B Co-infected </w:t>
      </w:r>
      <w:r w:rsidR="00ED04F5">
        <w:t>a</w:t>
      </w:r>
      <w:r w:rsidRPr="00251BB4">
        <w:t>dults.</w:t>
      </w:r>
      <w:r w:rsidR="00CA65A1">
        <w:t xml:space="preserve"> </w:t>
      </w:r>
      <w:r w:rsidRPr="00251BB4">
        <w:t xml:space="preserve">A tabular synopsis for this study </w:t>
      </w:r>
      <w:r w:rsidR="00ED04F5">
        <w:t>was</w:t>
      </w:r>
      <w:r w:rsidRPr="00251BB4">
        <w:t xml:space="preserve"> provided in the EU-RMP.</w:t>
      </w:r>
      <w:r w:rsidR="00CA65A1">
        <w:t xml:space="preserve"> </w:t>
      </w:r>
      <w:r w:rsidRPr="00251BB4">
        <w:t xml:space="preserve">The anticipated submission of </w:t>
      </w:r>
      <w:r w:rsidR="0054303F">
        <w:t>the final report is by Q3 2016.</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251BB4" w:rsidRPr="00251BB4" w:rsidRDefault="004B786A" w:rsidP="00251BB4">
      <w:bookmarkStart w:id="126" w:name="_Toc247691527"/>
      <w:r w:rsidRPr="004B786A">
        <w:t xml:space="preserve">Routine risk minimisation activities will comprise labelling, including pharmacokinetic information, contraindications, precautionary statements, instructions for use and/or </w:t>
      </w:r>
      <w:r w:rsidRPr="004B786A">
        <w:lastRenderedPageBreak/>
        <w:t>notification of undesirable effects for all the specified safety concerns and missing information, except for the important potential risk: ‘Suicidal ideation/suicide attempt in patients with a pre-existing history of depression or psychiatric illness’ and the missing information: ‘Long-term safety informat</w:t>
      </w:r>
      <w:r w:rsidR="00ED04F5">
        <w:t>ion in adults and adolescents’ and</w:t>
      </w:r>
      <w:r w:rsidRPr="004B786A">
        <w:t xml:space="preserve"> ‘Safety in patients with cardiac conduction disorders’ for which no</w:t>
      </w:r>
      <w:r w:rsidR="0054303F">
        <w:t xml:space="preserve"> risk minimisation is proposed.</w:t>
      </w:r>
    </w:p>
    <w:p w:rsidR="006F25B8" w:rsidRDefault="006F25B8" w:rsidP="006F25B8">
      <w:pPr>
        <w:pStyle w:val="Heading4"/>
        <w:rPr>
          <w:lang w:eastAsia="en-AU"/>
        </w:rPr>
      </w:pPr>
      <w:r w:rsidRPr="006F25B8">
        <w:rPr>
          <w:lang w:eastAsia="en-AU"/>
        </w:rPr>
        <w:t>Reconciliation of is</w:t>
      </w:r>
      <w:r w:rsidR="0054303F">
        <w:rPr>
          <w:lang w:eastAsia="en-AU"/>
        </w:rPr>
        <w:t>sues outlined in the RMP report</w:t>
      </w:r>
    </w:p>
    <w:p w:rsidR="006F25B8" w:rsidRDefault="0054303F" w:rsidP="006F25B8">
      <w:pPr>
        <w:rPr>
          <w:lang w:eastAsia="en-AU"/>
        </w:rPr>
      </w:pPr>
      <w:r>
        <w:rPr>
          <w:lang w:eastAsia="en-AU"/>
        </w:rPr>
        <w:t>Table 13</w:t>
      </w:r>
      <w:r w:rsidR="006F25B8">
        <w:rPr>
          <w:lang w:eastAsia="en-AU"/>
        </w:rPr>
        <w:t xml:space="preserve"> summarises the OPR’s first round evaluation of the RMP, the sponsor’s responses to issues raised by the OPR and the OPR’s evaluation of the sponsor’s responses.</w:t>
      </w:r>
    </w:p>
    <w:p w:rsidR="00ED04F5" w:rsidRDefault="0054303F" w:rsidP="00ED04F5">
      <w:pPr>
        <w:pStyle w:val="TableTitle"/>
        <w:rPr>
          <w:lang w:eastAsia="en-AU"/>
        </w:rPr>
      </w:pPr>
      <w:r>
        <w:rPr>
          <w:lang w:eastAsia="en-AU"/>
        </w:rPr>
        <w:t>Table 13</w:t>
      </w:r>
      <w:r w:rsidR="00ED04F5">
        <w:rPr>
          <w:lang w:eastAsia="en-AU"/>
        </w:rPr>
        <w:t>. Reconciliation of issues in the RMP</w:t>
      </w:r>
    </w:p>
    <w:tbl>
      <w:tblPr>
        <w:tblStyle w:val="TableTGAblue"/>
        <w:tblW w:w="4758" w:type="pct"/>
        <w:jc w:val="center"/>
        <w:tblInd w:w="760" w:type="dxa"/>
        <w:tblLayout w:type="fixed"/>
        <w:tblLook w:val="04A0" w:firstRow="1" w:lastRow="0" w:firstColumn="1" w:lastColumn="0" w:noHBand="0" w:noVBand="1"/>
      </w:tblPr>
      <w:tblGrid>
        <w:gridCol w:w="3113"/>
        <w:gridCol w:w="2257"/>
        <w:gridCol w:w="2928"/>
      </w:tblGrid>
      <w:tr w:rsidR="004B786A" w:rsidRPr="004B786A" w:rsidTr="004B786A">
        <w:trPr>
          <w:cnfStyle w:val="100000000000" w:firstRow="1" w:lastRow="0" w:firstColumn="0" w:lastColumn="0" w:oddVBand="0" w:evenVBand="0" w:oddHBand="0" w:evenHBand="0" w:firstRowFirstColumn="0" w:firstRowLastColumn="0" w:lastRowFirstColumn="0" w:lastRowLastColumn="0"/>
          <w:jc w:val="center"/>
        </w:trPr>
        <w:tc>
          <w:tcPr>
            <w:tcW w:w="1876" w:type="pct"/>
            <w:noWrap/>
          </w:tcPr>
          <w:p w:rsidR="004B786A" w:rsidRPr="004B786A" w:rsidRDefault="004B786A" w:rsidP="00ED04F5">
            <w:pPr>
              <w:ind w:left="0" w:right="0"/>
              <w:rPr>
                <w:sz w:val="18"/>
                <w:szCs w:val="18"/>
              </w:rPr>
            </w:pPr>
            <w:r w:rsidRPr="004B786A">
              <w:rPr>
                <w:sz w:val="18"/>
                <w:szCs w:val="18"/>
              </w:rPr>
              <w:t>Recommendation in RMP evaluation report</w:t>
            </w:r>
          </w:p>
        </w:tc>
        <w:tc>
          <w:tcPr>
            <w:tcW w:w="1360" w:type="pct"/>
            <w:noWrap/>
          </w:tcPr>
          <w:p w:rsidR="004B786A" w:rsidRPr="004B786A" w:rsidRDefault="003130DA" w:rsidP="00ED04F5">
            <w:pPr>
              <w:ind w:left="0" w:right="0"/>
              <w:rPr>
                <w:sz w:val="18"/>
                <w:szCs w:val="18"/>
              </w:rPr>
            </w:pPr>
            <w:r>
              <w:rPr>
                <w:sz w:val="18"/>
                <w:szCs w:val="18"/>
              </w:rPr>
              <w:t>Sponsor’s response</w:t>
            </w:r>
          </w:p>
        </w:tc>
        <w:tc>
          <w:tcPr>
            <w:tcW w:w="1764" w:type="pct"/>
            <w:noWrap/>
          </w:tcPr>
          <w:p w:rsidR="004B786A" w:rsidRPr="004B786A" w:rsidRDefault="004B786A" w:rsidP="00ED04F5">
            <w:pPr>
              <w:ind w:left="0" w:right="0"/>
              <w:rPr>
                <w:sz w:val="18"/>
                <w:szCs w:val="18"/>
              </w:rPr>
            </w:pPr>
            <w:r w:rsidRPr="004B786A">
              <w:rPr>
                <w:sz w:val="18"/>
                <w:szCs w:val="18"/>
              </w:rPr>
              <w:t>OPR evaluator’s comment</w:t>
            </w:r>
          </w:p>
        </w:tc>
      </w:tr>
      <w:tr w:rsidR="004B786A" w:rsidRPr="004B786A" w:rsidTr="004B786A">
        <w:trPr>
          <w:trHeight w:val="825"/>
          <w:jc w:val="center"/>
        </w:trPr>
        <w:tc>
          <w:tcPr>
            <w:tcW w:w="187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B786A" w:rsidRPr="004B786A" w:rsidRDefault="004B786A" w:rsidP="00ED04F5">
            <w:pPr>
              <w:ind w:left="0" w:right="0"/>
              <w:rPr>
                <w:sz w:val="18"/>
                <w:szCs w:val="18"/>
              </w:rPr>
            </w:pPr>
            <w:r w:rsidRPr="004B786A">
              <w:rPr>
                <w:sz w:val="18"/>
                <w:szCs w:val="18"/>
              </w:rPr>
              <w:t>The sponsor should apply appropriate document control (</w:t>
            </w:r>
            <w:r w:rsidR="00ED04F5">
              <w:rPr>
                <w:sz w:val="18"/>
                <w:szCs w:val="18"/>
              </w:rPr>
              <w:t>for example,</w:t>
            </w:r>
            <w:r w:rsidRPr="004B786A">
              <w:rPr>
                <w:sz w:val="18"/>
                <w:szCs w:val="18"/>
              </w:rPr>
              <w:t xml:space="preserve"> version and date) to the ASA.</w:t>
            </w:r>
          </w:p>
        </w:tc>
        <w:tc>
          <w:tcPr>
            <w:tcW w:w="136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B786A" w:rsidRPr="004B786A" w:rsidRDefault="004B786A" w:rsidP="00ED04F5">
            <w:pPr>
              <w:ind w:left="0" w:right="0"/>
              <w:rPr>
                <w:sz w:val="18"/>
                <w:szCs w:val="18"/>
              </w:rPr>
            </w:pPr>
            <w:r w:rsidRPr="004B786A">
              <w:rPr>
                <w:sz w:val="18"/>
                <w:szCs w:val="18"/>
              </w:rPr>
              <w:t xml:space="preserve">The sponsor states: </w:t>
            </w:r>
            <w:r w:rsidR="00CA65A1">
              <w:rPr>
                <w:sz w:val="18"/>
                <w:szCs w:val="18"/>
              </w:rPr>
              <w:t>‘</w:t>
            </w:r>
            <w:r w:rsidRPr="004B786A">
              <w:rPr>
                <w:sz w:val="18"/>
                <w:szCs w:val="18"/>
              </w:rPr>
              <w:t>Gilead has amended the ASA with version and date</w:t>
            </w:r>
            <w:r w:rsidR="00CA65A1">
              <w:rPr>
                <w:sz w:val="18"/>
                <w:szCs w:val="18"/>
              </w:rPr>
              <w:t>’</w:t>
            </w:r>
            <w:r w:rsidRPr="004B786A">
              <w:rPr>
                <w:sz w:val="18"/>
                <w:szCs w:val="18"/>
              </w:rPr>
              <w:t>.</w:t>
            </w:r>
          </w:p>
        </w:tc>
        <w:tc>
          <w:tcPr>
            <w:tcW w:w="176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B786A" w:rsidRPr="004B786A" w:rsidRDefault="004B786A" w:rsidP="00ED04F5">
            <w:pPr>
              <w:ind w:left="0" w:right="0"/>
              <w:rPr>
                <w:sz w:val="18"/>
                <w:szCs w:val="18"/>
              </w:rPr>
            </w:pPr>
            <w:r w:rsidRPr="004B786A">
              <w:rPr>
                <w:sz w:val="18"/>
                <w:szCs w:val="18"/>
              </w:rPr>
              <w:t>This is acceptable.</w:t>
            </w:r>
          </w:p>
        </w:tc>
      </w:tr>
      <w:tr w:rsidR="004B786A" w:rsidRPr="004B786A" w:rsidTr="00EA6D79">
        <w:trPr>
          <w:trHeight w:val="829"/>
          <w:jc w:val="center"/>
        </w:trPr>
        <w:tc>
          <w:tcPr>
            <w:tcW w:w="187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B786A" w:rsidRPr="004B786A" w:rsidRDefault="004B786A" w:rsidP="00ED04F5">
            <w:pPr>
              <w:ind w:left="0" w:right="0"/>
              <w:rPr>
                <w:sz w:val="18"/>
                <w:szCs w:val="18"/>
              </w:rPr>
            </w:pPr>
            <w:r w:rsidRPr="004B786A">
              <w:rPr>
                <w:sz w:val="18"/>
                <w:szCs w:val="18"/>
              </w:rPr>
              <w:t xml:space="preserve">The sponsor should systematically identify and justify any differences between the summaries of the safety concerns and missing information for the similar products, </w:t>
            </w:r>
            <w:r w:rsidR="00CA65A1">
              <w:rPr>
                <w:sz w:val="18"/>
                <w:szCs w:val="18"/>
              </w:rPr>
              <w:t>Genvoya</w:t>
            </w:r>
            <w:r w:rsidRPr="004B786A">
              <w:rPr>
                <w:sz w:val="18"/>
                <w:szCs w:val="18"/>
              </w:rPr>
              <w:t xml:space="preserve"> and </w:t>
            </w:r>
            <w:r w:rsidR="00CA65A1">
              <w:rPr>
                <w:sz w:val="18"/>
                <w:szCs w:val="18"/>
              </w:rPr>
              <w:t>Stribild</w:t>
            </w:r>
            <w:r w:rsidRPr="004B786A">
              <w:rPr>
                <w:sz w:val="18"/>
                <w:szCs w:val="18"/>
              </w:rPr>
              <w:t>.</w:t>
            </w:r>
            <w:r w:rsidR="00CA65A1">
              <w:rPr>
                <w:sz w:val="18"/>
                <w:szCs w:val="18"/>
              </w:rPr>
              <w:t xml:space="preserve"> </w:t>
            </w:r>
            <w:r w:rsidRPr="004B786A">
              <w:rPr>
                <w:sz w:val="18"/>
                <w:szCs w:val="18"/>
              </w:rPr>
              <w:t xml:space="preserve">Any subsequent changes to the summary of the safety concerns and missing information for </w:t>
            </w:r>
            <w:r w:rsidR="00CA65A1">
              <w:rPr>
                <w:sz w:val="18"/>
                <w:szCs w:val="18"/>
              </w:rPr>
              <w:t>Genvoya</w:t>
            </w:r>
            <w:r w:rsidRPr="004B786A">
              <w:rPr>
                <w:sz w:val="18"/>
                <w:szCs w:val="18"/>
              </w:rPr>
              <w:t xml:space="preserve"> as specified in the ASA must be entirely captured in a revised ASA to be provided to the TGA for review.</w:t>
            </w:r>
            <w:r w:rsidR="00CA65A1">
              <w:rPr>
                <w:sz w:val="18"/>
                <w:szCs w:val="18"/>
              </w:rPr>
              <w:t xml:space="preserve"> </w:t>
            </w:r>
            <w:r w:rsidRPr="004B786A">
              <w:rPr>
                <w:sz w:val="18"/>
                <w:szCs w:val="18"/>
              </w:rPr>
              <w:t xml:space="preserve">In addition consideration must be given to proposing appropriate pharmacovigilance and risk minimisation activities for any new ongoing safety concerns, to be reflected accordingly in the revised ASA. </w:t>
            </w:r>
          </w:p>
        </w:tc>
        <w:tc>
          <w:tcPr>
            <w:tcW w:w="136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B786A" w:rsidRPr="004B786A" w:rsidRDefault="004B786A" w:rsidP="00ED04F5">
            <w:pPr>
              <w:ind w:left="0" w:right="0"/>
              <w:rPr>
                <w:sz w:val="18"/>
                <w:szCs w:val="18"/>
              </w:rPr>
            </w:pPr>
            <w:r w:rsidRPr="004B786A">
              <w:rPr>
                <w:sz w:val="18"/>
                <w:szCs w:val="18"/>
              </w:rPr>
              <w:t>The sponsor has prepared a summary of the differences between the safety concerns and missing information for these similar products and concluded that no changes to the summary of the safety concerns or missing information are required.</w:t>
            </w:r>
          </w:p>
        </w:tc>
        <w:tc>
          <w:tcPr>
            <w:tcW w:w="176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B786A" w:rsidRPr="004B786A" w:rsidRDefault="00ED04F5" w:rsidP="00ED04F5">
            <w:pPr>
              <w:ind w:left="0" w:right="0"/>
              <w:rPr>
                <w:sz w:val="18"/>
                <w:szCs w:val="18"/>
              </w:rPr>
            </w:pPr>
            <w:r>
              <w:rPr>
                <w:sz w:val="18"/>
                <w:szCs w:val="18"/>
              </w:rPr>
              <w:t>It is observed that the ‘p</w:t>
            </w:r>
            <w:r w:rsidRPr="004B786A">
              <w:rPr>
                <w:sz w:val="18"/>
                <w:szCs w:val="18"/>
              </w:rPr>
              <w:t>recautions</w:t>
            </w:r>
            <w:r>
              <w:rPr>
                <w:sz w:val="18"/>
                <w:szCs w:val="18"/>
              </w:rPr>
              <w:t>’</w:t>
            </w:r>
            <w:r w:rsidR="004B786A" w:rsidRPr="004B786A">
              <w:rPr>
                <w:sz w:val="18"/>
                <w:szCs w:val="18"/>
              </w:rPr>
              <w:t xml:space="preserve"> section of the proposed Australia PI states: </w:t>
            </w:r>
            <w:r w:rsidR="00CA65A1">
              <w:rPr>
                <w:sz w:val="18"/>
                <w:szCs w:val="18"/>
              </w:rPr>
              <w:t>‘</w:t>
            </w:r>
            <w:r w:rsidR="004B786A" w:rsidRPr="004B786A">
              <w:rPr>
                <w:sz w:val="18"/>
                <w:szCs w:val="18"/>
              </w:rPr>
              <w:t xml:space="preserve">The safety of </w:t>
            </w:r>
            <w:r w:rsidR="00CA65A1">
              <w:rPr>
                <w:sz w:val="18"/>
                <w:szCs w:val="18"/>
              </w:rPr>
              <w:t>Genvoya</w:t>
            </w:r>
            <w:r w:rsidR="004B786A" w:rsidRPr="004B786A">
              <w:rPr>
                <w:sz w:val="18"/>
                <w:szCs w:val="18"/>
              </w:rPr>
              <w:t xml:space="preserve"> has not been established in adult patients with estimated creatinine c</w:t>
            </w:r>
            <w:r>
              <w:rPr>
                <w:sz w:val="18"/>
                <w:szCs w:val="18"/>
              </w:rPr>
              <w:t>learance that declines below 30 </w:t>
            </w:r>
            <w:r w:rsidR="004B786A" w:rsidRPr="004B786A">
              <w:rPr>
                <w:sz w:val="18"/>
                <w:szCs w:val="18"/>
              </w:rPr>
              <w:t xml:space="preserve">mL/min or in paediatric patients with renal impairment see </w:t>
            </w:r>
            <w:r w:rsidRPr="004B786A">
              <w:rPr>
                <w:sz w:val="18"/>
                <w:szCs w:val="18"/>
              </w:rPr>
              <w:t xml:space="preserve">clinical trials </w:t>
            </w:r>
            <w:r w:rsidR="004B786A" w:rsidRPr="004B786A">
              <w:rPr>
                <w:sz w:val="18"/>
                <w:szCs w:val="18"/>
              </w:rPr>
              <w:t xml:space="preserve">and </w:t>
            </w:r>
            <w:r>
              <w:rPr>
                <w:sz w:val="18"/>
                <w:szCs w:val="18"/>
              </w:rPr>
              <w:t>p</w:t>
            </w:r>
            <w:r w:rsidR="004B786A" w:rsidRPr="004B786A">
              <w:rPr>
                <w:sz w:val="18"/>
                <w:szCs w:val="18"/>
              </w:rPr>
              <w:t xml:space="preserve">harmacokinetics). </w:t>
            </w:r>
            <w:r w:rsidR="00CA65A1">
              <w:rPr>
                <w:sz w:val="18"/>
                <w:szCs w:val="18"/>
              </w:rPr>
              <w:t>Genvoya</w:t>
            </w:r>
            <w:r w:rsidR="004B786A" w:rsidRPr="004B786A">
              <w:rPr>
                <w:sz w:val="18"/>
                <w:szCs w:val="18"/>
              </w:rPr>
              <w:t xml:space="preserve"> should not be initiated in patients with estimated creatinine clearance below 30 mL per minute as there are no data available regarding the use of </w:t>
            </w:r>
            <w:r w:rsidR="00CA65A1">
              <w:rPr>
                <w:sz w:val="18"/>
                <w:szCs w:val="18"/>
              </w:rPr>
              <w:t>Genvoya</w:t>
            </w:r>
            <w:r w:rsidR="004B786A" w:rsidRPr="004B786A">
              <w:rPr>
                <w:sz w:val="18"/>
                <w:szCs w:val="18"/>
              </w:rPr>
              <w:t xml:space="preserve"> in this population (see </w:t>
            </w:r>
            <w:r w:rsidRPr="004B786A">
              <w:rPr>
                <w:sz w:val="18"/>
                <w:szCs w:val="18"/>
              </w:rPr>
              <w:t>dosage and administration</w:t>
            </w:r>
            <w:r w:rsidR="004B786A" w:rsidRPr="004B786A">
              <w:rPr>
                <w:sz w:val="18"/>
                <w:szCs w:val="18"/>
              </w:rPr>
              <w:t>)</w:t>
            </w:r>
            <w:r w:rsidR="00CA65A1">
              <w:rPr>
                <w:sz w:val="18"/>
                <w:szCs w:val="18"/>
              </w:rPr>
              <w:t>’</w:t>
            </w:r>
            <w:r w:rsidR="004B786A" w:rsidRPr="004B786A">
              <w:rPr>
                <w:sz w:val="18"/>
                <w:szCs w:val="18"/>
              </w:rPr>
              <w:t>.</w:t>
            </w:r>
            <w:r w:rsidR="00CA65A1">
              <w:rPr>
                <w:sz w:val="18"/>
                <w:szCs w:val="18"/>
              </w:rPr>
              <w:t xml:space="preserve"> </w:t>
            </w:r>
            <w:r w:rsidR="004B786A" w:rsidRPr="004B786A">
              <w:rPr>
                <w:sz w:val="18"/>
                <w:szCs w:val="18"/>
              </w:rPr>
              <w:t xml:space="preserve">Furthermore a similar situation is observed with the use of </w:t>
            </w:r>
            <w:r w:rsidR="00CA65A1">
              <w:rPr>
                <w:sz w:val="18"/>
                <w:szCs w:val="18"/>
              </w:rPr>
              <w:t>Genvoya</w:t>
            </w:r>
            <w:r w:rsidR="004B786A" w:rsidRPr="004B786A">
              <w:rPr>
                <w:sz w:val="18"/>
                <w:szCs w:val="18"/>
              </w:rPr>
              <w:t xml:space="preserve"> in hepatic impairment and it is noted that the missing information: ‘Safety in patients with severe hepatic impairment (CPT score C)’ is included in the summary of safety concerns for </w:t>
            </w:r>
            <w:r w:rsidR="00CA65A1">
              <w:rPr>
                <w:sz w:val="18"/>
                <w:szCs w:val="18"/>
              </w:rPr>
              <w:t>Genvoya</w:t>
            </w:r>
            <w:r w:rsidR="004B786A" w:rsidRPr="004B786A">
              <w:rPr>
                <w:sz w:val="18"/>
                <w:szCs w:val="18"/>
              </w:rPr>
              <w:t>.</w:t>
            </w:r>
            <w:r w:rsidR="00CA65A1">
              <w:rPr>
                <w:sz w:val="18"/>
                <w:szCs w:val="18"/>
              </w:rPr>
              <w:t xml:space="preserve"> </w:t>
            </w:r>
            <w:r w:rsidR="004B786A" w:rsidRPr="004B786A">
              <w:rPr>
                <w:sz w:val="18"/>
                <w:szCs w:val="18"/>
              </w:rPr>
              <w:t xml:space="preserve">Consequently it is recommended that the missing information: ‘Safety in patients with severe renal impairment (estimated creatinine clearance below 30 mL per minute)’ should be included in the summary of safety concerns for </w:t>
            </w:r>
            <w:r w:rsidR="00CA65A1">
              <w:rPr>
                <w:sz w:val="18"/>
                <w:szCs w:val="18"/>
              </w:rPr>
              <w:t>Genvoya</w:t>
            </w:r>
            <w:r w:rsidR="004B786A" w:rsidRPr="004B786A">
              <w:rPr>
                <w:sz w:val="18"/>
                <w:szCs w:val="18"/>
              </w:rPr>
              <w:t>.</w:t>
            </w:r>
            <w:r w:rsidR="00CA65A1">
              <w:rPr>
                <w:sz w:val="18"/>
                <w:szCs w:val="18"/>
              </w:rPr>
              <w:t xml:space="preserve"> </w:t>
            </w:r>
            <w:r w:rsidR="004B786A" w:rsidRPr="004B786A">
              <w:rPr>
                <w:sz w:val="18"/>
                <w:szCs w:val="18"/>
              </w:rPr>
              <w:t xml:space="preserve">It is acknowledged that routine risk minimisation is already applied for this new missing information and monitoring by routine </w:t>
            </w:r>
            <w:r w:rsidR="004B786A" w:rsidRPr="004B786A">
              <w:rPr>
                <w:sz w:val="18"/>
                <w:szCs w:val="18"/>
              </w:rPr>
              <w:lastRenderedPageBreak/>
              <w:t>pharmacovigilance will be sufficient.</w:t>
            </w:r>
            <w:r w:rsidR="00CA65A1">
              <w:rPr>
                <w:sz w:val="18"/>
                <w:szCs w:val="18"/>
              </w:rPr>
              <w:t xml:space="preserve"> </w:t>
            </w:r>
            <w:r w:rsidR="004B786A" w:rsidRPr="004B786A">
              <w:rPr>
                <w:sz w:val="18"/>
                <w:szCs w:val="18"/>
              </w:rPr>
              <w:t>The ASA need only be revised accordingly, preferably before this application is approved.</w:t>
            </w:r>
          </w:p>
        </w:tc>
      </w:tr>
      <w:tr w:rsidR="004B786A" w:rsidRPr="004B786A" w:rsidTr="004B786A">
        <w:trPr>
          <w:trHeight w:val="1153"/>
          <w:jc w:val="center"/>
        </w:trPr>
        <w:tc>
          <w:tcPr>
            <w:tcW w:w="187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B786A" w:rsidRPr="004B786A" w:rsidRDefault="004B786A" w:rsidP="00ED04F5">
            <w:pPr>
              <w:ind w:left="0" w:right="0"/>
              <w:rPr>
                <w:sz w:val="18"/>
                <w:szCs w:val="18"/>
              </w:rPr>
            </w:pPr>
            <w:r w:rsidRPr="004B786A">
              <w:rPr>
                <w:sz w:val="18"/>
                <w:szCs w:val="18"/>
              </w:rPr>
              <w:lastRenderedPageBreak/>
              <w:t>The sponsor should provide an assurance that the draft protocol for the planned clinical study of E/C/F/TAF in ARV treatment-experienced, HIV-1 infected patients from 6 to &lt; 18 years of age (GS-US-292-0113) will be attached to the ASA once it becomes available.</w:t>
            </w:r>
          </w:p>
        </w:tc>
        <w:tc>
          <w:tcPr>
            <w:tcW w:w="136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B786A" w:rsidRPr="004B786A" w:rsidRDefault="004B786A" w:rsidP="00ED04F5">
            <w:pPr>
              <w:ind w:left="0" w:right="0"/>
              <w:rPr>
                <w:sz w:val="18"/>
                <w:szCs w:val="18"/>
              </w:rPr>
            </w:pPr>
            <w:r w:rsidRPr="004B786A">
              <w:rPr>
                <w:sz w:val="18"/>
                <w:szCs w:val="18"/>
              </w:rPr>
              <w:t>The sponsor advises that the planned clinical study GS-US-292-0113 has been renumbered as Study GS-US-292-1515, which is enrolling virologically suppressed, HIV-infected adolescents 12 to &lt; 18 years of age only.</w:t>
            </w:r>
            <w:r w:rsidR="00CA65A1">
              <w:rPr>
                <w:sz w:val="18"/>
                <w:szCs w:val="18"/>
              </w:rPr>
              <w:t xml:space="preserve"> </w:t>
            </w:r>
            <w:r w:rsidRPr="004B786A">
              <w:rPr>
                <w:sz w:val="18"/>
                <w:szCs w:val="18"/>
              </w:rPr>
              <w:t>Virologically suppressed, HIV-infected children 6 to &lt; 12 years of age are now being enrol</w:t>
            </w:r>
            <w:r w:rsidR="00ED04F5">
              <w:rPr>
                <w:sz w:val="18"/>
                <w:szCs w:val="18"/>
              </w:rPr>
              <w:t>led into Cohort </w:t>
            </w:r>
            <w:r w:rsidRPr="004B786A">
              <w:rPr>
                <w:sz w:val="18"/>
                <w:szCs w:val="18"/>
              </w:rPr>
              <w:t>2 of the ongoing, paediatric Study GS-US-292-0106 rather than Study GS-US-292-0113.</w:t>
            </w:r>
            <w:r w:rsidR="00CA65A1">
              <w:rPr>
                <w:sz w:val="18"/>
                <w:szCs w:val="18"/>
              </w:rPr>
              <w:t xml:space="preserve"> </w:t>
            </w:r>
            <w:r w:rsidRPr="004B786A">
              <w:rPr>
                <w:sz w:val="18"/>
                <w:szCs w:val="18"/>
              </w:rPr>
              <w:t>The protocols for Studies GS-US-292-0106 and GS-US-292-1515 are attached to the ASA.</w:t>
            </w:r>
          </w:p>
        </w:tc>
        <w:tc>
          <w:tcPr>
            <w:tcW w:w="176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B786A" w:rsidRPr="004B786A" w:rsidRDefault="00ED04F5" w:rsidP="00ED04F5">
            <w:pPr>
              <w:ind w:left="0" w:right="0"/>
              <w:rPr>
                <w:sz w:val="18"/>
                <w:szCs w:val="18"/>
              </w:rPr>
            </w:pPr>
            <w:r>
              <w:rPr>
                <w:sz w:val="18"/>
                <w:szCs w:val="18"/>
              </w:rPr>
              <w:t>This is acceptable.</w:t>
            </w:r>
          </w:p>
        </w:tc>
      </w:tr>
      <w:tr w:rsidR="004B786A" w:rsidRPr="004B786A" w:rsidTr="004B786A">
        <w:trPr>
          <w:trHeight w:val="1153"/>
          <w:jc w:val="center"/>
        </w:trPr>
        <w:tc>
          <w:tcPr>
            <w:tcW w:w="187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B786A" w:rsidRPr="004B786A" w:rsidRDefault="004B786A" w:rsidP="00ED04F5">
            <w:pPr>
              <w:ind w:left="0" w:right="0"/>
              <w:rPr>
                <w:sz w:val="18"/>
                <w:szCs w:val="18"/>
              </w:rPr>
            </w:pPr>
            <w:r w:rsidRPr="004B786A">
              <w:rPr>
                <w:sz w:val="18"/>
                <w:szCs w:val="18"/>
              </w:rPr>
              <w:t>Section 4: ‘Summary of the RMP’ of the ASA contains Table 6: ‘</w:t>
            </w:r>
            <w:r w:rsidR="00ED04F5" w:rsidRPr="004B786A">
              <w:rPr>
                <w:sz w:val="18"/>
                <w:szCs w:val="18"/>
              </w:rPr>
              <w:t>summary table of risk minimization measures</w:t>
            </w:r>
            <w:r w:rsidRPr="004B786A">
              <w:rPr>
                <w:sz w:val="18"/>
                <w:szCs w:val="18"/>
              </w:rPr>
              <w:t>’.</w:t>
            </w:r>
            <w:r w:rsidR="00CA65A1">
              <w:rPr>
                <w:sz w:val="18"/>
                <w:szCs w:val="18"/>
              </w:rPr>
              <w:t xml:space="preserve"> </w:t>
            </w:r>
            <w:r w:rsidRPr="004B786A">
              <w:rPr>
                <w:sz w:val="18"/>
                <w:szCs w:val="18"/>
              </w:rPr>
              <w:t>This table summarises the pharmacovigilance and risk minimisation activities for Australia.</w:t>
            </w:r>
            <w:r w:rsidR="00CA65A1">
              <w:rPr>
                <w:sz w:val="18"/>
                <w:szCs w:val="18"/>
              </w:rPr>
              <w:t xml:space="preserve"> </w:t>
            </w:r>
            <w:r w:rsidRPr="004B786A">
              <w:rPr>
                <w:sz w:val="18"/>
                <w:szCs w:val="18"/>
              </w:rPr>
              <w:t>Consequently this table should be renamed accordingly.</w:t>
            </w:r>
            <w:r w:rsidR="00CA65A1">
              <w:rPr>
                <w:sz w:val="18"/>
                <w:szCs w:val="18"/>
              </w:rPr>
              <w:t xml:space="preserve"> </w:t>
            </w:r>
            <w:r w:rsidRPr="004B786A">
              <w:rPr>
                <w:sz w:val="18"/>
                <w:szCs w:val="18"/>
              </w:rPr>
              <w:t>Furthermore all the additional pharmacovigilance activities for the specified safety concerns and missing information have been classified in this table as routine pharmacovigilance.</w:t>
            </w:r>
            <w:r w:rsidR="00CA65A1">
              <w:rPr>
                <w:sz w:val="18"/>
                <w:szCs w:val="18"/>
              </w:rPr>
              <w:t xml:space="preserve"> </w:t>
            </w:r>
            <w:r w:rsidRPr="004B786A">
              <w:rPr>
                <w:sz w:val="18"/>
                <w:szCs w:val="18"/>
              </w:rPr>
              <w:t>These errors should be corrected in a revised ASA to be consistent with the EU-RMP.</w:t>
            </w:r>
          </w:p>
        </w:tc>
        <w:tc>
          <w:tcPr>
            <w:tcW w:w="136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B786A" w:rsidRPr="004B786A" w:rsidRDefault="004B786A" w:rsidP="00ED04F5">
            <w:pPr>
              <w:ind w:left="0" w:right="0"/>
              <w:rPr>
                <w:sz w:val="18"/>
                <w:szCs w:val="18"/>
              </w:rPr>
            </w:pPr>
            <w:r w:rsidRPr="004B786A">
              <w:rPr>
                <w:sz w:val="18"/>
                <w:szCs w:val="18"/>
              </w:rPr>
              <w:t xml:space="preserve">The sponsor states: </w:t>
            </w:r>
            <w:r w:rsidR="00CA65A1">
              <w:rPr>
                <w:sz w:val="18"/>
                <w:szCs w:val="18"/>
              </w:rPr>
              <w:t>‘</w:t>
            </w:r>
            <w:r w:rsidRPr="004B786A">
              <w:rPr>
                <w:sz w:val="18"/>
                <w:szCs w:val="18"/>
              </w:rPr>
              <w:t xml:space="preserve">Gilead has renamed the </w:t>
            </w:r>
            <w:r w:rsidR="00ED04F5">
              <w:rPr>
                <w:sz w:val="18"/>
                <w:szCs w:val="18"/>
              </w:rPr>
              <w:t>t</w:t>
            </w:r>
            <w:r w:rsidRPr="004B786A">
              <w:rPr>
                <w:sz w:val="18"/>
                <w:szCs w:val="18"/>
              </w:rPr>
              <w:t>able and revised the classification of pharmacovig</w:t>
            </w:r>
            <w:r w:rsidR="00925410">
              <w:rPr>
                <w:sz w:val="18"/>
                <w:szCs w:val="18"/>
              </w:rPr>
              <w:t>ilance activities accordingly</w:t>
            </w:r>
            <w:r w:rsidR="00CA65A1">
              <w:rPr>
                <w:sz w:val="18"/>
                <w:szCs w:val="18"/>
              </w:rPr>
              <w:t>’</w:t>
            </w:r>
            <w:r w:rsidR="00925410">
              <w:rPr>
                <w:sz w:val="18"/>
                <w:szCs w:val="18"/>
              </w:rPr>
              <w:t>.</w:t>
            </w:r>
          </w:p>
        </w:tc>
        <w:tc>
          <w:tcPr>
            <w:tcW w:w="176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B786A" w:rsidRPr="004B786A" w:rsidRDefault="00ED04F5" w:rsidP="00ED04F5">
            <w:pPr>
              <w:ind w:left="0" w:right="0"/>
              <w:rPr>
                <w:sz w:val="18"/>
                <w:szCs w:val="18"/>
              </w:rPr>
            </w:pPr>
            <w:r>
              <w:rPr>
                <w:sz w:val="18"/>
                <w:szCs w:val="18"/>
              </w:rPr>
              <w:t>This is acceptable.</w:t>
            </w:r>
          </w:p>
        </w:tc>
      </w:tr>
      <w:tr w:rsidR="004B786A" w:rsidRPr="004B786A" w:rsidTr="004B786A">
        <w:trPr>
          <w:trHeight w:val="1153"/>
          <w:jc w:val="center"/>
        </w:trPr>
        <w:tc>
          <w:tcPr>
            <w:tcW w:w="187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B786A" w:rsidRPr="004B786A" w:rsidRDefault="004B786A" w:rsidP="00ED04F5">
            <w:pPr>
              <w:ind w:left="0" w:right="0"/>
              <w:rPr>
                <w:sz w:val="18"/>
                <w:szCs w:val="18"/>
              </w:rPr>
            </w:pPr>
            <w:r w:rsidRPr="004B786A">
              <w:rPr>
                <w:sz w:val="18"/>
                <w:szCs w:val="18"/>
              </w:rPr>
              <w:t xml:space="preserve">For the important potential risk: ‘Suicidal ideation/suicide attempt in patients with a pre-existing history of depression or psychiatric illness’, the routine risk minimisation previously accepted for </w:t>
            </w:r>
            <w:r w:rsidR="00CA65A1">
              <w:rPr>
                <w:sz w:val="18"/>
                <w:szCs w:val="18"/>
              </w:rPr>
              <w:t>Stribild</w:t>
            </w:r>
            <w:r w:rsidRPr="004B786A">
              <w:rPr>
                <w:sz w:val="18"/>
                <w:szCs w:val="18"/>
              </w:rPr>
              <w:t xml:space="preserve"> was the following entry in the Australian PI: </w:t>
            </w:r>
            <w:r w:rsidR="00CA65A1">
              <w:rPr>
                <w:sz w:val="18"/>
                <w:szCs w:val="18"/>
              </w:rPr>
              <w:t>‘</w:t>
            </w:r>
            <w:r w:rsidRPr="004B786A">
              <w:rPr>
                <w:sz w:val="18"/>
                <w:szCs w:val="18"/>
              </w:rPr>
              <w:t xml:space="preserve">Additional adverse drug reactions observed with </w:t>
            </w:r>
            <w:r w:rsidR="00CA65A1">
              <w:rPr>
                <w:sz w:val="18"/>
                <w:szCs w:val="18"/>
              </w:rPr>
              <w:t>Stribild</w:t>
            </w:r>
            <w:r w:rsidRPr="004B786A">
              <w:rPr>
                <w:sz w:val="18"/>
                <w:szCs w:val="18"/>
              </w:rPr>
              <w:t xml:space="preserve"> included suicidal ideation and suicide attempt (0.3%, 2 of 701), these two patients </w:t>
            </w:r>
            <w:r w:rsidRPr="004B786A">
              <w:rPr>
                <w:sz w:val="18"/>
                <w:szCs w:val="18"/>
              </w:rPr>
              <w:lastRenderedPageBreak/>
              <w:t>had a pre-existing history of depression or psychiatric illness</w:t>
            </w:r>
            <w:r w:rsidR="00CA65A1">
              <w:rPr>
                <w:sz w:val="18"/>
                <w:szCs w:val="18"/>
              </w:rPr>
              <w:t>’</w:t>
            </w:r>
            <w:r w:rsidRPr="004B786A">
              <w:rPr>
                <w:sz w:val="18"/>
                <w:szCs w:val="18"/>
              </w:rPr>
              <w:t>.</w:t>
            </w:r>
            <w:r w:rsidR="00CA65A1">
              <w:rPr>
                <w:sz w:val="18"/>
                <w:szCs w:val="18"/>
              </w:rPr>
              <w:t xml:space="preserve"> </w:t>
            </w:r>
            <w:r w:rsidRPr="004B786A">
              <w:rPr>
                <w:sz w:val="18"/>
                <w:szCs w:val="18"/>
              </w:rPr>
              <w:t xml:space="preserve">Nevertheless this safety concern was attributed to the </w:t>
            </w:r>
            <w:r w:rsidR="00057BBC">
              <w:rPr>
                <w:sz w:val="18"/>
                <w:szCs w:val="18"/>
              </w:rPr>
              <w:t>EVG</w:t>
            </w:r>
            <w:r w:rsidRPr="004B786A">
              <w:rPr>
                <w:sz w:val="18"/>
                <w:szCs w:val="18"/>
              </w:rPr>
              <w:t xml:space="preserve"> component, which is common to </w:t>
            </w:r>
            <w:r w:rsidR="00CA65A1">
              <w:rPr>
                <w:sz w:val="18"/>
                <w:szCs w:val="18"/>
              </w:rPr>
              <w:t>Genvoya</w:t>
            </w:r>
            <w:r w:rsidRPr="004B786A">
              <w:rPr>
                <w:sz w:val="18"/>
                <w:szCs w:val="18"/>
              </w:rPr>
              <w:t>.</w:t>
            </w:r>
            <w:r w:rsidR="00CA65A1">
              <w:rPr>
                <w:sz w:val="18"/>
                <w:szCs w:val="18"/>
              </w:rPr>
              <w:t xml:space="preserve"> </w:t>
            </w:r>
            <w:r w:rsidRPr="004B786A">
              <w:rPr>
                <w:sz w:val="18"/>
                <w:szCs w:val="18"/>
              </w:rPr>
              <w:t xml:space="preserve">In this context the sponsor should provide compelling justification as to why routine risk minimisation should not be applied for </w:t>
            </w:r>
            <w:r w:rsidR="00CA65A1">
              <w:rPr>
                <w:sz w:val="18"/>
                <w:szCs w:val="18"/>
              </w:rPr>
              <w:t>Genvoya</w:t>
            </w:r>
            <w:r w:rsidRPr="004B786A">
              <w:rPr>
                <w:sz w:val="18"/>
                <w:szCs w:val="18"/>
              </w:rPr>
              <w:t>.</w:t>
            </w:r>
          </w:p>
        </w:tc>
        <w:tc>
          <w:tcPr>
            <w:tcW w:w="1360" w:type="pct"/>
            <w:tcBorders>
              <w:top w:val="single" w:sz="8" w:space="0" w:color="000000" w:themeColor="text1"/>
              <w:left w:val="single" w:sz="8" w:space="0" w:color="000000" w:themeColor="text1"/>
              <w:bottom w:val="single" w:sz="4" w:space="0" w:color="auto"/>
              <w:right w:val="single" w:sz="8" w:space="0" w:color="000000" w:themeColor="text1"/>
            </w:tcBorders>
            <w:noWrap/>
          </w:tcPr>
          <w:p w:rsidR="004B786A" w:rsidRPr="004B786A" w:rsidRDefault="004B786A" w:rsidP="00ED04F5">
            <w:pPr>
              <w:ind w:left="0" w:right="0"/>
              <w:rPr>
                <w:sz w:val="18"/>
                <w:szCs w:val="18"/>
              </w:rPr>
            </w:pPr>
            <w:r w:rsidRPr="004B786A">
              <w:rPr>
                <w:sz w:val="18"/>
                <w:szCs w:val="18"/>
              </w:rPr>
              <w:lastRenderedPageBreak/>
              <w:t xml:space="preserve">The sponsor states: </w:t>
            </w:r>
            <w:r w:rsidR="00CA65A1">
              <w:rPr>
                <w:sz w:val="18"/>
                <w:szCs w:val="18"/>
              </w:rPr>
              <w:t>‘</w:t>
            </w:r>
            <w:r w:rsidRPr="004B786A">
              <w:rPr>
                <w:sz w:val="18"/>
                <w:szCs w:val="18"/>
              </w:rPr>
              <w:t xml:space="preserve">the incidences of suicidal ideation (0.3%) and suicide attempt (0.1%) were very low for subjects treated with </w:t>
            </w:r>
            <w:r w:rsidR="0054303F" w:rsidRPr="0054303F">
              <w:rPr>
                <w:sz w:val="18"/>
                <w:szCs w:val="18"/>
              </w:rPr>
              <w:t>EVG/COBI/FTC/TAF</w:t>
            </w:r>
            <w:r w:rsidR="0054303F">
              <w:rPr>
                <w:sz w:val="18"/>
                <w:szCs w:val="18"/>
              </w:rPr>
              <w:t xml:space="preserve"> </w:t>
            </w:r>
            <w:r w:rsidRPr="004B786A">
              <w:rPr>
                <w:sz w:val="18"/>
                <w:szCs w:val="18"/>
              </w:rPr>
              <w:t>in the clinical study program</w:t>
            </w:r>
            <w:r w:rsidR="00CA65A1">
              <w:rPr>
                <w:sz w:val="18"/>
                <w:szCs w:val="18"/>
              </w:rPr>
              <w:t>’</w:t>
            </w:r>
            <w:r w:rsidRPr="004B786A">
              <w:rPr>
                <w:sz w:val="18"/>
                <w:szCs w:val="18"/>
              </w:rPr>
              <w:t xml:space="preserve"> and concludes: </w:t>
            </w:r>
            <w:r w:rsidR="00CA65A1">
              <w:rPr>
                <w:sz w:val="18"/>
                <w:szCs w:val="18"/>
              </w:rPr>
              <w:t>‘</w:t>
            </w:r>
            <w:r w:rsidRPr="004B786A">
              <w:rPr>
                <w:sz w:val="18"/>
                <w:szCs w:val="18"/>
              </w:rPr>
              <w:t xml:space="preserve">the data do not support a causal association, routine </w:t>
            </w:r>
            <w:r w:rsidRPr="004B786A">
              <w:rPr>
                <w:sz w:val="18"/>
                <w:szCs w:val="18"/>
              </w:rPr>
              <w:lastRenderedPageBreak/>
              <w:t>risk minimization is not considered warranted</w:t>
            </w:r>
            <w:r w:rsidR="00CA65A1">
              <w:rPr>
                <w:sz w:val="18"/>
                <w:szCs w:val="18"/>
              </w:rPr>
              <w:t>’</w:t>
            </w:r>
            <w:r w:rsidR="00ED04F5">
              <w:rPr>
                <w:sz w:val="18"/>
                <w:szCs w:val="18"/>
              </w:rPr>
              <w:t>.</w:t>
            </w:r>
          </w:p>
        </w:tc>
        <w:tc>
          <w:tcPr>
            <w:tcW w:w="176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B786A" w:rsidRPr="004B786A" w:rsidRDefault="004B786A" w:rsidP="00ED04F5">
            <w:pPr>
              <w:ind w:left="0" w:right="0"/>
              <w:rPr>
                <w:sz w:val="18"/>
                <w:szCs w:val="18"/>
              </w:rPr>
            </w:pPr>
            <w:r w:rsidRPr="004B786A">
              <w:rPr>
                <w:sz w:val="18"/>
                <w:szCs w:val="18"/>
              </w:rPr>
              <w:lastRenderedPageBreak/>
              <w:t xml:space="preserve">This situation would appear to be similar for </w:t>
            </w:r>
            <w:r w:rsidR="00CA65A1">
              <w:rPr>
                <w:sz w:val="18"/>
                <w:szCs w:val="18"/>
              </w:rPr>
              <w:t>Stribild</w:t>
            </w:r>
            <w:r w:rsidRPr="004B786A">
              <w:rPr>
                <w:sz w:val="18"/>
                <w:szCs w:val="18"/>
              </w:rPr>
              <w:t xml:space="preserve"> and therefore such justification as to why similar routine risk minimisation should not be applied for </w:t>
            </w:r>
            <w:r w:rsidR="00CA65A1">
              <w:rPr>
                <w:sz w:val="18"/>
                <w:szCs w:val="18"/>
              </w:rPr>
              <w:t>Genvoya</w:t>
            </w:r>
            <w:r w:rsidRPr="004B786A">
              <w:rPr>
                <w:sz w:val="18"/>
                <w:szCs w:val="18"/>
              </w:rPr>
              <w:t xml:space="preserve"> is considered inadequate.</w:t>
            </w:r>
            <w:r w:rsidR="00CA65A1">
              <w:rPr>
                <w:sz w:val="18"/>
                <w:szCs w:val="18"/>
              </w:rPr>
              <w:t xml:space="preserve"> </w:t>
            </w:r>
            <w:r w:rsidRPr="004B786A">
              <w:rPr>
                <w:sz w:val="18"/>
                <w:szCs w:val="18"/>
              </w:rPr>
              <w:t>Consequently this recommendation remains outstanding for the Delegate’s consideration.</w:t>
            </w:r>
          </w:p>
        </w:tc>
      </w:tr>
    </w:tbl>
    <w:p w:rsidR="008E7846" w:rsidRDefault="008E7846" w:rsidP="00692EBC">
      <w:pPr>
        <w:pStyle w:val="Heading4"/>
        <w:rPr>
          <w:lang w:eastAsia="en-AU"/>
        </w:rPr>
      </w:pPr>
      <w:r>
        <w:rPr>
          <w:lang w:eastAsia="en-AU"/>
        </w:rPr>
        <w:lastRenderedPageBreak/>
        <w:t xml:space="preserve">Summary of </w:t>
      </w:r>
      <w:r w:rsidR="003A7F6C">
        <w:rPr>
          <w:lang w:eastAsia="en-AU"/>
        </w:rPr>
        <w:t>r</w:t>
      </w:r>
      <w:r>
        <w:rPr>
          <w:lang w:eastAsia="en-AU"/>
        </w:rPr>
        <w:t>ecommendations</w:t>
      </w:r>
    </w:p>
    <w:p w:rsidR="003857F4" w:rsidRPr="003857F4" w:rsidRDefault="003857F4" w:rsidP="003857F4">
      <w:pPr>
        <w:pStyle w:val="Heading5"/>
      </w:pPr>
      <w:r w:rsidRPr="003857F4">
        <w:t>Outstanding issues</w:t>
      </w:r>
    </w:p>
    <w:p w:rsidR="003857F4" w:rsidRPr="003857F4" w:rsidRDefault="003857F4" w:rsidP="00ED04F5">
      <w:pPr>
        <w:pStyle w:val="Heading6"/>
      </w:pPr>
      <w:r>
        <w:t>Issues in relation to the RMP</w:t>
      </w:r>
    </w:p>
    <w:p w:rsidR="003857F4" w:rsidRPr="003857F4" w:rsidRDefault="003857F4" w:rsidP="003857F4">
      <w:r w:rsidRPr="003857F4">
        <w:t xml:space="preserve">The sponsor was asked to systematically identify and justify any differences between the summaries of the safety concerns and missing information for the similar products, </w:t>
      </w:r>
      <w:r w:rsidR="00CA65A1">
        <w:t>Genvoya</w:t>
      </w:r>
      <w:r w:rsidRPr="003857F4">
        <w:t xml:space="preserve"> and </w:t>
      </w:r>
      <w:r w:rsidR="00CA65A1">
        <w:t>Stribild</w:t>
      </w:r>
      <w:r w:rsidRPr="003857F4">
        <w:t>.</w:t>
      </w:r>
      <w:r w:rsidR="00CA65A1">
        <w:t xml:space="preserve"> </w:t>
      </w:r>
      <w:r w:rsidRPr="003857F4">
        <w:t xml:space="preserve">Any subsequent changes to the summary of the safety concerns and missing information for </w:t>
      </w:r>
      <w:r w:rsidR="00CA65A1">
        <w:t>Genvoya</w:t>
      </w:r>
      <w:r w:rsidRPr="003857F4">
        <w:t xml:space="preserve"> as specified in the ASA must be entirely captured in a revised ASA to be provided to the TGA for review.</w:t>
      </w:r>
      <w:r w:rsidR="00CA65A1">
        <w:t xml:space="preserve"> </w:t>
      </w:r>
      <w:r w:rsidRPr="003857F4">
        <w:t>In addition consideration must be given to proposing appropriate pharmacovigilance and risk minimisation activities for any new ongoing safety concerns, to be reflected accordingly in the revised ASA.</w:t>
      </w:r>
      <w:r w:rsidR="00CA65A1">
        <w:t xml:space="preserve"> </w:t>
      </w:r>
      <w:r w:rsidRPr="003857F4">
        <w:t>Subsequently the sponsor has prepared a summary of the differences between the safety concerns and missing information for these similar products and concluded that no changes to the summary of the safety concerns or missing information are required.</w:t>
      </w:r>
      <w:r w:rsidR="00CA65A1">
        <w:t xml:space="preserve"> </w:t>
      </w:r>
      <w:r w:rsidRPr="003857F4">
        <w:t xml:space="preserve">However, it is observed that the </w:t>
      </w:r>
      <w:r w:rsidR="009B42EF" w:rsidRPr="003857F4">
        <w:t xml:space="preserve">precautions </w:t>
      </w:r>
      <w:r w:rsidRPr="003857F4">
        <w:t xml:space="preserve">section of the proposed Australia PI states: </w:t>
      </w:r>
      <w:r w:rsidR="00CA65A1">
        <w:t>‘</w:t>
      </w:r>
      <w:r w:rsidRPr="009B42EF">
        <w:rPr>
          <w:i/>
        </w:rPr>
        <w:t xml:space="preserve">The safety of </w:t>
      </w:r>
      <w:r w:rsidR="00CA65A1" w:rsidRPr="009B42EF">
        <w:rPr>
          <w:i/>
        </w:rPr>
        <w:t>Genvoya</w:t>
      </w:r>
      <w:r w:rsidRPr="009B42EF">
        <w:rPr>
          <w:i/>
        </w:rPr>
        <w:t xml:space="preserve"> has not been established in adult patients with estimated creatinine clearance that declines below 30 mL/min or in paediatric patients with renal impairment see </w:t>
      </w:r>
      <w:r w:rsidR="009B42EF" w:rsidRPr="009B42EF">
        <w:rPr>
          <w:i/>
        </w:rPr>
        <w:t>clinical trials and p</w:t>
      </w:r>
      <w:r w:rsidRPr="009B42EF">
        <w:rPr>
          <w:i/>
        </w:rPr>
        <w:t xml:space="preserve">harmacokinetics). </w:t>
      </w:r>
      <w:r w:rsidR="00CA65A1" w:rsidRPr="009B42EF">
        <w:rPr>
          <w:i/>
        </w:rPr>
        <w:t>Genvoya</w:t>
      </w:r>
      <w:r w:rsidRPr="009B42EF">
        <w:rPr>
          <w:i/>
        </w:rPr>
        <w:t xml:space="preserve"> should not be initiated in patients with estimated creatinine clearance below 30 mL per minute as there are no data available regarding the use of </w:t>
      </w:r>
      <w:r w:rsidR="00CA65A1" w:rsidRPr="009B42EF">
        <w:rPr>
          <w:i/>
        </w:rPr>
        <w:t>Genvoya</w:t>
      </w:r>
      <w:r w:rsidRPr="009B42EF">
        <w:rPr>
          <w:i/>
        </w:rPr>
        <w:t xml:space="preserve"> in this population (see </w:t>
      </w:r>
      <w:r w:rsidR="009B42EF" w:rsidRPr="009B42EF">
        <w:rPr>
          <w:i/>
        </w:rPr>
        <w:t>dosage and administration</w:t>
      </w:r>
      <w:r w:rsidRPr="009B42EF">
        <w:rPr>
          <w:i/>
        </w:rPr>
        <w:t>)</w:t>
      </w:r>
      <w:r w:rsidR="00CA65A1">
        <w:t>’</w:t>
      </w:r>
      <w:r w:rsidRPr="003857F4">
        <w:t>.</w:t>
      </w:r>
      <w:r w:rsidR="00CA65A1">
        <w:t xml:space="preserve"> </w:t>
      </w:r>
      <w:r w:rsidRPr="003857F4">
        <w:t xml:space="preserve">Furthermore a similar situation is observed with the use of </w:t>
      </w:r>
      <w:r w:rsidR="00CA65A1">
        <w:t>Genvoya</w:t>
      </w:r>
      <w:r w:rsidRPr="003857F4">
        <w:t xml:space="preserve"> in hepatic impairment and it is noted that the missing information: ‘</w:t>
      </w:r>
      <w:r w:rsidRPr="009B42EF">
        <w:rPr>
          <w:i/>
        </w:rPr>
        <w:t>Safety in patients with severe hepatic impairment (CPT score C)</w:t>
      </w:r>
      <w:r w:rsidRPr="003857F4">
        <w:t xml:space="preserve">’ is included in the summary of safety concerns for </w:t>
      </w:r>
      <w:r w:rsidR="00CA65A1">
        <w:t>Genvoya</w:t>
      </w:r>
      <w:r w:rsidRPr="003857F4">
        <w:t>.</w:t>
      </w:r>
      <w:r w:rsidR="00CA65A1">
        <w:t xml:space="preserve"> </w:t>
      </w:r>
      <w:r w:rsidRPr="003857F4">
        <w:t>Consequently it is recommended that the missing information: ‘</w:t>
      </w:r>
      <w:r w:rsidRPr="009B42EF">
        <w:rPr>
          <w:i/>
        </w:rPr>
        <w:t>Safety in patients with severe renal impairment (estimated creatinine clearance below 30 mL per minute)</w:t>
      </w:r>
      <w:r w:rsidRPr="003857F4">
        <w:t xml:space="preserve">’ should be included in the summary of safety concerns for </w:t>
      </w:r>
      <w:r w:rsidR="00CA65A1">
        <w:t>Genvoya</w:t>
      </w:r>
      <w:r w:rsidRPr="003857F4">
        <w:t>.</w:t>
      </w:r>
      <w:r w:rsidR="00CA65A1">
        <w:t xml:space="preserve"> </w:t>
      </w:r>
      <w:r w:rsidRPr="003857F4">
        <w:t>It is acknowledged that routine risk minimisation is already applied for this new missing information and monitoring by routine pharmacovigilance will be sufficient.</w:t>
      </w:r>
      <w:r w:rsidR="00CA65A1">
        <w:t xml:space="preserve"> </w:t>
      </w:r>
      <w:r w:rsidRPr="003857F4">
        <w:t>The ASA need only be revised accordingly, preferably before this application is approved.</w:t>
      </w:r>
    </w:p>
    <w:p w:rsidR="003857F4" w:rsidRPr="003857F4" w:rsidRDefault="003857F4" w:rsidP="003857F4">
      <w:r w:rsidRPr="003857F4">
        <w:t>For the important potential risk: ‘</w:t>
      </w:r>
      <w:r w:rsidRPr="009B42EF">
        <w:rPr>
          <w:i/>
        </w:rPr>
        <w:t>Suicidal ideation/suicide attempt in patients with a pre-existing history of depression or psychiatric illness’</w:t>
      </w:r>
      <w:r w:rsidRPr="003857F4">
        <w:t xml:space="preserve">, the routine risk minimisation previously accepted for </w:t>
      </w:r>
      <w:r w:rsidR="00CA65A1">
        <w:t>Stribild</w:t>
      </w:r>
      <w:r w:rsidRPr="003857F4">
        <w:t xml:space="preserve"> was the following entry in the Australian PI: </w:t>
      </w:r>
      <w:r w:rsidR="00CA65A1">
        <w:t>‘</w:t>
      </w:r>
      <w:r w:rsidRPr="009B42EF">
        <w:rPr>
          <w:i/>
        </w:rPr>
        <w:t xml:space="preserve">Additional adverse drug reactions observed with </w:t>
      </w:r>
      <w:r w:rsidR="00CA65A1" w:rsidRPr="009B42EF">
        <w:rPr>
          <w:i/>
        </w:rPr>
        <w:t>Stribild</w:t>
      </w:r>
      <w:r w:rsidRPr="009B42EF">
        <w:rPr>
          <w:i/>
        </w:rPr>
        <w:t xml:space="preserve"> included suicidal ideation and suicide attempt (0.3%, 2 of 701), these two patients had a pre-existing history of depression or psychiatric illness</w:t>
      </w:r>
      <w:r w:rsidR="00CA65A1">
        <w:t>’</w:t>
      </w:r>
      <w:r w:rsidRPr="003857F4">
        <w:t>.</w:t>
      </w:r>
      <w:r w:rsidR="00CA65A1">
        <w:t xml:space="preserve"> </w:t>
      </w:r>
      <w:r w:rsidRPr="003857F4">
        <w:t xml:space="preserve">Nevertheless this safety concern was attributed to the </w:t>
      </w:r>
      <w:r w:rsidR="00057BBC">
        <w:t>EVG</w:t>
      </w:r>
      <w:r w:rsidRPr="003857F4">
        <w:t xml:space="preserve"> component, which is common to </w:t>
      </w:r>
      <w:r w:rsidR="00CA65A1">
        <w:t>Genvoya</w:t>
      </w:r>
      <w:r w:rsidRPr="003857F4">
        <w:t>.</w:t>
      </w:r>
      <w:r w:rsidR="00CA65A1">
        <w:t xml:space="preserve"> </w:t>
      </w:r>
      <w:r w:rsidRPr="003857F4">
        <w:t xml:space="preserve">In this context the sponsor was asked to provide compelling justification as to why routine risk minimisation should not be applied for </w:t>
      </w:r>
      <w:r w:rsidR="00CA65A1">
        <w:t>Genvoya</w:t>
      </w:r>
      <w:r w:rsidRPr="003857F4">
        <w:t>.</w:t>
      </w:r>
      <w:r w:rsidR="00CA65A1">
        <w:t xml:space="preserve"> </w:t>
      </w:r>
      <w:r w:rsidRPr="003857F4">
        <w:t xml:space="preserve">The sponsor states: </w:t>
      </w:r>
      <w:r w:rsidR="00CA65A1">
        <w:t>‘</w:t>
      </w:r>
      <w:r w:rsidRPr="009B42EF">
        <w:rPr>
          <w:i/>
        </w:rPr>
        <w:t xml:space="preserve">the incidences of suicidal ideation (0.3%) and suicide attempt (0.1%) were very low for subjects treated with </w:t>
      </w:r>
      <w:r w:rsidR="009B42EF" w:rsidRPr="009B42EF">
        <w:rPr>
          <w:i/>
        </w:rPr>
        <w:t>EVG/COBI/FTC/TAF</w:t>
      </w:r>
      <w:r w:rsidR="009B42EF">
        <w:rPr>
          <w:i/>
        </w:rPr>
        <w:t xml:space="preserve"> </w:t>
      </w:r>
      <w:r w:rsidRPr="009B42EF">
        <w:rPr>
          <w:i/>
        </w:rPr>
        <w:t>in the clinical study program</w:t>
      </w:r>
      <w:r w:rsidR="00CA65A1" w:rsidRPr="009B42EF">
        <w:rPr>
          <w:i/>
        </w:rPr>
        <w:t>’</w:t>
      </w:r>
      <w:r w:rsidRPr="003857F4">
        <w:t xml:space="preserve"> and concludes: </w:t>
      </w:r>
      <w:r w:rsidR="00CA65A1">
        <w:t>‘</w:t>
      </w:r>
      <w:r w:rsidRPr="009B42EF">
        <w:rPr>
          <w:i/>
        </w:rPr>
        <w:t xml:space="preserve">the data do not support a causal association, routine risk minimization is not </w:t>
      </w:r>
      <w:r w:rsidRPr="009B42EF">
        <w:rPr>
          <w:i/>
        </w:rPr>
        <w:lastRenderedPageBreak/>
        <w:t>considered warranted</w:t>
      </w:r>
      <w:r w:rsidR="00CA65A1" w:rsidRPr="009B42EF">
        <w:rPr>
          <w:i/>
        </w:rPr>
        <w:t>’</w:t>
      </w:r>
      <w:r w:rsidRPr="003857F4">
        <w:t>.</w:t>
      </w:r>
      <w:r w:rsidR="00CA65A1">
        <w:t xml:space="preserve"> </w:t>
      </w:r>
      <w:r w:rsidRPr="003857F4">
        <w:t xml:space="preserve">However, this situation would appear to be similar for </w:t>
      </w:r>
      <w:r w:rsidR="00CA65A1">
        <w:t>Stribild</w:t>
      </w:r>
      <w:r w:rsidRPr="003857F4">
        <w:t xml:space="preserve"> and therefore such justification as to why similar routine risk minimisation should not be applied for </w:t>
      </w:r>
      <w:r w:rsidR="00CA65A1">
        <w:t>Genvoya</w:t>
      </w:r>
      <w:r w:rsidRPr="003857F4">
        <w:t xml:space="preserve"> is considered inadequate.</w:t>
      </w:r>
      <w:r w:rsidR="00CA65A1">
        <w:t xml:space="preserve"> </w:t>
      </w:r>
      <w:r w:rsidRPr="003857F4">
        <w:t>Consequently this recommendation remains outstanding for the Delegate’s consideration.</w:t>
      </w:r>
    </w:p>
    <w:p w:rsidR="003857F4" w:rsidRPr="003857F4" w:rsidRDefault="003857F4" w:rsidP="003857F4">
      <w:pPr>
        <w:pStyle w:val="Heading5"/>
      </w:pPr>
      <w:r w:rsidRPr="003857F4">
        <w:t>Advice from the Advisory Committee on the Safety of Medicines (ACSOM)</w:t>
      </w:r>
    </w:p>
    <w:p w:rsidR="003857F4" w:rsidRPr="003857F4" w:rsidRDefault="003857F4" w:rsidP="003857F4">
      <w:r w:rsidRPr="003857F4">
        <w:t>ACSOM advice was not sought for this submission.</w:t>
      </w:r>
    </w:p>
    <w:p w:rsidR="003857F4" w:rsidRPr="003857F4" w:rsidRDefault="003857F4" w:rsidP="00081D60">
      <w:pPr>
        <w:pStyle w:val="Heading5"/>
      </w:pPr>
      <w:r w:rsidRPr="003857F4">
        <w:t>Suggested wording</w:t>
      </w:r>
      <w:r w:rsidR="00081D60">
        <w:t xml:space="preserve"> for conditions of registration</w:t>
      </w:r>
    </w:p>
    <w:p w:rsidR="003857F4" w:rsidRPr="003857F4" w:rsidRDefault="003857F4" w:rsidP="003857F4">
      <w:r w:rsidRPr="003857F4">
        <w:t>RMP</w:t>
      </w:r>
      <w:r w:rsidR="00081D60">
        <w:t>:</w:t>
      </w:r>
      <w:r w:rsidR="009B42EF">
        <w:t xml:space="preserve"> </w:t>
      </w:r>
      <w:r w:rsidRPr="003857F4">
        <w:t>Any changes to which the sponsor agreed become part of the risk management system, whether they are included in the currently available version of the RMP document, or not included, inadvertently or otherwise.</w:t>
      </w:r>
    </w:p>
    <w:p w:rsidR="00925410" w:rsidRPr="00925410" w:rsidRDefault="003857F4" w:rsidP="00925410">
      <w:r w:rsidRPr="003857F4">
        <w:t>At this time no wording can be provided, as it is recommended that an acceptably revised ASA be submitted before this application is approved.</w:t>
      </w:r>
    </w:p>
    <w:p w:rsidR="008E7846" w:rsidRPr="00792A32" w:rsidRDefault="008E7846" w:rsidP="008E7846">
      <w:pPr>
        <w:pStyle w:val="Heading2"/>
      </w:pPr>
      <w:bookmarkStart w:id="127" w:name="_Toc314842510"/>
      <w:bookmarkStart w:id="128" w:name="_Toc45547450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7"/>
      <w:bookmarkEnd w:id="126"/>
      <w:bookmarkEnd w:id="127"/>
      <w:bookmarkEnd w:id="128"/>
    </w:p>
    <w:p w:rsidR="008E7846" w:rsidRDefault="008E7846" w:rsidP="008E7846">
      <w:bookmarkStart w:id="129" w:name="_Toc247691528"/>
      <w:r>
        <w:t xml:space="preserve">The submission was summarised in the following </w:t>
      </w:r>
      <w:r w:rsidRPr="00EF5C48">
        <w:t xml:space="preserve">Delegate’s </w:t>
      </w:r>
      <w:r>
        <w:t>overview</w:t>
      </w:r>
      <w:r w:rsidRPr="00EF5C48">
        <w:t xml:space="preserve"> and recommendation</w:t>
      </w:r>
      <w:r>
        <w:t>s</w:t>
      </w:r>
      <w:r w:rsidR="00794B10">
        <w:t>.</w:t>
      </w:r>
    </w:p>
    <w:p w:rsidR="008E7846" w:rsidRDefault="008E7846" w:rsidP="008E7846">
      <w:pPr>
        <w:pStyle w:val="Heading3"/>
      </w:pPr>
      <w:bookmarkStart w:id="130" w:name="_Toc314842511"/>
      <w:bookmarkStart w:id="131" w:name="_Toc455474506"/>
      <w:r>
        <w:t>Quality</w:t>
      </w:r>
      <w:bookmarkEnd w:id="129"/>
      <w:bookmarkEnd w:id="130"/>
      <w:bookmarkEnd w:id="131"/>
    </w:p>
    <w:p w:rsidR="008A6445" w:rsidRPr="008A6445" w:rsidRDefault="008A6445" w:rsidP="008A6445">
      <w:bookmarkStart w:id="132" w:name="_Toc314842512"/>
      <w:r w:rsidRPr="008A6445">
        <w:t xml:space="preserve">Approval cannot currently be recommended from a </w:t>
      </w:r>
      <w:r w:rsidR="009B42EF">
        <w:t>quality</w:t>
      </w:r>
      <w:r w:rsidRPr="008A6445">
        <w:t xml:space="preserve"> perspective as the product does not comply with Therapeutic Goods Order 78. The </w:t>
      </w:r>
      <w:r w:rsidR="009B42EF">
        <w:t xml:space="preserve">quality </w:t>
      </w:r>
      <w:r w:rsidRPr="008A6445">
        <w:t xml:space="preserve">evaluator commented that the </w:t>
      </w:r>
      <w:r w:rsidR="0029189F">
        <w:t>s</w:t>
      </w:r>
      <w:r w:rsidR="007664CA">
        <w:t xml:space="preserve">ponsor </w:t>
      </w:r>
      <w:r w:rsidRPr="008A6445">
        <w:t>has not tightened the assay limit at expiry for the active drug tenofovir alafenamide in the finished product. Also, three GMP clearances for overseas manufacturing sites are required. It is expected that these issues will be resolved after</w:t>
      </w:r>
      <w:r w:rsidR="00081D60">
        <w:t xml:space="preserve"> further action by the sponsor.</w:t>
      </w:r>
      <w:r w:rsidR="009B42EF">
        <w:rPr>
          <w:rStyle w:val="FootnoteReference"/>
        </w:rPr>
        <w:footnoteReference w:id="29"/>
      </w:r>
    </w:p>
    <w:p w:rsidR="008A6445" w:rsidRPr="00081D60" w:rsidRDefault="008A6445" w:rsidP="00081D60">
      <w:r w:rsidRPr="008A6445">
        <w:t>Regarding the su</w:t>
      </w:r>
      <w:r w:rsidR="009B42EF">
        <w:t xml:space="preserve">bmitted multi </w:t>
      </w:r>
      <w:r w:rsidRPr="008A6445">
        <w:t>dose drug interaction relat</w:t>
      </w:r>
      <w:r w:rsidR="009B42EF">
        <w:t>ive bioequivalence study, GS</w:t>
      </w:r>
      <w:r w:rsidR="009B42EF">
        <w:noBreakHyphen/>
        <w:t>US</w:t>
      </w:r>
      <w:r w:rsidR="009B42EF">
        <w:noBreakHyphen/>
      </w:r>
      <w:r w:rsidRPr="008A6445">
        <w:t xml:space="preserve">292-0103, the 90% confidence intervals for the parameter </w:t>
      </w:r>
      <w:r w:rsidR="00F616AC" w:rsidRPr="00DA1551">
        <w:t>C</w:t>
      </w:r>
      <w:r w:rsidR="00F616AC" w:rsidRPr="00F616AC">
        <w:rPr>
          <w:vertAlign w:val="subscript"/>
        </w:rPr>
        <w:t>tau</w:t>
      </w:r>
      <w:r w:rsidRPr="008A6445">
        <w:t xml:space="preserve"> were somewhat higher than the normal bioequivalence limits (80</w:t>
      </w:r>
      <w:r w:rsidR="00F02AA3">
        <w:t xml:space="preserve"> to </w:t>
      </w:r>
      <w:r w:rsidRPr="008A6445">
        <w:t xml:space="preserve">125%) for the drug substances </w:t>
      </w:r>
      <w:r w:rsidR="007E6D40">
        <w:t>COBI</w:t>
      </w:r>
      <w:r w:rsidRPr="008A6445">
        <w:t xml:space="preserve"> and </w:t>
      </w:r>
      <w:r w:rsidR="009B42EF">
        <w:t>FTC (that is;</w:t>
      </w:r>
      <w:r w:rsidRPr="008A6445">
        <w:t xml:space="preserve"> 133% and 128%, respectively). Also, for the active metabolite </w:t>
      </w:r>
      <w:r w:rsidR="009B42EF">
        <w:t>TFV</w:t>
      </w:r>
      <w:r w:rsidRPr="008A6445">
        <w:t>, all three measured parameters (</w:t>
      </w:r>
      <w:r w:rsidR="00F616AC" w:rsidRPr="00DA1551">
        <w:t>AUC</w:t>
      </w:r>
      <w:r w:rsidR="00F616AC" w:rsidRPr="00F616AC">
        <w:rPr>
          <w:vertAlign w:val="subscript"/>
        </w:rPr>
        <w:t>tau</w:t>
      </w:r>
      <w:r w:rsidRPr="008A6445">
        <w:t xml:space="preserve">, </w:t>
      </w:r>
      <w:r w:rsidR="00F616AC" w:rsidRPr="00DA1551">
        <w:t>C</w:t>
      </w:r>
      <w:r w:rsidR="00F616AC" w:rsidRPr="00F616AC">
        <w:rPr>
          <w:vertAlign w:val="subscript"/>
        </w:rPr>
        <w:t>max</w:t>
      </w:r>
      <w:r w:rsidRPr="008A6445">
        <w:t xml:space="preserve"> and </w:t>
      </w:r>
      <w:r w:rsidR="00F616AC" w:rsidRPr="00DA1551">
        <w:t>C</w:t>
      </w:r>
      <w:r w:rsidR="00F616AC" w:rsidRPr="00F616AC">
        <w:rPr>
          <w:vertAlign w:val="subscript"/>
        </w:rPr>
        <w:t>tau</w:t>
      </w:r>
      <w:r w:rsidRPr="008A6445">
        <w:t xml:space="preserve">) were just outside the normal range on the upper side (130%, 134% and 134%, respectively). Given most parameters met the usual </w:t>
      </w:r>
      <w:r w:rsidR="00AD043A" w:rsidRPr="008A6445">
        <w:t>requirements;</w:t>
      </w:r>
      <w:r w:rsidRPr="008A6445">
        <w:t xml:space="preserve"> this is not</w:t>
      </w:r>
      <w:r w:rsidR="00081D60">
        <w:t xml:space="preserve"> thought to be a major concern.</w:t>
      </w:r>
    </w:p>
    <w:p w:rsidR="008E7846" w:rsidRDefault="008E7846" w:rsidP="008E7846">
      <w:pPr>
        <w:pStyle w:val="Heading3"/>
      </w:pPr>
      <w:bookmarkStart w:id="133" w:name="_Toc455474507"/>
      <w:r>
        <w:t>Nonclinical</w:t>
      </w:r>
      <w:bookmarkEnd w:id="132"/>
      <w:bookmarkEnd w:id="133"/>
    </w:p>
    <w:p w:rsidR="008A6445" w:rsidRPr="008A6445" w:rsidRDefault="008A6445" w:rsidP="008A6445">
      <w:pPr>
        <w:spacing w:before="0" w:after="0" w:line="240" w:lineRule="auto"/>
        <w:rPr>
          <w:rFonts w:asciiTheme="minorHAnsi" w:hAnsiTheme="minorHAnsi"/>
        </w:rPr>
      </w:pPr>
      <w:r w:rsidRPr="009923F8">
        <w:rPr>
          <w:rFonts w:asciiTheme="minorHAnsi" w:hAnsiTheme="minorHAnsi"/>
        </w:rPr>
        <w:t>There were no nonclinical objections to registration</w:t>
      </w:r>
      <w:r w:rsidR="009B42EF">
        <w:rPr>
          <w:rFonts w:asciiTheme="minorHAnsi" w:hAnsiTheme="minorHAnsi"/>
        </w:rPr>
        <w:t>.</w:t>
      </w:r>
      <w:r w:rsidR="00AD043A">
        <w:t xml:space="preserve"> The non</w:t>
      </w:r>
      <w:r>
        <w:t xml:space="preserve">clinical evaluator commented that </w:t>
      </w:r>
      <w:r>
        <w:rPr>
          <w:rFonts w:asciiTheme="minorHAnsi" w:hAnsiTheme="minorHAnsi"/>
        </w:rPr>
        <w:t>t</w:t>
      </w:r>
      <w:r w:rsidRPr="009923F8">
        <w:rPr>
          <w:rFonts w:asciiTheme="minorHAnsi" w:hAnsiTheme="minorHAnsi"/>
        </w:rPr>
        <w:t>he</w:t>
      </w:r>
      <w:r>
        <w:rPr>
          <w:rFonts w:asciiTheme="minorHAnsi" w:hAnsiTheme="minorHAnsi"/>
        </w:rPr>
        <w:t xml:space="preserve"> </w:t>
      </w:r>
      <w:r w:rsidR="009B42EF">
        <w:rPr>
          <w:rFonts w:asciiTheme="minorHAnsi" w:hAnsiTheme="minorHAnsi"/>
        </w:rPr>
        <w:t xml:space="preserve">nonclinical </w:t>
      </w:r>
      <w:r>
        <w:rPr>
          <w:rFonts w:asciiTheme="minorHAnsi" w:hAnsiTheme="minorHAnsi"/>
        </w:rPr>
        <w:t xml:space="preserve">studies submitted were adequate, well designed, </w:t>
      </w:r>
      <w:r w:rsidRPr="009923F8">
        <w:rPr>
          <w:rFonts w:asciiTheme="minorHAnsi" w:hAnsiTheme="minorHAnsi"/>
        </w:rPr>
        <w:t>with m</w:t>
      </w:r>
      <w:r>
        <w:rPr>
          <w:rFonts w:asciiTheme="minorHAnsi" w:hAnsiTheme="minorHAnsi"/>
        </w:rPr>
        <w:t xml:space="preserve">ost </w:t>
      </w:r>
      <w:r w:rsidR="00061EB9">
        <w:rPr>
          <w:rFonts w:asciiTheme="minorHAnsi" w:hAnsiTheme="minorHAnsi"/>
        </w:rPr>
        <w:t xml:space="preserve">GLP </w:t>
      </w:r>
      <w:r w:rsidRPr="009923F8">
        <w:rPr>
          <w:rFonts w:asciiTheme="minorHAnsi" w:hAnsiTheme="minorHAnsi"/>
        </w:rPr>
        <w:t>compliant and in accordance with ICH guidelines</w:t>
      </w:r>
      <w:r>
        <w:rPr>
          <w:rFonts w:asciiTheme="minorHAnsi" w:hAnsiTheme="minorHAnsi"/>
        </w:rPr>
        <w:t xml:space="preserve">. </w:t>
      </w:r>
      <w:r w:rsidRPr="009923F8">
        <w:rPr>
          <w:rFonts w:asciiTheme="minorHAnsi" w:hAnsiTheme="minorHAnsi"/>
        </w:rPr>
        <w:t>Primary pharmacology studies using TAF support</w:t>
      </w:r>
      <w:r>
        <w:rPr>
          <w:rFonts w:asciiTheme="minorHAnsi" w:hAnsiTheme="minorHAnsi"/>
        </w:rPr>
        <w:t>ed its</w:t>
      </w:r>
      <w:r w:rsidRPr="009923F8">
        <w:rPr>
          <w:rFonts w:asciiTheme="minorHAnsi" w:hAnsiTheme="minorHAnsi"/>
        </w:rPr>
        <w:t xml:space="preserve"> use for the proposed indication</w:t>
      </w:r>
      <w:r>
        <w:rPr>
          <w:rFonts w:asciiTheme="minorHAnsi" w:hAnsiTheme="minorHAnsi"/>
        </w:rPr>
        <w:t xml:space="preserve"> and n</w:t>
      </w:r>
      <w:r w:rsidRPr="009923F8">
        <w:rPr>
          <w:rFonts w:asciiTheme="minorHAnsi" w:hAnsiTheme="minorHAnsi"/>
        </w:rPr>
        <w:t xml:space="preserve">o clinically relevant hazards </w:t>
      </w:r>
      <w:r>
        <w:rPr>
          <w:rFonts w:asciiTheme="minorHAnsi" w:hAnsiTheme="minorHAnsi"/>
        </w:rPr>
        <w:t xml:space="preserve">were </w:t>
      </w:r>
      <w:r w:rsidRPr="009923F8">
        <w:rPr>
          <w:rFonts w:asciiTheme="minorHAnsi" w:hAnsiTheme="minorHAnsi"/>
        </w:rPr>
        <w:t>identified with secondary pharmacodynamics and safety pharmacology studies</w:t>
      </w:r>
      <w:r>
        <w:rPr>
          <w:rFonts w:asciiTheme="minorHAnsi" w:hAnsiTheme="minorHAnsi"/>
        </w:rPr>
        <w:t xml:space="preserve">. </w:t>
      </w:r>
      <w:r w:rsidRPr="00177E02">
        <w:rPr>
          <w:rFonts w:asciiTheme="minorHAnsi" w:hAnsiTheme="minorHAnsi"/>
        </w:rPr>
        <w:t xml:space="preserve">No toxicity studies were conducted with the </w:t>
      </w:r>
      <w:r>
        <w:rPr>
          <w:rFonts w:asciiTheme="minorHAnsi" w:hAnsiTheme="minorHAnsi"/>
        </w:rPr>
        <w:t xml:space="preserve">fixed dose </w:t>
      </w:r>
      <w:r w:rsidRPr="00177E02">
        <w:rPr>
          <w:rFonts w:asciiTheme="minorHAnsi" w:hAnsiTheme="minorHAnsi"/>
        </w:rPr>
        <w:t>drug combination.</w:t>
      </w:r>
      <w:r>
        <w:rPr>
          <w:rFonts w:asciiTheme="minorHAnsi" w:hAnsiTheme="minorHAnsi"/>
        </w:rPr>
        <w:t xml:space="preserve"> This was considered acceptable according to ICH guidelines.</w:t>
      </w:r>
      <w:bookmarkStart w:id="134" w:name="_Ref451177044"/>
      <w:r>
        <w:rPr>
          <w:rStyle w:val="FootnoteReference"/>
          <w:rFonts w:asciiTheme="minorHAnsi" w:hAnsiTheme="minorHAnsi"/>
        </w:rPr>
        <w:footnoteReference w:id="30"/>
      </w:r>
      <w:bookmarkEnd w:id="134"/>
    </w:p>
    <w:p w:rsidR="008E7846" w:rsidRDefault="008E7846" w:rsidP="00692EBC">
      <w:pPr>
        <w:pStyle w:val="Heading3"/>
        <w:pageBreakBefore/>
      </w:pPr>
      <w:bookmarkStart w:id="135" w:name="_Toc247691530"/>
      <w:bookmarkStart w:id="136" w:name="_Toc314842513"/>
      <w:bookmarkStart w:id="137" w:name="_Toc455474508"/>
      <w:r>
        <w:lastRenderedPageBreak/>
        <w:t>Clinical</w:t>
      </w:r>
      <w:bookmarkEnd w:id="135"/>
      <w:bookmarkEnd w:id="136"/>
      <w:bookmarkEnd w:id="137"/>
    </w:p>
    <w:p w:rsidR="008A6445" w:rsidRPr="008A6445" w:rsidRDefault="008A6445" w:rsidP="008A6445">
      <w:bookmarkStart w:id="138" w:name="_Toc314842514"/>
      <w:r w:rsidRPr="008A6445">
        <w:t>The submission contained the following cl</w:t>
      </w:r>
      <w:r w:rsidR="00E82D4F">
        <w:t>inical information</w:t>
      </w:r>
      <w:r w:rsidRPr="008A6445">
        <w:t>.</w:t>
      </w:r>
    </w:p>
    <w:p w:rsidR="008A6445" w:rsidRPr="00E82D4F" w:rsidRDefault="008A6445" w:rsidP="00E82D4F">
      <w:pPr>
        <w:pStyle w:val="ListBullet"/>
      </w:pPr>
      <w:r w:rsidRPr="00E82D4F">
        <w:t xml:space="preserve">15 </w:t>
      </w:r>
      <w:r w:rsidR="00C40A50" w:rsidRPr="00E82D4F">
        <w:t>Phase I</w:t>
      </w:r>
      <w:r w:rsidR="00E82D4F">
        <w:t xml:space="preserve"> and Phase II</w:t>
      </w:r>
      <w:r w:rsidRPr="00E82D4F">
        <w:t xml:space="preserve"> studies of clinical pharmacology, including ten that provided </w:t>
      </w:r>
      <w:r w:rsidR="00E82D4F">
        <w:t>PK</w:t>
      </w:r>
      <w:r w:rsidRPr="00E82D4F">
        <w:t xml:space="preserve"> data and five that</w:t>
      </w:r>
      <w:r w:rsidR="003857F4" w:rsidRPr="00E82D4F">
        <w:t xml:space="preserve"> provided pharmacodynamic data.</w:t>
      </w:r>
    </w:p>
    <w:p w:rsidR="008A6445" w:rsidRPr="00E82D4F" w:rsidRDefault="008A6445" w:rsidP="00E82D4F">
      <w:pPr>
        <w:pStyle w:val="ListBullet"/>
      </w:pPr>
      <w:r w:rsidRPr="00E82D4F">
        <w:t>Two pivotal efficacy/safety studies GS-US-292-0104 and GS-US-292-0111. Both studies were rando</w:t>
      </w:r>
      <w:r w:rsidR="004145D0">
        <w:t xml:space="preserve">mised double </w:t>
      </w:r>
      <w:r w:rsidRPr="00E82D4F">
        <w:t>blind trials conducted in HIV-1 infected adults and provided a direct comparison of E</w:t>
      </w:r>
      <w:r w:rsidR="004145D0">
        <w:t>VG</w:t>
      </w:r>
      <w:r w:rsidRPr="00E82D4F">
        <w:t>/C</w:t>
      </w:r>
      <w:r w:rsidR="004145D0">
        <w:t>OBI</w:t>
      </w:r>
      <w:r w:rsidRPr="00E82D4F">
        <w:t>/F</w:t>
      </w:r>
      <w:r w:rsidR="004145D0">
        <w:t>TC</w:t>
      </w:r>
      <w:r w:rsidRPr="00E82D4F">
        <w:t>/TAF (</w:t>
      </w:r>
      <w:r w:rsidR="00CA65A1" w:rsidRPr="00E82D4F">
        <w:t>Genvoya</w:t>
      </w:r>
      <w:r w:rsidRPr="00E82D4F">
        <w:t xml:space="preserve">) with </w:t>
      </w:r>
      <w:r w:rsidR="004145D0" w:rsidRPr="004145D0">
        <w:t>EVG/COBI/FTC</w:t>
      </w:r>
      <w:r w:rsidRPr="00E82D4F">
        <w:t>/TDF (</w:t>
      </w:r>
      <w:r w:rsidR="00CA65A1" w:rsidRPr="00E82D4F">
        <w:t>Stribild</w:t>
      </w:r>
      <w:r w:rsidRPr="00E82D4F">
        <w:t>), the currently approved and m</w:t>
      </w:r>
      <w:r w:rsidR="003857F4" w:rsidRPr="00E82D4F">
        <w:t>arketed fixed dose combination.</w:t>
      </w:r>
    </w:p>
    <w:p w:rsidR="008A6445" w:rsidRPr="00E82D4F" w:rsidRDefault="008A6445" w:rsidP="00E82D4F">
      <w:pPr>
        <w:pStyle w:val="ListBullet"/>
      </w:pPr>
      <w:r w:rsidRPr="00E82D4F">
        <w:t xml:space="preserve">Additional studies included GS-US-292-0109; a Phase </w:t>
      </w:r>
      <w:r w:rsidR="004145D0">
        <w:t>III</w:t>
      </w:r>
      <w:r w:rsidRPr="00E82D4F">
        <w:t xml:space="preserve">, </w:t>
      </w:r>
      <w:r w:rsidR="005A4943" w:rsidRPr="00E82D4F">
        <w:t>open label</w:t>
      </w:r>
      <w:r w:rsidRPr="00E82D4F">
        <w:t xml:space="preserve"> study to evaluate the potential renal and/or bone b</w:t>
      </w:r>
      <w:r w:rsidR="004145D0">
        <w:t xml:space="preserve">enefits of switching from a TDF </w:t>
      </w:r>
      <w:r w:rsidRPr="00E82D4F">
        <w:t xml:space="preserve">based regimen to </w:t>
      </w:r>
      <w:r w:rsidR="00CA65A1" w:rsidRPr="00E82D4F">
        <w:t>Genvoya</w:t>
      </w:r>
      <w:r w:rsidR="004145D0">
        <w:t xml:space="preserve"> in virologically </w:t>
      </w:r>
      <w:r w:rsidRPr="00E82D4F">
        <w:t xml:space="preserve">suppressed HIV-1 positive subjects; GS-US-292-0112; an </w:t>
      </w:r>
      <w:r w:rsidR="005A4943" w:rsidRPr="00E82D4F">
        <w:t>open label</w:t>
      </w:r>
      <w:r w:rsidRPr="00E82D4F">
        <w:t xml:space="preserve"> study of </w:t>
      </w:r>
      <w:r w:rsidR="00CA65A1" w:rsidRPr="00E82D4F">
        <w:t>Genvoya</w:t>
      </w:r>
      <w:r w:rsidRPr="00E82D4F">
        <w:t xml:space="preserve"> in patients with mild to moderate </w:t>
      </w:r>
      <w:r w:rsidR="004145D0">
        <w:t>renal impairment and GS</w:t>
      </w:r>
      <w:r w:rsidR="004145D0">
        <w:noBreakHyphen/>
        <w:t>US</w:t>
      </w:r>
      <w:r w:rsidR="004145D0">
        <w:noBreakHyphen/>
      </w:r>
      <w:r w:rsidRPr="00E82D4F">
        <w:t xml:space="preserve">292-0106; an </w:t>
      </w:r>
      <w:r w:rsidR="005A4943" w:rsidRPr="00E82D4F">
        <w:t>open label</w:t>
      </w:r>
      <w:r w:rsidRPr="00E82D4F">
        <w:t xml:space="preserve"> study of </w:t>
      </w:r>
      <w:r w:rsidR="00CA65A1" w:rsidRPr="00E82D4F">
        <w:t>Genvoya</w:t>
      </w:r>
      <w:r w:rsidRPr="00E82D4F">
        <w:t xml:space="preserve"> in HIV-infec</w:t>
      </w:r>
      <w:r w:rsidR="003857F4" w:rsidRPr="00E82D4F">
        <w:t xml:space="preserve">ted treatment </w:t>
      </w:r>
      <w:r w:rsidR="00AD043A">
        <w:t>naive</w:t>
      </w:r>
      <w:r w:rsidR="003857F4" w:rsidRPr="00E82D4F">
        <w:t xml:space="preserve"> adolescents</w:t>
      </w:r>
      <w:r w:rsidR="00794B10">
        <w:t>.</w:t>
      </w:r>
    </w:p>
    <w:p w:rsidR="008A6445" w:rsidRPr="008A6445" w:rsidRDefault="008A6445" w:rsidP="00F10398">
      <w:pPr>
        <w:pStyle w:val="Heading4"/>
      </w:pPr>
      <w:r w:rsidRPr="008A6445">
        <w:t>Pharmacology</w:t>
      </w:r>
    </w:p>
    <w:p w:rsidR="008A6445" w:rsidRPr="008A6445" w:rsidRDefault="008A6445" w:rsidP="008A6445">
      <w:pPr>
        <w:pStyle w:val="Heading5"/>
      </w:pPr>
      <w:r w:rsidRPr="008A6445">
        <w:t>Pharmacokinetics</w:t>
      </w:r>
    </w:p>
    <w:p w:rsidR="008A6445" w:rsidRPr="008A6445" w:rsidRDefault="008A6445" w:rsidP="008A6445">
      <w:r w:rsidRPr="008A6445">
        <w:t xml:space="preserve">The PK studies are summarised </w:t>
      </w:r>
      <w:r w:rsidRPr="006F7053">
        <w:t xml:space="preserve">in Table </w:t>
      </w:r>
      <w:r w:rsidR="006F7053" w:rsidRPr="006F7053">
        <w:t>6 above</w:t>
      </w:r>
      <w:r w:rsidR="006F7053">
        <w:t xml:space="preserve">. </w:t>
      </w:r>
      <w:r w:rsidRPr="008A6445">
        <w:t xml:space="preserve">The PK studies focused on the TAF component of </w:t>
      </w:r>
      <w:r w:rsidR="00CA65A1">
        <w:t>Genvoya</w:t>
      </w:r>
      <w:r w:rsidRPr="008A6445">
        <w:t>, given the other three components have been previously evaluated and approved both i</w:t>
      </w:r>
      <w:r w:rsidR="0073471D">
        <w:t>ndividually and in combination.</w:t>
      </w:r>
    </w:p>
    <w:p w:rsidR="008A6445" w:rsidRPr="008A6445" w:rsidRDefault="008A6445" w:rsidP="008A6445">
      <w:r w:rsidRPr="008A6445">
        <w:t>Key points:</w:t>
      </w:r>
    </w:p>
    <w:p w:rsidR="008A6445" w:rsidRPr="008A6445" w:rsidRDefault="008A6445" w:rsidP="008A6445">
      <w:pPr>
        <w:pStyle w:val="Heading6"/>
      </w:pPr>
      <w:r w:rsidRPr="008A6445">
        <w:t>Bioavailability</w:t>
      </w:r>
    </w:p>
    <w:p w:rsidR="008A6445" w:rsidRPr="008A6445" w:rsidRDefault="008A6445" w:rsidP="008A6445">
      <w:r w:rsidRPr="008A6445">
        <w:t xml:space="preserve">Study GS-US-292-0103 was conducted to evaluate the pharmacokinetics and relative bioavailability of </w:t>
      </w:r>
      <w:r w:rsidR="00057BBC">
        <w:t>EVG</w:t>
      </w:r>
      <w:r w:rsidRPr="008A6445">
        <w:t xml:space="preserve">, </w:t>
      </w:r>
      <w:r w:rsidR="007E6D40">
        <w:t>COBI</w:t>
      </w:r>
      <w:r w:rsidR="006F7053">
        <w:t>, FTC, GS-7340 (TAF), and TFV</w:t>
      </w:r>
      <w:r w:rsidRPr="008A6445">
        <w:t xml:space="preserve"> following</w:t>
      </w:r>
      <w:r w:rsidR="0073471D">
        <w:t xml:space="preserve"> the administration of a single tablet regimen</w:t>
      </w:r>
      <w:r w:rsidRPr="008A6445">
        <w:t xml:space="preserve"> containing a </w:t>
      </w:r>
      <w:r w:rsidR="00CA65A1">
        <w:t>fixed dose</w:t>
      </w:r>
      <w:r w:rsidRPr="008A6445">
        <w:t xml:space="preserve"> combination of EVG/COBI/FTC/GS-7340</w:t>
      </w:r>
      <w:r w:rsidR="0073471D">
        <w:t>(TAF)</w:t>
      </w:r>
      <w:r w:rsidRPr="008A6445">
        <w:t xml:space="preserve">, and following administration </w:t>
      </w:r>
      <w:r w:rsidR="0073471D">
        <w:t>of the single tablet regimen</w:t>
      </w:r>
      <w:r w:rsidRPr="008A6445">
        <w:t xml:space="preserve"> components separately, in healthy subjects. The study indicated that the relative bioavailability of the </w:t>
      </w:r>
      <w:r w:rsidR="00F02AA3">
        <w:t>10 mg</w:t>
      </w:r>
      <w:r w:rsidRPr="008A6445">
        <w:t xml:space="preserve"> dose of TAF with COBI 150mg was equivalent to the 25mg dose of TAF when administered without COBI 150mg. For the </w:t>
      </w:r>
      <w:r w:rsidR="0073471D" w:rsidRPr="0073471D">
        <w:t>EVG/COBI/FTC</w:t>
      </w:r>
      <w:r w:rsidRPr="008A6445">
        <w:t xml:space="preserve">/TAF </w:t>
      </w:r>
      <w:r w:rsidR="00487096" w:rsidRPr="00487096">
        <w:t>fixed dose combination</w:t>
      </w:r>
      <w:r w:rsidRPr="008A6445">
        <w:t xml:space="preserve"> tablet that contains TAF 10 mg, TAF bioavailability was increased approximately 2.3</w:t>
      </w:r>
      <w:r w:rsidR="00C40A50">
        <w:t xml:space="preserve"> fold</w:t>
      </w:r>
      <w:r w:rsidRPr="008A6445">
        <w:t>, consistent with the exposure that occurs w</w:t>
      </w:r>
      <w:r w:rsidR="0073471D">
        <w:t>ith the TAF 25 mg single agent.</w:t>
      </w:r>
    </w:p>
    <w:p w:rsidR="008A6445" w:rsidRPr="008A6445" w:rsidRDefault="008A6445" w:rsidP="008A6445">
      <w:r w:rsidRPr="008A6445">
        <w:t xml:space="preserve">This was also confirmed with results from studies GS-US-292-0101 and GS-US-311-0101. </w:t>
      </w:r>
      <w:r w:rsidR="0073471D">
        <w:t>The Delegate noted</w:t>
      </w:r>
      <w:r w:rsidRPr="008A6445">
        <w:t xml:space="preserve"> that the </w:t>
      </w:r>
      <w:r w:rsidR="0073471D">
        <w:t xml:space="preserve">quality </w:t>
      </w:r>
      <w:r w:rsidRPr="008A6445">
        <w:t>evaluator raised concerns about the 90% confidence intervals for the bioequ</w:t>
      </w:r>
      <w:r w:rsidR="0073471D">
        <w:t>ivalence limits for this study.</w:t>
      </w:r>
    </w:p>
    <w:p w:rsidR="008A6445" w:rsidRPr="008A6445" w:rsidRDefault="008A6445" w:rsidP="008A6445">
      <w:r w:rsidRPr="008A6445">
        <w:t>The bioavailability of TAF when administered alone is estimated to be ≤ 40%.</w:t>
      </w:r>
    </w:p>
    <w:p w:rsidR="008A6445" w:rsidRPr="008A6445" w:rsidRDefault="008A6445" w:rsidP="008A6445">
      <w:r w:rsidRPr="008A6445">
        <w:t xml:space="preserve">The effect of food on the absorption and bioavailability of boosted TAF was evaluated when given as part of </w:t>
      </w:r>
      <w:r w:rsidR="0073471D" w:rsidRPr="0073471D">
        <w:t>EVG/COBI/FTC</w:t>
      </w:r>
      <w:r w:rsidRPr="008A6445">
        <w:t>/TAF (</w:t>
      </w:r>
      <w:r w:rsidR="00487096">
        <w:t xml:space="preserve">Study </w:t>
      </w:r>
      <w:r w:rsidRPr="008A6445">
        <w:t xml:space="preserve">GS-US-292-0110) and the changes in TAF exposure upon </w:t>
      </w:r>
      <w:r w:rsidR="0073471D" w:rsidRPr="0073471D">
        <w:t>EVG/COBI/FTC</w:t>
      </w:r>
      <w:r w:rsidRPr="008A6445">
        <w:t xml:space="preserve">/TAF administration with food (versus fasted) were unlikely to be clinically relevant. It is recommended that </w:t>
      </w:r>
      <w:r w:rsidR="00CA65A1">
        <w:t>Genvoya</w:t>
      </w:r>
      <w:r w:rsidRPr="008A6445">
        <w:t xml:space="preserve"> is given with food, presumably due to the increased mean systemic exposure with </w:t>
      </w:r>
      <w:r w:rsidR="00057BBC">
        <w:t>EVG</w:t>
      </w:r>
      <w:r w:rsidRPr="008A6445">
        <w:t xml:space="preserve">. The alterations in mean systemic exposures of </w:t>
      </w:r>
      <w:r w:rsidR="007E6D40">
        <w:t>COBI</w:t>
      </w:r>
      <w:r w:rsidRPr="008A6445">
        <w:t xml:space="preserve"> and </w:t>
      </w:r>
      <w:r w:rsidR="0073471D">
        <w:t>FTC</w:t>
      </w:r>
      <w:r w:rsidRPr="008A6445">
        <w:t xml:space="preserve"> were not clinically significant.</w:t>
      </w:r>
    </w:p>
    <w:p w:rsidR="008A6445" w:rsidRPr="008A6445" w:rsidRDefault="008A6445" w:rsidP="008A6445">
      <w:pPr>
        <w:pStyle w:val="Heading6"/>
      </w:pPr>
      <w:r w:rsidRPr="008A6445">
        <w:t>Absorption</w:t>
      </w:r>
    </w:p>
    <w:p w:rsidR="008A6445" w:rsidRPr="008A6445" w:rsidRDefault="005471CF" w:rsidP="008A6445">
      <w:r w:rsidRPr="005471CF">
        <w:t>Tenofovir alafenamide fumarate</w:t>
      </w:r>
      <w:r w:rsidR="008A6445" w:rsidRPr="008A6445">
        <w:t xml:space="preserve"> is transported by P-glycoprotein</w:t>
      </w:r>
      <w:r>
        <w:t xml:space="preserve"> (P-gp)</w:t>
      </w:r>
      <w:r w:rsidR="008A6445" w:rsidRPr="008A6445">
        <w:t xml:space="preserve"> and subject to metabolism by esterases expressed in the intestine. Inhibition of P-g</w:t>
      </w:r>
      <w:r>
        <w:t>p</w:t>
      </w:r>
      <w:r w:rsidR="000C551F">
        <w:t xml:space="preserve"> by COBI reduces </w:t>
      </w:r>
      <w:r w:rsidR="000C551F">
        <w:lastRenderedPageBreak/>
        <w:t>P</w:t>
      </w:r>
      <w:r w:rsidR="000C551F">
        <w:noBreakHyphen/>
      </w:r>
      <w:r w:rsidR="008A6445" w:rsidRPr="008A6445">
        <w:t>g</w:t>
      </w:r>
      <w:r>
        <w:t xml:space="preserve">p </w:t>
      </w:r>
      <w:r w:rsidR="008A6445" w:rsidRPr="008A6445">
        <w:t>mediated TAF cycling across the brush border membrane of the intestine, therefore increasing the fra</w:t>
      </w:r>
      <w:r>
        <w:t>ction of the TAF dose absorbed.</w:t>
      </w:r>
    </w:p>
    <w:p w:rsidR="008A6445" w:rsidRPr="008A6445" w:rsidRDefault="008A6445" w:rsidP="008A6445">
      <w:pPr>
        <w:pStyle w:val="Heading6"/>
      </w:pPr>
      <w:r w:rsidRPr="008A6445">
        <w:t>Distribution</w:t>
      </w:r>
    </w:p>
    <w:p w:rsidR="008A6445" w:rsidRPr="008A6445" w:rsidRDefault="008A6445" w:rsidP="008A6445">
      <w:r w:rsidRPr="008A6445">
        <w:t xml:space="preserve">The distribution of TAF into compartments, other than plasma, has not been clinically evaluated. TAF is rapidly incorporated into </w:t>
      </w:r>
      <w:r w:rsidR="005471CF">
        <w:t>PBMCs</w:t>
      </w:r>
      <w:r w:rsidRPr="008A6445">
        <w:t xml:space="preserve">, spending </w:t>
      </w:r>
      <w:r w:rsidR="005471CF">
        <w:t>very little time in plasma. In S</w:t>
      </w:r>
      <w:r w:rsidRPr="008A6445">
        <w:t xml:space="preserve">tudy GS-US-120-0104 evaluating the PK of TAF and TFV after single and multiple oral dosing of TAF 8, 25, or 40 mg monotherapy (Day 1 and Day 10) in HIV-infected subjects, TAF exhibited linear PK and was rapidly absorbed in a dose proportional manner with a median </w:t>
      </w:r>
      <w:r w:rsidR="000C551F">
        <w:t>half-life (</w:t>
      </w:r>
      <w:r w:rsidRPr="008A6445">
        <w:t>t</w:t>
      </w:r>
      <w:r w:rsidR="005471CF">
        <w:t>½</w:t>
      </w:r>
      <w:r w:rsidR="000C551F">
        <w:t xml:space="preserve">) </w:t>
      </w:r>
      <w:r w:rsidR="005471CF">
        <w:t>of approximately 0.40 hours.</w:t>
      </w:r>
    </w:p>
    <w:p w:rsidR="008A6445" w:rsidRPr="008A6445" w:rsidRDefault="008A6445" w:rsidP="008A6445">
      <w:pPr>
        <w:pStyle w:val="Heading6"/>
      </w:pPr>
      <w:r w:rsidRPr="008A6445">
        <w:t>Metabolism</w:t>
      </w:r>
    </w:p>
    <w:p w:rsidR="008A6445" w:rsidRPr="008A6445" w:rsidRDefault="008A6445" w:rsidP="008A6445">
      <w:r w:rsidRPr="008A6445">
        <w:t>Tenofovir alafenamide fumarate is subject to intracellular metabolism to TFV, which is further phosphorylated to TFV-monophosphate and TFV-</w:t>
      </w:r>
      <w:r w:rsidR="000C551F">
        <w:t xml:space="preserve">DP </w:t>
      </w:r>
      <w:r w:rsidRPr="008A6445">
        <w:t>with</w:t>
      </w:r>
      <w:r w:rsidR="000C551F">
        <w:t xml:space="preserve"> TFV-DP </w:t>
      </w:r>
      <w:r w:rsidRPr="008A6445">
        <w:t xml:space="preserve">being the pharmacologically active form. Intracellular metabolic activation of TAF in PBMCs or other lymphatic tissues involves conversion to TFV by </w:t>
      </w:r>
      <w:r w:rsidR="002A25DD" w:rsidRPr="002A25DD">
        <w:t>Cat A</w:t>
      </w:r>
      <w:r w:rsidRPr="008A6445">
        <w:t xml:space="preserve">, with lymphocytes rich in </w:t>
      </w:r>
      <w:r w:rsidR="002A25DD" w:rsidRPr="002A25DD">
        <w:t>Cat A</w:t>
      </w:r>
      <w:r w:rsidRPr="008A6445">
        <w:t>, suggesting that most conversion will occur where antiviral activity is required</w:t>
      </w:r>
      <w:r w:rsidR="002A25DD">
        <w:t>.</w:t>
      </w:r>
    </w:p>
    <w:p w:rsidR="008A6445" w:rsidRPr="008A6445" w:rsidRDefault="008A6445" w:rsidP="008A6445">
      <w:pPr>
        <w:pStyle w:val="Heading6"/>
      </w:pPr>
      <w:r w:rsidRPr="008A6445">
        <w:t>Excretion</w:t>
      </w:r>
    </w:p>
    <w:p w:rsidR="008A6445" w:rsidRPr="008A6445" w:rsidRDefault="005471CF" w:rsidP="008A6445">
      <w:r w:rsidRPr="005471CF">
        <w:t>Tenofovir alafenamide fumarate</w:t>
      </w:r>
      <w:r w:rsidR="008A6445" w:rsidRPr="008A6445">
        <w:t xml:space="preserve"> is eliminated following metabolism to its major metabolite TFV. TFV is eliminated by the kidneys by both glomerular filtration and active tubular secretion. TFV-DP, the active metabolite, has a </w:t>
      </w:r>
      <w:r w:rsidRPr="005471CF">
        <w:t>t½</w:t>
      </w:r>
      <w:r w:rsidR="008A6445" w:rsidRPr="008A6445">
        <w:t>of 150</w:t>
      </w:r>
      <w:r w:rsidR="00F02AA3">
        <w:t xml:space="preserve"> to </w:t>
      </w:r>
      <w:r w:rsidR="008A6445" w:rsidRPr="008A6445">
        <w:t xml:space="preserve">180 hours within PBMCs. Less than 1% of intact TAF is excreted via renal clearance. In human clinical studies, a 10 mg oral dose of TAF in </w:t>
      </w:r>
      <w:r w:rsidRPr="005471CF">
        <w:t>EVG/COBI/FTC</w:t>
      </w:r>
      <w:r w:rsidR="008A6445" w:rsidRPr="008A6445">
        <w:t>/TAF (Genvoya) resulted in TFV-DP concentrations &gt; 4</w:t>
      </w:r>
      <w:r w:rsidR="00C40A50">
        <w:t xml:space="preserve"> fold</w:t>
      </w:r>
      <w:r w:rsidR="008A6445" w:rsidRPr="008A6445">
        <w:t xml:space="preserve"> higher in PBMCs and &gt; 90% lower concentrations of TFV</w:t>
      </w:r>
      <w:r>
        <w:t xml:space="preserve"> in plasma as compared to a 300 </w:t>
      </w:r>
      <w:r w:rsidR="008A6445" w:rsidRPr="008A6445">
        <w:t>m</w:t>
      </w:r>
      <w:r w:rsidR="002A25DD">
        <w:t>g oral dose of TDF in Stribild.</w:t>
      </w:r>
    </w:p>
    <w:p w:rsidR="008A6445" w:rsidRPr="008A6445" w:rsidRDefault="008A6445" w:rsidP="008A6445">
      <w:pPr>
        <w:pStyle w:val="Heading6"/>
      </w:pPr>
      <w:r w:rsidRPr="008A6445">
        <w:t>Renal impairment</w:t>
      </w:r>
    </w:p>
    <w:p w:rsidR="008A6445" w:rsidRPr="008A6445" w:rsidRDefault="002A25DD" w:rsidP="00EA6D79">
      <w:pPr>
        <w:pStyle w:val="Heading7"/>
      </w:pPr>
      <w:r>
        <w:t>Study GS-US-120-0108</w:t>
      </w:r>
    </w:p>
    <w:p w:rsidR="008A6445" w:rsidRPr="008A6445" w:rsidRDefault="008A6445" w:rsidP="008A6445">
      <w:r w:rsidRPr="008A6445">
        <w:t xml:space="preserve">The effect of renal impairment on TAF exposure was examined in two studies submitted with the dossier; GS-US-120-0108, a </w:t>
      </w:r>
      <w:r w:rsidR="00C40A50">
        <w:t>Phase I</w:t>
      </w:r>
      <w:r w:rsidRPr="008A6445">
        <w:t xml:space="preserve"> study in 14 patients with severe renal impairment and 13 control subjects who were administered a single 25</w:t>
      </w:r>
      <w:r w:rsidR="005471CF">
        <w:t xml:space="preserve"> </w:t>
      </w:r>
      <w:r w:rsidRPr="008A6445">
        <w:t xml:space="preserve">mg dose of TAF and GS-US-292-0112, an </w:t>
      </w:r>
      <w:r w:rsidR="005A4943">
        <w:t>open label</w:t>
      </w:r>
      <w:r w:rsidR="005471CF">
        <w:t xml:space="preserve"> Phase III</w:t>
      </w:r>
      <w:r w:rsidRPr="008A6445">
        <w:t xml:space="preserve"> study of HIV-1 positive patients with mild to moderate renal impairment.</w:t>
      </w:r>
    </w:p>
    <w:p w:rsidR="008A6445" w:rsidRPr="008A6445" w:rsidRDefault="000C551F" w:rsidP="008A6445">
      <w:r>
        <w:t>In S</w:t>
      </w:r>
      <w:r w:rsidR="008A6445" w:rsidRPr="008A6445">
        <w:t>tudy GS-US-120-0108, subjects with severe renal impairment had a 1.9</w:t>
      </w:r>
      <w:r w:rsidR="00C40A50">
        <w:t xml:space="preserve"> fold</w:t>
      </w:r>
      <w:r w:rsidR="008A6445" w:rsidRPr="008A6445">
        <w:t xml:space="preserve"> higher TAF systemic exposure as assessed by AUC</w:t>
      </w:r>
      <w:r w:rsidR="008A6445" w:rsidRPr="005471CF">
        <w:rPr>
          <w:vertAlign w:val="subscript"/>
        </w:rPr>
        <w:t>inf</w:t>
      </w:r>
      <w:r w:rsidR="008A6445" w:rsidRPr="008A6445">
        <w:t xml:space="preserve"> relative to subjects with normal renal function. This difference was not considered clinically relevant. Subjects with severe renal impairment had a 6.05</w:t>
      </w:r>
      <w:r w:rsidR="00C40A50">
        <w:t xml:space="preserve"> fold</w:t>
      </w:r>
      <w:r w:rsidR="008A6445" w:rsidRPr="008A6445">
        <w:t xml:space="preserve"> mean increase in systemic TFV exposure as assessed by AUC</w:t>
      </w:r>
      <w:r w:rsidR="008A6445" w:rsidRPr="005876F0">
        <w:rPr>
          <w:vertAlign w:val="subscript"/>
        </w:rPr>
        <w:t>inf</w:t>
      </w:r>
      <w:r w:rsidR="008A6445" w:rsidRPr="008A6445">
        <w:t xml:space="preserve"> relative to subjects with normal renal function. Given this TFV exposure after a single dose of TAF 25mg was within or below the range of TFV plasma exposures measured in other studies after administration of TDF 300 mg in subjects and patients with normal renal function, the clinical evaluator commented that this did not seem clinically relevant</w:t>
      </w:r>
      <w:r w:rsidR="00EE637D">
        <w:t>.</w:t>
      </w:r>
    </w:p>
    <w:p w:rsidR="008A6445" w:rsidRPr="008A6445" w:rsidRDefault="008A6445" w:rsidP="00EA6D79">
      <w:pPr>
        <w:pStyle w:val="Heading7"/>
      </w:pPr>
      <w:r w:rsidRPr="008A6445">
        <w:t>Study GS-US-292-0112</w:t>
      </w:r>
    </w:p>
    <w:p w:rsidR="008A6445" w:rsidRPr="008A6445" w:rsidRDefault="00EE637D" w:rsidP="008A6445">
      <w:r>
        <w:t xml:space="preserve">Study </w:t>
      </w:r>
      <w:r w:rsidR="008A6445" w:rsidRPr="008A6445">
        <w:t>GS-US-292-0112</w:t>
      </w:r>
      <w:r>
        <w:t xml:space="preserve"> </w:t>
      </w:r>
      <w:r w:rsidRPr="00EE637D">
        <w:t>(HIV-1 patients with mild to moderate renal impairment)</w:t>
      </w:r>
      <w:r w:rsidR="008A6445" w:rsidRPr="008A6445">
        <w:t xml:space="preserve"> was an efficacy and safety study with a PK sub-study and included 248 HIV-1 patients with mild to moderate renal impairment. The study was ongoing at the time of submission with </w:t>
      </w:r>
      <w:r>
        <w:t>interim 48 week data presented.</w:t>
      </w:r>
    </w:p>
    <w:p w:rsidR="008A6445" w:rsidRPr="008A6445" w:rsidRDefault="008A6445" w:rsidP="008A6445">
      <w:r w:rsidRPr="008A6445">
        <w:t xml:space="preserve">The primary objective was to evaluate the effect of the </w:t>
      </w:r>
      <w:r w:rsidR="00EE637D" w:rsidRPr="00EE637D">
        <w:t>EVG/COBI/FTC</w:t>
      </w:r>
      <w:r w:rsidRPr="008A6445">
        <w:t xml:space="preserve">/TAF FDC on renal parameters at Week 24. The secondary objectives were to evaluate the effect of the </w:t>
      </w:r>
      <w:r w:rsidR="00EE637D" w:rsidRPr="00EE637D">
        <w:t>EVG/COBI/FTC</w:t>
      </w:r>
      <w:r w:rsidRPr="008A6445">
        <w:t xml:space="preserve">/TAF FDC on renal parameters at Weeks 48 and 96, to measure the proportion of subjects achieving virologic response (HIV-1 RNA &lt; 50 copies/mL, FDA snapshot algorithm) at Weeks 24, 48, and 96 and to evaluate the safety and tolerability of </w:t>
      </w:r>
      <w:r w:rsidRPr="008A6445">
        <w:lastRenderedPageBreak/>
        <w:t xml:space="preserve">the </w:t>
      </w:r>
      <w:r w:rsidR="00EE637D" w:rsidRPr="00EE637D">
        <w:t>EVG/COBI/FTC</w:t>
      </w:r>
      <w:r w:rsidRPr="008A6445">
        <w:t xml:space="preserve">/TAF FDC through 96 weeks of treatment. The primary renal endpoints were defined as change from baseline at Week 24 in eGFRCG, eGFR </w:t>
      </w:r>
      <w:r w:rsidR="00840811">
        <w:t>chronic kidney d</w:t>
      </w:r>
      <w:r w:rsidR="00840811" w:rsidRPr="00840811">
        <w:t xml:space="preserve">isease epidemiology collaboration equation </w:t>
      </w:r>
      <w:r w:rsidR="00840811">
        <w:t>(</w:t>
      </w:r>
      <w:r w:rsidRPr="008A6445">
        <w:t>CKD-EPI</w:t>
      </w:r>
      <w:r w:rsidR="00840811">
        <w:t>)</w:t>
      </w:r>
      <w:r w:rsidRPr="008A6445">
        <w:t>, cysC, and eGFR CKD-EPI, creatinine</w:t>
      </w:r>
      <w:r w:rsidR="00794B10">
        <w:t>.</w:t>
      </w:r>
      <w:r w:rsidRPr="00DE5D31">
        <w:rPr>
          <w:vertAlign w:val="superscript"/>
        </w:rPr>
        <w:footnoteReference w:id="31"/>
      </w:r>
    </w:p>
    <w:p w:rsidR="008A6445" w:rsidRPr="008A6445" w:rsidRDefault="008A6445" w:rsidP="008A6445">
      <w:r w:rsidRPr="008A6445">
        <w:t xml:space="preserve">Subjects with a stable eGFRCG of 30 to 69 mL/min for 3 months prior to screening were enrolled into Cohort 1 if they were on </w:t>
      </w:r>
      <w:r w:rsidR="00840811">
        <w:t>ART</w:t>
      </w:r>
      <w:r w:rsidRPr="008A6445">
        <w:t xml:space="preserve"> and virologically suppressed, or were enrolled</w:t>
      </w:r>
      <w:r w:rsidR="00840811">
        <w:t xml:space="preserve"> into Cohort 2 if they were ART </w:t>
      </w:r>
      <w:r w:rsidRPr="008A6445">
        <w:t xml:space="preserve">naive. Subjects enrolled in Cohort 1 switched treatment to </w:t>
      </w:r>
      <w:r w:rsidR="00DE5D31" w:rsidRPr="00DE5D31">
        <w:t>EVG/COBI/FTC</w:t>
      </w:r>
      <w:r w:rsidRPr="008A6445">
        <w:t>/TAF at baseline from their existing ARV regimen.</w:t>
      </w:r>
    </w:p>
    <w:p w:rsidR="008A6445" w:rsidRPr="008A6445" w:rsidRDefault="008A6445" w:rsidP="008A6445">
      <w:r w:rsidRPr="008A6445">
        <w:t xml:space="preserve">Study results for both cohorts are described in the </w:t>
      </w:r>
      <w:r w:rsidR="00DE5D31">
        <w:t>clinical evaluation report (see Attachment 2)</w:t>
      </w:r>
      <w:r w:rsidRPr="008A6445">
        <w:t xml:space="preserve">. </w:t>
      </w:r>
      <w:r w:rsidR="00DE5D31">
        <w:t>The interim 24 week conclusions</w:t>
      </w:r>
      <w:r w:rsidRPr="008A6445">
        <w:t xml:space="preserve"> included the following:</w:t>
      </w:r>
    </w:p>
    <w:p w:rsidR="008A6445" w:rsidRPr="008A6445" w:rsidRDefault="008A6445" w:rsidP="008A6445">
      <w:pPr>
        <w:pStyle w:val="ListBullet"/>
      </w:pPr>
      <w:r w:rsidRPr="008A6445">
        <w:t xml:space="preserve">The PK of the individual components of </w:t>
      </w:r>
      <w:r w:rsidR="00DE5D31" w:rsidRPr="00DE5D31">
        <w:t>EVG/COBI/FTC</w:t>
      </w:r>
      <w:r w:rsidRPr="008A6445">
        <w:t>/TAF in subjects with screening eGFRCG 30 to 69 mL/min was consistent with historical and concurrent data on these agents</w:t>
      </w:r>
    </w:p>
    <w:p w:rsidR="008A6445" w:rsidRPr="008A6445" w:rsidRDefault="008A6445" w:rsidP="008A6445">
      <w:pPr>
        <w:pStyle w:val="ListBullet"/>
      </w:pPr>
      <w:r w:rsidRPr="008A6445">
        <w:t xml:space="preserve">The sponsor stated that </w:t>
      </w:r>
      <w:r w:rsidR="00CA65A1">
        <w:t>‘</w:t>
      </w:r>
      <w:r w:rsidRPr="00DE5D31">
        <w:rPr>
          <w:i/>
        </w:rPr>
        <w:t>while TFV PK was higher in subjects with mild and moderate renal impairment, TFV exposures were well below those in patients with severe renal impairment, and were well b</w:t>
      </w:r>
      <w:r w:rsidR="00DE5D31" w:rsidRPr="00DE5D31">
        <w:rPr>
          <w:i/>
        </w:rPr>
        <w:t xml:space="preserve">elow the TFV exposures from TDF </w:t>
      </w:r>
      <w:r w:rsidRPr="00DE5D31">
        <w:rPr>
          <w:i/>
        </w:rPr>
        <w:t>containing regimens</w:t>
      </w:r>
      <w:r w:rsidRPr="008A6445">
        <w:t>.</w:t>
      </w:r>
      <w:r w:rsidR="00CA65A1">
        <w:t>’</w:t>
      </w:r>
    </w:p>
    <w:p w:rsidR="008A6445" w:rsidRPr="008A6445" w:rsidRDefault="008A6445" w:rsidP="008A6445">
      <w:pPr>
        <w:pStyle w:val="ListBullet"/>
      </w:pPr>
      <w:r w:rsidRPr="008A6445">
        <w:t xml:space="preserve">Cohort 1 switch subjects had no change in </w:t>
      </w:r>
      <w:r w:rsidR="002A25DD" w:rsidRPr="002A25DD">
        <w:t xml:space="preserve">actual glomerular filtration rate </w:t>
      </w:r>
      <w:r w:rsidR="002A25DD">
        <w:t>(</w:t>
      </w:r>
      <w:r w:rsidRPr="008A6445">
        <w:t>aGFR</w:t>
      </w:r>
      <w:r w:rsidR="002A25DD">
        <w:t>)</w:t>
      </w:r>
      <w:r w:rsidRPr="008A6445">
        <w:t xml:space="preserve"> through 24 weeks, regardless of baseli</w:t>
      </w:r>
      <w:r w:rsidR="00DE5D31">
        <w:t>ne eGFRCG or pre-switch TDF use</w:t>
      </w:r>
    </w:p>
    <w:p w:rsidR="008A6445" w:rsidRPr="008A6445" w:rsidRDefault="008A6445" w:rsidP="008A6445">
      <w:pPr>
        <w:pStyle w:val="ListBullet"/>
      </w:pPr>
      <w:r w:rsidRPr="008A6445">
        <w:t>The rate of study drug discontinua</w:t>
      </w:r>
      <w:r w:rsidR="00840811">
        <w:t>tion due to renal AEs</w:t>
      </w:r>
      <w:r w:rsidRPr="008A6445">
        <w:t xml:space="preserve"> was low, and no AEs of proximal renal tubulopathy (including </w:t>
      </w:r>
      <w:r w:rsidR="00DE5D31">
        <w:t>Fanconi Syndrome) were reported</w:t>
      </w:r>
    </w:p>
    <w:p w:rsidR="008A6445" w:rsidRPr="008A6445" w:rsidRDefault="008A6445" w:rsidP="008A6445">
      <w:pPr>
        <w:pStyle w:val="ListBullet"/>
      </w:pPr>
      <w:r w:rsidRPr="008A6445">
        <w:t>There were decreases in clinically significant proteinuria or albuminuria through Week 48 in a notable proportion of subjects.</w:t>
      </w:r>
    </w:p>
    <w:p w:rsidR="008A6445" w:rsidRPr="008A6445" w:rsidRDefault="008A6445" w:rsidP="008A6445">
      <w:pPr>
        <w:pStyle w:val="Heading6"/>
      </w:pPr>
      <w:r w:rsidRPr="008A6445">
        <w:t>Hepatic impairment</w:t>
      </w:r>
    </w:p>
    <w:p w:rsidR="008A6445" w:rsidRPr="008A6445" w:rsidRDefault="008A6445" w:rsidP="008A6445">
      <w:r w:rsidRPr="008A6445">
        <w:t>In subjects with mild to moderate hepatic impairment (n</w:t>
      </w:r>
      <w:r w:rsidR="00DE5D31">
        <w:t xml:space="preserve"> </w:t>
      </w:r>
      <w:r w:rsidRPr="008A6445">
        <w:t>=</w:t>
      </w:r>
      <w:r w:rsidR="00DE5D31">
        <w:t xml:space="preserve"> </w:t>
      </w:r>
      <w:r w:rsidRPr="008A6445">
        <w:t>10 for mild, n</w:t>
      </w:r>
      <w:r w:rsidR="00DE5D31">
        <w:t xml:space="preserve"> </w:t>
      </w:r>
      <w:r w:rsidRPr="008A6445">
        <w:t>=</w:t>
      </w:r>
      <w:r w:rsidR="00DE5D31">
        <w:t xml:space="preserve"> </w:t>
      </w:r>
      <w:r w:rsidRPr="008A6445">
        <w:t>10 for moderate hepatic impairment) the plasma exposure parameters of TAF were comparable</w:t>
      </w:r>
      <w:r w:rsidR="00CA65A1">
        <w:t xml:space="preserve"> </w:t>
      </w:r>
      <w:r w:rsidRPr="008A6445">
        <w:t>relative to 20 matched control subjects with normal h</w:t>
      </w:r>
      <w:r w:rsidR="00DE5D31">
        <w:t>epatic function (GS-US-120-0114</w:t>
      </w:r>
      <w:r w:rsidRPr="008A6445">
        <w:t>). The effect of severe hepatic impairment on the PK of TAF has not been studied. The Delegate notes that these findings have been adequately described in the PI.</w:t>
      </w:r>
    </w:p>
    <w:p w:rsidR="008A6445" w:rsidRPr="008A6445" w:rsidRDefault="00DE5D31" w:rsidP="008A6445">
      <w:pPr>
        <w:pStyle w:val="Heading6"/>
      </w:pPr>
      <w:r>
        <w:t>Adolescents</w:t>
      </w:r>
    </w:p>
    <w:p w:rsidR="008A6445" w:rsidRPr="008A6445" w:rsidRDefault="00DE5D31" w:rsidP="008A6445">
      <w:r w:rsidRPr="00DE5D31">
        <w:t>Study GS-US-292-0106</w:t>
      </w:r>
      <w:r>
        <w:t>. T</w:t>
      </w:r>
      <w:r w:rsidR="008A6445" w:rsidRPr="008A6445">
        <w:t xml:space="preserve">he effect of age of paediatric subjects on the PK of TAF and TFV was assessed based on data from Study GS-US-292-0106, where </w:t>
      </w:r>
      <w:r w:rsidRPr="00DE5D31">
        <w:t>EVG/COBI/FTC</w:t>
      </w:r>
      <w:r w:rsidR="008A6445" w:rsidRPr="008A6445">
        <w:t>/TAF was ad</w:t>
      </w:r>
      <w:r>
        <w:t xml:space="preserve">ministered to HIV infected, ART </w:t>
      </w:r>
      <w:r w:rsidR="00AD043A">
        <w:t>naive</w:t>
      </w:r>
      <w:r w:rsidR="008A6445" w:rsidRPr="008A6445">
        <w:t xml:space="preserve"> adolescents. TAF and TFV exposures were in the </w:t>
      </w:r>
      <w:r>
        <w:t xml:space="preserve">range of values observed in HIV infected, ART </w:t>
      </w:r>
      <w:r w:rsidR="008A6445" w:rsidRPr="008A6445">
        <w:t xml:space="preserve">naive adults following </w:t>
      </w:r>
      <w:r w:rsidRPr="00DE5D31">
        <w:t>EVG/COBI/FTC</w:t>
      </w:r>
      <w:r w:rsidR="008A6445" w:rsidRPr="008A6445">
        <w:t>/TAF administration, indicating no relevant effects of paediatrics (age &gt; 12 years) on the exposu</w:t>
      </w:r>
      <w:r>
        <w:t>re of TAF. In the pooled Phase II</w:t>
      </w:r>
      <w:r w:rsidR="00B324E5">
        <w:t xml:space="preserve"> and Phase III</w:t>
      </w:r>
      <w:r w:rsidR="008A6445" w:rsidRPr="008A6445">
        <w:t xml:space="preserve"> study populations used for </w:t>
      </w:r>
      <w:r w:rsidR="00B324E5">
        <w:t xml:space="preserve">TAF population PK analyses, HIV </w:t>
      </w:r>
      <w:r w:rsidR="008A6445" w:rsidRPr="008A6445">
        <w:t>infected adolescent subjects had comparable TAF and TFV exposures versus H</w:t>
      </w:r>
      <w:r w:rsidR="00B324E5">
        <w:t xml:space="preserve">IV </w:t>
      </w:r>
      <w:r w:rsidR="008A6445" w:rsidRPr="008A6445">
        <w:t>infected adult subjects, respectively, again confirming that age was not a clinically relevant covariate, at least in adolescents above 12 years of age.</w:t>
      </w:r>
    </w:p>
    <w:p w:rsidR="008A6445" w:rsidRPr="008A6445" w:rsidRDefault="008A6445" w:rsidP="008A6445">
      <w:r w:rsidRPr="008A6445">
        <w:t>These findings are relevant, given the proposed indicatio</w:t>
      </w:r>
      <w:r w:rsidR="00B324E5">
        <w:t>n in the adolescent population.</w:t>
      </w:r>
    </w:p>
    <w:p w:rsidR="008A6445" w:rsidRPr="008A6445" w:rsidRDefault="00B324E5" w:rsidP="008A6445">
      <w:pPr>
        <w:pStyle w:val="Heading6"/>
      </w:pPr>
      <w:r>
        <w:t>Drug interactions</w:t>
      </w:r>
    </w:p>
    <w:p w:rsidR="008A6445" w:rsidRPr="008A6445" w:rsidRDefault="008A6445" w:rsidP="008A6445">
      <w:r w:rsidRPr="008A6445">
        <w:t xml:space="preserve">In relation to drug interactions, the </w:t>
      </w:r>
      <w:r w:rsidR="00B324E5">
        <w:t xml:space="preserve">clinical </w:t>
      </w:r>
      <w:r w:rsidRPr="008A6445">
        <w:t xml:space="preserve">evaluator concluded that there were no specific interactions between TAF and other drugs commonly used by patients with HIV, although there are many drug interactions associated with the </w:t>
      </w:r>
      <w:r w:rsidR="00CA65A1">
        <w:t>Genvoya</w:t>
      </w:r>
      <w:r w:rsidRPr="008A6445">
        <w:t xml:space="preserve"> FDC. These are primarily due to the </w:t>
      </w:r>
      <w:r w:rsidR="007E6D40">
        <w:t>COBI</w:t>
      </w:r>
      <w:r w:rsidRPr="008A6445">
        <w:t xml:space="preserve"> component and have been described in previous assessments of </w:t>
      </w:r>
      <w:r w:rsidR="00CA65A1">
        <w:t>Stribild</w:t>
      </w:r>
      <w:r w:rsidRPr="008A6445">
        <w:t xml:space="preserve"> and of </w:t>
      </w:r>
      <w:r w:rsidR="007E6D40">
        <w:t>COBI</w:t>
      </w:r>
      <w:r w:rsidRPr="008A6445">
        <w:t xml:space="preserve">. The Delegate notes that interactions with </w:t>
      </w:r>
      <w:r w:rsidR="00CA65A1">
        <w:t>Genvoya</w:t>
      </w:r>
      <w:r w:rsidRPr="008A6445">
        <w:t xml:space="preserve"> FDC are also due </w:t>
      </w:r>
      <w:r w:rsidRPr="008A6445">
        <w:lastRenderedPageBreak/>
        <w:t xml:space="preserve">to the </w:t>
      </w:r>
      <w:r w:rsidR="00057BBC">
        <w:t>EVG</w:t>
      </w:r>
      <w:r w:rsidRPr="008A6445">
        <w:t xml:space="preserve"> compo</w:t>
      </w:r>
      <w:r w:rsidR="00057BBC">
        <w:t>nent, due to metabolism via CYP</w:t>
      </w:r>
      <w:r w:rsidRPr="008A6445">
        <w:t>3A. Drug-drug interaction studies performed as part of this submission included studies with sertraline, sofosbuvir and several ART combinations. As TAF is not available as a single agent and the sponsor has applied for TAF to be included only as a component of the FDC, the evaluator did not consider the interaction of TAF, as a single agent, with other HIV antiretroviral agents.</w:t>
      </w:r>
    </w:p>
    <w:p w:rsidR="008A6445" w:rsidRPr="008A6445" w:rsidRDefault="00B324E5" w:rsidP="008A6445">
      <w:pPr>
        <w:pStyle w:val="Heading6"/>
      </w:pPr>
      <w:r>
        <w:t>Clinical e</w:t>
      </w:r>
      <w:r w:rsidR="008A6445" w:rsidRPr="008A6445">
        <w:t>valuator</w:t>
      </w:r>
      <w:r>
        <w:t>’s</w:t>
      </w:r>
      <w:r w:rsidR="008A6445" w:rsidRPr="008A6445">
        <w:t xml:space="preserve"> </w:t>
      </w:r>
      <w:r>
        <w:t>conclusions on pharmacokinetics</w:t>
      </w:r>
    </w:p>
    <w:p w:rsidR="008A6445" w:rsidRPr="008A6445" w:rsidRDefault="008A6445" w:rsidP="008A6445">
      <w:r w:rsidRPr="008A6445">
        <w:t xml:space="preserve">The PK studies submitted by the sponsor indicated that TAF at a dose of </w:t>
      </w:r>
      <w:r w:rsidR="00F02AA3">
        <w:t>10 mg</w:t>
      </w:r>
      <w:r w:rsidR="00B324E5">
        <w:t xml:space="preserve"> in the single </w:t>
      </w:r>
      <w:r w:rsidRPr="008A6445">
        <w:t>tablet regimen (boosted by COBI) or 25mg (un</w:t>
      </w:r>
      <w:r w:rsidR="00B324E5">
        <w:t>-</w:t>
      </w:r>
      <w:r w:rsidRPr="008A6445">
        <w:t xml:space="preserve">boosted) has a circulating level of </w:t>
      </w:r>
      <w:r w:rsidR="00B324E5">
        <w:t>TFV</w:t>
      </w:r>
      <w:r w:rsidRPr="008A6445">
        <w:t xml:space="preserve"> that is 90% less than the current dose of TDF </w:t>
      </w:r>
      <w:r w:rsidR="00F02AA3">
        <w:t>300 mg</w:t>
      </w:r>
      <w:r w:rsidRPr="008A6445">
        <w:t xml:space="preserve">, which is the approved dose component of </w:t>
      </w:r>
      <w:r w:rsidR="00CA65A1">
        <w:t>Stribild</w:t>
      </w:r>
      <w:r w:rsidRPr="008A6445">
        <w:t xml:space="preserve">. There were limited data on subjects of advanced ages. Overall, the </w:t>
      </w:r>
      <w:r w:rsidR="00B324E5">
        <w:t xml:space="preserve">clinical </w:t>
      </w:r>
      <w:r w:rsidRPr="008A6445">
        <w:t>evaluator felt that of the PK of TAF had been adequately covered in the submission. The Delegate feels that in relation</w:t>
      </w:r>
      <w:r w:rsidR="00840811">
        <w:t xml:space="preserve"> to race and ethnicity, the PK S</w:t>
      </w:r>
      <w:r w:rsidRPr="008A6445">
        <w:t>tudy GS-US-29</w:t>
      </w:r>
      <w:r w:rsidR="00B324E5">
        <w:t>2-0108</w:t>
      </w:r>
      <w:r w:rsidRPr="008A6445">
        <w:t xml:space="preserve"> in 10 Japanese and 10 Caucasian subjects was too small to demonstrate a difference in PK attributable to race.</w:t>
      </w:r>
    </w:p>
    <w:p w:rsidR="008A6445" w:rsidRPr="008A6445" w:rsidRDefault="00B324E5" w:rsidP="008A6445">
      <w:pPr>
        <w:pStyle w:val="Heading5"/>
      </w:pPr>
      <w:r>
        <w:t>Pharmacodynamics</w:t>
      </w:r>
    </w:p>
    <w:p w:rsidR="008A6445" w:rsidRPr="008A6445" w:rsidRDefault="008A6445" w:rsidP="008A6445">
      <w:r w:rsidRPr="008A6445">
        <w:t xml:space="preserve">The </w:t>
      </w:r>
      <w:r w:rsidR="00840811">
        <w:t xml:space="preserve">clinical </w:t>
      </w:r>
      <w:r w:rsidRPr="008A6445">
        <w:t xml:space="preserve">evaluator concluded that TAF showed broad anti-HIV activity in human PBMCs against all HIV-1 groups and potent antiviral activity against HIV-2. </w:t>
      </w:r>
      <w:r w:rsidR="00B324E5">
        <w:t>Tenofovir alafenamide fumarate</w:t>
      </w:r>
      <w:r w:rsidRPr="008A6445">
        <w:t xml:space="preserve"> also has shown potent antiviral activity against HIV-1 isolates resistant to other ARV drug classes. The PK/PD profiles of </w:t>
      </w:r>
      <w:r w:rsidR="00B324E5" w:rsidRPr="00B324E5">
        <w:t>EVG/COBI/FTC</w:t>
      </w:r>
      <w:r w:rsidRPr="008A6445">
        <w:t>/TAF and its components have been clearly established in HIV-1 infected subjects and certain special populations.</w:t>
      </w:r>
    </w:p>
    <w:p w:rsidR="008A6445" w:rsidRPr="008A6445" w:rsidRDefault="008A6445" w:rsidP="008A6445">
      <w:r w:rsidRPr="008A6445">
        <w:t xml:space="preserve">Relevant to the adolescent indication, the PK/PD of the individual components of </w:t>
      </w:r>
      <w:r w:rsidR="00B324E5" w:rsidRPr="00B324E5">
        <w:t>EVG/COBI/FTC</w:t>
      </w:r>
      <w:r w:rsidRPr="008A6445">
        <w:t xml:space="preserve">/TAF in adolescents were consistent with the range of exposures associated with antiviral activity of </w:t>
      </w:r>
      <w:r w:rsidR="00B324E5" w:rsidRPr="00B324E5">
        <w:t>EVG/COBI/FTC</w:t>
      </w:r>
      <w:r w:rsidRPr="008A6445">
        <w:t xml:space="preserve">/TAF in adults, which supports the extrapolation of efficacy data from paediatrics to adult subjects and the use of </w:t>
      </w:r>
      <w:r w:rsidR="00B324E5" w:rsidRPr="00B324E5">
        <w:t>EVG/COBI/FTC</w:t>
      </w:r>
      <w:r w:rsidRPr="008A6445">
        <w:t>/TAF in patients &gt; 12 years.</w:t>
      </w:r>
    </w:p>
    <w:p w:rsidR="008A6445" w:rsidRPr="008A6445" w:rsidRDefault="008A6445" w:rsidP="008A6445">
      <w:pPr>
        <w:pStyle w:val="Heading5"/>
      </w:pPr>
      <w:r w:rsidRPr="008A6445">
        <w:t>Efficacy</w:t>
      </w:r>
    </w:p>
    <w:p w:rsidR="008A6445" w:rsidRPr="008A6445" w:rsidRDefault="008A6445" w:rsidP="008A6445">
      <w:r w:rsidRPr="008A6445">
        <w:t>Efficacy studies to support this application were based on interim (48 week) results in ART-</w:t>
      </w:r>
      <w:r w:rsidR="00AD043A">
        <w:t>naive</w:t>
      </w:r>
      <w:r w:rsidRPr="008A6445">
        <w:t xml:space="preserve"> adults, virologically suppressed HIV-infected adults, HIV-1 patients with mild to</w:t>
      </w:r>
      <w:r w:rsidR="00840811">
        <w:t xml:space="preserve"> moderate renal impairment (ART </w:t>
      </w:r>
      <w:r w:rsidR="00AD043A">
        <w:t>naive</w:t>
      </w:r>
      <w:r w:rsidRPr="008A6445">
        <w:t xml:space="preserve"> and virologically suppressed) and i</w:t>
      </w:r>
      <w:r w:rsidR="00840811">
        <w:t xml:space="preserve">nterim (24 week) results in ART </w:t>
      </w:r>
      <w:r w:rsidR="00AD043A">
        <w:t>naive</w:t>
      </w:r>
      <w:r w:rsidR="00840811">
        <w:t xml:space="preserve"> HIV </w:t>
      </w:r>
      <w:r w:rsidRPr="008A6445">
        <w:t>infected adolescents.</w:t>
      </w:r>
    </w:p>
    <w:p w:rsidR="008A6445" w:rsidRPr="008A6445" w:rsidRDefault="008A6445" w:rsidP="00F10398">
      <w:pPr>
        <w:pStyle w:val="TableTitle"/>
      </w:pPr>
      <w:r>
        <w:t xml:space="preserve">Table </w:t>
      </w:r>
      <w:r w:rsidR="00B324E5">
        <w:t>14.</w:t>
      </w:r>
      <w:r>
        <w:t xml:space="preserve"> </w:t>
      </w:r>
      <w:r w:rsidRPr="008A6445">
        <w:t>Overview of efficacy and safety studies</w:t>
      </w:r>
    </w:p>
    <w:tbl>
      <w:tblPr>
        <w:tblStyle w:val="TableTGAblue"/>
        <w:tblW w:w="8613" w:type="dxa"/>
        <w:tblLayout w:type="fixed"/>
        <w:tblLook w:val="04A0" w:firstRow="1" w:lastRow="0" w:firstColumn="1" w:lastColumn="0" w:noHBand="0" w:noVBand="1"/>
      </w:tblPr>
      <w:tblGrid>
        <w:gridCol w:w="1384"/>
        <w:gridCol w:w="1276"/>
        <w:gridCol w:w="1701"/>
        <w:gridCol w:w="1559"/>
        <w:gridCol w:w="1418"/>
        <w:gridCol w:w="1275"/>
      </w:tblGrid>
      <w:tr w:rsidR="009D6A1E" w:rsidRPr="009D6A1E" w:rsidTr="009D6A1E">
        <w:trPr>
          <w:cnfStyle w:val="100000000000" w:firstRow="1" w:lastRow="0" w:firstColumn="0" w:lastColumn="0" w:oddVBand="0" w:evenVBand="0" w:oddHBand="0" w:evenHBand="0" w:firstRowFirstColumn="0" w:firstRowLastColumn="0" w:lastRowFirstColumn="0" w:lastRowLastColumn="0"/>
          <w:trHeight w:val="129"/>
        </w:trPr>
        <w:tc>
          <w:tcPr>
            <w:tcW w:w="1384" w:type="dxa"/>
          </w:tcPr>
          <w:p w:rsidR="008A6445" w:rsidRPr="009D6A1E" w:rsidRDefault="008A6445" w:rsidP="009D6A1E">
            <w:pPr>
              <w:ind w:left="0" w:right="0"/>
              <w:rPr>
                <w:sz w:val="18"/>
                <w:szCs w:val="18"/>
              </w:rPr>
            </w:pPr>
            <w:r w:rsidRPr="009D6A1E">
              <w:rPr>
                <w:sz w:val="18"/>
                <w:szCs w:val="18"/>
              </w:rPr>
              <w:t>Study, year commenced</w:t>
            </w:r>
          </w:p>
        </w:tc>
        <w:tc>
          <w:tcPr>
            <w:tcW w:w="1276" w:type="dxa"/>
          </w:tcPr>
          <w:p w:rsidR="008A6445" w:rsidRPr="009D6A1E" w:rsidRDefault="008A6445" w:rsidP="009D6A1E">
            <w:pPr>
              <w:ind w:left="0" w:right="0"/>
              <w:rPr>
                <w:sz w:val="18"/>
                <w:szCs w:val="18"/>
              </w:rPr>
            </w:pPr>
            <w:r w:rsidRPr="009D6A1E">
              <w:rPr>
                <w:sz w:val="18"/>
                <w:szCs w:val="18"/>
              </w:rPr>
              <w:t>Design</w:t>
            </w:r>
          </w:p>
        </w:tc>
        <w:tc>
          <w:tcPr>
            <w:tcW w:w="1701" w:type="dxa"/>
          </w:tcPr>
          <w:p w:rsidR="008A6445" w:rsidRPr="009D6A1E" w:rsidRDefault="008A6445" w:rsidP="009D6A1E">
            <w:pPr>
              <w:ind w:left="0" w:right="0"/>
              <w:rPr>
                <w:sz w:val="18"/>
                <w:szCs w:val="18"/>
              </w:rPr>
            </w:pPr>
            <w:r w:rsidRPr="009D6A1E">
              <w:rPr>
                <w:sz w:val="18"/>
                <w:szCs w:val="18"/>
              </w:rPr>
              <w:t>Population</w:t>
            </w:r>
          </w:p>
        </w:tc>
        <w:tc>
          <w:tcPr>
            <w:tcW w:w="1559" w:type="dxa"/>
          </w:tcPr>
          <w:p w:rsidR="008A6445" w:rsidRPr="009D6A1E" w:rsidRDefault="008A6445" w:rsidP="009D6A1E">
            <w:pPr>
              <w:ind w:left="0" w:right="0"/>
              <w:rPr>
                <w:sz w:val="18"/>
                <w:szCs w:val="18"/>
              </w:rPr>
            </w:pPr>
            <w:r w:rsidRPr="009D6A1E">
              <w:rPr>
                <w:sz w:val="18"/>
                <w:szCs w:val="18"/>
              </w:rPr>
              <w:t>Number of subjects treated</w:t>
            </w:r>
          </w:p>
        </w:tc>
        <w:tc>
          <w:tcPr>
            <w:tcW w:w="1418" w:type="dxa"/>
          </w:tcPr>
          <w:p w:rsidR="008A6445" w:rsidRPr="009D6A1E" w:rsidRDefault="008A6445" w:rsidP="009D6A1E">
            <w:pPr>
              <w:ind w:left="0" w:right="0"/>
              <w:rPr>
                <w:sz w:val="18"/>
                <w:szCs w:val="18"/>
              </w:rPr>
            </w:pPr>
            <w:r w:rsidRPr="009D6A1E">
              <w:rPr>
                <w:sz w:val="18"/>
                <w:szCs w:val="18"/>
              </w:rPr>
              <w:t>Study arms</w:t>
            </w:r>
          </w:p>
        </w:tc>
        <w:tc>
          <w:tcPr>
            <w:tcW w:w="1275" w:type="dxa"/>
          </w:tcPr>
          <w:p w:rsidR="008A6445" w:rsidRPr="009D6A1E" w:rsidRDefault="008A6445" w:rsidP="009D6A1E">
            <w:pPr>
              <w:ind w:left="0" w:right="0"/>
              <w:rPr>
                <w:sz w:val="18"/>
                <w:szCs w:val="18"/>
              </w:rPr>
            </w:pPr>
            <w:r w:rsidRPr="009D6A1E">
              <w:rPr>
                <w:sz w:val="18"/>
                <w:szCs w:val="18"/>
              </w:rPr>
              <w:t>Study duration</w:t>
            </w:r>
          </w:p>
        </w:tc>
      </w:tr>
      <w:tr w:rsidR="008A6445" w:rsidRPr="009D6A1E" w:rsidTr="009D6A1E">
        <w:trPr>
          <w:trHeight w:val="129"/>
        </w:trPr>
        <w:tc>
          <w:tcPr>
            <w:tcW w:w="8613" w:type="dxa"/>
            <w:gridSpan w:val="6"/>
          </w:tcPr>
          <w:p w:rsidR="008A6445" w:rsidRPr="009D6A1E" w:rsidRDefault="009D6A1E" w:rsidP="009D6A1E">
            <w:pPr>
              <w:ind w:left="0" w:right="0"/>
              <w:rPr>
                <w:rFonts w:asciiTheme="minorHAnsi" w:hAnsiTheme="minorHAnsi"/>
                <w:b/>
                <w:sz w:val="18"/>
                <w:szCs w:val="18"/>
              </w:rPr>
            </w:pPr>
            <w:r>
              <w:rPr>
                <w:rFonts w:asciiTheme="minorHAnsi" w:hAnsiTheme="minorHAnsi"/>
                <w:b/>
                <w:sz w:val="18"/>
                <w:szCs w:val="18"/>
              </w:rPr>
              <w:t>Phase II</w:t>
            </w:r>
          </w:p>
        </w:tc>
      </w:tr>
      <w:tr w:rsidR="009D6A1E" w:rsidRPr="009D6A1E" w:rsidTr="009D6A1E">
        <w:trPr>
          <w:trHeight w:val="129"/>
        </w:trPr>
        <w:tc>
          <w:tcPr>
            <w:tcW w:w="1384"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GS-US-292-0102</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Commenced 2011</w:t>
            </w:r>
          </w:p>
        </w:tc>
        <w:tc>
          <w:tcPr>
            <w:tcW w:w="1276" w:type="dxa"/>
          </w:tcPr>
          <w:p w:rsidR="008A6445" w:rsidRPr="009D6A1E" w:rsidRDefault="00B324E5" w:rsidP="009D6A1E">
            <w:pPr>
              <w:ind w:left="0" w:right="0"/>
              <w:rPr>
                <w:rFonts w:asciiTheme="minorHAnsi" w:hAnsiTheme="minorHAnsi"/>
                <w:sz w:val="18"/>
                <w:szCs w:val="18"/>
              </w:rPr>
            </w:pPr>
            <w:r>
              <w:rPr>
                <w:rFonts w:asciiTheme="minorHAnsi" w:hAnsiTheme="minorHAnsi"/>
                <w:sz w:val="18"/>
                <w:szCs w:val="18"/>
              </w:rPr>
              <w:t>Multi</w:t>
            </w:r>
            <w:r w:rsidR="008A6445" w:rsidRPr="009D6A1E">
              <w:rPr>
                <w:rFonts w:asciiTheme="minorHAnsi" w:hAnsiTheme="minorHAnsi"/>
                <w:sz w:val="18"/>
                <w:szCs w:val="18"/>
              </w:rPr>
              <w:t>centre study in 2 phases:</w:t>
            </w:r>
          </w:p>
          <w:p w:rsidR="008A6445" w:rsidRPr="009D6A1E" w:rsidRDefault="00B324E5" w:rsidP="009D6A1E">
            <w:pPr>
              <w:ind w:left="0" w:right="0"/>
              <w:rPr>
                <w:rFonts w:asciiTheme="minorHAnsi" w:hAnsiTheme="minorHAnsi"/>
                <w:sz w:val="18"/>
                <w:szCs w:val="18"/>
              </w:rPr>
            </w:pPr>
            <w:r>
              <w:rPr>
                <w:rFonts w:asciiTheme="minorHAnsi" w:hAnsiTheme="minorHAnsi"/>
                <w:sz w:val="18"/>
                <w:szCs w:val="18"/>
              </w:rPr>
              <w:t xml:space="preserve">Randomised, double blind, active </w:t>
            </w:r>
            <w:r w:rsidR="008A6445" w:rsidRPr="009D6A1E">
              <w:rPr>
                <w:rFonts w:asciiTheme="minorHAnsi" w:hAnsiTheme="minorHAnsi"/>
                <w:sz w:val="18"/>
                <w:szCs w:val="18"/>
              </w:rPr>
              <w:t xml:space="preserve">controlled phase and an </w:t>
            </w:r>
            <w:r w:rsidR="005A4943">
              <w:rPr>
                <w:rFonts w:asciiTheme="minorHAnsi" w:hAnsiTheme="minorHAnsi"/>
                <w:sz w:val="18"/>
                <w:szCs w:val="18"/>
              </w:rPr>
              <w:t>open label</w:t>
            </w:r>
            <w:r w:rsidR="008A6445" w:rsidRPr="009D6A1E">
              <w:rPr>
                <w:rFonts w:asciiTheme="minorHAnsi" w:hAnsiTheme="minorHAnsi"/>
                <w:sz w:val="18"/>
                <w:szCs w:val="18"/>
              </w:rPr>
              <w:t xml:space="preserve"> extension phase</w:t>
            </w:r>
          </w:p>
        </w:tc>
        <w:tc>
          <w:tcPr>
            <w:tcW w:w="1701" w:type="dxa"/>
          </w:tcPr>
          <w:p w:rsidR="008A6445" w:rsidRPr="009D6A1E" w:rsidRDefault="00B324E5" w:rsidP="009D6A1E">
            <w:pPr>
              <w:ind w:left="0" w:right="0"/>
              <w:rPr>
                <w:rFonts w:asciiTheme="minorHAnsi" w:hAnsiTheme="minorHAnsi"/>
                <w:sz w:val="18"/>
                <w:szCs w:val="18"/>
              </w:rPr>
            </w:pPr>
            <w:r>
              <w:rPr>
                <w:rFonts w:asciiTheme="minorHAnsi" w:hAnsiTheme="minorHAnsi"/>
                <w:sz w:val="18"/>
                <w:szCs w:val="18"/>
              </w:rPr>
              <w:t xml:space="preserve">ART </w:t>
            </w:r>
            <w:r w:rsidR="00AD043A">
              <w:rPr>
                <w:rFonts w:asciiTheme="minorHAnsi" w:hAnsiTheme="minorHAnsi"/>
                <w:sz w:val="18"/>
                <w:szCs w:val="18"/>
              </w:rPr>
              <w:t>naive</w:t>
            </w:r>
            <w:r>
              <w:rPr>
                <w:rFonts w:asciiTheme="minorHAnsi" w:hAnsiTheme="minorHAnsi"/>
                <w:sz w:val="18"/>
                <w:szCs w:val="18"/>
              </w:rPr>
              <w:t xml:space="preserve"> adults and both ART </w:t>
            </w:r>
            <w:r w:rsidR="00AD043A">
              <w:rPr>
                <w:rFonts w:asciiTheme="minorHAnsi" w:hAnsiTheme="minorHAnsi"/>
                <w:sz w:val="18"/>
                <w:szCs w:val="18"/>
              </w:rPr>
              <w:t>naive</w:t>
            </w:r>
            <w:r w:rsidR="008A6445" w:rsidRPr="009D6A1E">
              <w:rPr>
                <w:rFonts w:asciiTheme="minorHAnsi" w:hAnsiTheme="minorHAnsi"/>
                <w:sz w:val="18"/>
                <w:szCs w:val="18"/>
              </w:rPr>
              <w:t xml:space="preserve"> and virologically</w:t>
            </w:r>
            <w:r>
              <w:rPr>
                <w:rFonts w:asciiTheme="minorHAnsi" w:hAnsiTheme="minorHAnsi"/>
                <w:sz w:val="18"/>
                <w:szCs w:val="18"/>
              </w:rPr>
              <w:t xml:space="preserve"> suppressed HIV-infected adults </w:t>
            </w:r>
            <w:r w:rsidR="008A6445" w:rsidRPr="009D6A1E">
              <w:rPr>
                <w:rFonts w:asciiTheme="minorHAnsi" w:hAnsiTheme="minorHAnsi"/>
                <w:sz w:val="18"/>
                <w:szCs w:val="18"/>
              </w:rPr>
              <w:t>(in open label extension study)</w:t>
            </w:r>
          </w:p>
        </w:tc>
        <w:tc>
          <w:tcPr>
            <w:tcW w:w="1559"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170 (randomised phase)</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266 (extension phase: 158 from randomised study and 108 subjects rolled over from GS-US-299-0102</w:t>
            </w:r>
            <w:r w:rsidR="00B324E5">
              <w:rPr>
                <w:rFonts w:asciiTheme="minorHAnsi" w:hAnsiTheme="minorHAnsi"/>
                <w:sz w:val="18"/>
                <w:szCs w:val="18"/>
              </w:rPr>
              <w:t>)</w:t>
            </w:r>
          </w:p>
        </w:tc>
        <w:tc>
          <w:tcPr>
            <w:tcW w:w="1418"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Randomised phase</w:t>
            </w:r>
          </w:p>
          <w:p w:rsidR="008A6445" w:rsidRPr="009D6A1E" w:rsidRDefault="00B324E5" w:rsidP="009D6A1E">
            <w:pPr>
              <w:ind w:left="0" w:right="0"/>
              <w:rPr>
                <w:rFonts w:asciiTheme="minorHAnsi" w:hAnsiTheme="minorHAnsi"/>
                <w:sz w:val="18"/>
                <w:szCs w:val="18"/>
              </w:rPr>
            </w:pPr>
            <w:r w:rsidRPr="00B324E5">
              <w:rPr>
                <w:rFonts w:asciiTheme="minorHAnsi" w:hAnsiTheme="minorHAnsi"/>
                <w:sz w:val="18"/>
                <w:szCs w:val="18"/>
              </w:rPr>
              <w:t>EVG/COBI/FTC</w:t>
            </w:r>
            <w:r w:rsidR="00840811">
              <w:rPr>
                <w:rFonts w:asciiTheme="minorHAnsi" w:hAnsiTheme="minorHAnsi"/>
                <w:sz w:val="18"/>
                <w:szCs w:val="18"/>
              </w:rPr>
              <w:t xml:space="preserve">/TAF (150/150/200/10 mg) + </w:t>
            </w:r>
            <w:r w:rsidR="008A6445" w:rsidRPr="009D6A1E">
              <w:rPr>
                <w:rFonts w:asciiTheme="minorHAnsi" w:hAnsiTheme="minorHAnsi"/>
                <w:sz w:val="18"/>
                <w:szCs w:val="18"/>
              </w:rPr>
              <w:t xml:space="preserve">placebo-to-match </w:t>
            </w:r>
            <w:r w:rsidR="00057BBC">
              <w:rPr>
                <w:rFonts w:asciiTheme="minorHAnsi" w:hAnsiTheme="minorHAnsi"/>
                <w:sz w:val="18"/>
                <w:szCs w:val="18"/>
              </w:rPr>
              <w:t>Stribild</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OR</w:t>
            </w:r>
          </w:p>
          <w:p w:rsidR="008A6445" w:rsidRPr="009D6A1E" w:rsidRDefault="00057BBC" w:rsidP="009D6A1E">
            <w:pPr>
              <w:ind w:left="0" w:right="0"/>
              <w:rPr>
                <w:rFonts w:asciiTheme="minorHAnsi" w:hAnsiTheme="minorHAnsi"/>
                <w:sz w:val="18"/>
                <w:szCs w:val="18"/>
              </w:rPr>
            </w:pPr>
            <w:r>
              <w:rPr>
                <w:rFonts w:asciiTheme="minorHAnsi" w:hAnsiTheme="minorHAnsi"/>
                <w:sz w:val="18"/>
                <w:szCs w:val="18"/>
              </w:rPr>
              <w:t>Stribild</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(150/150/200</w:t>
            </w:r>
            <w:r w:rsidRPr="009D6A1E">
              <w:rPr>
                <w:rFonts w:asciiTheme="minorHAnsi" w:hAnsiTheme="minorHAnsi"/>
                <w:sz w:val="18"/>
                <w:szCs w:val="18"/>
              </w:rPr>
              <w:lastRenderedPageBreak/>
              <w:t>/300 mg)</w:t>
            </w:r>
          </w:p>
          <w:p w:rsidR="008A6445" w:rsidRPr="009D6A1E" w:rsidRDefault="00840811" w:rsidP="009D6A1E">
            <w:pPr>
              <w:ind w:left="0" w:right="0"/>
              <w:rPr>
                <w:rFonts w:asciiTheme="minorHAnsi" w:hAnsiTheme="minorHAnsi"/>
                <w:sz w:val="18"/>
                <w:szCs w:val="18"/>
              </w:rPr>
            </w:pPr>
            <w:r>
              <w:rPr>
                <w:rFonts w:asciiTheme="minorHAnsi" w:hAnsiTheme="minorHAnsi"/>
                <w:sz w:val="18"/>
                <w:szCs w:val="18"/>
              </w:rPr>
              <w:t xml:space="preserve">+ placebo-to-match </w:t>
            </w:r>
            <w:r w:rsidR="00B324E5" w:rsidRPr="00B324E5">
              <w:rPr>
                <w:rFonts w:asciiTheme="minorHAnsi" w:hAnsiTheme="minorHAnsi"/>
                <w:sz w:val="18"/>
                <w:szCs w:val="18"/>
              </w:rPr>
              <w:t>EVG/COBI/FTC</w:t>
            </w:r>
            <w:r w:rsidR="008A6445" w:rsidRPr="009D6A1E">
              <w:rPr>
                <w:rFonts w:asciiTheme="minorHAnsi" w:hAnsiTheme="minorHAnsi"/>
                <w:sz w:val="18"/>
                <w:szCs w:val="18"/>
              </w:rPr>
              <w:t>/TAF</w:t>
            </w:r>
          </w:p>
          <w:p w:rsidR="008A6445" w:rsidRPr="009D6A1E" w:rsidRDefault="005A4943" w:rsidP="009D6A1E">
            <w:pPr>
              <w:ind w:left="0" w:right="0"/>
              <w:rPr>
                <w:rFonts w:asciiTheme="minorHAnsi" w:hAnsiTheme="minorHAnsi"/>
                <w:sz w:val="18"/>
                <w:szCs w:val="18"/>
              </w:rPr>
            </w:pPr>
            <w:r>
              <w:rPr>
                <w:rFonts w:asciiTheme="minorHAnsi" w:hAnsiTheme="minorHAnsi"/>
                <w:sz w:val="18"/>
                <w:szCs w:val="18"/>
              </w:rPr>
              <w:t>Open label</w:t>
            </w:r>
            <w:r w:rsidR="00840811">
              <w:rPr>
                <w:rFonts w:asciiTheme="minorHAnsi" w:hAnsiTheme="minorHAnsi"/>
                <w:sz w:val="18"/>
                <w:szCs w:val="18"/>
              </w:rPr>
              <w:t xml:space="preserve"> phase: </w:t>
            </w:r>
            <w:r w:rsidR="00B324E5" w:rsidRPr="00B324E5">
              <w:rPr>
                <w:rFonts w:asciiTheme="minorHAnsi" w:hAnsiTheme="minorHAnsi"/>
                <w:sz w:val="18"/>
                <w:szCs w:val="18"/>
              </w:rPr>
              <w:t>EVG/COBI/FTC</w:t>
            </w:r>
            <w:r w:rsidR="00840811">
              <w:rPr>
                <w:rFonts w:asciiTheme="minorHAnsi" w:hAnsiTheme="minorHAnsi"/>
                <w:sz w:val="18"/>
                <w:szCs w:val="18"/>
              </w:rPr>
              <w:t xml:space="preserve">/TAF </w:t>
            </w:r>
            <w:r w:rsidR="008A6445" w:rsidRPr="009D6A1E">
              <w:rPr>
                <w:rFonts w:asciiTheme="minorHAnsi" w:hAnsiTheme="minorHAnsi"/>
                <w:sz w:val="18"/>
                <w:szCs w:val="18"/>
              </w:rPr>
              <w:t>(150/150/200/10 mg)</w:t>
            </w:r>
          </w:p>
        </w:tc>
        <w:tc>
          <w:tcPr>
            <w:tcW w:w="1275"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lastRenderedPageBreak/>
              <w:t>48 weeks (randomised phase)</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Ongoing for extension phase</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(week 96 interim CSR available)</w:t>
            </w:r>
          </w:p>
        </w:tc>
      </w:tr>
      <w:tr w:rsidR="008A6445" w:rsidRPr="009D6A1E" w:rsidTr="009D6A1E">
        <w:trPr>
          <w:trHeight w:val="218"/>
        </w:trPr>
        <w:tc>
          <w:tcPr>
            <w:tcW w:w="8613" w:type="dxa"/>
            <w:gridSpan w:val="6"/>
          </w:tcPr>
          <w:p w:rsidR="008A6445" w:rsidRPr="009D6A1E" w:rsidRDefault="009D6A1E" w:rsidP="009D6A1E">
            <w:pPr>
              <w:ind w:left="0" w:right="0"/>
              <w:rPr>
                <w:rFonts w:asciiTheme="minorHAnsi" w:hAnsiTheme="minorHAnsi"/>
                <w:b/>
                <w:sz w:val="18"/>
                <w:szCs w:val="18"/>
              </w:rPr>
            </w:pPr>
            <w:r w:rsidRPr="009D6A1E">
              <w:rPr>
                <w:rFonts w:asciiTheme="minorHAnsi" w:hAnsiTheme="minorHAnsi"/>
                <w:b/>
                <w:sz w:val="18"/>
                <w:szCs w:val="18"/>
              </w:rPr>
              <w:lastRenderedPageBreak/>
              <w:t>Phase III</w:t>
            </w:r>
          </w:p>
        </w:tc>
      </w:tr>
      <w:tr w:rsidR="009D6A1E" w:rsidRPr="009D6A1E" w:rsidTr="009D6A1E">
        <w:trPr>
          <w:trHeight w:val="1891"/>
        </w:trPr>
        <w:tc>
          <w:tcPr>
            <w:tcW w:w="1384"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GS-US-292-0104</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Commenced 2012</w:t>
            </w:r>
          </w:p>
        </w:tc>
        <w:tc>
          <w:tcPr>
            <w:tcW w:w="1276" w:type="dxa"/>
          </w:tcPr>
          <w:p w:rsidR="008A6445" w:rsidRPr="009D6A1E" w:rsidRDefault="00B324E5" w:rsidP="009D6A1E">
            <w:pPr>
              <w:ind w:left="0" w:right="0"/>
              <w:rPr>
                <w:rFonts w:asciiTheme="minorHAnsi" w:hAnsiTheme="minorHAnsi"/>
                <w:sz w:val="18"/>
                <w:szCs w:val="18"/>
              </w:rPr>
            </w:pPr>
            <w:r>
              <w:rPr>
                <w:rFonts w:asciiTheme="minorHAnsi" w:hAnsiTheme="minorHAnsi"/>
                <w:sz w:val="18"/>
                <w:szCs w:val="18"/>
              </w:rPr>
              <w:t xml:space="preserve">Randomised, double blind, multicentre, active </w:t>
            </w:r>
            <w:r w:rsidR="008A6445" w:rsidRPr="009D6A1E">
              <w:rPr>
                <w:rFonts w:asciiTheme="minorHAnsi" w:hAnsiTheme="minorHAnsi"/>
                <w:sz w:val="18"/>
                <w:szCs w:val="18"/>
              </w:rPr>
              <w:t>controlled study</w:t>
            </w:r>
          </w:p>
        </w:tc>
        <w:tc>
          <w:tcPr>
            <w:tcW w:w="1701" w:type="dxa"/>
          </w:tcPr>
          <w:p w:rsidR="008A6445" w:rsidRPr="009D6A1E" w:rsidRDefault="00152FCD" w:rsidP="009D6A1E">
            <w:pPr>
              <w:ind w:left="0" w:right="0"/>
              <w:rPr>
                <w:rFonts w:asciiTheme="minorHAnsi" w:hAnsiTheme="minorHAnsi"/>
                <w:sz w:val="18"/>
                <w:szCs w:val="18"/>
              </w:rPr>
            </w:pPr>
            <w:r>
              <w:rPr>
                <w:rFonts w:asciiTheme="minorHAnsi" w:hAnsiTheme="minorHAnsi"/>
                <w:sz w:val="18"/>
                <w:szCs w:val="18"/>
              </w:rPr>
              <w:t xml:space="preserve">HIV-infected ART </w:t>
            </w:r>
            <w:r w:rsidR="00AD043A">
              <w:rPr>
                <w:rFonts w:asciiTheme="minorHAnsi" w:hAnsiTheme="minorHAnsi"/>
                <w:sz w:val="18"/>
                <w:szCs w:val="18"/>
              </w:rPr>
              <w:t>naive</w:t>
            </w:r>
            <w:r w:rsidR="008A6445" w:rsidRPr="009D6A1E">
              <w:rPr>
                <w:rFonts w:asciiTheme="minorHAnsi" w:hAnsiTheme="minorHAnsi"/>
                <w:sz w:val="18"/>
                <w:szCs w:val="18"/>
              </w:rPr>
              <w:t xml:space="preserve"> adults</w:t>
            </w:r>
          </w:p>
        </w:tc>
        <w:tc>
          <w:tcPr>
            <w:tcW w:w="1559"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867</w:t>
            </w:r>
          </w:p>
        </w:tc>
        <w:tc>
          <w:tcPr>
            <w:tcW w:w="1418" w:type="dxa"/>
          </w:tcPr>
          <w:p w:rsidR="008A6445" w:rsidRPr="009D6A1E" w:rsidRDefault="00152FCD" w:rsidP="009D6A1E">
            <w:pPr>
              <w:ind w:left="0" w:right="0"/>
              <w:rPr>
                <w:rFonts w:asciiTheme="minorHAnsi" w:hAnsiTheme="minorHAnsi"/>
                <w:sz w:val="18"/>
                <w:szCs w:val="18"/>
              </w:rPr>
            </w:pPr>
            <w:r w:rsidRPr="00152FCD">
              <w:rPr>
                <w:rFonts w:asciiTheme="minorHAnsi" w:hAnsiTheme="minorHAnsi"/>
                <w:sz w:val="18"/>
                <w:szCs w:val="18"/>
              </w:rPr>
              <w:t>EVG/COBI/FTC</w:t>
            </w:r>
            <w:r w:rsidR="008A6445" w:rsidRPr="009D6A1E">
              <w:rPr>
                <w:rFonts w:asciiTheme="minorHAnsi" w:hAnsiTheme="minorHAnsi"/>
                <w:sz w:val="18"/>
                <w:szCs w:val="18"/>
              </w:rPr>
              <w:t xml:space="preserve">/TAF (150/150/200/10 mg) + placebo-to-match </w:t>
            </w:r>
            <w:r w:rsidR="00057BBC">
              <w:rPr>
                <w:rFonts w:asciiTheme="minorHAnsi" w:hAnsiTheme="minorHAnsi"/>
                <w:sz w:val="18"/>
                <w:szCs w:val="18"/>
              </w:rPr>
              <w:t>Stribild</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OR</w:t>
            </w:r>
          </w:p>
          <w:p w:rsidR="008A6445" w:rsidRPr="009D6A1E" w:rsidRDefault="00057BBC" w:rsidP="009D6A1E">
            <w:pPr>
              <w:ind w:left="0" w:right="0"/>
              <w:rPr>
                <w:rFonts w:asciiTheme="minorHAnsi" w:hAnsiTheme="minorHAnsi"/>
                <w:sz w:val="18"/>
                <w:szCs w:val="18"/>
              </w:rPr>
            </w:pPr>
            <w:r>
              <w:rPr>
                <w:rFonts w:asciiTheme="minorHAnsi" w:hAnsiTheme="minorHAnsi"/>
                <w:sz w:val="18"/>
                <w:szCs w:val="18"/>
              </w:rPr>
              <w:t>Stribild</w:t>
            </w:r>
            <w:r w:rsidR="00152FCD">
              <w:rPr>
                <w:rFonts w:asciiTheme="minorHAnsi" w:hAnsiTheme="minorHAnsi"/>
                <w:sz w:val="18"/>
                <w:szCs w:val="18"/>
              </w:rPr>
              <w:t xml:space="preserve"> + </w:t>
            </w:r>
            <w:r w:rsidR="008A6445" w:rsidRPr="009D6A1E">
              <w:rPr>
                <w:rFonts w:asciiTheme="minorHAnsi" w:hAnsiTheme="minorHAnsi"/>
                <w:sz w:val="18"/>
                <w:szCs w:val="18"/>
              </w:rPr>
              <w:t xml:space="preserve">placebo-to-match </w:t>
            </w:r>
            <w:r w:rsidR="00152FCD" w:rsidRPr="00152FCD">
              <w:rPr>
                <w:rFonts w:asciiTheme="minorHAnsi" w:hAnsiTheme="minorHAnsi"/>
                <w:sz w:val="18"/>
                <w:szCs w:val="18"/>
              </w:rPr>
              <w:t>EVG/COBI/FTC</w:t>
            </w:r>
            <w:r w:rsidR="008A6445" w:rsidRPr="009D6A1E">
              <w:rPr>
                <w:rFonts w:asciiTheme="minorHAnsi" w:hAnsiTheme="minorHAnsi"/>
                <w:sz w:val="18"/>
                <w:szCs w:val="18"/>
              </w:rPr>
              <w:t>/TAF</w:t>
            </w:r>
          </w:p>
        </w:tc>
        <w:tc>
          <w:tcPr>
            <w:tcW w:w="1275"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 xml:space="preserve">96 weeks of randomised, blinded treatment, optional rollover extension to </w:t>
            </w:r>
            <w:r w:rsidR="00152FCD" w:rsidRPr="00152FCD">
              <w:rPr>
                <w:rFonts w:asciiTheme="minorHAnsi" w:hAnsiTheme="minorHAnsi"/>
                <w:sz w:val="18"/>
                <w:szCs w:val="18"/>
              </w:rPr>
              <w:t>EVG/COBI/FTC</w:t>
            </w:r>
            <w:r w:rsidR="00152FCD">
              <w:rPr>
                <w:rFonts w:asciiTheme="minorHAnsi" w:hAnsiTheme="minorHAnsi"/>
                <w:sz w:val="18"/>
                <w:szCs w:val="18"/>
              </w:rPr>
              <w:t>/TAF</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48 week data presented only</w:t>
            </w:r>
          </w:p>
        </w:tc>
      </w:tr>
      <w:tr w:rsidR="009D6A1E" w:rsidRPr="009D6A1E" w:rsidTr="009D6A1E">
        <w:trPr>
          <w:trHeight w:val="1891"/>
        </w:trPr>
        <w:tc>
          <w:tcPr>
            <w:tcW w:w="1384"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GS-US-292-0111</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Commenced 2013</w:t>
            </w:r>
          </w:p>
        </w:tc>
        <w:tc>
          <w:tcPr>
            <w:tcW w:w="1276" w:type="dxa"/>
          </w:tcPr>
          <w:p w:rsidR="008A6445" w:rsidRPr="009D6A1E" w:rsidRDefault="00152FCD" w:rsidP="009D6A1E">
            <w:pPr>
              <w:ind w:left="0" w:right="0"/>
              <w:rPr>
                <w:rFonts w:asciiTheme="minorHAnsi" w:hAnsiTheme="minorHAnsi"/>
                <w:sz w:val="18"/>
                <w:szCs w:val="18"/>
              </w:rPr>
            </w:pPr>
            <w:r>
              <w:rPr>
                <w:rFonts w:asciiTheme="minorHAnsi" w:hAnsiTheme="minorHAnsi"/>
                <w:sz w:val="18"/>
                <w:szCs w:val="18"/>
              </w:rPr>
              <w:t xml:space="preserve">Randomised, double blind, multicentre, active </w:t>
            </w:r>
            <w:r w:rsidR="008A6445" w:rsidRPr="009D6A1E">
              <w:rPr>
                <w:rFonts w:asciiTheme="minorHAnsi" w:hAnsiTheme="minorHAnsi"/>
                <w:sz w:val="18"/>
                <w:szCs w:val="18"/>
              </w:rPr>
              <w:t>controlled study</w:t>
            </w:r>
          </w:p>
        </w:tc>
        <w:tc>
          <w:tcPr>
            <w:tcW w:w="1701" w:type="dxa"/>
          </w:tcPr>
          <w:p w:rsidR="008A6445" w:rsidRPr="009D6A1E" w:rsidRDefault="00152FCD" w:rsidP="009D6A1E">
            <w:pPr>
              <w:ind w:left="0" w:right="0"/>
              <w:rPr>
                <w:rFonts w:asciiTheme="minorHAnsi" w:hAnsiTheme="minorHAnsi"/>
                <w:sz w:val="18"/>
                <w:szCs w:val="18"/>
              </w:rPr>
            </w:pPr>
            <w:r>
              <w:rPr>
                <w:rFonts w:asciiTheme="minorHAnsi" w:hAnsiTheme="minorHAnsi"/>
                <w:sz w:val="18"/>
                <w:szCs w:val="18"/>
              </w:rPr>
              <w:t xml:space="preserve">HIV-infected ART </w:t>
            </w:r>
            <w:r w:rsidR="00AD043A">
              <w:rPr>
                <w:rFonts w:asciiTheme="minorHAnsi" w:hAnsiTheme="minorHAnsi"/>
                <w:sz w:val="18"/>
                <w:szCs w:val="18"/>
              </w:rPr>
              <w:t>naive</w:t>
            </w:r>
            <w:r w:rsidR="008A6445" w:rsidRPr="009D6A1E">
              <w:rPr>
                <w:rFonts w:asciiTheme="minorHAnsi" w:hAnsiTheme="minorHAnsi"/>
                <w:sz w:val="18"/>
                <w:szCs w:val="18"/>
              </w:rPr>
              <w:t xml:space="preserve"> adults</w:t>
            </w:r>
          </w:p>
        </w:tc>
        <w:tc>
          <w:tcPr>
            <w:tcW w:w="1559"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866</w:t>
            </w:r>
          </w:p>
        </w:tc>
        <w:tc>
          <w:tcPr>
            <w:tcW w:w="1418" w:type="dxa"/>
          </w:tcPr>
          <w:p w:rsidR="008A6445" w:rsidRPr="009D6A1E" w:rsidRDefault="00152FCD" w:rsidP="009D6A1E">
            <w:pPr>
              <w:ind w:left="0" w:right="0"/>
              <w:rPr>
                <w:rFonts w:asciiTheme="minorHAnsi" w:hAnsiTheme="minorHAnsi"/>
                <w:sz w:val="18"/>
                <w:szCs w:val="18"/>
              </w:rPr>
            </w:pPr>
            <w:r w:rsidRPr="00152FCD">
              <w:rPr>
                <w:rFonts w:asciiTheme="minorHAnsi" w:hAnsiTheme="minorHAnsi"/>
                <w:sz w:val="18"/>
                <w:szCs w:val="18"/>
              </w:rPr>
              <w:t>EVG/COBI/FTC</w:t>
            </w:r>
            <w:r w:rsidR="008A6445" w:rsidRPr="009D6A1E">
              <w:rPr>
                <w:rFonts w:asciiTheme="minorHAnsi" w:hAnsiTheme="minorHAnsi"/>
                <w:sz w:val="18"/>
                <w:szCs w:val="18"/>
              </w:rPr>
              <w:t xml:space="preserve">/TAF (150/150/200/10 mg) + placebo-to-match </w:t>
            </w:r>
            <w:r w:rsidR="00057BBC">
              <w:rPr>
                <w:rFonts w:asciiTheme="minorHAnsi" w:hAnsiTheme="minorHAnsi"/>
                <w:sz w:val="18"/>
                <w:szCs w:val="18"/>
              </w:rPr>
              <w:t>Stribild</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OR</w:t>
            </w:r>
          </w:p>
          <w:p w:rsidR="008A6445" w:rsidRPr="009D6A1E" w:rsidRDefault="00057BBC" w:rsidP="009D6A1E">
            <w:pPr>
              <w:ind w:left="0" w:right="0"/>
              <w:rPr>
                <w:rFonts w:asciiTheme="minorHAnsi" w:hAnsiTheme="minorHAnsi"/>
                <w:sz w:val="18"/>
                <w:szCs w:val="18"/>
              </w:rPr>
            </w:pPr>
            <w:r>
              <w:rPr>
                <w:rFonts w:asciiTheme="minorHAnsi" w:hAnsiTheme="minorHAnsi"/>
                <w:sz w:val="18"/>
                <w:szCs w:val="18"/>
              </w:rPr>
              <w:t>Stribild</w:t>
            </w:r>
            <w:r w:rsidR="00152FCD">
              <w:rPr>
                <w:rFonts w:asciiTheme="minorHAnsi" w:hAnsiTheme="minorHAnsi"/>
                <w:sz w:val="18"/>
                <w:szCs w:val="18"/>
              </w:rPr>
              <w:t xml:space="preserve"> + </w:t>
            </w:r>
            <w:r w:rsidR="008A6445" w:rsidRPr="009D6A1E">
              <w:rPr>
                <w:rFonts w:asciiTheme="minorHAnsi" w:hAnsiTheme="minorHAnsi"/>
                <w:sz w:val="18"/>
                <w:szCs w:val="18"/>
              </w:rPr>
              <w:t xml:space="preserve">placebo-to-match </w:t>
            </w:r>
            <w:r w:rsidR="00152FCD" w:rsidRPr="00152FCD">
              <w:rPr>
                <w:rFonts w:asciiTheme="minorHAnsi" w:hAnsiTheme="minorHAnsi"/>
                <w:sz w:val="18"/>
                <w:szCs w:val="18"/>
              </w:rPr>
              <w:t>EVG/COBI/FTC</w:t>
            </w:r>
            <w:r w:rsidR="008A6445" w:rsidRPr="009D6A1E">
              <w:rPr>
                <w:rFonts w:asciiTheme="minorHAnsi" w:hAnsiTheme="minorHAnsi"/>
                <w:sz w:val="18"/>
                <w:szCs w:val="18"/>
              </w:rPr>
              <w:t>/TAF</w:t>
            </w:r>
          </w:p>
        </w:tc>
        <w:tc>
          <w:tcPr>
            <w:tcW w:w="1275"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 xml:space="preserve">96 weeks of randomised, blinded treatment, optional rollover extension to </w:t>
            </w:r>
            <w:r w:rsidR="00152FCD" w:rsidRPr="00152FCD">
              <w:rPr>
                <w:rFonts w:asciiTheme="minorHAnsi" w:hAnsiTheme="minorHAnsi"/>
                <w:sz w:val="18"/>
                <w:szCs w:val="18"/>
              </w:rPr>
              <w:t>EVG/COBI/FTC</w:t>
            </w:r>
            <w:r w:rsidR="00152FCD">
              <w:rPr>
                <w:rFonts w:asciiTheme="minorHAnsi" w:hAnsiTheme="minorHAnsi"/>
                <w:sz w:val="18"/>
                <w:szCs w:val="18"/>
              </w:rPr>
              <w:t>/TAF</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48 week data presented only</w:t>
            </w:r>
          </w:p>
        </w:tc>
      </w:tr>
      <w:tr w:rsidR="009D6A1E" w:rsidRPr="009D6A1E" w:rsidTr="00840811">
        <w:trPr>
          <w:trHeight w:val="941"/>
        </w:trPr>
        <w:tc>
          <w:tcPr>
            <w:tcW w:w="1384"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GS-US-292-0109</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Commenced 2013</w:t>
            </w:r>
          </w:p>
        </w:tc>
        <w:tc>
          <w:tcPr>
            <w:tcW w:w="1276"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 xml:space="preserve">Randomised, </w:t>
            </w:r>
            <w:r w:rsidR="005A4943">
              <w:rPr>
                <w:rFonts w:asciiTheme="minorHAnsi" w:hAnsiTheme="minorHAnsi"/>
                <w:sz w:val="18"/>
                <w:szCs w:val="18"/>
              </w:rPr>
              <w:t>open label</w:t>
            </w:r>
            <w:r w:rsidR="00152FCD">
              <w:rPr>
                <w:rFonts w:asciiTheme="minorHAnsi" w:hAnsiTheme="minorHAnsi"/>
                <w:sz w:val="18"/>
                <w:szCs w:val="18"/>
              </w:rPr>
              <w:t xml:space="preserve"> multi centre, active </w:t>
            </w:r>
            <w:r w:rsidRPr="009D6A1E">
              <w:rPr>
                <w:rFonts w:asciiTheme="minorHAnsi" w:hAnsiTheme="minorHAnsi"/>
                <w:sz w:val="18"/>
                <w:szCs w:val="18"/>
              </w:rPr>
              <w:t>controlled</w:t>
            </w:r>
          </w:p>
        </w:tc>
        <w:tc>
          <w:tcPr>
            <w:tcW w:w="1701" w:type="dxa"/>
          </w:tcPr>
          <w:p w:rsidR="008A6445" w:rsidRPr="009D6A1E" w:rsidRDefault="00152FCD" w:rsidP="009D6A1E">
            <w:pPr>
              <w:ind w:left="0" w:right="0"/>
              <w:rPr>
                <w:rFonts w:asciiTheme="minorHAnsi" w:hAnsiTheme="minorHAnsi"/>
                <w:sz w:val="18"/>
                <w:szCs w:val="18"/>
              </w:rPr>
            </w:pPr>
            <w:r>
              <w:rPr>
                <w:rFonts w:asciiTheme="minorHAnsi" w:hAnsiTheme="minorHAnsi"/>
                <w:sz w:val="18"/>
                <w:szCs w:val="18"/>
              </w:rPr>
              <w:t xml:space="preserve">Virologically suppressed HIV </w:t>
            </w:r>
            <w:r w:rsidR="008A6445" w:rsidRPr="009D6A1E">
              <w:rPr>
                <w:rFonts w:asciiTheme="minorHAnsi" w:hAnsiTheme="minorHAnsi"/>
                <w:sz w:val="18"/>
                <w:szCs w:val="18"/>
              </w:rPr>
              <w:t>infected adults</w:t>
            </w:r>
          </w:p>
        </w:tc>
        <w:tc>
          <w:tcPr>
            <w:tcW w:w="1559"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1</w:t>
            </w:r>
            <w:r w:rsidR="00152FCD">
              <w:rPr>
                <w:rFonts w:asciiTheme="minorHAnsi" w:hAnsiTheme="minorHAnsi"/>
                <w:sz w:val="18"/>
                <w:szCs w:val="18"/>
              </w:rPr>
              <w:t>,</w:t>
            </w:r>
            <w:r w:rsidRPr="009D6A1E">
              <w:rPr>
                <w:rFonts w:asciiTheme="minorHAnsi" w:hAnsiTheme="minorHAnsi"/>
                <w:sz w:val="18"/>
                <w:szCs w:val="18"/>
              </w:rPr>
              <w:t>436</w:t>
            </w:r>
          </w:p>
        </w:tc>
        <w:tc>
          <w:tcPr>
            <w:tcW w:w="1418"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 xml:space="preserve">Treatment Group 1: Switch to </w:t>
            </w:r>
            <w:r w:rsidR="00152FCD" w:rsidRPr="00152FCD">
              <w:rPr>
                <w:rFonts w:asciiTheme="minorHAnsi" w:hAnsiTheme="minorHAnsi"/>
                <w:sz w:val="18"/>
                <w:szCs w:val="18"/>
              </w:rPr>
              <w:t>EVG/COBI/FTC</w:t>
            </w:r>
            <w:r w:rsidRPr="009D6A1E">
              <w:rPr>
                <w:rFonts w:asciiTheme="minorHAnsi" w:hAnsiTheme="minorHAnsi"/>
                <w:sz w:val="18"/>
                <w:szCs w:val="18"/>
              </w:rPr>
              <w:t>/TAF(n</w:t>
            </w:r>
            <w:r w:rsidR="00152FCD">
              <w:rPr>
                <w:rFonts w:asciiTheme="minorHAnsi" w:hAnsiTheme="minorHAnsi"/>
                <w:sz w:val="18"/>
                <w:szCs w:val="18"/>
              </w:rPr>
              <w:t xml:space="preserve"> </w:t>
            </w:r>
            <w:r w:rsidRPr="009D6A1E">
              <w:rPr>
                <w:rFonts w:asciiTheme="minorHAnsi" w:hAnsiTheme="minorHAnsi"/>
                <w:sz w:val="18"/>
                <w:szCs w:val="18"/>
              </w:rPr>
              <w:t>=</w:t>
            </w:r>
            <w:r w:rsidR="00152FCD">
              <w:rPr>
                <w:rFonts w:asciiTheme="minorHAnsi" w:hAnsiTheme="minorHAnsi"/>
                <w:sz w:val="18"/>
                <w:szCs w:val="18"/>
              </w:rPr>
              <w:t xml:space="preserve"> </w:t>
            </w:r>
            <w:r w:rsidRPr="009D6A1E">
              <w:rPr>
                <w:rFonts w:asciiTheme="minorHAnsi" w:hAnsiTheme="minorHAnsi"/>
                <w:sz w:val="18"/>
                <w:szCs w:val="18"/>
              </w:rPr>
              <w:t>1</w:t>
            </w:r>
            <w:r w:rsidR="00152FCD">
              <w:rPr>
                <w:rFonts w:asciiTheme="minorHAnsi" w:hAnsiTheme="minorHAnsi"/>
                <w:sz w:val="18"/>
                <w:szCs w:val="18"/>
              </w:rPr>
              <w:t>,000)</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 xml:space="preserve">Treatment Group 2: Stay on pre-existing FTC/TDF+3rd Agent regimen </w:t>
            </w:r>
            <w:r w:rsidRPr="009D6A1E">
              <w:rPr>
                <w:rFonts w:asciiTheme="minorHAnsi" w:hAnsiTheme="minorHAnsi"/>
                <w:sz w:val="18"/>
                <w:szCs w:val="18"/>
              </w:rPr>
              <w:lastRenderedPageBreak/>
              <w:t>(</w:t>
            </w:r>
            <w:r w:rsidR="00057BBC">
              <w:rPr>
                <w:rFonts w:asciiTheme="minorHAnsi" w:hAnsiTheme="minorHAnsi"/>
                <w:sz w:val="18"/>
                <w:szCs w:val="18"/>
              </w:rPr>
              <w:t>Stribild</w:t>
            </w:r>
            <w:r w:rsidRPr="009D6A1E">
              <w:rPr>
                <w:rFonts w:asciiTheme="minorHAnsi" w:hAnsiTheme="minorHAnsi"/>
                <w:sz w:val="18"/>
                <w:szCs w:val="18"/>
              </w:rPr>
              <w:t>, ATR,</w:t>
            </w:r>
          </w:p>
          <w:p w:rsidR="008A6445" w:rsidRPr="009D6A1E" w:rsidRDefault="00840811" w:rsidP="009D6A1E">
            <w:pPr>
              <w:ind w:left="0" w:right="0"/>
              <w:rPr>
                <w:rFonts w:asciiTheme="minorHAnsi" w:hAnsiTheme="minorHAnsi"/>
                <w:sz w:val="18"/>
                <w:szCs w:val="18"/>
              </w:rPr>
            </w:pPr>
            <w:r>
              <w:rPr>
                <w:rFonts w:asciiTheme="minorHAnsi" w:hAnsiTheme="minorHAnsi"/>
                <w:sz w:val="18"/>
                <w:szCs w:val="18"/>
              </w:rPr>
              <w:t xml:space="preserve">ATV/co+TVD, or ATV/r+TVD  </w:t>
            </w:r>
            <w:r w:rsidR="008A6445" w:rsidRPr="009D6A1E">
              <w:rPr>
                <w:rFonts w:asciiTheme="minorHAnsi" w:hAnsiTheme="minorHAnsi"/>
                <w:sz w:val="18"/>
                <w:szCs w:val="18"/>
              </w:rPr>
              <w:t>(n = 500)</w:t>
            </w:r>
          </w:p>
        </w:tc>
        <w:tc>
          <w:tcPr>
            <w:tcW w:w="1275"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lastRenderedPageBreak/>
              <w:t xml:space="preserve">96 weeks for comparative phase, option to continue treatment until it becomes commercially available or until development is </w:t>
            </w:r>
            <w:r w:rsidRPr="009D6A1E">
              <w:rPr>
                <w:rFonts w:asciiTheme="minorHAnsi" w:hAnsiTheme="minorHAnsi"/>
                <w:sz w:val="18"/>
                <w:szCs w:val="18"/>
              </w:rPr>
              <w:lastRenderedPageBreak/>
              <w:t>terminated.</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48 week data presented only</w:t>
            </w:r>
          </w:p>
        </w:tc>
      </w:tr>
      <w:tr w:rsidR="008A6445" w:rsidRPr="009D6A1E" w:rsidTr="009D6A1E">
        <w:trPr>
          <w:trHeight w:val="206"/>
        </w:trPr>
        <w:tc>
          <w:tcPr>
            <w:tcW w:w="8613" w:type="dxa"/>
            <w:gridSpan w:val="6"/>
          </w:tcPr>
          <w:p w:rsidR="008A6445" w:rsidRPr="009D6A1E" w:rsidRDefault="008A6445" w:rsidP="009D6A1E">
            <w:pPr>
              <w:ind w:left="0" w:right="0"/>
              <w:rPr>
                <w:rFonts w:asciiTheme="minorHAnsi" w:hAnsiTheme="minorHAnsi"/>
                <w:b/>
                <w:sz w:val="18"/>
                <w:szCs w:val="18"/>
              </w:rPr>
            </w:pPr>
            <w:r w:rsidRPr="009D6A1E">
              <w:rPr>
                <w:rFonts w:asciiTheme="minorHAnsi" w:hAnsiTheme="minorHAnsi"/>
                <w:b/>
                <w:sz w:val="18"/>
                <w:szCs w:val="18"/>
              </w:rPr>
              <w:lastRenderedPageBreak/>
              <w:t>Adolescents</w:t>
            </w:r>
          </w:p>
        </w:tc>
      </w:tr>
      <w:tr w:rsidR="009D6A1E" w:rsidRPr="009D6A1E" w:rsidTr="009D6A1E">
        <w:trPr>
          <w:trHeight w:val="2099"/>
        </w:trPr>
        <w:tc>
          <w:tcPr>
            <w:tcW w:w="1384"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GS-US-292-0106</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Commenced 2013</w:t>
            </w:r>
          </w:p>
        </w:tc>
        <w:tc>
          <w:tcPr>
            <w:tcW w:w="1276" w:type="dxa"/>
          </w:tcPr>
          <w:p w:rsidR="008A6445" w:rsidRPr="009D6A1E" w:rsidRDefault="00152FCD" w:rsidP="009D6A1E">
            <w:pPr>
              <w:ind w:left="0" w:right="0"/>
              <w:rPr>
                <w:rFonts w:asciiTheme="minorHAnsi" w:hAnsiTheme="minorHAnsi"/>
                <w:sz w:val="18"/>
                <w:szCs w:val="18"/>
              </w:rPr>
            </w:pPr>
            <w:r>
              <w:rPr>
                <w:rFonts w:asciiTheme="minorHAnsi" w:hAnsiTheme="minorHAnsi"/>
                <w:sz w:val="18"/>
                <w:szCs w:val="18"/>
              </w:rPr>
              <w:t>Phase II/III</w:t>
            </w:r>
            <w:r w:rsidR="008A6445" w:rsidRPr="009D6A1E">
              <w:rPr>
                <w:rFonts w:asciiTheme="minorHAnsi" w:hAnsiTheme="minorHAnsi"/>
                <w:sz w:val="18"/>
                <w:szCs w:val="18"/>
              </w:rPr>
              <w:t xml:space="preserve">, 2 part, </w:t>
            </w:r>
            <w:r>
              <w:rPr>
                <w:rFonts w:asciiTheme="minorHAnsi" w:hAnsiTheme="minorHAnsi"/>
                <w:sz w:val="18"/>
                <w:szCs w:val="18"/>
              </w:rPr>
              <w:t>o</w:t>
            </w:r>
            <w:r w:rsidR="005A4943">
              <w:rPr>
                <w:rFonts w:asciiTheme="minorHAnsi" w:hAnsiTheme="minorHAnsi"/>
                <w:sz w:val="18"/>
                <w:szCs w:val="18"/>
              </w:rPr>
              <w:t>pen label</w:t>
            </w:r>
            <w:r>
              <w:rPr>
                <w:rFonts w:asciiTheme="minorHAnsi" w:hAnsiTheme="minorHAnsi"/>
                <w:sz w:val="18"/>
                <w:szCs w:val="18"/>
              </w:rPr>
              <w:t xml:space="preserve"> multi</w:t>
            </w:r>
            <w:r w:rsidR="008A6445" w:rsidRPr="009D6A1E">
              <w:rPr>
                <w:rFonts w:asciiTheme="minorHAnsi" w:hAnsiTheme="minorHAnsi"/>
                <w:sz w:val="18"/>
                <w:szCs w:val="18"/>
              </w:rPr>
              <w:t>centre PK, safety and anti-viral activity study</w:t>
            </w:r>
          </w:p>
        </w:tc>
        <w:tc>
          <w:tcPr>
            <w:tcW w:w="1701"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A</w:t>
            </w:r>
            <w:r w:rsidR="00152FCD">
              <w:rPr>
                <w:rFonts w:asciiTheme="minorHAnsi" w:hAnsiTheme="minorHAnsi"/>
                <w:sz w:val="18"/>
                <w:szCs w:val="18"/>
              </w:rPr>
              <w:t xml:space="preserve">RT </w:t>
            </w:r>
            <w:r w:rsidR="00AD043A">
              <w:rPr>
                <w:rFonts w:asciiTheme="minorHAnsi" w:hAnsiTheme="minorHAnsi"/>
                <w:sz w:val="18"/>
                <w:szCs w:val="18"/>
              </w:rPr>
              <w:t>naive</w:t>
            </w:r>
            <w:r w:rsidR="00152FCD">
              <w:rPr>
                <w:rFonts w:asciiTheme="minorHAnsi" w:hAnsiTheme="minorHAnsi"/>
                <w:sz w:val="18"/>
                <w:szCs w:val="18"/>
              </w:rPr>
              <w:t xml:space="preserve"> HIV </w:t>
            </w:r>
            <w:r w:rsidRPr="009D6A1E">
              <w:rPr>
                <w:rFonts w:asciiTheme="minorHAnsi" w:hAnsiTheme="minorHAnsi"/>
                <w:sz w:val="18"/>
                <w:szCs w:val="18"/>
              </w:rPr>
              <w:t>infected adolescents</w:t>
            </w:r>
          </w:p>
        </w:tc>
        <w:tc>
          <w:tcPr>
            <w:tcW w:w="1559"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48</w:t>
            </w:r>
          </w:p>
        </w:tc>
        <w:tc>
          <w:tcPr>
            <w:tcW w:w="1418"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 xml:space="preserve">FDC tablet of </w:t>
            </w:r>
            <w:r w:rsidR="00152FCD" w:rsidRPr="00152FCD">
              <w:rPr>
                <w:rFonts w:asciiTheme="minorHAnsi" w:hAnsiTheme="minorHAnsi"/>
                <w:sz w:val="18"/>
                <w:szCs w:val="18"/>
              </w:rPr>
              <w:t>EVG/COBI/FTC</w:t>
            </w:r>
            <w:r w:rsidRPr="009D6A1E">
              <w:rPr>
                <w:rFonts w:asciiTheme="minorHAnsi" w:hAnsiTheme="minorHAnsi"/>
                <w:sz w:val="18"/>
                <w:szCs w:val="18"/>
              </w:rPr>
              <w:t>/TAF (150/150/200/10 mg)</w:t>
            </w:r>
          </w:p>
        </w:tc>
        <w:tc>
          <w:tcPr>
            <w:tcW w:w="1275"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 xml:space="preserve">48 weeks. After 48 weeks, option to participate in an extension phase and continue treatment with </w:t>
            </w:r>
            <w:r w:rsidR="00152FCD" w:rsidRPr="00152FCD">
              <w:rPr>
                <w:rFonts w:asciiTheme="minorHAnsi" w:hAnsiTheme="minorHAnsi"/>
                <w:sz w:val="18"/>
                <w:szCs w:val="18"/>
              </w:rPr>
              <w:t>EVG/COBI/FTC</w:t>
            </w:r>
            <w:r w:rsidR="00152FCD">
              <w:rPr>
                <w:rFonts w:asciiTheme="minorHAnsi" w:hAnsiTheme="minorHAnsi"/>
                <w:sz w:val="18"/>
                <w:szCs w:val="18"/>
              </w:rPr>
              <w:t xml:space="preserve">/TAF. </w:t>
            </w:r>
            <w:r w:rsidRPr="009D6A1E">
              <w:rPr>
                <w:rFonts w:asciiTheme="minorHAnsi" w:hAnsiTheme="minorHAnsi"/>
                <w:sz w:val="18"/>
                <w:szCs w:val="18"/>
              </w:rPr>
              <w:t>24 week data presented only</w:t>
            </w:r>
          </w:p>
        </w:tc>
      </w:tr>
      <w:tr w:rsidR="008A6445" w:rsidRPr="009D6A1E" w:rsidTr="009D6A1E">
        <w:trPr>
          <w:trHeight w:val="218"/>
        </w:trPr>
        <w:tc>
          <w:tcPr>
            <w:tcW w:w="8613" w:type="dxa"/>
            <w:gridSpan w:val="6"/>
          </w:tcPr>
          <w:p w:rsidR="008A6445" w:rsidRPr="009D6A1E" w:rsidRDefault="008A6445" w:rsidP="009D6A1E">
            <w:pPr>
              <w:ind w:left="0" w:right="0"/>
              <w:rPr>
                <w:rFonts w:asciiTheme="minorHAnsi" w:hAnsiTheme="minorHAnsi"/>
                <w:b/>
                <w:sz w:val="18"/>
                <w:szCs w:val="18"/>
              </w:rPr>
            </w:pPr>
            <w:r w:rsidRPr="009D6A1E">
              <w:rPr>
                <w:rFonts w:asciiTheme="minorHAnsi" w:hAnsiTheme="minorHAnsi"/>
                <w:b/>
                <w:sz w:val="18"/>
                <w:szCs w:val="18"/>
              </w:rPr>
              <w:t>Renal impairment</w:t>
            </w:r>
          </w:p>
        </w:tc>
      </w:tr>
      <w:tr w:rsidR="009D6A1E" w:rsidRPr="009D6A1E" w:rsidTr="009D6A1E">
        <w:trPr>
          <w:trHeight w:val="2532"/>
        </w:trPr>
        <w:tc>
          <w:tcPr>
            <w:tcW w:w="1384"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GS-US-292-0112</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Commenced 2013</w:t>
            </w:r>
          </w:p>
        </w:tc>
        <w:tc>
          <w:tcPr>
            <w:tcW w:w="1276" w:type="dxa"/>
          </w:tcPr>
          <w:p w:rsidR="008A6445" w:rsidRPr="009D6A1E" w:rsidRDefault="005A4943" w:rsidP="009D6A1E">
            <w:pPr>
              <w:ind w:left="0" w:right="0"/>
              <w:rPr>
                <w:rFonts w:asciiTheme="minorHAnsi" w:hAnsiTheme="minorHAnsi"/>
                <w:sz w:val="18"/>
                <w:szCs w:val="18"/>
              </w:rPr>
            </w:pPr>
            <w:r>
              <w:rPr>
                <w:rFonts w:asciiTheme="minorHAnsi" w:hAnsiTheme="minorHAnsi"/>
                <w:sz w:val="18"/>
                <w:szCs w:val="18"/>
              </w:rPr>
              <w:t>Open label</w:t>
            </w:r>
            <w:r w:rsidR="00152FCD">
              <w:rPr>
                <w:rFonts w:asciiTheme="minorHAnsi" w:hAnsiTheme="minorHAnsi"/>
                <w:sz w:val="18"/>
                <w:szCs w:val="18"/>
              </w:rPr>
              <w:t xml:space="preserve"> multi</w:t>
            </w:r>
            <w:r w:rsidR="008A6445" w:rsidRPr="009D6A1E">
              <w:rPr>
                <w:rFonts w:asciiTheme="minorHAnsi" w:hAnsiTheme="minorHAnsi"/>
                <w:sz w:val="18"/>
                <w:szCs w:val="18"/>
              </w:rPr>
              <w:t>centre safety study</w:t>
            </w:r>
          </w:p>
        </w:tc>
        <w:tc>
          <w:tcPr>
            <w:tcW w:w="1701" w:type="dxa"/>
          </w:tcPr>
          <w:p w:rsidR="008A6445" w:rsidRPr="009D6A1E" w:rsidRDefault="00152FCD" w:rsidP="009D6A1E">
            <w:pPr>
              <w:ind w:left="0" w:right="0"/>
              <w:rPr>
                <w:rFonts w:asciiTheme="minorHAnsi" w:hAnsiTheme="minorHAnsi"/>
                <w:sz w:val="18"/>
                <w:szCs w:val="18"/>
              </w:rPr>
            </w:pPr>
            <w:r>
              <w:rPr>
                <w:rFonts w:asciiTheme="minorHAnsi" w:hAnsiTheme="minorHAnsi"/>
                <w:sz w:val="18"/>
                <w:szCs w:val="18"/>
              </w:rPr>
              <w:t xml:space="preserve">HIV-1 positive patients with mild to </w:t>
            </w:r>
            <w:r w:rsidR="008A6445" w:rsidRPr="009D6A1E">
              <w:rPr>
                <w:rFonts w:asciiTheme="minorHAnsi" w:hAnsiTheme="minorHAnsi"/>
                <w:sz w:val="18"/>
                <w:szCs w:val="18"/>
              </w:rPr>
              <w:t xml:space="preserve">moderate renal impairment including virologically suppressed who switched to </w:t>
            </w:r>
            <w:r w:rsidRPr="00152FCD">
              <w:rPr>
                <w:rFonts w:asciiTheme="minorHAnsi" w:hAnsiTheme="minorHAnsi"/>
                <w:sz w:val="18"/>
                <w:szCs w:val="18"/>
              </w:rPr>
              <w:t>EVG/COBI/FTC</w:t>
            </w:r>
            <w:r w:rsidR="008A6445" w:rsidRPr="009D6A1E">
              <w:rPr>
                <w:rFonts w:asciiTheme="minorHAnsi" w:hAnsiTheme="minorHAnsi"/>
                <w:sz w:val="18"/>
                <w:szCs w:val="18"/>
              </w:rPr>
              <w:t>/TAF (Cohort 1)and</w:t>
            </w:r>
            <w:r w:rsidR="00CA65A1">
              <w:rPr>
                <w:rFonts w:asciiTheme="minorHAnsi" w:hAnsiTheme="minorHAnsi"/>
                <w:sz w:val="18"/>
                <w:szCs w:val="18"/>
              </w:rPr>
              <w:t xml:space="preserve"> </w:t>
            </w:r>
            <w:r>
              <w:rPr>
                <w:rFonts w:asciiTheme="minorHAnsi" w:hAnsiTheme="minorHAnsi"/>
                <w:sz w:val="18"/>
                <w:szCs w:val="18"/>
              </w:rPr>
              <w:t xml:space="preserve">ART </w:t>
            </w:r>
            <w:r w:rsidR="00AD043A">
              <w:rPr>
                <w:rFonts w:asciiTheme="minorHAnsi" w:hAnsiTheme="minorHAnsi"/>
                <w:sz w:val="18"/>
                <w:szCs w:val="18"/>
              </w:rPr>
              <w:t>naive</w:t>
            </w:r>
            <w:r>
              <w:rPr>
                <w:rFonts w:asciiTheme="minorHAnsi" w:hAnsiTheme="minorHAnsi"/>
                <w:sz w:val="18"/>
                <w:szCs w:val="18"/>
              </w:rPr>
              <w:t xml:space="preserve"> patients </w:t>
            </w:r>
            <w:r w:rsidR="008A6445" w:rsidRPr="009D6A1E">
              <w:rPr>
                <w:rFonts w:asciiTheme="minorHAnsi" w:hAnsiTheme="minorHAnsi"/>
                <w:sz w:val="18"/>
                <w:szCs w:val="18"/>
              </w:rPr>
              <w:t xml:space="preserve">(Cohort 2) </w:t>
            </w:r>
          </w:p>
        </w:tc>
        <w:tc>
          <w:tcPr>
            <w:tcW w:w="1559"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248</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 xml:space="preserve">(Cohort 1: 242, </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Cohort 2: 6)</w:t>
            </w:r>
          </w:p>
        </w:tc>
        <w:tc>
          <w:tcPr>
            <w:tcW w:w="1418"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 xml:space="preserve">FDC tablet of </w:t>
            </w:r>
            <w:r w:rsidR="00152FCD" w:rsidRPr="00152FCD">
              <w:rPr>
                <w:rFonts w:asciiTheme="minorHAnsi" w:hAnsiTheme="minorHAnsi"/>
                <w:sz w:val="18"/>
                <w:szCs w:val="18"/>
              </w:rPr>
              <w:t>EVG/COBI/FTC</w:t>
            </w:r>
            <w:r w:rsidR="00152FCD">
              <w:rPr>
                <w:rFonts w:asciiTheme="minorHAnsi" w:hAnsiTheme="minorHAnsi"/>
                <w:sz w:val="18"/>
                <w:szCs w:val="18"/>
              </w:rPr>
              <w:t xml:space="preserve">/TAF </w:t>
            </w:r>
            <w:r w:rsidRPr="009D6A1E">
              <w:rPr>
                <w:rFonts w:asciiTheme="minorHAnsi" w:hAnsiTheme="minorHAnsi"/>
                <w:sz w:val="18"/>
                <w:szCs w:val="18"/>
              </w:rPr>
              <w:t>(150/150/200/10 mg)</w:t>
            </w:r>
          </w:p>
        </w:tc>
        <w:tc>
          <w:tcPr>
            <w:tcW w:w="1275" w:type="dxa"/>
          </w:tcPr>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96 weeks. After 96 weeks, option to continue treatment until it becomes commercially available or u</w:t>
            </w:r>
            <w:r w:rsidR="00152FCD">
              <w:rPr>
                <w:rFonts w:asciiTheme="minorHAnsi" w:hAnsiTheme="minorHAnsi"/>
                <w:sz w:val="18"/>
                <w:szCs w:val="18"/>
              </w:rPr>
              <w:t>ntil development is terminated.</w:t>
            </w:r>
          </w:p>
          <w:p w:rsidR="008A6445" w:rsidRPr="009D6A1E" w:rsidRDefault="008A6445" w:rsidP="009D6A1E">
            <w:pPr>
              <w:ind w:left="0" w:right="0"/>
              <w:rPr>
                <w:rFonts w:asciiTheme="minorHAnsi" w:hAnsiTheme="minorHAnsi"/>
                <w:sz w:val="18"/>
                <w:szCs w:val="18"/>
              </w:rPr>
            </w:pPr>
            <w:r w:rsidRPr="009D6A1E">
              <w:rPr>
                <w:rFonts w:asciiTheme="minorHAnsi" w:hAnsiTheme="minorHAnsi"/>
                <w:sz w:val="18"/>
                <w:szCs w:val="18"/>
              </w:rPr>
              <w:t>48 week data presented only</w:t>
            </w:r>
          </w:p>
        </w:tc>
      </w:tr>
    </w:tbl>
    <w:p w:rsidR="009D6A1E" w:rsidRPr="009D6A1E" w:rsidRDefault="009D6A1E" w:rsidP="00D71334">
      <w:pPr>
        <w:pStyle w:val="Heading6"/>
      </w:pPr>
      <w:r w:rsidRPr="009D6A1E">
        <w:t>GS-U</w:t>
      </w:r>
      <w:r w:rsidR="00152FCD">
        <w:t xml:space="preserve">S-292-0104, GS-US-292-0111: ART </w:t>
      </w:r>
      <w:r w:rsidR="00AD043A">
        <w:t>naive</w:t>
      </w:r>
      <w:r w:rsidR="00152FCD">
        <w:t xml:space="preserve"> HIV </w:t>
      </w:r>
      <w:r w:rsidRPr="009D6A1E">
        <w:t xml:space="preserve">infected </w:t>
      </w:r>
      <w:r w:rsidR="00152FCD">
        <w:t>adults</w:t>
      </w:r>
    </w:p>
    <w:p w:rsidR="009D6A1E" w:rsidRDefault="009D6A1E" w:rsidP="009D6A1E">
      <w:r w:rsidRPr="009D6A1E">
        <w:t>Studies GS-US-292-0104 and GS-US-292-0111 were pooled as the design, study population and analysis framework were the same and were</w:t>
      </w:r>
      <w:r w:rsidR="00152FCD">
        <w:t xml:space="preserve"> summarised together.</w:t>
      </w:r>
    </w:p>
    <w:p w:rsidR="00040D0B" w:rsidRPr="009D6A1E" w:rsidRDefault="00040D0B" w:rsidP="00040D0B">
      <w:pPr>
        <w:pStyle w:val="Heading7"/>
      </w:pPr>
      <w:r>
        <w:t>Study objectives</w:t>
      </w:r>
    </w:p>
    <w:p w:rsidR="009D6A1E" w:rsidRPr="009D6A1E" w:rsidRDefault="009D6A1E" w:rsidP="009D6A1E">
      <w:r w:rsidRPr="009D6A1E">
        <w:t>The primary objectives of both studies were</w:t>
      </w:r>
      <w:r w:rsidR="00CA65A1">
        <w:t xml:space="preserve"> </w:t>
      </w:r>
      <w:r w:rsidRPr="009D6A1E">
        <w:t xml:space="preserve">to evaluate the efficacy of an FDC tablet containing </w:t>
      </w:r>
      <w:r w:rsidR="00152FCD" w:rsidRPr="00152FCD">
        <w:t>EVG/COBI/FTC</w:t>
      </w:r>
      <w:r w:rsidRPr="009D6A1E">
        <w:t xml:space="preserve">/TAF versus </w:t>
      </w:r>
      <w:r w:rsidR="00057BBC">
        <w:t>Stribild</w:t>
      </w:r>
      <w:r w:rsidR="00152FCD">
        <w:t xml:space="preserve"> in HIV </w:t>
      </w:r>
      <w:r w:rsidRPr="009D6A1E">
        <w:t>infected, ART naive adult subjects as determined by the achievement of HIV-1 RNA &lt; 50 copies/mL at Week 48.</w:t>
      </w:r>
    </w:p>
    <w:p w:rsidR="009D6A1E" w:rsidRPr="009D6A1E" w:rsidRDefault="00152FCD" w:rsidP="003130DA">
      <w:pPr>
        <w:pageBreakBefore/>
      </w:pPr>
      <w:r>
        <w:lastRenderedPageBreak/>
        <w:t>Secondary objectives were:</w:t>
      </w:r>
    </w:p>
    <w:p w:rsidR="009D6A1E" w:rsidRPr="009D6A1E" w:rsidRDefault="009D6A1E" w:rsidP="00A76651">
      <w:pPr>
        <w:pStyle w:val="ListBullet"/>
      </w:pPr>
      <w:r w:rsidRPr="009D6A1E">
        <w:t xml:space="preserve">To determine the safety of the two treatment regimens as determined by the percentage change from baseline in hip and spine </w:t>
      </w:r>
      <w:r w:rsidR="002A25DD">
        <w:t>BMD</w:t>
      </w:r>
      <w:r w:rsidR="00152FCD">
        <w:t xml:space="preserve"> at Week 48</w:t>
      </w:r>
    </w:p>
    <w:p w:rsidR="009D6A1E" w:rsidRPr="009D6A1E" w:rsidRDefault="009D6A1E" w:rsidP="00A76651">
      <w:pPr>
        <w:pStyle w:val="ListBullet"/>
      </w:pPr>
      <w:r w:rsidRPr="009D6A1E">
        <w:t>To determine the safety of the two treatment regimens as determined by the change from baseline</w:t>
      </w:r>
      <w:r w:rsidR="00152FCD">
        <w:t xml:space="preserve"> in serum creatinine at Week 48</w:t>
      </w:r>
    </w:p>
    <w:p w:rsidR="009D6A1E" w:rsidRPr="009D6A1E" w:rsidRDefault="009D6A1E" w:rsidP="00A76651">
      <w:pPr>
        <w:pStyle w:val="ListBullet"/>
      </w:pPr>
      <w:r w:rsidRPr="009D6A1E">
        <w:t>To evaluate the safety and tolerability of the 2 tre</w:t>
      </w:r>
      <w:r w:rsidR="00152FCD">
        <w:t>atment regimens through Week 48</w:t>
      </w:r>
    </w:p>
    <w:p w:rsidR="009D6A1E" w:rsidRPr="009D6A1E" w:rsidRDefault="009D6A1E" w:rsidP="00A76651">
      <w:pPr>
        <w:pStyle w:val="ListBullet"/>
      </w:pPr>
      <w:r w:rsidRPr="009D6A1E">
        <w:t>To evaluate the efficacy, durability, safety and tolerability of the 2 treatment regimens through Week 96.</w:t>
      </w:r>
    </w:p>
    <w:p w:rsidR="009D6A1E" w:rsidRPr="009D6A1E" w:rsidRDefault="009D6A1E" w:rsidP="009D6A1E">
      <w:r w:rsidRPr="009D6A1E">
        <w:t>Inclusion criteria were patients with plasma HIV-1 RNA levels ≥ 1</w:t>
      </w:r>
      <w:r w:rsidR="00152FCD">
        <w:t>,</w:t>
      </w:r>
      <w:r w:rsidRPr="009D6A1E">
        <w:t xml:space="preserve">000 copies/mL at screening with prior use of any approved or </w:t>
      </w:r>
      <w:r w:rsidR="002A25DD">
        <w:t>investigational ARV</w:t>
      </w:r>
      <w:r w:rsidRPr="009D6A1E">
        <w:t xml:space="preserve"> drug for any length of time, except the use for PrEP (pre-exposure prophylaxis) or PEP (post exposure prophylaxis), up to 6 months prior to screening. Further inclusion and exclusion criteria are summarised </w:t>
      </w:r>
      <w:r w:rsidR="00040D0B">
        <w:t>(see Attachment 2)</w:t>
      </w:r>
      <w:r w:rsidRPr="009D6A1E">
        <w:t>.</w:t>
      </w:r>
    </w:p>
    <w:p w:rsidR="009D6A1E" w:rsidRPr="009D6A1E" w:rsidRDefault="009D6A1E" w:rsidP="00EA46C7">
      <w:pPr>
        <w:pStyle w:val="Heading7"/>
      </w:pPr>
      <w:r w:rsidRPr="009D6A1E">
        <w:t>The main efficacy variables were:</w:t>
      </w:r>
    </w:p>
    <w:p w:rsidR="009D6A1E" w:rsidRPr="009D6A1E" w:rsidRDefault="009D6A1E" w:rsidP="00A76651">
      <w:pPr>
        <w:pStyle w:val="ListBullet"/>
      </w:pPr>
      <w:r w:rsidRPr="009D6A1E">
        <w:t>The proportion of patients who had ˂</w:t>
      </w:r>
      <w:r w:rsidR="00152FCD">
        <w:t xml:space="preserve"> </w:t>
      </w:r>
      <w:r w:rsidRPr="009D6A1E">
        <w:t xml:space="preserve">50 copies per mL of HIV-1 RNA at the 48 week window (anytime between days 294 and 377). </w:t>
      </w:r>
      <w:r w:rsidR="00040D0B">
        <w:t xml:space="preserve">The analysis was based on a </w:t>
      </w:r>
      <w:r w:rsidR="00794B10">
        <w:t>non</w:t>
      </w:r>
      <w:r w:rsidR="00794B10">
        <w:noBreakHyphen/>
      </w:r>
      <w:r w:rsidR="00794B10" w:rsidRPr="009D6A1E">
        <w:t>inferiority</w:t>
      </w:r>
      <w:r w:rsidRPr="009D6A1E">
        <w:t xml:space="preserve"> between the study therapy and the comparator at a level of ˂</w:t>
      </w:r>
      <w:r w:rsidR="00040D0B">
        <w:t xml:space="preserve"> 12%</w:t>
      </w:r>
    </w:p>
    <w:p w:rsidR="009D6A1E" w:rsidRPr="009D6A1E" w:rsidRDefault="009D6A1E" w:rsidP="00A76651">
      <w:pPr>
        <w:pStyle w:val="ListBullet"/>
      </w:pPr>
      <w:r w:rsidRPr="009D6A1E">
        <w:t>Secondary efficacy endpoints evaluated for the Week 48 analysis included the proportion of subjects with HIV-1 RNA &lt; 20 copies/mL, change from baseline in CD4 count, pure virologic response with HIV-1 RNA cut</w:t>
      </w:r>
      <w:r w:rsidR="00040D0B">
        <w:t>-</w:t>
      </w:r>
      <w:r w:rsidRPr="009D6A1E">
        <w:t>off at 50 copies/mL, change from baseline in log10 HIV-1 RNA, and change from baseline in CD4%.</w:t>
      </w:r>
    </w:p>
    <w:p w:rsidR="009D6A1E" w:rsidRPr="009D6A1E" w:rsidRDefault="009D6A1E" w:rsidP="009D6A1E">
      <w:r w:rsidRPr="009D6A1E">
        <w:t>Subjects were randomised in a 1:1 ratio with randomisation stratified by HIV-1 RNA level, CD4 count and region (</w:t>
      </w:r>
      <w:r w:rsidRPr="00840811">
        <w:t>US versus ex-US</w:t>
      </w:r>
      <w:r w:rsidRPr="009D6A1E">
        <w:t>) at screening.</w:t>
      </w:r>
      <w:r w:rsidR="003B40DF">
        <w:t xml:space="preserve"> </w:t>
      </w:r>
      <w:r w:rsidRPr="009D6A1E">
        <w:t xml:space="preserve">Baseline demographics, participant flow and discontinuation rates are summarised in </w:t>
      </w:r>
      <w:r w:rsidR="00040D0B">
        <w:t>Attachment 2</w:t>
      </w:r>
      <w:r w:rsidRPr="009D6A1E">
        <w:t xml:space="preserve"> and were acceptable for both studies.</w:t>
      </w:r>
    </w:p>
    <w:p w:rsidR="009D6A1E" w:rsidRPr="009D6A1E" w:rsidRDefault="009D6A1E" w:rsidP="00EA46C7">
      <w:pPr>
        <w:pStyle w:val="Heading7"/>
      </w:pPr>
      <w:r w:rsidRPr="009D6A1E">
        <w:t>Results f</w:t>
      </w:r>
      <w:r w:rsidR="00040D0B">
        <w:t>or the primary efficacy outcome</w:t>
      </w:r>
    </w:p>
    <w:p w:rsidR="009D6A1E" w:rsidRPr="009D6A1E" w:rsidRDefault="009D6A1E" w:rsidP="009D6A1E">
      <w:r w:rsidRPr="009D6A1E">
        <w:t>The primary efficacy outcome was the proportion of patients with a plasma HIV-1RNA ˂</w:t>
      </w:r>
      <w:r w:rsidR="00040D0B">
        <w:t> 50 copies per mL</w:t>
      </w:r>
      <w:r w:rsidRPr="009D6A1E">
        <w:t xml:space="preserve"> at the 48 week interim analysis time period. At 48 weeks, the combined results of both studies showed that </w:t>
      </w:r>
      <w:r w:rsidR="00040D0B" w:rsidRPr="00040D0B">
        <w:t>EVG/COBI/FTC</w:t>
      </w:r>
      <w:r w:rsidRPr="009D6A1E">
        <w:t xml:space="preserve">/TAF was non-inferior to </w:t>
      </w:r>
      <w:r w:rsidR="00040D0B" w:rsidRPr="00040D0B">
        <w:t>EVG/COBI/FTC</w:t>
      </w:r>
      <w:r w:rsidR="00040D0B">
        <w:t xml:space="preserve">/TDF at 800 out of </w:t>
      </w:r>
      <w:r w:rsidRPr="009D6A1E">
        <w:t xml:space="preserve">866 (92%) </w:t>
      </w:r>
      <w:r w:rsidR="00F02AA3">
        <w:t>versus</w:t>
      </w:r>
      <w:r w:rsidR="00040D0B">
        <w:t xml:space="preserve">. 784 out of </w:t>
      </w:r>
      <w:r w:rsidRPr="009D6A1E">
        <w:t xml:space="preserve">867 (90%). The results were almost the same for GS-US-292-0104 with 93% </w:t>
      </w:r>
      <w:r w:rsidR="00040D0B" w:rsidRPr="00040D0B">
        <w:t>EVG/COBI/FTC</w:t>
      </w:r>
      <w:r w:rsidRPr="009D6A1E">
        <w:t xml:space="preserve">/TAF </w:t>
      </w:r>
      <w:r w:rsidR="00F02AA3">
        <w:t>versus</w:t>
      </w:r>
      <w:r w:rsidRPr="009D6A1E">
        <w:t xml:space="preserve"> 92% </w:t>
      </w:r>
      <w:r w:rsidR="00040D0B" w:rsidRPr="00040D0B">
        <w:t>EVG/COBI/FTC</w:t>
      </w:r>
      <w:r w:rsidRPr="009D6A1E">
        <w:t xml:space="preserve">/TDF, difference (95% CI) 1% (-2.6 to 4.5) and GS-US-292-0111 with 92% </w:t>
      </w:r>
      <w:r w:rsidR="00040D0B" w:rsidRPr="00040D0B">
        <w:t>EVG/COBI/FTC</w:t>
      </w:r>
      <w:r w:rsidRPr="009D6A1E">
        <w:t xml:space="preserve">/TAF </w:t>
      </w:r>
      <w:r w:rsidR="00F02AA3">
        <w:t>versus</w:t>
      </w:r>
      <w:r w:rsidRPr="009D6A1E">
        <w:t xml:space="preserve">. 89% </w:t>
      </w:r>
      <w:r w:rsidR="00040D0B" w:rsidRPr="00040D0B">
        <w:t>EVG/COBI/FTC</w:t>
      </w:r>
      <w:r w:rsidRPr="009D6A1E">
        <w:t>/TDF, difference (95% CI) 3.1%</w:t>
      </w:r>
      <w:r w:rsidR="00A76651">
        <w:t xml:space="preserve"> (</w:t>
      </w:r>
      <w:r w:rsidR="00A76651">
        <w:noBreakHyphen/>
      </w:r>
      <w:r w:rsidRPr="009D6A1E">
        <w:t>1.0 to 7.1). Results in selected subgroups were comparable for patients.</w:t>
      </w:r>
    </w:p>
    <w:p w:rsidR="009D6A1E" w:rsidRPr="009D6A1E" w:rsidRDefault="009D6A1E" w:rsidP="00D40B4D">
      <w:pPr>
        <w:tabs>
          <w:tab w:val="left" w:pos="284"/>
        </w:tabs>
      </w:pPr>
      <w:r w:rsidRPr="009D6A1E">
        <w:t xml:space="preserve">Further results relating to the secondary outcomes of virological failure indicated equivalence between </w:t>
      </w:r>
      <w:r w:rsidR="00D40B4D" w:rsidRPr="00D40B4D">
        <w:t>EVG/COBI/FTC</w:t>
      </w:r>
      <w:r w:rsidRPr="009D6A1E">
        <w:t xml:space="preserve">/TAF and </w:t>
      </w:r>
      <w:r w:rsidR="00D40B4D" w:rsidRPr="00D40B4D">
        <w:t>EVG/COBI/FTC</w:t>
      </w:r>
      <w:r w:rsidRPr="009D6A1E">
        <w:t>/TDF as follows:</w:t>
      </w:r>
    </w:p>
    <w:p w:rsidR="009D6A1E" w:rsidRPr="009D6A1E" w:rsidRDefault="009D6A1E" w:rsidP="009D6A1E">
      <w:r w:rsidRPr="009D6A1E">
        <w:t xml:space="preserve">Of the 866 patients in the </w:t>
      </w:r>
      <w:r w:rsidR="00D40B4D" w:rsidRPr="00D40B4D">
        <w:t>EVG/COBI/FTC</w:t>
      </w:r>
      <w:r w:rsidRPr="009D6A1E">
        <w:t xml:space="preserve">/TAF group, 7 (0.8%) were classified as virological failures compared with the </w:t>
      </w:r>
      <w:r w:rsidR="00D40B4D" w:rsidRPr="00D40B4D">
        <w:t>EVG/COBI/FTC</w:t>
      </w:r>
      <w:r w:rsidRPr="009D6A1E">
        <w:t xml:space="preserve">/TDF group where of the 867 patients; 5 (0.6%) were classified as virological failures. Further results for the individual studies </w:t>
      </w:r>
      <w:r w:rsidR="00D40B4D">
        <w:t>were described.</w:t>
      </w:r>
    </w:p>
    <w:p w:rsidR="009D6A1E" w:rsidRPr="009D6A1E" w:rsidRDefault="00A76651" w:rsidP="00D71334">
      <w:pPr>
        <w:pStyle w:val="FigureTitle"/>
      </w:pPr>
      <w:r>
        <w:lastRenderedPageBreak/>
        <w:t xml:space="preserve">Figure </w:t>
      </w:r>
      <w:r w:rsidR="00D40B4D">
        <w:t>9</w:t>
      </w:r>
      <w:r>
        <w:t xml:space="preserve"> </w:t>
      </w:r>
      <w:r w:rsidR="009D6A1E" w:rsidRPr="009D6A1E">
        <w:t xml:space="preserve">Comparison of primary </w:t>
      </w:r>
      <w:r w:rsidR="00D40B4D">
        <w:t xml:space="preserve">efficacy outcomes. </w:t>
      </w:r>
      <w:r w:rsidR="009D6A1E" w:rsidRPr="009D6A1E">
        <w:t>Studies GS</w:t>
      </w:r>
      <w:r w:rsidR="00D40B4D">
        <w:t>-US-292-0104 and GS-US-292-0111</w:t>
      </w:r>
    </w:p>
    <w:p w:rsidR="008A6445" w:rsidRDefault="00A76651" w:rsidP="007B6132">
      <w:r>
        <w:rPr>
          <w:noProof/>
          <w:lang w:eastAsia="en-AU"/>
        </w:rPr>
        <w:drawing>
          <wp:inline distT="0" distB="0" distL="0" distR="0" wp14:anchorId="410C4085" wp14:editId="0E1410C7">
            <wp:extent cx="5400040" cy="5798120"/>
            <wp:effectExtent l="0" t="0" r="0" b="0"/>
            <wp:docPr id="1" name="Picture 1" descr="Figure 9 Comparison of primary efficacy outcomes. Studies GS-US-292-0104 and GS-US-29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5798120"/>
                    </a:xfrm>
                    <a:prstGeom prst="rect">
                      <a:avLst/>
                    </a:prstGeom>
                  </pic:spPr>
                </pic:pic>
              </a:graphicData>
            </a:graphic>
          </wp:inline>
        </w:drawing>
      </w:r>
    </w:p>
    <w:p w:rsidR="00A76651" w:rsidRPr="00A76651" w:rsidRDefault="00D40B4D" w:rsidP="00EA46C7">
      <w:pPr>
        <w:pStyle w:val="Heading6"/>
      </w:pPr>
      <w:r>
        <w:t>GS-US-292-0109</w:t>
      </w:r>
      <w:r w:rsidR="00A76651" w:rsidRPr="00A76651">
        <w:t xml:space="preserve"> Virologically</w:t>
      </w:r>
      <w:r>
        <w:t xml:space="preserve"> suppressed HIV infected adults</w:t>
      </w:r>
    </w:p>
    <w:p w:rsidR="00A76651" w:rsidRPr="00A76651" w:rsidRDefault="00A76651" w:rsidP="00A76651">
      <w:r w:rsidRPr="00A76651">
        <w:t xml:space="preserve">This study was conducted to evaluate the efficacy, safety, and tolerability of switching to a </w:t>
      </w:r>
      <w:r w:rsidR="00840811">
        <w:t>FDC</w:t>
      </w:r>
      <w:r w:rsidRPr="00A76651">
        <w:t xml:space="preserve"> tablet of </w:t>
      </w:r>
      <w:r w:rsidR="00057BBC">
        <w:t>EVG</w:t>
      </w:r>
      <w:r w:rsidRPr="00A76651">
        <w:t>/</w:t>
      </w:r>
      <w:r w:rsidR="007E6D40">
        <w:t>COBI</w:t>
      </w:r>
      <w:r w:rsidR="00840811">
        <w:t>/</w:t>
      </w:r>
      <w:r w:rsidR="00D40B4D">
        <w:t>FTC</w:t>
      </w:r>
      <w:r w:rsidRPr="00A76651">
        <w:t>/</w:t>
      </w:r>
      <w:r w:rsidR="00D40B4D">
        <w:t xml:space="preserve">TAF </w:t>
      </w:r>
      <w:r w:rsidRPr="00A76651">
        <w:t xml:space="preserve">from regimens containing </w:t>
      </w:r>
      <w:r w:rsidR="00D40B4D">
        <w:t>TDF</w:t>
      </w:r>
      <w:r w:rsidRPr="00A76651">
        <w:t xml:space="preserve"> in virologically suppressed HIV-1 infected adults.</w:t>
      </w:r>
    </w:p>
    <w:p w:rsidR="00A76651" w:rsidRPr="00A76651" w:rsidRDefault="00A76651" w:rsidP="00A76651">
      <w:r w:rsidRPr="00A76651">
        <w:t>The primary objective was to evaluate the non-inferi</w:t>
      </w:r>
      <w:r w:rsidR="00D40B4D">
        <w:t xml:space="preserve">ority of switching to a TAF </w:t>
      </w:r>
      <w:r w:rsidRPr="00A76651">
        <w:t xml:space="preserve">containing </w:t>
      </w:r>
      <w:r w:rsidR="00D40B4D">
        <w:t xml:space="preserve">FDC relative to maintaining TDF </w:t>
      </w:r>
      <w:r w:rsidRPr="00A76651">
        <w:t>containing regimens i</w:t>
      </w:r>
      <w:r w:rsidR="00D40B4D">
        <w:t>n virologically suppressed, HIV </w:t>
      </w:r>
      <w:r w:rsidRPr="00A76651">
        <w:t>infected subjects as determined by having HIV-1 RNA ˂ 50 copies/mL at Week 48 (US Foo</w:t>
      </w:r>
      <w:r w:rsidR="00D40B4D">
        <w:t xml:space="preserve">d and Drug Administration (FDA) </w:t>
      </w:r>
      <w:r w:rsidRPr="00A76651">
        <w:t>defined snapshot algorithm).</w:t>
      </w:r>
    </w:p>
    <w:p w:rsidR="00A76651" w:rsidRPr="00A76651" w:rsidRDefault="00A76651" w:rsidP="00A76651">
      <w:r w:rsidRPr="00A76651">
        <w:t>Secondary objectives were similar to studies GS-US-292-0104 and GS-US-292-0111.</w:t>
      </w:r>
    </w:p>
    <w:p w:rsidR="00A76651" w:rsidRPr="00A76651" w:rsidRDefault="00A76651" w:rsidP="00A76651">
      <w:r w:rsidRPr="00A76651">
        <w:t xml:space="preserve">The primary efficacy endpoint was the percentage of subjects with HIV-1 RNA </w:t>
      </w:r>
      <w:r w:rsidR="00CA65A1">
        <w:t xml:space="preserve">&lt; 50 </w:t>
      </w:r>
      <w:r w:rsidRPr="00A76651">
        <w:t xml:space="preserve">copies/mL at Week 48 using the FDA-defined snapshot algorithm. Secondary endpoints are described in </w:t>
      </w:r>
      <w:r w:rsidR="00D40B4D">
        <w:t>Attachment 2</w:t>
      </w:r>
      <w:r w:rsidRPr="00A76651">
        <w:t>.</w:t>
      </w:r>
    </w:p>
    <w:p w:rsidR="00A76651" w:rsidRPr="00A76651" w:rsidRDefault="00D40B4D" w:rsidP="00A76651">
      <w:r>
        <w:lastRenderedPageBreak/>
        <w:t xml:space="preserve">All subjects were HIV </w:t>
      </w:r>
      <w:r w:rsidR="00A76651" w:rsidRPr="00A76651">
        <w:t xml:space="preserve">infected adults drawn from a predefined set of Gilead Sciences (Gilead) clinical studies and were virologically suppressed on one </w:t>
      </w:r>
      <w:r>
        <w:t>of the following FTC</w:t>
      </w:r>
      <w:r w:rsidR="00A76651" w:rsidRPr="00A76651">
        <w:t>/</w:t>
      </w:r>
      <w:r>
        <w:t>TDF</w:t>
      </w:r>
      <w:r w:rsidR="00A76651" w:rsidRPr="00A76651">
        <w:t xml:space="preserve"> regimens:</w:t>
      </w:r>
    </w:p>
    <w:p w:rsidR="00A76651" w:rsidRPr="00A76651" w:rsidRDefault="00057BBC" w:rsidP="00A76651">
      <w:pPr>
        <w:pStyle w:val="ListBullet"/>
      </w:pPr>
      <w:r>
        <w:t>EVG/COBI/FTC/TDF (Stribild</w:t>
      </w:r>
      <w:r w:rsidR="00A76651" w:rsidRPr="00A76651">
        <w:t>)</w:t>
      </w:r>
    </w:p>
    <w:p w:rsidR="00A76651" w:rsidRPr="00A76651" w:rsidRDefault="00A76651" w:rsidP="00A76651">
      <w:pPr>
        <w:pStyle w:val="ListBullet"/>
      </w:pPr>
      <w:r w:rsidRPr="00A76651">
        <w:t>Efavirenz (EFV)/FTC/TDF (Atripla; ATR)</w:t>
      </w:r>
    </w:p>
    <w:p w:rsidR="00A76651" w:rsidRPr="00A76651" w:rsidRDefault="00A76651" w:rsidP="00A76651">
      <w:pPr>
        <w:pStyle w:val="ListBullet"/>
      </w:pPr>
      <w:r w:rsidRPr="00A76651">
        <w:t>COBI-boosted atazanavir (ATV/co) + FTC/TDF (Truvada; TVD)</w:t>
      </w:r>
    </w:p>
    <w:p w:rsidR="00A76651" w:rsidRPr="00A76651" w:rsidRDefault="00A76651" w:rsidP="00A76651">
      <w:pPr>
        <w:pStyle w:val="ListBullet"/>
      </w:pPr>
      <w:r w:rsidRPr="00A76651">
        <w:t>Ritonavir (RTV)-boosted atazanavir (ATV/r) + Truvada</w:t>
      </w:r>
      <w:r w:rsidR="00063493">
        <w:t>.</w:t>
      </w:r>
    </w:p>
    <w:p w:rsidR="00A76651" w:rsidRPr="00A76651" w:rsidRDefault="00A76651" w:rsidP="00A76651">
      <w:r w:rsidRPr="00A76651">
        <w:t xml:space="preserve">Subjects were randomised in a 2:1 ratio to one of the following two treatment groups: Treatment Group 1: Switch to </w:t>
      </w:r>
      <w:r w:rsidR="00D40B4D" w:rsidRPr="00D40B4D">
        <w:t>EVG/COBI/FTC</w:t>
      </w:r>
      <w:r w:rsidRPr="00A76651">
        <w:t>/TAF (n = 1</w:t>
      </w:r>
      <w:r w:rsidR="00D40B4D">
        <w:t>,</w:t>
      </w:r>
      <w:r w:rsidRPr="00A76651">
        <w:t>000), Treatment Group 2: Stay on pre-existing Truvada (FTC/TDF)</w:t>
      </w:r>
      <w:r w:rsidR="00D40B4D">
        <w:t xml:space="preserve"> </w:t>
      </w:r>
      <w:r w:rsidRPr="00A76651">
        <w:t>+</w:t>
      </w:r>
      <w:r w:rsidR="00D40B4D">
        <w:t xml:space="preserve"> </w:t>
      </w:r>
      <w:r w:rsidRPr="00A76651">
        <w:t>3rd Agent regimen (S</w:t>
      </w:r>
      <w:r w:rsidR="00057BBC">
        <w:t>tribild</w:t>
      </w:r>
      <w:r w:rsidRPr="00A76651">
        <w:t>, ATR, ATV/co+TVD, or ATV/r+TVD) (n = 500).</w:t>
      </w:r>
    </w:p>
    <w:p w:rsidR="00A76651" w:rsidRPr="00A76651" w:rsidRDefault="00A76651" w:rsidP="00EA46C7">
      <w:pPr>
        <w:pStyle w:val="Heading7"/>
      </w:pPr>
      <w:r w:rsidRPr="00A76651">
        <w:t>Results for primary efficacy outcome</w:t>
      </w:r>
    </w:p>
    <w:p w:rsidR="00A76651" w:rsidRPr="00A76651" w:rsidRDefault="00A76651" w:rsidP="00A76651">
      <w:r w:rsidRPr="00A76651">
        <w:t>Virologic outcomes at Week 48 were similar between the two treatment groups for the primary endpoint analysis using the Week 48 Full Analysis Set. Virologic success rates at Week 48 were high in both groups (</w:t>
      </w:r>
      <w:r w:rsidR="00D40B4D" w:rsidRPr="00D40B4D">
        <w:t>EVG/COBI/FTC</w:t>
      </w:r>
      <w:r w:rsidRPr="00A76651">
        <w:t>/TAF 95.6%; FTC/TDF</w:t>
      </w:r>
      <w:r w:rsidR="00D40B4D">
        <w:t xml:space="preserve"> </w:t>
      </w:r>
      <w:r w:rsidRPr="00A76651">
        <w:t>+</w:t>
      </w:r>
      <w:r w:rsidR="00D40B4D">
        <w:t xml:space="preserve"> </w:t>
      </w:r>
      <w:r w:rsidRPr="00A76651">
        <w:t xml:space="preserve">3rd Agent 92.9%; difference in percentages: 2.7%, 95.01% CI: -0.3% to 5.6%), indicating that </w:t>
      </w:r>
      <w:r w:rsidR="00D40B4D" w:rsidRPr="00D40B4D">
        <w:t>EVG/COBI/FTC</w:t>
      </w:r>
      <w:r w:rsidRPr="00A76651">
        <w:t>/TAF was non-inferior to FTC/TDF</w:t>
      </w:r>
      <w:r w:rsidR="00D40B4D">
        <w:t xml:space="preserve"> </w:t>
      </w:r>
      <w:r w:rsidRPr="00A76651">
        <w:t>+</w:t>
      </w:r>
      <w:r w:rsidR="00D40B4D">
        <w:t xml:space="preserve"> </w:t>
      </w:r>
      <w:r w:rsidRPr="00A76651">
        <w:t>3rd Age</w:t>
      </w:r>
      <w:r w:rsidR="00D40B4D">
        <w:t xml:space="preserve">nt. As the lower bound of the 2 </w:t>
      </w:r>
      <w:r w:rsidRPr="00A76651">
        <w:t>sided 95.01% CI of the difference in response rate was greater than the pre</w:t>
      </w:r>
      <w:r w:rsidR="00D40B4D">
        <w:t>-</w:t>
      </w:r>
      <w:r w:rsidRPr="00A76651">
        <w:t xml:space="preserve">specified -12% margin, switching to </w:t>
      </w:r>
      <w:r w:rsidR="00D40B4D" w:rsidRPr="00D40B4D">
        <w:t>EVG/COBI/FTC</w:t>
      </w:r>
      <w:r w:rsidRPr="00A76651">
        <w:t>/TAF was non-inferior to maintaining FTC/TDF</w:t>
      </w:r>
      <w:r w:rsidR="00FC7D85">
        <w:t xml:space="preserve"> </w:t>
      </w:r>
      <w:r w:rsidRPr="00A76651">
        <w:t>+</w:t>
      </w:r>
      <w:r w:rsidR="00FC7D85">
        <w:t xml:space="preserve"> </w:t>
      </w:r>
      <w:r w:rsidRPr="00A76651">
        <w:t>3rd Agent at Week 48</w:t>
      </w:r>
      <w:r w:rsidR="00FC7D85">
        <w:t>.</w:t>
      </w:r>
    </w:p>
    <w:p w:rsidR="00A76651" w:rsidRPr="00A76651" w:rsidRDefault="00A76651" w:rsidP="00EA46C7">
      <w:pPr>
        <w:pStyle w:val="Heading6"/>
      </w:pPr>
      <w:r w:rsidRPr="00A76651">
        <w:t>GS-US-292-0106, ART</w:t>
      </w:r>
      <w:r w:rsidR="00840811">
        <w:t xml:space="preserve"> </w:t>
      </w:r>
      <w:r w:rsidR="00AD043A">
        <w:t>naive</w:t>
      </w:r>
      <w:r w:rsidR="00FC7D85">
        <w:t xml:space="preserve"> HIV</w:t>
      </w:r>
      <w:r w:rsidR="00840811">
        <w:t xml:space="preserve"> </w:t>
      </w:r>
      <w:r w:rsidR="00FC7D85">
        <w:t>infected adolescents</w:t>
      </w:r>
    </w:p>
    <w:p w:rsidR="00A76651" w:rsidRPr="00A76651" w:rsidRDefault="00A76651" w:rsidP="00A76651">
      <w:r w:rsidRPr="00A76651">
        <w:t xml:space="preserve">Study GS-US-292-0106 was conducted to evaluate the </w:t>
      </w:r>
      <w:r w:rsidR="00840811">
        <w:t>PK</w:t>
      </w:r>
      <w:r w:rsidRPr="00A76651">
        <w:t xml:space="preserve">, safety, tolerability, and antiviral activity of </w:t>
      </w:r>
      <w:r w:rsidR="00057BBC">
        <w:t>EVG</w:t>
      </w:r>
      <w:r w:rsidRPr="00A76651">
        <w:t>/</w:t>
      </w:r>
      <w:r w:rsidR="007E6D40">
        <w:t>COBI</w:t>
      </w:r>
      <w:r w:rsidR="00FC7D85">
        <w:t>/FTC/TAF</w:t>
      </w:r>
      <w:r w:rsidRPr="00A76651">
        <w:t xml:space="preserve"> in HIV-1 infected, antiretroviral treatment (ART)</w:t>
      </w:r>
      <w:r w:rsidR="00FC7D85">
        <w:t xml:space="preserve"> naive adolescents.</w:t>
      </w:r>
    </w:p>
    <w:p w:rsidR="00A76651" w:rsidRPr="00A76651" w:rsidRDefault="00FC7D85" w:rsidP="00A76651">
      <w:r>
        <w:t xml:space="preserve">Entry criteria included ART </w:t>
      </w:r>
      <w:r w:rsidR="00A76651" w:rsidRPr="00A76651">
        <w:t xml:space="preserve">naive adolescents, 12 to </w:t>
      </w:r>
      <w:r w:rsidR="00C40A50">
        <w:t xml:space="preserve">&lt; </w:t>
      </w:r>
      <w:r w:rsidR="00A76651" w:rsidRPr="00A76651">
        <w:t>18 years of age, weight ≥ 35 kg, with plasma HIV-1 RNA levels ≥ 1</w:t>
      </w:r>
      <w:r>
        <w:t>,</w:t>
      </w:r>
      <w:r w:rsidR="00A76651" w:rsidRPr="00A76651">
        <w:t>000 copies/mL, CD4 cell counts &gt; 100 cells/</w:t>
      </w:r>
      <w:r w:rsidR="005640DF">
        <w:t>µ</w:t>
      </w:r>
      <w:r w:rsidR="00840811">
        <w:t>L, and eGFR</w:t>
      </w:r>
      <w:r w:rsidR="00A76651" w:rsidRPr="00A76651">
        <w:t xml:space="preserve"> ≥ 90 mL/min/1.73 m</w:t>
      </w:r>
      <w:r w:rsidR="00A76651" w:rsidRPr="00FC7D85">
        <w:rPr>
          <w:vertAlign w:val="superscript"/>
        </w:rPr>
        <w:t>2</w:t>
      </w:r>
      <w:r w:rsidR="00A76651" w:rsidRPr="00A76651">
        <w:t xml:space="preserve"> at screening.</w:t>
      </w:r>
    </w:p>
    <w:p w:rsidR="00A76651" w:rsidRPr="00A76651" w:rsidRDefault="00FC7D85" w:rsidP="00EA46C7">
      <w:pPr>
        <w:pStyle w:val="Heading7"/>
      </w:pPr>
      <w:r>
        <w:t>The primary objectives were</w:t>
      </w:r>
    </w:p>
    <w:p w:rsidR="00A76651" w:rsidRPr="00A76651" w:rsidRDefault="00FC7D85" w:rsidP="00A76651">
      <w:r>
        <w:t xml:space="preserve">Part A: To evaluate the steady </w:t>
      </w:r>
      <w:r w:rsidR="00A76651" w:rsidRPr="00A76651">
        <w:t xml:space="preserve">state PK for EVG and TAF and confirm the dose of the </w:t>
      </w:r>
      <w:r w:rsidRPr="00FC7D85">
        <w:t>EVG/COBI/FTC</w:t>
      </w:r>
      <w:r w:rsidR="00A76651" w:rsidRPr="00A76651">
        <w:t xml:space="preserve">/TAF </w:t>
      </w:r>
      <w:r w:rsidR="00CA65A1">
        <w:t>fixed dose</w:t>
      </w:r>
      <w:r w:rsidR="00840811">
        <w:t xml:space="preserve"> combination in HIV-1 infected</w:t>
      </w:r>
      <w:r>
        <w:t xml:space="preserve"> ART </w:t>
      </w:r>
      <w:r w:rsidR="00A76651" w:rsidRPr="00A76651">
        <w:t>naive adolescents</w:t>
      </w:r>
      <w:r>
        <w:t>.</w:t>
      </w:r>
    </w:p>
    <w:p w:rsidR="00A76651" w:rsidRPr="00A76651" w:rsidRDefault="00A76651" w:rsidP="00A76651">
      <w:r w:rsidRPr="00A76651">
        <w:t xml:space="preserve">Part B: To evaluate the safety and tolerability of the </w:t>
      </w:r>
      <w:r w:rsidR="00FC7D85" w:rsidRPr="00FC7D85">
        <w:t>EVG/COBI/FTC</w:t>
      </w:r>
      <w:r w:rsidRPr="00A76651">
        <w:t xml:space="preserve">/TAF </w:t>
      </w:r>
      <w:r w:rsidR="00FC7D85">
        <w:t>fixed dose combination</w:t>
      </w:r>
      <w:r w:rsidRPr="00A76651">
        <w:t xml:space="preserve"> through</w:t>
      </w:r>
      <w:r w:rsidR="00840811">
        <w:t xml:space="preserve"> Week 24 in HIV-1 infected</w:t>
      </w:r>
      <w:r w:rsidR="00FC7D85">
        <w:t xml:space="preserve"> ART </w:t>
      </w:r>
      <w:r w:rsidRPr="00A76651">
        <w:t>naive adolescents.</w:t>
      </w:r>
    </w:p>
    <w:p w:rsidR="00A76651" w:rsidRPr="00A76651" w:rsidRDefault="00A76651" w:rsidP="00EA46C7">
      <w:pPr>
        <w:pStyle w:val="Heading7"/>
      </w:pPr>
      <w:r w:rsidRPr="00A76651">
        <w:t>The secondary objectives were:</w:t>
      </w:r>
    </w:p>
    <w:p w:rsidR="00A76651" w:rsidRPr="00A76651" w:rsidRDefault="00A76651" w:rsidP="00A76651">
      <w:r w:rsidRPr="00A76651">
        <w:t xml:space="preserve">To evaluate the safety and tolerability of the </w:t>
      </w:r>
      <w:r w:rsidR="00FC7D85" w:rsidRPr="00FC7D85">
        <w:t>EVG/COBI/FTC</w:t>
      </w:r>
      <w:r w:rsidR="00FC7D85">
        <w:t>/</w:t>
      </w:r>
      <w:r w:rsidRPr="00A76651">
        <w:t xml:space="preserve">TAF </w:t>
      </w:r>
      <w:r w:rsidR="00840811">
        <w:t>FDC</w:t>
      </w:r>
      <w:r w:rsidRPr="00A76651">
        <w:t xml:space="preserve"> through</w:t>
      </w:r>
      <w:r w:rsidR="00840811">
        <w:t xml:space="preserve"> Week 48 in HIV-1 infected</w:t>
      </w:r>
      <w:r w:rsidR="00FC7D85">
        <w:t xml:space="preserve"> ART </w:t>
      </w:r>
      <w:r w:rsidRPr="00A76651">
        <w:t xml:space="preserve">naive adolescents and to evaluate the antiviral activity of the </w:t>
      </w:r>
      <w:r w:rsidR="00FC7D85" w:rsidRPr="00FC7D85">
        <w:t>EVG/COBI/FTC</w:t>
      </w:r>
      <w:r w:rsidRPr="00A76651">
        <w:t>/TAF FDC through</w:t>
      </w:r>
      <w:r w:rsidR="00FC7D85">
        <w:t xml:space="preserve"> Week 48 in HIV-1 infected, ART </w:t>
      </w:r>
      <w:r w:rsidRPr="00A76651">
        <w:t>naive adolescents.</w:t>
      </w:r>
    </w:p>
    <w:p w:rsidR="00A76651" w:rsidRPr="00A76651" w:rsidRDefault="00FC7D85" w:rsidP="00A76651">
      <w:r>
        <w:t>For P</w:t>
      </w:r>
      <w:r w:rsidR="00A76651" w:rsidRPr="00A76651">
        <w:t xml:space="preserve">art B, following confirmation of EVG and TAF exposures in at least 18 subjects in Part A and independent data monitoring committee review of preliminary safety and efficacy data, subjects were enrolled in Part B to evaluate the safety, tolerability, and antiviral activity of </w:t>
      </w:r>
      <w:r w:rsidRPr="00FC7D85">
        <w:t>EVG/COBI/FTC</w:t>
      </w:r>
      <w:r w:rsidR="00A76651" w:rsidRPr="00A76651">
        <w:t>/TAF.</w:t>
      </w:r>
    </w:p>
    <w:p w:rsidR="00A76651" w:rsidRPr="00A76651" w:rsidRDefault="00A76651" w:rsidP="00A76651">
      <w:r w:rsidRPr="00A76651">
        <w:t xml:space="preserve">PK results </w:t>
      </w:r>
      <w:r w:rsidR="00FC7D85">
        <w:t>were</w:t>
      </w:r>
      <w:r w:rsidRPr="00A76651">
        <w:t xml:space="preserve"> summarised in the study report. Interim 24 week conclusions by the sponsor included the following:</w:t>
      </w:r>
    </w:p>
    <w:p w:rsidR="00A76651" w:rsidRPr="00A76651" w:rsidRDefault="00A76651" w:rsidP="00FC7D85">
      <w:pPr>
        <w:pStyle w:val="ListBullet"/>
      </w:pPr>
      <w:r w:rsidRPr="00A76651">
        <w:t xml:space="preserve">Based on PK analyses of 24 subjects, the dose of </w:t>
      </w:r>
      <w:r w:rsidR="00FC7D85" w:rsidRPr="00FC7D85">
        <w:t>EVG/COBI/FTC</w:t>
      </w:r>
      <w:r w:rsidRPr="00A76651">
        <w:t xml:space="preserve">/TAF (150/150/200/10 mg) was </w:t>
      </w:r>
      <w:r w:rsidR="00FC7D85">
        <w:t>appropriate for adolescent use</w:t>
      </w:r>
    </w:p>
    <w:p w:rsidR="00A76651" w:rsidRPr="00A76651" w:rsidRDefault="00A76651" w:rsidP="00A76651">
      <w:pPr>
        <w:pStyle w:val="ListBullet"/>
      </w:pPr>
      <w:r w:rsidRPr="00A76651">
        <w:lastRenderedPageBreak/>
        <w:t xml:space="preserve">EVG exposure in adolescents administered </w:t>
      </w:r>
      <w:r w:rsidR="00FC7D85" w:rsidRPr="00FC7D85">
        <w:t>EVG/COBI/FTC</w:t>
      </w:r>
      <w:r w:rsidRPr="00A76651">
        <w:t>/TA</w:t>
      </w:r>
      <w:r w:rsidR="00FC7D85">
        <w:t>F was similar to that in adults</w:t>
      </w:r>
    </w:p>
    <w:p w:rsidR="00A76651" w:rsidRPr="002316BD" w:rsidRDefault="00A76651" w:rsidP="00A76651">
      <w:pPr>
        <w:pStyle w:val="ListBullet"/>
      </w:pPr>
      <w:r w:rsidRPr="00A76651">
        <w:t>TAF exposure in adolescents was consistent with the range of exposure associated with</w:t>
      </w:r>
      <w:r>
        <w:t xml:space="preserve"> </w:t>
      </w:r>
      <w:r w:rsidRPr="00A76651">
        <w:t>antivi</w:t>
      </w:r>
      <w:r w:rsidR="002316BD">
        <w:t>ral activity in adults</w:t>
      </w:r>
      <w:r w:rsidRPr="00A76651">
        <w:t xml:space="preserve"> despite being lower than that in the adult comparator </w:t>
      </w:r>
      <w:r w:rsidR="00840811" w:rsidRPr="002316BD">
        <w:t>see Table</w:t>
      </w:r>
      <w:r w:rsidR="002316BD" w:rsidRPr="002316BD">
        <w:t xml:space="preserve"> 15</w:t>
      </w:r>
    </w:p>
    <w:p w:rsidR="00A76651" w:rsidRPr="00A76651" w:rsidRDefault="00A76651" w:rsidP="00A76651">
      <w:pPr>
        <w:pStyle w:val="ListBullet"/>
      </w:pPr>
      <w:r w:rsidRPr="00A76651">
        <w:t>TFV exposure in adolescent</w:t>
      </w:r>
      <w:r w:rsidR="00FC7D85">
        <w:t>s was similar to that in adults</w:t>
      </w:r>
    </w:p>
    <w:p w:rsidR="00A76651" w:rsidRPr="00A76651" w:rsidRDefault="00A76651" w:rsidP="00EA46C7">
      <w:pPr>
        <w:pStyle w:val="ListBullet"/>
      </w:pPr>
      <w:r w:rsidRPr="00A76651">
        <w:t>FTC exposure in adolescents was consistent with adult data. COBI exposure in</w:t>
      </w:r>
      <w:r>
        <w:t xml:space="preserve"> </w:t>
      </w:r>
      <w:r w:rsidRPr="00A76651">
        <w:t>adolescents was lower compared with the adult comparator, but was consistent with</w:t>
      </w:r>
      <w:r w:rsidR="00CA65A1">
        <w:t xml:space="preserve"> </w:t>
      </w:r>
      <w:r w:rsidRPr="00A76651">
        <w:t>historical data and in the range of exposure associated with robust pharmaco</w:t>
      </w:r>
      <w:r w:rsidR="00FC7D85">
        <w:t>-enhancement (boosting)</w:t>
      </w:r>
    </w:p>
    <w:p w:rsidR="00A76651" w:rsidRPr="00A76651" w:rsidRDefault="00FC7D85" w:rsidP="00EA46C7">
      <w:pPr>
        <w:pStyle w:val="ListBullet"/>
      </w:pPr>
      <w:r>
        <w:t xml:space="preserve">Nearly all ART </w:t>
      </w:r>
      <w:r w:rsidR="00A76651" w:rsidRPr="00A76651">
        <w:t xml:space="preserve">naive adolescents who received </w:t>
      </w:r>
      <w:r w:rsidRPr="00FC7D85">
        <w:t>EVG/COBI/FTC</w:t>
      </w:r>
      <w:r w:rsidR="00A76651" w:rsidRPr="00A76651">
        <w:t xml:space="preserve">/TAF achieved virologic suppression to &lt; 50 copies/mL at Week 24 (91.3% virologic success rate), further confirming the </w:t>
      </w:r>
      <w:r w:rsidRPr="00FC7D85">
        <w:t>EVG/COBI/FTC</w:t>
      </w:r>
      <w:r w:rsidR="00A76651" w:rsidRPr="00A76651">
        <w:t>/TAF 150/15</w:t>
      </w:r>
      <w:r>
        <w:t>0/200/10 mg dose in adolescents</w:t>
      </w:r>
    </w:p>
    <w:p w:rsidR="00A76651" w:rsidRPr="00A76651" w:rsidRDefault="00A76651" w:rsidP="00EA46C7">
      <w:pPr>
        <w:pStyle w:val="ListBullet"/>
      </w:pPr>
      <w:r w:rsidRPr="00A76651">
        <w:t>Th</w:t>
      </w:r>
      <w:r w:rsidR="00FC7D85">
        <w:t>e safety profile was acceptable</w:t>
      </w:r>
    </w:p>
    <w:p w:rsidR="00A76651" w:rsidRPr="00A76651" w:rsidRDefault="00A76651" w:rsidP="00EA46C7">
      <w:pPr>
        <w:pStyle w:val="ListBullet"/>
      </w:pPr>
      <w:r w:rsidRPr="00A76651">
        <w:t xml:space="preserve">Few subjects experienced a clinically relevant decrease from baseline in </w:t>
      </w:r>
      <w:r w:rsidRPr="00FC7D85">
        <w:t>BMD</w:t>
      </w:r>
      <w:r w:rsidR="00FC7D85">
        <w:t xml:space="preserve"> at Week 24</w:t>
      </w:r>
    </w:p>
    <w:p w:rsidR="00A76651" w:rsidRDefault="00A76651" w:rsidP="00A76651">
      <w:pPr>
        <w:pStyle w:val="ListBullet"/>
      </w:pPr>
      <w:r w:rsidRPr="00A76651">
        <w:t>Changes from baseline in serum creatinine and eGFR were consistent with the inhibitory</w:t>
      </w:r>
      <w:r w:rsidR="00EA46C7">
        <w:t xml:space="preserve"> </w:t>
      </w:r>
      <w:r w:rsidRPr="00A76651">
        <w:t>effect of COBI on renal tubular secretion of creatinine, and were not considered reflective of changes in actual glomerular filtration.</w:t>
      </w:r>
    </w:p>
    <w:p w:rsidR="00840811" w:rsidRPr="00840811" w:rsidRDefault="002316BD" w:rsidP="002316BD">
      <w:pPr>
        <w:pStyle w:val="Tabletitle0"/>
      </w:pPr>
      <w:bookmarkStart w:id="139" w:name="_Toc296947903"/>
      <w:r>
        <w:t>Table 15.</w:t>
      </w:r>
      <w:r w:rsidR="00840811" w:rsidRPr="00840811">
        <w:t xml:space="preserve"> Pharmacokinetic parameters for EVG, TAF, TFV, COBI, and FTC from adolescent subjects with an adult comparator</w:t>
      </w:r>
      <w:bookmarkEnd w:id="139"/>
    </w:p>
    <w:p w:rsidR="00840811" w:rsidRPr="00840811" w:rsidRDefault="002316BD" w:rsidP="00840811">
      <w:r>
        <w:rPr>
          <w:noProof/>
          <w:lang w:eastAsia="en-AU"/>
        </w:rPr>
        <w:drawing>
          <wp:inline distT="0" distB="0" distL="0" distR="0" wp14:anchorId="32D44955" wp14:editId="150E0DB6">
            <wp:extent cx="4871923" cy="4609589"/>
            <wp:effectExtent l="0" t="0" r="5080" b="635"/>
            <wp:docPr id="2" name="Picture 2" descr="Table 15. Pharmacokinetic parameters for EVG, TAF, TFV, COBI, and FTC from adolescent subjects with an adult com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83866" cy="4620889"/>
                    </a:xfrm>
                    <a:prstGeom prst="rect">
                      <a:avLst/>
                    </a:prstGeom>
                  </pic:spPr>
                </pic:pic>
              </a:graphicData>
            </a:graphic>
          </wp:inline>
        </w:drawing>
      </w:r>
    </w:p>
    <w:p w:rsidR="00A76651" w:rsidRPr="00A76651" w:rsidRDefault="00FC7D85" w:rsidP="00EA46C7">
      <w:pPr>
        <w:pStyle w:val="Heading6"/>
      </w:pPr>
      <w:r>
        <w:lastRenderedPageBreak/>
        <w:t xml:space="preserve">GS-US-292-0102 (Phase II), ART </w:t>
      </w:r>
      <w:r w:rsidR="00AD043A">
        <w:t>naive</w:t>
      </w:r>
      <w:r>
        <w:t xml:space="preserve"> and virologically suppressed HIV </w:t>
      </w:r>
      <w:r w:rsidR="00A76651" w:rsidRPr="00A76651">
        <w:t>infec</w:t>
      </w:r>
      <w:r>
        <w:t>ted adults</w:t>
      </w:r>
    </w:p>
    <w:p w:rsidR="00A76651" w:rsidRPr="00A76651" w:rsidRDefault="00A76651" w:rsidP="00A76651">
      <w:r w:rsidRPr="00A76651">
        <w:t>Results for this smaller study of 170 subjects were similar to the pivotal efficacy studies GS-US-292</w:t>
      </w:r>
      <w:r w:rsidR="00FC7D85">
        <w:t xml:space="preserve">-0104 and GS-US-92-0111 for ART </w:t>
      </w:r>
      <w:r w:rsidR="00AD043A">
        <w:t>naive</w:t>
      </w:r>
      <w:r w:rsidRPr="00A76651">
        <w:t xml:space="preserve"> patients. For virologically suppressed patients who switched treatment in the extension phase, virologic suppression was maintained and CD4 cell count increased in subjects who switched to </w:t>
      </w:r>
      <w:r w:rsidR="00FC7D85" w:rsidRPr="00FC7D85">
        <w:t>EVG/COBI/FTC</w:t>
      </w:r>
      <w:r w:rsidR="00FC7D85">
        <w:t>/TAF</w:t>
      </w:r>
      <w:r w:rsidRPr="00A76651">
        <w:t>.</w:t>
      </w:r>
      <w:r w:rsidR="00CA65A1">
        <w:t xml:space="preserve"> </w:t>
      </w:r>
      <w:r w:rsidRPr="00A76651">
        <w:t xml:space="preserve">The Delegate notes that the population of virologically suppressed patients for this study was different from GS-US-292-0109, as it included patients switching from </w:t>
      </w:r>
      <w:r w:rsidR="00CA65A1">
        <w:t>Stribild</w:t>
      </w:r>
      <w:r w:rsidRPr="00A76651">
        <w:t xml:space="preserve"> or from a </w:t>
      </w:r>
      <w:r w:rsidR="007E6D40">
        <w:t>COBI</w:t>
      </w:r>
      <w:r w:rsidR="00FC7D85">
        <w:t xml:space="preserve"> boosted darunavir </w:t>
      </w:r>
      <w:r w:rsidRPr="00A76651">
        <w:t>containing regimen.</w:t>
      </w:r>
    </w:p>
    <w:p w:rsidR="00A76651" w:rsidRPr="00A76651" w:rsidRDefault="00A76651" w:rsidP="00EA46C7">
      <w:pPr>
        <w:pStyle w:val="Heading5"/>
      </w:pPr>
      <w:r w:rsidRPr="00A76651">
        <w:t>Safety</w:t>
      </w:r>
    </w:p>
    <w:p w:rsidR="00A76651" w:rsidRPr="00A76651" w:rsidRDefault="00A76651" w:rsidP="00A76651">
      <w:r w:rsidRPr="00A76651">
        <w:t xml:space="preserve">The fundamental advantage with TAF in </w:t>
      </w:r>
      <w:r w:rsidR="00CA65A1">
        <w:t>Genvoya</w:t>
      </w:r>
      <w:r w:rsidRPr="00A76651">
        <w:t xml:space="preserve"> over </w:t>
      </w:r>
      <w:r w:rsidR="00913587">
        <w:t>TDF</w:t>
      </w:r>
      <w:r w:rsidRPr="00A76651">
        <w:t xml:space="preserve"> in </w:t>
      </w:r>
      <w:r w:rsidR="00CA65A1">
        <w:t>Stribild</w:t>
      </w:r>
      <w:r w:rsidRPr="00A76651">
        <w:t xml:space="preserve"> is that by being incorporated into </w:t>
      </w:r>
      <w:r w:rsidR="002316BD">
        <w:t>PBMCs</w:t>
      </w:r>
      <w:r w:rsidRPr="00A76651">
        <w:t xml:space="preserve"> much more rapidly, the effects on renal and bone mineral function will be less</w:t>
      </w:r>
      <w:r w:rsidR="00913587">
        <w:t>.</w:t>
      </w:r>
      <w:r w:rsidRPr="00A76651">
        <w:t xml:space="preserve"> Safety data at 48 weeks from the submitted clinical studies were intended to illustrate this. The main sources of safety data for </w:t>
      </w:r>
      <w:r w:rsidR="00CA65A1">
        <w:t>Genvoya</w:t>
      </w:r>
      <w:r w:rsidR="00913587">
        <w:t xml:space="preserve"> were the Phase III studies in ART </w:t>
      </w:r>
      <w:r w:rsidRPr="00A76651">
        <w:t>naive subjects, virologically suppressed subjects, subjects with mild to mo</w:t>
      </w:r>
      <w:r w:rsidR="00913587">
        <w:t xml:space="preserve">derate renal impairment and ART </w:t>
      </w:r>
      <w:r w:rsidRPr="00A76651">
        <w:t>naive adolescents. Supportive safety i</w:t>
      </w:r>
      <w:r w:rsidR="00913587">
        <w:t>nformatio</w:t>
      </w:r>
      <w:r w:rsidR="002316BD">
        <w:t>n was provided by the Phase II S</w:t>
      </w:r>
      <w:r w:rsidR="00913587">
        <w:t>tudy GS-US-292-0102.</w:t>
      </w:r>
    </w:p>
    <w:p w:rsidR="00A76651" w:rsidRPr="00A76651" w:rsidRDefault="00913587" w:rsidP="00A76651">
      <w:r>
        <w:t>Across the Phase II</w:t>
      </w:r>
      <w:r w:rsidR="00A76651" w:rsidRPr="00A76651">
        <w:t xml:space="preserve"> a</w:t>
      </w:r>
      <w:r>
        <w:t>nd III</w:t>
      </w:r>
      <w:r w:rsidR="00A76651" w:rsidRPr="00A76651">
        <w:t xml:space="preserve"> studies, a total of 2</w:t>
      </w:r>
      <w:r>
        <w:t>,</w:t>
      </w:r>
      <w:r w:rsidR="00A76651" w:rsidRPr="00A76651">
        <w:t xml:space="preserve">394 subjects received </w:t>
      </w:r>
      <w:r w:rsidRPr="00913587">
        <w:t>EVG/COBI/FTC</w:t>
      </w:r>
      <w:r>
        <w:t xml:space="preserve">/TAF with a </w:t>
      </w:r>
      <w:r w:rsidR="00A76651" w:rsidRPr="00A76651">
        <w:t>median exposure of 48.1 weeks. A total of 97 subjects were ≥ 65 years of age across these studies. The median ages of adult subjects with nor</w:t>
      </w:r>
      <w:r>
        <w:t xml:space="preserve">mal renal function who were ART </w:t>
      </w:r>
      <w:r w:rsidR="00A76651" w:rsidRPr="00A76651">
        <w:t>naive or virologically suppressed were generally similar (range: 33 to 41 years). Subjects with mild t</w:t>
      </w:r>
      <w:r w:rsidR="002316BD">
        <w:t>o moderate renal impairment in Study GS-US-292-0112 were older</w:t>
      </w:r>
      <w:r w:rsidR="00A76651" w:rsidRPr="00A76651">
        <w:t xml:space="preserve"> with a median a</w:t>
      </w:r>
      <w:r>
        <w:t xml:space="preserve">ge of 58 years in Cohort 1 (ART </w:t>
      </w:r>
      <w:r w:rsidR="00A76651" w:rsidRPr="00A76651">
        <w:t>experienced subje</w:t>
      </w:r>
      <w:r w:rsidR="003857F4">
        <w:t xml:space="preserve">cts who switched to </w:t>
      </w:r>
      <w:r w:rsidRPr="00913587">
        <w:t>EVG/COBI/FTC</w:t>
      </w:r>
      <w:r w:rsidR="003857F4">
        <w:t>/TAF).</w:t>
      </w:r>
    </w:p>
    <w:p w:rsidR="00913587" w:rsidRPr="00A76651" w:rsidRDefault="00A76651" w:rsidP="00A76651">
      <w:r w:rsidRPr="00A76651">
        <w:t>For the pivotal studies, four key safety endpoints were defined as follows:</w:t>
      </w:r>
    </w:p>
    <w:p w:rsidR="00A76651" w:rsidRPr="00A76651" w:rsidRDefault="00A76651" w:rsidP="00913587">
      <w:pPr>
        <w:pStyle w:val="ListBullet"/>
      </w:pPr>
      <w:r w:rsidRPr="00A76651">
        <w:t>Percentage change from baseline in hip BMD at Week 48</w:t>
      </w:r>
    </w:p>
    <w:p w:rsidR="00A76651" w:rsidRPr="00A76651" w:rsidRDefault="00A76651" w:rsidP="00913587">
      <w:pPr>
        <w:pStyle w:val="ListBullet"/>
      </w:pPr>
      <w:r w:rsidRPr="00A76651">
        <w:t>Percentage change from baseline in spine BMD at Week 48</w:t>
      </w:r>
    </w:p>
    <w:p w:rsidR="00A76651" w:rsidRPr="00A76651" w:rsidRDefault="00A76651" w:rsidP="00913587">
      <w:pPr>
        <w:pStyle w:val="ListBullet"/>
      </w:pPr>
      <w:r w:rsidRPr="00A76651">
        <w:t>Change from baseline in serum creatinine at Week 48</w:t>
      </w:r>
    </w:p>
    <w:p w:rsidR="00A76651" w:rsidRPr="00A76651" w:rsidRDefault="00913587" w:rsidP="00913587">
      <w:pPr>
        <w:pStyle w:val="ListBullet"/>
      </w:pPr>
      <w:r>
        <w:t xml:space="preserve">Treatment </w:t>
      </w:r>
      <w:r w:rsidR="00A76651" w:rsidRPr="00A76651">
        <w:t>emergent proteinuria by urinal</w:t>
      </w:r>
      <w:r w:rsidR="003857F4">
        <w:t>ysis (dipstick) through Week 48</w:t>
      </w:r>
      <w:r w:rsidR="002316BD">
        <w:t>.</w:t>
      </w:r>
    </w:p>
    <w:p w:rsidR="00A76651" w:rsidRPr="00A76651" w:rsidRDefault="00A76651" w:rsidP="001F1761">
      <w:pPr>
        <w:pStyle w:val="Heading6"/>
      </w:pPr>
      <w:r w:rsidRPr="00A76651">
        <w:t>Bone mineral density (hip and spine)</w:t>
      </w:r>
    </w:p>
    <w:p w:rsidR="008A6445" w:rsidRDefault="00913587" w:rsidP="00EA6D79">
      <w:pPr>
        <w:ind w:left="720" w:hanging="720"/>
      </w:pPr>
      <w:r w:rsidRPr="00913587">
        <w:t>A</w:t>
      </w:r>
      <w:r w:rsidR="001F1761" w:rsidRPr="00913587">
        <w:t xml:space="preserve"> </w:t>
      </w:r>
      <w:r w:rsidR="002316BD">
        <w:t>c</w:t>
      </w:r>
      <w:r w:rsidR="00A76651" w:rsidRPr="00913587">
        <w:t>omparison</w:t>
      </w:r>
      <w:r>
        <w:t xml:space="preserve"> of bone mineral density loss </w:t>
      </w:r>
      <w:r w:rsidR="00A76651" w:rsidRPr="00913587">
        <w:t>Genvoya</w:t>
      </w:r>
      <w:r w:rsidR="00112E87">
        <w:t xml:space="preserve"> </w:t>
      </w:r>
      <w:r w:rsidR="00A76651" w:rsidRPr="00913587">
        <w:t>(</w:t>
      </w:r>
      <w:r w:rsidRPr="00913587">
        <w:t>EVG/COBI/FTC</w:t>
      </w:r>
      <w:r w:rsidR="00A76651" w:rsidRPr="00913587">
        <w:t>/TAF) versus Stribild (</w:t>
      </w:r>
      <w:r w:rsidRPr="00913587">
        <w:t>EVG/COBI/FTC</w:t>
      </w:r>
      <w:r w:rsidR="00A76651" w:rsidRPr="00913587">
        <w:t>/TDF)</w:t>
      </w:r>
      <w:r w:rsidR="0029189F">
        <w:t xml:space="preserve"> was performed</w:t>
      </w:r>
      <w:r w:rsidR="00165CEC">
        <w:t>. T</w:t>
      </w:r>
      <w:r w:rsidR="0029189F">
        <w:t>he m</w:t>
      </w:r>
      <w:r w:rsidR="00A76651" w:rsidRPr="00913587">
        <w:t xml:space="preserve">ean and 95% CIs </w:t>
      </w:r>
      <w:r w:rsidR="002316BD" w:rsidRPr="00913587">
        <w:t xml:space="preserve">of percentage change </w:t>
      </w:r>
      <w:r w:rsidR="00A76651" w:rsidRPr="00913587">
        <w:t xml:space="preserve">from Baseline by </w:t>
      </w:r>
      <w:r w:rsidR="002316BD">
        <w:t>v</w:t>
      </w:r>
      <w:r w:rsidR="00A76651" w:rsidRPr="00913587">
        <w:t>isit (observed data) Studies GS-US-292-0104 and GS-US-292-</w:t>
      </w:r>
      <w:r w:rsidR="00A76651" w:rsidRPr="00203022">
        <w:t xml:space="preserve">0111 </w:t>
      </w:r>
      <w:r w:rsidR="00165CEC">
        <w:t xml:space="preserve">are shown in </w:t>
      </w:r>
      <w:r w:rsidRPr="00203022">
        <w:t>Figure 7</w:t>
      </w:r>
      <w:r w:rsidRPr="00913587">
        <w:t xml:space="preserve"> above</w:t>
      </w:r>
      <w:r w:rsidR="00165CEC">
        <w:t>.</w:t>
      </w:r>
    </w:p>
    <w:p w:rsidR="001F1761" w:rsidRPr="001F1761" w:rsidRDefault="001F1761" w:rsidP="00EA6D79">
      <w:pPr>
        <w:ind w:left="720" w:hanging="720"/>
      </w:pPr>
      <w:r w:rsidRPr="001F1761">
        <w:t>Fracture probability</w:t>
      </w:r>
    </w:p>
    <w:p w:rsidR="001F1761" w:rsidRPr="001F1761" w:rsidRDefault="002316BD" w:rsidP="001F1761">
      <w:r>
        <w:t>For the pivotal S</w:t>
      </w:r>
      <w:r w:rsidR="001F1761" w:rsidRPr="001F1761">
        <w:t>tudies</w:t>
      </w:r>
      <w:r>
        <w:t xml:space="preserve"> GS-US-292-0104, GS-US-292-0111 and GS-US-292-0109</w:t>
      </w:r>
      <w:r w:rsidR="001F1761" w:rsidRPr="001F1761">
        <w:t xml:space="preserve"> the mean increase from baseline at Week 48 in major osteoporotic fracture risk was numerically smaller for the </w:t>
      </w:r>
      <w:r w:rsidR="00913587" w:rsidRPr="00913587">
        <w:t>EVG/COBI/FTC</w:t>
      </w:r>
      <w:r w:rsidR="001F1761" w:rsidRPr="001F1761">
        <w:t xml:space="preserve">/TAF group compared with the </w:t>
      </w:r>
      <w:r w:rsidR="00057BBC">
        <w:t>Stribild</w:t>
      </w:r>
      <w:r w:rsidR="001F1761" w:rsidRPr="001F1761">
        <w:t xml:space="preserve"> group in patients ≥</w:t>
      </w:r>
      <w:r w:rsidR="00913587">
        <w:t> </w:t>
      </w:r>
      <w:r>
        <w:t>40 years. Of note, for S</w:t>
      </w:r>
      <w:r w:rsidR="001F1761" w:rsidRPr="001F1761">
        <w:t>tudy GS-US-292-0109 (switch study from a TDF to a TAF containing regimen),</w:t>
      </w:r>
      <w:r w:rsidR="00CA65A1">
        <w:t xml:space="preserve"> </w:t>
      </w:r>
      <w:r w:rsidR="001F1761" w:rsidRPr="001F1761">
        <w:t>the change from baseline in the 10</w:t>
      </w:r>
      <w:r w:rsidR="003C06F8">
        <w:t xml:space="preserve"> </w:t>
      </w:r>
      <w:r w:rsidR="001F1761" w:rsidRPr="001F1761">
        <w:t xml:space="preserve">year probability of major osteoporotic fracture at Week 48 was 0.10% (0.386) in the </w:t>
      </w:r>
      <w:r w:rsidR="00913587" w:rsidRPr="00913587">
        <w:t>EVG/COBI/FTC</w:t>
      </w:r>
      <w:r w:rsidR="001F1761" w:rsidRPr="001F1761">
        <w:t>/TAF group and 0.23% (0.549) in the FTC/TDF</w:t>
      </w:r>
      <w:r w:rsidR="00913587">
        <w:t xml:space="preserve"> </w:t>
      </w:r>
      <w:r w:rsidR="001F1761" w:rsidRPr="001F1761">
        <w:t>+</w:t>
      </w:r>
      <w:r w:rsidR="00913587">
        <w:t xml:space="preserve"> </w:t>
      </w:r>
      <w:r w:rsidR="001F1761" w:rsidRPr="001F1761">
        <w:t xml:space="preserve">3rd Agent group (p = 0.002 for </w:t>
      </w:r>
      <w:r w:rsidR="003C06F8">
        <w:t>the difference between groups).</w:t>
      </w:r>
    </w:p>
    <w:p w:rsidR="001F1761" w:rsidRPr="001F1761" w:rsidRDefault="001F1761" w:rsidP="001F1761">
      <w:pPr>
        <w:pStyle w:val="Heading6"/>
      </w:pPr>
      <w:r w:rsidRPr="001F1761">
        <w:t>Renal safety</w:t>
      </w:r>
    </w:p>
    <w:p w:rsidR="001F1761" w:rsidRPr="001F1761" w:rsidRDefault="001F1761" w:rsidP="001F1761">
      <w:r w:rsidRPr="001F1761">
        <w:t>Change i</w:t>
      </w:r>
      <w:r w:rsidR="003C06F8">
        <w:t>n baseline for serum creatinine</w:t>
      </w:r>
      <w:r w:rsidR="00063493">
        <w:t>.</w:t>
      </w:r>
    </w:p>
    <w:p w:rsidR="001F1761" w:rsidRPr="001F1761" w:rsidRDefault="001F1761" w:rsidP="001F1761">
      <w:r w:rsidRPr="001F1761">
        <w:t xml:space="preserve">Results for studies GS-US-292-0104, GS-US-292-0111, GS-US-292-0109 are described in </w:t>
      </w:r>
      <w:r w:rsidR="00913587">
        <w:t>Attachment 2</w:t>
      </w:r>
      <w:r w:rsidRPr="001F1761">
        <w:t xml:space="preserve"> and include the following:</w:t>
      </w:r>
    </w:p>
    <w:p w:rsidR="001F1761" w:rsidRPr="001F1761" w:rsidRDefault="001F1761" w:rsidP="001F1761">
      <w:r w:rsidRPr="001F1761">
        <w:lastRenderedPageBreak/>
        <w:t xml:space="preserve">Overall, increases from baseline in mean values for serum creatinine were smaller in the </w:t>
      </w:r>
      <w:r w:rsidR="00913587" w:rsidRPr="00913587">
        <w:t>EVG/COBI/FTC</w:t>
      </w:r>
      <w:r w:rsidRPr="001F1761">
        <w:t xml:space="preserve">/TAF group compared with the </w:t>
      </w:r>
      <w:r w:rsidR="00057BBC">
        <w:t>Stribild</w:t>
      </w:r>
      <w:r w:rsidRPr="001F1761">
        <w:t xml:space="preserve"> group for studies GS-US-292-0104 and GS-US-292-0111. The difference between the treatment groups was statistically significant at all </w:t>
      </w:r>
      <w:r w:rsidR="00913587">
        <w:t>time points from Weeks 2 to 48.</w:t>
      </w:r>
    </w:p>
    <w:p w:rsidR="001F1761" w:rsidRPr="001F1761" w:rsidRDefault="001F1761" w:rsidP="001F1761">
      <w:r w:rsidRPr="001F1761">
        <w:t xml:space="preserve">For GS-US-292-0109, for subjects who switched to </w:t>
      </w:r>
      <w:r w:rsidR="00913587" w:rsidRPr="00913587">
        <w:t>EVG/COBI/FTC</w:t>
      </w:r>
      <w:r w:rsidRPr="001F1761">
        <w:t xml:space="preserve">/TAF from </w:t>
      </w:r>
      <w:r w:rsidR="00057BBC">
        <w:t>Stribild</w:t>
      </w:r>
      <w:r w:rsidRPr="001F1761">
        <w:t xml:space="preserve">, there were decreases from baseline in serum creatinine as compared with increases from baseline observed among subjects who remained on </w:t>
      </w:r>
      <w:r w:rsidR="00057BBC">
        <w:t>Stribild</w:t>
      </w:r>
      <w:r w:rsidRPr="001F1761">
        <w:t xml:space="preserve">. For subjects who switched to </w:t>
      </w:r>
      <w:r w:rsidR="00913587" w:rsidRPr="00913587">
        <w:t>EVG/COBI/FTC</w:t>
      </w:r>
      <w:r w:rsidRPr="001F1761">
        <w:t xml:space="preserve">/TAF from </w:t>
      </w:r>
      <w:r w:rsidR="00203022" w:rsidRPr="00203022">
        <w:t>atazanavir (</w:t>
      </w:r>
      <w:r w:rsidRPr="00203022">
        <w:t>ATV</w:t>
      </w:r>
      <w:r w:rsidR="00203022" w:rsidRPr="00203022">
        <w:t>)</w:t>
      </w:r>
      <w:r w:rsidRPr="00203022">
        <w:t>/</w:t>
      </w:r>
      <w:r w:rsidRPr="001F1761">
        <w:t>boosted</w:t>
      </w:r>
      <w:r w:rsidR="00913587">
        <w:t xml:space="preserve"> </w:t>
      </w:r>
      <w:r w:rsidRPr="001F1761">
        <w:t>+</w:t>
      </w:r>
      <w:r w:rsidR="00913587">
        <w:t xml:space="preserve"> </w:t>
      </w:r>
      <w:r w:rsidRPr="001F1761">
        <w:t>TVD regimens (including ATV boosted with COBI or RTV), there were increases or no changes from baseline in serum creatinine at most time points as compared with increases from baseline observed among subjects who remained on ATV/boosted</w:t>
      </w:r>
      <w:r w:rsidR="00913587">
        <w:t xml:space="preserve"> </w:t>
      </w:r>
      <w:r w:rsidRPr="001F1761">
        <w:t>+</w:t>
      </w:r>
      <w:r w:rsidR="00913587">
        <w:t xml:space="preserve"> </w:t>
      </w:r>
      <w:r w:rsidRPr="001F1761">
        <w:t xml:space="preserve">TVD regimens. There were no significant differences between treatment groups in the changes from baseline in serum creatinine, except at Week 48. In contrast, for subjects who switched to </w:t>
      </w:r>
      <w:r w:rsidR="00C56D8A" w:rsidRPr="00C56D8A">
        <w:t>EVG/COBI/FTC</w:t>
      </w:r>
      <w:r w:rsidRPr="001F1761">
        <w:t>/TAF from A</w:t>
      </w:r>
      <w:r w:rsidR="00C56D8A" w:rsidRPr="001F1761">
        <w:t>tripla</w:t>
      </w:r>
      <w:r w:rsidRPr="001F1761">
        <w:t>, there were increases from baseline in mean values for serum creatinine as compared with either no changes or smaller increases from baseline observed among subjects who remained on A</w:t>
      </w:r>
      <w:r w:rsidR="00C56D8A" w:rsidRPr="001F1761">
        <w:t>tripla</w:t>
      </w:r>
      <w:r w:rsidRPr="001F1761">
        <w:t xml:space="preserve">. Increases were observed at Week 2 for the </w:t>
      </w:r>
      <w:r w:rsidR="00C56D8A" w:rsidRPr="00C56D8A">
        <w:t>EVG/COBI/FTC</w:t>
      </w:r>
      <w:r w:rsidRPr="001F1761">
        <w:t>/TAF group (consistent with the established COBI effect on serum creatinine) and through to Week 48.</w:t>
      </w:r>
    </w:p>
    <w:p w:rsidR="001F1761" w:rsidRPr="001F1761" w:rsidRDefault="001F1761" w:rsidP="001F1761">
      <w:pPr>
        <w:pStyle w:val="FigureTitle"/>
      </w:pPr>
      <w:r>
        <w:t xml:space="preserve">Figure </w:t>
      </w:r>
      <w:r w:rsidR="00B45DD3">
        <w:t>10</w:t>
      </w:r>
      <w:r w:rsidR="00C56D8A">
        <w:t>.</w:t>
      </w:r>
      <w:r>
        <w:t xml:space="preserve"> </w:t>
      </w:r>
      <w:r w:rsidRPr="001F1761">
        <w:t xml:space="preserve">Study GS-US-292-0104: Mean (95% CI) change from baseline in </w:t>
      </w:r>
      <w:r w:rsidR="00C56D8A" w:rsidRPr="001F1761">
        <w:t>serum creatini</w:t>
      </w:r>
      <w:r w:rsidRPr="001F1761">
        <w:t>ne (m</w:t>
      </w:r>
      <w:r w:rsidR="00C56D8A">
        <w:t>g/dL) by visit (observed data; s</w:t>
      </w:r>
      <w:r w:rsidRPr="001F1761">
        <w:t>afety analysis sets)</w:t>
      </w:r>
    </w:p>
    <w:p w:rsidR="001F1761" w:rsidRDefault="001F1761" w:rsidP="007B6132">
      <w:r>
        <w:rPr>
          <w:noProof/>
          <w:lang w:eastAsia="en-AU"/>
        </w:rPr>
        <w:drawing>
          <wp:inline distT="0" distB="0" distL="0" distR="0" wp14:anchorId="5730ABB3" wp14:editId="0137CECB">
            <wp:extent cx="5295900" cy="3657600"/>
            <wp:effectExtent l="0" t="0" r="0" b="0"/>
            <wp:docPr id="3" name="Picture 3" descr="Figure 10. Study GS-US-292-0104: Mean (95% CI) change from baseline in serum creatinine (mg/dL) by visit (observed data;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95900" cy="3657600"/>
                    </a:xfrm>
                    <a:prstGeom prst="rect">
                      <a:avLst/>
                    </a:prstGeom>
                  </pic:spPr>
                </pic:pic>
              </a:graphicData>
            </a:graphic>
          </wp:inline>
        </w:drawing>
      </w:r>
    </w:p>
    <w:p w:rsidR="001F1761" w:rsidRPr="001F1761" w:rsidRDefault="00B45DD3" w:rsidP="00D71334">
      <w:pPr>
        <w:pStyle w:val="FigureTitle"/>
      </w:pPr>
      <w:r>
        <w:lastRenderedPageBreak/>
        <w:t>Figure 11</w:t>
      </w:r>
      <w:r w:rsidR="00C56D8A">
        <w:t>.</w:t>
      </w:r>
      <w:r w:rsidR="001F1761">
        <w:t xml:space="preserve"> </w:t>
      </w:r>
      <w:r w:rsidR="001F1761" w:rsidRPr="001F1761">
        <w:t>Study GS-</w:t>
      </w:r>
      <w:r w:rsidR="00C56D8A">
        <w:t>US-292-0109: m</w:t>
      </w:r>
      <w:r w:rsidR="001F1761" w:rsidRPr="001F1761">
        <w:t xml:space="preserve">ean (95% CI) change from baseline in </w:t>
      </w:r>
      <w:r w:rsidR="00C56D8A" w:rsidRPr="001F1761">
        <w:t>serum creati</w:t>
      </w:r>
      <w:r w:rsidR="001F1761" w:rsidRPr="001F1761">
        <w:t>nine (m</w:t>
      </w:r>
      <w:r w:rsidR="00C56D8A">
        <w:t>g/dL) by visit (observed data; s</w:t>
      </w:r>
      <w:r w:rsidR="001F1761" w:rsidRPr="001F1761">
        <w:t>afety analysis set,</w:t>
      </w:r>
      <w:r w:rsidR="00CA65A1">
        <w:t xml:space="preserve"> </w:t>
      </w:r>
      <w:r w:rsidR="00C56D8A" w:rsidRPr="001F1761">
        <w:t xml:space="preserve">prior treatment regimen </w:t>
      </w:r>
      <w:r w:rsidR="001F1761" w:rsidRPr="001F1761">
        <w:t xml:space="preserve">= </w:t>
      </w:r>
      <w:r w:rsidR="00057BBC">
        <w:t>Stribild</w:t>
      </w:r>
      <w:r w:rsidR="00C56D8A">
        <w:t>)</w:t>
      </w:r>
    </w:p>
    <w:p w:rsidR="001F1761" w:rsidRDefault="001F1761" w:rsidP="007B6132">
      <w:r>
        <w:rPr>
          <w:noProof/>
          <w:lang w:eastAsia="en-AU"/>
        </w:rPr>
        <w:drawing>
          <wp:inline distT="0" distB="0" distL="0" distR="0" wp14:anchorId="5504F047" wp14:editId="3982A5EB">
            <wp:extent cx="4696358" cy="3540971"/>
            <wp:effectExtent l="0" t="0" r="9525" b="2540"/>
            <wp:docPr id="4" name="Picture 4" descr="Figure 11. Study GS-US-292-0109: mean (95% CI) change from baseline in serum creatinine (mg/dL) by visit (observed data; safety analysis set, prior treatment regimen = Stri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94298" cy="3539418"/>
                    </a:xfrm>
                    <a:prstGeom prst="rect">
                      <a:avLst/>
                    </a:prstGeom>
                  </pic:spPr>
                </pic:pic>
              </a:graphicData>
            </a:graphic>
          </wp:inline>
        </w:drawing>
      </w:r>
    </w:p>
    <w:p w:rsidR="001F1761" w:rsidRPr="001F1761" w:rsidRDefault="001F1761" w:rsidP="001F1761">
      <w:r w:rsidRPr="001F1761">
        <w:t xml:space="preserve">Note: the </w:t>
      </w:r>
      <w:r w:rsidR="00C56D8A">
        <w:t xml:space="preserve">clinical </w:t>
      </w:r>
      <w:r w:rsidRPr="001F1761">
        <w:t>evaluator explained that this graph illustrates the reverse situation to the previous studies as it is switching from a TDF regimen to a TAF regimen in treatment experienced patients.</w:t>
      </w:r>
    </w:p>
    <w:p w:rsidR="001F1761" w:rsidRPr="001F1761" w:rsidRDefault="00C56D8A" w:rsidP="001F1761">
      <w:pPr>
        <w:pStyle w:val="Heading6"/>
      </w:pPr>
      <w:r>
        <w:t xml:space="preserve">Treatment </w:t>
      </w:r>
      <w:r w:rsidR="00203022">
        <w:t>emergent proteinuria</w:t>
      </w:r>
    </w:p>
    <w:p w:rsidR="001F1761" w:rsidRPr="001F1761" w:rsidRDefault="00C56D8A" w:rsidP="001F1761">
      <w:r>
        <w:t xml:space="preserve">Results for treatment </w:t>
      </w:r>
      <w:r w:rsidR="00203022">
        <w:t>emergent proteinuria for S</w:t>
      </w:r>
      <w:r w:rsidR="001F1761" w:rsidRPr="001F1761">
        <w:t xml:space="preserve">tudies </w:t>
      </w:r>
      <w:r w:rsidR="00203022">
        <w:t xml:space="preserve">GS-US-292-0104, GS-US-292-0111 and </w:t>
      </w:r>
      <w:r w:rsidR="001F1761" w:rsidRPr="001F1761">
        <w:t xml:space="preserve">GS-US-292-0109 are summarised in </w:t>
      </w:r>
      <w:r>
        <w:t>Attachment 2</w:t>
      </w:r>
      <w:r w:rsidR="001F1761" w:rsidRPr="001F1761">
        <w:t xml:space="preserve">. Fewer subjects in the </w:t>
      </w:r>
      <w:r w:rsidRPr="00C56D8A">
        <w:t>EVG/COBI/FTC</w:t>
      </w:r>
      <w:r w:rsidR="001F1761" w:rsidRPr="001F1761">
        <w:t xml:space="preserve">/TAF group than in the </w:t>
      </w:r>
      <w:r w:rsidR="00057BBC">
        <w:t>Stribild</w:t>
      </w:r>
      <w:r w:rsidR="001F1761" w:rsidRPr="001F1761">
        <w:t xml:space="preserve"> group had at least 1 recorded, graded proteinuria by dipstick, although differences were modest.</w:t>
      </w:r>
    </w:p>
    <w:p w:rsidR="001F1761" w:rsidRPr="001F1761" w:rsidRDefault="00C56D8A" w:rsidP="001F1761">
      <w:pPr>
        <w:pStyle w:val="Heading6"/>
      </w:pPr>
      <w:r>
        <w:t>Adverse events; S</w:t>
      </w:r>
      <w:r w:rsidR="001F1761" w:rsidRPr="001F1761">
        <w:t>tudies GS-US-292-0104 and GS-US-292-0111</w:t>
      </w:r>
    </w:p>
    <w:p w:rsidR="001F1761" w:rsidRPr="001F1761" w:rsidRDefault="00203022" w:rsidP="001F1761">
      <w:r>
        <w:t>For S</w:t>
      </w:r>
      <w:r w:rsidR="001F1761" w:rsidRPr="001F1761">
        <w:t xml:space="preserve">tudies GS-US-292-0104 and GS-US-292-0111, the proportion of subjects who discontinued study drug due to AEs, regardless of severity, was 0.9% (8 subjects) in the </w:t>
      </w:r>
      <w:r w:rsidR="00C56D8A" w:rsidRPr="00C56D8A">
        <w:t>EVG/COBI/FTC</w:t>
      </w:r>
      <w:r w:rsidR="001F1761" w:rsidRPr="001F1761">
        <w:t xml:space="preserve">/TAF group and 1.5% (13 subjects) in the </w:t>
      </w:r>
      <w:r w:rsidR="00057BBC">
        <w:t>Stribild</w:t>
      </w:r>
      <w:r w:rsidR="001F1761" w:rsidRPr="001F1761">
        <w:t xml:space="preserve"> group. The only </w:t>
      </w:r>
      <w:r w:rsidR="002A25DD" w:rsidRPr="002A25DD">
        <w:t xml:space="preserve">adverse event </w:t>
      </w:r>
      <w:r w:rsidR="002A25DD">
        <w:t>(</w:t>
      </w:r>
      <w:r w:rsidR="001F1761" w:rsidRPr="001F1761">
        <w:t>AE</w:t>
      </w:r>
      <w:r w:rsidR="002A25DD">
        <w:t>)</w:t>
      </w:r>
      <w:r w:rsidR="001F1761" w:rsidRPr="001F1761">
        <w:t xml:space="preserve"> (all Grades) considered related to study drug by the investigator that was reported in ≥ 10% of subjects in the </w:t>
      </w:r>
      <w:r w:rsidR="00C56D8A" w:rsidRPr="00C56D8A">
        <w:t>EVG/COBI/FTC</w:t>
      </w:r>
      <w:r w:rsidR="001F1761" w:rsidRPr="001F1761">
        <w:t>/TAF group was n</w:t>
      </w:r>
      <w:r w:rsidR="003857F4">
        <w:t>ausea (10.4%, 90 subjects).</w:t>
      </w:r>
    </w:p>
    <w:p w:rsidR="001F1761" w:rsidRPr="001F1761" w:rsidRDefault="00C56D8A" w:rsidP="00D71334">
      <w:pPr>
        <w:pStyle w:val="TableTitle"/>
        <w:pageBreakBefore/>
      </w:pPr>
      <w:r>
        <w:lastRenderedPageBreak/>
        <w:t xml:space="preserve">Table 15. </w:t>
      </w:r>
      <w:r w:rsidR="001F1761" w:rsidRPr="001F1761">
        <w:t>GS</w:t>
      </w:r>
      <w:r>
        <w:t>-US-292-0104 and GS-US-292-0111.</w:t>
      </w:r>
      <w:r w:rsidR="001F1761" w:rsidRPr="001F1761">
        <w:t xml:space="preserve"> Common adverse events (all grades) in ≥</w:t>
      </w:r>
      <w:r>
        <w:t xml:space="preserve"> 5% of patients</w:t>
      </w:r>
    </w:p>
    <w:tbl>
      <w:tblPr>
        <w:tblStyle w:val="TableTGAblue"/>
        <w:tblW w:w="0" w:type="auto"/>
        <w:tblLook w:val="04A0" w:firstRow="1" w:lastRow="0" w:firstColumn="1" w:lastColumn="0" w:noHBand="0" w:noVBand="1"/>
      </w:tblPr>
      <w:tblGrid>
        <w:gridCol w:w="2649"/>
        <w:gridCol w:w="3094"/>
        <w:gridCol w:w="2977"/>
      </w:tblGrid>
      <w:tr w:rsidR="00FD66BB" w:rsidRPr="00FD66BB" w:rsidTr="00EA6D79">
        <w:trPr>
          <w:cnfStyle w:val="100000000000" w:firstRow="1" w:lastRow="0" w:firstColumn="0" w:lastColumn="0" w:oddVBand="0" w:evenVBand="0" w:oddHBand="0" w:evenHBand="0" w:firstRowFirstColumn="0" w:firstRowLastColumn="0" w:lastRowFirstColumn="0" w:lastRowLastColumn="0"/>
        </w:trPr>
        <w:tc>
          <w:tcPr>
            <w:tcW w:w="0" w:type="auto"/>
            <w:hideMark/>
          </w:tcPr>
          <w:p w:rsidR="00FD66BB" w:rsidRPr="00FD66BB" w:rsidRDefault="00FD66BB" w:rsidP="00912E0B"/>
        </w:tc>
        <w:tc>
          <w:tcPr>
            <w:tcW w:w="3094" w:type="dxa"/>
            <w:hideMark/>
          </w:tcPr>
          <w:p w:rsidR="00FD66BB" w:rsidRPr="00FD66BB" w:rsidRDefault="00FD66BB" w:rsidP="00912E0B">
            <w:r w:rsidRPr="00FD66BB">
              <w:t xml:space="preserve">Elvitegravir, </w:t>
            </w:r>
            <w:r w:rsidR="007E6D40">
              <w:t>COBI</w:t>
            </w:r>
            <w:r w:rsidRPr="00FD66BB">
              <w:t>, emtricitabine, tenofovir alafenamide (n=866)</w:t>
            </w:r>
          </w:p>
        </w:tc>
        <w:tc>
          <w:tcPr>
            <w:tcW w:w="2977" w:type="dxa"/>
            <w:hideMark/>
          </w:tcPr>
          <w:p w:rsidR="00FD66BB" w:rsidRPr="00FD66BB" w:rsidRDefault="00FD66BB" w:rsidP="00912E0B">
            <w:r w:rsidRPr="00FD66BB">
              <w:t xml:space="preserve">Elvitegravir, </w:t>
            </w:r>
            <w:r w:rsidR="007E6D40">
              <w:t>COBI</w:t>
            </w:r>
            <w:r w:rsidRPr="00FD66BB">
              <w:t>, emtricitabine, tenofovir disoproxil fumarate (n=867)</w:t>
            </w:r>
          </w:p>
        </w:tc>
      </w:tr>
      <w:tr w:rsidR="00FD66BB" w:rsidRPr="00FD66BB" w:rsidTr="00EA6D79">
        <w:tc>
          <w:tcPr>
            <w:tcW w:w="0" w:type="auto"/>
            <w:hideMark/>
          </w:tcPr>
          <w:p w:rsidR="00FD66BB" w:rsidRPr="00FD66BB" w:rsidRDefault="00FD66BB" w:rsidP="00912E0B">
            <w:r w:rsidRPr="00FD66BB">
              <w:t>Diarrhoea</w:t>
            </w:r>
          </w:p>
        </w:tc>
        <w:tc>
          <w:tcPr>
            <w:tcW w:w="3094" w:type="dxa"/>
            <w:hideMark/>
          </w:tcPr>
          <w:p w:rsidR="00FD66BB" w:rsidRPr="00FD66BB" w:rsidRDefault="00FD66BB" w:rsidP="00912E0B">
            <w:r w:rsidRPr="00FD66BB">
              <w:t>147 (17%)</w:t>
            </w:r>
          </w:p>
        </w:tc>
        <w:tc>
          <w:tcPr>
            <w:tcW w:w="2977" w:type="dxa"/>
            <w:hideMark/>
          </w:tcPr>
          <w:p w:rsidR="00FD66BB" w:rsidRPr="00FD66BB" w:rsidRDefault="00FD66BB" w:rsidP="00912E0B">
            <w:r w:rsidRPr="00FD66BB">
              <w:t>164 (19%)</w:t>
            </w:r>
          </w:p>
        </w:tc>
      </w:tr>
      <w:tr w:rsidR="00FD66BB" w:rsidRPr="00FD66BB" w:rsidTr="00EA6D79">
        <w:tc>
          <w:tcPr>
            <w:tcW w:w="0" w:type="auto"/>
            <w:hideMark/>
          </w:tcPr>
          <w:p w:rsidR="00FD66BB" w:rsidRPr="00FD66BB" w:rsidRDefault="00FD66BB" w:rsidP="00912E0B">
            <w:r w:rsidRPr="00FD66BB">
              <w:t>Nausea</w:t>
            </w:r>
          </w:p>
        </w:tc>
        <w:tc>
          <w:tcPr>
            <w:tcW w:w="3094" w:type="dxa"/>
            <w:hideMark/>
          </w:tcPr>
          <w:p w:rsidR="00FD66BB" w:rsidRPr="00FD66BB" w:rsidRDefault="00FD66BB" w:rsidP="00912E0B">
            <w:r w:rsidRPr="00FD66BB">
              <w:t>132 (15%)</w:t>
            </w:r>
          </w:p>
        </w:tc>
        <w:tc>
          <w:tcPr>
            <w:tcW w:w="2977" w:type="dxa"/>
            <w:hideMark/>
          </w:tcPr>
          <w:p w:rsidR="00FD66BB" w:rsidRPr="00FD66BB" w:rsidRDefault="00FD66BB" w:rsidP="00912E0B">
            <w:r w:rsidRPr="00FD66BB">
              <w:t>151 (17%)</w:t>
            </w:r>
          </w:p>
        </w:tc>
      </w:tr>
      <w:tr w:rsidR="00FD66BB" w:rsidRPr="00FD66BB" w:rsidTr="00EA6D79">
        <w:tc>
          <w:tcPr>
            <w:tcW w:w="0" w:type="auto"/>
            <w:hideMark/>
          </w:tcPr>
          <w:p w:rsidR="00FD66BB" w:rsidRPr="00FD66BB" w:rsidRDefault="00FD66BB" w:rsidP="00912E0B">
            <w:r w:rsidRPr="00FD66BB">
              <w:t>Headache</w:t>
            </w:r>
          </w:p>
        </w:tc>
        <w:tc>
          <w:tcPr>
            <w:tcW w:w="3094" w:type="dxa"/>
            <w:hideMark/>
          </w:tcPr>
          <w:p w:rsidR="00FD66BB" w:rsidRPr="00FD66BB" w:rsidRDefault="00FD66BB" w:rsidP="00912E0B">
            <w:r w:rsidRPr="00FD66BB">
              <w:t>124 (14%)</w:t>
            </w:r>
          </w:p>
        </w:tc>
        <w:tc>
          <w:tcPr>
            <w:tcW w:w="2977" w:type="dxa"/>
            <w:hideMark/>
          </w:tcPr>
          <w:p w:rsidR="00FD66BB" w:rsidRPr="00FD66BB" w:rsidRDefault="00FD66BB" w:rsidP="00912E0B">
            <w:r w:rsidRPr="00FD66BB">
              <w:t>108 (13%)</w:t>
            </w:r>
          </w:p>
        </w:tc>
      </w:tr>
      <w:tr w:rsidR="00FD66BB" w:rsidRPr="00FD66BB" w:rsidTr="00EA6D79">
        <w:tc>
          <w:tcPr>
            <w:tcW w:w="0" w:type="auto"/>
            <w:hideMark/>
          </w:tcPr>
          <w:p w:rsidR="00FD66BB" w:rsidRPr="00FD66BB" w:rsidRDefault="00FD66BB" w:rsidP="00912E0B">
            <w:r w:rsidRPr="00FD66BB">
              <w:t>Upper respiratory tract infection</w:t>
            </w:r>
          </w:p>
        </w:tc>
        <w:tc>
          <w:tcPr>
            <w:tcW w:w="3094" w:type="dxa"/>
            <w:hideMark/>
          </w:tcPr>
          <w:p w:rsidR="00FD66BB" w:rsidRPr="00FD66BB" w:rsidRDefault="00FD66BB" w:rsidP="00912E0B">
            <w:r w:rsidRPr="00FD66BB">
              <w:t>99 (11%)</w:t>
            </w:r>
          </w:p>
        </w:tc>
        <w:tc>
          <w:tcPr>
            <w:tcW w:w="2977" w:type="dxa"/>
            <w:hideMark/>
          </w:tcPr>
          <w:p w:rsidR="00FD66BB" w:rsidRPr="00FD66BB" w:rsidRDefault="00FD66BB" w:rsidP="00912E0B">
            <w:r w:rsidRPr="00FD66BB">
              <w:t>109 (13%)</w:t>
            </w:r>
          </w:p>
        </w:tc>
      </w:tr>
      <w:tr w:rsidR="00FD66BB" w:rsidRPr="00FD66BB" w:rsidTr="00EA6D79">
        <w:tc>
          <w:tcPr>
            <w:tcW w:w="0" w:type="auto"/>
            <w:hideMark/>
          </w:tcPr>
          <w:p w:rsidR="00FD66BB" w:rsidRPr="00FD66BB" w:rsidRDefault="00FD66BB" w:rsidP="00912E0B">
            <w:r w:rsidRPr="00FD66BB">
              <w:t>Nasopharyngitis</w:t>
            </w:r>
          </w:p>
        </w:tc>
        <w:tc>
          <w:tcPr>
            <w:tcW w:w="3094" w:type="dxa"/>
            <w:hideMark/>
          </w:tcPr>
          <w:p w:rsidR="00FD66BB" w:rsidRPr="00FD66BB" w:rsidRDefault="00FD66BB" w:rsidP="00912E0B">
            <w:r w:rsidRPr="00FD66BB">
              <w:t>78 (9%)</w:t>
            </w:r>
          </w:p>
        </w:tc>
        <w:tc>
          <w:tcPr>
            <w:tcW w:w="2977" w:type="dxa"/>
            <w:hideMark/>
          </w:tcPr>
          <w:p w:rsidR="00FD66BB" w:rsidRPr="00FD66BB" w:rsidRDefault="00FD66BB" w:rsidP="00912E0B">
            <w:r w:rsidRPr="00FD66BB">
              <w:t>80 (9%)</w:t>
            </w:r>
          </w:p>
        </w:tc>
      </w:tr>
      <w:tr w:rsidR="00FD66BB" w:rsidRPr="00FD66BB" w:rsidTr="00EA6D79">
        <w:tc>
          <w:tcPr>
            <w:tcW w:w="0" w:type="auto"/>
            <w:hideMark/>
          </w:tcPr>
          <w:p w:rsidR="00FD66BB" w:rsidRPr="00FD66BB" w:rsidRDefault="00FD66BB" w:rsidP="00912E0B">
            <w:r w:rsidRPr="00FD66BB">
              <w:t>Fatigue</w:t>
            </w:r>
          </w:p>
        </w:tc>
        <w:tc>
          <w:tcPr>
            <w:tcW w:w="3094" w:type="dxa"/>
            <w:hideMark/>
          </w:tcPr>
          <w:p w:rsidR="00FD66BB" w:rsidRPr="00FD66BB" w:rsidRDefault="00FD66BB" w:rsidP="00912E0B">
            <w:r w:rsidRPr="00FD66BB">
              <w:t>71 (8%)</w:t>
            </w:r>
          </w:p>
        </w:tc>
        <w:tc>
          <w:tcPr>
            <w:tcW w:w="2977" w:type="dxa"/>
            <w:hideMark/>
          </w:tcPr>
          <w:p w:rsidR="00FD66BB" w:rsidRPr="00FD66BB" w:rsidRDefault="00FD66BB" w:rsidP="00912E0B">
            <w:r w:rsidRPr="00FD66BB">
              <w:t>71 (8%)</w:t>
            </w:r>
          </w:p>
        </w:tc>
      </w:tr>
      <w:tr w:rsidR="00FD66BB" w:rsidRPr="00FD66BB" w:rsidTr="00EA6D79">
        <w:tc>
          <w:tcPr>
            <w:tcW w:w="0" w:type="auto"/>
            <w:hideMark/>
          </w:tcPr>
          <w:p w:rsidR="00FD66BB" w:rsidRPr="00FD66BB" w:rsidRDefault="00FD66BB" w:rsidP="00912E0B">
            <w:r w:rsidRPr="00FD66BB">
              <w:t>Cough</w:t>
            </w:r>
          </w:p>
        </w:tc>
        <w:tc>
          <w:tcPr>
            <w:tcW w:w="3094" w:type="dxa"/>
            <w:hideMark/>
          </w:tcPr>
          <w:p w:rsidR="00FD66BB" w:rsidRPr="00FD66BB" w:rsidRDefault="00FD66BB" w:rsidP="00912E0B">
            <w:r w:rsidRPr="00FD66BB">
              <w:t>67 (8%)</w:t>
            </w:r>
          </w:p>
        </w:tc>
        <w:tc>
          <w:tcPr>
            <w:tcW w:w="2977" w:type="dxa"/>
            <w:hideMark/>
          </w:tcPr>
          <w:p w:rsidR="00FD66BB" w:rsidRPr="00FD66BB" w:rsidRDefault="00FD66BB" w:rsidP="00912E0B">
            <w:r w:rsidRPr="00FD66BB">
              <w:t>60 (7%)</w:t>
            </w:r>
          </w:p>
        </w:tc>
      </w:tr>
      <w:tr w:rsidR="00FD66BB" w:rsidRPr="00FD66BB" w:rsidTr="00EA6D79">
        <w:tc>
          <w:tcPr>
            <w:tcW w:w="0" w:type="auto"/>
            <w:hideMark/>
          </w:tcPr>
          <w:p w:rsidR="00FD66BB" w:rsidRPr="00FD66BB" w:rsidRDefault="00FD66BB" w:rsidP="00912E0B">
            <w:r w:rsidRPr="00FD66BB">
              <w:t>Vomiting</w:t>
            </w:r>
          </w:p>
        </w:tc>
        <w:tc>
          <w:tcPr>
            <w:tcW w:w="3094" w:type="dxa"/>
            <w:hideMark/>
          </w:tcPr>
          <w:p w:rsidR="00FD66BB" w:rsidRPr="00FD66BB" w:rsidRDefault="00FD66BB" w:rsidP="00912E0B">
            <w:r w:rsidRPr="00FD66BB">
              <w:t>62 (7%)</w:t>
            </w:r>
          </w:p>
        </w:tc>
        <w:tc>
          <w:tcPr>
            <w:tcW w:w="2977" w:type="dxa"/>
            <w:hideMark/>
          </w:tcPr>
          <w:p w:rsidR="00FD66BB" w:rsidRPr="00FD66BB" w:rsidRDefault="00FD66BB" w:rsidP="00912E0B">
            <w:r w:rsidRPr="00FD66BB">
              <w:t>54 (6%)</w:t>
            </w:r>
          </w:p>
        </w:tc>
      </w:tr>
      <w:tr w:rsidR="00FD66BB" w:rsidRPr="00FD66BB" w:rsidTr="00EA6D79">
        <w:tc>
          <w:tcPr>
            <w:tcW w:w="0" w:type="auto"/>
            <w:hideMark/>
          </w:tcPr>
          <w:p w:rsidR="00FD66BB" w:rsidRPr="00FD66BB" w:rsidRDefault="00FD66BB" w:rsidP="00912E0B">
            <w:r w:rsidRPr="00FD66BB">
              <w:t>Arthralgia</w:t>
            </w:r>
          </w:p>
        </w:tc>
        <w:tc>
          <w:tcPr>
            <w:tcW w:w="3094" w:type="dxa"/>
            <w:hideMark/>
          </w:tcPr>
          <w:p w:rsidR="00FD66BB" w:rsidRPr="00FD66BB" w:rsidRDefault="00FD66BB" w:rsidP="00912E0B">
            <w:r w:rsidRPr="00FD66BB">
              <w:t>61 (7%)</w:t>
            </w:r>
          </w:p>
        </w:tc>
        <w:tc>
          <w:tcPr>
            <w:tcW w:w="2977" w:type="dxa"/>
            <w:hideMark/>
          </w:tcPr>
          <w:p w:rsidR="00FD66BB" w:rsidRPr="00FD66BB" w:rsidRDefault="00FD66BB" w:rsidP="00912E0B">
            <w:r w:rsidRPr="00FD66BB">
              <w:t>39 (5%)</w:t>
            </w:r>
          </w:p>
        </w:tc>
      </w:tr>
      <w:tr w:rsidR="00FD66BB" w:rsidRPr="00FD66BB" w:rsidTr="00EA6D79">
        <w:tc>
          <w:tcPr>
            <w:tcW w:w="0" w:type="auto"/>
            <w:hideMark/>
          </w:tcPr>
          <w:p w:rsidR="00FD66BB" w:rsidRPr="00FD66BB" w:rsidRDefault="00FD66BB" w:rsidP="00912E0B">
            <w:r w:rsidRPr="00FD66BB">
              <w:t>Back pain</w:t>
            </w:r>
          </w:p>
        </w:tc>
        <w:tc>
          <w:tcPr>
            <w:tcW w:w="3094" w:type="dxa"/>
            <w:hideMark/>
          </w:tcPr>
          <w:p w:rsidR="00FD66BB" w:rsidRPr="00FD66BB" w:rsidRDefault="00FD66BB" w:rsidP="00912E0B">
            <w:r w:rsidRPr="00FD66BB">
              <w:t>60 (7%)</w:t>
            </w:r>
          </w:p>
        </w:tc>
        <w:tc>
          <w:tcPr>
            <w:tcW w:w="2977" w:type="dxa"/>
            <w:hideMark/>
          </w:tcPr>
          <w:p w:rsidR="00FD66BB" w:rsidRPr="00FD66BB" w:rsidRDefault="00FD66BB" w:rsidP="00912E0B">
            <w:r w:rsidRPr="00FD66BB">
              <w:t>57 (7%)</w:t>
            </w:r>
          </w:p>
        </w:tc>
      </w:tr>
      <w:tr w:rsidR="00FD66BB" w:rsidRPr="00FD66BB" w:rsidTr="00EA6D79">
        <w:tc>
          <w:tcPr>
            <w:tcW w:w="0" w:type="auto"/>
            <w:hideMark/>
          </w:tcPr>
          <w:p w:rsidR="00FD66BB" w:rsidRPr="00FD66BB" w:rsidRDefault="00FD66BB" w:rsidP="00912E0B">
            <w:r w:rsidRPr="00FD66BB">
              <w:t>Insomnia</w:t>
            </w:r>
          </w:p>
        </w:tc>
        <w:tc>
          <w:tcPr>
            <w:tcW w:w="3094" w:type="dxa"/>
            <w:hideMark/>
          </w:tcPr>
          <w:p w:rsidR="00FD66BB" w:rsidRPr="00FD66BB" w:rsidRDefault="00FD66BB" w:rsidP="00912E0B">
            <w:r w:rsidRPr="00FD66BB">
              <w:t>57 (7%)</w:t>
            </w:r>
          </w:p>
        </w:tc>
        <w:tc>
          <w:tcPr>
            <w:tcW w:w="2977" w:type="dxa"/>
            <w:hideMark/>
          </w:tcPr>
          <w:p w:rsidR="00FD66BB" w:rsidRPr="00FD66BB" w:rsidRDefault="00FD66BB" w:rsidP="00912E0B">
            <w:r w:rsidRPr="00FD66BB">
              <w:t>48 (6%)</w:t>
            </w:r>
          </w:p>
        </w:tc>
      </w:tr>
      <w:tr w:rsidR="00FD66BB" w:rsidRPr="00FD66BB" w:rsidTr="00EA6D79">
        <w:tc>
          <w:tcPr>
            <w:tcW w:w="0" w:type="auto"/>
            <w:hideMark/>
          </w:tcPr>
          <w:p w:rsidR="00FD66BB" w:rsidRPr="00FD66BB" w:rsidRDefault="00FD66BB" w:rsidP="00912E0B">
            <w:r w:rsidRPr="00FD66BB">
              <w:t>Rash</w:t>
            </w:r>
          </w:p>
        </w:tc>
        <w:tc>
          <w:tcPr>
            <w:tcW w:w="3094" w:type="dxa"/>
            <w:hideMark/>
          </w:tcPr>
          <w:p w:rsidR="00FD66BB" w:rsidRPr="00FD66BB" w:rsidRDefault="00FD66BB" w:rsidP="00912E0B">
            <w:r w:rsidRPr="00FD66BB">
              <w:t>55 (6%)</w:t>
            </w:r>
          </w:p>
        </w:tc>
        <w:tc>
          <w:tcPr>
            <w:tcW w:w="2977" w:type="dxa"/>
            <w:hideMark/>
          </w:tcPr>
          <w:p w:rsidR="00FD66BB" w:rsidRPr="00FD66BB" w:rsidRDefault="00FD66BB" w:rsidP="00912E0B">
            <w:r w:rsidRPr="00FD66BB">
              <w:t>46 (5%)</w:t>
            </w:r>
          </w:p>
        </w:tc>
      </w:tr>
      <w:tr w:rsidR="00FD66BB" w:rsidRPr="00FD66BB" w:rsidTr="00EA6D79">
        <w:tc>
          <w:tcPr>
            <w:tcW w:w="0" w:type="auto"/>
            <w:hideMark/>
          </w:tcPr>
          <w:p w:rsidR="00FD66BB" w:rsidRPr="00FD66BB" w:rsidRDefault="00FD66BB" w:rsidP="00912E0B">
            <w:r w:rsidRPr="00FD66BB">
              <w:t>Pyrexia</w:t>
            </w:r>
          </w:p>
        </w:tc>
        <w:tc>
          <w:tcPr>
            <w:tcW w:w="3094" w:type="dxa"/>
            <w:hideMark/>
          </w:tcPr>
          <w:p w:rsidR="00FD66BB" w:rsidRPr="00FD66BB" w:rsidRDefault="00FD66BB" w:rsidP="00912E0B">
            <w:r w:rsidRPr="00FD66BB">
              <w:t>45 (5%)</w:t>
            </w:r>
          </w:p>
        </w:tc>
        <w:tc>
          <w:tcPr>
            <w:tcW w:w="2977" w:type="dxa"/>
            <w:hideMark/>
          </w:tcPr>
          <w:p w:rsidR="00FD66BB" w:rsidRPr="00FD66BB" w:rsidRDefault="00FD66BB" w:rsidP="00912E0B">
            <w:r w:rsidRPr="00FD66BB">
              <w:t>41 (5%)</w:t>
            </w:r>
          </w:p>
        </w:tc>
      </w:tr>
      <w:tr w:rsidR="00FD66BB" w:rsidRPr="00FD66BB" w:rsidTr="00EA6D79">
        <w:tc>
          <w:tcPr>
            <w:tcW w:w="0" w:type="auto"/>
            <w:hideMark/>
          </w:tcPr>
          <w:p w:rsidR="00FD66BB" w:rsidRPr="00FD66BB" w:rsidRDefault="00FD66BB" w:rsidP="00912E0B">
            <w:r w:rsidRPr="00FD66BB">
              <w:t>Dizziness</w:t>
            </w:r>
          </w:p>
        </w:tc>
        <w:tc>
          <w:tcPr>
            <w:tcW w:w="3094" w:type="dxa"/>
            <w:hideMark/>
          </w:tcPr>
          <w:p w:rsidR="00FD66BB" w:rsidRPr="00FD66BB" w:rsidRDefault="00FD66BB" w:rsidP="00912E0B">
            <w:r w:rsidRPr="00FD66BB">
              <w:t>44 (5%)</w:t>
            </w:r>
          </w:p>
        </w:tc>
        <w:tc>
          <w:tcPr>
            <w:tcW w:w="2977" w:type="dxa"/>
            <w:hideMark/>
          </w:tcPr>
          <w:p w:rsidR="00FD66BB" w:rsidRPr="00FD66BB" w:rsidRDefault="00FD66BB" w:rsidP="00912E0B">
            <w:r w:rsidRPr="00FD66BB">
              <w:t>37 (4%)</w:t>
            </w:r>
          </w:p>
        </w:tc>
      </w:tr>
    </w:tbl>
    <w:p w:rsidR="00160E30" w:rsidRPr="00203022" w:rsidRDefault="00160E30" w:rsidP="00203022">
      <w:r w:rsidRPr="00203022">
        <w:t xml:space="preserve">Results for the other studies are described in </w:t>
      </w:r>
      <w:r w:rsidR="00C56D8A" w:rsidRPr="00203022">
        <w:t>Attachment 2</w:t>
      </w:r>
    </w:p>
    <w:p w:rsidR="00160E30" w:rsidRPr="00160E30" w:rsidRDefault="00160E30" w:rsidP="00160E30">
      <w:pPr>
        <w:pStyle w:val="Heading6"/>
      </w:pPr>
      <w:r w:rsidRPr="00160E30">
        <w:t>Deaths and SAEs</w:t>
      </w:r>
    </w:p>
    <w:p w:rsidR="00160E30" w:rsidRPr="00160E30" w:rsidRDefault="00160E30" w:rsidP="00160E30">
      <w:r w:rsidRPr="00160E30">
        <w:t xml:space="preserve">Seven subjects died during the </w:t>
      </w:r>
      <w:r w:rsidR="00C56D8A" w:rsidRPr="00C56D8A">
        <w:t>EVG/COBI/FTC</w:t>
      </w:r>
      <w:r w:rsidR="00C56D8A">
        <w:t>/TAF Phase II and Phase III</w:t>
      </w:r>
      <w:r w:rsidRPr="00160E30">
        <w:t xml:space="preserve"> studies: 5 subjects</w:t>
      </w:r>
      <w:r>
        <w:t xml:space="preserve"> in </w:t>
      </w:r>
      <w:r w:rsidRPr="00160E30">
        <w:t>Studies GS-US-292-0104 and GS-US-292-0111, and 2 s</w:t>
      </w:r>
      <w:r w:rsidR="00C56D8A">
        <w:t>ubjects in Study GS</w:t>
      </w:r>
      <w:r w:rsidR="00C56D8A">
        <w:noBreakHyphen/>
        <w:t>US</w:t>
      </w:r>
      <w:r w:rsidR="00C56D8A">
        <w:noBreakHyphen/>
      </w:r>
      <w:r>
        <w:t xml:space="preserve">292-0109 </w:t>
      </w:r>
      <w:r w:rsidRPr="00160E30">
        <w:t>None of the events that resulted in death were consider</w:t>
      </w:r>
      <w:r>
        <w:t xml:space="preserve">ed related to study drug by the </w:t>
      </w:r>
      <w:r w:rsidRPr="00160E30">
        <w:t>inves</w:t>
      </w:r>
      <w:r w:rsidR="003857F4">
        <w:t>tigator.</w:t>
      </w:r>
    </w:p>
    <w:p w:rsidR="00160E30" w:rsidRPr="00160E30" w:rsidRDefault="00160E30" w:rsidP="00160E30">
      <w:r w:rsidRPr="00160E30">
        <w:t>Serious AEs were reported for a similar percentage of subjects in both treat</w:t>
      </w:r>
      <w:r w:rsidR="00203022">
        <w:t>ment groups in the comparative S</w:t>
      </w:r>
      <w:r w:rsidRPr="00160E30">
        <w:t>tudies (</w:t>
      </w:r>
      <w:r w:rsidR="00C56D8A">
        <w:t>GS-US-292-0104, GS-US-292-0111 and GS</w:t>
      </w:r>
      <w:r w:rsidRPr="00160E30">
        <w:t>-</w:t>
      </w:r>
      <w:r w:rsidR="00C56D8A">
        <w:t>US-292-0109) and &lt; </w:t>
      </w:r>
      <w:r w:rsidRPr="00160E30">
        <w:t xml:space="preserve">10% in the </w:t>
      </w:r>
      <w:r w:rsidR="00C56D8A" w:rsidRPr="00C56D8A">
        <w:t>EVG/COBI/FTC</w:t>
      </w:r>
      <w:r w:rsidRPr="00160E30">
        <w:t xml:space="preserve">/TAF group in each study. </w:t>
      </w:r>
      <w:r w:rsidR="00C56D8A">
        <w:t>No individual SAE occurred in ≥ </w:t>
      </w:r>
      <w:r w:rsidRPr="00160E30">
        <w:t>1% of subj</w:t>
      </w:r>
      <w:r w:rsidR="00C56D8A">
        <w:t>ects in either treatment group.</w:t>
      </w:r>
    </w:p>
    <w:p w:rsidR="00160E30" w:rsidRPr="00160E30" w:rsidRDefault="00160E30" w:rsidP="00160E30">
      <w:r w:rsidRPr="00160E30">
        <w:t xml:space="preserve">Among virologically suppressed subjects in Study GS-US-292-0109, subjects who switched to </w:t>
      </w:r>
      <w:r w:rsidR="00C56D8A" w:rsidRPr="00C56D8A">
        <w:t>EVG/COBI/FTC</w:t>
      </w:r>
      <w:r w:rsidRPr="00160E30">
        <w:t>/TAF had a higher incidence of any AE considered by the investigator as related to study drug (</w:t>
      </w:r>
      <w:r w:rsidR="00C56D8A" w:rsidRPr="00C56D8A">
        <w:t>EVG/COBI/FTC</w:t>
      </w:r>
      <w:r w:rsidRPr="00160E30">
        <w:t>/TAF 19.3%, 185 subjects; FTC/TDF</w:t>
      </w:r>
      <w:r w:rsidR="00C56D8A">
        <w:t xml:space="preserve"> </w:t>
      </w:r>
      <w:r w:rsidRPr="00160E30">
        <w:t>+</w:t>
      </w:r>
      <w:r w:rsidR="00C56D8A">
        <w:t xml:space="preserve"> </w:t>
      </w:r>
      <w:r w:rsidRPr="00160E30">
        <w:t xml:space="preserve">3rd Agent 12.8%, 61 subjects). However, SAEs were reported for a similar percentage of subjects in </w:t>
      </w:r>
      <w:r w:rsidRPr="00160E30">
        <w:lastRenderedPageBreak/>
        <w:t>the 2 groups (</w:t>
      </w:r>
      <w:r w:rsidR="00C56D8A" w:rsidRPr="00C56D8A">
        <w:t>EVG/COBI/FTC</w:t>
      </w:r>
      <w:r w:rsidRPr="00160E30">
        <w:t>/TAF 4.4%, 42 subjects; FTC/TD</w:t>
      </w:r>
      <w:r w:rsidR="003857F4">
        <w:t>F</w:t>
      </w:r>
      <w:r w:rsidR="00C56D8A">
        <w:t xml:space="preserve"> </w:t>
      </w:r>
      <w:r w:rsidR="003857F4">
        <w:t>+</w:t>
      </w:r>
      <w:r w:rsidR="00C56D8A">
        <w:t xml:space="preserve"> </w:t>
      </w:r>
      <w:r w:rsidR="003857F4">
        <w:t>3rd Agent 4.4%, 21 subjects).</w:t>
      </w:r>
    </w:p>
    <w:p w:rsidR="00160E30" w:rsidRPr="00160E30" w:rsidRDefault="00160E30" w:rsidP="00160E30">
      <w:r w:rsidRPr="00160E30">
        <w:t>Serious AEs were reported in Study GS-US-292-0112 (subjects with mild to moderate renal impairment) for 10.7% of Cohort 1 switch subjects (n = 26), with similar percentages reported in subjects with baseline eGFRCG ≥ 50 mL/min (11.3%, n = 9) and eGFRCG &lt; 50 mL/min (10.5%, n = 17). SAEs were reported for 4 subjects (8.3%) in the adolescent study (Study GS-US-292-0106).</w:t>
      </w:r>
    </w:p>
    <w:p w:rsidR="00160E30" w:rsidRPr="00160E30" w:rsidRDefault="00C56D8A" w:rsidP="00160E30">
      <w:pPr>
        <w:pStyle w:val="Heading6"/>
      </w:pPr>
      <w:r>
        <w:t>Clinical e</w:t>
      </w:r>
      <w:r w:rsidR="00160E30" w:rsidRPr="00160E30">
        <w:t>valuator</w:t>
      </w:r>
      <w:r>
        <w:t>’s</w:t>
      </w:r>
      <w:r w:rsidR="0047336D">
        <w:t xml:space="preserve"> conclusions on clinical safety</w:t>
      </w:r>
    </w:p>
    <w:p w:rsidR="00160E30" w:rsidRPr="00160E30" w:rsidRDefault="00160E30" w:rsidP="00160E30">
      <w:r w:rsidRPr="00160E30">
        <w:t xml:space="preserve">The </w:t>
      </w:r>
      <w:r w:rsidR="00C56D8A">
        <w:t xml:space="preserve">clinical </w:t>
      </w:r>
      <w:r w:rsidRPr="00160E30">
        <w:t>evaluator concluded that there were statistically significant differences</w:t>
      </w:r>
      <w:r w:rsidR="00CA65A1">
        <w:t xml:space="preserve"> </w:t>
      </w:r>
      <w:r w:rsidRPr="00160E30">
        <w:t xml:space="preserve">favouring </w:t>
      </w:r>
      <w:r w:rsidR="00C56D8A" w:rsidRPr="00C56D8A">
        <w:t>EVG/COBI/FTC</w:t>
      </w:r>
      <w:r w:rsidRPr="00160E30">
        <w:t xml:space="preserve">/TAF over </w:t>
      </w:r>
      <w:r w:rsidR="00057BBC">
        <w:t>Stribild</w:t>
      </w:r>
      <w:r w:rsidR="003A7E76">
        <w:t xml:space="preserve"> or TDF </w:t>
      </w:r>
      <w:r w:rsidRPr="00160E30">
        <w:t>containing regimens observed at Week 48 for all key seconda</w:t>
      </w:r>
      <w:r w:rsidR="003A7E76">
        <w:t xml:space="preserve">ry safety endpoints in both ART </w:t>
      </w:r>
      <w:r w:rsidRPr="00160E30">
        <w:t xml:space="preserve">naive and virologically suppressed subjects. These included mean percentage changes from baseline in </w:t>
      </w:r>
      <w:r w:rsidR="003A7E76">
        <w:t xml:space="preserve">hip BMD (p &lt; 0.001 for both ART </w:t>
      </w:r>
      <w:r w:rsidR="00AD043A">
        <w:t>naive</w:t>
      </w:r>
      <w:r w:rsidRPr="00160E30">
        <w:t xml:space="preserve"> and virologically suppress</w:t>
      </w:r>
      <w:r w:rsidR="003A7E76">
        <w:t>ed subjects) and spine BMD (p &lt; 0.001 for both ART</w:t>
      </w:r>
      <w:r w:rsidRPr="00160E30">
        <w:t xml:space="preserve"> naive and virologically suppressed subjects), mean change from baseline in serum cre</w:t>
      </w:r>
      <w:r w:rsidR="003A7E76">
        <w:t xml:space="preserve">atinine (p &lt; 0.001 for both ART </w:t>
      </w:r>
      <w:r w:rsidRPr="00160E30">
        <w:t>naive and virologically suppressed subjects), change from baseline in trea</w:t>
      </w:r>
      <w:r w:rsidR="003A7E76">
        <w:t>tment emergent proteinuria (ART naive subjects, p </w:t>
      </w:r>
      <w:r w:rsidRPr="00160E30">
        <w:t>= 0.022), and ch</w:t>
      </w:r>
      <w:r w:rsidR="003A7E76">
        <w:t xml:space="preserve">ange from baseline in efavirenz </w:t>
      </w:r>
      <w:r w:rsidRPr="00160E30">
        <w:t>related symptom assessment composite score (for virologically suppressed subjects; p &lt; 0.001).</w:t>
      </w:r>
    </w:p>
    <w:p w:rsidR="00160E30" w:rsidRPr="00160E30" w:rsidRDefault="00160E30" w:rsidP="00160E30">
      <w:r w:rsidRPr="00160E30">
        <w:t>The evaluator also commented that the clinical relevance of improving BMD was unquestionable in terms of potentially reducing fractures. While it is not possible to determine if the 48 week follow-up period is long enough, it was felt that there was no reason to assume these differences would be reduced following longer-term observation.</w:t>
      </w:r>
    </w:p>
    <w:p w:rsidR="00160E30" w:rsidRDefault="00160E30" w:rsidP="00160E30">
      <w:r w:rsidRPr="00160E30">
        <w:t>Availability of 96 week data for these studies as a future submission to the TGA is therefore requested. This is particularly relevant, given changes in bone mineral density with ART may stabilise 1 to 2 years after initiation of treatment.</w:t>
      </w:r>
      <w:bookmarkStart w:id="140" w:name="_Ref451328260"/>
      <w:r w:rsidRPr="003A7E76">
        <w:rPr>
          <w:vertAlign w:val="superscript"/>
        </w:rPr>
        <w:footnoteReference w:id="32"/>
      </w:r>
      <w:bookmarkEnd w:id="140"/>
    </w:p>
    <w:p w:rsidR="008E7846" w:rsidRDefault="00386150" w:rsidP="007B6132">
      <w:pPr>
        <w:pStyle w:val="Heading3"/>
        <w:rPr>
          <w:lang w:eastAsia="en-AU"/>
        </w:rPr>
      </w:pPr>
      <w:bookmarkStart w:id="141" w:name="_Toc455474509"/>
      <w:r>
        <w:rPr>
          <w:lang w:eastAsia="en-AU"/>
        </w:rPr>
        <w:t>Risk m</w:t>
      </w:r>
      <w:r w:rsidR="008E7846">
        <w:rPr>
          <w:lang w:eastAsia="en-AU"/>
        </w:rPr>
        <w:t xml:space="preserve">anagement </w:t>
      </w:r>
      <w:r>
        <w:rPr>
          <w:lang w:eastAsia="en-AU"/>
        </w:rPr>
        <w:t>p</w:t>
      </w:r>
      <w:r w:rsidR="008E7846">
        <w:rPr>
          <w:lang w:eastAsia="en-AU"/>
        </w:rPr>
        <w:t>lan</w:t>
      </w:r>
      <w:bookmarkEnd w:id="138"/>
      <w:bookmarkEnd w:id="141"/>
    </w:p>
    <w:p w:rsidR="0063452E" w:rsidRPr="00160E30" w:rsidRDefault="0063452E" w:rsidP="0063452E">
      <w:pPr>
        <w:pStyle w:val="Heading5"/>
      </w:pPr>
      <w:r w:rsidRPr="00160E30">
        <w:t>RMP evaluation</w:t>
      </w:r>
    </w:p>
    <w:p w:rsidR="0063452E" w:rsidRPr="00160E30" w:rsidRDefault="0063452E" w:rsidP="0063452E">
      <w:r w:rsidRPr="00160E30">
        <w:t>The submission was not presented to ACSOM. The RMP Round 2 advice, dated 16 October 2015 identified the following outstanding issues:</w:t>
      </w:r>
    </w:p>
    <w:p w:rsidR="0063452E" w:rsidRPr="00160E30" w:rsidRDefault="0063452E" w:rsidP="00A540E3">
      <w:pPr>
        <w:pStyle w:val="Numberbullet0"/>
        <w:numPr>
          <w:ilvl w:val="0"/>
          <w:numId w:val="6"/>
        </w:numPr>
      </w:pPr>
      <w:r w:rsidRPr="00160E30">
        <w:t xml:space="preserve">It is recommended that the missing information: ‘Safety in patients with severe renal impairment (estimated creatinine clearance below 30 mL per minute)’ should be included in the summary of safety concerns for </w:t>
      </w:r>
      <w:r w:rsidR="00CA65A1">
        <w:t>Genvoya</w:t>
      </w:r>
      <w:r w:rsidRPr="00160E30">
        <w:t>.</w:t>
      </w:r>
    </w:p>
    <w:p w:rsidR="00531CFB" w:rsidRDefault="0063452E" w:rsidP="008E7846">
      <w:pPr>
        <w:pStyle w:val="Numberbullet0"/>
        <w:numPr>
          <w:ilvl w:val="0"/>
          <w:numId w:val="6"/>
        </w:numPr>
      </w:pPr>
      <w:r w:rsidRPr="00160E30">
        <w:t xml:space="preserve">In regards to suicidal ideation and attempt, the RMP </w:t>
      </w:r>
      <w:r w:rsidR="003A7E76">
        <w:t>evaluator</w:t>
      </w:r>
      <w:r w:rsidRPr="00160E30">
        <w:t xml:space="preserve"> recommended consistency with </w:t>
      </w:r>
      <w:r w:rsidR="00CA65A1">
        <w:t>Stribild</w:t>
      </w:r>
      <w:r w:rsidRPr="00160E30">
        <w:t xml:space="preserve"> in regards to routine risk minimisation, given this safety concern was attributed to the </w:t>
      </w:r>
      <w:r w:rsidR="00057BBC">
        <w:t>EVG</w:t>
      </w:r>
      <w:r w:rsidRPr="00160E30">
        <w:t xml:space="preserve"> component, which is common to </w:t>
      </w:r>
      <w:r w:rsidR="00CA65A1">
        <w:t>Genvoya</w:t>
      </w:r>
      <w:r w:rsidR="00063493">
        <w:t>.</w:t>
      </w:r>
    </w:p>
    <w:p w:rsidR="008E7846" w:rsidRDefault="0063452E" w:rsidP="00531CFB">
      <w:r w:rsidRPr="00160E30">
        <w:t xml:space="preserve">The Delegate acknowledges the </w:t>
      </w:r>
      <w:r w:rsidR="003A7E76">
        <w:t>sponsor’s r</w:t>
      </w:r>
      <w:r w:rsidRPr="00160E30">
        <w:t xml:space="preserve">esponse to the </w:t>
      </w:r>
      <w:r w:rsidR="003A7E76">
        <w:t>c</w:t>
      </w:r>
      <w:r w:rsidRPr="00160E30">
        <w:t xml:space="preserve">onsolidated </w:t>
      </w:r>
      <w:r w:rsidR="003A7E76">
        <w:t>r</w:t>
      </w:r>
      <w:r w:rsidRPr="00160E30">
        <w:t xml:space="preserve">equest </w:t>
      </w:r>
      <w:r w:rsidR="003A7E76">
        <w:t xml:space="preserve">for information </w:t>
      </w:r>
      <w:r w:rsidRPr="00160E30">
        <w:t>which summarises the data for 2</w:t>
      </w:r>
      <w:r w:rsidR="003A7E76">
        <w:t>,</w:t>
      </w:r>
      <w:r w:rsidRPr="00160E30">
        <w:t xml:space="preserve">394 patients receiving at least 1 dose of </w:t>
      </w:r>
      <w:r w:rsidR="003A7E76" w:rsidRPr="003A7E76">
        <w:t>EVG/COBI/FTC</w:t>
      </w:r>
      <w:r w:rsidRPr="00160E30">
        <w:t>/TAF (Genvoya) across several different patient populations (</w:t>
      </w:r>
      <w:r w:rsidR="00AD043A">
        <w:t>naive</w:t>
      </w:r>
      <w:r w:rsidRPr="00160E30">
        <w:t>, switch, adolescents and renal impairment) and notes that there was no evidence suggesting causality from an assessment of the individual reports, which all involved patients with a pre-existing history of depression or psychiatric illness. However, given the concerns raised by the RMP evaluator, it is suggested that this information be included in the Adverse Effects section of the proposed PI for Genvoya and that the ASA be revised accordingly.</w:t>
      </w:r>
    </w:p>
    <w:p w:rsidR="008E7846" w:rsidRDefault="00AA0ED0" w:rsidP="008E7846">
      <w:pPr>
        <w:pStyle w:val="Heading3"/>
      </w:pPr>
      <w:bookmarkStart w:id="142" w:name="_Toc247691531"/>
      <w:bookmarkStart w:id="143" w:name="_Toc314842515"/>
      <w:bookmarkStart w:id="144" w:name="_Toc455474510"/>
      <w:bookmarkStart w:id="145" w:name="_Toc196046505"/>
      <w:bookmarkStart w:id="146" w:name="_Toc196046949"/>
      <w:r>
        <w:lastRenderedPageBreak/>
        <w:t>Risk-benefit a</w:t>
      </w:r>
      <w:r w:rsidR="008E7846">
        <w:t>nalysis</w:t>
      </w:r>
      <w:bookmarkEnd w:id="142"/>
      <w:bookmarkEnd w:id="143"/>
      <w:bookmarkEnd w:id="144"/>
    </w:p>
    <w:p w:rsidR="00D23139" w:rsidRDefault="003A7E76" w:rsidP="00D23139">
      <w:pPr>
        <w:pStyle w:val="Heading4"/>
      </w:pPr>
      <w:r>
        <w:t>Delegate’s considerations</w:t>
      </w:r>
    </w:p>
    <w:p w:rsidR="00160E30" w:rsidRPr="0063452E" w:rsidRDefault="00160E30" w:rsidP="00063493">
      <w:pPr>
        <w:pStyle w:val="Heading5"/>
      </w:pPr>
      <w:r w:rsidRPr="0063452E">
        <w:t>Discussion</w:t>
      </w:r>
    </w:p>
    <w:p w:rsidR="00160E30" w:rsidRPr="0063452E" w:rsidRDefault="00160E30" w:rsidP="0063452E">
      <w:r w:rsidRPr="0063452E">
        <w:t xml:space="preserve">The submission includes sufficient data in regards to efficacy and safety to recommend registration. Non-inferiority to </w:t>
      </w:r>
      <w:r w:rsidR="00CA65A1">
        <w:t>Stribild</w:t>
      </w:r>
      <w:r w:rsidR="00230A4D">
        <w:t xml:space="preserve"> in ART </w:t>
      </w:r>
      <w:r w:rsidR="00AD043A">
        <w:t>naive</w:t>
      </w:r>
      <w:r w:rsidR="00230A4D">
        <w:t xml:space="preserve"> and virologically </w:t>
      </w:r>
      <w:r w:rsidR="00531CFB">
        <w:t xml:space="preserve">suppressed HIV </w:t>
      </w:r>
      <w:r w:rsidRPr="0063452E">
        <w:t xml:space="preserve">infected patients has been demonstrated. This is expected, given the active metabolite </w:t>
      </w:r>
      <w:r w:rsidR="00531CFB">
        <w:t>TFV-DP</w:t>
      </w:r>
      <w:r w:rsidRPr="0063452E">
        <w:t xml:space="preserve"> is common</w:t>
      </w:r>
      <w:r w:rsidR="00161C9A">
        <w:t xml:space="preserve"> to both products and that dose </w:t>
      </w:r>
      <w:r w:rsidRPr="0063452E">
        <w:t xml:space="preserve">finding studies have demonstrated comparable exposure and anti-viral activity of TDF </w:t>
      </w:r>
      <w:r w:rsidR="00F02AA3">
        <w:t>300 mg</w:t>
      </w:r>
      <w:r w:rsidRPr="0063452E">
        <w:t xml:space="preserve"> (for </w:t>
      </w:r>
      <w:r w:rsidR="00CA65A1">
        <w:t>Stribild</w:t>
      </w:r>
      <w:r w:rsidRPr="0063452E">
        <w:t xml:space="preserve">) and TAF </w:t>
      </w:r>
      <w:r w:rsidR="00F02AA3">
        <w:t>10 mg</w:t>
      </w:r>
      <w:r w:rsidRPr="0063452E">
        <w:t xml:space="preserve"> boosted with </w:t>
      </w:r>
      <w:r w:rsidR="007E6D40">
        <w:t>COBI</w:t>
      </w:r>
      <w:r w:rsidRPr="0063452E">
        <w:t xml:space="preserve"> (for </w:t>
      </w:r>
      <w:r w:rsidR="00CA65A1">
        <w:t>Genvoya</w:t>
      </w:r>
      <w:r w:rsidRPr="0063452E">
        <w:t>).</w:t>
      </w:r>
    </w:p>
    <w:p w:rsidR="00160E30" w:rsidRPr="0063452E" w:rsidRDefault="00160E30" w:rsidP="00912E0B">
      <w:r w:rsidRPr="0063452E">
        <w:t>Discussion of the wording of the proposed indication</w:t>
      </w:r>
      <w:r w:rsidR="00161C9A">
        <w:t xml:space="preserve"> is warranted, noting that the s</w:t>
      </w:r>
      <w:r w:rsidRPr="0063452E">
        <w:t xml:space="preserve">ponsor is proposing an indication for </w:t>
      </w:r>
      <w:r w:rsidR="00CA65A1">
        <w:t>Genvoya</w:t>
      </w:r>
      <w:r w:rsidRPr="0063452E">
        <w:t xml:space="preserve"> that was not accepted by ACPM for </w:t>
      </w:r>
      <w:r w:rsidR="00CA65A1">
        <w:t>Stribild</w:t>
      </w:r>
      <w:r w:rsidRPr="0063452E">
        <w:t xml:space="preserve"> (PM-2014-01079-1-2) at ACPM in June 2015. Justification of this was based on the amended indication providing a more accurate re</w:t>
      </w:r>
      <w:r w:rsidR="0063452E" w:rsidRPr="0063452E">
        <w:t xml:space="preserve">flection of the submitted data. </w:t>
      </w:r>
      <w:r w:rsidRPr="0063452E">
        <w:t xml:space="preserve">While the current application for </w:t>
      </w:r>
      <w:r w:rsidR="00CA65A1">
        <w:t>Genvoya</w:t>
      </w:r>
      <w:r w:rsidRPr="0063452E">
        <w:t xml:space="preserve"> and the application for </w:t>
      </w:r>
      <w:r w:rsidR="00CA65A1">
        <w:t>Stribild</w:t>
      </w:r>
      <w:r w:rsidRPr="0063452E">
        <w:t xml:space="preserve"> </w:t>
      </w:r>
      <w:r w:rsidR="00531CFB">
        <w:t>(</w:t>
      </w:r>
      <w:r w:rsidRPr="0063452E">
        <w:t>PM-2014-01079-1-2</w:t>
      </w:r>
      <w:r w:rsidR="00531CFB">
        <w:t>)</w:t>
      </w:r>
      <w:r w:rsidRPr="0063452E">
        <w:t xml:space="preserve"> are distinct, both sub</w:t>
      </w:r>
      <w:r w:rsidR="00161C9A">
        <w:t xml:space="preserve">missions included virologically </w:t>
      </w:r>
      <w:r w:rsidRPr="0063452E">
        <w:t>suppressed patients on a stable ART regimen (switch strategy trials) rather than salvage therapy in patients failing other regimens. Study GS-US-292-0109 included patients with plasma HIV-1 RNA concentrations at undetectable levels for at least 6 consecutive months prior to the screening visit and HIV RNA &lt; 50 copies/mL at screening.</w:t>
      </w:r>
      <w:r w:rsidR="00CA65A1">
        <w:t xml:space="preserve"> </w:t>
      </w:r>
      <w:r w:rsidRPr="0063452E">
        <w:t xml:space="preserve">For this reason, the Delegate proposes that the indication for </w:t>
      </w:r>
      <w:r w:rsidR="00CA65A1">
        <w:t>Genvoya</w:t>
      </w:r>
      <w:r w:rsidRPr="0063452E">
        <w:t xml:space="preserve"> be amended to reflect the actual populations studied. With respect to adolescents, data are sufficient to extend use to patients age 12</w:t>
      </w:r>
      <w:r w:rsidR="005640DF">
        <w:t xml:space="preserve"> to </w:t>
      </w:r>
      <w:r w:rsidRPr="0063452E">
        <w:t xml:space="preserve">18 years, however given the EU has approved use in adolescents with body weight at least 35 kg, and that </w:t>
      </w:r>
      <w:r w:rsidR="00CA65A1">
        <w:t>Genvoya</w:t>
      </w:r>
      <w:r w:rsidRPr="0063452E">
        <w:t xml:space="preserve"> is a fixed dose combination, the Delegate proposes to follow</w:t>
      </w:r>
      <w:r w:rsidR="00161C9A">
        <w:t>ing wording for the indication:</w:t>
      </w:r>
    </w:p>
    <w:p w:rsidR="00160E30" w:rsidRPr="0063452E" w:rsidRDefault="00CA65A1" w:rsidP="0063452E">
      <w:pPr>
        <w:rPr>
          <w:i/>
        </w:rPr>
      </w:pPr>
      <w:r>
        <w:rPr>
          <w:i/>
        </w:rPr>
        <w:t>Genvoya</w:t>
      </w:r>
      <w:r w:rsidR="00160E30" w:rsidRPr="0063452E">
        <w:rPr>
          <w:i/>
        </w:rPr>
        <w:t xml:space="preserve"> is indicated as a single tablet regimen for the treatment of HIV-1 infection in </w:t>
      </w:r>
      <w:r>
        <w:rPr>
          <w:i/>
        </w:rPr>
        <w:t>treatment naive</w:t>
      </w:r>
      <w:r w:rsidR="00160E30" w:rsidRPr="0063452E">
        <w:rPr>
          <w:i/>
        </w:rPr>
        <w:t xml:space="preserve"> adults and adolescents aged 12 years and older with body weight at least 35 kg. </w:t>
      </w:r>
      <w:r>
        <w:rPr>
          <w:i/>
        </w:rPr>
        <w:t>Genvoya</w:t>
      </w:r>
      <w:r w:rsidR="00160E30" w:rsidRPr="0063452E">
        <w:rPr>
          <w:i/>
        </w:rPr>
        <w:t xml:space="preserve"> is also indicated in certain virologically suppressed (HIV1 RNA </w:t>
      </w:r>
      <w:r>
        <w:rPr>
          <w:i/>
        </w:rPr>
        <w:t xml:space="preserve">&lt; 50 </w:t>
      </w:r>
      <w:r w:rsidR="00160E30" w:rsidRPr="0063452E">
        <w:rPr>
          <w:i/>
        </w:rPr>
        <w:t xml:space="preserve">copies/mL) adult patients on a stable antiretroviral regimen at start of therapy in order to replace their current antiretroviral treatment regimen (see Clinical Trials). Patients must not have a history of treatment failure or known mutations associated with resistance to the antiretroviral components of </w:t>
      </w:r>
      <w:r>
        <w:rPr>
          <w:i/>
        </w:rPr>
        <w:t>Genvoya</w:t>
      </w:r>
      <w:r w:rsidR="00160E30" w:rsidRPr="0063452E">
        <w:rPr>
          <w:i/>
        </w:rPr>
        <w:t xml:space="preserve"> (tenofovir alafenamide, emtricitabine or </w:t>
      </w:r>
      <w:r w:rsidR="00161C9A">
        <w:rPr>
          <w:i/>
        </w:rPr>
        <w:t>elvitegravir</w:t>
      </w:r>
      <w:r w:rsidR="00160E30" w:rsidRPr="0063452E">
        <w:rPr>
          <w:i/>
        </w:rPr>
        <w:t>).</w:t>
      </w:r>
    </w:p>
    <w:p w:rsidR="00160E30" w:rsidRPr="0063452E" w:rsidRDefault="00CA65A1" w:rsidP="0063452E">
      <w:pPr>
        <w:rPr>
          <w:i/>
        </w:rPr>
      </w:pPr>
      <w:r>
        <w:rPr>
          <w:i/>
        </w:rPr>
        <w:t>Genvoya</w:t>
      </w:r>
      <w:r w:rsidR="00160E30" w:rsidRPr="0063452E">
        <w:rPr>
          <w:i/>
        </w:rPr>
        <w:t xml:space="preserve"> is a fixed dose combination of one integrase inhibitor, one pharmacokinetic enhancer and two nucleos(t)ide HIV-1 reverse transcriptase inhibitors.</w:t>
      </w:r>
    </w:p>
    <w:p w:rsidR="00160E30" w:rsidRDefault="00160E30" w:rsidP="0063452E">
      <w:r w:rsidRPr="0063452E">
        <w:t xml:space="preserve">Safety and efficacy data were limited to 48 week results, and this is relevant particularly for safety data including BMD, given the majority of BMD decreases for all ARV regimens occur within the first year of therapy and may stabilise with time. While BMD changes are more prominent with </w:t>
      </w:r>
      <w:r w:rsidR="00531CFB">
        <w:t>TFV</w:t>
      </w:r>
      <w:r w:rsidRPr="0063452E">
        <w:t>, other risk factors for BMD in the HIV population need to be considered including viral load, age, co-morbidities and body mass index.</w:t>
      </w:r>
      <w:r w:rsidR="00161C9A" w:rsidRPr="00161C9A">
        <w:rPr>
          <w:vertAlign w:val="superscript"/>
        </w:rPr>
        <w:fldChar w:fldCharType="begin"/>
      </w:r>
      <w:r w:rsidR="00161C9A" w:rsidRPr="00161C9A">
        <w:rPr>
          <w:vertAlign w:val="superscript"/>
        </w:rPr>
        <w:instrText xml:space="preserve"> NOTEREF _Ref451328260 \h  \* MERGEFORMAT </w:instrText>
      </w:r>
      <w:r w:rsidR="00161C9A" w:rsidRPr="00161C9A">
        <w:rPr>
          <w:vertAlign w:val="superscript"/>
        </w:rPr>
      </w:r>
      <w:r w:rsidR="00161C9A" w:rsidRPr="00161C9A">
        <w:rPr>
          <w:vertAlign w:val="superscript"/>
        </w:rPr>
        <w:fldChar w:fldCharType="separate"/>
      </w:r>
      <w:r w:rsidR="00B45DD3">
        <w:rPr>
          <w:vertAlign w:val="superscript"/>
        </w:rPr>
        <w:t>29</w:t>
      </w:r>
      <w:r w:rsidR="00161C9A" w:rsidRPr="00161C9A">
        <w:rPr>
          <w:vertAlign w:val="superscript"/>
        </w:rPr>
        <w:fldChar w:fldCharType="end"/>
      </w:r>
      <w:r w:rsidRPr="00161C9A">
        <w:rPr>
          <w:vertAlign w:val="superscript"/>
        </w:rPr>
        <w:t>,</w:t>
      </w:r>
      <w:r w:rsidRPr="00161C9A">
        <w:rPr>
          <w:vertAlign w:val="superscript"/>
        </w:rPr>
        <w:footnoteReference w:id="33"/>
      </w:r>
      <w:r w:rsidRPr="00161C9A">
        <w:rPr>
          <w:vertAlign w:val="superscript"/>
        </w:rPr>
        <w:t xml:space="preserve"> </w:t>
      </w:r>
      <w:r w:rsidR="00161C9A" w:rsidRPr="00161C9A">
        <w:t xml:space="preserve">The </w:t>
      </w:r>
      <w:r w:rsidRPr="0063452E">
        <w:t>96 week data for the submitted studies is therefore very relevant and fracture risk will require long-term follow-up in the post-marketing period. There appears to be a positive benefit of Genvoya in terms of significantly reduced parameters of renal toxicity, compared with Stribild and when switch</w:t>
      </w:r>
      <w:r w:rsidR="00161C9A">
        <w:t xml:space="preserve">ing to Genvoya from a tenofovir </w:t>
      </w:r>
      <w:r w:rsidRPr="0063452E">
        <w:t>containing regime</w:t>
      </w:r>
      <w:r w:rsidR="00161C9A">
        <w:t xml:space="preserve">n. This is relevant for all TAF </w:t>
      </w:r>
      <w:r w:rsidRPr="0063452E">
        <w:t>based antiretroviral therapies currently under development.</w:t>
      </w:r>
    </w:p>
    <w:p w:rsidR="00160E30" w:rsidRPr="0063452E" w:rsidRDefault="00161C9A" w:rsidP="00BF253E">
      <w:pPr>
        <w:pStyle w:val="Heading5"/>
      </w:pPr>
      <w:r>
        <w:t>Delegate’s i</w:t>
      </w:r>
      <w:r w:rsidR="00160E30" w:rsidRPr="0063452E">
        <w:t>ssues for the sponsor</w:t>
      </w:r>
    </w:p>
    <w:p w:rsidR="00160E30" w:rsidRPr="0063452E" w:rsidRDefault="00160E30" w:rsidP="00A540E3">
      <w:pPr>
        <w:numPr>
          <w:ilvl w:val="0"/>
          <w:numId w:val="5"/>
        </w:numPr>
      </w:pPr>
      <w:r w:rsidRPr="0063452E">
        <w:t>Please provide an update of the overseas regulatory status.</w:t>
      </w:r>
    </w:p>
    <w:p w:rsidR="00160E30" w:rsidRPr="0063452E" w:rsidRDefault="00160E30" w:rsidP="00A540E3">
      <w:pPr>
        <w:numPr>
          <w:ilvl w:val="0"/>
          <w:numId w:val="5"/>
        </w:numPr>
      </w:pPr>
      <w:r w:rsidRPr="0063452E">
        <w:lastRenderedPageBreak/>
        <w:t>Results (including efficacy and safety data) were available up to 48 weeks for studies GS-US-292-0104, GS-US-292-0111, GS-US-292-0109 and GS-US-292-0112 and for 24 weeks for GS-US-292-0106.</w:t>
      </w:r>
      <w:r w:rsidR="00CA65A1">
        <w:t xml:space="preserve"> </w:t>
      </w:r>
      <w:r w:rsidRPr="0063452E">
        <w:t xml:space="preserve">Please provide the 96 week data for these studies to the TGA as a future submission when available. With respect to the indication in children, please also submit Study GS-US-292-1515 in virologically suppressed, HIV-infected adolescents 12 to &lt; 18 years of age and the final report for study GS-US-292-0106 which will include children age 6 to </w:t>
      </w:r>
      <w:r w:rsidR="00C40A50">
        <w:t xml:space="preserve">&lt; </w:t>
      </w:r>
      <w:r w:rsidR="00161C9A">
        <w:t>12 years when available.</w:t>
      </w:r>
    </w:p>
    <w:p w:rsidR="00160E30" w:rsidRPr="0063452E" w:rsidRDefault="00160E30" w:rsidP="00A540E3">
      <w:pPr>
        <w:numPr>
          <w:ilvl w:val="0"/>
          <w:numId w:val="5"/>
        </w:numPr>
      </w:pPr>
      <w:r w:rsidRPr="0063452E">
        <w:t xml:space="preserve">Please submit a revised ASA noting the RMP </w:t>
      </w:r>
      <w:r w:rsidR="00161C9A">
        <w:t>second round</w:t>
      </w:r>
      <w:r w:rsidRPr="0063452E">
        <w:t xml:space="preserve"> recommendations for risk minimisation in relation to severe renal impairment and suicidal ideation and att</w:t>
      </w:r>
      <w:r w:rsidR="00161C9A">
        <w:t>empt.</w:t>
      </w:r>
    </w:p>
    <w:p w:rsidR="00160E30" w:rsidRPr="0063452E" w:rsidRDefault="00160E30" w:rsidP="00A540E3">
      <w:pPr>
        <w:numPr>
          <w:ilvl w:val="0"/>
          <w:numId w:val="5"/>
        </w:numPr>
      </w:pPr>
      <w:r w:rsidRPr="0063452E">
        <w:t xml:space="preserve">With regards to the evaluation, please provide a reference for the chosen non-inferiority level of </w:t>
      </w:r>
      <w:r w:rsidR="00C40A50">
        <w:t xml:space="preserve">&lt; </w:t>
      </w:r>
      <w:r w:rsidRPr="0063452E">
        <w:t>12% for studies GS-US-292-0104, GS-US-292-0111 and GS-US-292-0109.</w:t>
      </w:r>
    </w:p>
    <w:p w:rsidR="0063452E" w:rsidRPr="0063452E" w:rsidRDefault="00160E30" w:rsidP="0063452E">
      <w:pPr>
        <w:numPr>
          <w:ilvl w:val="0"/>
          <w:numId w:val="5"/>
        </w:numPr>
      </w:pPr>
      <w:r w:rsidRPr="0063452E">
        <w:t>With respect to the proposed indication in adolescents for Genvoya, it is noted that for Stribild, its use in children or adolescents unde</w:t>
      </w:r>
      <w:r w:rsidR="00161C9A">
        <w:t xml:space="preserve">r the age of 18 years is contra </w:t>
      </w:r>
      <w:r w:rsidRPr="0063452E">
        <w:t>indicated in the PI. Is this based on the suitability of the fixed combination product for administration to younger children (and those of low weight) together with a lack of any data in adolescents rather than a specific adolescent issue?</w:t>
      </w:r>
    </w:p>
    <w:p w:rsidR="0063452E" w:rsidRPr="0063452E" w:rsidRDefault="0063452E" w:rsidP="0063452E">
      <w:pPr>
        <w:rPr>
          <w:b/>
          <w:bCs/>
          <w:i/>
        </w:rPr>
      </w:pPr>
      <w:r w:rsidRPr="0063452E">
        <w:rPr>
          <w:b/>
          <w:bCs/>
          <w:i/>
        </w:rPr>
        <w:t>Summary of issues</w:t>
      </w:r>
    </w:p>
    <w:p w:rsidR="0063452E" w:rsidRPr="0063452E" w:rsidRDefault="0063452E" w:rsidP="0063452E">
      <w:r w:rsidRPr="0063452E">
        <w:t xml:space="preserve">Genvoya contains the same individual components as Stribild, with the exception of </w:t>
      </w:r>
      <w:r w:rsidR="00531CFB">
        <w:t>TAF</w:t>
      </w:r>
      <w:r w:rsidRPr="0063452E">
        <w:t xml:space="preserve">. </w:t>
      </w:r>
      <w:r w:rsidR="00531CFB">
        <w:t>TAF replaces</w:t>
      </w:r>
      <w:r w:rsidRPr="0063452E">
        <w:t xml:space="preserve"> </w:t>
      </w:r>
      <w:r w:rsidR="00531CFB">
        <w:t>TDF</w:t>
      </w:r>
      <w:r w:rsidRPr="0063452E">
        <w:t xml:space="preserve"> in Genvoya and is a newer oral prodrug of </w:t>
      </w:r>
      <w:r w:rsidR="00531CFB">
        <w:t>TFV</w:t>
      </w:r>
      <w:r w:rsidRPr="0063452E">
        <w:t xml:space="preserve">. There is the potential for less toxicity (nephrotoxicity and reduced bone mineral density) with </w:t>
      </w:r>
      <w:r w:rsidR="00531CFB">
        <w:t>TAF</w:t>
      </w:r>
      <w:r w:rsidRPr="0063452E">
        <w:t>.</w:t>
      </w:r>
    </w:p>
    <w:p w:rsidR="00D23139" w:rsidRDefault="00D23139" w:rsidP="00D23139">
      <w:pPr>
        <w:pStyle w:val="Heading4"/>
      </w:pPr>
      <w:r w:rsidRPr="00D23139">
        <w:t>Proposed action</w:t>
      </w:r>
    </w:p>
    <w:p w:rsidR="0063452E" w:rsidRPr="0063452E" w:rsidRDefault="00161C9A" w:rsidP="0063452E">
      <w:r>
        <w:t>The Delegate had</w:t>
      </w:r>
      <w:r w:rsidR="0063452E" w:rsidRPr="0063452E">
        <w:t xml:space="preserve"> no reason to say, at this time, that the application for </w:t>
      </w:r>
      <w:r w:rsidR="00CA65A1">
        <w:t>Genvoya</w:t>
      </w:r>
      <w:r w:rsidR="0063452E" w:rsidRPr="0063452E">
        <w:t xml:space="preserve"> should no</w:t>
      </w:r>
      <w:r>
        <w:t>t be approved for registration.</w:t>
      </w:r>
    </w:p>
    <w:p w:rsidR="0063452E" w:rsidRPr="0063452E" w:rsidRDefault="0063452E" w:rsidP="0063452E">
      <w:r w:rsidRPr="0063452E">
        <w:t xml:space="preserve">Approval is subject to resolution of the </w:t>
      </w:r>
      <w:r w:rsidR="00161C9A">
        <w:t>RMP</w:t>
      </w:r>
      <w:r w:rsidRPr="0063452E">
        <w:t xml:space="preserve"> </w:t>
      </w:r>
      <w:r w:rsidR="00161C9A">
        <w:t>second round</w:t>
      </w:r>
      <w:r w:rsidRPr="0063452E">
        <w:t xml:space="preserve"> recommendations, </w:t>
      </w:r>
      <w:r w:rsidR="00161C9A">
        <w:t>PI</w:t>
      </w:r>
      <w:r w:rsidRPr="0063452E">
        <w:t xml:space="preserve"> and outstanding </w:t>
      </w:r>
      <w:r w:rsidR="00161C9A">
        <w:t>quality</w:t>
      </w:r>
      <w:r w:rsidRPr="0063452E">
        <w:t xml:space="preserve"> issues.</w:t>
      </w:r>
    </w:p>
    <w:p w:rsidR="00D23139" w:rsidRDefault="00D23139" w:rsidP="00D23139">
      <w:pPr>
        <w:pStyle w:val="Heading4"/>
      </w:pPr>
      <w:r w:rsidRPr="00D23139">
        <w:t>Request for ACPM advice</w:t>
      </w:r>
    </w:p>
    <w:p w:rsidR="0063452E" w:rsidRPr="0063452E" w:rsidRDefault="0063452E" w:rsidP="0063452E">
      <w:r w:rsidRPr="0063452E">
        <w:t xml:space="preserve">The </w:t>
      </w:r>
      <w:r w:rsidR="00161C9A">
        <w:t>ACPM</w:t>
      </w:r>
      <w:r w:rsidRPr="0063452E">
        <w:t xml:space="preserve"> is requested to provide advice on the following specific issues:</w:t>
      </w:r>
    </w:p>
    <w:p w:rsidR="0063452E" w:rsidRPr="0063452E" w:rsidRDefault="0063452E" w:rsidP="00A540E3">
      <w:pPr>
        <w:pStyle w:val="Numberbullet0"/>
        <w:numPr>
          <w:ilvl w:val="0"/>
          <w:numId w:val="7"/>
        </w:numPr>
      </w:pPr>
      <w:r w:rsidRPr="0063452E">
        <w:t>What is the committee’s view with regards to the sponsor’s proposed indication? Does the committee consider the indication should be amended as suggested, given the submitted data? With respect to the indication in adolescents, does the committee agree with proposed wording, noting the EU recommendation?</w:t>
      </w:r>
    </w:p>
    <w:p w:rsidR="0063452E" w:rsidRPr="0063452E" w:rsidRDefault="0063452E" w:rsidP="00A540E3">
      <w:pPr>
        <w:pStyle w:val="Numberbullet0"/>
        <w:numPr>
          <w:ilvl w:val="0"/>
          <w:numId w:val="7"/>
        </w:numPr>
      </w:pPr>
      <w:r w:rsidRPr="0063452E">
        <w:t>Please comment on the data submitted for patients with renal impairment (studies GS-US-120-0108, GS-US-292-0112) and whether these findings are a</w:t>
      </w:r>
      <w:r w:rsidR="005663D3">
        <w:t xml:space="preserve">dequately reflected in the PI. </w:t>
      </w:r>
      <w:r w:rsidRPr="0063452E">
        <w:t>Please also comment on the renal safety data for the pivotal studies GS-US-292-0104, GS-US-292-0111, GS-US-292-0109.</w:t>
      </w:r>
    </w:p>
    <w:p w:rsidR="0063452E" w:rsidRPr="0063452E" w:rsidRDefault="0063452E" w:rsidP="00A540E3">
      <w:pPr>
        <w:pStyle w:val="Numberbullet0"/>
        <w:numPr>
          <w:ilvl w:val="0"/>
          <w:numId w:val="7"/>
        </w:numPr>
      </w:pPr>
      <w:r w:rsidRPr="0063452E">
        <w:t>Please comment on the clarity of the Drug Interactions and Precautions sections of the PI, given the potential for drug-drug interactions with other components of Genvoya (</w:t>
      </w:r>
      <w:r w:rsidR="007E6D40">
        <w:t>COBI</w:t>
      </w:r>
      <w:r w:rsidRPr="0063452E">
        <w:t xml:space="preserve"> and </w:t>
      </w:r>
      <w:r w:rsidR="00057BBC">
        <w:t>EVG</w:t>
      </w:r>
      <w:r w:rsidRPr="0063452E">
        <w:t>).</w:t>
      </w:r>
    </w:p>
    <w:p w:rsidR="0063452E" w:rsidRPr="0063452E" w:rsidRDefault="0063452E" w:rsidP="0063452E">
      <w:r w:rsidRPr="0063452E">
        <w:t>The committee is also requested to provide advice on any other issues that it thinks may be relevant to a decision on whether or not to approve this application.</w:t>
      </w:r>
    </w:p>
    <w:p w:rsidR="00D23139" w:rsidRDefault="00D23139" w:rsidP="00D23139">
      <w:pPr>
        <w:pStyle w:val="Heading4"/>
      </w:pPr>
      <w:r w:rsidRPr="00D23139">
        <w:lastRenderedPageBreak/>
        <w:t xml:space="preserve">Response from </w:t>
      </w:r>
      <w:r w:rsidR="00D71334">
        <w:t>s</w:t>
      </w:r>
      <w:r w:rsidR="00161C9A">
        <w:t>ponsor</w:t>
      </w:r>
    </w:p>
    <w:p w:rsidR="005663D3" w:rsidRPr="005663D3" w:rsidRDefault="005663D3" w:rsidP="00161C9A">
      <w:pPr>
        <w:pStyle w:val="Heading5"/>
      </w:pPr>
      <w:r w:rsidRPr="005663D3">
        <w:t>S</w:t>
      </w:r>
      <w:r w:rsidR="00161C9A" w:rsidRPr="005663D3">
        <w:t>ummary</w:t>
      </w:r>
    </w:p>
    <w:p w:rsidR="005663D3" w:rsidRPr="005663D3" w:rsidRDefault="00161C9A" w:rsidP="005663D3">
      <w:r>
        <w:t>With introduction of highly active antiretroviral therapy</w:t>
      </w:r>
      <w:r w:rsidR="005663D3" w:rsidRPr="005663D3">
        <w:t xml:space="preserve"> and the </w:t>
      </w:r>
      <w:r w:rsidR="005663D3">
        <w:t xml:space="preserve">consequential large decrease in </w:t>
      </w:r>
      <w:r w:rsidR="002A25DD">
        <w:t xml:space="preserve">AIDS </w:t>
      </w:r>
      <w:r w:rsidR="005663D3" w:rsidRPr="005663D3">
        <w:t xml:space="preserve">related mortality, clinical attention has become more focused on the optimisation of tolerability, </w:t>
      </w:r>
      <w:r w:rsidR="005663D3">
        <w:t>long</w:t>
      </w:r>
      <w:r>
        <w:t>-</w:t>
      </w:r>
      <w:r w:rsidR="005663D3">
        <w:t xml:space="preserve">term </w:t>
      </w:r>
      <w:r w:rsidR="005663D3" w:rsidRPr="005663D3">
        <w:t xml:space="preserve">safety, and adherence to potent </w:t>
      </w:r>
      <w:r>
        <w:t>ART</w:t>
      </w:r>
      <w:r w:rsidR="005663D3" w:rsidRPr="005663D3">
        <w:t xml:space="preserve"> regimens. There rem</w:t>
      </w:r>
      <w:r w:rsidR="005663D3">
        <w:t xml:space="preserve">ains a significant medical need </w:t>
      </w:r>
      <w:r w:rsidR="005663D3" w:rsidRPr="005663D3">
        <w:t xml:space="preserve">for new, effective therapies that </w:t>
      </w:r>
      <w:r>
        <w:t xml:space="preserve">take into consideration the non </w:t>
      </w:r>
      <w:r w:rsidR="005663D3" w:rsidRPr="005663D3">
        <w:t>HIV co</w:t>
      </w:r>
      <w:r w:rsidR="003C68E0">
        <w:t>-</w:t>
      </w:r>
      <w:r w:rsidR="005663D3" w:rsidRPr="005663D3">
        <w:t>morbidi</w:t>
      </w:r>
      <w:r w:rsidR="005663D3">
        <w:t xml:space="preserve">ties, demographics of the aging </w:t>
      </w:r>
      <w:r>
        <w:t xml:space="preserve">HIV </w:t>
      </w:r>
      <w:r w:rsidR="005663D3" w:rsidRPr="005663D3">
        <w:t>infected population, ART resistance, and regimen simplification.</w:t>
      </w:r>
    </w:p>
    <w:p w:rsidR="005663D3" w:rsidRPr="005663D3" w:rsidRDefault="00CA65A1" w:rsidP="005663D3">
      <w:r>
        <w:t>Genvoya</w:t>
      </w:r>
      <w:r w:rsidR="005663D3" w:rsidRPr="005663D3">
        <w:t xml:space="preserve"> has demonstrated both potent antiviral efficacy and a safety and </w:t>
      </w:r>
      <w:r w:rsidR="005663D3">
        <w:t xml:space="preserve">tolerability profile that offer </w:t>
      </w:r>
      <w:r w:rsidR="005663D3" w:rsidRPr="005663D3">
        <w:t>advantages over existing recommended ART regimens, meeting importa</w:t>
      </w:r>
      <w:r w:rsidR="005663D3">
        <w:t xml:space="preserve">nt unmet medical needs. </w:t>
      </w:r>
      <w:r>
        <w:t>Genvoya</w:t>
      </w:r>
      <w:r w:rsidR="005663D3">
        <w:t xml:space="preserve"> </w:t>
      </w:r>
      <w:r w:rsidR="005663D3" w:rsidRPr="005663D3">
        <w:t xml:space="preserve">represents a </w:t>
      </w:r>
      <w:r w:rsidR="003B40DF" w:rsidRPr="005663D3">
        <w:t>favourable</w:t>
      </w:r>
      <w:r w:rsidR="005663D3" w:rsidRPr="005663D3">
        <w:t xml:space="preserve"> new therapeut</w:t>
      </w:r>
      <w:r w:rsidR="00161C9A">
        <w:t xml:space="preserve">ic once </w:t>
      </w:r>
      <w:r w:rsidR="005663D3" w:rsidRPr="005663D3">
        <w:t>daily option for HIV</w:t>
      </w:r>
      <w:r w:rsidR="00161C9A">
        <w:t xml:space="preserve"> </w:t>
      </w:r>
      <w:r w:rsidR="005663D3" w:rsidRPr="005663D3">
        <w:t>infected adult</w:t>
      </w:r>
      <w:r w:rsidR="005663D3">
        <w:t xml:space="preserve">s, including those with mild to </w:t>
      </w:r>
      <w:r w:rsidR="005663D3" w:rsidRPr="005663D3">
        <w:t xml:space="preserve">moderate renal impairment, and paediatric patients 12 years of age and </w:t>
      </w:r>
      <w:r w:rsidR="005663D3">
        <w:t xml:space="preserve">older. The benefits provided by </w:t>
      </w:r>
      <w:r>
        <w:t>Genvoya</w:t>
      </w:r>
      <w:r w:rsidR="005663D3" w:rsidRPr="005663D3">
        <w:t xml:space="preserve"> also meet an important unmet need for optimised treatment in th</w:t>
      </w:r>
      <w:r w:rsidR="005663D3">
        <w:t xml:space="preserve">e context of an aging cohort of </w:t>
      </w:r>
      <w:r w:rsidR="005663D3" w:rsidRPr="005663D3">
        <w:t>HIV i</w:t>
      </w:r>
      <w:r w:rsidR="00161C9A">
        <w:t xml:space="preserve">nfected individuals with a life </w:t>
      </w:r>
      <w:r w:rsidR="005663D3" w:rsidRPr="005663D3">
        <w:t>expectancy close to that observed in</w:t>
      </w:r>
      <w:r w:rsidR="005663D3">
        <w:t xml:space="preserve"> the general population who are </w:t>
      </w:r>
      <w:r w:rsidR="005663D3" w:rsidRPr="005663D3">
        <w:t>exposed to ART for long periods of time.</w:t>
      </w:r>
    </w:p>
    <w:p w:rsidR="005663D3" w:rsidRPr="005663D3" w:rsidRDefault="00161C9A" w:rsidP="005663D3">
      <w:r>
        <w:t>It was concluded by the TGA clinical e</w:t>
      </w:r>
      <w:r w:rsidR="005663D3" w:rsidRPr="005663D3">
        <w:t xml:space="preserve">valuator that the overall safety profile of </w:t>
      </w:r>
      <w:r w:rsidR="00CA65A1">
        <w:t>Genvoya</w:t>
      </w:r>
      <w:r w:rsidR="005663D3" w:rsidRPr="005663D3">
        <w:t xml:space="preserve"> is a </w:t>
      </w:r>
      <w:r w:rsidR="00CA65A1">
        <w:t>‘</w:t>
      </w:r>
      <w:r w:rsidR="005663D3" w:rsidRPr="005663D3">
        <w:t>significant</w:t>
      </w:r>
      <w:r w:rsidR="005663D3">
        <w:t xml:space="preserve"> </w:t>
      </w:r>
      <w:r w:rsidR="005663D3" w:rsidRPr="005663D3">
        <w:t xml:space="preserve">improvement over the safety profile of </w:t>
      </w:r>
      <w:r w:rsidR="00CA65A1">
        <w:t>Stribild’</w:t>
      </w:r>
      <w:r w:rsidR="005663D3" w:rsidRPr="005663D3">
        <w:t xml:space="preserve">, </w:t>
      </w:r>
      <w:r w:rsidR="00CA65A1">
        <w:t>‘</w:t>
      </w:r>
      <w:r w:rsidR="005663D3" w:rsidRPr="005663D3">
        <w:t>the clinica</w:t>
      </w:r>
      <w:r w:rsidR="005663D3">
        <w:t xml:space="preserve">l relevance of improving BMD is </w:t>
      </w:r>
      <w:r w:rsidR="005663D3" w:rsidRPr="005663D3">
        <w:t>unquestionable in terms of potentially reducing fractures</w:t>
      </w:r>
      <w:r w:rsidR="00CA65A1">
        <w:t>’</w:t>
      </w:r>
      <w:r w:rsidR="005663D3" w:rsidRPr="005663D3">
        <w:t xml:space="preserve">, and </w:t>
      </w:r>
      <w:r w:rsidR="00CA65A1">
        <w:t>‘</w:t>
      </w:r>
      <w:r w:rsidR="005663D3" w:rsidRPr="005663D3">
        <w:t>there appe</w:t>
      </w:r>
      <w:r w:rsidR="005663D3">
        <w:t xml:space="preserve">ars to be a positive benefit of </w:t>
      </w:r>
      <w:r w:rsidR="00CA65A1">
        <w:t>Genvoya</w:t>
      </w:r>
      <w:r w:rsidR="005663D3" w:rsidRPr="005663D3">
        <w:t xml:space="preserve"> in terms of renal toxicity, compared with </w:t>
      </w:r>
      <w:r w:rsidR="00CA65A1">
        <w:t>Stribild</w:t>
      </w:r>
      <w:r w:rsidR="005663D3" w:rsidRPr="005663D3">
        <w:t xml:space="preserve"> and al</w:t>
      </w:r>
      <w:r w:rsidR="005663D3">
        <w:t xml:space="preserve">so when patients were switch to </w:t>
      </w:r>
      <w:r w:rsidR="00CA65A1">
        <w:t>Genvoya</w:t>
      </w:r>
      <w:r w:rsidR="005663D3" w:rsidRPr="005663D3">
        <w:t xml:space="preserve"> from a TDF containing regimen</w:t>
      </w:r>
      <w:r w:rsidR="00CA65A1">
        <w:t>’</w:t>
      </w:r>
      <w:r w:rsidR="005663D3" w:rsidRPr="005663D3">
        <w:t>.</w:t>
      </w:r>
    </w:p>
    <w:p w:rsidR="005663D3" w:rsidRPr="005663D3" w:rsidRDefault="00161C9A" w:rsidP="00161C9A">
      <w:pPr>
        <w:pStyle w:val="Heading5"/>
      </w:pPr>
      <w:r>
        <w:t>Discussion of D</w:t>
      </w:r>
      <w:r w:rsidRPr="005663D3">
        <w:t>elegate’s comments</w:t>
      </w:r>
    </w:p>
    <w:p w:rsidR="005F7AEB" w:rsidRPr="005F7AEB" w:rsidRDefault="00161C9A" w:rsidP="00161C9A">
      <w:pPr>
        <w:pStyle w:val="Heading6"/>
      </w:pPr>
      <w:r>
        <w:t>Delegate’s q</w:t>
      </w:r>
      <w:r w:rsidR="005F7AEB" w:rsidRPr="005F7AEB">
        <w:t>uestion</w:t>
      </w:r>
      <w:r>
        <w:t>s for the s</w:t>
      </w:r>
      <w:r w:rsidR="005F7AEB" w:rsidRPr="005F7AEB">
        <w:t>ponsor</w:t>
      </w:r>
    </w:p>
    <w:p w:rsidR="005F7AEB" w:rsidRPr="00161C9A" w:rsidRDefault="005F7AEB" w:rsidP="00A540E3">
      <w:pPr>
        <w:pStyle w:val="Numberbullet0"/>
        <w:numPr>
          <w:ilvl w:val="0"/>
          <w:numId w:val="11"/>
        </w:numPr>
        <w:rPr>
          <w:i/>
        </w:rPr>
      </w:pPr>
      <w:r w:rsidRPr="00161C9A">
        <w:rPr>
          <w:i/>
        </w:rPr>
        <w:t>Please provide an update of the overseas regulatory status</w:t>
      </w:r>
    </w:p>
    <w:p w:rsidR="00161C9A" w:rsidRPr="00161C9A" w:rsidRDefault="00161C9A" w:rsidP="005F7AEB">
      <w:pPr>
        <w:rPr>
          <w:b/>
          <w:i/>
        </w:rPr>
      </w:pPr>
      <w:r w:rsidRPr="00161C9A">
        <w:rPr>
          <w:b/>
          <w:i/>
        </w:rPr>
        <w:t>Sponsor’s response:</w:t>
      </w:r>
    </w:p>
    <w:p w:rsidR="005F7AEB" w:rsidRDefault="005F7AEB" w:rsidP="005F7AEB">
      <w:r w:rsidRPr="005F7AEB">
        <w:t>An update of the overseas regulatory status is provided.</w:t>
      </w:r>
    </w:p>
    <w:p w:rsidR="005F7AEB" w:rsidRPr="00161C9A" w:rsidRDefault="005F7AEB" w:rsidP="005F7AEB">
      <w:pPr>
        <w:pStyle w:val="Numberbullet0"/>
        <w:rPr>
          <w:i/>
        </w:rPr>
      </w:pPr>
      <w:r w:rsidRPr="00161C9A">
        <w:rPr>
          <w:i/>
        </w:rPr>
        <w:t xml:space="preserve">Results (including efficacy and safety data) were available up to 48 weeks for studies GS‐US‐292‐0104, GS‐US‐292‐0111, GS‐US‐292‐0109 and GS‐US‐292‐0112 and for 24 weeks for GS‐US‐292‐0106. Please provide the 96 week data for these studies to the TGA as a future submission when available. With respect to the indication in children, please also submit Study GS‐US‐292‐1515 in virologically suppressed, HIV‐infected adolescents 12 to &lt; 18 years of age and the final report for study GS‐US‐292‐0106 which will include children age 6 to </w:t>
      </w:r>
      <w:r w:rsidR="00C40A50" w:rsidRPr="00161C9A">
        <w:rPr>
          <w:i/>
        </w:rPr>
        <w:t xml:space="preserve">&lt; </w:t>
      </w:r>
      <w:r w:rsidR="00161C9A">
        <w:rPr>
          <w:i/>
        </w:rPr>
        <w:t>12 years when available</w:t>
      </w:r>
      <w:r w:rsidRPr="00161C9A">
        <w:rPr>
          <w:i/>
        </w:rPr>
        <w:t>.</w:t>
      </w:r>
    </w:p>
    <w:p w:rsidR="00161C9A" w:rsidRPr="00161C9A" w:rsidRDefault="00161C9A" w:rsidP="00161C9A">
      <w:pPr>
        <w:rPr>
          <w:b/>
          <w:i/>
        </w:rPr>
      </w:pPr>
      <w:r w:rsidRPr="00161C9A">
        <w:rPr>
          <w:b/>
          <w:i/>
        </w:rPr>
        <w:t>Sponsor’s response:</w:t>
      </w:r>
    </w:p>
    <w:p w:rsidR="005F7AEB" w:rsidRPr="005F7AEB" w:rsidRDefault="005F7AEB" w:rsidP="005F7AEB">
      <w:r w:rsidRPr="005F7AEB">
        <w:t xml:space="preserve">As per the response to </w:t>
      </w:r>
      <w:r w:rsidRPr="00F6738F">
        <w:t xml:space="preserve">Q2 </w:t>
      </w:r>
      <w:r w:rsidR="00F6738F" w:rsidRPr="00F6738F">
        <w:t>of Delegate’s request for ACPM advice</w:t>
      </w:r>
      <w:r w:rsidRPr="00F6738F">
        <w:t xml:space="preserve">, all available </w:t>
      </w:r>
      <w:r w:rsidRPr="005F7AEB">
        <w:t>longer term data for the inclu</w:t>
      </w:r>
      <w:r>
        <w:t>ded clinical trials (GS-US-292-</w:t>
      </w:r>
      <w:r w:rsidRPr="005F7AEB">
        <w:t xml:space="preserve">0104, GS-US-292-0111 (Week 96), GS-US-292-0109, GS-US-292-0106 </w:t>
      </w:r>
      <w:r>
        <w:t xml:space="preserve">(Week 48), GS-US-292-0112 (Week </w:t>
      </w:r>
      <w:r w:rsidRPr="005F7AEB">
        <w:t>72) has been included in the updated PI. Gilead also provides assurance that Study GS‐US‐292‐</w:t>
      </w:r>
      <w:r>
        <w:t>1515 will be</w:t>
      </w:r>
      <w:r w:rsidR="00161C9A">
        <w:t xml:space="preserve"> </w:t>
      </w:r>
      <w:r w:rsidRPr="005F7AEB">
        <w:t>provided when available.</w:t>
      </w:r>
    </w:p>
    <w:p w:rsidR="005F7AEB" w:rsidRPr="00161C9A" w:rsidRDefault="005F7AEB" w:rsidP="005F7AEB">
      <w:pPr>
        <w:pStyle w:val="Numberbullet0"/>
        <w:rPr>
          <w:i/>
        </w:rPr>
      </w:pPr>
      <w:r w:rsidRPr="00161C9A">
        <w:rPr>
          <w:i/>
        </w:rPr>
        <w:t>Please submit a revised ASA noting the RMP Round 2 recommendations for risk minimisation in relation to severe renal impairment and suicidal ideation and attempt.</w:t>
      </w:r>
    </w:p>
    <w:p w:rsidR="00161C9A" w:rsidRPr="00161C9A" w:rsidRDefault="00161C9A" w:rsidP="005F7AEB">
      <w:pPr>
        <w:rPr>
          <w:b/>
          <w:i/>
        </w:rPr>
      </w:pPr>
      <w:r w:rsidRPr="00161C9A">
        <w:rPr>
          <w:b/>
          <w:i/>
        </w:rPr>
        <w:t>Sponsor’s response:</w:t>
      </w:r>
    </w:p>
    <w:p w:rsidR="005F7AEB" w:rsidRPr="005F7AEB" w:rsidRDefault="005F7AEB" w:rsidP="005F7AEB">
      <w:r w:rsidRPr="005F7AEB">
        <w:t xml:space="preserve">A revised ASA was submitted to the TGA on 29 October in response </w:t>
      </w:r>
      <w:r>
        <w:t xml:space="preserve">to the </w:t>
      </w:r>
      <w:r w:rsidR="00161C9A">
        <w:t>second round</w:t>
      </w:r>
      <w:r>
        <w:t xml:space="preserve"> RMP </w:t>
      </w:r>
      <w:r w:rsidR="00161C9A">
        <w:t>evaluation r</w:t>
      </w:r>
      <w:r w:rsidRPr="005F7AEB">
        <w:t xml:space="preserve">eport. The ASA was updated to include safety in patients </w:t>
      </w:r>
      <w:r>
        <w:t xml:space="preserve">with severe renal impairment </w:t>
      </w:r>
      <w:r w:rsidR="00161C9A">
        <w:t xml:space="preserve">as </w:t>
      </w:r>
      <w:r w:rsidR="00161C9A" w:rsidRPr="005F7AEB">
        <w:t xml:space="preserve">missing information </w:t>
      </w:r>
      <w:r w:rsidRPr="005F7AEB">
        <w:t xml:space="preserve">in the summary of safety concerns as per the RMP </w:t>
      </w:r>
      <w:r w:rsidR="00161C9A" w:rsidRPr="005F7AEB">
        <w:t>e</w:t>
      </w:r>
      <w:r w:rsidRPr="005F7AEB">
        <w:t>valuator</w:t>
      </w:r>
      <w:r w:rsidR="00161C9A">
        <w:t>’</w:t>
      </w:r>
      <w:r w:rsidRPr="005F7AEB">
        <w:t>s request.</w:t>
      </w:r>
    </w:p>
    <w:p w:rsidR="005F7AEB" w:rsidRPr="005F7AEB" w:rsidRDefault="005F7AEB" w:rsidP="005F7AEB">
      <w:r w:rsidRPr="005F7AEB">
        <w:lastRenderedPageBreak/>
        <w:t xml:space="preserve">Major depression is a common comorbidity among HIV infected </w:t>
      </w:r>
      <w:r w:rsidR="00161C9A" w:rsidRPr="005F7AEB">
        <w:t>persons;</w:t>
      </w:r>
      <w:r w:rsidRPr="005F7AEB">
        <w:t xml:space="preserve"> therefore suicidal ideation/suicide</w:t>
      </w:r>
      <w:r>
        <w:t xml:space="preserve"> </w:t>
      </w:r>
      <w:r w:rsidRPr="005F7AEB">
        <w:t>attempt would not be unexpected in this population. For instance, in a systemi</w:t>
      </w:r>
      <w:r>
        <w:t xml:space="preserve">c literature review of articles </w:t>
      </w:r>
      <w:r w:rsidRPr="005F7AEB">
        <w:t>involving HIV infected patients, the crude mean prevalence of committed suicide was 2.4% (range 1.</w:t>
      </w:r>
      <w:r w:rsidR="00161C9A">
        <w:t>5 to</w:t>
      </w:r>
      <w:r>
        <w:t xml:space="preserve"> </w:t>
      </w:r>
      <w:r w:rsidRPr="005F7AEB">
        <w:t>5.6%) and the crude mean prevalence of su</w:t>
      </w:r>
      <w:r w:rsidR="00161C9A">
        <w:t>icidal ideation was 26.9% (3.9 to</w:t>
      </w:r>
      <w:r w:rsidRPr="005F7AEB">
        <w:t xml:space="preserve"> 78%)</w:t>
      </w:r>
      <w:r w:rsidR="00A37711">
        <w:rPr>
          <w:rStyle w:val="FootnoteReference"/>
        </w:rPr>
        <w:footnoteReference w:id="34"/>
      </w:r>
      <w:r>
        <w:t xml:space="preserve">. Furthermore, suicide </w:t>
      </w:r>
      <w:r w:rsidRPr="005F7AEB">
        <w:t>events were reported in the med</w:t>
      </w:r>
      <w:r w:rsidR="00161C9A">
        <w:t xml:space="preserve">ical history of 1.6% of the ART </w:t>
      </w:r>
      <w:r w:rsidR="00AD043A">
        <w:t>naive</w:t>
      </w:r>
      <w:r w:rsidRPr="005F7AEB">
        <w:t xml:space="preserve"> pat</w:t>
      </w:r>
      <w:r>
        <w:t xml:space="preserve">ients in Studies GS-US-292-0104 </w:t>
      </w:r>
      <w:r w:rsidRPr="005F7AEB">
        <w:t>and GS-US-292-0111 prior to ART initiation. Suicidal ideation/suicide att</w:t>
      </w:r>
      <w:r>
        <w:t xml:space="preserve">empt is currently classed as </w:t>
      </w:r>
      <w:r w:rsidR="00161C9A">
        <w:t xml:space="preserve">an </w:t>
      </w:r>
      <w:r w:rsidR="00161C9A" w:rsidRPr="005F7AEB">
        <w:t xml:space="preserve">important potential risk </w:t>
      </w:r>
      <w:r w:rsidRPr="005F7AEB">
        <w:t xml:space="preserve">within the summary of safety concerns in the </w:t>
      </w:r>
      <w:r>
        <w:t xml:space="preserve">EU-RMP and ASA. No further risk </w:t>
      </w:r>
      <w:r w:rsidRPr="005F7AEB">
        <w:t>minimization measures are considered necessary as there is currently insufficient evidence to s</w:t>
      </w:r>
      <w:r>
        <w:t xml:space="preserve">upport a causal </w:t>
      </w:r>
      <w:r w:rsidRPr="005F7AEB">
        <w:t xml:space="preserve">association between suicidal ideation/suicide attempt and </w:t>
      </w:r>
      <w:r w:rsidR="00CA65A1">
        <w:t>Genvoya</w:t>
      </w:r>
      <w:r>
        <w:t xml:space="preserve"> use. Across the </w:t>
      </w:r>
      <w:r w:rsidR="00CA65A1">
        <w:t>Genvoya</w:t>
      </w:r>
      <w:r>
        <w:t xml:space="preserve"> study </w:t>
      </w:r>
      <w:r w:rsidRPr="005F7AEB">
        <w:t>program, no suicide AE was considered related to study drug by the in</w:t>
      </w:r>
      <w:r>
        <w:t>vestigator and all patients who</w:t>
      </w:r>
      <w:r w:rsidR="00CA65A1">
        <w:t xml:space="preserve"> </w:t>
      </w:r>
      <w:r w:rsidRPr="005F7AEB">
        <w:t xml:space="preserve">experienced a suicide related AE when receiving </w:t>
      </w:r>
      <w:r w:rsidR="00CA65A1">
        <w:t>Genvoya</w:t>
      </w:r>
      <w:r w:rsidRPr="005F7AEB">
        <w:t xml:space="preserve"> had a pre-ex</w:t>
      </w:r>
      <w:r w:rsidR="00A37711">
        <w:t xml:space="preserve">isting history of depression or </w:t>
      </w:r>
      <w:r w:rsidRPr="005F7AEB">
        <w:t>psychiatric illness.</w:t>
      </w:r>
    </w:p>
    <w:p w:rsidR="00A37711" w:rsidRPr="00A37711" w:rsidRDefault="005F7AEB" w:rsidP="00A37711">
      <w:r w:rsidRPr="005F7AEB">
        <w:t xml:space="preserve">Incidences of suicidal ideation and suicide attempt for patients treated with </w:t>
      </w:r>
      <w:r w:rsidR="00CA65A1">
        <w:t>Genvoya</w:t>
      </w:r>
      <w:r w:rsidRPr="005F7AEB">
        <w:t xml:space="preserve"> at Week 48 were</w:t>
      </w:r>
      <w:r w:rsidR="00A37711">
        <w:t xml:space="preserve"> </w:t>
      </w:r>
      <w:r w:rsidR="00161C9A">
        <w:t xml:space="preserve">0.4% (9 out of </w:t>
      </w:r>
      <w:r w:rsidRPr="005F7AEB">
        <w:t>2</w:t>
      </w:r>
      <w:r w:rsidR="00161C9A">
        <w:t>,</w:t>
      </w:r>
      <w:r w:rsidRPr="005F7AEB">
        <w:t>396 pat</w:t>
      </w:r>
      <w:r w:rsidR="00161C9A">
        <w:t xml:space="preserve">ients) and 0.3% (6 out of </w:t>
      </w:r>
      <w:r w:rsidRPr="005F7AEB">
        <w:t>2</w:t>
      </w:r>
      <w:r w:rsidR="00161C9A">
        <w:t>,396 patients)</w:t>
      </w:r>
      <w:r w:rsidRPr="005F7AEB">
        <w:t xml:space="preserve"> respectively. These are equivalent or lower than the</w:t>
      </w:r>
      <w:r w:rsidR="00A37711">
        <w:t xml:space="preserve"> </w:t>
      </w:r>
      <w:r w:rsidRPr="005F7AEB">
        <w:t>random</w:t>
      </w:r>
      <w:r w:rsidR="00527A3B">
        <w:t>ise</w:t>
      </w:r>
      <w:r w:rsidRPr="005F7AEB">
        <w:t xml:space="preserve">d comparator, as shown in </w:t>
      </w:r>
      <w:r w:rsidR="00161C9A" w:rsidRPr="00161C9A">
        <w:t>T</w:t>
      </w:r>
      <w:r w:rsidRPr="00161C9A">
        <w:t>able</w:t>
      </w:r>
      <w:r w:rsidRPr="005F7AEB">
        <w:t xml:space="preserve"> </w:t>
      </w:r>
      <w:r w:rsidR="00161C9A">
        <w:t xml:space="preserve">16 </w:t>
      </w:r>
      <w:r w:rsidRPr="005F7AEB">
        <w:t>below. One patient had AEs of both suicidal ideation and</w:t>
      </w:r>
      <w:r w:rsidR="00A37711">
        <w:t xml:space="preserve"> </w:t>
      </w:r>
      <w:r w:rsidRPr="005F7AEB">
        <w:t>suicide attempt and one additional subject had an AE of intentional self-injury</w:t>
      </w:r>
      <w:r w:rsidR="00A37711">
        <w:t xml:space="preserve"> such that the incidence of any </w:t>
      </w:r>
      <w:r w:rsidR="00161C9A">
        <w:t xml:space="preserve">suicide related AE was 0.6% (15 out of </w:t>
      </w:r>
      <w:r w:rsidRPr="005F7AEB">
        <w:t>2396 patients). Over 96 weeks in Studie</w:t>
      </w:r>
      <w:r w:rsidR="00A37711">
        <w:t>s GS-US-292-0104 and GS-US-292-</w:t>
      </w:r>
      <w:r w:rsidRPr="005F7AEB">
        <w:t xml:space="preserve">0111, the incidences of suicidal ideation and suicide attempt for patients treated with </w:t>
      </w:r>
      <w:r w:rsidR="00CA65A1">
        <w:t>Genvoya</w:t>
      </w:r>
      <w:r w:rsidRPr="005F7AEB">
        <w:t xml:space="preserve"> were 0.8%</w:t>
      </w:r>
      <w:r w:rsidR="00A37711">
        <w:t xml:space="preserve"> </w:t>
      </w:r>
      <w:r w:rsidR="00161C9A">
        <w:t xml:space="preserve">(7 out of 866 patients) and 0.3% (3 out of </w:t>
      </w:r>
      <w:r w:rsidR="00A37711" w:rsidRPr="00A37711">
        <w:t>866 patients), respectively, with an overall incidence of any suicide-related AE</w:t>
      </w:r>
      <w:r w:rsidR="00A37711">
        <w:t xml:space="preserve"> </w:t>
      </w:r>
      <w:r w:rsidR="00161C9A">
        <w:t xml:space="preserve">of 1.2% (10 out of </w:t>
      </w:r>
      <w:r w:rsidR="00A37711" w:rsidRPr="00A37711">
        <w:t>866 patients). (Studies</w:t>
      </w:r>
      <w:r w:rsidR="003C68E0">
        <w:t>;</w:t>
      </w:r>
      <w:r w:rsidR="00A37711" w:rsidRPr="00A37711">
        <w:t xml:space="preserve"> GS-US-292-0102, GS-US-292-0104, </w:t>
      </w:r>
      <w:r w:rsidR="00A37711">
        <w:t xml:space="preserve">GS-US-292-0111, GS-US-292-0109, </w:t>
      </w:r>
      <w:r w:rsidR="00A37711" w:rsidRPr="00A37711">
        <w:t>GS-US-292-0112, GS-US-292-0106).</w:t>
      </w:r>
    </w:p>
    <w:p w:rsidR="005F7AEB" w:rsidRPr="00A37711" w:rsidRDefault="00A37711" w:rsidP="00A37711">
      <w:r w:rsidRPr="00A37711">
        <w:t>The incidence of</w:t>
      </w:r>
      <w:r w:rsidR="00161C9A">
        <w:t xml:space="preserve"> all suicide </w:t>
      </w:r>
      <w:r w:rsidRPr="00A37711">
        <w:t xml:space="preserve">related AEs to Week 48 from </w:t>
      </w:r>
      <w:r w:rsidR="00CA65A1">
        <w:t>Genvoya</w:t>
      </w:r>
      <w:r w:rsidRPr="00A37711">
        <w:t xml:space="preserve"> Phase </w:t>
      </w:r>
      <w:r w:rsidR="00161C9A">
        <w:t xml:space="preserve">III studies of ART </w:t>
      </w:r>
      <w:r w:rsidR="00AD043A">
        <w:t>naive</w:t>
      </w:r>
      <w:r>
        <w:t xml:space="preserve"> patients</w:t>
      </w:r>
      <w:r w:rsidR="003C68E0">
        <w:t xml:space="preserve"> </w:t>
      </w:r>
      <w:r w:rsidRPr="00A37711">
        <w:t xml:space="preserve">(GS-US-292-0104, GS-US-292-0111) and virologically suppressed patients </w:t>
      </w:r>
      <w:r>
        <w:t xml:space="preserve">(GS-US-292-0109) is provided in </w:t>
      </w:r>
      <w:r w:rsidRPr="00A37711">
        <w:t xml:space="preserve">the table below. In </w:t>
      </w:r>
      <w:r w:rsidR="00CA65A1">
        <w:t>Genvoya</w:t>
      </w:r>
      <w:r w:rsidR="00161C9A">
        <w:t xml:space="preserve"> Phase II Study GS</w:t>
      </w:r>
      <w:r w:rsidR="00161C9A">
        <w:noBreakHyphen/>
        <w:t>US</w:t>
      </w:r>
      <w:r w:rsidR="00161C9A">
        <w:noBreakHyphen/>
        <w:t>292</w:t>
      </w:r>
      <w:r w:rsidR="00161C9A">
        <w:noBreakHyphen/>
      </w:r>
      <w:r w:rsidRPr="00A37711">
        <w:t>0102 to Week 144,</w:t>
      </w:r>
      <w:r>
        <w:t xml:space="preserve"> 1 patient (0.9%) had a suicide </w:t>
      </w:r>
      <w:r w:rsidRPr="00A37711">
        <w:t>event (suicidal ideation) reported.</w:t>
      </w:r>
    </w:p>
    <w:p w:rsidR="005F7AEB" w:rsidRDefault="00161C9A" w:rsidP="00912E0B">
      <w:pPr>
        <w:pStyle w:val="TableTitle"/>
      </w:pPr>
      <w:r>
        <w:t>Table</w:t>
      </w:r>
      <w:r w:rsidR="00A37711">
        <w:t xml:space="preserve"> </w:t>
      </w:r>
      <w:r>
        <w:t>16</w:t>
      </w:r>
      <w:r w:rsidR="00A37711">
        <w:t xml:space="preserve">. </w:t>
      </w:r>
      <w:r w:rsidR="00A37711" w:rsidRPr="00A37711">
        <w:t xml:space="preserve">The incidence of all suicide-related AEs to Week 48 from </w:t>
      </w:r>
      <w:r w:rsidR="00CA65A1">
        <w:t>Genvoya</w:t>
      </w:r>
      <w:r w:rsidR="004A1791">
        <w:t xml:space="preserve"> Phase III</w:t>
      </w:r>
      <w:r>
        <w:t xml:space="preserve"> studies of ART </w:t>
      </w:r>
      <w:r w:rsidR="00AD043A">
        <w:t>naive</w:t>
      </w:r>
      <w:r w:rsidR="00A37711" w:rsidRPr="00A37711">
        <w:t xml:space="preserve"> patients</w:t>
      </w:r>
      <w:r>
        <w:t xml:space="preserve"> </w:t>
      </w:r>
      <w:r w:rsidR="00A37711" w:rsidRPr="00A37711">
        <w:t>(GS-US-292-0104, GS-US-292-0111) and virologically suppressed patients (GS-US-292-0109)</w:t>
      </w:r>
    </w:p>
    <w:p w:rsidR="005F7AEB" w:rsidRDefault="00A37711" w:rsidP="005F7AEB">
      <w:r>
        <w:rPr>
          <w:noProof/>
          <w:lang w:eastAsia="en-AU"/>
        </w:rPr>
        <w:drawing>
          <wp:inline distT="0" distB="0" distL="0" distR="0" wp14:anchorId="40BF3889" wp14:editId="02E8B198">
            <wp:extent cx="5400040" cy="1786167"/>
            <wp:effectExtent l="0" t="0" r="0" b="5080"/>
            <wp:docPr id="14" name="Picture 14" descr="Table 16. The incidence of all suicide-related AEs to Week 48 from Genvoya Phase III studies of ART naive patients (GS-US-292-0104, GS-US-292-0111) and virologically suppressed patients (GS-US-292-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1786167"/>
                    </a:xfrm>
                    <a:prstGeom prst="rect">
                      <a:avLst/>
                    </a:prstGeom>
                  </pic:spPr>
                </pic:pic>
              </a:graphicData>
            </a:graphic>
          </wp:inline>
        </w:drawing>
      </w:r>
    </w:p>
    <w:p w:rsidR="00A37711" w:rsidRPr="00A37711" w:rsidRDefault="00A37711" w:rsidP="00A37711">
      <w:r w:rsidRPr="00A37711">
        <w:t>In summary, no further risk minimization measures are considered necessary as the robust long-term data do</w:t>
      </w:r>
      <w:r>
        <w:t xml:space="preserve"> </w:t>
      </w:r>
      <w:r w:rsidRPr="00A37711">
        <w:t>not support a causal association between suicidal ideation/suicide a</w:t>
      </w:r>
      <w:r>
        <w:t xml:space="preserve">ttempt and </w:t>
      </w:r>
      <w:r w:rsidR="00CA65A1">
        <w:t>Genvoya</w:t>
      </w:r>
      <w:r>
        <w:t xml:space="preserve"> use. As such </w:t>
      </w:r>
      <w:r w:rsidRPr="00A37711">
        <w:t>Gilead does not propose to include any further risk minimisation recommendations regarding s</w:t>
      </w:r>
      <w:r>
        <w:t xml:space="preserve">uicidal ideation </w:t>
      </w:r>
      <w:r w:rsidRPr="00A37711">
        <w:t>and attempt within the ASA or proposed PI at this time.</w:t>
      </w:r>
    </w:p>
    <w:p w:rsidR="00A37711" w:rsidRPr="00161C9A" w:rsidRDefault="00A37711" w:rsidP="00A37711">
      <w:pPr>
        <w:pStyle w:val="Numberbullet0"/>
        <w:rPr>
          <w:i/>
        </w:rPr>
      </w:pPr>
      <w:r w:rsidRPr="00161C9A">
        <w:rPr>
          <w:i/>
        </w:rPr>
        <w:lastRenderedPageBreak/>
        <w:t xml:space="preserve">With regards to the evaluation, please provide a reference for the chosen non‐inferiority level of </w:t>
      </w:r>
      <w:r w:rsidR="00C40A50" w:rsidRPr="00161C9A">
        <w:rPr>
          <w:i/>
        </w:rPr>
        <w:t xml:space="preserve">&lt; </w:t>
      </w:r>
      <w:r w:rsidRPr="00161C9A">
        <w:rPr>
          <w:i/>
        </w:rPr>
        <w:t>12% for studies GS‐US‐292‐0104, GS‐US‐292‐0111 and GS‐US‐292‐0109.</w:t>
      </w:r>
    </w:p>
    <w:p w:rsidR="00161C9A" w:rsidRPr="00161C9A" w:rsidRDefault="00161C9A" w:rsidP="00A37711">
      <w:pPr>
        <w:rPr>
          <w:b/>
          <w:i/>
        </w:rPr>
      </w:pPr>
      <w:r w:rsidRPr="00161C9A">
        <w:rPr>
          <w:b/>
          <w:i/>
        </w:rPr>
        <w:t>Sponsor’s response:</w:t>
      </w:r>
    </w:p>
    <w:p w:rsidR="00A37711" w:rsidRPr="00A37711" w:rsidRDefault="00A37711" w:rsidP="00A37711">
      <w:r w:rsidRPr="00A37711">
        <w:t xml:space="preserve">The chosen non-inferiority margin level of </w:t>
      </w:r>
      <w:r w:rsidR="00C40A50">
        <w:t xml:space="preserve">&lt; </w:t>
      </w:r>
      <w:r w:rsidRPr="00A37711">
        <w:t>12% is the most commonly used margin in HIV clinical trials</w:t>
      </w:r>
      <w:r>
        <w:rPr>
          <w:rStyle w:val="FootnoteReference"/>
        </w:rPr>
        <w:footnoteReference w:id="35"/>
      </w:r>
      <w:r>
        <w:t xml:space="preserve"> </w:t>
      </w:r>
      <w:r w:rsidRPr="00A37711">
        <w:t>and is consistent with US regulatory guidance</w:t>
      </w:r>
      <w:r>
        <w:t>.</w:t>
      </w:r>
      <w:r>
        <w:rPr>
          <w:rStyle w:val="FootnoteReference"/>
        </w:rPr>
        <w:footnoteReference w:id="36"/>
      </w:r>
    </w:p>
    <w:p w:rsidR="00A37711" w:rsidRPr="00161C9A" w:rsidRDefault="00A37711" w:rsidP="00A37711">
      <w:pPr>
        <w:pStyle w:val="Numberbullet0"/>
        <w:rPr>
          <w:i/>
        </w:rPr>
      </w:pPr>
      <w:r w:rsidRPr="00161C9A">
        <w:rPr>
          <w:i/>
        </w:rPr>
        <w:t>With respect to the proposed indication in adolescents for Genvoya, it is noted that for Stribild, its use in children or adolescents under the age of 18 years is contra‐indicated in the PI. Is this based on the suitability of the fixed combination product for administration to younger children (and those of low weight) together with a lack of any data in adolescents rather than a specific adolescent issue?</w:t>
      </w:r>
    </w:p>
    <w:p w:rsidR="00161C9A" w:rsidRDefault="00A37711" w:rsidP="00161C9A">
      <w:r w:rsidRPr="00A37711">
        <w:t xml:space="preserve">Use of </w:t>
      </w:r>
      <w:r w:rsidR="00CA65A1">
        <w:t>Stribild</w:t>
      </w:r>
      <w:r w:rsidRPr="00A37711">
        <w:t xml:space="preserve"> in children or adolescents unde</w:t>
      </w:r>
      <w:r w:rsidR="00161C9A">
        <w:t xml:space="preserve">r the age of 18 years is contra </w:t>
      </w:r>
      <w:r w:rsidR="00C76011">
        <w:t xml:space="preserve">indicated due to the lack of </w:t>
      </w:r>
      <w:r w:rsidRPr="00A37711">
        <w:t>sufficient data in this population.</w:t>
      </w:r>
    </w:p>
    <w:p w:rsidR="00161C9A" w:rsidRPr="00161C9A" w:rsidRDefault="00161C9A" w:rsidP="00161C9A">
      <w:pPr>
        <w:pStyle w:val="Heading6"/>
      </w:pPr>
      <w:r w:rsidRPr="00161C9A">
        <w:t xml:space="preserve">Delegate’s </w:t>
      </w:r>
      <w:r>
        <w:t>request for ACPM advice</w:t>
      </w:r>
    </w:p>
    <w:p w:rsidR="00600BA8" w:rsidRPr="00600BA8" w:rsidRDefault="00161C9A" w:rsidP="00161C9A">
      <w:pPr>
        <w:pStyle w:val="Numberbullet0"/>
        <w:numPr>
          <w:ilvl w:val="0"/>
          <w:numId w:val="13"/>
        </w:numPr>
        <w:rPr>
          <w:i/>
        </w:rPr>
      </w:pPr>
      <w:r w:rsidRPr="00600BA8">
        <w:rPr>
          <w:i/>
        </w:rPr>
        <w:t>What is the committee’s view with regards to the sponsor’s proposed indication? Does the committee consider the indication should be amended as suggested, given the submitted data? With respect to the indication in adolescents, does the committee agree with proposed wording</w:t>
      </w:r>
      <w:r w:rsidR="00600BA8">
        <w:rPr>
          <w:i/>
        </w:rPr>
        <w:t>, noting the EU recommendation?</w:t>
      </w:r>
    </w:p>
    <w:p w:rsidR="00600BA8" w:rsidRPr="00600BA8" w:rsidRDefault="00600BA8" w:rsidP="00600BA8">
      <w:pPr>
        <w:rPr>
          <w:b/>
          <w:i/>
        </w:rPr>
      </w:pPr>
      <w:r w:rsidRPr="00600BA8">
        <w:rPr>
          <w:b/>
          <w:i/>
        </w:rPr>
        <w:t>Sponsor’s response:</w:t>
      </w:r>
    </w:p>
    <w:p w:rsidR="00161C9A" w:rsidRPr="00161C9A" w:rsidRDefault="00161C9A" w:rsidP="00600BA8">
      <w:r w:rsidRPr="00161C9A">
        <w:t xml:space="preserve">Of most concern, the TGA proposed indication restricts the paediatric population to </w:t>
      </w:r>
      <w:r w:rsidR="00AD043A">
        <w:t>naive</w:t>
      </w:r>
      <w:r w:rsidRPr="00161C9A">
        <w:t xml:space="preserve"> patients only and defines virologically suppressed (&lt; 50 copies per mL) which are considered unnecessary. Apart from this, Gilead does not have strong objections to the proposed indication but would suggest to the Delegate and ACPM that a more succinct indication would be considered:</w:t>
      </w:r>
    </w:p>
    <w:p w:rsidR="00161C9A" w:rsidRPr="00600BA8" w:rsidRDefault="00161C9A" w:rsidP="00600BA8">
      <w:pPr>
        <w:ind w:left="720"/>
        <w:rPr>
          <w:i/>
        </w:rPr>
      </w:pPr>
      <w:r w:rsidRPr="00600BA8">
        <w:rPr>
          <w:i/>
        </w:rPr>
        <w:t>Genvoya is indicated for the treatment of HIV-1 infection in adults and adolescents aged 12 years of age and older with body weight at least 35 kg (see Clinical Trials). Patients must not have a history of treatment failure or known mutations associated with resistance to the antiretroviral components of Genvoya.</w:t>
      </w:r>
    </w:p>
    <w:p w:rsidR="00161C9A" w:rsidRPr="00600BA8" w:rsidRDefault="00161C9A" w:rsidP="00600BA8">
      <w:pPr>
        <w:ind w:left="720"/>
        <w:rPr>
          <w:i/>
        </w:rPr>
      </w:pPr>
      <w:r w:rsidRPr="00600BA8">
        <w:rPr>
          <w:i/>
        </w:rPr>
        <w:t>Genvoya is a fixed dose combination of one integrase inhibitor, one pharmacokinetic enhancer and two nucleos(t)ide HIV‐1 reverse transcriptase inhibitors.</w:t>
      </w:r>
    </w:p>
    <w:p w:rsidR="00161C9A" w:rsidRPr="00161C9A" w:rsidRDefault="00161C9A" w:rsidP="00161C9A">
      <w:r w:rsidRPr="00161C9A">
        <w:t>This simplified indication captures the concerns of the Delegate in that it excludes non-stable treatment experienced patients that are outside the patient populations investigated by Gilead. Inclusion of the definition virologically suppressed (HIV1 RNA &lt; 50 copies/mL) in the indication is unnecessary. The European AIDS Clinical Society (EACS) HIV treatment guideline version 8.0</w:t>
      </w:r>
      <w:r w:rsidR="00600BA8">
        <w:t xml:space="preserve"> now recommends ART for all HIV </w:t>
      </w:r>
      <w:r w:rsidRPr="00161C9A">
        <w:t>positive persons, irrespective of CD4 cell count. Retaining this limit of detection in the clinical trials section suitably discloses how the pivotal trials were conducted.</w:t>
      </w:r>
    </w:p>
    <w:p w:rsidR="00161C9A" w:rsidRPr="00161C9A" w:rsidRDefault="00161C9A" w:rsidP="00161C9A">
      <w:r w:rsidRPr="00161C9A">
        <w:t>Genvoya has demonstrated p</w:t>
      </w:r>
      <w:r w:rsidR="00600BA8">
        <w:t xml:space="preserve">otent antiviral efficacy in ART </w:t>
      </w:r>
      <w:r w:rsidR="00AD043A">
        <w:t>naive</w:t>
      </w:r>
      <w:r w:rsidRPr="00161C9A">
        <w:t xml:space="preserve"> adults and adolescents and treatment experienced adults. The safety profile of Genvoya in adolescents is similar to that in adults, and the PK data shows equivalent exposures between adults and adolescents. This strongly supports that there is no reason to expect that treatment experienced virologically suppressed adolescent patients on a stable regimen would behave any differently to adults. Conducting clinical research on children is a difficult and challenging expectation; it would be unreasonable to expect clinical research in children in </w:t>
      </w:r>
      <w:r w:rsidRPr="00161C9A">
        <w:lastRenderedPageBreak/>
        <w:t>different sub-populations when there is such strong evidence that there is no age associated difference in humans infected with the same virus treated with Genvoya.</w:t>
      </w:r>
    </w:p>
    <w:p w:rsidR="00161C9A" w:rsidRPr="00161C9A" w:rsidRDefault="00161C9A" w:rsidP="00161C9A">
      <w:r w:rsidRPr="00161C9A">
        <w:t>Current approved therapies for the treatment of HIV-1 in adolescents include older products and complicated regimens (e.g., twice daily or with different dosage forms) that are difficult to tolerate. Genvoya will represent a treatment simplification that can reduce these patients’ pill burden and promote adherence. Gilead believes the inclusion of adolescent patients in the indication is important due to the specific and complex challenges for the treatment of adolescents, who also represent the population that will require ART for the longest time. As such Gilead would like the Delegate and ACPM to consider an indication statement that includes a broader adolescent indication.</w:t>
      </w:r>
    </w:p>
    <w:p w:rsidR="00161C9A" w:rsidRPr="00161C9A" w:rsidRDefault="00161C9A" w:rsidP="00161C9A">
      <w:r w:rsidRPr="00161C9A">
        <w:t>The indication statement proposed by the Delegate may be viewed as unnecessarily restrictive in this important population, and may exclude patients who can benefit from a treatment option that has been demonstrated to be efficacious, safe, and well tolerated. The indication statement is critical in defining patient access, especially in a constantly evolving reimbursement environment and in providing patients who are in need of antiviral treatments with the best therapeutic options available.</w:t>
      </w:r>
    </w:p>
    <w:p w:rsidR="00600BA8" w:rsidRPr="00600BA8" w:rsidRDefault="00161C9A" w:rsidP="00161C9A">
      <w:pPr>
        <w:pStyle w:val="Numberbullet0"/>
        <w:rPr>
          <w:i/>
        </w:rPr>
      </w:pPr>
      <w:r w:rsidRPr="00600BA8">
        <w:rPr>
          <w:i/>
        </w:rPr>
        <w:t>Please comment on the data submitted for patients with renal impairment (studies GS‐US‐120‐ 0108, GS‐US‐292‐0112) and whether these findings are adequately reflected in the PI. Please also comment on the renal safety data for the pivotal studies GS‐US‐292‐0104, GS‐US‐292‐0111, GS‐US‐292‐0109.</w:t>
      </w:r>
    </w:p>
    <w:p w:rsidR="00600BA8" w:rsidRPr="00600BA8" w:rsidRDefault="00600BA8" w:rsidP="00600BA8">
      <w:pPr>
        <w:rPr>
          <w:b/>
          <w:i/>
        </w:rPr>
      </w:pPr>
      <w:r w:rsidRPr="00600BA8">
        <w:rPr>
          <w:b/>
          <w:i/>
        </w:rPr>
        <w:t>Sponsor’s response:</w:t>
      </w:r>
    </w:p>
    <w:p w:rsidR="00161C9A" w:rsidRPr="00161C9A" w:rsidRDefault="00161C9A" w:rsidP="00600BA8">
      <w:r w:rsidRPr="00161C9A">
        <w:t>The totality of results from renal assessments in HIV-1 infected adult and adolescent patients across the clinical development program demonstrated that treatment with Genvoya is associated with a preferential renal safety profile com</w:t>
      </w:r>
      <w:r w:rsidR="00600BA8">
        <w:t xml:space="preserve">pared with Stribild or with TDF </w:t>
      </w:r>
      <w:r w:rsidRPr="00161C9A">
        <w:t xml:space="preserve">containing regimens, with statistically significant differences in multiple tests of renal function. This positive benefit of Genvoya in terms of renal toxicity, compared with Stribild and also when patients were switch to Genvoya from a TDF containing regimen was also noted by the TGA </w:t>
      </w:r>
      <w:r w:rsidR="00600BA8" w:rsidRPr="00161C9A">
        <w:t>clinical e</w:t>
      </w:r>
      <w:r w:rsidRPr="00161C9A">
        <w:t>valuator.</w:t>
      </w:r>
    </w:p>
    <w:p w:rsidR="00161C9A" w:rsidRPr="00161C9A" w:rsidRDefault="00161C9A" w:rsidP="00161C9A">
      <w:r w:rsidRPr="00161C9A">
        <w:t xml:space="preserve">Study GS-US-292-0112 is extensively presented in the </w:t>
      </w:r>
      <w:r w:rsidR="00600BA8" w:rsidRPr="00161C9A">
        <w:t xml:space="preserve">clinical trials </w:t>
      </w:r>
      <w:r w:rsidRPr="00161C9A">
        <w:t xml:space="preserve">section of the proposed PI. In the </w:t>
      </w:r>
      <w:r w:rsidR="00600BA8">
        <w:t>submission</w:t>
      </w:r>
      <w:r w:rsidRPr="00161C9A">
        <w:t xml:space="preserve">, 24 week data were presented. Since that time, all patients (N = 248) in Study GS-US-292-0112 have received 72 weeks of treatment, including the 80 patients with baseline eGFRCG &lt; 50 mL/min. Results from the longer term </w:t>
      </w:r>
      <w:r w:rsidR="00600BA8">
        <w:t xml:space="preserve">data confirmed that, after once </w:t>
      </w:r>
      <w:r w:rsidRPr="00161C9A">
        <w:t xml:space="preserve">daily administration of Genvoya without dose adjustment, the safety profile in patients with baseline eGFRCG &lt; 50 mL/min was similar to that in patients with baseline eGFRCG </w:t>
      </w:r>
      <w:r w:rsidR="00600BA8">
        <w:t>≥</w:t>
      </w:r>
      <w:r w:rsidRPr="00161C9A">
        <w:t xml:space="preserve"> 50 mL/min.</w:t>
      </w:r>
    </w:p>
    <w:p w:rsidR="00161C9A" w:rsidRPr="00161C9A" w:rsidRDefault="00161C9A" w:rsidP="00161C9A">
      <w:r w:rsidRPr="00161C9A">
        <w:t>Following discussions with the Delegate, it has been agreed that all available longer term data for the included clinical trials (GS-US-292-0104, GS-US-292-0111 (Week 96), GS-US-292-0109, GS-US-292-0</w:t>
      </w:r>
      <w:r w:rsidR="00600BA8">
        <w:t>106 (Week 48) and</w:t>
      </w:r>
      <w:r w:rsidRPr="00161C9A">
        <w:t xml:space="preserve"> GS-US-292-0112 (Week 72) can be included in the updated PI.</w:t>
      </w:r>
    </w:p>
    <w:p w:rsidR="00161C9A" w:rsidRPr="00161C9A" w:rsidRDefault="00161C9A" w:rsidP="00161C9A">
      <w:r w:rsidRPr="00161C9A">
        <w:t xml:space="preserve">Renal safety data is also presented throughout the proposed PI within the </w:t>
      </w:r>
      <w:r w:rsidR="00600BA8" w:rsidRPr="00161C9A">
        <w:t xml:space="preserve">pharmacokinetics, precautions and dosage and administration </w:t>
      </w:r>
      <w:r w:rsidRPr="00161C9A">
        <w:t>sections, and is consistent with the data as presented within the EU SmPC.</w:t>
      </w:r>
    </w:p>
    <w:p w:rsidR="00161C9A" w:rsidRPr="00600BA8" w:rsidRDefault="00161C9A" w:rsidP="00600BA8">
      <w:pPr>
        <w:pStyle w:val="Numberbullet0"/>
        <w:rPr>
          <w:i/>
        </w:rPr>
      </w:pPr>
      <w:r w:rsidRPr="00600BA8">
        <w:rPr>
          <w:i/>
        </w:rPr>
        <w:t xml:space="preserve">Please comment on the clarity of </w:t>
      </w:r>
      <w:r w:rsidR="00600BA8" w:rsidRPr="00600BA8">
        <w:rPr>
          <w:i/>
        </w:rPr>
        <w:t xml:space="preserve">the drug interactions and precautions </w:t>
      </w:r>
      <w:r w:rsidRPr="00600BA8">
        <w:rPr>
          <w:i/>
        </w:rPr>
        <w:t>sections of the PI, given the potential for drug-drug interactions with other components of Genvoya (COBI and EVG).</w:t>
      </w:r>
    </w:p>
    <w:p w:rsidR="00600BA8" w:rsidRPr="00600BA8" w:rsidRDefault="00600BA8" w:rsidP="00161C9A">
      <w:pPr>
        <w:rPr>
          <w:b/>
          <w:i/>
        </w:rPr>
      </w:pPr>
      <w:r w:rsidRPr="00600BA8">
        <w:rPr>
          <w:b/>
          <w:i/>
        </w:rPr>
        <w:t>Sponsor’s response:</w:t>
      </w:r>
    </w:p>
    <w:p w:rsidR="00161C9A" w:rsidRPr="005F7AEB" w:rsidRDefault="00161C9A" w:rsidP="005F7AEB">
      <w:r w:rsidRPr="00161C9A">
        <w:t xml:space="preserve">The </w:t>
      </w:r>
      <w:r w:rsidR="00600BA8" w:rsidRPr="00161C9A">
        <w:t xml:space="preserve">drug interactions and precautions </w:t>
      </w:r>
      <w:r w:rsidRPr="00161C9A">
        <w:t xml:space="preserve">section of the proposed PI is presented in an identical manner to the approved PI for Stribild, and other TGA approved HIV products registered by Gilead. The </w:t>
      </w:r>
      <w:r w:rsidR="00600BA8" w:rsidRPr="00161C9A">
        <w:t xml:space="preserve">drug interactions </w:t>
      </w:r>
      <w:r w:rsidRPr="00161C9A">
        <w:t xml:space="preserve">section has been updated in line with the </w:t>
      </w:r>
      <w:r w:rsidRPr="00161C9A">
        <w:lastRenderedPageBreak/>
        <w:t>Delegate</w:t>
      </w:r>
      <w:r w:rsidR="00600BA8">
        <w:t>’</w:t>
      </w:r>
      <w:r w:rsidRPr="00161C9A">
        <w:t>s comments to include all recommendations in the ‘Drug interactions and other forms of interaction’ table are consistent with the EU SmPC. Annotated and clean copies of the current proposed PI and CMI are provided</w:t>
      </w:r>
      <w:r w:rsidR="00600BA8">
        <w:t>.</w:t>
      </w:r>
    </w:p>
    <w:p w:rsidR="008E7846" w:rsidRDefault="00D71334" w:rsidP="008E7846">
      <w:pPr>
        <w:pStyle w:val="Heading4"/>
      </w:pPr>
      <w:r>
        <w:t>Advisory c</w:t>
      </w:r>
      <w:r w:rsidR="008E7846">
        <w:t xml:space="preserve">ommittee </w:t>
      </w:r>
      <w:r>
        <w:t>c</w:t>
      </w:r>
      <w:r w:rsidR="008E7846">
        <w:t>onsiderations</w:t>
      </w:r>
    </w:p>
    <w:p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rsidR="002A71D4" w:rsidRPr="002A71D4" w:rsidRDefault="002A71D4" w:rsidP="002A71D4">
      <w:r w:rsidRPr="002A71D4">
        <w:t>The ACPM, taking into account the submitted evidence of efficacy, safet</w:t>
      </w:r>
      <w:r w:rsidR="009A2025">
        <w:t>y and quality, agreed with the D</w:t>
      </w:r>
      <w:r w:rsidRPr="002A71D4">
        <w:t xml:space="preserve">elegate and considered </w:t>
      </w:r>
      <w:r w:rsidR="00CA65A1">
        <w:t>Genvoya</w:t>
      </w:r>
      <w:r w:rsidRPr="002A71D4">
        <w:t xml:space="preserve"> tablet containing 150 mg </w:t>
      </w:r>
      <w:r w:rsidR="00057BBC">
        <w:t>EVG</w:t>
      </w:r>
      <w:r w:rsidRPr="002A71D4">
        <w:t xml:space="preserve"> (EVG), 150 mg of cobicistat (COBI), 200 mg of emtricitabine (FTC) and 10 mg of tenofovir alafenamide fumarate (TAF) of </w:t>
      </w:r>
      <w:r w:rsidR="00600BA8">
        <w:t>elvitegravir</w:t>
      </w:r>
      <w:r w:rsidRPr="002A71D4">
        <w:t>/cobicistat/emtricitabine/tenofovir alafenamide fumarate to have an overall positive benefit–risk prof</w:t>
      </w:r>
      <w:r w:rsidR="00600BA8">
        <w:t>ile for the amended indication:</w:t>
      </w:r>
    </w:p>
    <w:p w:rsidR="002A71D4" w:rsidRPr="009A2025" w:rsidRDefault="00CA65A1" w:rsidP="009A2025">
      <w:pPr>
        <w:ind w:left="360"/>
        <w:rPr>
          <w:i/>
        </w:rPr>
      </w:pPr>
      <w:r>
        <w:rPr>
          <w:i/>
        </w:rPr>
        <w:t>Genvoya</w:t>
      </w:r>
      <w:r w:rsidR="002A71D4" w:rsidRPr="009A2025">
        <w:rPr>
          <w:i/>
        </w:rPr>
        <w:t xml:space="preserve"> is indicated as a single tablet regimen for the treatment of HIV-1 infection adults and adolescents aged 12 years and older with body weight at least 35 kg who are either:</w:t>
      </w:r>
    </w:p>
    <w:p w:rsidR="002A71D4" w:rsidRPr="009A2025" w:rsidRDefault="00CA65A1" w:rsidP="009A2025">
      <w:pPr>
        <w:pStyle w:val="ListBullet"/>
        <w:ind w:left="720"/>
        <w:rPr>
          <w:i/>
        </w:rPr>
      </w:pPr>
      <w:r>
        <w:rPr>
          <w:i/>
        </w:rPr>
        <w:t>treatment naive</w:t>
      </w:r>
      <w:r w:rsidR="002A71D4" w:rsidRPr="009A2025">
        <w:rPr>
          <w:i/>
        </w:rPr>
        <w:t>; or</w:t>
      </w:r>
    </w:p>
    <w:p w:rsidR="002A71D4" w:rsidRPr="009A2025" w:rsidRDefault="002A71D4" w:rsidP="009A2025">
      <w:pPr>
        <w:pStyle w:val="ListBullet"/>
        <w:ind w:left="720"/>
        <w:rPr>
          <w:i/>
        </w:rPr>
      </w:pPr>
      <w:r w:rsidRPr="009A2025">
        <w:rPr>
          <w:i/>
        </w:rPr>
        <w:t xml:space="preserve">virologically suppressed (HIV-1 RNA </w:t>
      </w:r>
      <w:r w:rsidR="00CA65A1">
        <w:rPr>
          <w:i/>
        </w:rPr>
        <w:t xml:space="preserve">&lt; 50 </w:t>
      </w:r>
      <w:r w:rsidRPr="009A2025">
        <w:rPr>
          <w:i/>
        </w:rPr>
        <w:t>copies/mL) on a stable antiretroviral regimen at start of therapy in order to replace their current antiretroviral treatment regimen (see CLINICAL TRIALS)</w:t>
      </w:r>
    </w:p>
    <w:p w:rsidR="002A71D4" w:rsidRPr="009A2025" w:rsidRDefault="002A71D4" w:rsidP="009A2025">
      <w:pPr>
        <w:ind w:left="360"/>
        <w:rPr>
          <w:i/>
        </w:rPr>
      </w:pPr>
      <w:r w:rsidRPr="009A2025">
        <w:rPr>
          <w:i/>
        </w:rPr>
        <w:t xml:space="preserve">Patients must not have a history of treatment failure or known mutations associated with resistance to the antiretroviral components of </w:t>
      </w:r>
      <w:r w:rsidR="00CA65A1">
        <w:rPr>
          <w:i/>
        </w:rPr>
        <w:t>Genvoya</w:t>
      </w:r>
      <w:r w:rsidRPr="009A2025">
        <w:rPr>
          <w:i/>
        </w:rPr>
        <w:t>.</w:t>
      </w:r>
    </w:p>
    <w:p w:rsidR="002A71D4" w:rsidRPr="009A2025" w:rsidRDefault="00CA65A1" w:rsidP="009A2025">
      <w:pPr>
        <w:ind w:left="360"/>
        <w:rPr>
          <w:i/>
        </w:rPr>
      </w:pPr>
      <w:r>
        <w:rPr>
          <w:i/>
        </w:rPr>
        <w:t>Genvoya</w:t>
      </w:r>
      <w:r w:rsidR="002A71D4" w:rsidRPr="009A2025">
        <w:rPr>
          <w:i/>
        </w:rPr>
        <w:t xml:space="preserve"> is a fixed dose combination of one integrase inhibitor, one pharmacokinetic enhancer and two nucleos(t)ide HIV-1 reverse transcriptase inhibitors.</w:t>
      </w:r>
    </w:p>
    <w:p w:rsidR="002A71D4" w:rsidRPr="002A71D4" w:rsidRDefault="002A71D4" w:rsidP="002A71D4">
      <w:r w:rsidRPr="002A71D4">
        <w:t>In making this recommendation the ACPM</w:t>
      </w:r>
    </w:p>
    <w:p w:rsidR="002A71D4" w:rsidRPr="002A71D4" w:rsidRDefault="002A71D4" w:rsidP="00912E0B">
      <w:pPr>
        <w:pStyle w:val="ListBullet"/>
      </w:pPr>
      <w:r w:rsidRPr="002A71D4">
        <w:t xml:space="preserve">Was of the view that </w:t>
      </w:r>
      <w:r w:rsidR="009A2025">
        <w:t>the indication proposed by the D</w:t>
      </w:r>
      <w:r w:rsidRPr="002A71D4">
        <w:t>elegate was appropriate and reflected the data presented in the application.</w:t>
      </w:r>
    </w:p>
    <w:p w:rsidR="002A71D4" w:rsidRPr="002A71D4" w:rsidRDefault="002A71D4" w:rsidP="009A2025">
      <w:pPr>
        <w:pStyle w:val="ListBullet"/>
      </w:pPr>
      <w:r w:rsidRPr="002A71D4">
        <w:t>Advised that the indication for virologically suppressed patients should not be limited to adults only and that the restriction aged 12 years and older with a body weight of at least 35 kg was appropriate.</w:t>
      </w:r>
    </w:p>
    <w:p w:rsidR="002A71D4" w:rsidRPr="002A71D4" w:rsidRDefault="002A71D4" w:rsidP="00600BA8">
      <w:pPr>
        <w:pStyle w:val="Heading5"/>
      </w:pPr>
      <w:r w:rsidRPr="002A71D4">
        <w:t>Proposed conditions of registration</w:t>
      </w:r>
    </w:p>
    <w:p w:rsidR="002A71D4" w:rsidRPr="002A71D4" w:rsidRDefault="00600BA8" w:rsidP="002A71D4">
      <w:r>
        <w:t>The ACPM agreed with the D</w:t>
      </w:r>
      <w:r w:rsidR="002A71D4" w:rsidRPr="002A71D4">
        <w:t>elegate on the propo</w:t>
      </w:r>
      <w:r>
        <w:t>sed conditions of registration.</w:t>
      </w:r>
    </w:p>
    <w:p w:rsidR="002A71D4" w:rsidRPr="002A71D4" w:rsidRDefault="002A71D4" w:rsidP="00600BA8">
      <w:pPr>
        <w:pStyle w:val="Heading5"/>
      </w:pPr>
      <w:r w:rsidRPr="002A71D4">
        <w:t xml:space="preserve">Proposed </w:t>
      </w:r>
      <w:r w:rsidR="00600BA8">
        <w:t>PI</w:t>
      </w:r>
      <w:r w:rsidRPr="002A71D4">
        <w:t>/</w:t>
      </w:r>
      <w:r w:rsidR="00600BA8">
        <w:t>CMI</w:t>
      </w:r>
      <w:r w:rsidRPr="002A71D4">
        <w:t xml:space="preserve"> amendments</w:t>
      </w:r>
    </w:p>
    <w:p w:rsidR="002A71D4" w:rsidRPr="002A71D4" w:rsidRDefault="00600BA8" w:rsidP="002A71D4">
      <w:r>
        <w:t>The ACPM agreed with the D</w:t>
      </w:r>
      <w:r w:rsidR="002A71D4" w:rsidRPr="002A71D4">
        <w:t>elegate to the proposed amendme</w:t>
      </w:r>
      <w:r>
        <w:t>nts to the PI</w:t>
      </w:r>
      <w:r w:rsidR="002A71D4" w:rsidRPr="002A71D4">
        <w:t xml:space="preserve"> and</w:t>
      </w:r>
      <w:r>
        <w:t xml:space="preserve"> CMI</w:t>
      </w:r>
      <w:r w:rsidR="002A71D4" w:rsidRPr="002A71D4">
        <w:t xml:space="preserve"> and specifically advised on </w:t>
      </w:r>
      <w:r>
        <w:t>the inclusion of the following:</w:t>
      </w:r>
    </w:p>
    <w:p w:rsidR="002A71D4" w:rsidRPr="002A71D4" w:rsidRDefault="002A71D4" w:rsidP="009A2025">
      <w:pPr>
        <w:pStyle w:val="ListBullet"/>
      </w:pPr>
      <w:r w:rsidRPr="002A71D4">
        <w:t xml:space="preserve">Under </w:t>
      </w:r>
      <w:r w:rsidR="00600BA8" w:rsidRPr="002A71D4">
        <w:t>precautions</w:t>
      </w:r>
      <w:r w:rsidRPr="002A71D4">
        <w:t xml:space="preserve"> </w:t>
      </w:r>
      <w:r w:rsidR="00600BA8" w:rsidRPr="002A71D4">
        <w:t xml:space="preserve">–general - removal </w:t>
      </w:r>
      <w:r w:rsidRPr="002A71D4">
        <w:t xml:space="preserve">of the wording </w:t>
      </w:r>
      <w:r w:rsidR="00CA65A1">
        <w:t>‘</w:t>
      </w:r>
      <w:r w:rsidRPr="00600BA8">
        <w:rPr>
          <w:i/>
        </w:rPr>
        <w:t xml:space="preserve">Patients should be advised that antiretroviral therapies, including </w:t>
      </w:r>
      <w:r w:rsidR="00CA65A1" w:rsidRPr="00600BA8">
        <w:rPr>
          <w:i/>
        </w:rPr>
        <w:t>Genvoya</w:t>
      </w:r>
      <w:r w:rsidRPr="00600BA8">
        <w:rPr>
          <w:i/>
        </w:rPr>
        <w:t>, have not been proven to prevent the risk of transmission of HIV to others through sexual contact or blood contamination</w:t>
      </w:r>
      <w:r w:rsidRPr="002A71D4">
        <w:t>.</w:t>
      </w:r>
      <w:r w:rsidR="00CA65A1">
        <w:t>’</w:t>
      </w:r>
      <w:r w:rsidRPr="002A71D4">
        <w:t xml:space="preserve"> The ACPM advised that there is now extensive evidence that effective treatment of HIV decreases the risk of transmission by more than 90% and that similar wording included in the EU SmPC should be used </w:t>
      </w:r>
      <w:r w:rsidR="00CA65A1">
        <w:t>‘</w:t>
      </w:r>
      <w:r w:rsidRPr="00600BA8">
        <w:rPr>
          <w:i/>
        </w:rPr>
        <w:t>While effective viral suppression with antiretroviral therapy has been proven to substantially reduce the risk of HIV transmission, a residual risk cannot be excluded. Precautions to prevent transmission should be taken in accordance with national guidelines</w:t>
      </w:r>
      <w:r w:rsidR="00CA65A1" w:rsidRPr="00600BA8">
        <w:rPr>
          <w:i/>
        </w:rPr>
        <w:t>’</w:t>
      </w:r>
      <w:r w:rsidRPr="002A71D4">
        <w:t>.</w:t>
      </w:r>
    </w:p>
    <w:p w:rsidR="002A71D4" w:rsidRPr="002A71D4" w:rsidRDefault="002A71D4" w:rsidP="009A2025">
      <w:pPr>
        <w:pStyle w:val="ListBullet"/>
      </w:pPr>
      <w:r w:rsidRPr="002A71D4">
        <w:lastRenderedPageBreak/>
        <w:t xml:space="preserve">Under </w:t>
      </w:r>
      <w:r w:rsidR="00600BA8" w:rsidRPr="002A71D4">
        <w:t>precautions- use with other anti-retroviral products</w:t>
      </w:r>
      <w:r w:rsidRPr="002A71D4">
        <w:t xml:space="preserve">- the statement </w:t>
      </w:r>
      <w:r w:rsidR="00CA65A1">
        <w:t>‘</w:t>
      </w:r>
      <w:r w:rsidR="00CA65A1" w:rsidRPr="00600BA8">
        <w:rPr>
          <w:i/>
        </w:rPr>
        <w:t>Genvoya</w:t>
      </w:r>
      <w:r w:rsidRPr="00600BA8">
        <w:rPr>
          <w:i/>
        </w:rPr>
        <w:t xml:space="preserve"> should not be used in conjunction with protease inhibitors</w:t>
      </w:r>
      <w:r w:rsidR="00CA65A1">
        <w:t>’</w:t>
      </w:r>
      <w:r w:rsidRPr="002A71D4">
        <w:t xml:space="preserve"> should clarify that it is Hepatitis C protease inhibitors due to potential reduced activity with a number of these and that no evidence exists of efficacy or safety with HIV protease inhibitors. In addition, the following could be added </w:t>
      </w:r>
      <w:r w:rsidR="00CA65A1">
        <w:t>‘</w:t>
      </w:r>
      <w:r w:rsidRPr="00600BA8">
        <w:rPr>
          <w:i/>
        </w:rPr>
        <w:t xml:space="preserve">there are no data on interactions of </w:t>
      </w:r>
      <w:r w:rsidR="00CA65A1" w:rsidRPr="00600BA8">
        <w:rPr>
          <w:i/>
        </w:rPr>
        <w:t>Genvoya</w:t>
      </w:r>
      <w:r w:rsidRPr="00600BA8">
        <w:rPr>
          <w:i/>
        </w:rPr>
        <w:t xml:space="preserve"> with HIV protease inhibitors and/or NNRTIs, but as a fixed dose combination for HIV, it is not expected that co-administration with other anti</w:t>
      </w:r>
      <w:r w:rsidR="00600BA8" w:rsidRPr="00600BA8">
        <w:rPr>
          <w:i/>
        </w:rPr>
        <w:t xml:space="preserve"> </w:t>
      </w:r>
      <w:r w:rsidRPr="00600BA8">
        <w:rPr>
          <w:i/>
        </w:rPr>
        <w:t>retrovirals would be required</w:t>
      </w:r>
      <w:r w:rsidR="00CA65A1" w:rsidRPr="00600BA8">
        <w:rPr>
          <w:i/>
        </w:rPr>
        <w:t>’</w:t>
      </w:r>
      <w:r w:rsidRPr="002A71D4">
        <w:t>.</w:t>
      </w:r>
    </w:p>
    <w:p w:rsidR="002A71D4" w:rsidRPr="002A71D4" w:rsidRDefault="002A71D4" w:rsidP="009A2025">
      <w:pPr>
        <w:pStyle w:val="ListBullet"/>
      </w:pPr>
      <w:r w:rsidRPr="002A71D4">
        <w:t xml:space="preserve">The percentage of each of the ethnicities in the pivotal trials should be reflected in the PI rather than just the current statement in the PI </w:t>
      </w:r>
      <w:r w:rsidR="00CA65A1">
        <w:t>‘</w:t>
      </w:r>
      <w:r w:rsidRPr="00600BA8">
        <w:rPr>
          <w:i/>
        </w:rPr>
        <w:t>No clinically relevant pharmacokinetic differences due to gender or ethnicity</w:t>
      </w:r>
      <w:r w:rsidR="00CA65A1">
        <w:t>’</w:t>
      </w:r>
      <w:r w:rsidRPr="002A71D4">
        <w:t>, to further inform clinicians. The ACPM agreed that study GS-US-292-0108 was too small to demonstrate a difference in pharmacokinetics due to race and that the PI should state that pharmacokinetic differences due to ethnicity are unclear.</w:t>
      </w:r>
    </w:p>
    <w:p w:rsidR="002A71D4" w:rsidRPr="002A71D4" w:rsidRDefault="002A71D4" w:rsidP="009A2025">
      <w:pPr>
        <w:pStyle w:val="ListBullet"/>
      </w:pPr>
      <w:r w:rsidRPr="002A71D4">
        <w:t xml:space="preserve">The addition in the CMI of the following regarding commencing other medicines if taking </w:t>
      </w:r>
      <w:r w:rsidR="00CA65A1">
        <w:t>Genvoya</w:t>
      </w:r>
      <w:r w:rsidRPr="002A71D4">
        <w:t xml:space="preserve">: </w:t>
      </w:r>
      <w:r w:rsidR="00CA65A1">
        <w:t>‘</w:t>
      </w:r>
      <w:r w:rsidRPr="00600BA8">
        <w:rPr>
          <w:i/>
        </w:rPr>
        <w:t>there are complex interactions with many different medications, so you should consult your doctor or pharmacist before starting any new medication</w:t>
      </w:r>
      <w:r w:rsidR="00CA65A1">
        <w:t>’</w:t>
      </w:r>
      <w:r w:rsidRPr="002A71D4">
        <w:t>.</w:t>
      </w:r>
    </w:p>
    <w:p w:rsidR="002A71D4" w:rsidRPr="002A71D4" w:rsidRDefault="00D71334" w:rsidP="00600BA8">
      <w:pPr>
        <w:pStyle w:val="Heading5"/>
        <w:rPr>
          <w:highlight w:val="yellow"/>
        </w:rPr>
      </w:pPr>
      <w:r>
        <w:t>Specific a</w:t>
      </w:r>
      <w:r w:rsidR="002A71D4" w:rsidRPr="002A71D4">
        <w:t>dvice</w:t>
      </w:r>
    </w:p>
    <w:p w:rsidR="002A71D4" w:rsidRPr="002A71D4" w:rsidRDefault="002A71D4" w:rsidP="002A71D4">
      <w:pPr>
        <w:rPr>
          <w:highlight w:val="yellow"/>
        </w:rPr>
      </w:pPr>
      <w:r w:rsidRPr="002A71D4">
        <w:t>The ACPM advised th</w:t>
      </w:r>
      <w:r w:rsidR="00600BA8">
        <w:t>e following in response to the D</w:t>
      </w:r>
      <w:r w:rsidRPr="002A71D4">
        <w:t>elegate’s specific questions on this submission:</w:t>
      </w:r>
    </w:p>
    <w:p w:rsidR="002A71D4" w:rsidRPr="009A2025" w:rsidRDefault="002A71D4" w:rsidP="00A540E3">
      <w:pPr>
        <w:pStyle w:val="Numberbullet0"/>
        <w:numPr>
          <w:ilvl w:val="0"/>
          <w:numId w:val="12"/>
        </w:numPr>
        <w:rPr>
          <w:i/>
        </w:rPr>
      </w:pPr>
      <w:r w:rsidRPr="009A2025">
        <w:rPr>
          <w:i/>
        </w:rPr>
        <w:t>What is the committee’s view with regards to the sponsor’s proposed indication? Does the committee consider the indication should be amended as suggested, given the submitted data? With respect to the indication in adolescents, does the committee agree with proposed wording, noting the EU recommendation?</w:t>
      </w:r>
    </w:p>
    <w:p w:rsidR="002A71D4" w:rsidRPr="002A71D4" w:rsidRDefault="002A71D4" w:rsidP="002A71D4">
      <w:r w:rsidRPr="002A71D4">
        <w:t xml:space="preserve">The ACPM recalled that in June 2015 consideration of prior combination </w:t>
      </w:r>
      <w:r w:rsidR="00CA65A1">
        <w:t>Stribild</w:t>
      </w:r>
      <w:r w:rsidRPr="002A71D4">
        <w:t xml:space="preserve"> where clinical trials were also undertaken in treatment </w:t>
      </w:r>
      <w:r w:rsidR="00AD043A">
        <w:t>naive</w:t>
      </w:r>
      <w:r w:rsidRPr="002A71D4">
        <w:t xml:space="preserve"> patients and as a ‘switch study’ in patients virologically suppressed on treatment, and did not include use as sal</w:t>
      </w:r>
      <w:r w:rsidR="00600BA8">
        <w:t xml:space="preserve">vage in treatment </w:t>
      </w:r>
      <w:r w:rsidRPr="002A71D4">
        <w:t xml:space="preserve">experienced patients with virologic failure. The ACPM agreed that the sponsor’s amended indication for </w:t>
      </w:r>
      <w:r w:rsidR="00CA65A1">
        <w:t>Genvoya</w:t>
      </w:r>
      <w:r w:rsidRPr="002A71D4">
        <w:t xml:space="preserve"> in its pre-ACPM response, was generally acceptable but should specify the two study populations, </w:t>
      </w:r>
      <w:r w:rsidR="00AD043A">
        <w:t>naive</w:t>
      </w:r>
      <w:r w:rsidRPr="002A71D4">
        <w:t xml:space="preserve"> and switch/currently virologically suppressed, explici</w:t>
      </w:r>
      <w:r w:rsidR="004A1791">
        <w:t>tly. The ACPM advised that the D</w:t>
      </w:r>
      <w:r w:rsidRPr="002A71D4">
        <w:t xml:space="preserve">elegates proposed indication in adults and adolescents aged 12 years and over is appropriate based on the data provided. The ACPM advised that the indication for virologically suppressed patients should not be restricted to adults, as </w:t>
      </w:r>
      <w:r w:rsidR="00CA65A1">
        <w:t>Genvoya</w:t>
      </w:r>
      <w:r w:rsidRPr="002A71D4">
        <w:t xml:space="preserve"> should be useful in the same way for adolescents as adults. The ACPM advised that weight above 35 kilograms was an appropriate restriction.</w:t>
      </w:r>
    </w:p>
    <w:p w:rsidR="002A71D4" w:rsidRPr="009A2025" w:rsidRDefault="002A71D4" w:rsidP="009A2025">
      <w:pPr>
        <w:pStyle w:val="Numberbullet0"/>
        <w:rPr>
          <w:i/>
        </w:rPr>
      </w:pPr>
      <w:r w:rsidRPr="009A2025">
        <w:rPr>
          <w:i/>
        </w:rPr>
        <w:t>Please comment on the data submitted for patients with renal impairment (studies GS-US-120-0108, GS-US-292-0112) and whether these findings are adequately reflected in the PI. Please also comment on the renal safety data for the pivotal studies GS-US-292-0104, GS-US-292-0111, GS-US-292-0109.</w:t>
      </w:r>
    </w:p>
    <w:p w:rsidR="002A71D4" w:rsidRPr="002A71D4" w:rsidRDefault="002A71D4" w:rsidP="002A71D4">
      <w:r w:rsidRPr="002A71D4">
        <w:t xml:space="preserve">The ACPM noted that the creatinine increased at least in part due to </w:t>
      </w:r>
      <w:r w:rsidR="00600BA8">
        <w:t>COBI</w:t>
      </w:r>
      <w:r w:rsidR="00600BA8" w:rsidRPr="002A71D4">
        <w:t>;</w:t>
      </w:r>
      <w:r w:rsidRPr="002A71D4">
        <w:t xml:space="preserve"> however, potential toxicity appears to be less than </w:t>
      </w:r>
      <w:r w:rsidR="00600BA8">
        <w:t>TDF</w:t>
      </w:r>
      <w:r w:rsidRPr="002A71D4">
        <w:t xml:space="preserve"> over the 48 weeks studied. The ACPM advised that monitoring of markers of proximal renal damage should be recommended and specified in the PI. The ACPM noted that the sponsor, in its pre-ACPM response, agreed to include all available longer term data includ</w:t>
      </w:r>
      <w:r w:rsidR="00600BA8">
        <w:t>ing data at week 96, in the PI.</w:t>
      </w:r>
    </w:p>
    <w:p w:rsidR="002A71D4" w:rsidRPr="002A71D4" w:rsidRDefault="002A71D4" w:rsidP="002A71D4">
      <w:r w:rsidRPr="002A71D4">
        <w:t>The ACPM noted that the effects on serum creatinine were expressed as eGFR, which is consistent with current terminology and clinical practice.</w:t>
      </w:r>
      <w:r w:rsidR="009A2025">
        <w:t xml:space="preserve"> </w:t>
      </w:r>
      <w:r w:rsidRPr="002A71D4">
        <w:t xml:space="preserve">The ACPM advised that </w:t>
      </w:r>
      <w:r w:rsidR="00CA65A1">
        <w:t>Genvoya</w:t>
      </w:r>
      <w:r w:rsidRPr="002A71D4">
        <w:t xml:space="preserve"> should not be used in patients with severe renal impairment. The ACPM noted that dosage advice had been provided on use in patients with a creatinine clearance of less than 30 mL/min and that </w:t>
      </w:r>
      <w:r w:rsidR="00CA65A1">
        <w:t>Genvoya</w:t>
      </w:r>
      <w:r w:rsidRPr="002A71D4">
        <w:t xml:space="preserve"> should not be used in these patients. The PI also stated that there are no pharmacokinetic data on </w:t>
      </w:r>
      <w:r w:rsidR="00057BBC">
        <w:t>EVG</w:t>
      </w:r>
      <w:r w:rsidRPr="002A71D4">
        <w:t xml:space="preserve">, </w:t>
      </w:r>
      <w:r w:rsidR="007E6D40">
        <w:t>COBI</w:t>
      </w:r>
      <w:r w:rsidRPr="002A71D4">
        <w:t xml:space="preserve">, or tenofovir alafenamide in subjects with estimated creatinine clearance less than 15 mL/min. The ACPM was of the view that </w:t>
      </w:r>
      <w:r w:rsidRPr="002A71D4">
        <w:lastRenderedPageBreak/>
        <w:t xml:space="preserve">stating there were </w:t>
      </w:r>
      <w:r w:rsidR="00CA65A1">
        <w:t>‘</w:t>
      </w:r>
      <w:r w:rsidRPr="002A71D4">
        <w:t>no data</w:t>
      </w:r>
      <w:r w:rsidR="00CA65A1">
        <w:t>’</w:t>
      </w:r>
      <w:r w:rsidRPr="002A71D4">
        <w:t xml:space="preserve"> was not adequate and that the wording in the US PI which states </w:t>
      </w:r>
      <w:r w:rsidR="00CA65A1">
        <w:t>‘</w:t>
      </w:r>
      <w:r w:rsidR="00CA65A1" w:rsidRPr="00600BA8">
        <w:rPr>
          <w:i/>
        </w:rPr>
        <w:t>Genvoya</w:t>
      </w:r>
      <w:r w:rsidRPr="00600BA8">
        <w:rPr>
          <w:i/>
        </w:rPr>
        <w:t xml:space="preserve"> is not recommended in patients with estimated creatinine clearance below 30 mL per minute because data in this population is insufficient</w:t>
      </w:r>
      <w:r w:rsidR="00CA65A1" w:rsidRPr="00600BA8">
        <w:rPr>
          <w:i/>
        </w:rPr>
        <w:t>’</w:t>
      </w:r>
      <w:r w:rsidRPr="002A71D4">
        <w:t xml:space="preserve"> was more appropri</w:t>
      </w:r>
      <w:r w:rsidR="00600BA8">
        <w:t>ate pending more data.</w:t>
      </w:r>
    </w:p>
    <w:p w:rsidR="002A71D4" w:rsidRPr="009A2025" w:rsidRDefault="002A71D4" w:rsidP="009A2025">
      <w:pPr>
        <w:pStyle w:val="Numberbullet0"/>
        <w:rPr>
          <w:i/>
        </w:rPr>
      </w:pPr>
      <w:r w:rsidRPr="009A2025">
        <w:rPr>
          <w:i/>
        </w:rPr>
        <w:t xml:space="preserve">Please comment on the clarity of </w:t>
      </w:r>
      <w:r w:rsidR="00600BA8" w:rsidRPr="009A2025">
        <w:rPr>
          <w:i/>
        </w:rPr>
        <w:t xml:space="preserve">the drug interactions and precautions sections </w:t>
      </w:r>
      <w:r w:rsidRPr="009A2025">
        <w:rPr>
          <w:i/>
        </w:rPr>
        <w:t>of the PI, given the potential for drug-drug interactions with other components of Genvoya (cobicistat and elvitegravir).</w:t>
      </w:r>
    </w:p>
    <w:p w:rsidR="002A71D4" w:rsidRPr="002A71D4" w:rsidRDefault="002A71D4" w:rsidP="002A71D4">
      <w:r w:rsidRPr="002A71D4">
        <w:t xml:space="preserve">The ACPM was of the view that the list of drugs which interact with </w:t>
      </w:r>
      <w:r w:rsidR="00CA65A1">
        <w:t>Genvoya</w:t>
      </w:r>
      <w:r w:rsidRPr="002A71D4">
        <w:t xml:space="preserve"> was extensive but did not include explanatory information by specific drug as did the US PI. The ACPM advised that a list of drugs which don’t interact might also be helpful if included in the PI and the CMI, similar to the US PI or EU SmPC. The ACPM considered that the CMI needed to emphasise that it is imperative that patients discuss with their treating physician the addition</w:t>
      </w:r>
      <w:r w:rsidR="00600BA8">
        <w:t xml:space="preserve"> of any therapy, including over the </w:t>
      </w:r>
      <w:r w:rsidRPr="002A71D4">
        <w:t xml:space="preserve">counter or natural therapies due to drug interactions with </w:t>
      </w:r>
      <w:r w:rsidR="00CA65A1">
        <w:t>Genvoya</w:t>
      </w:r>
      <w:r w:rsidRPr="002A71D4">
        <w:t xml:space="preserve"> and suggested the following wording:</w:t>
      </w:r>
      <w:r w:rsidR="009A2025">
        <w:t xml:space="preserve"> </w:t>
      </w:r>
      <w:r w:rsidR="00CA65A1">
        <w:t>‘</w:t>
      </w:r>
      <w:r w:rsidRPr="00600BA8">
        <w:rPr>
          <w:i/>
        </w:rPr>
        <w:t>there are complex interactions with many different medications, so you should consult your doctor or pharmacist before starting any new medication</w:t>
      </w:r>
      <w:r w:rsidR="00CA65A1">
        <w:t>’</w:t>
      </w:r>
      <w:r w:rsidRPr="002A71D4">
        <w:t>.</w:t>
      </w:r>
    </w:p>
    <w:p w:rsidR="002A71D4" w:rsidRPr="00A322B3" w:rsidRDefault="002A71D4" w:rsidP="008E7846">
      <w:r w:rsidRPr="002A71D4">
        <w:t xml:space="preserve">The ACPM advised that implementation by the sponsor of the recommendations outlined above to the satisfaction of the TGA, in addition to the evidence of efficacy and safety provided would support the safe and </w:t>
      </w:r>
      <w:r w:rsidR="009A2025">
        <w:t>effective use of this product.</w:t>
      </w:r>
    </w:p>
    <w:p w:rsidR="008E7846" w:rsidRPr="002E238E" w:rsidRDefault="008E7846" w:rsidP="008E7846">
      <w:pPr>
        <w:pStyle w:val="Heading3"/>
      </w:pPr>
      <w:bookmarkStart w:id="147" w:name="_Toc247691532"/>
      <w:bookmarkStart w:id="148" w:name="_Toc314842516"/>
      <w:bookmarkStart w:id="149" w:name="_Toc455474511"/>
      <w:bookmarkEnd w:id="108"/>
      <w:bookmarkEnd w:id="145"/>
      <w:bookmarkEnd w:id="146"/>
      <w:r>
        <w:t>Outcome</w:t>
      </w:r>
      <w:bookmarkEnd w:id="147"/>
      <w:bookmarkEnd w:id="148"/>
      <w:bookmarkEnd w:id="149"/>
    </w:p>
    <w:p w:rsidR="00D23139" w:rsidRDefault="00D23139" w:rsidP="00D23139">
      <w:bookmarkStart w:id="150" w:name="_Toc247691533"/>
      <w:bookmarkStart w:id="151" w:name="_Toc314842517"/>
      <w:r w:rsidRPr="00D23139">
        <w:t xml:space="preserve">Based on a review of quality, safety and efficacy, TGA approved the registration of </w:t>
      </w:r>
      <w:r w:rsidR="00455614">
        <w:t xml:space="preserve">Genvoya elvitegravir (150 mg), cobicistat (150 mg), emtricitabine (200 mg) and tenofovir alafenamide (as fumarate) 10 mg) fixed dose combination tablets </w:t>
      </w:r>
      <w:r w:rsidRPr="00D23139">
        <w:t xml:space="preserve">for </w:t>
      </w:r>
      <w:r w:rsidR="00C65819">
        <w:t>oral administration</w:t>
      </w:r>
      <w:r w:rsidRPr="00D23139">
        <w:t>, indicated for:</w:t>
      </w:r>
    </w:p>
    <w:p w:rsidR="00291980" w:rsidRPr="00291980" w:rsidRDefault="00291980" w:rsidP="00291980">
      <w:pPr>
        <w:ind w:left="720"/>
        <w:rPr>
          <w:i/>
        </w:rPr>
      </w:pPr>
      <w:r w:rsidRPr="00291980">
        <w:rPr>
          <w:i/>
        </w:rPr>
        <w:t xml:space="preserve">Genvoya is indicated as a single tablet regimen for the treatment of HIV-1 infection in adults and adolescents aged 12 years of age and older with body weight at least 35 kg who are either treatment, </w:t>
      </w:r>
      <w:r w:rsidR="00AD043A">
        <w:rPr>
          <w:i/>
        </w:rPr>
        <w:t>naive</w:t>
      </w:r>
      <w:r w:rsidRPr="00291980">
        <w:rPr>
          <w:i/>
        </w:rPr>
        <w:t>; or virologically suppressed (HIV-1 RNA &lt; 50 copies/mL) on a stable antiretroviral regimen at start of therapy in order to replace their current antiretroviral treatment regimen (see clinical trials). Patients must not have a history of treatment failure or known mutations associated with resistance to the antiretroviral components of Genvoya.</w:t>
      </w:r>
    </w:p>
    <w:p w:rsidR="00291980" w:rsidRPr="00D23139" w:rsidRDefault="00291980" w:rsidP="00291980">
      <w:pPr>
        <w:ind w:left="720"/>
      </w:pPr>
      <w:r w:rsidRPr="00291980">
        <w:rPr>
          <w:i/>
        </w:rPr>
        <w:t>Genvoya is a fixed dose combination of one integrase inhibitor, one pharmacokinetic enhancer and two nucleos(t)ide HIV‐1 reverse transcriptase inhibitors.</w:t>
      </w:r>
    </w:p>
    <w:p w:rsidR="00D23139" w:rsidRPr="00D23139" w:rsidRDefault="00D23139" w:rsidP="00D23139">
      <w:pPr>
        <w:pStyle w:val="Heading4"/>
      </w:pPr>
      <w:r w:rsidRPr="00D23139">
        <w:t>Specific conditions of registration applying to these goods</w:t>
      </w:r>
    </w:p>
    <w:p w:rsidR="00C65819" w:rsidRPr="00C65819" w:rsidRDefault="00C65819" w:rsidP="00C65819">
      <w:r w:rsidRPr="00C65819">
        <w:t xml:space="preserve">The </w:t>
      </w:r>
      <w:r w:rsidR="00CA65A1">
        <w:t>Genvoya</w:t>
      </w:r>
      <w:r w:rsidRPr="00C65819">
        <w:t xml:space="preserve"> </w:t>
      </w:r>
      <w:r w:rsidR="00A511E3">
        <w:t>(</w:t>
      </w:r>
      <w:r w:rsidRPr="00C65819">
        <w:t>elvitegravir (150mg), cobicistat (150 mg), emtricitabine (200</w:t>
      </w:r>
      <w:r>
        <w:t xml:space="preserve"> </w:t>
      </w:r>
      <w:r w:rsidRPr="00C65819">
        <w:t>mg) and tenofovir alafenamide fumarate</w:t>
      </w:r>
      <w:r>
        <w:t xml:space="preserve"> (</w:t>
      </w:r>
      <w:r w:rsidR="00F02AA3">
        <w:t>10 mg</w:t>
      </w:r>
      <w:r>
        <w:t>)</w:t>
      </w:r>
      <w:r w:rsidR="00A511E3">
        <w:t>)</w:t>
      </w:r>
      <w:r>
        <w:t xml:space="preserve"> Fixed Dose Combination </w:t>
      </w:r>
      <w:r w:rsidRPr="00C65819">
        <w:t>Tablets Risk Management Plan (RMP): "The Eu</w:t>
      </w:r>
      <w:r>
        <w:t xml:space="preserve">ropean Risk Management Plan for </w:t>
      </w:r>
      <w:r w:rsidR="00CA65A1">
        <w:t>Genvoya</w:t>
      </w:r>
      <w:r w:rsidRPr="00C65819">
        <w:t xml:space="preserve"> (Version: 0.1, dated 10 November 2014), as qualified by</w:t>
      </w:r>
      <w:r>
        <w:t xml:space="preserve"> the Australian </w:t>
      </w:r>
      <w:r w:rsidRPr="00C65819">
        <w:t xml:space="preserve">Specific Annex as Annex 13 (Version: 1.0, dated December 2015), </w:t>
      </w:r>
      <w:r>
        <w:t xml:space="preserve">and any subsequent </w:t>
      </w:r>
      <w:r w:rsidRPr="00C65819">
        <w:t>revisions, as agreed with the TGA will be implemented in Australia.</w:t>
      </w:r>
    </w:p>
    <w:p w:rsidR="008E7846" w:rsidRDefault="00A80B5B" w:rsidP="00D23139">
      <w:pPr>
        <w:pStyle w:val="Heading2"/>
      </w:pPr>
      <w:bookmarkStart w:id="152" w:name="_Toc455474512"/>
      <w:r>
        <w:t xml:space="preserve">Attachment 1. </w:t>
      </w:r>
      <w:r w:rsidR="008E7846">
        <w:t xml:space="preserve">Product </w:t>
      </w:r>
      <w:r w:rsidR="00AA0ED0">
        <w:t>I</w:t>
      </w:r>
      <w:r w:rsidR="008E7846">
        <w:t>nformation</w:t>
      </w:r>
      <w:bookmarkEnd w:id="150"/>
      <w:bookmarkEnd w:id="151"/>
      <w:bookmarkEnd w:id="152"/>
    </w:p>
    <w:p w:rsidR="00C80137" w:rsidRDefault="002B3624" w:rsidP="00C80137">
      <w:pPr>
        <w:rPr>
          <w:color w:val="000000"/>
          <w:lang w:eastAsia="en-AU"/>
        </w:rPr>
      </w:pPr>
      <w:r w:rsidRPr="002B3624">
        <w:t xml:space="preserve">The </w:t>
      </w:r>
      <w:r w:rsidR="00133A1B">
        <w:t>PI</w:t>
      </w:r>
      <w:r w:rsidRPr="002B3624">
        <w:t xml:space="preserve"> approved for </w:t>
      </w:r>
      <w:r w:rsidR="00455614">
        <w:t>Genvoya</w:t>
      </w:r>
      <w:r w:rsidRPr="002B3624">
        <w:t xml:space="preserve"> at the time this AusPAR was published is at Attachment 1. For the most recent </w:t>
      </w:r>
      <w:r w:rsidR="00133A1B">
        <w:t>PI,</w:t>
      </w:r>
      <w:r w:rsidRPr="002B3624">
        <w:t xml:space="preserve"> please refer to the </w:t>
      </w:r>
      <w:r w:rsidR="007C6B9B" w:rsidRPr="007C6B9B">
        <w:t>TGA website at &lt;</w:t>
      </w:r>
      <w:hyperlink r:id="rId31" w:history="1">
        <w:r w:rsidR="007C6B9B" w:rsidRPr="007C6B9B">
          <w:rPr>
            <w:rStyle w:val="Hyperlink"/>
          </w:rPr>
          <w:t>https://www.tga.gov.au/product-information-pi</w:t>
        </w:r>
      </w:hyperlink>
      <w:r w:rsidR="00455614">
        <w:t>&gt;.</w:t>
      </w:r>
    </w:p>
    <w:p w:rsidR="00C80137" w:rsidRDefault="00C80137" w:rsidP="00C80137">
      <w:pPr>
        <w:pStyle w:val="Heading2"/>
        <w:rPr>
          <w:lang w:eastAsia="en-AU"/>
        </w:rPr>
      </w:pPr>
      <w:bookmarkStart w:id="153" w:name="_Toc455474513"/>
      <w:r>
        <w:rPr>
          <w:lang w:eastAsia="en-AU"/>
        </w:rPr>
        <w:lastRenderedPageBreak/>
        <w:t>Attachment 2.</w:t>
      </w:r>
      <w:r w:rsidR="00A80B5B">
        <w:rPr>
          <w:lang w:eastAsia="en-AU"/>
        </w:rPr>
        <w:t xml:space="preserve"> </w:t>
      </w:r>
      <w:r>
        <w:rPr>
          <w:lang w:eastAsia="en-AU"/>
        </w:rPr>
        <w:t>Extract from the Clinical Evaluation Report</w:t>
      </w:r>
      <w:bookmarkEnd w:id="153"/>
    </w:p>
    <w:p w:rsidR="00C80137" w:rsidRPr="001D043B" w:rsidRDefault="008E7846" w:rsidP="005663D3">
      <w:pPr>
        <w:autoSpaceDE w:val="0"/>
        <w:autoSpaceDN w:val="0"/>
        <w:adjustRightInd w:val="0"/>
        <w:spacing w:after="0"/>
        <w:rPr>
          <w:lang w:eastAsia="ja-JP"/>
        </w:rPr>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6" w:history="1">
              <w:r w:rsidRPr="004C239D">
                <w:rPr>
                  <w:rStyle w:val="Hyperlink"/>
                </w:rPr>
                <w:t>info@tga.gov.au</w:t>
              </w:r>
            </w:hyperlink>
            <w:r w:rsidR="00CA65A1">
              <w:t xml:space="preserve"> </w:t>
            </w:r>
            <w:r w:rsidRPr="00487162">
              <w:t>Phone: 1800 020 653</w:t>
            </w:r>
            <w:r w:rsidR="00CA65A1">
              <w:t xml:space="preserve"> </w:t>
            </w:r>
            <w:r w:rsidRPr="00487162">
              <w:t>Fax: 02 6232 8605</w:t>
            </w:r>
          </w:p>
          <w:p w:rsidR="001C32CD" w:rsidRPr="004C239D" w:rsidRDefault="00BC2A9D" w:rsidP="00A05FA4">
            <w:pPr>
              <w:pStyle w:val="Address"/>
              <w:spacing w:line="260" w:lineRule="atLeast"/>
              <w:rPr>
                <w:b/>
                <w:color w:val="0000FF"/>
                <w:u w:val="single"/>
              </w:rPr>
            </w:pPr>
            <w:hyperlink r:id="rId37"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E0B" w:rsidRDefault="00912E0B" w:rsidP="00C40A36">
      <w:pPr>
        <w:spacing w:after="0"/>
      </w:pPr>
      <w:r>
        <w:separator/>
      </w:r>
    </w:p>
  </w:endnote>
  <w:endnote w:type="continuationSeparator" w:id="0">
    <w:p w:rsidR="00912E0B" w:rsidRDefault="00912E0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Noto Sans">
    <w:altName w:val="Times New Roman"/>
    <w:charset w:val="00"/>
    <w:family w:val="auto"/>
    <w:pitch w:val="default"/>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12E0B" w:rsidRPr="00487162" w:rsidTr="00DB750B">
      <w:trPr>
        <w:trHeight w:val="269"/>
      </w:trPr>
      <w:tc>
        <w:tcPr>
          <w:tcW w:w="7371" w:type="dxa"/>
          <w:tcMar>
            <w:top w:w="142" w:type="dxa"/>
            <w:bottom w:w="0" w:type="dxa"/>
          </w:tcMar>
        </w:tcPr>
        <w:p w:rsidR="00912E0B" w:rsidRPr="00487162" w:rsidRDefault="00912E0B" w:rsidP="00063493">
          <w:pPr>
            <w:pStyle w:val="Footer"/>
          </w:pPr>
          <w:r w:rsidRPr="00487162">
            <w:t>AusPA</w:t>
          </w:r>
          <w:r>
            <w:t>R Genvoya elvitegravir / cobicistat / emtricitabine / tenofovir alafenamide (as f</w:t>
          </w:r>
          <w:r w:rsidRPr="009B1BB7">
            <w:t>umarate</w:t>
          </w:r>
          <w:r>
            <w:t>)</w:t>
          </w:r>
          <w:r w:rsidRPr="009B1BB7">
            <w:t xml:space="preserve"> - Gilead Sciences Pty Ltd - PM-2014-04011-1-2</w:t>
          </w:r>
          <w:r>
            <w:t xml:space="preserve"> – 28 June 2016.</w:t>
          </w:r>
        </w:p>
      </w:tc>
      <w:tc>
        <w:tcPr>
          <w:tcW w:w="1490" w:type="dxa"/>
          <w:tcMar>
            <w:top w:w="142" w:type="dxa"/>
            <w:bottom w:w="0" w:type="dxa"/>
          </w:tcMar>
        </w:tcPr>
        <w:p w:rsidR="00912E0B" w:rsidRPr="00487162" w:rsidRDefault="00912E0B" w:rsidP="00DB750B">
          <w:pPr>
            <w:pStyle w:val="Footer"/>
            <w:jc w:val="right"/>
          </w:pPr>
          <w:r w:rsidRPr="00487162">
            <w:t xml:space="preserve">Page </w:t>
          </w:r>
          <w:r>
            <w:fldChar w:fldCharType="begin"/>
          </w:r>
          <w:r>
            <w:instrText xml:space="preserve"> PAGE  \* Arabic </w:instrText>
          </w:r>
          <w:r>
            <w:fldChar w:fldCharType="separate"/>
          </w:r>
          <w:r w:rsidR="00BC2A9D">
            <w:rPr>
              <w:noProof/>
            </w:rPr>
            <w:t>79</w:t>
          </w:r>
          <w:r>
            <w:fldChar w:fldCharType="end"/>
          </w:r>
          <w:r w:rsidRPr="00487162">
            <w:t xml:space="preserve"> of </w:t>
          </w:r>
          <w:fldSimple w:instr=" NUMPAGES  \* Arabic ">
            <w:r w:rsidR="00BC2A9D">
              <w:rPr>
                <w:noProof/>
              </w:rPr>
              <w:t>79</w:t>
            </w:r>
          </w:fldSimple>
        </w:p>
      </w:tc>
    </w:tr>
  </w:tbl>
  <w:p w:rsidR="00912E0B" w:rsidRDefault="00912E0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12E0B" w:rsidRPr="00487162" w:rsidTr="00E45619">
      <w:trPr>
        <w:trHeight w:val="269"/>
      </w:trPr>
      <w:tc>
        <w:tcPr>
          <w:tcW w:w="4519" w:type="dxa"/>
          <w:tcBorders>
            <w:top w:val="single" w:sz="4" w:space="0" w:color="auto"/>
          </w:tcBorders>
          <w:tcMar>
            <w:top w:w="142" w:type="dxa"/>
            <w:bottom w:w="0" w:type="dxa"/>
          </w:tcMar>
        </w:tcPr>
        <w:p w:rsidR="00912E0B" w:rsidRPr="00487162" w:rsidRDefault="00912E0B" w:rsidP="00FE1DEE">
          <w:pPr>
            <w:pStyle w:val="Footer"/>
          </w:pPr>
          <w:r w:rsidRPr="00487162">
            <w:t>Document title, Part #, Section # - Section title</w:t>
          </w:r>
        </w:p>
        <w:p w:rsidR="00912E0B" w:rsidRPr="00487162" w:rsidRDefault="00912E0B" w:rsidP="00FE1DEE">
          <w:pPr>
            <w:pStyle w:val="Footer"/>
          </w:pPr>
          <w:r w:rsidRPr="00487162">
            <w:t>V1.0 October 2010</w:t>
          </w:r>
        </w:p>
      </w:tc>
      <w:tc>
        <w:tcPr>
          <w:tcW w:w="4342" w:type="dxa"/>
          <w:tcBorders>
            <w:top w:val="single" w:sz="4" w:space="0" w:color="auto"/>
          </w:tcBorders>
          <w:tcMar>
            <w:top w:w="142" w:type="dxa"/>
            <w:bottom w:w="0" w:type="dxa"/>
          </w:tcMar>
        </w:tcPr>
        <w:p w:rsidR="00912E0B" w:rsidRPr="00487162" w:rsidRDefault="00912E0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79</w:t>
            </w:r>
          </w:fldSimple>
        </w:p>
      </w:tc>
    </w:tr>
  </w:tbl>
  <w:p w:rsidR="00912E0B" w:rsidRDefault="00912E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E0B" w:rsidRPr="001C32CD" w:rsidRDefault="00912E0B"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12E0B" w:rsidTr="0010601F">
      <w:trPr>
        <w:trHeight w:val="108"/>
      </w:trPr>
      <w:tc>
        <w:tcPr>
          <w:tcW w:w="8875" w:type="dxa"/>
          <w:gridSpan w:val="2"/>
          <w:tcBorders>
            <w:bottom w:val="single" w:sz="4" w:space="0" w:color="auto"/>
          </w:tcBorders>
          <w:tcMar>
            <w:right w:w="284" w:type="dxa"/>
          </w:tcMar>
        </w:tcPr>
        <w:p w:rsidR="00912E0B" w:rsidRDefault="00912E0B" w:rsidP="006E08B3">
          <w:pPr>
            <w:pStyle w:val="Heading3"/>
          </w:pPr>
          <w:r>
            <w:t>Copyright</w:t>
          </w:r>
        </w:p>
        <w:p w:rsidR="00912E0B" w:rsidRDefault="00912E0B" w:rsidP="006E08B3">
          <w:r>
            <w:rPr>
              <w:rFonts w:cs="Arial"/>
            </w:rPr>
            <w:t>©</w:t>
          </w:r>
          <w:r>
            <w:t xml:space="preserve"> Commonwealth of Australia [add year]</w:t>
          </w:r>
        </w:p>
        <w:p w:rsidR="00912E0B" w:rsidRDefault="00912E0B" w:rsidP="006E08B3"/>
        <w:p w:rsidR="00912E0B" w:rsidRDefault="00912E0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12E0B" w:rsidRDefault="00912E0B" w:rsidP="006E08B3"/>
        <w:p w:rsidR="00912E0B" w:rsidRDefault="00912E0B" w:rsidP="006E08B3">
          <w:pPr>
            <w:pStyle w:val="Heading3"/>
          </w:pPr>
          <w:r>
            <w:t>Confidentiality</w:t>
          </w:r>
        </w:p>
        <w:p w:rsidR="00912E0B" w:rsidRDefault="00912E0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12E0B" w:rsidRDefault="00912E0B" w:rsidP="006E08B3"/>
        <w:p w:rsidR="00912E0B" w:rsidRDefault="00912E0B" w:rsidP="006E08B3">
          <w:r>
            <w:t>For submission made by individuals, all personal details, other than your name, will be removed from your submission before it is published on the TGA’s Internet site.</w:t>
          </w:r>
        </w:p>
        <w:p w:rsidR="00912E0B" w:rsidRDefault="00912E0B" w:rsidP="006E08B3"/>
        <w:p w:rsidR="00912E0B" w:rsidRDefault="00912E0B" w:rsidP="006E08B3">
          <w:r>
            <w:t>In addition, a list of parties making submissions will be published. If you do not wish to be identified with your submission you must specifically request this in the space provided ib the submission coversheet.</w:t>
          </w:r>
        </w:p>
      </w:tc>
    </w:tr>
    <w:tr w:rsidR="00912E0B" w:rsidTr="0010601F">
      <w:trPr>
        <w:trHeight w:val="417"/>
      </w:trPr>
      <w:tc>
        <w:tcPr>
          <w:tcW w:w="4519" w:type="dxa"/>
          <w:tcBorders>
            <w:top w:val="single" w:sz="4" w:space="0" w:color="auto"/>
          </w:tcBorders>
          <w:tcMar>
            <w:top w:w="142" w:type="dxa"/>
            <w:bottom w:w="0" w:type="dxa"/>
          </w:tcMar>
        </w:tcPr>
        <w:p w:rsidR="00912E0B" w:rsidRDefault="00912E0B" w:rsidP="006E08B3">
          <w:r>
            <w:t>Document title, Part #, Section # - Section title</w:t>
          </w:r>
        </w:p>
        <w:p w:rsidR="00912E0B" w:rsidRDefault="00912E0B" w:rsidP="006E08B3">
          <w:r>
            <w:t>V1.0 October 2010</w:t>
          </w:r>
        </w:p>
      </w:tc>
      <w:tc>
        <w:tcPr>
          <w:tcW w:w="4356" w:type="dxa"/>
          <w:tcBorders>
            <w:top w:val="single" w:sz="4" w:space="0" w:color="auto"/>
          </w:tcBorders>
          <w:tcMar>
            <w:top w:w="142" w:type="dxa"/>
            <w:bottom w:w="0" w:type="dxa"/>
          </w:tcMar>
        </w:tcPr>
        <w:p w:rsidR="00912E0B" w:rsidRDefault="00912E0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79</w:t>
            </w:r>
          </w:fldSimple>
          <w:r>
            <w:t xml:space="preserve"> </w:t>
          </w:r>
        </w:p>
      </w:tc>
    </w:tr>
  </w:tbl>
  <w:p w:rsidR="00912E0B" w:rsidRDefault="00912E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E0B" w:rsidRDefault="00912E0B" w:rsidP="00C40A36">
      <w:pPr>
        <w:spacing w:after="0"/>
      </w:pPr>
      <w:r>
        <w:separator/>
      </w:r>
    </w:p>
  </w:footnote>
  <w:footnote w:type="continuationSeparator" w:id="0">
    <w:p w:rsidR="00912E0B" w:rsidRDefault="00912E0B" w:rsidP="00C40A36">
      <w:pPr>
        <w:spacing w:after="0"/>
      </w:pPr>
      <w:r>
        <w:continuationSeparator/>
      </w:r>
    </w:p>
  </w:footnote>
  <w:footnote w:id="1">
    <w:p w:rsidR="00912E0B" w:rsidRDefault="00912E0B" w:rsidP="008F534F">
      <w:pPr>
        <w:pStyle w:val="FootnoteText"/>
      </w:pPr>
      <w:r>
        <w:rPr>
          <w:rStyle w:val="FootnoteReference"/>
        </w:rPr>
        <w:footnoteRef/>
      </w:r>
      <w:r>
        <w:t xml:space="preserve"> Markowitz M, et al</w:t>
      </w:r>
      <w:r w:rsidRPr="0012273A">
        <w:t>.</w:t>
      </w:r>
      <w:r w:rsidRPr="0012273A">
        <w:rPr>
          <w:rFonts w:ascii="Verdana" w:hAnsi="Verdana"/>
          <w:bCs/>
          <w:color w:val="111111"/>
          <w:sz w:val="17"/>
          <w:szCs w:val="17"/>
          <w:shd w:val="clear" w:color="auto" w:fill="FFFFFF"/>
        </w:rPr>
        <w:t xml:space="preserve"> </w:t>
      </w:r>
      <w:r w:rsidRPr="0012273A">
        <w:rPr>
          <w:bCs/>
        </w:rPr>
        <w:t>Phase I/II study of the pharmacokinetics, safety and antiretroviral activity of tenofovir alafenamide, a new prodrug of the HIV reverse transcriptase inhibitor tenofovir, in HIV-infected adults</w:t>
      </w:r>
      <w:r>
        <w:rPr>
          <w:bCs/>
        </w:rPr>
        <w:t>.</w:t>
      </w:r>
      <w:r>
        <w:t xml:space="preserve"> </w:t>
      </w:r>
      <w:r w:rsidRPr="0012273A">
        <w:rPr>
          <w:i/>
        </w:rPr>
        <w:t>J Antimicrob Chemother</w:t>
      </w:r>
      <w:r w:rsidRPr="00C70EC7">
        <w:t xml:space="preserve"> 2014; 69: 1362–1369</w:t>
      </w:r>
      <w:r>
        <w:t>.</w:t>
      </w:r>
    </w:p>
  </w:footnote>
  <w:footnote w:id="2">
    <w:p w:rsidR="00912E0B" w:rsidRDefault="00912E0B" w:rsidP="004D2AB1">
      <w:pPr>
        <w:pStyle w:val="FootnoteText"/>
      </w:pPr>
      <w:r>
        <w:rPr>
          <w:rStyle w:val="FootnoteReference"/>
        </w:rPr>
        <w:footnoteRef/>
      </w:r>
      <w:r>
        <w:t xml:space="preserve"> Gilead. Press Releases. </w:t>
      </w:r>
      <w:r w:rsidRPr="009B6756">
        <w:t>http://www.gilead.com/news/press-releases/2015/9/gileads-investigational-fixeddose-combination-of-emtricitabinetenofovir-alafenamide-ftaf-meets-primary-48week-objective-in-phase-3-study</w:t>
      </w:r>
      <w:r>
        <w:t xml:space="preserve"> (accessed 7 October 2015)</w:t>
      </w:r>
    </w:p>
  </w:footnote>
  <w:footnote w:id="3">
    <w:p w:rsidR="00912E0B" w:rsidRDefault="00912E0B" w:rsidP="004D2AB1">
      <w:pPr>
        <w:pStyle w:val="FootnoteText"/>
      </w:pPr>
      <w:r>
        <w:rPr>
          <w:rStyle w:val="FootnoteReference"/>
        </w:rPr>
        <w:footnoteRef/>
      </w:r>
      <w:r>
        <w:t xml:space="preserve"> </w:t>
      </w:r>
      <w:r w:rsidRPr="00D3299D">
        <w:t>Approval has since been granted in the EU on 19 November 2015.</w:t>
      </w:r>
    </w:p>
  </w:footnote>
  <w:footnote w:id="4">
    <w:p w:rsidR="00912E0B" w:rsidRDefault="00912E0B" w:rsidP="004D2AB1">
      <w:pPr>
        <w:pStyle w:val="FootnoteText"/>
      </w:pPr>
      <w:r>
        <w:rPr>
          <w:rStyle w:val="FootnoteReference"/>
        </w:rPr>
        <w:footnoteRef/>
      </w:r>
      <w:r>
        <w:t xml:space="preserve"> Approved in </w:t>
      </w:r>
      <w:r w:rsidRPr="00D3299D">
        <w:t>Canada on 27 November 2015.</w:t>
      </w:r>
    </w:p>
  </w:footnote>
  <w:footnote w:id="5">
    <w:p w:rsidR="00912E0B" w:rsidRDefault="00912E0B" w:rsidP="007F3219">
      <w:pPr>
        <w:pStyle w:val="FootnoteText"/>
      </w:pPr>
      <w:r>
        <w:rPr>
          <w:rStyle w:val="FootnoteReference"/>
        </w:rPr>
        <w:footnoteRef/>
      </w:r>
      <w:r>
        <w:t xml:space="preserve"> </w:t>
      </w:r>
      <w:r w:rsidRPr="00EA6D79">
        <w:t>https://www.tga.gov.au/therapeutic-goods-orders</w:t>
      </w:r>
    </w:p>
  </w:footnote>
  <w:footnote w:id="6">
    <w:p w:rsidR="00912E0B" w:rsidRDefault="00912E0B">
      <w:pPr>
        <w:pStyle w:val="FootnoteText"/>
      </w:pPr>
      <w:r>
        <w:rPr>
          <w:rStyle w:val="FootnoteReference"/>
        </w:rPr>
        <w:footnoteRef/>
      </w:r>
      <w:r>
        <w:t xml:space="preserve"> This issue was resolved prior to registration with the sponsor appropriately tightening the limit.</w:t>
      </w:r>
    </w:p>
  </w:footnote>
  <w:footnote w:id="7">
    <w:p w:rsidR="00912E0B" w:rsidRDefault="00912E0B">
      <w:pPr>
        <w:pStyle w:val="FootnoteText"/>
      </w:pPr>
      <w:r>
        <w:rPr>
          <w:rStyle w:val="FootnoteReference"/>
        </w:rPr>
        <w:footnoteRef/>
      </w:r>
      <w:r>
        <w:t xml:space="preserve"> </w:t>
      </w:r>
      <w:r w:rsidRPr="00D609AB">
        <w:t>AUC</w:t>
      </w:r>
      <w:r w:rsidRPr="00D609AB">
        <w:rPr>
          <w:vertAlign w:val="subscript"/>
        </w:rPr>
        <w:t>tau</w:t>
      </w:r>
      <w:r w:rsidRPr="00D609AB">
        <w:t xml:space="preserve"> </w:t>
      </w:r>
      <w:r>
        <w:t xml:space="preserve">= </w:t>
      </w:r>
      <w:r w:rsidRPr="00D609AB">
        <w:t>Area under the concentration versus time curve to the end of the dosing period</w:t>
      </w:r>
    </w:p>
  </w:footnote>
  <w:footnote w:id="8">
    <w:p w:rsidR="00912E0B" w:rsidRDefault="00912E0B">
      <w:pPr>
        <w:pStyle w:val="FootnoteText"/>
      </w:pPr>
      <w:r>
        <w:rPr>
          <w:rStyle w:val="FootnoteReference"/>
        </w:rPr>
        <w:footnoteRef/>
      </w:r>
      <w:r>
        <w:t xml:space="preserve"> </w:t>
      </w:r>
      <w:r w:rsidRPr="00D609AB">
        <w:t>C</w:t>
      </w:r>
      <w:r w:rsidRPr="00D609AB">
        <w:rPr>
          <w:vertAlign w:val="subscript"/>
        </w:rPr>
        <w:t>max</w:t>
      </w:r>
      <w:r>
        <w:rPr>
          <w:sz w:val="22"/>
          <w:szCs w:val="22"/>
        </w:rPr>
        <w:t xml:space="preserve"> </w:t>
      </w:r>
      <w:r w:rsidRPr="00D609AB">
        <w:rPr>
          <w:sz w:val="22"/>
          <w:szCs w:val="22"/>
        </w:rPr>
        <w:t xml:space="preserve">= </w:t>
      </w:r>
      <w:r w:rsidRPr="00D609AB">
        <w:t>Peak plasma concentration</w:t>
      </w:r>
    </w:p>
  </w:footnote>
  <w:footnote w:id="9">
    <w:p w:rsidR="00912E0B" w:rsidRPr="00D609AB" w:rsidRDefault="00912E0B">
      <w:pPr>
        <w:pStyle w:val="FootnoteText"/>
      </w:pPr>
      <w:r>
        <w:rPr>
          <w:rStyle w:val="FootnoteReference"/>
        </w:rPr>
        <w:footnoteRef/>
      </w:r>
      <w:r>
        <w:t xml:space="preserve"> </w:t>
      </w:r>
      <w:r w:rsidRPr="00D609AB">
        <w:t>C</w:t>
      </w:r>
      <w:r w:rsidRPr="00D609AB">
        <w:rPr>
          <w:vertAlign w:val="subscript"/>
        </w:rPr>
        <w:t>tau</w:t>
      </w:r>
      <w:r>
        <w:rPr>
          <w:vertAlign w:val="subscript"/>
        </w:rPr>
        <w:t xml:space="preserve"> </w:t>
      </w:r>
      <w:r>
        <w:t>= Plasma concentration at the end of the dosing period</w:t>
      </w:r>
    </w:p>
  </w:footnote>
  <w:footnote w:id="10">
    <w:p w:rsidR="00912E0B" w:rsidRDefault="00912E0B" w:rsidP="00AB3272">
      <w:pPr>
        <w:pStyle w:val="FootnoteText"/>
      </w:pPr>
      <w:r>
        <w:rPr>
          <w:rStyle w:val="FootnoteReference"/>
        </w:rPr>
        <w:footnoteRef/>
      </w:r>
      <w:r>
        <w:t xml:space="preserve"> ICH M3(R2) Guidance on nonclinical safety studies for the conduct of human clinical trials and marketing authorization for pharmaceuticals. Questions &amp; answers (R2). Combination drug toxicity testing, March 2012.</w:t>
      </w:r>
    </w:p>
  </w:footnote>
  <w:footnote w:id="11">
    <w:p w:rsidR="00912E0B" w:rsidRDefault="00912E0B">
      <w:pPr>
        <w:pStyle w:val="FootnoteText"/>
      </w:pPr>
      <w:r>
        <w:rPr>
          <w:rStyle w:val="FootnoteReference"/>
        </w:rPr>
        <w:footnoteRef/>
      </w:r>
      <w:r>
        <w:t xml:space="preserve"> </w:t>
      </w:r>
      <w:r w:rsidRPr="00D11D3B">
        <w:t>TgRasH2 mice</w:t>
      </w:r>
      <w:r>
        <w:t xml:space="preserve"> is a transgenic mouse </w:t>
      </w:r>
      <w:r w:rsidRPr="00D11D3B">
        <w:t>carrying the three copies of human prototype c-Ha-ras</w:t>
      </w:r>
      <w:r>
        <w:t xml:space="preserve"> oncogenes</w:t>
      </w:r>
      <w:r w:rsidRPr="00D11D3B">
        <w:t xml:space="preserve"> with endogenous promoter and enhancer in tandem</w:t>
      </w:r>
      <w:r>
        <w:t xml:space="preserve">. </w:t>
      </w:r>
      <w:r w:rsidRPr="00D11D3B">
        <w:t>Tg-rasH2 mice are sensitive to both genotoxic and non-genotoxic human carcinogens and show no response to non-carcinogens</w:t>
      </w:r>
      <w:r>
        <w:t>.</w:t>
      </w:r>
    </w:p>
  </w:footnote>
  <w:footnote w:id="12">
    <w:p w:rsidR="00912E0B" w:rsidRDefault="00912E0B" w:rsidP="00AB3272">
      <w:pPr>
        <w:pStyle w:val="FootnoteText"/>
      </w:pPr>
      <w:r>
        <w:rPr>
          <w:rStyle w:val="FootnoteReference"/>
        </w:rPr>
        <w:footnoteRef/>
      </w:r>
      <w:r>
        <w:t xml:space="preserve"> Birkus </w:t>
      </w:r>
      <w:r w:rsidRPr="00015675">
        <w:t>G et al.</w:t>
      </w:r>
      <w:r>
        <w:t xml:space="preserve"> Cathepsin A is a major hydrolase catalysing the intracellular hydrolysis of the antiretroviral nucleotide phosphnoamidate prodrugs GS-7340 and GS-9131. </w:t>
      </w:r>
      <w:r w:rsidRPr="00844EDE">
        <w:rPr>
          <w:i/>
        </w:rPr>
        <w:t>Antimicrob Agents Chemoth</w:t>
      </w:r>
      <w:r>
        <w:t xml:space="preserve"> 2007; 51: 1-7.</w:t>
      </w:r>
    </w:p>
  </w:footnote>
  <w:footnote w:id="13">
    <w:p w:rsidR="00912E0B" w:rsidRDefault="00912E0B">
      <w:pPr>
        <w:pStyle w:val="FootnoteText"/>
      </w:pPr>
      <w:r>
        <w:rPr>
          <w:rStyle w:val="FootnoteReference"/>
        </w:rPr>
        <w:footnoteRef/>
      </w:r>
      <w:r>
        <w:t xml:space="preserve"> The approved PI has been amended to  ‘</w:t>
      </w:r>
      <w:r w:rsidRPr="00C90242">
        <w:t>Genvoya</w:t>
      </w:r>
      <w:r w:rsidRPr="00C90242">
        <w:rPr>
          <w:lang w:val="en-US"/>
        </w:rPr>
        <w:t xml:space="preserve"> should not be used in conjunction with protease inhibitors that are inhibitors of cathepsin A (such as anti-Hepatitis C agents telaprevir and boceprevir) due to potential drug-drug interactions including altered and/or suboptimal pharmacokinetics of tenofovir alafenamide.</w:t>
      </w:r>
      <w:r>
        <w:rPr>
          <w:lang w:val="en-US"/>
        </w:rPr>
        <w:t>’</w:t>
      </w:r>
    </w:p>
  </w:footnote>
  <w:footnote w:id="14">
    <w:p w:rsidR="00912E0B" w:rsidRDefault="00912E0B" w:rsidP="00AB3272">
      <w:pPr>
        <w:pStyle w:val="FootnoteText"/>
      </w:pPr>
      <w:r>
        <w:rPr>
          <w:rStyle w:val="FootnoteReference"/>
        </w:rPr>
        <w:footnoteRef/>
      </w:r>
      <w:r>
        <w:t xml:space="preserve"> EMA CHMP (2007). Reflection paper on in vitro investigation of mitochondrial toxicity of anti-HIV nucleoside reverse transcriptase inhibitors (EMEA/CHMP/SWP/8212/2007).</w:t>
      </w:r>
    </w:p>
  </w:footnote>
  <w:footnote w:id="15">
    <w:p w:rsidR="00912E0B" w:rsidRDefault="00912E0B" w:rsidP="00AB3272">
      <w:pPr>
        <w:pStyle w:val="FootnoteText"/>
      </w:pPr>
      <w:r>
        <w:rPr>
          <w:rStyle w:val="FootnoteReference"/>
        </w:rPr>
        <w:footnoteRef/>
      </w:r>
      <w:r>
        <w:t xml:space="preserve"> Cherrington JM </w:t>
      </w:r>
      <w:r w:rsidRPr="00A6355F">
        <w:t>et al.</w:t>
      </w:r>
      <w:r>
        <w:t xml:space="preserve"> Kinetic interaction of the diphosphates of 9-(2-phosphonylmethoxyethyl) adenine and human DNA polymerases a, b, and g. </w:t>
      </w:r>
      <w:r w:rsidRPr="00753ECA">
        <w:rPr>
          <w:i/>
        </w:rPr>
        <w:t>Antivir. Chem. Chemotherap</w:t>
      </w:r>
      <w:r>
        <w:t>. 1995; 6: 217-221.</w:t>
      </w:r>
    </w:p>
  </w:footnote>
  <w:footnote w:id="16">
    <w:p w:rsidR="00912E0B" w:rsidRDefault="00912E0B" w:rsidP="00AB3272">
      <w:pPr>
        <w:pStyle w:val="FootnoteText"/>
      </w:pPr>
      <w:r>
        <w:rPr>
          <w:rStyle w:val="FootnoteReference"/>
        </w:rPr>
        <w:footnoteRef/>
      </w:r>
      <w:r>
        <w:t xml:space="preserve"> Cihlar T </w:t>
      </w:r>
      <w:r w:rsidRPr="00A6355F">
        <w:t xml:space="preserve">et al. </w:t>
      </w:r>
      <w:r>
        <w:t xml:space="preserve">Incorporation of selected nucleoside phosphonates and anti-human immunodeficiency virus nucleotide analogues into DNA by human DNA polymerases a, b and g. </w:t>
      </w:r>
      <w:r w:rsidRPr="00731A5A">
        <w:rPr>
          <w:i/>
        </w:rPr>
        <w:t>Antivir Chem Chemotherap</w:t>
      </w:r>
      <w:r>
        <w:t xml:space="preserve"> 1997; 8: 187-195.</w:t>
      </w:r>
    </w:p>
  </w:footnote>
  <w:footnote w:id="17">
    <w:p w:rsidR="00912E0B" w:rsidRDefault="00912E0B">
      <w:pPr>
        <w:pStyle w:val="FootnoteText"/>
      </w:pPr>
      <w:r>
        <w:rPr>
          <w:rStyle w:val="FootnoteReference"/>
        </w:rPr>
        <w:footnoteRef/>
      </w:r>
      <w:r>
        <w:t xml:space="preserve"> </w:t>
      </w:r>
      <w:r w:rsidRPr="00A85406">
        <w:t>Hep G2 is a</w:t>
      </w:r>
      <w:r>
        <w:t xml:space="preserve"> perpetual cell line </w:t>
      </w:r>
      <w:r w:rsidRPr="00A85406">
        <w:t>which was derived from the liver tissue of a 15-year-old Caucasian American male with a well-differentiated hepatocellular carcinoma.</w:t>
      </w:r>
    </w:p>
  </w:footnote>
  <w:footnote w:id="18">
    <w:p w:rsidR="00912E0B" w:rsidRDefault="00912E0B">
      <w:pPr>
        <w:pStyle w:val="FootnoteText"/>
      </w:pPr>
      <w:r>
        <w:rPr>
          <w:rStyle w:val="FootnoteReference"/>
        </w:rPr>
        <w:footnoteRef/>
      </w:r>
      <w:r>
        <w:t xml:space="preserve"> </w:t>
      </w:r>
      <w:r w:rsidRPr="00FF0D5B">
        <w:t xml:space="preserve">In electrocardiography, the </w:t>
      </w:r>
      <w:r w:rsidRPr="00FF0D5B">
        <w:rPr>
          <w:bCs/>
        </w:rPr>
        <w:t>PR interval</w:t>
      </w:r>
      <w:r w:rsidRPr="00FF0D5B">
        <w:t xml:space="preserve"> is the period, measured in milliseconds, that extends from the beginning of the P wave (the onset of atrial depolarization) until the beginning of the </w:t>
      </w:r>
      <w:r w:rsidRPr="00FF0D5B">
        <w:rPr>
          <w:bCs/>
        </w:rPr>
        <w:t>QRS</w:t>
      </w:r>
      <w:r w:rsidRPr="00FF0D5B">
        <w:t xml:space="preserve"> complex (the onset of ventricular depolarization); it is normally between 120 and 200ms in duration</w:t>
      </w:r>
      <w:r>
        <w:t>.</w:t>
      </w:r>
    </w:p>
  </w:footnote>
  <w:footnote w:id="19">
    <w:p w:rsidR="00912E0B" w:rsidRDefault="00912E0B">
      <w:pPr>
        <w:pStyle w:val="FootnoteText"/>
      </w:pPr>
      <w:r>
        <w:rPr>
          <w:rStyle w:val="FootnoteReference"/>
        </w:rPr>
        <w:footnoteRef/>
      </w:r>
      <w:r>
        <w:t xml:space="preserve"> </w:t>
      </w:r>
      <w:r w:rsidRPr="000A6835">
        <w:t>The </w:t>
      </w:r>
      <w:r w:rsidRPr="000A6835">
        <w:rPr>
          <w:bCs/>
        </w:rPr>
        <w:t>Caco-2</w:t>
      </w:r>
      <w:r w:rsidRPr="000A6835">
        <w:t xml:space="preserve"> cell line is a continuous cell </w:t>
      </w:r>
      <w:r>
        <w:t xml:space="preserve">line </w:t>
      </w:r>
      <w:r w:rsidRPr="000A6835">
        <w:t>of</w:t>
      </w:r>
      <w:r>
        <w:t xml:space="preserve"> </w:t>
      </w:r>
      <w:r w:rsidRPr="000A6835">
        <w:t>heterogeneous</w:t>
      </w:r>
      <w:r>
        <w:t xml:space="preserve"> </w:t>
      </w:r>
      <w:r w:rsidRPr="000A6835">
        <w:t>human</w:t>
      </w:r>
      <w:r>
        <w:t xml:space="preserve"> </w:t>
      </w:r>
      <w:r w:rsidRPr="000A6835">
        <w:t>epithelial</w:t>
      </w:r>
      <w:r>
        <w:t xml:space="preserve"> </w:t>
      </w:r>
      <w:r w:rsidRPr="000A6835">
        <w:t>colorectal</w:t>
      </w:r>
      <w:r>
        <w:t xml:space="preserve"> </w:t>
      </w:r>
      <w:r w:rsidRPr="000A6835">
        <w:t>adenocarcinoma</w:t>
      </w:r>
      <w:r>
        <w:t xml:space="preserve"> cells.</w:t>
      </w:r>
    </w:p>
  </w:footnote>
  <w:footnote w:id="20">
    <w:p w:rsidR="00912E0B" w:rsidRPr="00460465" w:rsidRDefault="00912E0B" w:rsidP="00460465">
      <w:pPr>
        <w:pStyle w:val="FootnoteText"/>
      </w:pPr>
      <w:r>
        <w:rPr>
          <w:rStyle w:val="FootnoteReference"/>
        </w:rPr>
        <w:footnoteRef/>
      </w:r>
      <w:r>
        <w:t xml:space="preserve"> </w:t>
      </w:r>
      <w:r w:rsidRPr="00460465">
        <w:t xml:space="preserve">ICH M3 (R2) </w:t>
      </w:r>
      <w:r>
        <w:t>G</w:t>
      </w:r>
      <w:r w:rsidRPr="00460465">
        <w:t>uidance on nonclinical safety studies for the conduct of human clinical trials and marketing authorization for pharmaceuticals M3(R2)</w:t>
      </w:r>
    </w:p>
  </w:footnote>
  <w:footnote w:id="21">
    <w:p w:rsidR="00912E0B" w:rsidRDefault="00912E0B" w:rsidP="00AC1C8B">
      <w:pPr>
        <w:pStyle w:val="FootnoteText"/>
      </w:pPr>
      <w:r>
        <w:rPr>
          <w:rStyle w:val="FootnoteReference"/>
        </w:rPr>
        <w:footnoteRef/>
      </w:r>
      <w:r>
        <w:t xml:space="preserve"> EMA (2012) ICH guideline M3 (R2) –questions and</w:t>
      </w:r>
      <w:r w:rsidRPr="00E0350C">
        <w:t xml:space="preserve"> </w:t>
      </w:r>
      <w:r>
        <w:t>answers (EMA/CHMP/ICH/507008/2011).</w:t>
      </w:r>
    </w:p>
  </w:footnote>
  <w:footnote w:id="22">
    <w:p w:rsidR="00912E0B" w:rsidRPr="00DC05DD" w:rsidRDefault="00912E0B" w:rsidP="00DC05DD">
      <w:pPr>
        <w:pStyle w:val="FootnoteText"/>
        <w:rPr>
          <w:b/>
          <w:bCs/>
        </w:rPr>
      </w:pPr>
      <w:r>
        <w:rPr>
          <w:rStyle w:val="FootnoteReference"/>
        </w:rPr>
        <w:footnoteRef/>
      </w:r>
      <w:r>
        <w:t xml:space="preserve"> </w:t>
      </w:r>
      <w:r w:rsidRPr="00A6355F">
        <w:t>CPMP/ICH/299/95</w:t>
      </w:r>
      <w:r>
        <w:t xml:space="preserve"> </w:t>
      </w:r>
      <w:r>
        <w:rPr>
          <w:bCs/>
        </w:rPr>
        <w:t>N</w:t>
      </w:r>
      <w:r w:rsidRPr="00DC05DD">
        <w:rPr>
          <w:bCs/>
        </w:rPr>
        <w:t>ote for guidance on carcinogenicity: testing for carcinogenicity of pharmaceuticals</w:t>
      </w:r>
    </w:p>
  </w:footnote>
  <w:footnote w:id="23">
    <w:p w:rsidR="00912E0B" w:rsidRPr="005033BB" w:rsidRDefault="00912E0B" w:rsidP="005033BB">
      <w:pPr>
        <w:pStyle w:val="FootnoteText"/>
        <w:rPr>
          <w:b/>
          <w:bCs/>
        </w:rPr>
      </w:pPr>
      <w:r>
        <w:rPr>
          <w:rStyle w:val="FootnoteReference"/>
        </w:rPr>
        <w:footnoteRef/>
      </w:r>
      <w:r>
        <w:t xml:space="preserve"> </w:t>
      </w:r>
      <w:r w:rsidRPr="005033BB">
        <w:rPr>
          <w:bCs/>
        </w:rPr>
        <w:t xml:space="preserve">ICH Topic S 5 (R2); </w:t>
      </w:r>
      <w:r>
        <w:rPr>
          <w:bCs/>
        </w:rPr>
        <w:t>N</w:t>
      </w:r>
      <w:r w:rsidRPr="005033BB">
        <w:rPr>
          <w:bCs/>
        </w:rPr>
        <w:t xml:space="preserve">ote for guidance on the detection of toxicity to reproduction for medicinal products &amp; toxicity to male fertility </w:t>
      </w:r>
      <w:r w:rsidRPr="005033BB">
        <w:t>(CPMP/ICH/386/95)</w:t>
      </w:r>
      <w:r>
        <w:t>.</w:t>
      </w:r>
    </w:p>
  </w:footnote>
  <w:footnote w:id="24">
    <w:p w:rsidR="00912E0B" w:rsidRDefault="00912E0B">
      <w:pPr>
        <w:pStyle w:val="FootnoteText"/>
      </w:pPr>
      <w:r>
        <w:rPr>
          <w:rStyle w:val="FootnoteReference"/>
        </w:rPr>
        <w:footnoteRef/>
      </w:r>
      <w:r>
        <w:t xml:space="preserve"> </w:t>
      </w:r>
      <w:r w:rsidRPr="005033BB">
        <w:t>FDA Reference ID: 3244145,</w:t>
      </w:r>
    </w:p>
  </w:footnote>
  <w:footnote w:id="25">
    <w:p w:rsidR="00912E0B" w:rsidRDefault="00912E0B">
      <w:pPr>
        <w:pStyle w:val="FootnoteText"/>
      </w:pPr>
      <w:r>
        <w:rPr>
          <w:rStyle w:val="FootnoteReference"/>
        </w:rPr>
        <w:footnoteRef/>
      </w:r>
      <w:r>
        <w:t xml:space="preserve"> </w:t>
      </w:r>
      <w:r w:rsidRPr="005033BB">
        <w:t>EMA/CHMP/SAWP/214541/2013, EMEA H/SA/2410/FU/1/2013/1</w:t>
      </w:r>
    </w:p>
  </w:footnote>
  <w:footnote w:id="26">
    <w:p w:rsidR="00912E0B" w:rsidRPr="008C4728" w:rsidRDefault="00912E0B">
      <w:pPr>
        <w:pStyle w:val="FootnoteText"/>
        <w:rPr>
          <w:i/>
          <w:lang w:val="en"/>
        </w:rPr>
      </w:pPr>
      <w:r>
        <w:rPr>
          <w:rStyle w:val="FootnoteReference"/>
        </w:rPr>
        <w:footnoteRef/>
      </w:r>
      <w:r>
        <w:t xml:space="preserve"> Pregnancy category B2 </w:t>
      </w:r>
      <w:r w:rsidRPr="008C4728">
        <w:rPr>
          <w:i/>
          <w:lang w:val="en"/>
        </w:rPr>
        <w:t>Drugs which have been taken by only a limited number of pregnant women and women of childbearing age, without an increase in the frequency of malformation or other direct or indirect harmful effects on the human fetus having been observed. Studies in animals are inadequate or may be lacking, but available data show no evidence of an increased occurrence of fetal damage.</w:t>
      </w:r>
    </w:p>
  </w:footnote>
  <w:footnote w:id="27">
    <w:p w:rsidR="00912E0B" w:rsidRPr="008C4728" w:rsidRDefault="00912E0B">
      <w:pPr>
        <w:pStyle w:val="FootnoteText"/>
        <w:rPr>
          <w:lang w:val="en"/>
        </w:rPr>
      </w:pPr>
      <w:r>
        <w:rPr>
          <w:rStyle w:val="FootnoteReference"/>
        </w:rPr>
        <w:footnoteRef/>
      </w:r>
      <w:r>
        <w:t xml:space="preserve"> Pregnancy category B1 </w:t>
      </w:r>
      <w:r w:rsidRPr="008C4728">
        <w:rPr>
          <w:i/>
          <w:lang w:val="en"/>
        </w:rPr>
        <w:t>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r w:rsidRPr="008C4728">
        <w:rPr>
          <w:lang w:val="en"/>
        </w:rPr>
        <w:t>.</w:t>
      </w:r>
    </w:p>
  </w:footnote>
  <w:footnote w:id="28">
    <w:p w:rsidR="00912E0B" w:rsidRPr="005033BB" w:rsidRDefault="00912E0B">
      <w:pPr>
        <w:pStyle w:val="FootnoteText"/>
        <w:rPr>
          <w:i/>
          <w:lang w:val="en"/>
        </w:rPr>
      </w:pPr>
      <w:r>
        <w:rPr>
          <w:rStyle w:val="FootnoteReference"/>
        </w:rPr>
        <w:footnoteRef/>
      </w:r>
      <w:r>
        <w:t xml:space="preserve"> Pregnancy category B3</w:t>
      </w:r>
      <w:r w:rsidRPr="008C4728">
        <w:rPr>
          <w:rFonts w:ascii="Noto Sans" w:eastAsia="Times New Roman" w:hAnsi="Noto Sans"/>
          <w:lang w:val="en" w:eastAsia="en-AU"/>
        </w:rPr>
        <w:t xml:space="preserve"> </w:t>
      </w:r>
      <w:r w:rsidRPr="008C4728">
        <w:rPr>
          <w:i/>
          <w:lang w:val="en"/>
        </w:rPr>
        <w:t xml:space="preserve">Drugs which have been taken by only a limited number of pregnant women and women of childbearing age, without an increase in the frequency of malformation or other direct or indirect harmful effects on the human fetus having been observed. Studies in animals have shown evidence of an increased occurrence of fetal damage, the significance of which is </w:t>
      </w:r>
      <w:r>
        <w:rPr>
          <w:i/>
          <w:lang w:val="en"/>
        </w:rPr>
        <w:t>considered uncertain in humans.</w:t>
      </w:r>
    </w:p>
  </w:footnote>
  <w:footnote w:id="29">
    <w:p w:rsidR="00912E0B" w:rsidRDefault="00912E0B">
      <w:pPr>
        <w:pStyle w:val="FootnoteText"/>
      </w:pPr>
      <w:r>
        <w:rPr>
          <w:rStyle w:val="FootnoteReference"/>
        </w:rPr>
        <w:footnoteRef/>
      </w:r>
      <w:r>
        <w:t xml:space="preserve"> These issues were resolved to the satisfaction of the TGA prior to registration.</w:t>
      </w:r>
    </w:p>
  </w:footnote>
  <w:footnote w:id="30">
    <w:p w:rsidR="00912E0B" w:rsidRDefault="00912E0B" w:rsidP="008A6445">
      <w:pPr>
        <w:pStyle w:val="FootnoteText"/>
      </w:pPr>
      <w:r>
        <w:rPr>
          <w:rStyle w:val="FootnoteReference"/>
        </w:rPr>
        <w:footnoteRef/>
      </w:r>
      <w:r>
        <w:t xml:space="preserve"> </w:t>
      </w:r>
      <w:r w:rsidRPr="00177E02">
        <w:t>EMA (2012) ICH guideline M3 (R2) –questions and answers (EMA/CHMP/ICH/507008/2011</w:t>
      </w:r>
      <w:r>
        <w:t>).</w:t>
      </w:r>
    </w:p>
  </w:footnote>
  <w:footnote w:id="31">
    <w:p w:rsidR="00912E0B" w:rsidRDefault="00912E0B" w:rsidP="008A6445">
      <w:pPr>
        <w:pStyle w:val="FootnoteText"/>
      </w:pPr>
      <w:r>
        <w:rPr>
          <w:rStyle w:val="FootnoteReference"/>
        </w:rPr>
        <w:footnoteRef/>
      </w:r>
      <w:r>
        <w:t xml:space="preserve"> </w:t>
      </w:r>
      <w:r w:rsidRPr="00940B94">
        <w:t>eGFR</w:t>
      </w:r>
      <w:r w:rsidRPr="00C42752">
        <w:rPr>
          <w:vertAlign w:val="subscript"/>
        </w:rPr>
        <w:t>CG</w:t>
      </w:r>
      <w:r>
        <w:t xml:space="preserve">: </w:t>
      </w:r>
      <w:r w:rsidRPr="00940B94">
        <w:t>estimated glomerular filtration rate</w:t>
      </w:r>
      <w:r>
        <w:t>(GFR)</w:t>
      </w:r>
      <w:r w:rsidRPr="00940B94">
        <w:t xml:space="preserve"> calculated using the Cockcroft-Gault equation</w:t>
      </w:r>
      <w:r>
        <w:t xml:space="preserve">, aGFR,:actual GFR, </w:t>
      </w:r>
      <w:r w:rsidRPr="00662EBB">
        <w:t>eGFR CKD-EPI</w:t>
      </w:r>
      <w:r>
        <w:t xml:space="preserve">, cys C:Chronic Kidney Disease Epidemiology Collaboration </w:t>
      </w:r>
      <w:r w:rsidRPr="00516F10">
        <w:t xml:space="preserve">cystatin C method </w:t>
      </w:r>
      <w:r>
        <w:t xml:space="preserve">for calculating GFR, </w:t>
      </w:r>
      <w:r w:rsidRPr="00516F10">
        <w:t xml:space="preserve">eGFR </w:t>
      </w:r>
      <w:r w:rsidRPr="00DE5D31">
        <w:t>CKD-EPI, creatinine</w:t>
      </w:r>
      <w:r>
        <w:t>:eGFR calculated using the CKD-EPI serum creatinine method</w:t>
      </w:r>
    </w:p>
  </w:footnote>
  <w:footnote w:id="32">
    <w:p w:rsidR="00912E0B" w:rsidRDefault="00912E0B" w:rsidP="00160E30">
      <w:pPr>
        <w:pStyle w:val="FootnoteText"/>
      </w:pPr>
      <w:r w:rsidRPr="00203022">
        <w:rPr>
          <w:rStyle w:val="FootnoteReference"/>
        </w:rPr>
        <w:footnoteRef/>
      </w:r>
      <w:r w:rsidRPr="00203022">
        <w:t xml:space="preserve"> Yin, MT et al. Increasing clarity on bone loss associated with antiretroviral initiation</w:t>
      </w:r>
      <w:r w:rsidRPr="00203022">
        <w:rPr>
          <w:i/>
        </w:rPr>
        <w:t>. JID</w:t>
      </w:r>
      <w:r w:rsidRPr="00203022">
        <w:t xml:space="preserve"> 2011:203;1705-1707</w:t>
      </w:r>
    </w:p>
  </w:footnote>
  <w:footnote w:id="33">
    <w:p w:rsidR="00912E0B" w:rsidRDefault="00912E0B" w:rsidP="0063452E">
      <w:pPr>
        <w:pStyle w:val="FootnoteText"/>
      </w:pPr>
      <w:r>
        <w:rPr>
          <w:rStyle w:val="FootnoteReference"/>
        </w:rPr>
        <w:footnoteRef/>
      </w:r>
      <w:r>
        <w:t xml:space="preserve"> Huang JS et al. Bone mineral density effects of randomised regimen and nucleoside reverse transcriptase inhibitor selection from ACTG A5142. </w:t>
      </w:r>
      <w:r w:rsidRPr="00BF253E">
        <w:rPr>
          <w:i/>
        </w:rPr>
        <w:t>HIV Clin Trials</w:t>
      </w:r>
      <w:r>
        <w:t>. 2013 ; 14</w:t>
      </w:r>
      <w:r w:rsidRPr="00476EBB">
        <w:t>: 224–234</w:t>
      </w:r>
    </w:p>
  </w:footnote>
  <w:footnote w:id="34">
    <w:p w:rsidR="00912E0B" w:rsidRDefault="00912E0B" w:rsidP="00A37711">
      <w:pPr>
        <w:pStyle w:val="FootnoteText"/>
      </w:pPr>
      <w:r>
        <w:rPr>
          <w:rStyle w:val="FootnoteReference"/>
        </w:rPr>
        <w:footnoteRef/>
      </w:r>
      <w:r w:rsidRPr="00A37711">
        <w:t xml:space="preserve"> Catalan J, </w:t>
      </w:r>
      <w:r>
        <w:t>et al</w:t>
      </w:r>
      <w:r w:rsidRPr="00A37711">
        <w:t>. HIV infection and ment</w:t>
      </w:r>
      <w:r>
        <w:t>al health: suicidal behaviour--</w:t>
      </w:r>
      <w:r w:rsidRPr="00A37711">
        <w:t xml:space="preserve">systematic review. </w:t>
      </w:r>
      <w:r w:rsidRPr="00161C9A">
        <w:rPr>
          <w:i/>
        </w:rPr>
        <w:t>Psychology, health &amp; medicine</w:t>
      </w:r>
      <w:r>
        <w:t xml:space="preserve"> 2011; 16</w:t>
      </w:r>
      <w:r w:rsidRPr="00A37711">
        <w:t>:</w:t>
      </w:r>
      <w:r>
        <w:t xml:space="preserve"> </w:t>
      </w:r>
      <w:r w:rsidRPr="00A37711">
        <w:t>588-611.</w:t>
      </w:r>
    </w:p>
  </w:footnote>
  <w:footnote w:id="35">
    <w:p w:rsidR="00912E0B" w:rsidRPr="00A37711" w:rsidRDefault="00912E0B">
      <w:pPr>
        <w:pStyle w:val="FootnoteText"/>
      </w:pPr>
      <w:r>
        <w:rPr>
          <w:rStyle w:val="FootnoteReference"/>
        </w:rPr>
        <w:footnoteRef/>
      </w:r>
      <w:r>
        <w:t xml:space="preserve"> </w:t>
      </w:r>
      <w:r w:rsidRPr="00A37711">
        <w:t>Hill A, Sabin C. Designing and interpreting HIV non</w:t>
      </w:r>
      <w:r>
        <w:t>-</w:t>
      </w:r>
      <w:r w:rsidRPr="00A37711">
        <w:t>inferiority trials in naive and experienced patients. AIDS 2008;22:913-</w:t>
      </w:r>
      <w:r>
        <w:t>9</w:t>
      </w:r>
      <w:r w:rsidRPr="00A37711">
        <w:t>21.</w:t>
      </w:r>
    </w:p>
  </w:footnote>
  <w:footnote w:id="36">
    <w:p w:rsidR="00912E0B" w:rsidRDefault="00912E0B" w:rsidP="00A37711">
      <w:pPr>
        <w:pStyle w:val="FootnoteText"/>
      </w:pPr>
      <w:r>
        <w:rPr>
          <w:rStyle w:val="FootnoteReference"/>
        </w:rPr>
        <w:footnoteRef/>
      </w:r>
      <w:r>
        <w:t xml:space="preserve"> </w:t>
      </w:r>
      <w:r w:rsidRPr="00A37711">
        <w:t>U.S. Department of Health and Human Services Food and Drug Administration Center for Drug Evaluation and Research (CDER). Guidance for Industry Human Immunodeficiency Virus-1 Infection: Developing Antiretroviral Drugs for Treatment. November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E0B" w:rsidRDefault="00912E0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E0B" w:rsidRDefault="00912E0B">
    <w:pPr>
      <w:rPr>
        <w:noProof/>
        <w:lang w:eastAsia="en-AU"/>
      </w:rPr>
    </w:pPr>
    <w:r w:rsidRPr="00347824">
      <w:rPr>
        <w:noProof/>
        <w:lang w:eastAsia="en-AU"/>
      </w:rPr>
      <w:drawing>
        <wp:anchor distT="0" distB="0" distL="114300" distR="114300" simplePos="0" relativeHeight="251659264" behindDoc="1" locked="0" layoutInCell="1" allowOverlap="1" wp14:anchorId="1B1671B8" wp14:editId="47156B26">
          <wp:simplePos x="0" y="0"/>
          <wp:positionH relativeFrom="column">
            <wp:posOffset>-1089660</wp:posOffset>
          </wp:positionH>
          <wp:positionV relativeFrom="paragraph">
            <wp:posOffset>-585470</wp:posOffset>
          </wp:positionV>
          <wp:extent cx="7572375" cy="10706100"/>
          <wp:effectExtent l="19050" t="0" r="0" b="0"/>
          <wp:wrapNone/>
          <wp:docPr id="18"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12E0B" w:rsidRDefault="00912E0B" w:rsidP="00593AD1">
    <w:pPr>
      <w:pStyle w:val="HeaderNoLine"/>
    </w:pPr>
    <w:r>
      <w:rPr>
        <w:noProof/>
        <w:lang w:eastAsia="en-AU"/>
      </w:rPr>
      <w:drawing>
        <wp:inline distT="0" distB="0" distL="0" distR="0" wp14:anchorId="1BBC5956" wp14:editId="23BC0B7D">
          <wp:extent cx="5400675" cy="7639050"/>
          <wp:effectExtent l="0" t="0" r="9525" b="0"/>
          <wp:docPr id="19" name="Picture 19"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E0B" w:rsidRDefault="00912E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E0B" w:rsidRDefault="00912E0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E0B" w:rsidRDefault="00912E0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E0B" w:rsidRDefault="00912E0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E0B" w:rsidRDefault="00912E0B"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E0B" w:rsidRDefault="00912E0B" w:rsidP="006E08B3">
    <w:r>
      <w:t>Therapeutic Goods Administration</w:t>
    </w:r>
  </w:p>
  <w:p w:rsidR="00912E0B" w:rsidRDefault="00912E0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7165"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489B15D7"/>
    <w:multiLevelType w:val="hybridMultilevel"/>
    <w:tmpl w:val="3FDC46A0"/>
    <w:lvl w:ilvl="0" w:tplc="E0AE214C">
      <w:start w:val="1"/>
      <w:numFmt w:val="bullet"/>
      <w:pStyle w:val="Bulletpoint"/>
      <w:lvlText w:val=""/>
      <w:lvlJc w:val="left"/>
      <w:pPr>
        <w:tabs>
          <w:tab w:val="num" w:pos="369"/>
        </w:tabs>
        <w:ind w:left="369" w:hanging="227"/>
      </w:pPr>
      <w:rPr>
        <w:rFonts w:ascii="Symbol" w:hAnsi="Symbol" w:hint="default"/>
        <w:strike w:val="0"/>
        <w:color w:val="auto"/>
        <w:position w:val="0"/>
        <w:sz w:val="22"/>
        <w:szCs w:val="22"/>
      </w:rPr>
    </w:lvl>
    <w:lvl w:ilvl="1" w:tplc="9C8415C0">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79C"/>
    <w:rsid w:val="00002031"/>
    <w:rsid w:val="00004734"/>
    <w:rsid w:val="00006B22"/>
    <w:rsid w:val="0001276A"/>
    <w:rsid w:val="00015675"/>
    <w:rsid w:val="00017F72"/>
    <w:rsid w:val="000246AE"/>
    <w:rsid w:val="00025C67"/>
    <w:rsid w:val="00040D0B"/>
    <w:rsid w:val="00044772"/>
    <w:rsid w:val="0005559E"/>
    <w:rsid w:val="00057BBC"/>
    <w:rsid w:val="000604D6"/>
    <w:rsid w:val="00061EB9"/>
    <w:rsid w:val="00063493"/>
    <w:rsid w:val="000734D8"/>
    <w:rsid w:val="00077775"/>
    <w:rsid w:val="00081D60"/>
    <w:rsid w:val="000901AB"/>
    <w:rsid w:val="00090471"/>
    <w:rsid w:val="00096AA7"/>
    <w:rsid w:val="000A3AED"/>
    <w:rsid w:val="000A6835"/>
    <w:rsid w:val="000B3532"/>
    <w:rsid w:val="000B3A75"/>
    <w:rsid w:val="000B4006"/>
    <w:rsid w:val="000C00C2"/>
    <w:rsid w:val="000C133D"/>
    <w:rsid w:val="000C551F"/>
    <w:rsid w:val="000C690F"/>
    <w:rsid w:val="000D1295"/>
    <w:rsid w:val="000D391B"/>
    <w:rsid w:val="000D3D6D"/>
    <w:rsid w:val="000D4FC7"/>
    <w:rsid w:val="000E6196"/>
    <w:rsid w:val="000F4869"/>
    <w:rsid w:val="000F5B42"/>
    <w:rsid w:val="000F6E6F"/>
    <w:rsid w:val="001024EB"/>
    <w:rsid w:val="0010601F"/>
    <w:rsid w:val="0010788A"/>
    <w:rsid w:val="00107A31"/>
    <w:rsid w:val="00110EA5"/>
    <w:rsid w:val="00112E87"/>
    <w:rsid w:val="00112F56"/>
    <w:rsid w:val="0012273A"/>
    <w:rsid w:val="00125318"/>
    <w:rsid w:val="001305A2"/>
    <w:rsid w:val="00133238"/>
    <w:rsid w:val="00133A1B"/>
    <w:rsid w:val="0014197B"/>
    <w:rsid w:val="001447CD"/>
    <w:rsid w:val="001516B1"/>
    <w:rsid w:val="00152840"/>
    <w:rsid w:val="00152FCD"/>
    <w:rsid w:val="00154EBB"/>
    <w:rsid w:val="00156316"/>
    <w:rsid w:val="00160E30"/>
    <w:rsid w:val="00161181"/>
    <w:rsid w:val="00161C9A"/>
    <w:rsid w:val="00162D14"/>
    <w:rsid w:val="00165389"/>
    <w:rsid w:val="00165CEC"/>
    <w:rsid w:val="0017693F"/>
    <w:rsid w:val="0018110E"/>
    <w:rsid w:val="00181684"/>
    <w:rsid w:val="001843C6"/>
    <w:rsid w:val="001850E0"/>
    <w:rsid w:val="001A2158"/>
    <w:rsid w:val="001A525F"/>
    <w:rsid w:val="001B09F9"/>
    <w:rsid w:val="001B50D6"/>
    <w:rsid w:val="001B5C90"/>
    <w:rsid w:val="001B6448"/>
    <w:rsid w:val="001C29D0"/>
    <w:rsid w:val="001C32CD"/>
    <w:rsid w:val="001C4FBE"/>
    <w:rsid w:val="001D2984"/>
    <w:rsid w:val="001E07CF"/>
    <w:rsid w:val="001E59F1"/>
    <w:rsid w:val="001F1761"/>
    <w:rsid w:val="001F2CEE"/>
    <w:rsid w:val="001F49EB"/>
    <w:rsid w:val="001F6177"/>
    <w:rsid w:val="001F6CBA"/>
    <w:rsid w:val="00201D4E"/>
    <w:rsid w:val="002029D7"/>
    <w:rsid w:val="00203022"/>
    <w:rsid w:val="00203713"/>
    <w:rsid w:val="002076C9"/>
    <w:rsid w:val="0021548E"/>
    <w:rsid w:val="002162C5"/>
    <w:rsid w:val="00220B8A"/>
    <w:rsid w:val="002257F3"/>
    <w:rsid w:val="00230A4D"/>
    <w:rsid w:val="002316BD"/>
    <w:rsid w:val="00233456"/>
    <w:rsid w:val="002339A5"/>
    <w:rsid w:val="00251BB4"/>
    <w:rsid w:val="00257848"/>
    <w:rsid w:val="0027084A"/>
    <w:rsid w:val="002736F0"/>
    <w:rsid w:val="00286434"/>
    <w:rsid w:val="00286B7A"/>
    <w:rsid w:val="00286C59"/>
    <w:rsid w:val="0028794E"/>
    <w:rsid w:val="0029189F"/>
    <w:rsid w:val="00291957"/>
    <w:rsid w:val="00291980"/>
    <w:rsid w:val="002942D1"/>
    <w:rsid w:val="0029501A"/>
    <w:rsid w:val="002A25DD"/>
    <w:rsid w:val="002A3721"/>
    <w:rsid w:val="002A71D4"/>
    <w:rsid w:val="002B1638"/>
    <w:rsid w:val="002B3624"/>
    <w:rsid w:val="002D0952"/>
    <w:rsid w:val="002E40B3"/>
    <w:rsid w:val="002E4C9A"/>
    <w:rsid w:val="002E5CEF"/>
    <w:rsid w:val="002F11F8"/>
    <w:rsid w:val="002F3F56"/>
    <w:rsid w:val="002F44B5"/>
    <w:rsid w:val="00311AC0"/>
    <w:rsid w:val="003130DA"/>
    <w:rsid w:val="0031719D"/>
    <w:rsid w:val="003176FC"/>
    <w:rsid w:val="0032583B"/>
    <w:rsid w:val="00327883"/>
    <w:rsid w:val="00330D0C"/>
    <w:rsid w:val="003328D2"/>
    <w:rsid w:val="00335504"/>
    <w:rsid w:val="00337E7F"/>
    <w:rsid w:val="00340C18"/>
    <w:rsid w:val="003442FD"/>
    <w:rsid w:val="00347824"/>
    <w:rsid w:val="00350567"/>
    <w:rsid w:val="003521E8"/>
    <w:rsid w:val="00355657"/>
    <w:rsid w:val="0036557E"/>
    <w:rsid w:val="00370CE3"/>
    <w:rsid w:val="003728F3"/>
    <w:rsid w:val="0037496E"/>
    <w:rsid w:val="00383221"/>
    <w:rsid w:val="003857F4"/>
    <w:rsid w:val="00386150"/>
    <w:rsid w:val="003864CC"/>
    <w:rsid w:val="003874CE"/>
    <w:rsid w:val="00390900"/>
    <w:rsid w:val="00390CC9"/>
    <w:rsid w:val="003A7E76"/>
    <w:rsid w:val="003A7F6C"/>
    <w:rsid w:val="003B2F88"/>
    <w:rsid w:val="003B40DF"/>
    <w:rsid w:val="003B4D60"/>
    <w:rsid w:val="003B7E39"/>
    <w:rsid w:val="003C06F8"/>
    <w:rsid w:val="003C58DC"/>
    <w:rsid w:val="003C68E0"/>
    <w:rsid w:val="003D17C2"/>
    <w:rsid w:val="003D1E62"/>
    <w:rsid w:val="003D31CD"/>
    <w:rsid w:val="003D3DB2"/>
    <w:rsid w:val="003D6F15"/>
    <w:rsid w:val="003E0B99"/>
    <w:rsid w:val="003E2486"/>
    <w:rsid w:val="003E3208"/>
    <w:rsid w:val="003F0B04"/>
    <w:rsid w:val="0040134E"/>
    <w:rsid w:val="004145D0"/>
    <w:rsid w:val="00423A3F"/>
    <w:rsid w:val="004334C7"/>
    <w:rsid w:val="00440A2D"/>
    <w:rsid w:val="00441C3F"/>
    <w:rsid w:val="00455614"/>
    <w:rsid w:val="004564A7"/>
    <w:rsid w:val="00460465"/>
    <w:rsid w:val="004617BF"/>
    <w:rsid w:val="00463658"/>
    <w:rsid w:val="004637A0"/>
    <w:rsid w:val="004672FA"/>
    <w:rsid w:val="004712C5"/>
    <w:rsid w:val="004722CC"/>
    <w:rsid w:val="0047336D"/>
    <w:rsid w:val="00487096"/>
    <w:rsid w:val="004936E4"/>
    <w:rsid w:val="00494E60"/>
    <w:rsid w:val="00497487"/>
    <w:rsid w:val="004A0AAE"/>
    <w:rsid w:val="004A1791"/>
    <w:rsid w:val="004A6189"/>
    <w:rsid w:val="004A7390"/>
    <w:rsid w:val="004B786A"/>
    <w:rsid w:val="004B7B76"/>
    <w:rsid w:val="004C239D"/>
    <w:rsid w:val="004C2DCA"/>
    <w:rsid w:val="004C61D2"/>
    <w:rsid w:val="004D2AB1"/>
    <w:rsid w:val="004F0C4A"/>
    <w:rsid w:val="004F0F38"/>
    <w:rsid w:val="004F4465"/>
    <w:rsid w:val="004F47D6"/>
    <w:rsid w:val="00501921"/>
    <w:rsid w:val="005033BB"/>
    <w:rsid w:val="00512A53"/>
    <w:rsid w:val="00516F7D"/>
    <w:rsid w:val="00527A3B"/>
    <w:rsid w:val="00530354"/>
    <w:rsid w:val="00531CFB"/>
    <w:rsid w:val="0053625B"/>
    <w:rsid w:val="00537C81"/>
    <w:rsid w:val="0054303F"/>
    <w:rsid w:val="005434C6"/>
    <w:rsid w:val="00543B39"/>
    <w:rsid w:val="00546154"/>
    <w:rsid w:val="005471CF"/>
    <w:rsid w:val="00550096"/>
    <w:rsid w:val="00555280"/>
    <w:rsid w:val="00557FF9"/>
    <w:rsid w:val="00560BFC"/>
    <w:rsid w:val="00562327"/>
    <w:rsid w:val="005640DF"/>
    <w:rsid w:val="005663D3"/>
    <w:rsid w:val="005711D5"/>
    <w:rsid w:val="00576378"/>
    <w:rsid w:val="00577130"/>
    <w:rsid w:val="00577945"/>
    <w:rsid w:val="00577E38"/>
    <w:rsid w:val="00585322"/>
    <w:rsid w:val="005857C6"/>
    <w:rsid w:val="005876F0"/>
    <w:rsid w:val="00592F6E"/>
    <w:rsid w:val="00593AD1"/>
    <w:rsid w:val="005A064A"/>
    <w:rsid w:val="005A4943"/>
    <w:rsid w:val="005A68B6"/>
    <w:rsid w:val="005B1451"/>
    <w:rsid w:val="005C5570"/>
    <w:rsid w:val="005C79A4"/>
    <w:rsid w:val="005D5442"/>
    <w:rsid w:val="005E3D79"/>
    <w:rsid w:val="005F7AEB"/>
    <w:rsid w:val="00600BA8"/>
    <w:rsid w:val="00603F32"/>
    <w:rsid w:val="00605AD4"/>
    <w:rsid w:val="00607D64"/>
    <w:rsid w:val="00625A6E"/>
    <w:rsid w:val="00632398"/>
    <w:rsid w:val="0063291D"/>
    <w:rsid w:val="0063452E"/>
    <w:rsid w:val="00640FC3"/>
    <w:rsid w:val="00642020"/>
    <w:rsid w:val="0065337B"/>
    <w:rsid w:val="0065419D"/>
    <w:rsid w:val="006604D8"/>
    <w:rsid w:val="00664A5B"/>
    <w:rsid w:val="0066735C"/>
    <w:rsid w:val="006763D2"/>
    <w:rsid w:val="00680C08"/>
    <w:rsid w:val="00681550"/>
    <w:rsid w:val="006916A0"/>
    <w:rsid w:val="00692EBC"/>
    <w:rsid w:val="006931B1"/>
    <w:rsid w:val="006A15C0"/>
    <w:rsid w:val="006A3BD5"/>
    <w:rsid w:val="006C3E2A"/>
    <w:rsid w:val="006C642F"/>
    <w:rsid w:val="006D03E5"/>
    <w:rsid w:val="006D5D3E"/>
    <w:rsid w:val="006E08B3"/>
    <w:rsid w:val="006F17AC"/>
    <w:rsid w:val="006F25B8"/>
    <w:rsid w:val="006F572E"/>
    <w:rsid w:val="006F7053"/>
    <w:rsid w:val="00702E48"/>
    <w:rsid w:val="007035C3"/>
    <w:rsid w:val="007046D6"/>
    <w:rsid w:val="00705DB0"/>
    <w:rsid w:val="00714D4B"/>
    <w:rsid w:val="00717C25"/>
    <w:rsid w:val="00722B57"/>
    <w:rsid w:val="00730F8A"/>
    <w:rsid w:val="00731766"/>
    <w:rsid w:val="0073471D"/>
    <w:rsid w:val="00734B2E"/>
    <w:rsid w:val="00735A8C"/>
    <w:rsid w:val="0074253D"/>
    <w:rsid w:val="0074429B"/>
    <w:rsid w:val="007615BC"/>
    <w:rsid w:val="00762F05"/>
    <w:rsid w:val="007652FF"/>
    <w:rsid w:val="007664CA"/>
    <w:rsid w:val="00770CAC"/>
    <w:rsid w:val="00770EF1"/>
    <w:rsid w:val="00773EF7"/>
    <w:rsid w:val="00774E1D"/>
    <w:rsid w:val="007765D8"/>
    <w:rsid w:val="0077675A"/>
    <w:rsid w:val="00780355"/>
    <w:rsid w:val="007819FD"/>
    <w:rsid w:val="00783F45"/>
    <w:rsid w:val="00784D0E"/>
    <w:rsid w:val="00785717"/>
    <w:rsid w:val="00785721"/>
    <w:rsid w:val="00793A59"/>
    <w:rsid w:val="00794B10"/>
    <w:rsid w:val="007A7DA0"/>
    <w:rsid w:val="007B377F"/>
    <w:rsid w:val="007B6132"/>
    <w:rsid w:val="007B6E9F"/>
    <w:rsid w:val="007C1216"/>
    <w:rsid w:val="007C1AF7"/>
    <w:rsid w:val="007C6B9B"/>
    <w:rsid w:val="007E6643"/>
    <w:rsid w:val="007E6D40"/>
    <w:rsid w:val="007F3219"/>
    <w:rsid w:val="00802EA3"/>
    <w:rsid w:val="00805D27"/>
    <w:rsid w:val="00806DCB"/>
    <w:rsid w:val="00814EEA"/>
    <w:rsid w:val="00821776"/>
    <w:rsid w:val="008321F5"/>
    <w:rsid w:val="00832369"/>
    <w:rsid w:val="00834660"/>
    <w:rsid w:val="008359BE"/>
    <w:rsid w:val="00836BC2"/>
    <w:rsid w:val="00840811"/>
    <w:rsid w:val="0084590A"/>
    <w:rsid w:val="008509D6"/>
    <w:rsid w:val="0085156D"/>
    <w:rsid w:val="0085641B"/>
    <w:rsid w:val="00857136"/>
    <w:rsid w:val="008611F6"/>
    <w:rsid w:val="00867482"/>
    <w:rsid w:val="00870F3F"/>
    <w:rsid w:val="00874B13"/>
    <w:rsid w:val="00875A6B"/>
    <w:rsid w:val="00876607"/>
    <w:rsid w:val="00877B4A"/>
    <w:rsid w:val="0088437F"/>
    <w:rsid w:val="00885B11"/>
    <w:rsid w:val="00886D15"/>
    <w:rsid w:val="00887DD8"/>
    <w:rsid w:val="00891A26"/>
    <w:rsid w:val="00891BA9"/>
    <w:rsid w:val="00896018"/>
    <w:rsid w:val="008960DD"/>
    <w:rsid w:val="0089635C"/>
    <w:rsid w:val="0089743E"/>
    <w:rsid w:val="00897536"/>
    <w:rsid w:val="008A2B9D"/>
    <w:rsid w:val="008A3D9F"/>
    <w:rsid w:val="008A5E0B"/>
    <w:rsid w:val="008A6445"/>
    <w:rsid w:val="008A6D59"/>
    <w:rsid w:val="008B4B03"/>
    <w:rsid w:val="008B596F"/>
    <w:rsid w:val="008C159F"/>
    <w:rsid w:val="008C1623"/>
    <w:rsid w:val="008C1850"/>
    <w:rsid w:val="008C4728"/>
    <w:rsid w:val="008C51A9"/>
    <w:rsid w:val="008E7846"/>
    <w:rsid w:val="008F02E5"/>
    <w:rsid w:val="008F1CCC"/>
    <w:rsid w:val="008F2967"/>
    <w:rsid w:val="008F534F"/>
    <w:rsid w:val="008F6943"/>
    <w:rsid w:val="008F6F24"/>
    <w:rsid w:val="00900093"/>
    <w:rsid w:val="00902A21"/>
    <w:rsid w:val="00912E0B"/>
    <w:rsid w:val="00913587"/>
    <w:rsid w:val="00920330"/>
    <w:rsid w:val="00920609"/>
    <w:rsid w:val="009219D7"/>
    <w:rsid w:val="00922D53"/>
    <w:rsid w:val="00923B70"/>
    <w:rsid w:val="00924482"/>
    <w:rsid w:val="00925410"/>
    <w:rsid w:val="0092744D"/>
    <w:rsid w:val="00930237"/>
    <w:rsid w:val="00937C17"/>
    <w:rsid w:val="00940A89"/>
    <w:rsid w:val="0094660D"/>
    <w:rsid w:val="00946EA5"/>
    <w:rsid w:val="00961682"/>
    <w:rsid w:val="00963C08"/>
    <w:rsid w:val="009752A5"/>
    <w:rsid w:val="0098585A"/>
    <w:rsid w:val="009A2025"/>
    <w:rsid w:val="009A4CED"/>
    <w:rsid w:val="009A690D"/>
    <w:rsid w:val="009B1BB7"/>
    <w:rsid w:val="009B1D12"/>
    <w:rsid w:val="009B416B"/>
    <w:rsid w:val="009B42EF"/>
    <w:rsid w:val="009B6756"/>
    <w:rsid w:val="009C4BD5"/>
    <w:rsid w:val="009D060C"/>
    <w:rsid w:val="009D6A1E"/>
    <w:rsid w:val="009D7B77"/>
    <w:rsid w:val="009E0BB0"/>
    <w:rsid w:val="009E3FBB"/>
    <w:rsid w:val="009E4EFD"/>
    <w:rsid w:val="009F26DB"/>
    <w:rsid w:val="009F7353"/>
    <w:rsid w:val="00A04F85"/>
    <w:rsid w:val="00A05FA4"/>
    <w:rsid w:val="00A06CF6"/>
    <w:rsid w:val="00A102E4"/>
    <w:rsid w:val="00A12C42"/>
    <w:rsid w:val="00A14DF7"/>
    <w:rsid w:val="00A3246D"/>
    <w:rsid w:val="00A33F11"/>
    <w:rsid w:val="00A36FA7"/>
    <w:rsid w:val="00A37711"/>
    <w:rsid w:val="00A37DFD"/>
    <w:rsid w:val="00A400FC"/>
    <w:rsid w:val="00A44DDB"/>
    <w:rsid w:val="00A475B7"/>
    <w:rsid w:val="00A47AF7"/>
    <w:rsid w:val="00A47C3E"/>
    <w:rsid w:val="00A50226"/>
    <w:rsid w:val="00A511E3"/>
    <w:rsid w:val="00A540E3"/>
    <w:rsid w:val="00A60BAD"/>
    <w:rsid w:val="00A6355F"/>
    <w:rsid w:val="00A669E9"/>
    <w:rsid w:val="00A7605B"/>
    <w:rsid w:val="00A76651"/>
    <w:rsid w:val="00A80B5B"/>
    <w:rsid w:val="00A84E36"/>
    <w:rsid w:val="00A85406"/>
    <w:rsid w:val="00A9362E"/>
    <w:rsid w:val="00A964D1"/>
    <w:rsid w:val="00AA0ED0"/>
    <w:rsid w:val="00AB3272"/>
    <w:rsid w:val="00AC1C8B"/>
    <w:rsid w:val="00AC2B40"/>
    <w:rsid w:val="00AC2BB2"/>
    <w:rsid w:val="00AC2C3C"/>
    <w:rsid w:val="00AC512D"/>
    <w:rsid w:val="00AD0083"/>
    <w:rsid w:val="00AD043A"/>
    <w:rsid w:val="00AD0F24"/>
    <w:rsid w:val="00AD3935"/>
    <w:rsid w:val="00AE2978"/>
    <w:rsid w:val="00AE65EB"/>
    <w:rsid w:val="00AE67A7"/>
    <w:rsid w:val="00AF1D94"/>
    <w:rsid w:val="00AF60C5"/>
    <w:rsid w:val="00B009C6"/>
    <w:rsid w:val="00B01548"/>
    <w:rsid w:val="00B13EBD"/>
    <w:rsid w:val="00B20BE8"/>
    <w:rsid w:val="00B21D29"/>
    <w:rsid w:val="00B25034"/>
    <w:rsid w:val="00B324E5"/>
    <w:rsid w:val="00B328A8"/>
    <w:rsid w:val="00B33588"/>
    <w:rsid w:val="00B33863"/>
    <w:rsid w:val="00B37D17"/>
    <w:rsid w:val="00B4175E"/>
    <w:rsid w:val="00B41CDD"/>
    <w:rsid w:val="00B452CE"/>
    <w:rsid w:val="00B45DD3"/>
    <w:rsid w:val="00B54C25"/>
    <w:rsid w:val="00B67152"/>
    <w:rsid w:val="00B76B91"/>
    <w:rsid w:val="00B77EB1"/>
    <w:rsid w:val="00B811C6"/>
    <w:rsid w:val="00B855B0"/>
    <w:rsid w:val="00B86D29"/>
    <w:rsid w:val="00B92E08"/>
    <w:rsid w:val="00B938B2"/>
    <w:rsid w:val="00B9427B"/>
    <w:rsid w:val="00BB6AE6"/>
    <w:rsid w:val="00BC0213"/>
    <w:rsid w:val="00BC2A9D"/>
    <w:rsid w:val="00BC538D"/>
    <w:rsid w:val="00BC622A"/>
    <w:rsid w:val="00BC6CE7"/>
    <w:rsid w:val="00BD123B"/>
    <w:rsid w:val="00BE0A78"/>
    <w:rsid w:val="00BE79F0"/>
    <w:rsid w:val="00BF046D"/>
    <w:rsid w:val="00BF1190"/>
    <w:rsid w:val="00BF253E"/>
    <w:rsid w:val="00BF5D04"/>
    <w:rsid w:val="00C009AA"/>
    <w:rsid w:val="00C1164D"/>
    <w:rsid w:val="00C16861"/>
    <w:rsid w:val="00C25353"/>
    <w:rsid w:val="00C346AB"/>
    <w:rsid w:val="00C404A6"/>
    <w:rsid w:val="00C40A36"/>
    <w:rsid w:val="00C40A50"/>
    <w:rsid w:val="00C44419"/>
    <w:rsid w:val="00C45E7B"/>
    <w:rsid w:val="00C471B1"/>
    <w:rsid w:val="00C56D8A"/>
    <w:rsid w:val="00C6316B"/>
    <w:rsid w:val="00C634A9"/>
    <w:rsid w:val="00C64586"/>
    <w:rsid w:val="00C65819"/>
    <w:rsid w:val="00C70286"/>
    <w:rsid w:val="00C70D53"/>
    <w:rsid w:val="00C73D0B"/>
    <w:rsid w:val="00C76011"/>
    <w:rsid w:val="00C772FF"/>
    <w:rsid w:val="00C80137"/>
    <w:rsid w:val="00C801AF"/>
    <w:rsid w:val="00C80256"/>
    <w:rsid w:val="00C90242"/>
    <w:rsid w:val="00C94CD4"/>
    <w:rsid w:val="00C9747E"/>
    <w:rsid w:val="00CA3641"/>
    <w:rsid w:val="00CA65A1"/>
    <w:rsid w:val="00CB6BC0"/>
    <w:rsid w:val="00CC1B7C"/>
    <w:rsid w:val="00CC727F"/>
    <w:rsid w:val="00CF15C3"/>
    <w:rsid w:val="00CF2B6F"/>
    <w:rsid w:val="00CF2F3E"/>
    <w:rsid w:val="00CF58B6"/>
    <w:rsid w:val="00CF7B39"/>
    <w:rsid w:val="00D0062D"/>
    <w:rsid w:val="00D00FE0"/>
    <w:rsid w:val="00D017ED"/>
    <w:rsid w:val="00D040D3"/>
    <w:rsid w:val="00D04C65"/>
    <w:rsid w:val="00D11D3B"/>
    <w:rsid w:val="00D201D2"/>
    <w:rsid w:val="00D224FE"/>
    <w:rsid w:val="00D22A79"/>
    <w:rsid w:val="00D23139"/>
    <w:rsid w:val="00D3299D"/>
    <w:rsid w:val="00D344EF"/>
    <w:rsid w:val="00D40B4D"/>
    <w:rsid w:val="00D425BB"/>
    <w:rsid w:val="00D47B67"/>
    <w:rsid w:val="00D602F3"/>
    <w:rsid w:val="00D609AB"/>
    <w:rsid w:val="00D6493E"/>
    <w:rsid w:val="00D71334"/>
    <w:rsid w:val="00D7195D"/>
    <w:rsid w:val="00D7301E"/>
    <w:rsid w:val="00D8379C"/>
    <w:rsid w:val="00D83AE1"/>
    <w:rsid w:val="00D855D4"/>
    <w:rsid w:val="00D902C9"/>
    <w:rsid w:val="00D93466"/>
    <w:rsid w:val="00DA1124"/>
    <w:rsid w:val="00DA1551"/>
    <w:rsid w:val="00DB6124"/>
    <w:rsid w:val="00DB6CEE"/>
    <w:rsid w:val="00DB750B"/>
    <w:rsid w:val="00DB75B7"/>
    <w:rsid w:val="00DC05DD"/>
    <w:rsid w:val="00DC6AAC"/>
    <w:rsid w:val="00DC6E02"/>
    <w:rsid w:val="00DD28CD"/>
    <w:rsid w:val="00DE02AE"/>
    <w:rsid w:val="00DE5D31"/>
    <w:rsid w:val="00DF1D7F"/>
    <w:rsid w:val="00DF4BE4"/>
    <w:rsid w:val="00E02FB4"/>
    <w:rsid w:val="00E0350C"/>
    <w:rsid w:val="00E049C8"/>
    <w:rsid w:val="00E1001B"/>
    <w:rsid w:val="00E116C1"/>
    <w:rsid w:val="00E13FC7"/>
    <w:rsid w:val="00E20571"/>
    <w:rsid w:val="00E235F7"/>
    <w:rsid w:val="00E23659"/>
    <w:rsid w:val="00E239D4"/>
    <w:rsid w:val="00E26130"/>
    <w:rsid w:val="00E2695E"/>
    <w:rsid w:val="00E35BCF"/>
    <w:rsid w:val="00E40B22"/>
    <w:rsid w:val="00E44ED1"/>
    <w:rsid w:val="00E45619"/>
    <w:rsid w:val="00E4588F"/>
    <w:rsid w:val="00E46A30"/>
    <w:rsid w:val="00E46DA3"/>
    <w:rsid w:val="00E51BB1"/>
    <w:rsid w:val="00E624A5"/>
    <w:rsid w:val="00E64BA4"/>
    <w:rsid w:val="00E72C6C"/>
    <w:rsid w:val="00E7344E"/>
    <w:rsid w:val="00E82665"/>
    <w:rsid w:val="00E82D4F"/>
    <w:rsid w:val="00E90ACF"/>
    <w:rsid w:val="00EA46C7"/>
    <w:rsid w:val="00EA4A7E"/>
    <w:rsid w:val="00EA6D79"/>
    <w:rsid w:val="00EB0798"/>
    <w:rsid w:val="00EB40AD"/>
    <w:rsid w:val="00EB586E"/>
    <w:rsid w:val="00EB5ADD"/>
    <w:rsid w:val="00EB5FC8"/>
    <w:rsid w:val="00EC108E"/>
    <w:rsid w:val="00EC463D"/>
    <w:rsid w:val="00EC7A85"/>
    <w:rsid w:val="00ED04F5"/>
    <w:rsid w:val="00ED2922"/>
    <w:rsid w:val="00ED3CAD"/>
    <w:rsid w:val="00ED5A41"/>
    <w:rsid w:val="00EE1DE8"/>
    <w:rsid w:val="00EE27C2"/>
    <w:rsid w:val="00EE637D"/>
    <w:rsid w:val="00EF4BAD"/>
    <w:rsid w:val="00EF59DC"/>
    <w:rsid w:val="00F02AA3"/>
    <w:rsid w:val="00F033EC"/>
    <w:rsid w:val="00F04F68"/>
    <w:rsid w:val="00F10398"/>
    <w:rsid w:val="00F12670"/>
    <w:rsid w:val="00F14B27"/>
    <w:rsid w:val="00F227C7"/>
    <w:rsid w:val="00F3148D"/>
    <w:rsid w:val="00F325C5"/>
    <w:rsid w:val="00F32FE0"/>
    <w:rsid w:val="00F35298"/>
    <w:rsid w:val="00F41FC2"/>
    <w:rsid w:val="00F47333"/>
    <w:rsid w:val="00F47E37"/>
    <w:rsid w:val="00F53C07"/>
    <w:rsid w:val="00F54B65"/>
    <w:rsid w:val="00F616AC"/>
    <w:rsid w:val="00F640B6"/>
    <w:rsid w:val="00F66DF2"/>
    <w:rsid w:val="00F6738F"/>
    <w:rsid w:val="00F7570A"/>
    <w:rsid w:val="00F80E40"/>
    <w:rsid w:val="00F848D9"/>
    <w:rsid w:val="00F86EAE"/>
    <w:rsid w:val="00F97E7F"/>
    <w:rsid w:val="00FA5B82"/>
    <w:rsid w:val="00FA639E"/>
    <w:rsid w:val="00FB6375"/>
    <w:rsid w:val="00FC1FCA"/>
    <w:rsid w:val="00FC25E4"/>
    <w:rsid w:val="00FC4EF7"/>
    <w:rsid w:val="00FC7D85"/>
    <w:rsid w:val="00FD0824"/>
    <w:rsid w:val="00FD119B"/>
    <w:rsid w:val="00FD1EDC"/>
    <w:rsid w:val="00FD5597"/>
    <w:rsid w:val="00FD66BB"/>
    <w:rsid w:val="00FE1DEE"/>
    <w:rsid w:val="00FE6B82"/>
    <w:rsid w:val="00FF0D5B"/>
    <w:rsid w:val="00FF2126"/>
    <w:rsid w:val="00FF3153"/>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61C9A"/>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5E3D79"/>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5E3D79"/>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E72C6C"/>
    <w:pPr>
      <w:numPr>
        <w:numId w:val="3"/>
      </w:numPr>
      <w:ind w:left="357" w:hanging="357"/>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5E3D79"/>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5E3D79"/>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5E3D79"/>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5E3D79"/>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Abbreviations">
    <w:name w:val="Abbreviations"/>
    <w:basedOn w:val="Normal"/>
    <w:rsid w:val="008F534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ListParagraph">
    <w:name w:val="List Paragraph"/>
    <w:basedOn w:val="Normal"/>
    <w:uiPriority w:val="34"/>
    <w:qFormat/>
    <w:rsid w:val="00160E30"/>
    <w:pPr>
      <w:adjustRightInd w:val="0"/>
      <w:snapToGrid w:val="0"/>
      <w:spacing w:before="180" w:after="180"/>
      <w:ind w:left="720"/>
      <w:contextualSpacing/>
    </w:pPr>
    <w:rPr>
      <w:rFonts w:eastAsia="MS Mincho"/>
      <w:szCs w:val="20"/>
      <w:lang w:eastAsia="ja-JP"/>
    </w:rPr>
  </w:style>
  <w:style w:type="paragraph" w:customStyle="1" w:styleId="A-Head2">
    <w:name w:val="A-Head 2"/>
    <w:basedOn w:val="Normal"/>
    <w:rsid w:val="00337E7F"/>
    <w:pPr>
      <w:tabs>
        <w:tab w:val="left" w:pos="1134"/>
      </w:tabs>
      <w:spacing w:before="240" w:after="60" w:line="240" w:lineRule="auto"/>
      <w:ind w:right="-108"/>
    </w:pPr>
    <w:rPr>
      <w:rFonts w:ascii="Arial" w:eastAsia="Times New Roman" w:hAnsi="Arial"/>
      <w:b/>
      <w:sz w:val="32"/>
      <w:szCs w:val="20"/>
    </w:rPr>
  </w:style>
  <w:style w:type="paragraph" w:customStyle="1" w:styleId="A-Head6">
    <w:name w:val="A-Head 6"/>
    <w:basedOn w:val="Normal"/>
    <w:link w:val="A-Head6Char"/>
    <w:rsid w:val="00E1001B"/>
    <w:pPr>
      <w:spacing w:before="60" w:after="0" w:line="240" w:lineRule="auto"/>
    </w:pPr>
    <w:rPr>
      <w:rFonts w:ascii="Arial" w:eastAsia="Times New Roman" w:hAnsi="Arial"/>
      <w:b/>
      <w:szCs w:val="20"/>
      <w:lang w:eastAsia="en-AU"/>
    </w:rPr>
  </w:style>
  <w:style w:type="character" w:customStyle="1" w:styleId="A-Head6Char">
    <w:name w:val="A-Head 6 Char"/>
    <w:link w:val="A-Head6"/>
    <w:rsid w:val="00E1001B"/>
    <w:rPr>
      <w:rFonts w:ascii="Arial" w:eastAsia="Times New Roman" w:hAnsi="Arial" w:cs="Times New Roman"/>
      <w:b/>
      <w:szCs w:val="20"/>
      <w:lang w:eastAsia="en-AU"/>
    </w:rPr>
  </w:style>
  <w:style w:type="paragraph" w:customStyle="1" w:styleId="A-Head3">
    <w:name w:val="A-Head 3"/>
    <w:basedOn w:val="Normal"/>
    <w:link w:val="A-Head3Char"/>
    <w:rsid w:val="00E1001B"/>
    <w:pPr>
      <w:widowControl w:val="0"/>
      <w:tabs>
        <w:tab w:val="left" w:pos="851"/>
      </w:tabs>
      <w:spacing w:after="60" w:line="240" w:lineRule="auto"/>
      <w:ind w:left="1418" w:right="-108" w:hanging="1418"/>
    </w:pPr>
    <w:rPr>
      <w:rFonts w:ascii="Arial" w:eastAsia="Times New Roman" w:hAnsi="Arial"/>
      <w:b/>
      <w:sz w:val="28"/>
      <w:szCs w:val="20"/>
      <w:lang w:eastAsia="en-AU"/>
    </w:rPr>
  </w:style>
  <w:style w:type="character" w:customStyle="1" w:styleId="A-Head3Char">
    <w:name w:val="A-Head 3 Char"/>
    <w:basedOn w:val="DefaultParagraphFont"/>
    <w:link w:val="A-Head3"/>
    <w:locked/>
    <w:rsid w:val="00E1001B"/>
    <w:rPr>
      <w:rFonts w:ascii="Arial" w:eastAsia="Times New Roman" w:hAnsi="Arial" w:cs="Times New Roman"/>
      <w:b/>
      <w:sz w:val="28"/>
      <w:szCs w:val="20"/>
      <w:lang w:eastAsia="en-AU"/>
    </w:rPr>
  </w:style>
  <w:style w:type="paragraph" w:customStyle="1" w:styleId="Standard">
    <w:name w:val="Standard"/>
    <w:basedOn w:val="Normal"/>
    <w:link w:val="StandardChar"/>
    <w:rsid w:val="00DA1551"/>
    <w:pPr>
      <w:spacing w:before="0" w:after="220" w:line="252" w:lineRule="auto"/>
    </w:pPr>
    <w:rPr>
      <w:rFonts w:asciiTheme="minorHAnsi" w:eastAsia="Times New Roman" w:hAnsiTheme="minorHAnsi"/>
      <w:snapToGrid w:val="0"/>
      <w:kern w:val="16"/>
      <w:szCs w:val="24"/>
      <w:lang w:eastAsia="en-AU"/>
    </w:rPr>
  </w:style>
  <w:style w:type="paragraph" w:customStyle="1" w:styleId="SectionHeading">
    <w:name w:val="Section Heading"/>
    <w:basedOn w:val="Standard"/>
    <w:next w:val="Standard"/>
    <w:link w:val="SectionHeadingCharChar"/>
    <w:rsid w:val="00DA1551"/>
    <w:pPr>
      <w:keepNext/>
      <w:outlineLvl w:val="0"/>
    </w:pPr>
    <w:rPr>
      <w:b/>
      <w:caps/>
      <w:sz w:val="24"/>
    </w:rPr>
  </w:style>
  <w:style w:type="character" w:customStyle="1" w:styleId="StandardChar">
    <w:name w:val="Standard Char"/>
    <w:basedOn w:val="DefaultParagraphFont"/>
    <w:link w:val="Standard"/>
    <w:rsid w:val="00DA1551"/>
    <w:rPr>
      <w:rFonts w:eastAsia="Times New Roman" w:cs="Times New Roman"/>
      <w:snapToGrid w:val="0"/>
      <w:kern w:val="16"/>
      <w:szCs w:val="24"/>
      <w:lang w:eastAsia="en-AU"/>
    </w:rPr>
  </w:style>
  <w:style w:type="character" w:customStyle="1" w:styleId="SectionHeadingCharChar">
    <w:name w:val="Section Heading Char Char"/>
    <w:basedOn w:val="DefaultParagraphFont"/>
    <w:link w:val="SectionHeading"/>
    <w:rsid w:val="00DA1551"/>
    <w:rPr>
      <w:rFonts w:eastAsia="Times New Roman" w:cs="Times New Roman"/>
      <w:b/>
      <w:caps/>
      <w:snapToGrid w:val="0"/>
      <w:kern w:val="16"/>
      <w:sz w:val="24"/>
      <w:szCs w:val="24"/>
      <w:lang w:eastAsia="en-AU"/>
    </w:rPr>
  </w:style>
  <w:style w:type="paragraph" w:customStyle="1" w:styleId="Bulletpoint">
    <w:name w:val="Bullet point"/>
    <w:basedOn w:val="Standard"/>
    <w:rsid w:val="00DA1551"/>
    <w:pPr>
      <w:numPr>
        <w:numId w:val="8"/>
      </w:numPr>
      <w:tabs>
        <w:tab w:val="clear" w:pos="369"/>
        <w:tab w:val="left" w:pos="397"/>
        <w:tab w:val="num" w:pos="511"/>
      </w:tabs>
      <w:spacing w:after="180"/>
      <w:ind w:left="0" w:firstLine="0"/>
    </w:pPr>
  </w:style>
  <w:style w:type="paragraph" w:customStyle="1" w:styleId="AssessmentSubsection">
    <w:name w:val="Assessment Subsection"/>
    <w:basedOn w:val="Standard"/>
    <w:next w:val="Standard"/>
    <w:rsid w:val="00AB3272"/>
    <w:pPr>
      <w:keepNext/>
      <w:spacing w:after="110"/>
      <w:outlineLvl w:val="2"/>
    </w:pPr>
    <w:rPr>
      <w:b/>
      <w:i/>
    </w:rPr>
  </w:style>
  <w:style w:type="character" w:customStyle="1" w:styleId="TableTitleChar">
    <w:name w:val="Table Title Char"/>
    <w:basedOn w:val="DefaultParagraphFont"/>
    <w:link w:val="TableTitle"/>
    <w:rsid w:val="00AB3272"/>
    <w:rPr>
      <w:rFonts w:ascii="Cambria" w:eastAsia="Cambria" w:hAnsi="Cambria" w:cs="Times New Roman"/>
      <w:b/>
    </w:rPr>
  </w:style>
  <w:style w:type="character" w:customStyle="1" w:styleId="TabletextChar">
    <w:name w:val="Table text Char"/>
    <w:basedOn w:val="DefaultParagraphFont"/>
    <w:link w:val="Tabletext"/>
    <w:rsid w:val="00AB3272"/>
    <w:rPr>
      <w:rFonts w:ascii="Cambria" w:eastAsia="Cambria" w:hAnsi="Cambria" w:cs="Times New Roman"/>
      <w:sz w:val="19"/>
    </w:rPr>
  </w:style>
  <w:style w:type="paragraph" w:customStyle="1" w:styleId="TableHeader">
    <w:name w:val="Table Header"/>
    <w:basedOn w:val="Normal"/>
    <w:rsid w:val="00AB3272"/>
    <w:pPr>
      <w:keepNext/>
      <w:keepLines/>
      <w:widowControl w:val="0"/>
      <w:spacing w:before="60" w:after="60" w:line="200" w:lineRule="exact"/>
      <w:jc w:val="center"/>
    </w:pPr>
    <w:rPr>
      <w:rFonts w:asciiTheme="minorHAnsi" w:eastAsiaTheme="minorEastAsia" w:hAnsiTheme="minorHAnsi" w:cstheme="minorBidi"/>
      <w:b/>
      <w:kern w:val="2"/>
      <w:sz w:val="19"/>
      <w:szCs w:val="19"/>
      <w:lang w:eastAsia="en-AU"/>
    </w:rPr>
  </w:style>
  <w:style w:type="paragraph" w:customStyle="1" w:styleId="TableCaption">
    <w:name w:val="Table Caption"/>
    <w:basedOn w:val="Standard"/>
    <w:next w:val="Standard"/>
    <w:link w:val="TableCaptionChar"/>
    <w:rsid w:val="00AC1C8B"/>
    <w:pPr>
      <w:spacing w:before="60" w:after="440" w:line="215" w:lineRule="exact"/>
      <w:ind w:left="170"/>
    </w:pPr>
    <w:rPr>
      <w:sz w:val="18"/>
      <w:szCs w:val="19"/>
    </w:rPr>
  </w:style>
  <w:style w:type="character" w:customStyle="1" w:styleId="TableCaptionChar">
    <w:name w:val="Table Caption Char"/>
    <w:basedOn w:val="DefaultParagraphFont"/>
    <w:link w:val="TableCaption"/>
    <w:rsid w:val="00AC1C8B"/>
    <w:rPr>
      <w:rFonts w:eastAsia="Times New Roman" w:cs="Times New Roman"/>
      <w:snapToGrid w:val="0"/>
      <w:kern w:val="16"/>
      <w:sz w:val="18"/>
      <w:szCs w:val="19"/>
      <w:lang w:eastAsia="en-AU"/>
    </w:rPr>
  </w:style>
  <w:style w:type="paragraph" w:customStyle="1" w:styleId="AssessmentSection">
    <w:name w:val="Assessment Section"/>
    <w:basedOn w:val="AssessmentSubsection"/>
    <w:next w:val="Standard"/>
    <w:rsid w:val="007A7DA0"/>
    <w:pPr>
      <w:outlineLvl w:val="1"/>
    </w:pPr>
    <w:rPr>
      <w:i w:val="0"/>
    </w:rPr>
  </w:style>
  <w:style w:type="paragraph" w:customStyle="1" w:styleId="Tabletitle0">
    <w:name w:val="Table title"/>
    <w:basedOn w:val="Normal"/>
    <w:next w:val="Normal"/>
    <w:rsid w:val="003864CC"/>
    <w:pPr>
      <w:keepNext/>
      <w:spacing w:after="180"/>
      <w:outlineLvl w:val="4"/>
    </w:pPr>
    <w:rPr>
      <w:rFonts w:cstheme="minorBidi"/>
      <w:b/>
    </w:rPr>
  </w:style>
  <w:style w:type="paragraph" w:customStyle="1" w:styleId="Default">
    <w:name w:val="Default"/>
    <w:rsid w:val="004B786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1">
    <w:name w:val="st1"/>
    <w:basedOn w:val="DefaultParagraphFont"/>
    <w:rsid w:val="003857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61C9A"/>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5E3D79"/>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5E3D79"/>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E72C6C"/>
    <w:pPr>
      <w:numPr>
        <w:numId w:val="3"/>
      </w:numPr>
      <w:ind w:left="357" w:hanging="357"/>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5E3D79"/>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5E3D79"/>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5E3D79"/>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5E3D79"/>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Abbreviations">
    <w:name w:val="Abbreviations"/>
    <w:basedOn w:val="Normal"/>
    <w:rsid w:val="008F534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ListParagraph">
    <w:name w:val="List Paragraph"/>
    <w:basedOn w:val="Normal"/>
    <w:uiPriority w:val="34"/>
    <w:qFormat/>
    <w:rsid w:val="00160E30"/>
    <w:pPr>
      <w:adjustRightInd w:val="0"/>
      <w:snapToGrid w:val="0"/>
      <w:spacing w:before="180" w:after="180"/>
      <w:ind w:left="720"/>
      <w:contextualSpacing/>
    </w:pPr>
    <w:rPr>
      <w:rFonts w:eastAsia="MS Mincho"/>
      <w:szCs w:val="20"/>
      <w:lang w:eastAsia="ja-JP"/>
    </w:rPr>
  </w:style>
  <w:style w:type="paragraph" w:customStyle="1" w:styleId="A-Head2">
    <w:name w:val="A-Head 2"/>
    <w:basedOn w:val="Normal"/>
    <w:rsid w:val="00337E7F"/>
    <w:pPr>
      <w:tabs>
        <w:tab w:val="left" w:pos="1134"/>
      </w:tabs>
      <w:spacing w:before="240" w:after="60" w:line="240" w:lineRule="auto"/>
      <w:ind w:right="-108"/>
    </w:pPr>
    <w:rPr>
      <w:rFonts w:ascii="Arial" w:eastAsia="Times New Roman" w:hAnsi="Arial"/>
      <w:b/>
      <w:sz w:val="32"/>
      <w:szCs w:val="20"/>
    </w:rPr>
  </w:style>
  <w:style w:type="paragraph" w:customStyle="1" w:styleId="A-Head6">
    <w:name w:val="A-Head 6"/>
    <w:basedOn w:val="Normal"/>
    <w:link w:val="A-Head6Char"/>
    <w:rsid w:val="00E1001B"/>
    <w:pPr>
      <w:spacing w:before="60" w:after="0" w:line="240" w:lineRule="auto"/>
    </w:pPr>
    <w:rPr>
      <w:rFonts w:ascii="Arial" w:eastAsia="Times New Roman" w:hAnsi="Arial"/>
      <w:b/>
      <w:szCs w:val="20"/>
      <w:lang w:eastAsia="en-AU"/>
    </w:rPr>
  </w:style>
  <w:style w:type="character" w:customStyle="1" w:styleId="A-Head6Char">
    <w:name w:val="A-Head 6 Char"/>
    <w:link w:val="A-Head6"/>
    <w:rsid w:val="00E1001B"/>
    <w:rPr>
      <w:rFonts w:ascii="Arial" w:eastAsia="Times New Roman" w:hAnsi="Arial" w:cs="Times New Roman"/>
      <w:b/>
      <w:szCs w:val="20"/>
      <w:lang w:eastAsia="en-AU"/>
    </w:rPr>
  </w:style>
  <w:style w:type="paragraph" w:customStyle="1" w:styleId="A-Head3">
    <w:name w:val="A-Head 3"/>
    <w:basedOn w:val="Normal"/>
    <w:link w:val="A-Head3Char"/>
    <w:rsid w:val="00E1001B"/>
    <w:pPr>
      <w:widowControl w:val="0"/>
      <w:tabs>
        <w:tab w:val="left" w:pos="851"/>
      </w:tabs>
      <w:spacing w:after="60" w:line="240" w:lineRule="auto"/>
      <w:ind w:left="1418" w:right="-108" w:hanging="1418"/>
    </w:pPr>
    <w:rPr>
      <w:rFonts w:ascii="Arial" w:eastAsia="Times New Roman" w:hAnsi="Arial"/>
      <w:b/>
      <w:sz w:val="28"/>
      <w:szCs w:val="20"/>
      <w:lang w:eastAsia="en-AU"/>
    </w:rPr>
  </w:style>
  <w:style w:type="character" w:customStyle="1" w:styleId="A-Head3Char">
    <w:name w:val="A-Head 3 Char"/>
    <w:basedOn w:val="DefaultParagraphFont"/>
    <w:link w:val="A-Head3"/>
    <w:locked/>
    <w:rsid w:val="00E1001B"/>
    <w:rPr>
      <w:rFonts w:ascii="Arial" w:eastAsia="Times New Roman" w:hAnsi="Arial" w:cs="Times New Roman"/>
      <w:b/>
      <w:sz w:val="28"/>
      <w:szCs w:val="20"/>
      <w:lang w:eastAsia="en-AU"/>
    </w:rPr>
  </w:style>
  <w:style w:type="paragraph" w:customStyle="1" w:styleId="Standard">
    <w:name w:val="Standard"/>
    <w:basedOn w:val="Normal"/>
    <w:link w:val="StandardChar"/>
    <w:rsid w:val="00DA1551"/>
    <w:pPr>
      <w:spacing w:before="0" w:after="220" w:line="252" w:lineRule="auto"/>
    </w:pPr>
    <w:rPr>
      <w:rFonts w:asciiTheme="minorHAnsi" w:eastAsia="Times New Roman" w:hAnsiTheme="minorHAnsi"/>
      <w:snapToGrid w:val="0"/>
      <w:kern w:val="16"/>
      <w:szCs w:val="24"/>
      <w:lang w:eastAsia="en-AU"/>
    </w:rPr>
  </w:style>
  <w:style w:type="paragraph" w:customStyle="1" w:styleId="SectionHeading">
    <w:name w:val="Section Heading"/>
    <w:basedOn w:val="Standard"/>
    <w:next w:val="Standard"/>
    <w:link w:val="SectionHeadingCharChar"/>
    <w:rsid w:val="00DA1551"/>
    <w:pPr>
      <w:keepNext/>
      <w:outlineLvl w:val="0"/>
    </w:pPr>
    <w:rPr>
      <w:b/>
      <w:caps/>
      <w:sz w:val="24"/>
    </w:rPr>
  </w:style>
  <w:style w:type="character" w:customStyle="1" w:styleId="StandardChar">
    <w:name w:val="Standard Char"/>
    <w:basedOn w:val="DefaultParagraphFont"/>
    <w:link w:val="Standard"/>
    <w:rsid w:val="00DA1551"/>
    <w:rPr>
      <w:rFonts w:eastAsia="Times New Roman" w:cs="Times New Roman"/>
      <w:snapToGrid w:val="0"/>
      <w:kern w:val="16"/>
      <w:szCs w:val="24"/>
      <w:lang w:eastAsia="en-AU"/>
    </w:rPr>
  </w:style>
  <w:style w:type="character" w:customStyle="1" w:styleId="SectionHeadingCharChar">
    <w:name w:val="Section Heading Char Char"/>
    <w:basedOn w:val="DefaultParagraphFont"/>
    <w:link w:val="SectionHeading"/>
    <w:rsid w:val="00DA1551"/>
    <w:rPr>
      <w:rFonts w:eastAsia="Times New Roman" w:cs="Times New Roman"/>
      <w:b/>
      <w:caps/>
      <w:snapToGrid w:val="0"/>
      <w:kern w:val="16"/>
      <w:sz w:val="24"/>
      <w:szCs w:val="24"/>
      <w:lang w:eastAsia="en-AU"/>
    </w:rPr>
  </w:style>
  <w:style w:type="paragraph" w:customStyle="1" w:styleId="Bulletpoint">
    <w:name w:val="Bullet point"/>
    <w:basedOn w:val="Standard"/>
    <w:rsid w:val="00DA1551"/>
    <w:pPr>
      <w:numPr>
        <w:numId w:val="8"/>
      </w:numPr>
      <w:tabs>
        <w:tab w:val="clear" w:pos="369"/>
        <w:tab w:val="left" w:pos="397"/>
        <w:tab w:val="num" w:pos="511"/>
      </w:tabs>
      <w:spacing w:after="180"/>
      <w:ind w:left="0" w:firstLine="0"/>
    </w:pPr>
  </w:style>
  <w:style w:type="paragraph" w:customStyle="1" w:styleId="AssessmentSubsection">
    <w:name w:val="Assessment Subsection"/>
    <w:basedOn w:val="Standard"/>
    <w:next w:val="Standard"/>
    <w:rsid w:val="00AB3272"/>
    <w:pPr>
      <w:keepNext/>
      <w:spacing w:after="110"/>
      <w:outlineLvl w:val="2"/>
    </w:pPr>
    <w:rPr>
      <w:b/>
      <w:i/>
    </w:rPr>
  </w:style>
  <w:style w:type="character" w:customStyle="1" w:styleId="TableTitleChar">
    <w:name w:val="Table Title Char"/>
    <w:basedOn w:val="DefaultParagraphFont"/>
    <w:link w:val="TableTitle"/>
    <w:rsid w:val="00AB3272"/>
    <w:rPr>
      <w:rFonts w:ascii="Cambria" w:eastAsia="Cambria" w:hAnsi="Cambria" w:cs="Times New Roman"/>
      <w:b/>
    </w:rPr>
  </w:style>
  <w:style w:type="character" w:customStyle="1" w:styleId="TabletextChar">
    <w:name w:val="Table text Char"/>
    <w:basedOn w:val="DefaultParagraphFont"/>
    <w:link w:val="Tabletext"/>
    <w:rsid w:val="00AB3272"/>
    <w:rPr>
      <w:rFonts w:ascii="Cambria" w:eastAsia="Cambria" w:hAnsi="Cambria" w:cs="Times New Roman"/>
      <w:sz w:val="19"/>
    </w:rPr>
  </w:style>
  <w:style w:type="paragraph" w:customStyle="1" w:styleId="TableHeader">
    <w:name w:val="Table Header"/>
    <w:basedOn w:val="Normal"/>
    <w:rsid w:val="00AB3272"/>
    <w:pPr>
      <w:keepNext/>
      <w:keepLines/>
      <w:widowControl w:val="0"/>
      <w:spacing w:before="60" w:after="60" w:line="200" w:lineRule="exact"/>
      <w:jc w:val="center"/>
    </w:pPr>
    <w:rPr>
      <w:rFonts w:asciiTheme="minorHAnsi" w:eastAsiaTheme="minorEastAsia" w:hAnsiTheme="minorHAnsi" w:cstheme="minorBidi"/>
      <w:b/>
      <w:kern w:val="2"/>
      <w:sz w:val="19"/>
      <w:szCs w:val="19"/>
      <w:lang w:eastAsia="en-AU"/>
    </w:rPr>
  </w:style>
  <w:style w:type="paragraph" w:customStyle="1" w:styleId="TableCaption">
    <w:name w:val="Table Caption"/>
    <w:basedOn w:val="Standard"/>
    <w:next w:val="Standard"/>
    <w:link w:val="TableCaptionChar"/>
    <w:rsid w:val="00AC1C8B"/>
    <w:pPr>
      <w:spacing w:before="60" w:after="440" w:line="215" w:lineRule="exact"/>
      <w:ind w:left="170"/>
    </w:pPr>
    <w:rPr>
      <w:sz w:val="18"/>
      <w:szCs w:val="19"/>
    </w:rPr>
  </w:style>
  <w:style w:type="character" w:customStyle="1" w:styleId="TableCaptionChar">
    <w:name w:val="Table Caption Char"/>
    <w:basedOn w:val="DefaultParagraphFont"/>
    <w:link w:val="TableCaption"/>
    <w:rsid w:val="00AC1C8B"/>
    <w:rPr>
      <w:rFonts w:eastAsia="Times New Roman" w:cs="Times New Roman"/>
      <w:snapToGrid w:val="0"/>
      <w:kern w:val="16"/>
      <w:sz w:val="18"/>
      <w:szCs w:val="19"/>
      <w:lang w:eastAsia="en-AU"/>
    </w:rPr>
  </w:style>
  <w:style w:type="paragraph" w:customStyle="1" w:styleId="AssessmentSection">
    <w:name w:val="Assessment Section"/>
    <w:basedOn w:val="AssessmentSubsection"/>
    <w:next w:val="Standard"/>
    <w:rsid w:val="007A7DA0"/>
    <w:pPr>
      <w:outlineLvl w:val="1"/>
    </w:pPr>
    <w:rPr>
      <w:i w:val="0"/>
    </w:rPr>
  </w:style>
  <w:style w:type="paragraph" w:customStyle="1" w:styleId="Tabletitle0">
    <w:name w:val="Table title"/>
    <w:basedOn w:val="Normal"/>
    <w:next w:val="Normal"/>
    <w:rsid w:val="003864CC"/>
    <w:pPr>
      <w:keepNext/>
      <w:spacing w:after="180"/>
      <w:outlineLvl w:val="4"/>
    </w:pPr>
    <w:rPr>
      <w:rFonts w:cstheme="minorBidi"/>
      <w:b/>
    </w:rPr>
  </w:style>
  <w:style w:type="paragraph" w:customStyle="1" w:styleId="Default">
    <w:name w:val="Default"/>
    <w:rsid w:val="004B786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1">
    <w:name w:val="st1"/>
    <w:basedOn w:val="DefaultParagraphFont"/>
    <w:rsid w:val="00385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67060">
      <w:bodyDiv w:val="1"/>
      <w:marLeft w:val="0"/>
      <w:marRight w:val="0"/>
      <w:marTop w:val="0"/>
      <w:marBottom w:val="0"/>
      <w:divBdr>
        <w:top w:val="none" w:sz="0" w:space="0" w:color="auto"/>
        <w:left w:val="none" w:sz="0" w:space="0" w:color="auto"/>
        <w:bottom w:val="none" w:sz="0" w:space="0" w:color="auto"/>
        <w:right w:val="none" w:sz="0" w:space="0" w:color="auto"/>
      </w:divBdr>
    </w:div>
    <w:div w:id="229191495">
      <w:bodyDiv w:val="1"/>
      <w:marLeft w:val="0"/>
      <w:marRight w:val="0"/>
      <w:marTop w:val="0"/>
      <w:marBottom w:val="0"/>
      <w:divBdr>
        <w:top w:val="none" w:sz="0" w:space="0" w:color="auto"/>
        <w:left w:val="none" w:sz="0" w:space="0" w:color="auto"/>
        <w:bottom w:val="none" w:sz="0" w:space="0" w:color="auto"/>
        <w:right w:val="none" w:sz="0" w:space="0" w:color="auto"/>
      </w:divBdr>
    </w:div>
    <w:div w:id="333264527">
      <w:bodyDiv w:val="1"/>
      <w:marLeft w:val="0"/>
      <w:marRight w:val="0"/>
      <w:marTop w:val="0"/>
      <w:marBottom w:val="0"/>
      <w:divBdr>
        <w:top w:val="none" w:sz="0" w:space="0" w:color="auto"/>
        <w:left w:val="none" w:sz="0" w:space="0" w:color="auto"/>
        <w:bottom w:val="none" w:sz="0" w:space="0" w:color="auto"/>
        <w:right w:val="none" w:sz="0" w:space="0" w:color="auto"/>
      </w:divBdr>
      <w:divsChild>
        <w:div w:id="132455223">
          <w:marLeft w:val="0"/>
          <w:marRight w:val="0"/>
          <w:marTop w:val="0"/>
          <w:marBottom w:val="0"/>
          <w:divBdr>
            <w:top w:val="none" w:sz="0" w:space="0" w:color="auto"/>
            <w:left w:val="none" w:sz="0" w:space="0" w:color="auto"/>
            <w:bottom w:val="none" w:sz="0" w:space="0" w:color="auto"/>
            <w:right w:val="none" w:sz="0" w:space="0" w:color="auto"/>
          </w:divBdr>
          <w:divsChild>
            <w:div w:id="4871191">
              <w:marLeft w:val="0"/>
              <w:marRight w:val="0"/>
              <w:marTop w:val="0"/>
              <w:marBottom w:val="0"/>
              <w:divBdr>
                <w:top w:val="none" w:sz="0" w:space="0" w:color="auto"/>
                <w:left w:val="none" w:sz="0" w:space="0" w:color="auto"/>
                <w:bottom w:val="none" w:sz="0" w:space="0" w:color="auto"/>
                <w:right w:val="none" w:sz="0" w:space="0" w:color="auto"/>
              </w:divBdr>
              <w:divsChild>
                <w:div w:id="1587374988">
                  <w:marLeft w:val="0"/>
                  <w:marRight w:val="0"/>
                  <w:marTop w:val="0"/>
                  <w:marBottom w:val="0"/>
                  <w:divBdr>
                    <w:top w:val="none" w:sz="0" w:space="0" w:color="auto"/>
                    <w:left w:val="none" w:sz="0" w:space="0" w:color="auto"/>
                    <w:bottom w:val="none" w:sz="0" w:space="0" w:color="auto"/>
                    <w:right w:val="none" w:sz="0" w:space="0" w:color="auto"/>
                  </w:divBdr>
                  <w:divsChild>
                    <w:div w:id="283848610">
                      <w:marLeft w:val="0"/>
                      <w:marRight w:val="0"/>
                      <w:marTop w:val="0"/>
                      <w:marBottom w:val="0"/>
                      <w:divBdr>
                        <w:top w:val="none" w:sz="0" w:space="0" w:color="auto"/>
                        <w:left w:val="none" w:sz="0" w:space="0" w:color="auto"/>
                        <w:bottom w:val="none" w:sz="0" w:space="0" w:color="auto"/>
                        <w:right w:val="none" w:sz="0" w:space="0" w:color="auto"/>
                      </w:divBdr>
                      <w:divsChild>
                        <w:div w:id="1311397381">
                          <w:marLeft w:val="0"/>
                          <w:marRight w:val="0"/>
                          <w:marTop w:val="0"/>
                          <w:marBottom w:val="0"/>
                          <w:divBdr>
                            <w:top w:val="none" w:sz="0" w:space="0" w:color="auto"/>
                            <w:left w:val="none" w:sz="0" w:space="0" w:color="auto"/>
                            <w:bottom w:val="none" w:sz="0" w:space="0" w:color="auto"/>
                            <w:right w:val="none" w:sz="0" w:space="0" w:color="auto"/>
                          </w:divBdr>
                          <w:divsChild>
                            <w:div w:id="267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789042">
      <w:bodyDiv w:val="1"/>
      <w:marLeft w:val="0"/>
      <w:marRight w:val="0"/>
      <w:marTop w:val="0"/>
      <w:marBottom w:val="0"/>
      <w:divBdr>
        <w:top w:val="none" w:sz="0" w:space="0" w:color="auto"/>
        <w:left w:val="none" w:sz="0" w:space="0" w:color="auto"/>
        <w:bottom w:val="none" w:sz="0" w:space="0" w:color="auto"/>
        <w:right w:val="none" w:sz="0" w:space="0" w:color="auto"/>
      </w:divBdr>
    </w:div>
    <w:div w:id="519274284">
      <w:bodyDiv w:val="1"/>
      <w:marLeft w:val="0"/>
      <w:marRight w:val="0"/>
      <w:marTop w:val="0"/>
      <w:marBottom w:val="0"/>
      <w:divBdr>
        <w:top w:val="none" w:sz="0" w:space="0" w:color="auto"/>
        <w:left w:val="none" w:sz="0" w:space="0" w:color="auto"/>
        <w:bottom w:val="none" w:sz="0" w:space="0" w:color="auto"/>
        <w:right w:val="none" w:sz="0" w:space="0" w:color="auto"/>
      </w:divBdr>
    </w:div>
    <w:div w:id="527988908">
      <w:bodyDiv w:val="1"/>
      <w:marLeft w:val="0"/>
      <w:marRight w:val="0"/>
      <w:marTop w:val="0"/>
      <w:marBottom w:val="0"/>
      <w:divBdr>
        <w:top w:val="none" w:sz="0" w:space="0" w:color="auto"/>
        <w:left w:val="none" w:sz="0" w:space="0" w:color="auto"/>
        <w:bottom w:val="none" w:sz="0" w:space="0" w:color="auto"/>
        <w:right w:val="none" w:sz="0" w:space="0" w:color="auto"/>
      </w:divBdr>
    </w:div>
    <w:div w:id="691495895">
      <w:bodyDiv w:val="1"/>
      <w:marLeft w:val="0"/>
      <w:marRight w:val="0"/>
      <w:marTop w:val="0"/>
      <w:marBottom w:val="0"/>
      <w:divBdr>
        <w:top w:val="none" w:sz="0" w:space="0" w:color="auto"/>
        <w:left w:val="none" w:sz="0" w:space="0" w:color="auto"/>
        <w:bottom w:val="none" w:sz="0" w:space="0" w:color="auto"/>
        <w:right w:val="none" w:sz="0" w:space="0" w:color="auto"/>
      </w:divBdr>
      <w:divsChild>
        <w:div w:id="1623540465">
          <w:marLeft w:val="0"/>
          <w:marRight w:val="0"/>
          <w:marTop w:val="0"/>
          <w:marBottom w:val="0"/>
          <w:divBdr>
            <w:top w:val="none" w:sz="0" w:space="0" w:color="auto"/>
            <w:left w:val="none" w:sz="0" w:space="0" w:color="auto"/>
            <w:bottom w:val="none" w:sz="0" w:space="0" w:color="auto"/>
            <w:right w:val="none" w:sz="0" w:space="0" w:color="auto"/>
          </w:divBdr>
          <w:divsChild>
            <w:div w:id="1504012254">
              <w:marLeft w:val="0"/>
              <w:marRight w:val="0"/>
              <w:marTop w:val="0"/>
              <w:marBottom w:val="0"/>
              <w:divBdr>
                <w:top w:val="none" w:sz="0" w:space="0" w:color="auto"/>
                <w:left w:val="none" w:sz="0" w:space="0" w:color="auto"/>
                <w:bottom w:val="none" w:sz="0" w:space="0" w:color="auto"/>
                <w:right w:val="none" w:sz="0" w:space="0" w:color="auto"/>
              </w:divBdr>
              <w:divsChild>
                <w:div w:id="638994282">
                  <w:marLeft w:val="0"/>
                  <w:marRight w:val="0"/>
                  <w:marTop w:val="0"/>
                  <w:marBottom w:val="0"/>
                  <w:divBdr>
                    <w:top w:val="none" w:sz="0" w:space="0" w:color="auto"/>
                    <w:left w:val="none" w:sz="0" w:space="0" w:color="auto"/>
                    <w:bottom w:val="none" w:sz="0" w:space="0" w:color="auto"/>
                    <w:right w:val="none" w:sz="0" w:space="0" w:color="auto"/>
                  </w:divBdr>
                  <w:divsChild>
                    <w:div w:id="2134902829">
                      <w:marLeft w:val="0"/>
                      <w:marRight w:val="0"/>
                      <w:marTop w:val="0"/>
                      <w:marBottom w:val="0"/>
                      <w:divBdr>
                        <w:top w:val="none" w:sz="0" w:space="0" w:color="auto"/>
                        <w:left w:val="none" w:sz="0" w:space="0" w:color="auto"/>
                        <w:bottom w:val="none" w:sz="0" w:space="0" w:color="auto"/>
                        <w:right w:val="none" w:sz="0" w:space="0" w:color="auto"/>
                      </w:divBdr>
                      <w:divsChild>
                        <w:div w:id="423233193">
                          <w:marLeft w:val="0"/>
                          <w:marRight w:val="0"/>
                          <w:marTop w:val="0"/>
                          <w:marBottom w:val="0"/>
                          <w:divBdr>
                            <w:top w:val="none" w:sz="0" w:space="0" w:color="auto"/>
                            <w:left w:val="none" w:sz="0" w:space="0" w:color="auto"/>
                            <w:bottom w:val="none" w:sz="0" w:space="0" w:color="auto"/>
                            <w:right w:val="none" w:sz="0" w:space="0" w:color="auto"/>
                          </w:divBdr>
                          <w:divsChild>
                            <w:div w:id="119989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613274">
      <w:bodyDiv w:val="1"/>
      <w:marLeft w:val="0"/>
      <w:marRight w:val="0"/>
      <w:marTop w:val="0"/>
      <w:marBottom w:val="0"/>
      <w:divBdr>
        <w:top w:val="none" w:sz="0" w:space="0" w:color="auto"/>
        <w:left w:val="none" w:sz="0" w:space="0" w:color="auto"/>
        <w:bottom w:val="none" w:sz="0" w:space="0" w:color="auto"/>
        <w:right w:val="none" w:sz="0" w:space="0" w:color="auto"/>
      </w:divBdr>
      <w:divsChild>
        <w:div w:id="523055592">
          <w:marLeft w:val="0"/>
          <w:marRight w:val="0"/>
          <w:marTop w:val="0"/>
          <w:marBottom w:val="0"/>
          <w:divBdr>
            <w:top w:val="none" w:sz="0" w:space="0" w:color="auto"/>
            <w:left w:val="none" w:sz="0" w:space="0" w:color="auto"/>
            <w:bottom w:val="none" w:sz="0" w:space="0" w:color="auto"/>
            <w:right w:val="none" w:sz="0" w:space="0" w:color="auto"/>
          </w:divBdr>
          <w:divsChild>
            <w:div w:id="957683821">
              <w:marLeft w:val="0"/>
              <w:marRight w:val="0"/>
              <w:marTop w:val="0"/>
              <w:marBottom w:val="0"/>
              <w:divBdr>
                <w:top w:val="none" w:sz="0" w:space="0" w:color="auto"/>
                <w:left w:val="none" w:sz="0" w:space="0" w:color="auto"/>
                <w:bottom w:val="none" w:sz="0" w:space="0" w:color="auto"/>
                <w:right w:val="none" w:sz="0" w:space="0" w:color="auto"/>
              </w:divBdr>
              <w:divsChild>
                <w:div w:id="883057886">
                  <w:marLeft w:val="0"/>
                  <w:marRight w:val="0"/>
                  <w:marTop w:val="0"/>
                  <w:marBottom w:val="0"/>
                  <w:divBdr>
                    <w:top w:val="none" w:sz="0" w:space="0" w:color="auto"/>
                    <w:left w:val="none" w:sz="0" w:space="0" w:color="auto"/>
                    <w:bottom w:val="none" w:sz="0" w:space="0" w:color="auto"/>
                    <w:right w:val="none" w:sz="0" w:space="0" w:color="auto"/>
                  </w:divBdr>
                  <w:divsChild>
                    <w:div w:id="1056397329">
                      <w:marLeft w:val="0"/>
                      <w:marRight w:val="0"/>
                      <w:marTop w:val="0"/>
                      <w:marBottom w:val="0"/>
                      <w:divBdr>
                        <w:top w:val="none" w:sz="0" w:space="0" w:color="auto"/>
                        <w:left w:val="none" w:sz="0" w:space="0" w:color="auto"/>
                        <w:bottom w:val="none" w:sz="0" w:space="0" w:color="auto"/>
                        <w:right w:val="none" w:sz="0" w:space="0" w:color="auto"/>
                      </w:divBdr>
                      <w:divsChild>
                        <w:div w:id="274560630">
                          <w:marLeft w:val="0"/>
                          <w:marRight w:val="0"/>
                          <w:marTop w:val="0"/>
                          <w:marBottom w:val="0"/>
                          <w:divBdr>
                            <w:top w:val="none" w:sz="0" w:space="0" w:color="auto"/>
                            <w:left w:val="none" w:sz="0" w:space="0" w:color="auto"/>
                            <w:bottom w:val="none" w:sz="0" w:space="0" w:color="auto"/>
                            <w:right w:val="none" w:sz="0" w:space="0" w:color="auto"/>
                          </w:divBdr>
                          <w:divsChild>
                            <w:div w:id="27599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905838">
      <w:bodyDiv w:val="1"/>
      <w:marLeft w:val="0"/>
      <w:marRight w:val="0"/>
      <w:marTop w:val="0"/>
      <w:marBottom w:val="0"/>
      <w:divBdr>
        <w:top w:val="none" w:sz="0" w:space="0" w:color="auto"/>
        <w:left w:val="none" w:sz="0" w:space="0" w:color="auto"/>
        <w:bottom w:val="none" w:sz="0" w:space="0" w:color="auto"/>
        <w:right w:val="none" w:sz="0" w:space="0" w:color="auto"/>
      </w:divBdr>
      <w:divsChild>
        <w:div w:id="1424229524">
          <w:marLeft w:val="0"/>
          <w:marRight w:val="0"/>
          <w:marTop w:val="0"/>
          <w:marBottom w:val="0"/>
          <w:divBdr>
            <w:top w:val="none" w:sz="0" w:space="0" w:color="auto"/>
            <w:left w:val="none" w:sz="0" w:space="0" w:color="auto"/>
            <w:bottom w:val="none" w:sz="0" w:space="0" w:color="auto"/>
            <w:right w:val="none" w:sz="0" w:space="0" w:color="auto"/>
          </w:divBdr>
          <w:divsChild>
            <w:div w:id="869879572">
              <w:marLeft w:val="0"/>
              <w:marRight w:val="0"/>
              <w:marTop w:val="0"/>
              <w:marBottom w:val="0"/>
              <w:divBdr>
                <w:top w:val="none" w:sz="0" w:space="0" w:color="auto"/>
                <w:left w:val="none" w:sz="0" w:space="0" w:color="auto"/>
                <w:bottom w:val="none" w:sz="0" w:space="0" w:color="auto"/>
                <w:right w:val="none" w:sz="0" w:space="0" w:color="auto"/>
              </w:divBdr>
              <w:divsChild>
                <w:div w:id="1680766775">
                  <w:marLeft w:val="0"/>
                  <w:marRight w:val="0"/>
                  <w:marTop w:val="0"/>
                  <w:marBottom w:val="0"/>
                  <w:divBdr>
                    <w:top w:val="none" w:sz="0" w:space="0" w:color="auto"/>
                    <w:left w:val="none" w:sz="0" w:space="0" w:color="auto"/>
                    <w:bottom w:val="none" w:sz="0" w:space="0" w:color="auto"/>
                    <w:right w:val="none" w:sz="0" w:space="0" w:color="auto"/>
                  </w:divBdr>
                  <w:divsChild>
                    <w:div w:id="815757553">
                      <w:marLeft w:val="0"/>
                      <w:marRight w:val="0"/>
                      <w:marTop w:val="0"/>
                      <w:marBottom w:val="0"/>
                      <w:divBdr>
                        <w:top w:val="none" w:sz="0" w:space="0" w:color="auto"/>
                        <w:left w:val="none" w:sz="0" w:space="0" w:color="auto"/>
                        <w:bottom w:val="none" w:sz="0" w:space="0" w:color="auto"/>
                        <w:right w:val="none" w:sz="0" w:space="0" w:color="auto"/>
                      </w:divBdr>
                      <w:divsChild>
                        <w:div w:id="587159850">
                          <w:marLeft w:val="0"/>
                          <w:marRight w:val="0"/>
                          <w:marTop w:val="0"/>
                          <w:marBottom w:val="0"/>
                          <w:divBdr>
                            <w:top w:val="none" w:sz="0" w:space="0" w:color="auto"/>
                            <w:left w:val="none" w:sz="0" w:space="0" w:color="auto"/>
                            <w:bottom w:val="none" w:sz="0" w:space="0" w:color="auto"/>
                            <w:right w:val="none" w:sz="0" w:space="0" w:color="auto"/>
                          </w:divBdr>
                          <w:divsChild>
                            <w:div w:id="13827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451411">
      <w:bodyDiv w:val="1"/>
      <w:marLeft w:val="0"/>
      <w:marRight w:val="0"/>
      <w:marTop w:val="0"/>
      <w:marBottom w:val="0"/>
      <w:divBdr>
        <w:top w:val="none" w:sz="0" w:space="0" w:color="auto"/>
        <w:left w:val="none" w:sz="0" w:space="0" w:color="auto"/>
        <w:bottom w:val="none" w:sz="0" w:space="0" w:color="auto"/>
        <w:right w:val="none" w:sz="0" w:space="0" w:color="auto"/>
      </w:divBdr>
      <w:divsChild>
        <w:div w:id="1250501409">
          <w:marLeft w:val="0"/>
          <w:marRight w:val="0"/>
          <w:marTop w:val="0"/>
          <w:marBottom w:val="0"/>
          <w:divBdr>
            <w:top w:val="none" w:sz="0" w:space="0" w:color="auto"/>
            <w:left w:val="none" w:sz="0" w:space="0" w:color="auto"/>
            <w:bottom w:val="none" w:sz="0" w:space="0" w:color="auto"/>
            <w:right w:val="none" w:sz="0" w:space="0" w:color="auto"/>
          </w:divBdr>
          <w:divsChild>
            <w:div w:id="2092384666">
              <w:marLeft w:val="0"/>
              <w:marRight w:val="0"/>
              <w:marTop w:val="0"/>
              <w:marBottom w:val="0"/>
              <w:divBdr>
                <w:top w:val="none" w:sz="0" w:space="0" w:color="auto"/>
                <w:left w:val="none" w:sz="0" w:space="0" w:color="auto"/>
                <w:bottom w:val="none" w:sz="0" w:space="0" w:color="auto"/>
                <w:right w:val="none" w:sz="0" w:space="0" w:color="auto"/>
              </w:divBdr>
              <w:divsChild>
                <w:div w:id="873350299">
                  <w:marLeft w:val="0"/>
                  <w:marRight w:val="0"/>
                  <w:marTop w:val="0"/>
                  <w:marBottom w:val="0"/>
                  <w:divBdr>
                    <w:top w:val="none" w:sz="0" w:space="0" w:color="auto"/>
                    <w:left w:val="none" w:sz="0" w:space="0" w:color="auto"/>
                    <w:bottom w:val="none" w:sz="0" w:space="0" w:color="auto"/>
                    <w:right w:val="none" w:sz="0" w:space="0" w:color="auto"/>
                  </w:divBdr>
                  <w:divsChild>
                    <w:div w:id="926423807">
                      <w:marLeft w:val="0"/>
                      <w:marRight w:val="0"/>
                      <w:marTop w:val="0"/>
                      <w:marBottom w:val="0"/>
                      <w:divBdr>
                        <w:top w:val="none" w:sz="0" w:space="0" w:color="auto"/>
                        <w:left w:val="none" w:sz="0" w:space="0" w:color="auto"/>
                        <w:bottom w:val="none" w:sz="0" w:space="0" w:color="auto"/>
                        <w:right w:val="none" w:sz="0" w:space="0" w:color="auto"/>
                      </w:divBdr>
                      <w:divsChild>
                        <w:div w:id="1669357689">
                          <w:marLeft w:val="0"/>
                          <w:marRight w:val="0"/>
                          <w:marTop w:val="0"/>
                          <w:marBottom w:val="0"/>
                          <w:divBdr>
                            <w:top w:val="none" w:sz="0" w:space="0" w:color="auto"/>
                            <w:left w:val="none" w:sz="0" w:space="0" w:color="auto"/>
                            <w:bottom w:val="none" w:sz="0" w:space="0" w:color="auto"/>
                            <w:right w:val="none" w:sz="0" w:space="0" w:color="auto"/>
                          </w:divBdr>
                          <w:divsChild>
                            <w:div w:id="15368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785820">
      <w:bodyDiv w:val="1"/>
      <w:marLeft w:val="0"/>
      <w:marRight w:val="0"/>
      <w:marTop w:val="0"/>
      <w:marBottom w:val="0"/>
      <w:divBdr>
        <w:top w:val="none" w:sz="0" w:space="0" w:color="auto"/>
        <w:left w:val="none" w:sz="0" w:space="0" w:color="auto"/>
        <w:bottom w:val="none" w:sz="0" w:space="0" w:color="auto"/>
        <w:right w:val="none" w:sz="0" w:space="0" w:color="auto"/>
      </w:divBdr>
    </w:div>
    <w:div w:id="1063453936">
      <w:bodyDiv w:val="1"/>
      <w:marLeft w:val="0"/>
      <w:marRight w:val="0"/>
      <w:marTop w:val="0"/>
      <w:marBottom w:val="0"/>
      <w:divBdr>
        <w:top w:val="none" w:sz="0" w:space="0" w:color="auto"/>
        <w:left w:val="none" w:sz="0" w:space="0" w:color="auto"/>
        <w:bottom w:val="none" w:sz="0" w:space="0" w:color="auto"/>
        <w:right w:val="none" w:sz="0" w:space="0" w:color="auto"/>
      </w:divBdr>
    </w:div>
    <w:div w:id="1512911522">
      <w:bodyDiv w:val="1"/>
      <w:marLeft w:val="0"/>
      <w:marRight w:val="0"/>
      <w:marTop w:val="0"/>
      <w:marBottom w:val="0"/>
      <w:divBdr>
        <w:top w:val="none" w:sz="0" w:space="0" w:color="auto"/>
        <w:left w:val="none" w:sz="0" w:space="0" w:color="auto"/>
        <w:bottom w:val="none" w:sz="0" w:space="0" w:color="auto"/>
        <w:right w:val="none" w:sz="0" w:space="0" w:color="auto"/>
      </w:divBdr>
    </w:div>
    <w:div w:id="1820421124">
      <w:bodyDiv w:val="1"/>
      <w:marLeft w:val="0"/>
      <w:marRight w:val="0"/>
      <w:marTop w:val="0"/>
      <w:marBottom w:val="0"/>
      <w:divBdr>
        <w:top w:val="none" w:sz="0" w:space="0" w:color="auto"/>
        <w:left w:val="none" w:sz="0" w:space="0" w:color="auto"/>
        <w:bottom w:val="none" w:sz="0" w:space="0" w:color="auto"/>
        <w:right w:val="none" w:sz="0" w:space="0" w:color="auto"/>
      </w:divBdr>
    </w:div>
    <w:div w:id="1968275224">
      <w:bodyDiv w:val="1"/>
      <w:marLeft w:val="0"/>
      <w:marRight w:val="0"/>
      <w:marTop w:val="0"/>
      <w:marBottom w:val="0"/>
      <w:divBdr>
        <w:top w:val="none" w:sz="0" w:space="0" w:color="auto"/>
        <w:left w:val="none" w:sz="0" w:space="0" w:color="auto"/>
        <w:bottom w:val="none" w:sz="0" w:space="0" w:color="auto"/>
        <w:right w:val="none" w:sz="0" w:space="0" w:color="auto"/>
      </w:divBdr>
    </w:div>
    <w:div w:id="1993171759">
      <w:bodyDiv w:val="1"/>
      <w:marLeft w:val="0"/>
      <w:marRight w:val="0"/>
      <w:marTop w:val="0"/>
      <w:marBottom w:val="0"/>
      <w:divBdr>
        <w:top w:val="none" w:sz="0" w:space="0" w:color="auto"/>
        <w:left w:val="none" w:sz="0" w:space="0" w:color="auto"/>
        <w:bottom w:val="none" w:sz="0" w:space="0" w:color="auto"/>
        <w:right w:val="none" w:sz="0" w:space="0" w:color="auto"/>
      </w:divBdr>
      <w:divsChild>
        <w:div w:id="299387679">
          <w:marLeft w:val="0"/>
          <w:marRight w:val="0"/>
          <w:marTop w:val="0"/>
          <w:marBottom w:val="0"/>
          <w:divBdr>
            <w:top w:val="none" w:sz="0" w:space="0" w:color="auto"/>
            <w:left w:val="none" w:sz="0" w:space="0" w:color="auto"/>
            <w:bottom w:val="none" w:sz="0" w:space="0" w:color="auto"/>
            <w:right w:val="none" w:sz="0" w:space="0" w:color="auto"/>
          </w:divBdr>
          <w:divsChild>
            <w:div w:id="1432119053">
              <w:marLeft w:val="0"/>
              <w:marRight w:val="0"/>
              <w:marTop w:val="0"/>
              <w:marBottom w:val="0"/>
              <w:divBdr>
                <w:top w:val="none" w:sz="0" w:space="0" w:color="auto"/>
                <w:left w:val="none" w:sz="0" w:space="0" w:color="auto"/>
                <w:bottom w:val="none" w:sz="0" w:space="0" w:color="auto"/>
                <w:right w:val="none" w:sz="0" w:space="0" w:color="auto"/>
              </w:divBdr>
              <w:divsChild>
                <w:div w:id="1002122609">
                  <w:marLeft w:val="0"/>
                  <w:marRight w:val="0"/>
                  <w:marTop w:val="0"/>
                  <w:marBottom w:val="0"/>
                  <w:divBdr>
                    <w:top w:val="none" w:sz="0" w:space="0" w:color="auto"/>
                    <w:left w:val="none" w:sz="0" w:space="0" w:color="auto"/>
                    <w:bottom w:val="none" w:sz="0" w:space="0" w:color="auto"/>
                    <w:right w:val="none" w:sz="0" w:space="0" w:color="auto"/>
                  </w:divBdr>
                  <w:divsChild>
                    <w:div w:id="1359742014">
                      <w:marLeft w:val="0"/>
                      <w:marRight w:val="0"/>
                      <w:marTop w:val="0"/>
                      <w:marBottom w:val="0"/>
                      <w:divBdr>
                        <w:top w:val="none" w:sz="0" w:space="0" w:color="auto"/>
                        <w:left w:val="none" w:sz="0" w:space="0" w:color="auto"/>
                        <w:bottom w:val="none" w:sz="0" w:space="0" w:color="auto"/>
                        <w:right w:val="none" w:sz="0" w:space="0" w:color="auto"/>
                      </w:divBdr>
                      <w:divsChild>
                        <w:div w:id="1830510928">
                          <w:marLeft w:val="0"/>
                          <w:marRight w:val="0"/>
                          <w:marTop w:val="0"/>
                          <w:marBottom w:val="0"/>
                          <w:divBdr>
                            <w:top w:val="none" w:sz="0" w:space="0" w:color="auto"/>
                            <w:left w:val="none" w:sz="0" w:space="0" w:color="auto"/>
                            <w:bottom w:val="none" w:sz="0" w:space="0" w:color="auto"/>
                            <w:right w:val="none" w:sz="0" w:space="0" w:color="auto"/>
                          </w:divBdr>
                          <w:divsChild>
                            <w:div w:id="19382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5.xml"/><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hyperlink" Target="https://www.tga.gov.au"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mailto:info@tga.gov.au" TargetMode="Externa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525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17E16-C88A-4B09-B73A-9F433AB95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190</TotalTime>
  <Pages>80</Pages>
  <Words>28301</Words>
  <Characters>161320</Characters>
  <Application>Microsoft Office Word</Application>
  <DocSecurity>0</DocSecurity>
  <Lines>1344</Lines>
  <Paragraphs>378</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189243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Elvitegravir / Cobicistat / Emtricitabine / Tenofovir alafenamide (as fumarate)</dc:title>
  <dc:subject>prescription medicines</dc:subject>
  <dc:creator>Therapeutic Goods Administration</dc:creator>
  <cp:keywords>AusPARS</cp:keywords>
  <cp:lastModifiedBy>Sheppard, Fran</cp:lastModifiedBy>
  <cp:revision>13</cp:revision>
  <cp:lastPrinted>2016-05-23T04:13:00Z</cp:lastPrinted>
  <dcterms:created xsi:type="dcterms:W3CDTF">2016-06-28T04:02:00Z</dcterms:created>
  <dcterms:modified xsi:type="dcterms:W3CDTF">2016-07-05T00:28:00Z</dcterms:modified>
  <cp:category>external publication</cp:category>
</cp:coreProperties>
</file>