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2"/>
      </w:tblGrid>
      <w:tr w:rsidR="008E7846" w:rsidRPr="00487162" w:rsidTr="00B03F4F">
        <w:trPr>
          <w:trHeight w:val="1863"/>
        </w:trPr>
        <w:tc>
          <w:tcPr>
            <w:tcW w:w="8072" w:type="dxa"/>
            <w:tcBorders>
              <w:top w:val="nil"/>
              <w:left w:val="nil"/>
              <w:bottom w:val="nil"/>
              <w:right w:val="nil"/>
            </w:tcBorders>
          </w:tcPr>
          <w:p w:rsidR="008E7846" w:rsidRDefault="00B03F4F" w:rsidP="0017078F">
            <w:pPr>
              <w:rPr>
                <w:rFonts w:ascii="Arial" w:hAnsi="Arial" w:cs="Arial"/>
                <w:b/>
                <w:color w:val="002C47"/>
                <w:sz w:val="36"/>
                <w:szCs w:val="36"/>
              </w:rPr>
            </w:pPr>
            <w:r>
              <w:rPr>
                <w:rFonts w:ascii="Arial" w:hAnsi="Arial" w:cs="Arial"/>
                <w:b/>
                <w:color w:val="002C47"/>
                <w:sz w:val="36"/>
                <w:szCs w:val="36"/>
              </w:rPr>
              <w:t>First round evaluation: 31 May 2015</w:t>
            </w:r>
          </w:p>
          <w:p w:rsidR="00B03F4F" w:rsidRPr="0017078F" w:rsidRDefault="00B03F4F" w:rsidP="0017078F">
            <w:pPr>
              <w:rPr>
                <w:rFonts w:ascii="Arial" w:hAnsi="Arial" w:cs="Arial"/>
                <w:b/>
                <w:color w:val="002C47"/>
                <w:sz w:val="36"/>
                <w:szCs w:val="36"/>
              </w:rPr>
            </w:pPr>
            <w:r>
              <w:rPr>
                <w:rFonts w:ascii="Arial" w:hAnsi="Arial" w:cs="Arial"/>
                <w:b/>
                <w:color w:val="002C47"/>
                <w:sz w:val="36"/>
                <w:szCs w:val="36"/>
              </w:rPr>
              <w:t>Second round evaluation: 14 October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B03F4F">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B03F4F">
              <w:rPr>
                <w:color w:val="FFFFFF" w:themeColor="background1"/>
              </w:rPr>
              <w:t>Eltrombopag</w:t>
            </w:r>
            <w:proofErr w:type="spellEnd"/>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Proprietary Product Name:</w:t>
            </w:r>
            <w:r w:rsidR="00392749">
              <w:rPr>
                <w:color w:val="FFFFFF" w:themeColor="background1"/>
              </w:rPr>
              <w:t xml:space="preserve"> </w:t>
            </w:r>
            <w:proofErr w:type="spellStart"/>
            <w:r w:rsidR="00B03F4F">
              <w:rPr>
                <w:color w:val="FFFFFF" w:themeColor="background1"/>
              </w:rPr>
              <w:t>Revolade</w:t>
            </w:r>
            <w:proofErr w:type="spellEnd"/>
            <w:r w:rsidR="00392749">
              <w:rPr>
                <w:color w:val="FFFFFF" w:themeColor="background1"/>
              </w:rPr>
              <w:t xml:space="preserve"> </w:t>
            </w:r>
          </w:p>
        </w:tc>
      </w:tr>
      <w:tr w:rsidR="00E07F15" w:rsidRPr="00B64760" w:rsidTr="00E07F15">
        <w:trPr>
          <w:trHeight w:val="486"/>
        </w:trPr>
        <w:tc>
          <w:tcPr>
            <w:tcW w:w="9079" w:type="dxa"/>
          </w:tcPr>
          <w:p w:rsidR="00E07F15" w:rsidRPr="008E7846" w:rsidRDefault="00E07F15" w:rsidP="00B03F4F">
            <w:pPr>
              <w:pStyle w:val="Subtitle"/>
              <w:rPr>
                <w:color w:val="FFFFFF" w:themeColor="background1"/>
              </w:rPr>
            </w:pPr>
            <w:r w:rsidRPr="008E7846">
              <w:rPr>
                <w:color w:val="FFFFFF" w:themeColor="background1"/>
              </w:rPr>
              <w:t>Sponsor:</w:t>
            </w:r>
            <w:r w:rsidR="00392749">
              <w:rPr>
                <w:color w:val="FFFFFF" w:themeColor="background1"/>
              </w:rPr>
              <w:t xml:space="preserve"> </w:t>
            </w:r>
            <w:r w:rsidR="00B03F4F">
              <w:rPr>
                <w:color w:val="FFFFFF" w:themeColor="background1"/>
              </w:rPr>
              <w:t>Novartis Australia Pty Ltd</w:t>
            </w:r>
            <w:r w:rsidR="00392749">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0663A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0663A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663A9">
      <w:pPr>
        <w:pStyle w:val="ListBullet"/>
        <w:numPr>
          <w:ilvl w:val="0"/>
          <w:numId w:val="1"/>
        </w:numPr>
        <w:ind w:left="357" w:hanging="357"/>
      </w:pPr>
      <w:r>
        <w:t xml:space="preserve">The work of the TGA is based on applying scientific and clinical expertise to decision-making, to ensure that the benefits to consumers outweigh any risks associated with </w:t>
      </w:r>
      <w:proofErr w:type="gramStart"/>
      <w:r>
        <w:t>the</w:t>
      </w:r>
      <w:proofErr w:type="gramEnd"/>
      <w:r>
        <w:t xml:space="preserve"> use of medicines and medical devices.</w:t>
      </w:r>
    </w:p>
    <w:p w:rsidR="008E7846" w:rsidRDefault="008E7846" w:rsidP="000663A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663A9">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06C5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8221936" w:history="1">
            <w:r w:rsidR="00006C56" w:rsidRPr="008255E4">
              <w:rPr>
                <w:rStyle w:val="Hyperlink"/>
                <w:noProof/>
              </w:rPr>
              <w:t>List of common abbreviations</w:t>
            </w:r>
            <w:r w:rsidR="00006C56">
              <w:rPr>
                <w:noProof/>
                <w:webHidden/>
              </w:rPr>
              <w:tab/>
            </w:r>
            <w:r w:rsidR="00006C56">
              <w:rPr>
                <w:noProof/>
                <w:webHidden/>
              </w:rPr>
              <w:fldChar w:fldCharType="begin"/>
            </w:r>
            <w:r w:rsidR="00006C56">
              <w:rPr>
                <w:noProof/>
                <w:webHidden/>
              </w:rPr>
              <w:instrText xml:space="preserve"> PAGEREF _Toc448221936 \h </w:instrText>
            </w:r>
            <w:r w:rsidR="00006C56">
              <w:rPr>
                <w:noProof/>
                <w:webHidden/>
              </w:rPr>
            </w:r>
            <w:r w:rsidR="00006C56">
              <w:rPr>
                <w:noProof/>
                <w:webHidden/>
              </w:rPr>
              <w:fldChar w:fldCharType="separate"/>
            </w:r>
            <w:r w:rsidR="00006C56">
              <w:rPr>
                <w:noProof/>
                <w:webHidden/>
              </w:rPr>
              <w:t>5</w:t>
            </w:r>
            <w:r w:rsidR="00006C56">
              <w:rPr>
                <w:noProof/>
                <w:webHidden/>
              </w:rPr>
              <w:fldChar w:fldCharType="end"/>
            </w:r>
          </w:hyperlink>
        </w:p>
        <w:p w:rsidR="00006C56" w:rsidRDefault="00006C56">
          <w:pPr>
            <w:pStyle w:val="TOC2"/>
            <w:tabs>
              <w:tab w:val="left" w:pos="1100"/>
            </w:tabs>
            <w:rPr>
              <w:rFonts w:asciiTheme="minorHAnsi" w:eastAsiaTheme="minorEastAsia" w:hAnsiTheme="minorHAnsi" w:cstheme="minorBidi"/>
              <w:b w:val="0"/>
              <w:noProof/>
              <w:sz w:val="22"/>
              <w:lang w:eastAsia="en-AU"/>
            </w:rPr>
          </w:pPr>
          <w:hyperlink w:anchor="_Toc448221937" w:history="1">
            <w:r w:rsidRPr="008255E4">
              <w:rPr>
                <w:rStyle w:val="Hyperlink"/>
                <w:noProof/>
                <w:lang w:eastAsia="en-AU"/>
              </w:rPr>
              <w:t>1.</w:t>
            </w:r>
            <w:r>
              <w:rPr>
                <w:rFonts w:asciiTheme="minorHAnsi" w:eastAsiaTheme="minorEastAsia" w:hAnsiTheme="minorHAnsi" w:cstheme="minorBidi"/>
                <w:b w:val="0"/>
                <w:noProof/>
                <w:sz w:val="22"/>
                <w:lang w:eastAsia="en-AU"/>
              </w:rPr>
              <w:tab/>
            </w:r>
            <w:r w:rsidRPr="008255E4">
              <w:rPr>
                <w:rStyle w:val="Hyperlink"/>
                <w:noProof/>
                <w:lang w:eastAsia="en-AU"/>
              </w:rPr>
              <w:t>Introduction</w:t>
            </w:r>
            <w:r>
              <w:rPr>
                <w:noProof/>
                <w:webHidden/>
              </w:rPr>
              <w:tab/>
            </w:r>
            <w:r>
              <w:rPr>
                <w:noProof/>
                <w:webHidden/>
              </w:rPr>
              <w:fldChar w:fldCharType="begin"/>
            </w:r>
            <w:r>
              <w:rPr>
                <w:noProof/>
                <w:webHidden/>
              </w:rPr>
              <w:instrText xml:space="preserve"> PAGEREF _Toc448221937 \h </w:instrText>
            </w:r>
            <w:r>
              <w:rPr>
                <w:noProof/>
                <w:webHidden/>
              </w:rPr>
            </w:r>
            <w:r>
              <w:rPr>
                <w:noProof/>
                <w:webHidden/>
              </w:rPr>
              <w:fldChar w:fldCharType="separate"/>
            </w:r>
            <w:r>
              <w:rPr>
                <w:noProof/>
                <w:webHidden/>
              </w:rPr>
              <w:t>7</w:t>
            </w:r>
            <w:r>
              <w:rPr>
                <w:noProof/>
                <w:webHidden/>
              </w:rPr>
              <w:fldChar w:fldCharType="end"/>
            </w:r>
          </w:hyperlink>
        </w:p>
        <w:p w:rsidR="00006C56" w:rsidRDefault="00006C56">
          <w:pPr>
            <w:pStyle w:val="TOC2"/>
            <w:tabs>
              <w:tab w:val="left" w:pos="1100"/>
            </w:tabs>
            <w:rPr>
              <w:rFonts w:asciiTheme="minorHAnsi" w:eastAsiaTheme="minorEastAsia" w:hAnsiTheme="minorHAnsi" w:cstheme="minorBidi"/>
              <w:b w:val="0"/>
              <w:noProof/>
              <w:sz w:val="22"/>
              <w:lang w:eastAsia="en-AU"/>
            </w:rPr>
          </w:pPr>
          <w:hyperlink w:anchor="_Toc448221938" w:history="1">
            <w:r w:rsidRPr="008255E4">
              <w:rPr>
                <w:rStyle w:val="Hyperlink"/>
                <w:noProof/>
              </w:rPr>
              <w:t>2.</w:t>
            </w:r>
            <w:r>
              <w:rPr>
                <w:rFonts w:asciiTheme="minorHAnsi" w:eastAsiaTheme="minorEastAsia" w:hAnsiTheme="minorHAnsi" w:cstheme="minorBidi"/>
                <w:b w:val="0"/>
                <w:noProof/>
                <w:sz w:val="22"/>
                <w:lang w:eastAsia="en-AU"/>
              </w:rPr>
              <w:tab/>
            </w:r>
            <w:r w:rsidRPr="008255E4">
              <w:rPr>
                <w:rStyle w:val="Hyperlink"/>
                <w:noProof/>
              </w:rPr>
              <w:t>Clinical rationale</w:t>
            </w:r>
            <w:r>
              <w:rPr>
                <w:noProof/>
                <w:webHidden/>
              </w:rPr>
              <w:tab/>
            </w:r>
            <w:r>
              <w:rPr>
                <w:noProof/>
                <w:webHidden/>
              </w:rPr>
              <w:fldChar w:fldCharType="begin"/>
            </w:r>
            <w:r>
              <w:rPr>
                <w:noProof/>
                <w:webHidden/>
              </w:rPr>
              <w:instrText xml:space="preserve"> PAGEREF _Toc448221938 \h </w:instrText>
            </w:r>
            <w:r>
              <w:rPr>
                <w:noProof/>
                <w:webHidden/>
              </w:rPr>
            </w:r>
            <w:r>
              <w:rPr>
                <w:noProof/>
                <w:webHidden/>
              </w:rPr>
              <w:fldChar w:fldCharType="separate"/>
            </w:r>
            <w:r>
              <w:rPr>
                <w:noProof/>
                <w:webHidden/>
              </w:rPr>
              <w:t>7</w:t>
            </w:r>
            <w:r>
              <w:rPr>
                <w:noProof/>
                <w:webHidden/>
              </w:rPr>
              <w:fldChar w:fldCharType="end"/>
            </w:r>
          </w:hyperlink>
        </w:p>
        <w:bookmarkStart w:id="2" w:name="_GoBack"/>
        <w:p w:rsidR="00006C56" w:rsidRDefault="00006C56">
          <w:pPr>
            <w:pStyle w:val="TOC2"/>
            <w:tabs>
              <w:tab w:val="left" w:pos="1100"/>
            </w:tabs>
            <w:rPr>
              <w:rFonts w:asciiTheme="minorHAnsi" w:eastAsiaTheme="minorEastAsia" w:hAnsiTheme="minorHAnsi" w:cstheme="minorBidi"/>
              <w:b w:val="0"/>
              <w:noProof/>
              <w:sz w:val="22"/>
              <w:lang w:eastAsia="en-AU"/>
            </w:rPr>
          </w:pPr>
          <w:r w:rsidRPr="008255E4">
            <w:rPr>
              <w:rStyle w:val="Hyperlink"/>
              <w:noProof/>
            </w:rPr>
            <w:fldChar w:fldCharType="begin"/>
          </w:r>
          <w:r w:rsidRPr="008255E4">
            <w:rPr>
              <w:rStyle w:val="Hyperlink"/>
              <w:noProof/>
            </w:rPr>
            <w:instrText xml:space="preserve"> </w:instrText>
          </w:r>
          <w:r>
            <w:rPr>
              <w:noProof/>
            </w:rPr>
            <w:instrText>HYPERLINK \l "_Toc448221939"</w:instrText>
          </w:r>
          <w:r w:rsidRPr="008255E4">
            <w:rPr>
              <w:rStyle w:val="Hyperlink"/>
              <w:noProof/>
            </w:rPr>
            <w:instrText xml:space="preserve"> </w:instrText>
          </w:r>
          <w:r w:rsidRPr="008255E4">
            <w:rPr>
              <w:rStyle w:val="Hyperlink"/>
              <w:noProof/>
            </w:rPr>
          </w:r>
          <w:r w:rsidRPr="008255E4">
            <w:rPr>
              <w:rStyle w:val="Hyperlink"/>
              <w:noProof/>
            </w:rPr>
            <w:fldChar w:fldCharType="separate"/>
          </w:r>
          <w:r w:rsidRPr="008255E4">
            <w:rPr>
              <w:rStyle w:val="Hyperlink"/>
              <w:noProof/>
              <w:lang w:eastAsia="en-AU"/>
            </w:rPr>
            <w:t>3.</w:t>
          </w:r>
          <w:r>
            <w:rPr>
              <w:rFonts w:asciiTheme="minorHAnsi" w:eastAsiaTheme="minorEastAsia" w:hAnsiTheme="minorHAnsi" w:cstheme="minorBidi"/>
              <w:b w:val="0"/>
              <w:noProof/>
              <w:sz w:val="22"/>
              <w:lang w:eastAsia="en-AU"/>
            </w:rPr>
            <w:tab/>
          </w:r>
          <w:r w:rsidRPr="008255E4">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_Toc448221939 \h </w:instrText>
          </w:r>
          <w:r>
            <w:rPr>
              <w:noProof/>
              <w:webHidden/>
            </w:rPr>
          </w:r>
          <w:r>
            <w:rPr>
              <w:noProof/>
              <w:webHidden/>
            </w:rPr>
            <w:fldChar w:fldCharType="separate"/>
          </w:r>
          <w:r>
            <w:rPr>
              <w:noProof/>
              <w:webHidden/>
            </w:rPr>
            <w:t>7</w:t>
          </w:r>
          <w:r>
            <w:rPr>
              <w:noProof/>
              <w:webHidden/>
            </w:rPr>
            <w:fldChar w:fldCharType="end"/>
          </w:r>
          <w:r w:rsidRPr="008255E4">
            <w:rPr>
              <w:rStyle w:val="Hyperlink"/>
              <w:noProof/>
            </w:rPr>
            <w:fldChar w:fldCharType="end"/>
          </w:r>
        </w:p>
        <w:bookmarkEnd w:id="2"/>
        <w:p w:rsidR="00006C56" w:rsidRDefault="00006C56">
          <w:pPr>
            <w:pStyle w:val="TOC3"/>
            <w:tabs>
              <w:tab w:val="left" w:pos="1760"/>
            </w:tabs>
            <w:rPr>
              <w:rFonts w:asciiTheme="minorHAnsi" w:eastAsiaTheme="minorEastAsia" w:hAnsiTheme="minorHAnsi" w:cstheme="minorBidi"/>
              <w:noProof/>
              <w:lang w:eastAsia="en-AU"/>
            </w:rPr>
          </w:pPr>
          <w:r w:rsidRPr="008255E4">
            <w:rPr>
              <w:rStyle w:val="Hyperlink"/>
              <w:noProof/>
            </w:rPr>
            <w:fldChar w:fldCharType="begin"/>
          </w:r>
          <w:r w:rsidRPr="008255E4">
            <w:rPr>
              <w:rStyle w:val="Hyperlink"/>
              <w:noProof/>
            </w:rPr>
            <w:instrText xml:space="preserve"> </w:instrText>
          </w:r>
          <w:r>
            <w:rPr>
              <w:noProof/>
            </w:rPr>
            <w:instrText>HYPERLINK \l "_Toc448221940"</w:instrText>
          </w:r>
          <w:r w:rsidRPr="008255E4">
            <w:rPr>
              <w:rStyle w:val="Hyperlink"/>
              <w:noProof/>
            </w:rPr>
            <w:instrText xml:space="preserve"> </w:instrText>
          </w:r>
          <w:r w:rsidRPr="008255E4">
            <w:rPr>
              <w:rStyle w:val="Hyperlink"/>
              <w:noProof/>
            </w:rPr>
          </w:r>
          <w:r w:rsidRPr="008255E4">
            <w:rPr>
              <w:rStyle w:val="Hyperlink"/>
              <w:noProof/>
            </w:rPr>
            <w:fldChar w:fldCharType="separate"/>
          </w:r>
          <w:r w:rsidRPr="008255E4">
            <w:rPr>
              <w:rStyle w:val="Hyperlink"/>
              <w:noProof/>
            </w:rPr>
            <w:t>3.1.</w:t>
          </w:r>
          <w:r>
            <w:rPr>
              <w:rFonts w:asciiTheme="minorHAnsi" w:eastAsiaTheme="minorEastAsia" w:hAnsiTheme="minorHAnsi" w:cstheme="minorBidi"/>
              <w:noProof/>
              <w:lang w:eastAsia="en-AU"/>
            </w:rPr>
            <w:tab/>
          </w:r>
          <w:r w:rsidRPr="008255E4">
            <w:rPr>
              <w:rStyle w:val="Hyperlink"/>
              <w:noProof/>
            </w:rPr>
            <w:t>Scope of the clinical dossier</w:t>
          </w:r>
          <w:r>
            <w:rPr>
              <w:noProof/>
              <w:webHidden/>
            </w:rPr>
            <w:tab/>
          </w:r>
          <w:r>
            <w:rPr>
              <w:noProof/>
              <w:webHidden/>
            </w:rPr>
            <w:fldChar w:fldCharType="begin"/>
          </w:r>
          <w:r>
            <w:rPr>
              <w:noProof/>
              <w:webHidden/>
            </w:rPr>
            <w:instrText xml:space="preserve"> PAGEREF _Toc448221940 \h </w:instrText>
          </w:r>
          <w:r>
            <w:rPr>
              <w:noProof/>
              <w:webHidden/>
            </w:rPr>
          </w:r>
          <w:r>
            <w:rPr>
              <w:noProof/>
              <w:webHidden/>
            </w:rPr>
            <w:fldChar w:fldCharType="separate"/>
          </w:r>
          <w:r>
            <w:rPr>
              <w:noProof/>
              <w:webHidden/>
            </w:rPr>
            <w:t>7</w:t>
          </w:r>
          <w:r>
            <w:rPr>
              <w:noProof/>
              <w:webHidden/>
            </w:rPr>
            <w:fldChar w:fldCharType="end"/>
          </w:r>
          <w:r w:rsidRPr="008255E4">
            <w:rPr>
              <w:rStyle w:val="Hyperlink"/>
              <w:noProof/>
            </w:rPr>
            <w:fldChar w:fldCharType="end"/>
          </w:r>
        </w:p>
        <w:p w:rsidR="00006C56" w:rsidRDefault="00006C56">
          <w:pPr>
            <w:pStyle w:val="TOC3"/>
            <w:tabs>
              <w:tab w:val="left" w:pos="1760"/>
            </w:tabs>
            <w:rPr>
              <w:rFonts w:asciiTheme="minorHAnsi" w:eastAsiaTheme="minorEastAsia" w:hAnsiTheme="minorHAnsi" w:cstheme="minorBidi"/>
              <w:noProof/>
              <w:lang w:eastAsia="en-AU"/>
            </w:rPr>
          </w:pPr>
          <w:hyperlink w:anchor="_Toc448221941" w:history="1">
            <w:r w:rsidRPr="008255E4">
              <w:rPr>
                <w:rStyle w:val="Hyperlink"/>
                <w:noProof/>
              </w:rPr>
              <w:t>3.2.</w:t>
            </w:r>
            <w:r>
              <w:rPr>
                <w:rFonts w:asciiTheme="minorHAnsi" w:eastAsiaTheme="minorEastAsia" w:hAnsiTheme="minorHAnsi" w:cstheme="minorBidi"/>
                <w:noProof/>
                <w:lang w:eastAsia="en-AU"/>
              </w:rPr>
              <w:tab/>
            </w:r>
            <w:r w:rsidRPr="008255E4">
              <w:rPr>
                <w:rStyle w:val="Hyperlink"/>
                <w:noProof/>
              </w:rPr>
              <w:t>Paediatric data</w:t>
            </w:r>
            <w:r>
              <w:rPr>
                <w:noProof/>
                <w:webHidden/>
              </w:rPr>
              <w:tab/>
            </w:r>
            <w:r>
              <w:rPr>
                <w:noProof/>
                <w:webHidden/>
              </w:rPr>
              <w:fldChar w:fldCharType="begin"/>
            </w:r>
            <w:r>
              <w:rPr>
                <w:noProof/>
                <w:webHidden/>
              </w:rPr>
              <w:instrText xml:space="preserve"> PAGEREF _Toc448221941 \h </w:instrText>
            </w:r>
            <w:r>
              <w:rPr>
                <w:noProof/>
                <w:webHidden/>
              </w:rPr>
            </w:r>
            <w:r>
              <w:rPr>
                <w:noProof/>
                <w:webHidden/>
              </w:rPr>
              <w:fldChar w:fldCharType="separate"/>
            </w:r>
            <w:r>
              <w:rPr>
                <w:noProof/>
                <w:webHidden/>
              </w:rPr>
              <w:t>7</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42" w:history="1">
            <w:r w:rsidRPr="008255E4">
              <w:rPr>
                <w:rStyle w:val="Hyperlink"/>
                <w:noProof/>
              </w:rPr>
              <w:t>3.3.</w:t>
            </w:r>
            <w:r>
              <w:rPr>
                <w:rFonts w:asciiTheme="minorHAnsi" w:eastAsiaTheme="minorEastAsia" w:hAnsiTheme="minorHAnsi" w:cstheme="minorBidi"/>
                <w:noProof/>
                <w:lang w:eastAsia="en-AU"/>
              </w:rPr>
              <w:tab/>
            </w:r>
            <w:r w:rsidRPr="008255E4">
              <w:rPr>
                <w:rStyle w:val="Hyperlink"/>
                <w:noProof/>
              </w:rPr>
              <w:t>Good clinical practice</w:t>
            </w:r>
            <w:r>
              <w:rPr>
                <w:noProof/>
                <w:webHidden/>
              </w:rPr>
              <w:tab/>
            </w:r>
            <w:r>
              <w:rPr>
                <w:noProof/>
                <w:webHidden/>
              </w:rPr>
              <w:fldChar w:fldCharType="begin"/>
            </w:r>
            <w:r>
              <w:rPr>
                <w:noProof/>
                <w:webHidden/>
              </w:rPr>
              <w:instrText xml:space="preserve"> PAGEREF _Toc448221942 \h </w:instrText>
            </w:r>
            <w:r>
              <w:rPr>
                <w:noProof/>
                <w:webHidden/>
              </w:rPr>
            </w:r>
            <w:r>
              <w:rPr>
                <w:noProof/>
                <w:webHidden/>
              </w:rPr>
              <w:fldChar w:fldCharType="separate"/>
            </w:r>
            <w:r>
              <w:rPr>
                <w:noProof/>
                <w:webHidden/>
              </w:rPr>
              <w:t>8</w:t>
            </w:r>
            <w:r>
              <w:rPr>
                <w:noProof/>
                <w:webHidden/>
              </w:rPr>
              <w:fldChar w:fldCharType="end"/>
            </w:r>
          </w:hyperlink>
        </w:p>
        <w:p w:rsidR="00006C56" w:rsidRDefault="00006C56">
          <w:pPr>
            <w:pStyle w:val="TOC2"/>
            <w:tabs>
              <w:tab w:val="left" w:pos="1100"/>
            </w:tabs>
            <w:rPr>
              <w:rFonts w:asciiTheme="minorHAnsi" w:eastAsiaTheme="minorEastAsia" w:hAnsiTheme="minorHAnsi" w:cstheme="minorBidi"/>
              <w:b w:val="0"/>
              <w:noProof/>
              <w:sz w:val="22"/>
              <w:lang w:eastAsia="en-AU"/>
            </w:rPr>
          </w:pPr>
          <w:hyperlink w:anchor="_Toc448221943" w:history="1">
            <w:r w:rsidRPr="008255E4">
              <w:rPr>
                <w:rStyle w:val="Hyperlink"/>
                <w:noProof/>
              </w:rPr>
              <w:t>4.</w:t>
            </w:r>
            <w:r>
              <w:rPr>
                <w:rFonts w:asciiTheme="minorHAnsi" w:eastAsiaTheme="minorEastAsia" w:hAnsiTheme="minorHAnsi" w:cstheme="minorBidi"/>
                <w:b w:val="0"/>
                <w:noProof/>
                <w:sz w:val="22"/>
                <w:lang w:eastAsia="en-AU"/>
              </w:rPr>
              <w:tab/>
            </w:r>
            <w:r w:rsidRPr="008255E4">
              <w:rPr>
                <w:rStyle w:val="Hyperlink"/>
                <w:noProof/>
              </w:rPr>
              <w:t>Pharmacokinetics</w:t>
            </w:r>
            <w:r>
              <w:rPr>
                <w:noProof/>
                <w:webHidden/>
              </w:rPr>
              <w:tab/>
            </w:r>
            <w:r>
              <w:rPr>
                <w:noProof/>
                <w:webHidden/>
              </w:rPr>
              <w:fldChar w:fldCharType="begin"/>
            </w:r>
            <w:r>
              <w:rPr>
                <w:noProof/>
                <w:webHidden/>
              </w:rPr>
              <w:instrText xml:space="preserve"> PAGEREF _Toc448221943 \h </w:instrText>
            </w:r>
            <w:r>
              <w:rPr>
                <w:noProof/>
                <w:webHidden/>
              </w:rPr>
            </w:r>
            <w:r>
              <w:rPr>
                <w:noProof/>
                <w:webHidden/>
              </w:rPr>
              <w:fldChar w:fldCharType="separate"/>
            </w:r>
            <w:r>
              <w:rPr>
                <w:noProof/>
                <w:webHidden/>
              </w:rPr>
              <w:t>8</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44" w:history="1">
            <w:r w:rsidRPr="008255E4">
              <w:rPr>
                <w:rStyle w:val="Hyperlink"/>
                <w:noProof/>
              </w:rPr>
              <w:t>4.1.</w:t>
            </w:r>
            <w:r>
              <w:rPr>
                <w:rFonts w:asciiTheme="minorHAnsi" w:eastAsiaTheme="minorEastAsia" w:hAnsiTheme="minorHAnsi" w:cstheme="minorBidi"/>
                <w:noProof/>
                <w:lang w:eastAsia="en-AU"/>
              </w:rPr>
              <w:tab/>
            </w:r>
            <w:r w:rsidRPr="008255E4">
              <w:rPr>
                <w:rStyle w:val="Hyperlink"/>
                <w:noProof/>
              </w:rPr>
              <w:t>Evaluator’s overall conclusions on pharmacokinetics</w:t>
            </w:r>
            <w:r>
              <w:rPr>
                <w:noProof/>
                <w:webHidden/>
              </w:rPr>
              <w:tab/>
            </w:r>
            <w:r>
              <w:rPr>
                <w:noProof/>
                <w:webHidden/>
              </w:rPr>
              <w:fldChar w:fldCharType="begin"/>
            </w:r>
            <w:r>
              <w:rPr>
                <w:noProof/>
                <w:webHidden/>
              </w:rPr>
              <w:instrText xml:space="preserve"> PAGEREF _Toc448221944 \h </w:instrText>
            </w:r>
            <w:r>
              <w:rPr>
                <w:noProof/>
                <w:webHidden/>
              </w:rPr>
            </w:r>
            <w:r>
              <w:rPr>
                <w:noProof/>
                <w:webHidden/>
              </w:rPr>
              <w:fldChar w:fldCharType="separate"/>
            </w:r>
            <w:r>
              <w:rPr>
                <w:noProof/>
                <w:webHidden/>
              </w:rPr>
              <w:t>8</w:t>
            </w:r>
            <w:r>
              <w:rPr>
                <w:noProof/>
                <w:webHidden/>
              </w:rPr>
              <w:fldChar w:fldCharType="end"/>
            </w:r>
          </w:hyperlink>
        </w:p>
        <w:p w:rsidR="00006C56" w:rsidRDefault="00006C56">
          <w:pPr>
            <w:pStyle w:val="TOC2"/>
            <w:tabs>
              <w:tab w:val="left" w:pos="1100"/>
            </w:tabs>
            <w:rPr>
              <w:rFonts w:asciiTheme="minorHAnsi" w:eastAsiaTheme="minorEastAsia" w:hAnsiTheme="minorHAnsi" w:cstheme="minorBidi"/>
              <w:b w:val="0"/>
              <w:noProof/>
              <w:sz w:val="22"/>
              <w:lang w:eastAsia="en-AU"/>
            </w:rPr>
          </w:pPr>
          <w:hyperlink w:anchor="_Toc448221945" w:history="1">
            <w:r w:rsidRPr="008255E4">
              <w:rPr>
                <w:rStyle w:val="Hyperlink"/>
                <w:noProof/>
              </w:rPr>
              <w:t>5.</w:t>
            </w:r>
            <w:r>
              <w:rPr>
                <w:rFonts w:asciiTheme="minorHAnsi" w:eastAsiaTheme="minorEastAsia" w:hAnsiTheme="minorHAnsi" w:cstheme="minorBidi"/>
                <w:b w:val="0"/>
                <w:noProof/>
                <w:sz w:val="22"/>
                <w:lang w:eastAsia="en-AU"/>
              </w:rPr>
              <w:tab/>
            </w:r>
            <w:r w:rsidRPr="008255E4">
              <w:rPr>
                <w:rStyle w:val="Hyperlink"/>
                <w:noProof/>
              </w:rPr>
              <w:t>Pharmacodynamics</w:t>
            </w:r>
            <w:r>
              <w:rPr>
                <w:noProof/>
                <w:webHidden/>
              </w:rPr>
              <w:tab/>
            </w:r>
            <w:r>
              <w:rPr>
                <w:noProof/>
                <w:webHidden/>
              </w:rPr>
              <w:fldChar w:fldCharType="begin"/>
            </w:r>
            <w:r>
              <w:rPr>
                <w:noProof/>
                <w:webHidden/>
              </w:rPr>
              <w:instrText xml:space="preserve"> PAGEREF _Toc448221945 \h </w:instrText>
            </w:r>
            <w:r>
              <w:rPr>
                <w:noProof/>
                <w:webHidden/>
              </w:rPr>
            </w:r>
            <w:r>
              <w:rPr>
                <w:noProof/>
                <w:webHidden/>
              </w:rPr>
              <w:fldChar w:fldCharType="separate"/>
            </w:r>
            <w:r>
              <w:rPr>
                <w:noProof/>
                <w:webHidden/>
              </w:rPr>
              <w:t>9</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46" w:history="1">
            <w:r w:rsidRPr="008255E4">
              <w:rPr>
                <w:rStyle w:val="Hyperlink"/>
                <w:noProof/>
              </w:rPr>
              <w:t>5.1.</w:t>
            </w:r>
            <w:r>
              <w:rPr>
                <w:rFonts w:asciiTheme="minorHAnsi" w:eastAsiaTheme="minorEastAsia" w:hAnsiTheme="minorHAnsi" w:cstheme="minorBidi"/>
                <w:noProof/>
                <w:lang w:eastAsia="en-AU"/>
              </w:rPr>
              <w:tab/>
            </w:r>
            <w:r w:rsidRPr="008255E4">
              <w:rPr>
                <w:rStyle w:val="Hyperlink"/>
                <w:noProof/>
              </w:rPr>
              <w:t>Studies providing pharmacodynamic data</w:t>
            </w:r>
            <w:r>
              <w:rPr>
                <w:noProof/>
                <w:webHidden/>
              </w:rPr>
              <w:tab/>
            </w:r>
            <w:r>
              <w:rPr>
                <w:noProof/>
                <w:webHidden/>
              </w:rPr>
              <w:fldChar w:fldCharType="begin"/>
            </w:r>
            <w:r>
              <w:rPr>
                <w:noProof/>
                <w:webHidden/>
              </w:rPr>
              <w:instrText xml:space="preserve"> PAGEREF _Toc448221946 \h </w:instrText>
            </w:r>
            <w:r>
              <w:rPr>
                <w:noProof/>
                <w:webHidden/>
              </w:rPr>
            </w:r>
            <w:r>
              <w:rPr>
                <w:noProof/>
                <w:webHidden/>
              </w:rPr>
              <w:fldChar w:fldCharType="separate"/>
            </w:r>
            <w:r>
              <w:rPr>
                <w:noProof/>
                <w:webHidden/>
              </w:rPr>
              <w:t>9</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47" w:history="1">
            <w:r w:rsidRPr="008255E4">
              <w:rPr>
                <w:rStyle w:val="Hyperlink"/>
                <w:noProof/>
              </w:rPr>
              <w:t>5.2.</w:t>
            </w:r>
            <w:r>
              <w:rPr>
                <w:rFonts w:asciiTheme="minorHAnsi" w:eastAsiaTheme="minorEastAsia" w:hAnsiTheme="minorHAnsi" w:cstheme="minorBidi"/>
                <w:noProof/>
                <w:lang w:eastAsia="en-AU"/>
              </w:rPr>
              <w:tab/>
            </w:r>
            <w:r w:rsidRPr="008255E4">
              <w:rPr>
                <w:rStyle w:val="Hyperlink"/>
                <w:noProof/>
              </w:rPr>
              <w:t>Evaluator’s overall conclusions on pharmacodynamics</w:t>
            </w:r>
            <w:r>
              <w:rPr>
                <w:noProof/>
                <w:webHidden/>
              </w:rPr>
              <w:tab/>
            </w:r>
            <w:r>
              <w:rPr>
                <w:noProof/>
                <w:webHidden/>
              </w:rPr>
              <w:fldChar w:fldCharType="begin"/>
            </w:r>
            <w:r>
              <w:rPr>
                <w:noProof/>
                <w:webHidden/>
              </w:rPr>
              <w:instrText xml:space="preserve"> PAGEREF _Toc448221947 \h </w:instrText>
            </w:r>
            <w:r>
              <w:rPr>
                <w:noProof/>
                <w:webHidden/>
              </w:rPr>
            </w:r>
            <w:r>
              <w:rPr>
                <w:noProof/>
                <w:webHidden/>
              </w:rPr>
              <w:fldChar w:fldCharType="separate"/>
            </w:r>
            <w:r>
              <w:rPr>
                <w:noProof/>
                <w:webHidden/>
              </w:rPr>
              <w:t>9</w:t>
            </w:r>
            <w:r>
              <w:rPr>
                <w:noProof/>
                <w:webHidden/>
              </w:rPr>
              <w:fldChar w:fldCharType="end"/>
            </w:r>
          </w:hyperlink>
        </w:p>
        <w:p w:rsidR="00006C56" w:rsidRDefault="00006C56">
          <w:pPr>
            <w:pStyle w:val="TOC2"/>
            <w:tabs>
              <w:tab w:val="left" w:pos="1100"/>
            </w:tabs>
            <w:rPr>
              <w:rFonts w:asciiTheme="minorHAnsi" w:eastAsiaTheme="minorEastAsia" w:hAnsiTheme="minorHAnsi" w:cstheme="minorBidi"/>
              <w:b w:val="0"/>
              <w:noProof/>
              <w:sz w:val="22"/>
              <w:lang w:eastAsia="en-AU"/>
            </w:rPr>
          </w:pPr>
          <w:hyperlink w:anchor="_Toc448221948" w:history="1">
            <w:r w:rsidRPr="008255E4">
              <w:rPr>
                <w:rStyle w:val="Hyperlink"/>
                <w:noProof/>
              </w:rPr>
              <w:t>6.</w:t>
            </w:r>
            <w:r>
              <w:rPr>
                <w:rFonts w:asciiTheme="minorHAnsi" w:eastAsiaTheme="minorEastAsia" w:hAnsiTheme="minorHAnsi" w:cstheme="minorBidi"/>
                <w:b w:val="0"/>
                <w:noProof/>
                <w:sz w:val="22"/>
                <w:lang w:eastAsia="en-AU"/>
              </w:rPr>
              <w:tab/>
            </w:r>
            <w:r w:rsidRPr="008255E4">
              <w:rPr>
                <w:rStyle w:val="Hyperlink"/>
                <w:noProof/>
              </w:rPr>
              <w:t>Dosage selection for the pivotal studies</w:t>
            </w:r>
            <w:r>
              <w:rPr>
                <w:noProof/>
                <w:webHidden/>
              </w:rPr>
              <w:tab/>
            </w:r>
            <w:r>
              <w:rPr>
                <w:noProof/>
                <w:webHidden/>
              </w:rPr>
              <w:fldChar w:fldCharType="begin"/>
            </w:r>
            <w:r>
              <w:rPr>
                <w:noProof/>
                <w:webHidden/>
              </w:rPr>
              <w:instrText xml:space="preserve"> PAGEREF _Toc448221948 \h </w:instrText>
            </w:r>
            <w:r>
              <w:rPr>
                <w:noProof/>
                <w:webHidden/>
              </w:rPr>
            </w:r>
            <w:r>
              <w:rPr>
                <w:noProof/>
                <w:webHidden/>
              </w:rPr>
              <w:fldChar w:fldCharType="separate"/>
            </w:r>
            <w:r>
              <w:rPr>
                <w:noProof/>
                <w:webHidden/>
              </w:rPr>
              <w:t>9</w:t>
            </w:r>
            <w:r>
              <w:rPr>
                <w:noProof/>
                <w:webHidden/>
              </w:rPr>
              <w:fldChar w:fldCharType="end"/>
            </w:r>
          </w:hyperlink>
        </w:p>
        <w:p w:rsidR="00006C56" w:rsidRDefault="00006C56">
          <w:pPr>
            <w:pStyle w:val="TOC2"/>
            <w:tabs>
              <w:tab w:val="left" w:pos="1100"/>
            </w:tabs>
            <w:rPr>
              <w:rFonts w:asciiTheme="minorHAnsi" w:eastAsiaTheme="minorEastAsia" w:hAnsiTheme="minorHAnsi" w:cstheme="minorBidi"/>
              <w:b w:val="0"/>
              <w:noProof/>
              <w:sz w:val="22"/>
              <w:lang w:eastAsia="en-AU"/>
            </w:rPr>
          </w:pPr>
          <w:hyperlink w:anchor="_Toc448221949" w:history="1">
            <w:r w:rsidRPr="008255E4">
              <w:rPr>
                <w:rStyle w:val="Hyperlink"/>
                <w:noProof/>
              </w:rPr>
              <w:t>7.</w:t>
            </w:r>
            <w:r>
              <w:rPr>
                <w:rFonts w:asciiTheme="minorHAnsi" w:eastAsiaTheme="minorEastAsia" w:hAnsiTheme="minorHAnsi" w:cstheme="minorBidi"/>
                <w:b w:val="0"/>
                <w:noProof/>
                <w:sz w:val="22"/>
                <w:lang w:eastAsia="en-AU"/>
              </w:rPr>
              <w:tab/>
            </w:r>
            <w:r w:rsidRPr="008255E4">
              <w:rPr>
                <w:rStyle w:val="Hyperlink"/>
                <w:noProof/>
              </w:rPr>
              <w:t>Clinical efficacy</w:t>
            </w:r>
            <w:r>
              <w:rPr>
                <w:noProof/>
                <w:webHidden/>
              </w:rPr>
              <w:tab/>
            </w:r>
            <w:r>
              <w:rPr>
                <w:noProof/>
                <w:webHidden/>
              </w:rPr>
              <w:fldChar w:fldCharType="begin"/>
            </w:r>
            <w:r>
              <w:rPr>
                <w:noProof/>
                <w:webHidden/>
              </w:rPr>
              <w:instrText xml:space="preserve"> PAGEREF _Toc448221949 \h </w:instrText>
            </w:r>
            <w:r>
              <w:rPr>
                <w:noProof/>
                <w:webHidden/>
              </w:rPr>
            </w:r>
            <w:r>
              <w:rPr>
                <w:noProof/>
                <w:webHidden/>
              </w:rPr>
              <w:fldChar w:fldCharType="separate"/>
            </w:r>
            <w:r>
              <w:rPr>
                <w:noProof/>
                <w:webHidden/>
              </w:rPr>
              <w:t>9</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50" w:history="1">
            <w:r w:rsidRPr="008255E4">
              <w:rPr>
                <w:rStyle w:val="Hyperlink"/>
                <w:noProof/>
              </w:rPr>
              <w:t>7.1.</w:t>
            </w:r>
            <w:r>
              <w:rPr>
                <w:rFonts w:asciiTheme="minorHAnsi" w:eastAsiaTheme="minorEastAsia" w:hAnsiTheme="minorHAnsi" w:cstheme="minorBidi"/>
                <w:noProof/>
                <w:lang w:eastAsia="en-AU"/>
              </w:rPr>
              <w:tab/>
            </w:r>
            <w:r w:rsidRPr="008255E4">
              <w:rPr>
                <w:rStyle w:val="Hyperlink"/>
                <w:noProof/>
              </w:rPr>
              <w:t>Pivotal Study</w:t>
            </w:r>
            <w:r>
              <w:rPr>
                <w:noProof/>
                <w:webHidden/>
              </w:rPr>
              <w:tab/>
            </w:r>
            <w:r>
              <w:rPr>
                <w:noProof/>
                <w:webHidden/>
              </w:rPr>
              <w:fldChar w:fldCharType="begin"/>
            </w:r>
            <w:r>
              <w:rPr>
                <w:noProof/>
                <w:webHidden/>
              </w:rPr>
              <w:instrText xml:space="preserve"> PAGEREF _Toc448221950 \h </w:instrText>
            </w:r>
            <w:r>
              <w:rPr>
                <w:noProof/>
                <w:webHidden/>
              </w:rPr>
            </w:r>
            <w:r>
              <w:rPr>
                <w:noProof/>
                <w:webHidden/>
              </w:rPr>
              <w:fldChar w:fldCharType="separate"/>
            </w:r>
            <w:r>
              <w:rPr>
                <w:noProof/>
                <w:webHidden/>
              </w:rPr>
              <w:t>9</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51" w:history="1">
            <w:r w:rsidRPr="008255E4">
              <w:rPr>
                <w:rStyle w:val="Hyperlink"/>
                <w:noProof/>
              </w:rPr>
              <w:t>7.2.</w:t>
            </w:r>
            <w:r>
              <w:rPr>
                <w:rFonts w:asciiTheme="minorHAnsi" w:eastAsiaTheme="minorEastAsia" w:hAnsiTheme="minorHAnsi" w:cstheme="minorBidi"/>
                <w:noProof/>
                <w:lang w:eastAsia="en-AU"/>
              </w:rPr>
              <w:tab/>
            </w:r>
            <w:r w:rsidRPr="008255E4">
              <w:rPr>
                <w:rStyle w:val="Hyperlink"/>
                <w:noProof/>
              </w:rPr>
              <w:t>Other relevant studies</w:t>
            </w:r>
            <w:r>
              <w:rPr>
                <w:noProof/>
                <w:webHidden/>
              </w:rPr>
              <w:tab/>
            </w:r>
            <w:r>
              <w:rPr>
                <w:noProof/>
                <w:webHidden/>
              </w:rPr>
              <w:fldChar w:fldCharType="begin"/>
            </w:r>
            <w:r>
              <w:rPr>
                <w:noProof/>
                <w:webHidden/>
              </w:rPr>
              <w:instrText xml:space="preserve"> PAGEREF _Toc448221951 \h </w:instrText>
            </w:r>
            <w:r>
              <w:rPr>
                <w:noProof/>
                <w:webHidden/>
              </w:rPr>
            </w:r>
            <w:r>
              <w:rPr>
                <w:noProof/>
                <w:webHidden/>
              </w:rPr>
              <w:fldChar w:fldCharType="separate"/>
            </w:r>
            <w:r>
              <w:rPr>
                <w:noProof/>
                <w:webHidden/>
              </w:rPr>
              <w:t>19</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52" w:history="1">
            <w:r w:rsidRPr="008255E4">
              <w:rPr>
                <w:rStyle w:val="Hyperlink"/>
                <w:noProof/>
              </w:rPr>
              <w:t>7.3.</w:t>
            </w:r>
            <w:r>
              <w:rPr>
                <w:rFonts w:asciiTheme="minorHAnsi" w:eastAsiaTheme="minorEastAsia" w:hAnsiTheme="minorHAnsi" w:cstheme="minorBidi"/>
                <w:noProof/>
                <w:lang w:eastAsia="en-AU"/>
              </w:rPr>
              <w:tab/>
            </w:r>
            <w:r w:rsidRPr="008255E4">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_Toc448221952 \h </w:instrText>
            </w:r>
            <w:r>
              <w:rPr>
                <w:noProof/>
                <w:webHidden/>
              </w:rPr>
            </w:r>
            <w:r>
              <w:rPr>
                <w:noProof/>
                <w:webHidden/>
              </w:rPr>
              <w:fldChar w:fldCharType="separate"/>
            </w:r>
            <w:r>
              <w:rPr>
                <w:noProof/>
                <w:webHidden/>
              </w:rPr>
              <w:t>23</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53" w:history="1">
            <w:r w:rsidRPr="008255E4">
              <w:rPr>
                <w:rStyle w:val="Hyperlink"/>
                <w:noProof/>
              </w:rPr>
              <w:t>7.4.</w:t>
            </w:r>
            <w:r>
              <w:rPr>
                <w:rFonts w:asciiTheme="minorHAnsi" w:eastAsiaTheme="minorEastAsia" w:hAnsiTheme="minorHAnsi" w:cstheme="minorBidi"/>
                <w:noProof/>
                <w:lang w:eastAsia="en-AU"/>
              </w:rPr>
              <w:tab/>
            </w:r>
            <w:r w:rsidRPr="008255E4">
              <w:rPr>
                <w:rStyle w:val="Hyperlink"/>
                <w:noProof/>
              </w:rPr>
              <w:t>Evaluator’s conclusions on clinical efficacy</w:t>
            </w:r>
            <w:r>
              <w:rPr>
                <w:noProof/>
                <w:webHidden/>
              </w:rPr>
              <w:tab/>
            </w:r>
            <w:r>
              <w:rPr>
                <w:noProof/>
                <w:webHidden/>
              </w:rPr>
              <w:fldChar w:fldCharType="begin"/>
            </w:r>
            <w:r>
              <w:rPr>
                <w:noProof/>
                <w:webHidden/>
              </w:rPr>
              <w:instrText xml:space="preserve"> PAGEREF _Toc448221953 \h </w:instrText>
            </w:r>
            <w:r>
              <w:rPr>
                <w:noProof/>
                <w:webHidden/>
              </w:rPr>
            </w:r>
            <w:r>
              <w:rPr>
                <w:noProof/>
                <w:webHidden/>
              </w:rPr>
              <w:fldChar w:fldCharType="separate"/>
            </w:r>
            <w:r>
              <w:rPr>
                <w:noProof/>
                <w:webHidden/>
              </w:rPr>
              <w:t>24</w:t>
            </w:r>
            <w:r>
              <w:rPr>
                <w:noProof/>
                <w:webHidden/>
              </w:rPr>
              <w:fldChar w:fldCharType="end"/>
            </w:r>
          </w:hyperlink>
        </w:p>
        <w:p w:rsidR="00006C56" w:rsidRDefault="00006C56">
          <w:pPr>
            <w:pStyle w:val="TOC2"/>
            <w:tabs>
              <w:tab w:val="left" w:pos="1100"/>
            </w:tabs>
            <w:rPr>
              <w:rFonts w:asciiTheme="minorHAnsi" w:eastAsiaTheme="minorEastAsia" w:hAnsiTheme="minorHAnsi" w:cstheme="minorBidi"/>
              <w:b w:val="0"/>
              <w:noProof/>
              <w:sz w:val="22"/>
              <w:lang w:eastAsia="en-AU"/>
            </w:rPr>
          </w:pPr>
          <w:hyperlink w:anchor="_Toc448221954" w:history="1">
            <w:r w:rsidRPr="008255E4">
              <w:rPr>
                <w:rStyle w:val="Hyperlink"/>
                <w:noProof/>
              </w:rPr>
              <w:t>8.</w:t>
            </w:r>
            <w:r>
              <w:rPr>
                <w:rFonts w:asciiTheme="minorHAnsi" w:eastAsiaTheme="minorEastAsia" w:hAnsiTheme="minorHAnsi" w:cstheme="minorBidi"/>
                <w:b w:val="0"/>
                <w:noProof/>
                <w:sz w:val="22"/>
                <w:lang w:eastAsia="en-AU"/>
              </w:rPr>
              <w:tab/>
            </w:r>
            <w:r w:rsidRPr="008255E4">
              <w:rPr>
                <w:rStyle w:val="Hyperlink"/>
                <w:noProof/>
              </w:rPr>
              <w:t>Clinical safety</w:t>
            </w:r>
            <w:r>
              <w:rPr>
                <w:noProof/>
                <w:webHidden/>
              </w:rPr>
              <w:tab/>
            </w:r>
            <w:r>
              <w:rPr>
                <w:noProof/>
                <w:webHidden/>
              </w:rPr>
              <w:fldChar w:fldCharType="begin"/>
            </w:r>
            <w:r>
              <w:rPr>
                <w:noProof/>
                <w:webHidden/>
              </w:rPr>
              <w:instrText xml:space="preserve"> PAGEREF _Toc448221954 \h </w:instrText>
            </w:r>
            <w:r>
              <w:rPr>
                <w:noProof/>
                <w:webHidden/>
              </w:rPr>
            </w:r>
            <w:r>
              <w:rPr>
                <w:noProof/>
                <w:webHidden/>
              </w:rPr>
              <w:fldChar w:fldCharType="separate"/>
            </w:r>
            <w:r>
              <w:rPr>
                <w:noProof/>
                <w:webHidden/>
              </w:rPr>
              <w:t>25</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55" w:history="1">
            <w:r w:rsidRPr="008255E4">
              <w:rPr>
                <w:rStyle w:val="Hyperlink"/>
                <w:noProof/>
              </w:rPr>
              <w:t>8.1.</w:t>
            </w:r>
            <w:r>
              <w:rPr>
                <w:rFonts w:asciiTheme="minorHAnsi" w:eastAsiaTheme="minorEastAsia" w:hAnsiTheme="minorHAnsi" w:cstheme="minorBidi"/>
                <w:noProof/>
                <w:lang w:eastAsia="en-AU"/>
              </w:rPr>
              <w:tab/>
            </w:r>
            <w:r w:rsidRPr="008255E4">
              <w:rPr>
                <w:rStyle w:val="Hyperlink"/>
                <w:noProof/>
              </w:rPr>
              <w:t>Studies providing evaluable safety data</w:t>
            </w:r>
            <w:r>
              <w:rPr>
                <w:noProof/>
                <w:webHidden/>
              </w:rPr>
              <w:tab/>
            </w:r>
            <w:r>
              <w:rPr>
                <w:noProof/>
                <w:webHidden/>
              </w:rPr>
              <w:fldChar w:fldCharType="begin"/>
            </w:r>
            <w:r>
              <w:rPr>
                <w:noProof/>
                <w:webHidden/>
              </w:rPr>
              <w:instrText xml:space="preserve"> PAGEREF _Toc448221955 \h </w:instrText>
            </w:r>
            <w:r>
              <w:rPr>
                <w:noProof/>
                <w:webHidden/>
              </w:rPr>
            </w:r>
            <w:r>
              <w:rPr>
                <w:noProof/>
                <w:webHidden/>
              </w:rPr>
              <w:fldChar w:fldCharType="separate"/>
            </w:r>
            <w:r>
              <w:rPr>
                <w:noProof/>
                <w:webHidden/>
              </w:rPr>
              <w:t>25</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56" w:history="1">
            <w:r w:rsidRPr="008255E4">
              <w:rPr>
                <w:rStyle w:val="Hyperlink"/>
                <w:noProof/>
              </w:rPr>
              <w:t>8.2.</w:t>
            </w:r>
            <w:r>
              <w:rPr>
                <w:rFonts w:asciiTheme="minorHAnsi" w:eastAsiaTheme="minorEastAsia" w:hAnsiTheme="minorHAnsi" w:cstheme="minorBidi"/>
                <w:noProof/>
                <w:lang w:eastAsia="en-AU"/>
              </w:rPr>
              <w:tab/>
            </w:r>
            <w:r w:rsidRPr="008255E4">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_Toc448221956 \h </w:instrText>
            </w:r>
            <w:r>
              <w:rPr>
                <w:noProof/>
                <w:webHidden/>
              </w:rPr>
            </w:r>
            <w:r>
              <w:rPr>
                <w:noProof/>
                <w:webHidden/>
              </w:rPr>
              <w:fldChar w:fldCharType="separate"/>
            </w:r>
            <w:r>
              <w:rPr>
                <w:noProof/>
                <w:webHidden/>
              </w:rPr>
              <w:t>26</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57" w:history="1">
            <w:r w:rsidRPr="008255E4">
              <w:rPr>
                <w:rStyle w:val="Hyperlink"/>
                <w:noProof/>
              </w:rPr>
              <w:t>8.3.</w:t>
            </w:r>
            <w:r>
              <w:rPr>
                <w:rFonts w:asciiTheme="minorHAnsi" w:eastAsiaTheme="minorEastAsia" w:hAnsiTheme="minorHAnsi" w:cstheme="minorBidi"/>
                <w:noProof/>
                <w:lang w:eastAsia="en-AU"/>
              </w:rPr>
              <w:tab/>
            </w:r>
            <w:r w:rsidRPr="008255E4">
              <w:rPr>
                <w:rStyle w:val="Hyperlink"/>
                <w:noProof/>
              </w:rPr>
              <w:t>Patient exposure</w:t>
            </w:r>
            <w:r>
              <w:rPr>
                <w:noProof/>
                <w:webHidden/>
              </w:rPr>
              <w:tab/>
            </w:r>
            <w:r>
              <w:rPr>
                <w:noProof/>
                <w:webHidden/>
              </w:rPr>
              <w:fldChar w:fldCharType="begin"/>
            </w:r>
            <w:r>
              <w:rPr>
                <w:noProof/>
                <w:webHidden/>
              </w:rPr>
              <w:instrText xml:space="preserve"> PAGEREF _Toc448221957 \h </w:instrText>
            </w:r>
            <w:r>
              <w:rPr>
                <w:noProof/>
                <w:webHidden/>
              </w:rPr>
            </w:r>
            <w:r>
              <w:rPr>
                <w:noProof/>
                <w:webHidden/>
              </w:rPr>
              <w:fldChar w:fldCharType="separate"/>
            </w:r>
            <w:r>
              <w:rPr>
                <w:noProof/>
                <w:webHidden/>
              </w:rPr>
              <w:t>27</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58" w:history="1">
            <w:r w:rsidRPr="008255E4">
              <w:rPr>
                <w:rStyle w:val="Hyperlink"/>
                <w:noProof/>
              </w:rPr>
              <w:t>8.4.</w:t>
            </w:r>
            <w:r>
              <w:rPr>
                <w:rFonts w:asciiTheme="minorHAnsi" w:eastAsiaTheme="minorEastAsia" w:hAnsiTheme="minorHAnsi" w:cstheme="minorBidi"/>
                <w:noProof/>
                <w:lang w:eastAsia="en-AU"/>
              </w:rPr>
              <w:tab/>
            </w:r>
            <w:r w:rsidRPr="008255E4">
              <w:rPr>
                <w:rStyle w:val="Hyperlink"/>
                <w:noProof/>
              </w:rPr>
              <w:t>Adverse events</w:t>
            </w:r>
            <w:r>
              <w:rPr>
                <w:noProof/>
                <w:webHidden/>
              </w:rPr>
              <w:tab/>
            </w:r>
            <w:r>
              <w:rPr>
                <w:noProof/>
                <w:webHidden/>
              </w:rPr>
              <w:fldChar w:fldCharType="begin"/>
            </w:r>
            <w:r>
              <w:rPr>
                <w:noProof/>
                <w:webHidden/>
              </w:rPr>
              <w:instrText xml:space="preserve"> PAGEREF _Toc448221958 \h </w:instrText>
            </w:r>
            <w:r>
              <w:rPr>
                <w:noProof/>
                <w:webHidden/>
              </w:rPr>
            </w:r>
            <w:r>
              <w:rPr>
                <w:noProof/>
                <w:webHidden/>
              </w:rPr>
              <w:fldChar w:fldCharType="separate"/>
            </w:r>
            <w:r>
              <w:rPr>
                <w:noProof/>
                <w:webHidden/>
              </w:rPr>
              <w:t>29</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59" w:history="1">
            <w:r w:rsidRPr="008255E4">
              <w:rPr>
                <w:rStyle w:val="Hyperlink"/>
                <w:noProof/>
              </w:rPr>
              <w:t>8.5.</w:t>
            </w:r>
            <w:r>
              <w:rPr>
                <w:rFonts w:asciiTheme="minorHAnsi" w:eastAsiaTheme="minorEastAsia" w:hAnsiTheme="minorHAnsi" w:cstheme="minorBidi"/>
                <w:noProof/>
                <w:lang w:eastAsia="en-AU"/>
              </w:rPr>
              <w:tab/>
            </w:r>
            <w:r w:rsidRPr="008255E4">
              <w:rPr>
                <w:rStyle w:val="Hyperlink"/>
                <w:noProof/>
              </w:rPr>
              <w:t>Laboratory tests</w:t>
            </w:r>
            <w:r>
              <w:rPr>
                <w:noProof/>
                <w:webHidden/>
              </w:rPr>
              <w:tab/>
            </w:r>
            <w:r>
              <w:rPr>
                <w:noProof/>
                <w:webHidden/>
              </w:rPr>
              <w:fldChar w:fldCharType="begin"/>
            </w:r>
            <w:r>
              <w:rPr>
                <w:noProof/>
                <w:webHidden/>
              </w:rPr>
              <w:instrText xml:space="preserve"> PAGEREF _Toc448221959 \h </w:instrText>
            </w:r>
            <w:r>
              <w:rPr>
                <w:noProof/>
                <w:webHidden/>
              </w:rPr>
            </w:r>
            <w:r>
              <w:rPr>
                <w:noProof/>
                <w:webHidden/>
              </w:rPr>
              <w:fldChar w:fldCharType="separate"/>
            </w:r>
            <w:r>
              <w:rPr>
                <w:noProof/>
                <w:webHidden/>
              </w:rPr>
              <w:t>33</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60" w:history="1">
            <w:r w:rsidRPr="008255E4">
              <w:rPr>
                <w:rStyle w:val="Hyperlink"/>
                <w:noProof/>
              </w:rPr>
              <w:t>8.6.</w:t>
            </w:r>
            <w:r>
              <w:rPr>
                <w:rFonts w:asciiTheme="minorHAnsi" w:eastAsiaTheme="minorEastAsia" w:hAnsiTheme="minorHAnsi" w:cstheme="minorBidi"/>
                <w:noProof/>
                <w:lang w:eastAsia="en-AU"/>
              </w:rPr>
              <w:tab/>
            </w:r>
            <w:r w:rsidRPr="008255E4">
              <w:rPr>
                <w:rStyle w:val="Hyperlink"/>
                <w:noProof/>
              </w:rPr>
              <w:t>Post-marketing experience</w:t>
            </w:r>
            <w:r>
              <w:rPr>
                <w:noProof/>
                <w:webHidden/>
              </w:rPr>
              <w:tab/>
            </w:r>
            <w:r>
              <w:rPr>
                <w:noProof/>
                <w:webHidden/>
              </w:rPr>
              <w:fldChar w:fldCharType="begin"/>
            </w:r>
            <w:r>
              <w:rPr>
                <w:noProof/>
                <w:webHidden/>
              </w:rPr>
              <w:instrText xml:space="preserve"> PAGEREF _Toc448221960 \h </w:instrText>
            </w:r>
            <w:r>
              <w:rPr>
                <w:noProof/>
                <w:webHidden/>
              </w:rPr>
            </w:r>
            <w:r>
              <w:rPr>
                <w:noProof/>
                <w:webHidden/>
              </w:rPr>
              <w:fldChar w:fldCharType="separate"/>
            </w:r>
            <w:r>
              <w:rPr>
                <w:noProof/>
                <w:webHidden/>
              </w:rPr>
              <w:t>36</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61" w:history="1">
            <w:r w:rsidRPr="008255E4">
              <w:rPr>
                <w:rStyle w:val="Hyperlink"/>
                <w:noProof/>
              </w:rPr>
              <w:t>8.7.</w:t>
            </w:r>
            <w:r>
              <w:rPr>
                <w:rFonts w:asciiTheme="minorHAnsi" w:eastAsiaTheme="minorEastAsia" w:hAnsiTheme="minorHAnsi" w:cstheme="minorBidi"/>
                <w:noProof/>
                <w:lang w:eastAsia="en-AU"/>
              </w:rPr>
              <w:tab/>
            </w:r>
            <w:r w:rsidRPr="008255E4">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_Toc448221961 \h </w:instrText>
            </w:r>
            <w:r>
              <w:rPr>
                <w:noProof/>
                <w:webHidden/>
              </w:rPr>
            </w:r>
            <w:r>
              <w:rPr>
                <w:noProof/>
                <w:webHidden/>
              </w:rPr>
              <w:fldChar w:fldCharType="separate"/>
            </w:r>
            <w:r>
              <w:rPr>
                <w:noProof/>
                <w:webHidden/>
              </w:rPr>
              <w:t>36</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62" w:history="1">
            <w:r w:rsidRPr="008255E4">
              <w:rPr>
                <w:rStyle w:val="Hyperlink"/>
                <w:noProof/>
              </w:rPr>
              <w:t>8.8.</w:t>
            </w:r>
            <w:r>
              <w:rPr>
                <w:rFonts w:asciiTheme="minorHAnsi" w:eastAsiaTheme="minorEastAsia" w:hAnsiTheme="minorHAnsi" w:cstheme="minorBidi"/>
                <w:noProof/>
                <w:lang w:eastAsia="en-AU"/>
              </w:rPr>
              <w:tab/>
            </w:r>
            <w:r w:rsidRPr="008255E4">
              <w:rPr>
                <w:rStyle w:val="Hyperlink"/>
                <w:noProof/>
              </w:rPr>
              <w:t>Evaluator’s overall conclusions on clinical safety</w:t>
            </w:r>
            <w:r>
              <w:rPr>
                <w:noProof/>
                <w:webHidden/>
              </w:rPr>
              <w:tab/>
            </w:r>
            <w:r>
              <w:rPr>
                <w:noProof/>
                <w:webHidden/>
              </w:rPr>
              <w:fldChar w:fldCharType="begin"/>
            </w:r>
            <w:r>
              <w:rPr>
                <w:noProof/>
                <w:webHidden/>
              </w:rPr>
              <w:instrText xml:space="preserve"> PAGEREF _Toc448221962 \h </w:instrText>
            </w:r>
            <w:r>
              <w:rPr>
                <w:noProof/>
                <w:webHidden/>
              </w:rPr>
            </w:r>
            <w:r>
              <w:rPr>
                <w:noProof/>
                <w:webHidden/>
              </w:rPr>
              <w:fldChar w:fldCharType="separate"/>
            </w:r>
            <w:r>
              <w:rPr>
                <w:noProof/>
                <w:webHidden/>
              </w:rPr>
              <w:t>36</w:t>
            </w:r>
            <w:r>
              <w:rPr>
                <w:noProof/>
                <w:webHidden/>
              </w:rPr>
              <w:fldChar w:fldCharType="end"/>
            </w:r>
          </w:hyperlink>
        </w:p>
        <w:p w:rsidR="00006C56" w:rsidRDefault="00006C56">
          <w:pPr>
            <w:pStyle w:val="TOC2"/>
            <w:tabs>
              <w:tab w:val="left" w:pos="1100"/>
            </w:tabs>
            <w:rPr>
              <w:rFonts w:asciiTheme="minorHAnsi" w:eastAsiaTheme="minorEastAsia" w:hAnsiTheme="minorHAnsi" w:cstheme="minorBidi"/>
              <w:b w:val="0"/>
              <w:noProof/>
              <w:sz w:val="22"/>
              <w:lang w:eastAsia="en-AU"/>
            </w:rPr>
          </w:pPr>
          <w:hyperlink w:anchor="_Toc448221963" w:history="1">
            <w:r w:rsidRPr="008255E4">
              <w:rPr>
                <w:rStyle w:val="Hyperlink"/>
                <w:noProof/>
              </w:rPr>
              <w:t>9.</w:t>
            </w:r>
            <w:r>
              <w:rPr>
                <w:rFonts w:asciiTheme="minorHAnsi" w:eastAsiaTheme="minorEastAsia" w:hAnsiTheme="minorHAnsi" w:cstheme="minorBidi"/>
                <w:b w:val="0"/>
                <w:noProof/>
                <w:sz w:val="22"/>
                <w:lang w:eastAsia="en-AU"/>
              </w:rPr>
              <w:tab/>
            </w:r>
            <w:r w:rsidRPr="008255E4">
              <w:rPr>
                <w:rStyle w:val="Hyperlink"/>
                <w:noProof/>
              </w:rPr>
              <w:t>First round benefit-risk assessment</w:t>
            </w:r>
            <w:r>
              <w:rPr>
                <w:noProof/>
                <w:webHidden/>
              </w:rPr>
              <w:tab/>
            </w:r>
            <w:r>
              <w:rPr>
                <w:noProof/>
                <w:webHidden/>
              </w:rPr>
              <w:fldChar w:fldCharType="begin"/>
            </w:r>
            <w:r>
              <w:rPr>
                <w:noProof/>
                <w:webHidden/>
              </w:rPr>
              <w:instrText xml:space="preserve"> PAGEREF _Toc448221963 \h </w:instrText>
            </w:r>
            <w:r>
              <w:rPr>
                <w:noProof/>
                <w:webHidden/>
              </w:rPr>
            </w:r>
            <w:r>
              <w:rPr>
                <w:noProof/>
                <w:webHidden/>
              </w:rPr>
              <w:fldChar w:fldCharType="separate"/>
            </w:r>
            <w:r>
              <w:rPr>
                <w:noProof/>
                <w:webHidden/>
              </w:rPr>
              <w:t>36</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64" w:history="1">
            <w:r w:rsidRPr="008255E4">
              <w:rPr>
                <w:rStyle w:val="Hyperlink"/>
                <w:noProof/>
              </w:rPr>
              <w:t>9.1.</w:t>
            </w:r>
            <w:r>
              <w:rPr>
                <w:rFonts w:asciiTheme="minorHAnsi" w:eastAsiaTheme="minorEastAsia" w:hAnsiTheme="minorHAnsi" w:cstheme="minorBidi"/>
                <w:noProof/>
                <w:lang w:eastAsia="en-AU"/>
              </w:rPr>
              <w:tab/>
            </w:r>
            <w:r w:rsidRPr="008255E4">
              <w:rPr>
                <w:rStyle w:val="Hyperlink"/>
                <w:noProof/>
              </w:rPr>
              <w:t>First round assessment of benefits</w:t>
            </w:r>
            <w:r>
              <w:rPr>
                <w:noProof/>
                <w:webHidden/>
              </w:rPr>
              <w:tab/>
            </w:r>
            <w:r>
              <w:rPr>
                <w:noProof/>
                <w:webHidden/>
              </w:rPr>
              <w:fldChar w:fldCharType="begin"/>
            </w:r>
            <w:r>
              <w:rPr>
                <w:noProof/>
                <w:webHidden/>
              </w:rPr>
              <w:instrText xml:space="preserve"> PAGEREF _Toc448221964 \h </w:instrText>
            </w:r>
            <w:r>
              <w:rPr>
                <w:noProof/>
                <w:webHidden/>
              </w:rPr>
            </w:r>
            <w:r>
              <w:rPr>
                <w:noProof/>
                <w:webHidden/>
              </w:rPr>
              <w:fldChar w:fldCharType="separate"/>
            </w:r>
            <w:r>
              <w:rPr>
                <w:noProof/>
                <w:webHidden/>
              </w:rPr>
              <w:t>36</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65" w:history="1">
            <w:r w:rsidRPr="008255E4">
              <w:rPr>
                <w:rStyle w:val="Hyperlink"/>
                <w:noProof/>
              </w:rPr>
              <w:t>9.2.</w:t>
            </w:r>
            <w:r>
              <w:rPr>
                <w:rFonts w:asciiTheme="minorHAnsi" w:eastAsiaTheme="minorEastAsia" w:hAnsiTheme="minorHAnsi" w:cstheme="minorBidi"/>
                <w:noProof/>
                <w:lang w:eastAsia="en-AU"/>
              </w:rPr>
              <w:tab/>
            </w:r>
            <w:r w:rsidRPr="008255E4">
              <w:rPr>
                <w:rStyle w:val="Hyperlink"/>
                <w:noProof/>
              </w:rPr>
              <w:t>First round assessment of risks</w:t>
            </w:r>
            <w:r>
              <w:rPr>
                <w:noProof/>
                <w:webHidden/>
              </w:rPr>
              <w:tab/>
            </w:r>
            <w:r>
              <w:rPr>
                <w:noProof/>
                <w:webHidden/>
              </w:rPr>
              <w:fldChar w:fldCharType="begin"/>
            </w:r>
            <w:r>
              <w:rPr>
                <w:noProof/>
                <w:webHidden/>
              </w:rPr>
              <w:instrText xml:space="preserve"> PAGEREF _Toc448221965 \h </w:instrText>
            </w:r>
            <w:r>
              <w:rPr>
                <w:noProof/>
                <w:webHidden/>
              </w:rPr>
            </w:r>
            <w:r>
              <w:rPr>
                <w:noProof/>
                <w:webHidden/>
              </w:rPr>
              <w:fldChar w:fldCharType="separate"/>
            </w:r>
            <w:r>
              <w:rPr>
                <w:noProof/>
                <w:webHidden/>
              </w:rPr>
              <w:t>37</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66" w:history="1">
            <w:r w:rsidRPr="008255E4">
              <w:rPr>
                <w:rStyle w:val="Hyperlink"/>
                <w:noProof/>
              </w:rPr>
              <w:t>9.3.</w:t>
            </w:r>
            <w:r>
              <w:rPr>
                <w:rFonts w:asciiTheme="minorHAnsi" w:eastAsiaTheme="minorEastAsia" w:hAnsiTheme="minorHAnsi" w:cstheme="minorBidi"/>
                <w:noProof/>
                <w:lang w:eastAsia="en-AU"/>
              </w:rPr>
              <w:tab/>
            </w:r>
            <w:r w:rsidRPr="008255E4">
              <w:rPr>
                <w:rStyle w:val="Hyperlink"/>
                <w:noProof/>
              </w:rPr>
              <w:t>First round assessment of benefit-risk balance</w:t>
            </w:r>
            <w:r>
              <w:rPr>
                <w:noProof/>
                <w:webHidden/>
              </w:rPr>
              <w:tab/>
            </w:r>
            <w:r>
              <w:rPr>
                <w:noProof/>
                <w:webHidden/>
              </w:rPr>
              <w:fldChar w:fldCharType="begin"/>
            </w:r>
            <w:r>
              <w:rPr>
                <w:noProof/>
                <w:webHidden/>
              </w:rPr>
              <w:instrText xml:space="preserve"> PAGEREF _Toc448221966 \h </w:instrText>
            </w:r>
            <w:r>
              <w:rPr>
                <w:noProof/>
                <w:webHidden/>
              </w:rPr>
            </w:r>
            <w:r>
              <w:rPr>
                <w:noProof/>
                <w:webHidden/>
              </w:rPr>
              <w:fldChar w:fldCharType="separate"/>
            </w:r>
            <w:r>
              <w:rPr>
                <w:noProof/>
                <w:webHidden/>
              </w:rPr>
              <w:t>38</w:t>
            </w:r>
            <w:r>
              <w:rPr>
                <w:noProof/>
                <w:webHidden/>
              </w:rPr>
              <w:fldChar w:fldCharType="end"/>
            </w:r>
          </w:hyperlink>
        </w:p>
        <w:p w:rsidR="00006C56" w:rsidRDefault="00006C56">
          <w:pPr>
            <w:pStyle w:val="TOC2"/>
            <w:tabs>
              <w:tab w:val="left" w:pos="1320"/>
            </w:tabs>
            <w:rPr>
              <w:rFonts w:asciiTheme="minorHAnsi" w:eastAsiaTheme="minorEastAsia" w:hAnsiTheme="minorHAnsi" w:cstheme="minorBidi"/>
              <w:b w:val="0"/>
              <w:noProof/>
              <w:sz w:val="22"/>
              <w:lang w:eastAsia="en-AU"/>
            </w:rPr>
          </w:pPr>
          <w:hyperlink w:anchor="_Toc448221967" w:history="1">
            <w:r w:rsidRPr="008255E4">
              <w:rPr>
                <w:rStyle w:val="Hyperlink"/>
                <w:noProof/>
              </w:rPr>
              <w:t>10.</w:t>
            </w:r>
            <w:r>
              <w:rPr>
                <w:rFonts w:asciiTheme="minorHAnsi" w:eastAsiaTheme="minorEastAsia" w:hAnsiTheme="minorHAnsi" w:cstheme="minorBidi"/>
                <w:b w:val="0"/>
                <w:noProof/>
                <w:sz w:val="22"/>
                <w:lang w:eastAsia="en-AU"/>
              </w:rPr>
              <w:tab/>
            </w:r>
            <w:r w:rsidRPr="008255E4">
              <w:rPr>
                <w:rStyle w:val="Hyperlink"/>
                <w:noProof/>
              </w:rPr>
              <w:t>First round recommendation regarding authorisation</w:t>
            </w:r>
            <w:r>
              <w:rPr>
                <w:noProof/>
                <w:webHidden/>
              </w:rPr>
              <w:tab/>
            </w:r>
            <w:r>
              <w:rPr>
                <w:noProof/>
                <w:webHidden/>
              </w:rPr>
              <w:fldChar w:fldCharType="begin"/>
            </w:r>
            <w:r>
              <w:rPr>
                <w:noProof/>
                <w:webHidden/>
              </w:rPr>
              <w:instrText xml:space="preserve"> PAGEREF _Toc448221967 \h </w:instrText>
            </w:r>
            <w:r>
              <w:rPr>
                <w:noProof/>
                <w:webHidden/>
              </w:rPr>
            </w:r>
            <w:r>
              <w:rPr>
                <w:noProof/>
                <w:webHidden/>
              </w:rPr>
              <w:fldChar w:fldCharType="separate"/>
            </w:r>
            <w:r>
              <w:rPr>
                <w:noProof/>
                <w:webHidden/>
              </w:rPr>
              <w:t>38</w:t>
            </w:r>
            <w:r>
              <w:rPr>
                <w:noProof/>
                <w:webHidden/>
              </w:rPr>
              <w:fldChar w:fldCharType="end"/>
            </w:r>
          </w:hyperlink>
        </w:p>
        <w:p w:rsidR="00006C56" w:rsidRDefault="00006C56">
          <w:pPr>
            <w:pStyle w:val="TOC2"/>
            <w:tabs>
              <w:tab w:val="left" w:pos="1320"/>
            </w:tabs>
            <w:rPr>
              <w:rFonts w:asciiTheme="minorHAnsi" w:eastAsiaTheme="minorEastAsia" w:hAnsiTheme="minorHAnsi" w:cstheme="minorBidi"/>
              <w:b w:val="0"/>
              <w:noProof/>
              <w:sz w:val="22"/>
              <w:lang w:eastAsia="en-AU"/>
            </w:rPr>
          </w:pPr>
          <w:hyperlink w:anchor="_Toc448221968" w:history="1">
            <w:r w:rsidRPr="008255E4">
              <w:rPr>
                <w:rStyle w:val="Hyperlink"/>
                <w:noProof/>
              </w:rPr>
              <w:t>11.</w:t>
            </w:r>
            <w:r>
              <w:rPr>
                <w:rFonts w:asciiTheme="minorHAnsi" w:eastAsiaTheme="minorEastAsia" w:hAnsiTheme="minorHAnsi" w:cstheme="minorBidi"/>
                <w:b w:val="0"/>
                <w:noProof/>
                <w:sz w:val="22"/>
                <w:lang w:eastAsia="en-AU"/>
              </w:rPr>
              <w:tab/>
            </w:r>
            <w:r w:rsidRPr="008255E4">
              <w:rPr>
                <w:rStyle w:val="Hyperlink"/>
                <w:noProof/>
              </w:rPr>
              <w:t>Clinical questions</w:t>
            </w:r>
            <w:r>
              <w:rPr>
                <w:noProof/>
                <w:webHidden/>
              </w:rPr>
              <w:tab/>
            </w:r>
            <w:r>
              <w:rPr>
                <w:noProof/>
                <w:webHidden/>
              </w:rPr>
              <w:fldChar w:fldCharType="begin"/>
            </w:r>
            <w:r>
              <w:rPr>
                <w:noProof/>
                <w:webHidden/>
              </w:rPr>
              <w:instrText xml:space="preserve"> PAGEREF _Toc448221968 \h </w:instrText>
            </w:r>
            <w:r>
              <w:rPr>
                <w:noProof/>
                <w:webHidden/>
              </w:rPr>
            </w:r>
            <w:r>
              <w:rPr>
                <w:noProof/>
                <w:webHidden/>
              </w:rPr>
              <w:fldChar w:fldCharType="separate"/>
            </w:r>
            <w:r>
              <w:rPr>
                <w:noProof/>
                <w:webHidden/>
              </w:rPr>
              <w:t>38</w:t>
            </w:r>
            <w:r>
              <w:rPr>
                <w:noProof/>
                <w:webHidden/>
              </w:rPr>
              <w:fldChar w:fldCharType="end"/>
            </w:r>
          </w:hyperlink>
        </w:p>
        <w:p w:rsidR="00006C56" w:rsidRDefault="00006C56">
          <w:pPr>
            <w:pStyle w:val="TOC2"/>
            <w:tabs>
              <w:tab w:val="left" w:pos="1320"/>
            </w:tabs>
            <w:rPr>
              <w:rFonts w:asciiTheme="minorHAnsi" w:eastAsiaTheme="minorEastAsia" w:hAnsiTheme="minorHAnsi" w:cstheme="minorBidi"/>
              <w:b w:val="0"/>
              <w:noProof/>
              <w:sz w:val="22"/>
              <w:lang w:eastAsia="en-AU"/>
            </w:rPr>
          </w:pPr>
          <w:hyperlink w:anchor="_Toc448221969" w:history="1">
            <w:r w:rsidRPr="008255E4">
              <w:rPr>
                <w:rStyle w:val="Hyperlink"/>
                <w:noProof/>
              </w:rPr>
              <w:t>12.</w:t>
            </w:r>
            <w:r>
              <w:rPr>
                <w:rFonts w:asciiTheme="minorHAnsi" w:eastAsiaTheme="minorEastAsia" w:hAnsiTheme="minorHAnsi" w:cstheme="minorBidi"/>
                <w:b w:val="0"/>
                <w:noProof/>
                <w:sz w:val="22"/>
                <w:lang w:eastAsia="en-AU"/>
              </w:rPr>
              <w:tab/>
            </w:r>
            <w:r w:rsidRPr="008255E4">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_Toc448221969 \h </w:instrText>
            </w:r>
            <w:r>
              <w:rPr>
                <w:noProof/>
                <w:webHidden/>
              </w:rPr>
            </w:r>
            <w:r>
              <w:rPr>
                <w:noProof/>
                <w:webHidden/>
              </w:rPr>
              <w:fldChar w:fldCharType="separate"/>
            </w:r>
            <w:r>
              <w:rPr>
                <w:noProof/>
                <w:webHidden/>
              </w:rPr>
              <w:t>38</w:t>
            </w:r>
            <w:r>
              <w:rPr>
                <w:noProof/>
                <w:webHidden/>
              </w:rPr>
              <w:fldChar w:fldCharType="end"/>
            </w:r>
          </w:hyperlink>
        </w:p>
        <w:p w:rsidR="00006C56" w:rsidRDefault="00006C56">
          <w:pPr>
            <w:pStyle w:val="TOC3"/>
            <w:tabs>
              <w:tab w:val="left" w:pos="1760"/>
            </w:tabs>
            <w:rPr>
              <w:rFonts w:asciiTheme="minorHAnsi" w:eastAsiaTheme="minorEastAsia" w:hAnsiTheme="minorHAnsi" w:cstheme="minorBidi"/>
              <w:noProof/>
              <w:lang w:eastAsia="en-AU"/>
            </w:rPr>
          </w:pPr>
          <w:hyperlink w:anchor="_Toc448221970" w:history="1">
            <w:r w:rsidRPr="008255E4">
              <w:rPr>
                <w:rStyle w:val="Hyperlink"/>
                <w:noProof/>
              </w:rPr>
              <w:t>12.1.</w:t>
            </w:r>
            <w:r>
              <w:rPr>
                <w:rFonts w:asciiTheme="minorHAnsi" w:eastAsiaTheme="minorEastAsia" w:hAnsiTheme="minorHAnsi" w:cstheme="minorBidi"/>
                <w:noProof/>
                <w:lang w:eastAsia="en-AU"/>
              </w:rPr>
              <w:tab/>
            </w:r>
            <w:r w:rsidRPr="008255E4">
              <w:rPr>
                <w:rStyle w:val="Hyperlink"/>
                <w:noProof/>
              </w:rPr>
              <w:t>Second round benefit-risk assessment</w:t>
            </w:r>
            <w:r>
              <w:rPr>
                <w:noProof/>
                <w:webHidden/>
              </w:rPr>
              <w:tab/>
            </w:r>
            <w:r>
              <w:rPr>
                <w:noProof/>
                <w:webHidden/>
              </w:rPr>
              <w:fldChar w:fldCharType="begin"/>
            </w:r>
            <w:r>
              <w:rPr>
                <w:noProof/>
                <w:webHidden/>
              </w:rPr>
              <w:instrText xml:space="preserve"> PAGEREF _Toc448221970 \h </w:instrText>
            </w:r>
            <w:r>
              <w:rPr>
                <w:noProof/>
                <w:webHidden/>
              </w:rPr>
            </w:r>
            <w:r>
              <w:rPr>
                <w:noProof/>
                <w:webHidden/>
              </w:rPr>
              <w:fldChar w:fldCharType="separate"/>
            </w:r>
            <w:r>
              <w:rPr>
                <w:noProof/>
                <w:webHidden/>
              </w:rPr>
              <w:t>40</w:t>
            </w:r>
            <w:r>
              <w:rPr>
                <w:noProof/>
                <w:webHidden/>
              </w:rPr>
              <w:fldChar w:fldCharType="end"/>
            </w:r>
          </w:hyperlink>
        </w:p>
        <w:p w:rsidR="00006C56" w:rsidRDefault="00006C56">
          <w:pPr>
            <w:pStyle w:val="TOC2"/>
            <w:tabs>
              <w:tab w:val="left" w:pos="1320"/>
            </w:tabs>
            <w:rPr>
              <w:rFonts w:asciiTheme="minorHAnsi" w:eastAsiaTheme="minorEastAsia" w:hAnsiTheme="minorHAnsi" w:cstheme="minorBidi"/>
              <w:b w:val="0"/>
              <w:noProof/>
              <w:sz w:val="22"/>
              <w:lang w:eastAsia="en-AU"/>
            </w:rPr>
          </w:pPr>
          <w:hyperlink w:anchor="_Toc448221971" w:history="1">
            <w:r w:rsidRPr="008255E4">
              <w:rPr>
                <w:rStyle w:val="Hyperlink"/>
                <w:noProof/>
              </w:rPr>
              <w:t>13.</w:t>
            </w:r>
            <w:r>
              <w:rPr>
                <w:rFonts w:asciiTheme="minorHAnsi" w:eastAsiaTheme="minorEastAsia" w:hAnsiTheme="minorHAnsi" w:cstheme="minorBidi"/>
                <w:b w:val="0"/>
                <w:noProof/>
                <w:sz w:val="22"/>
                <w:lang w:eastAsia="en-AU"/>
              </w:rPr>
              <w:tab/>
            </w:r>
            <w:r w:rsidRPr="008255E4">
              <w:rPr>
                <w:rStyle w:val="Hyperlink"/>
                <w:noProof/>
              </w:rPr>
              <w:t>References-supplied by sponsor</w:t>
            </w:r>
            <w:r>
              <w:rPr>
                <w:noProof/>
                <w:webHidden/>
              </w:rPr>
              <w:tab/>
            </w:r>
            <w:r>
              <w:rPr>
                <w:noProof/>
                <w:webHidden/>
              </w:rPr>
              <w:fldChar w:fldCharType="begin"/>
            </w:r>
            <w:r>
              <w:rPr>
                <w:noProof/>
                <w:webHidden/>
              </w:rPr>
              <w:instrText xml:space="preserve"> PAGEREF _Toc448221971 \h </w:instrText>
            </w:r>
            <w:r>
              <w:rPr>
                <w:noProof/>
                <w:webHidden/>
              </w:rPr>
            </w:r>
            <w:r>
              <w:rPr>
                <w:noProof/>
                <w:webHidden/>
              </w:rPr>
              <w:fldChar w:fldCharType="separate"/>
            </w:r>
            <w:r>
              <w:rPr>
                <w:noProof/>
                <w:webHidden/>
              </w:rPr>
              <w:t>40</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FE1955" w:rsidRDefault="00FE195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48221936"/>
      <w:r>
        <w:lastRenderedPageBreak/>
        <w:t xml:space="preserve">List of </w:t>
      </w:r>
      <w:r w:rsidR="00D277EF">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B03F4F" w:rsidTr="00B03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B03F4F" w:rsidRPr="00FD119B" w:rsidRDefault="00B03F4F" w:rsidP="00B03F4F">
            <w:pPr>
              <w:ind w:left="0" w:right="0"/>
              <w:rPr>
                <w:szCs w:val="22"/>
                <w:lang w:eastAsia="en-US"/>
              </w:rPr>
            </w:pPr>
            <w:r w:rsidRPr="00FD119B">
              <w:rPr>
                <w:szCs w:val="22"/>
                <w:lang w:eastAsia="en-US"/>
              </w:rPr>
              <w:t>Abbreviation</w:t>
            </w:r>
          </w:p>
        </w:tc>
        <w:tc>
          <w:tcPr>
            <w:tcW w:w="6911" w:type="dxa"/>
          </w:tcPr>
          <w:p w:rsidR="00B03F4F" w:rsidRPr="00FD119B" w:rsidRDefault="00B03F4F" w:rsidP="00B03F4F">
            <w:pPr>
              <w:ind w:left="0" w:right="0"/>
              <w:cnfStyle w:val="100000000000" w:firstRow="1" w:lastRow="0" w:firstColumn="0" w:lastColumn="0" w:oddVBand="0" w:evenVBand="0" w:oddHBand="0" w:evenHBand="0" w:firstRowFirstColumn="0" w:firstRowLastColumn="0" w:lastRowFirstColumn="0" w:lastRowLastColumn="0"/>
              <w:rPr>
                <w:szCs w:val="22"/>
                <w:lang w:eastAsia="en-US"/>
              </w:rPr>
            </w:pPr>
            <w:r w:rsidRPr="00FD119B">
              <w:rPr>
                <w:szCs w:val="22"/>
                <w:lang w:eastAsia="en-US"/>
              </w:rPr>
              <w:t>Meaning</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tcPr>
          <w:p w:rsidR="00B03F4F" w:rsidRDefault="00B03F4F" w:rsidP="00256BB3">
            <w:r>
              <w:t xml:space="preserve">ABMTRR </w:t>
            </w:r>
          </w:p>
        </w:tc>
        <w:tc>
          <w:tcPr>
            <w:tcW w:w="6911" w:type="dxa"/>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Australian blood and marrow transplant recipient registry</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AE</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Adverse event</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ALT</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Alanine aminotransferase</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AML</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Acute myeloid leukaemia</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ANC</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Absolute neutrophil count</w:t>
            </w:r>
          </w:p>
        </w:tc>
      </w:tr>
      <w:tr w:rsidR="0032542E" w:rsidTr="00B03F4F">
        <w:tc>
          <w:tcPr>
            <w:cnfStyle w:val="001000000000" w:firstRow="0" w:lastRow="0" w:firstColumn="1" w:lastColumn="0" w:oddVBand="0" w:evenVBand="0" w:oddHBand="0" w:evenHBand="0" w:firstRowFirstColumn="0" w:firstRowLastColumn="0" w:lastRowFirstColumn="0" w:lastRowLastColumn="0"/>
            <w:tcW w:w="1809" w:type="dxa"/>
          </w:tcPr>
          <w:p w:rsidR="0032542E" w:rsidRDefault="0032542E" w:rsidP="00256BB3">
            <w:r>
              <w:t>ATG</w:t>
            </w:r>
          </w:p>
        </w:tc>
        <w:tc>
          <w:tcPr>
            <w:tcW w:w="6911" w:type="dxa"/>
          </w:tcPr>
          <w:p w:rsidR="0032542E" w:rsidRDefault="0032542E" w:rsidP="00256BB3">
            <w:pPr>
              <w:cnfStyle w:val="000000000000" w:firstRow="0" w:lastRow="0" w:firstColumn="0" w:lastColumn="0" w:oddVBand="0" w:evenVBand="0" w:oddHBand="0" w:evenHBand="0" w:firstRowFirstColumn="0" w:firstRowLastColumn="0" w:lastRowFirstColumn="0" w:lastRowLastColumn="0"/>
            </w:pPr>
            <w:r w:rsidRPr="00FA3D0E">
              <w:t>Anti</w:t>
            </w:r>
            <w:r>
              <w:t>-</w:t>
            </w:r>
            <w:proofErr w:type="spellStart"/>
            <w:r w:rsidRPr="00FA3D0E">
              <w:t>thymocyte</w:t>
            </w:r>
            <w:proofErr w:type="spellEnd"/>
            <w:r w:rsidRPr="00FA3D0E">
              <w:t xml:space="preserve"> globulin</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BCRP</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Breast cancer resistance protein</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CBC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Complete blood count</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CI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Confidence interval</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CR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 xml:space="preserve">Complete </w:t>
            </w:r>
            <w:proofErr w:type="spellStart"/>
            <w:r>
              <w:t>haematologic</w:t>
            </w:r>
            <w:proofErr w:type="spellEnd"/>
            <w:r>
              <w:t xml:space="preserve"> response</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proofErr w:type="spellStart"/>
            <w:r>
              <w:t>CsA</w:t>
            </w:r>
            <w:proofErr w:type="spellEnd"/>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Cyclosporine</w:t>
            </w:r>
            <w:r w:rsidR="00577163">
              <w:t xml:space="preserve"> </w:t>
            </w:r>
            <w:r>
              <w:t>A</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EPO</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Erythropoietin</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FDA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Food and Drug Administration</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proofErr w:type="spellStart"/>
            <w:r>
              <w:t>hATG</w:t>
            </w:r>
            <w:proofErr w:type="spellEnd"/>
            <w:r>
              <w:t xml:space="preserve">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Horse anti-</w:t>
            </w:r>
            <w:proofErr w:type="spellStart"/>
            <w:r>
              <w:t>thymocyte</w:t>
            </w:r>
            <w:proofErr w:type="spellEnd"/>
            <w:r>
              <w:t xml:space="preserve"> globulin</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proofErr w:type="spellStart"/>
            <w:r>
              <w:t>Hb</w:t>
            </w:r>
            <w:proofErr w:type="spellEnd"/>
            <w:r>
              <w:t xml:space="preserve">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Haemoglobin</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HCV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Hepatitis C virus</w:t>
            </w:r>
          </w:p>
        </w:tc>
      </w:tr>
      <w:tr w:rsidR="00256BB3" w:rsidTr="00B03F4F">
        <w:tc>
          <w:tcPr>
            <w:cnfStyle w:val="001000000000" w:firstRow="0" w:lastRow="0" w:firstColumn="1" w:lastColumn="0" w:oddVBand="0" w:evenVBand="0" w:oddHBand="0" w:evenHBand="0" w:firstRowFirstColumn="0" w:firstRowLastColumn="0" w:lastRowFirstColumn="0" w:lastRowLastColumn="0"/>
            <w:tcW w:w="1809" w:type="dxa"/>
          </w:tcPr>
          <w:p w:rsidR="00256BB3" w:rsidRDefault="00256BB3" w:rsidP="00256BB3">
            <w:r>
              <w:t>HLA</w:t>
            </w:r>
          </w:p>
        </w:tc>
        <w:tc>
          <w:tcPr>
            <w:tcW w:w="6911" w:type="dxa"/>
          </w:tcPr>
          <w:p w:rsidR="00256BB3" w:rsidRPr="00256BB3" w:rsidRDefault="00256BB3" w:rsidP="00256BB3">
            <w:pPr>
              <w:cnfStyle w:val="000000000000" w:firstRow="0" w:lastRow="0" w:firstColumn="0" w:lastColumn="0" w:oddVBand="0" w:evenVBand="0" w:oddHBand="0" w:evenHBand="0" w:firstRowFirstColumn="0" w:firstRowLastColumn="0" w:lastRowFirstColumn="0" w:lastRowLastColumn="0"/>
            </w:pPr>
            <w:r w:rsidRPr="00256BB3">
              <w:t>Human leukocyte antigen</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HRQOL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Health related quality of life</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HSP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Haematopoietic stem and progenitor cells</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HSCT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Haematopoietic stem cell transplant</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IND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Investigational new drug</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ISS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Integrated Summary of Safety</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IST</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Immunosuppressive therapy</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ITP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 xml:space="preserve">Immune </w:t>
            </w:r>
            <w:proofErr w:type="spellStart"/>
            <w:r>
              <w:t>thrombocytopaenic</w:t>
            </w:r>
            <w:proofErr w:type="spellEnd"/>
            <w:r>
              <w:t xml:space="preserve"> purpura</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lastRenderedPageBreak/>
              <w:t>MDS</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Myelodysplastic syndrome</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NHLBI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National Heart Lung Blood Institute</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NIH</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National Institutes of Health</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PK</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Pharmacokinetics</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PNH</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Paroxysmal nocturnal haemoglobinuria</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PR</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Partial (</w:t>
            </w:r>
            <w:proofErr w:type="spellStart"/>
            <w:r>
              <w:t>haematologic</w:t>
            </w:r>
            <w:proofErr w:type="spellEnd"/>
            <w:r>
              <w:t xml:space="preserve"> response)</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PRA</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Primary response assessment</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proofErr w:type="spellStart"/>
            <w:r>
              <w:t>rATG</w:t>
            </w:r>
            <w:proofErr w:type="spellEnd"/>
            <w:r>
              <w:t xml:space="preserve">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Rabbit ATG</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RBC</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Red blood cell</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 xml:space="preserve">SAA </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 xml:space="preserve">Severe aplastic </w:t>
            </w:r>
            <w:proofErr w:type="spellStart"/>
            <w:r>
              <w:t>anemia</w:t>
            </w:r>
            <w:proofErr w:type="spellEnd"/>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SAE</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Serious adverse event</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SD</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standard deviation</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TPO</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proofErr w:type="spellStart"/>
            <w:r>
              <w:t>Thrombopoietin</w:t>
            </w:r>
            <w:proofErr w:type="spellEnd"/>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TPO-R</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TPO receptor</w:t>
            </w:r>
          </w:p>
        </w:tc>
      </w:tr>
      <w:tr w:rsidR="00B03F4F" w:rsidTr="00B03F4F">
        <w:tc>
          <w:tcPr>
            <w:cnfStyle w:val="001000000000" w:firstRow="0" w:lastRow="0" w:firstColumn="1" w:lastColumn="0" w:oddVBand="0" w:evenVBand="0" w:oddHBand="0" w:evenHBand="0" w:firstRowFirstColumn="0" w:firstRowLastColumn="0" w:lastRowFirstColumn="0" w:lastRowLastColumn="0"/>
            <w:tcW w:w="1809" w:type="dxa"/>
            <w:hideMark/>
          </w:tcPr>
          <w:p w:rsidR="00B03F4F" w:rsidRDefault="00B03F4F" w:rsidP="00256BB3">
            <w:r>
              <w:t>ULN</w:t>
            </w:r>
          </w:p>
        </w:tc>
        <w:tc>
          <w:tcPr>
            <w:tcW w:w="6911" w:type="dxa"/>
            <w:hideMark/>
          </w:tcPr>
          <w:p w:rsidR="00B03F4F" w:rsidRDefault="00B03F4F" w:rsidP="00256BB3">
            <w:pPr>
              <w:cnfStyle w:val="000000000000" w:firstRow="0" w:lastRow="0" w:firstColumn="0" w:lastColumn="0" w:oddVBand="0" w:evenVBand="0" w:oddHBand="0" w:evenHBand="0" w:firstRowFirstColumn="0" w:firstRowLastColumn="0" w:lastRowFirstColumn="0" w:lastRowLastColumn="0"/>
            </w:pPr>
            <w:r>
              <w:t>Upper limit of normal</w:t>
            </w:r>
          </w:p>
        </w:tc>
      </w:tr>
    </w:tbl>
    <w:p w:rsidR="0094614A" w:rsidRDefault="0094614A" w:rsidP="0043797D">
      <w:pPr>
        <w:pStyle w:val="Heading2"/>
        <w:pageBreakBefore/>
        <w:rPr>
          <w:lang w:eastAsia="en-AU"/>
        </w:rPr>
      </w:pPr>
      <w:bookmarkStart w:id="8" w:name="_Toc351718900"/>
      <w:bookmarkStart w:id="9" w:name="_Toc355338635"/>
      <w:bookmarkStart w:id="10" w:name="_Toc448221937"/>
      <w:r>
        <w:rPr>
          <w:lang w:eastAsia="en-AU"/>
        </w:rPr>
        <w:lastRenderedPageBreak/>
        <w:t>Introduction</w:t>
      </w:r>
      <w:bookmarkEnd w:id="10"/>
    </w:p>
    <w:p w:rsidR="00B03F4F" w:rsidRDefault="00B03F4F" w:rsidP="00B03F4F">
      <w:r>
        <w:t>This is a submission to extend the indications</w:t>
      </w:r>
      <w:r w:rsidR="00577163">
        <w:t xml:space="preserve"> of </w:t>
      </w:r>
      <w:proofErr w:type="spellStart"/>
      <w:r w:rsidR="00577163">
        <w:t>Revolade</w:t>
      </w:r>
      <w:proofErr w:type="spellEnd"/>
      <w:r w:rsidR="00577163">
        <w:t xml:space="preserve"> (</w:t>
      </w:r>
      <w:proofErr w:type="spellStart"/>
      <w:r w:rsidR="00577163">
        <w:t>eltrombopag</w:t>
      </w:r>
      <w:proofErr w:type="spellEnd"/>
      <w:r w:rsidR="00577163">
        <w:t>)</w:t>
      </w:r>
      <w:r>
        <w:t>.</w:t>
      </w:r>
    </w:p>
    <w:p w:rsidR="002638A5" w:rsidRDefault="00B03F4F" w:rsidP="00B03F4F">
      <w:r>
        <w:t>The current approved indications are</w:t>
      </w:r>
    </w:p>
    <w:p w:rsidR="00B03F4F" w:rsidRPr="00577163" w:rsidRDefault="00B03F4F" w:rsidP="00B03F4F">
      <w:pPr>
        <w:pStyle w:val="Numberbullet0"/>
        <w:rPr>
          <w:i/>
        </w:rPr>
      </w:pPr>
      <w:r w:rsidRPr="00577163">
        <w:rPr>
          <w:i/>
        </w:rPr>
        <w:t>Treatment of chronic idiopathic thrombocytopenic purpure (ITP)</w:t>
      </w:r>
    </w:p>
    <w:p w:rsidR="00B03F4F" w:rsidRPr="00577163" w:rsidRDefault="00B03F4F" w:rsidP="00B03F4F">
      <w:pPr>
        <w:pStyle w:val="Numberbullet0"/>
        <w:rPr>
          <w:i/>
        </w:rPr>
      </w:pPr>
      <w:r w:rsidRPr="00577163">
        <w:rPr>
          <w:i/>
        </w:rPr>
        <w:t xml:space="preserve">Adult patients with chronic hepatitis C (HCV) infection for the treatment of </w:t>
      </w:r>
      <w:r w:rsidR="00586DB0">
        <w:rPr>
          <w:i/>
        </w:rPr>
        <w:t>t</w:t>
      </w:r>
      <w:r w:rsidRPr="00577163">
        <w:rPr>
          <w:i/>
        </w:rPr>
        <w:t>hrombocytopenia, where the degree of thrombocytopenia is the main factor preventing the initiation or limiting the ability to maintain optimal interferon-based therapy.</w:t>
      </w:r>
    </w:p>
    <w:p w:rsidR="002638A5" w:rsidRDefault="00B03F4F" w:rsidP="00577163">
      <w:r>
        <w:t>The proposed additional indication is</w:t>
      </w:r>
    </w:p>
    <w:p w:rsidR="00B03F4F" w:rsidRPr="00B03F4F" w:rsidRDefault="00B03F4F" w:rsidP="00B03F4F">
      <w:pPr>
        <w:ind w:left="720"/>
        <w:rPr>
          <w:i/>
        </w:rPr>
      </w:pPr>
      <w:proofErr w:type="gramStart"/>
      <w:r w:rsidRPr="00B03F4F">
        <w:rPr>
          <w:i/>
        </w:rPr>
        <w:t>Treatment of adult patients with severe aplastic anaemia (SAA) who have had an insufficient response to immunosuppressive therapy (IST).</w:t>
      </w:r>
      <w:proofErr w:type="gramEnd"/>
    </w:p>
    <w:p w:rsidR="00B03F4F" w:rsidRDefault="00B03F4F" w:rsidP="00B03F4F">
      <w:r>
        <w:t>The drug has Orphan Drug status in Australia.</w:t>
      </w:r>
    </w:p>
    <w:p w:rsidR="00586F98" w:rsidRDefault="00586F98" w:rsidP="006B4C50">
      <w:pPr>
        <w:pStyle w:val="Heading2"/>
      </w:pPr>
      <w:bookmarkStart w:id="11" w:name="_Toc448221938"/>
      <w:r w:rsidRPr="0094614A">
        <w:t>Clinical rationale</w:t>
      </w:r>
      <w:bookmarkEnd w:id="11"/>
    </w:p>
    <w:p w:rsidR="00B03F4F" w:rsidRDefault="00B03F4F" w:rsidP="00577163">
      <w:r>
        <w:t xml:space="preserve">SAA is a rare (1-2/million in </w:t>
      </w:r>
      <w:r w:rsidR="00577163">
        <w:t>W</w:t>
      </w:r>
      <w:r>
        <w:t>estern countries) life threatening acquired bone marrow failure disorder with, prior to the introduction of current therapies, an almost uniformly fatal outcome. Current effective therapies, IST and allogeneic haematopoietic stem cell transplantation have however led to a substantial improvement in survival rates. However not all patients will respond to such therapy. For instance approximately 40% fail to respond to IST and not all patients are suitable for allogenic transplantation – either because of age limitations, medical co-morbidity or the lack of a suitable donor.</w:t>
      </w:r>
    </w:p>
    <w:p w:rsidR="00B03F4F" w:rsidRDefault="00B03F4F" w:rsidP="00B03F4F">
      <w:r>
        <w:t>Thus the outcome of patients who have an insufficient response to 1-2 courses of IST and in whom an allogeneic transplant in not possible is poor.</w:t>
      </w:r>
    </w:p>
    <w:p w:rsidR="00B03F4F" w:rsidRDefault="00B03F4F" w:rsidP="00B03F4F">
      <w:proofErr w:type="spellStart"/>
      <w:r>
        <w:t>Eltrombopag</w:t>
      </w:r>
      <w:proofErr w:type="spellEnd"/>
      <w:r>
        <w:t xml:space="preserve"> is agonist of the </w:t>
      </w:r>
      <w:proofErr w:type="spellStart"/>
      <w:r>
        <w:t>thrombopoietin</w:t>
      </w:r>
      <w:proofErr w:type="spellEnd"/>
      <w:r>
        <w:t xml:space="preserve"> receptor (TPO-R) which interacts with the membrane domain of the TPO-R present on megakaryocytes and human bone marrow progenitor cell. Efficacy in SAA may be via stimulation of multi-lineage haematopoiesis by the induction of proliferation and differentiation of early bone marrow progenitor cells</w:t>
      </w:r>
    </w:p>
    <w:p w:rsidR="00586F98" w:rsidRDefault="00586F98" w:rsidP="00586F98">
      <w:pPr>
        <w:pStyle w:val="Heading2"/>
        <w:rPr>
          <w:lang w:eastAsia="en-AU"/>
        </w:rPr>
      </w:pPr>
      <w:bookmarkStart w:id="12" w:name="_Toc448221939"/>
      <w:r>
        <w:rPr>
          <w:lang w:eastAsia="en-AU"/>
        </w:rPr>
        <w:t>Contents of the clinical dossier</w:t>
      </w:r>
      <w:bookmarkEnd w:id="8"/>
      <w:bookmarkEnd w:id="9"/>
      <w:bookmarkEnd w:id="12"/>
    </w:p>
    <w:p w:rsidR="00586F98" w:rsidRDefault="00586F98" w:rsidP="00586F98">
      <w:pPr>
        <w:pStyle w:val="Heading3"/>
      </w:pPr>
      <w:bookmarkStart w:id="13" w:name="_Toc448221940"/>
      <w:r>
        <w:t>Scope of the clinical dossier</w:t>
      </w:r>
      <w:bookmarkEnd w:id="13"/>
    </w:p>
    <w:p w:rsidR="00B03F4F" w:rsidRDefault="00B03F4F" w:rsidP="00B03F4F">
      <w:r>
        <w:t>The submission contained the following clinical information:</w:t>
      </w:r>
    </w:p>
    <w:p w:rsidR="00B03F4F" w:rsidRPr="00577163" w:rsidRDefault="00B03F4F" w:rsidP="00B03F4F">
      <w:pPr>
        <w:pStyle w:val="ListBullet"/>
      </w:pPr>
      <w:r w:rsidRPr="00577163">
        <w:t>Pivotal efficacy/safety study</w:t>
      </w:r>
      <w:r w:rsidR="00577163" w:rsidRPr="00577163">
        <w:t>:</w:t>
      </w:r>
      <w:r w:rsidRPr="00577163">
        <w:t xml:space="preserve"> ELT112523.</w:t>
      </w:r>
    </w:p>
    <w:p w:rsidR="00B03F4F" w:rsidRPr="00577163" w:rsidRDefault="00B03F4F" w:rsidP="00B03F4F">
      <w:pPr>
        <w:pStyle w:val="ListBullet"/>
      </w:pPr>
      <w:r w:rsidRPr="00577163">
        <w:t xml:space="preserve">Dosing evaluation as described </w:t>
      </w:r>
      <w:r w:rsidR="00577163" w:rsidRPr="00577163">
        <w:t>in</w:t>
      </w:r>
      <w:r w:rsidRPr="00577163">
        <w:t xml:space="preserve"> the above studies.</w:t>
      </w:r>
    </w:p>
    <w:p w:rsidR="00B03F4F" w:rsidRDefault="00B03F4F" w:rsidP="00B03F4F">
      <w:pPr>
        <w:pStyle w:val="ListBullet"/>
      </w:pPr>
      <w:r w:rsidRPr="00577163">
        <w:t>Other relevant efficacy/safety studies</w:t>
      </w:r>
      <w:r w:rsidR="00577163" w:rsidRPr="00577163">
        <w:t>:</w:t>
      </w:r>
      <w:r w:rsidRPr="00577163">
        <w:t xml:space="preserve"> ELT116643 and ELT116826</w:t>
      </w:r>
      <w:r>
        <w:t xml:space="preserve"> (in combination with </w:t>
      </w:r>
      <w:proofErr w:type="spellStart"/>
      <w:r>
        <w:t>Cyclosporin</w:t>
      </w:r>
      <w:proofErr w:type="spellEnd"/>
      <w:r>
        <w:t xml:space="preserve"> A, </w:t>
      </w:r>
      <w:proofErr w:type="spellStart"/>
      <w:r>
        <w:t>CsA</w:t>
      </w:r>
      <w:proofErr w:type="spellEnd"/>
      <w:r>
        <w:t>). Study PMA112509 provides additional safety data albeit in a different disease indication</w:t>
      </w:r>
      <w:r w:rsidR="00577163">
        <w:t>.</w:t>
      </w:r>
    </w:p>
    <w:p w:rsidR="00B03F4F" w:rsidRDefault="00B03F4F" w:rsidP="00577163">
      <w:pPr>
        <w:pStyle w:val="Heading3"/>
      </w:pPr>
      <w:bookmarkStart w:id="14" w:name="_Toc295132722"/>
      <w:bookmarkStart w:id="15" w:name="_Toc290846235"/>
      <w:bookmarkStart w:id="16" w:name="_Toc448221941"/>
      <w:r w:rsidRPr="00577163">
        <w:t>Paediatric</w:t>
      </w:r>
      <w:r>
        <w:t xml:space="preserve"> data</w:t>
      </w:r>
      <w:bookmarkEnd w:id="14"/>
      <w:bookmarkEnd w:id="15"/>
      <w:bookmarkEnd w:id="16"/>
    </w:p>
    <w:p w:rsidR="00B03F4F" w:rsidRDefault="00B03F4F" w:rsidP="00577163">
      <w:r>
        <w:t xml:space="preserve">The studies cited in the submission were primarily restricted to adult patients. The pivotal </w:t>
      </w:r>
      <w:r w:rsidR="00577163">
        <w:t>Study EL</w:t>
      </w:r>
      <w:r>
        <w:t xml:space="preserve">T112523 (efficacy and safety data) was restricted to patients 12 years or older but only </w:t>
      </w:r>
      <w:r>
        <w:lastRenderedPageBreak/>
        <w:t>contained 2 patients &lt;18</w:t>
      </w:r>
      <w:r w:rsidR="00577163">
        <w:t xml:space="preserve"> </w:t>
      </w:r>
      <w:r>
        <w:t>years of age (both age 17 at study entry). In supportive studies ELT116812 and ELT116643 7, 3 (20%) and 7 (15%) of participants respectively were in the 12-17 age group. Study PMA112509 (additional safety data) was conducted solely in adults.</w:t>
      </w:r>
    </w:p>
    <w:p w:rsidR="00586F98" w:rsidRDefault="00586F98" w:rsidP="00B03F4F">
      <w:pPr>
        <w:pStyle w:val="Heading3"/>
      </w:pPr>
      <w:bookmarkStart w:id="17" w:name="_Toc448221942"/>
      <w:r>
        <w:t xml:space="preserve">Good </w:t>
      </w:r>
      <w:r w:rsidRPr="00B03F4F">
        <w:t>clinical</w:t>
      </w:r>
      <w:r>
        <w:t xml:space="preserve"> practice</w:t>
      </w:r>
      <w:bookmarkEnd w:id="17"/>
    </w:p>
    <w:p w:rsidR="00B03F4F" w:rsidRDefault="00B03F4F" w:rsidP="00B03F4F">
      <w:bookmarkStart w:id="18" w:name="_Toc241374282"/>
      <w:r>
        <w:t xml:space="preserve">ELT112523, ELT116826 and ELT116643 were undertaken in accordance with the standard operating procedures of the National Institutes of Health, USA, (NIH), which comply with the principles of Good Clinical Practice. According to the sponsor, PMA112509 was undertaken in accordance with standard operating procedures of the GSK Group of Companies, which comply with the principles of Good Clinical Practice. All studies were reported to have been conducted with the approval of Ethics Committees or Institutional Review Boards. Informed consent was obtained for all subjects, and the studies were performed in accordance with the version of the Declaration of Helsinki that applied at the time the studies were conducted. </w:t>
      </w:r>
      <w:proofErr w:type="gramStart"/>
      <w:r>
        <w:t>Where required, regulatory approval was obtained from the relevant health authority.</w:t>
      </w:r>
      <w:bookmarkEnd w:id="18"/>
      <w:proofErr w:type="gramEnd"/>
    </w:p>
    <w:p w:rsidR="002638A5" w:rsidRDefault="00586F98" w:rsidP="00577163">
      <w:pPr>
        <w:pStyle w:val="Heading2"/>
      </w:pPr>
      <w:bookmarkStart w:id="19" w:name="_Toc355338639"/>
      <w:bookmarkStart w:id="20" w:name="_Toc448221943"/>
      <w:r>
        <w:t>Pharmacokinetics</w:t>
      </w:r>
      <w:bookmarkEnd w:id="19"/>
      <w:bookmarkEnd w:id="20"/>
    </w:p>
    <w:p w:rsidR="00B03F4F" w:rsidRDefault="00B03F4F" w:rsidP="00B03F4F">
      <w:r>
        <w:t xml:space="preserve">No additional clinical </w:t>
      </w:r>
      <w:proofErr w:type="spellStart"/>
      <w:r>
        <w:t>biopharmaceutic</w:t>
      </w:r>
      <w:proofErr w:type="spellEnd"/>
      <w:r>
        <w:t xml:space="preserve"> studies were completed for this application.</w:t>
      </w:r>
    </w:p>
    <w:p w:rsidR="00B03F4F" w:rsidRDefault="00B03F4F" w:rsidP="00B03F4F">
      <w:r>
        <w:t xml:space="preserve">Results from clinical </w:t>
      </w:r>
      <w:proofErr w:type="spellStart"/>
      <w:r>
        <w:t>biopharmaceutic</w:t>
      </w:r>
      <w:proofErr w:type="spellEnd"/>
      <w:r>
        <w:t xml:space="preserve"> studies have previously been submitted (the original Marketing Authorisation Application (MAA) to support </w:t>
      </w:r>
      <w:proofErr w:type="spellStart"/>
      <w:r>
        <w:t>eltrombopag</w:t>
      </w:r>
      <w:proofErr w:type="spellEnd"/>
      <w:r>
        <w:t xml:space="preserve"> use in adult patients with chronic idiopathic </w:t>
      </w:r>
      <w:proofErr w:type="spellStart"/>
      <w:r>
        <w:t>thrombocytopaenic</w:t>
      </w:r>
      <w:proofErr w:type="spellEnd"/>
      <w:r>
        <w:t xml:space="preserve"> purpura).</w:t>
      </w:r>
    </w:p>
    <w:p w:rsidR="00B03F4F" w:rsidRDefault="00B03F4F" w:rsidP="00B03F4F">
      <w:r>
        <w:t>The following was however included by the sponsor for reference.</w:t>
      </w:r>
    </w:p>
    <w:p w:rsidR="00B03F4F" w:rsidRPr="00B03F4F" w:rsidRDefault="00B03F4F" w:rsidP="00B03F4F">
      <w:pPr>
        <w:ind w:left="720"/>
        <w:rPr>
          <w:i/>
        </w:rPr>
      </w:pPr>
      <w:r w:rsidRPr="00B03F4F">
        <w:rPr>
          <w:i/>
        </w:rPr>
        <w:t xml:space="preserve">A preliminary pharmacokinetic (PK) result from Cohort 1 of Study ELT116643 has become available since the ISS and are presented here. In Cohort 1 of Study ELT116643, a PK sample was taken from 23 subjects at the 3 month visit. PK is not being performed in Cohort 2 of the study. In cohort 1 plasma concentrations of </w:t>
      </w:r>
      <w:proofErr w:type="spellStart"/>
      <w:r w:rsidRPr="00B03F4F">
        <w:rPr>
          <w:i/>
        </w:rPr>
        <w:t>eltrombopag</w:t>
      </w:r>
      <w:proofErr w:type="spellEnd"/>
      <w:r w:rsidRPr="00B03F4F">
        <w:rPr>
          <w:i/>
        </w:rPr>
        <w:t xml:space="preserve"> were sampled from 23 subjects at the 3-visit. Thirteen (57%) subjects were female, 2 (9%) were elderly, and 3 (13%) were adolescents. Steady state </w:t>
      </w:r>
      <w:proofErr w:type="spellStart"/>
      <w:r w:rsidRPr="00B03F4F">
        <w:rPr>
          <w:i/>
        </w:rPr>
        <w:t>eltrombopag</w:t>
      </w:r>
      <w:proofErr w:type="spellEnd"/>
      <w:r w:rsidRPr="00B03F4F">
        <w:rPr>
          <w:i/>
        </w:rPr>
        <w:t xml:space="preserve"> geometric mean PK parameters for the 150 mg daily dose in these 23 subjects were </w:t>
      </w:r>
      <w:proofErr w:type="spellStart"/>
      <w:r w:rsidRPr="00B03F4F">
        <w:rPr>
          <w:i/>
        </w:rPr>
        <w:t>Cmax</w:t>
      </w:r>
      <w:proofErr w:type="spellEnd"/>
      <w:r w:rsidRPr="00B03F4F">
        <w:rPr>
          <w:i/>
        </w:rPr>
        <w:t xml:space="preserve"> 35.0 </w:t>
      </w:r>
      <w:r w:rsidR="00360B57">
        <w:rPr>
          <w:i/>
        </w:rPr>
        <w:t>µ</w:t>
      </w:r>
      <w:r w:rsidRPr="00B03F4F">
        <w:rPr>
          <w:i/>
        </w:rPr>
        <w:t xml:space="preserve">g/mL (50%) and </w:t>
      </w:r>
      <w:r w:rsidR="00577163">
        <w:t>AUC</w:t>
      </w:r>
      <w:r w:rsidR="00577163" w:rsidRPr="00577163">
        <w:rPr>
          <w:vertAlign w:val="subscript"/>
        </w:rPr>
        <w:t>(0</w:t>
      </w:r>
      <w:r w:rsidR="00360B57">
        <w:rPr>
          <w:vertAlign w:val="subscript"/>
        </w:rPr>
        <w:t> </w:t>
      </w:r>
      <w:r w:rsidR="00577163" w:rsidRPr="00577163">
        <w:rPr>
          <w:vertAlign w:val="subscript"/>
        </w:rPr>
        <w:t>infinity)</w:t>
      </w:r>
      <w:r w:rsidRPr="00B03F4F">
        <w:rPr>
          <w:i/>
        </w:rPr>
        <w:t xml:space="preserve"> 693.7 </w:t>
      </w:r>
      <w:r w:rsidR="00360B57">
        <w:rPr>
          <w:i/>
        </w:rPr>
        <w:t>µ</w:t>
      </w:r>
      <w:proofErr w:type="spellStart"/>
      <w:r w:rsidRPr="00B03F4F">
        <w:rPr>
          <w:i/>
        </w:rPr>
        <w:t>g.h</w:t>
      </w:r>
      <w:proofErr w:type="spellEnd"/>
      <w:r w:rsidRPr="00B03F4F">
        <w:rPr>
          <w:i/>
        </w:rPr>
        <w:t xml:space="preserve">/mL (43%). The observed </w:t>
      </w:r>
      <w:proofErr w:type="spellStart"/>
      <w:r w:rsidRPr="00B03F4F">
        <w:rPr>
          <w:i/>
        </w:rPr>
        <w:t>eltrombopag</w:t>
      </w:r>
      <w:proofErr w:type="spellEnd"/>
      <w:r w:rsidRPr="00B03F4F">
        <w:rPr>
          <w:i/>
        </w:rPr>
        <w:t xml:space="preserve"> exposure in these 23 SAA subjects is 2 to 3 times higher than that observed in healthy subjects or patients with chronic ITP.</w:t>
      </w:r>
    </w:p>
    <w:p w:rsidR="00B03F4F" w:rsidRDefault="00B03F4F" w:rsidP="00B03F4F">
      <w:r>
        <w:t xml:space="preserve">The higher </w:t>
      </w:r>
      <w:proofErr w:type="spellStart"/>
      <w:r>
        <w:t>eltrombopag</w:t>
      </w:r>
      <w:proofErr w:type="spellEnd"/>
      <w:r>
        <w:t xml:space="preserve"> exposure may be due to a possible drug-drug interaction between </w:t>
      </w:r>
      <w:proofErr w:type="spellStart"/>
      <w:r>
        <w:t>eltrombopag</w:t>
      </w:r>
      <w:proofErr w:type="spellEnd"/>
      <w:r>
        <w:t xml:space="preserve"> and </w:t>
      </w:r>
      <w:proofErr w:type="spellStart"/>
      <w:r w:rsidR="00577163">
        <w:t>CyclosporineA</w:t>
      </w:r>
      <w:proofErr w:type="spellEnd"/>
      <w:r w:rsidR="00577163">
        <w:t xml:space="preserve"> (</w:t>
      </w:r>
      <w:proofErr w:type="spellStart"/>
      <w:r>
        <w:t>CsA</w:t>
      </w:r>
      <w:proofErr w:type="spellEnd"/>
      <w:r w:rsidR="00577163">
        <w:t>)</w:t>
      </w:r>
      <w:r>
        <w:t xml:space="preserve">. Studies have shown </w:t>
      </w:r>
      <w:proofErr w:type="spellStart"/>
      <w:r>
        <w:t>CsA</w:t>
      </w:r>
      <w:proofErr w:type="spellEnd"/>
      <w:r>
        <w:t xml:space="preserve"> inhibits drug transporters such as organic anion transporting polypeptide and breast cancer resistance protein (BCRP), thereby potentially impacting plasma levels of substrates of these transporters [2006].</w:t>
      </w:r>
      <w:r w:rsidR="00392749">
        <w:t xml:space="preserve"> </w:t>
      </w:r>
      <w:proofErr w:type="spellStart"/>
      <w:r>
        <w:t>Eltrombopag</w:t>
      </w:r>
      <w:proofErr w:type="spellEnd"/>
      <w:r>
        <w:t xml:space="preserve"> is a substrate of BCRP</w:t>
      </w:r>
      <w:r w:rsidR="00B672D0">
        <w:t>’</w:t>
      </w:r>
      <w:r>
        <w:t>.</w:t>
      </w:r>
      <w:r w:rsidR="00392749">
        <w:t xml:space="preserve"> </w:t>
      </w:r>
      <w:r>
        <w:t xml:space="preserve"> GSK states that it is planning to conduct a drug interaction study in healthy volunteers to further evaluate the potential for a PK drug interaction between </w:t>
      </w:r>
      <w:proofErr w:type="spellStart"/>
      <w:r>
        <w:t>CsA</w:t>
      </w:r>
      <w:proofErr w:type="spellEnd"/>
      <w:r>
        <w:t xml:space="preserve"> and </w:t>
      </w:r>
      <w:proofErr w:type="spellStart"/>
      <w:r>
        <w:t>eltrombopag</w:t>
      </w:r>
      <w:proofErr w:type="spellEnd"/>
      <w:r>
        <w:t>.</w:t>
      </w:r>
    </w:p>
    <w:p w:rsidR="00B03F4F" w:rsidRDefault="00B03F4F" w:rsidP="00B03F4F">
      <w:pPr>
        <w:pStyle w:val="Heading3"/>
      </w:pPr>
      <w:bookmarkStart w:id="21" w:name="_Toc295132725"/>
      <w:bookmarkStart w:id="22" w:name="_Toc290846258"/>
      <w:bookmarkStart w:id="23" w:name="_Toc272414635"/>
      <w:bookmarkStart w:id="24" w:name="_Ref271018755"/>
      <w:bookmarkStart w:id="25" w:name="_Ref271018704"/>
      <w:bookmarkStart w:id="26" w:name="_Ref269982040"/>
      <w:bookmarkStart w:id="27" w:name="_Toc241374296"/>
      <w:bookmarkStart w:id="28" w:name="_Toc448221944"/>
      <w:r>
        <w:t>Evaluator’s overall conclusions on pharmacokinetics</w:t>
      </w:r>
      <w:bookmarkEnd w:id="21"/>
      <w:bookmarkEnd w:id="22"/>
      <w:bookmarkEnd w:id="23"/>
      <w:bookmarkEnd w:id="24"/>
      <w:bookmarkEnd w:id="25"/>
      <w:bookmarkEnd w:id="26"/>
      <w:bookmarkEnd w:id="27"/>
      <w:bookmarkEnd w:id="28"/>
    </w:p>
    <w:p w:rsidR="00B03F4F" w:rsidRDefault="00B03F4F" w:rsidP="00B03F4F">
      <w:r>
        <w:t xml:space="preserve">Note is made of the higher plasma levels seen in Study ELT116643 in which </w:t>
      </w:r>
      <w:proofErr w:type="spellStart"/>
      <w:r>
        <w:t>eltrombopag</w:t>
      </w:r>
      <w:proofErr w:type="spellEnd"/>
      <w:r>
        <w:t xml:space="preserve"> was given with </w:t>
      </w:r>
      <w:proofErr w:type="spellStart"/>
      <w:r>
        <w:t>CsA</w:t>
      </w:r>
      <w:proofErr w:type="spellEnd"/>
      <w:r>
        <w:t>. No additional/new AEs appear to have been reported and the possible explanation, drug-drug interactions, seems reasonable</w:t>
      </w:r>
      <w:r w:rsidR="00392749">
        <w:t>.</w:t>
      </w:r>
    </w:p>
    <w:p w:rsidR="00586F98" w:rsidRDefault="00586F98" w:rsidP="00586F98">
      <w:pPr>
        <w:pStyle w:val="Heading2"/>
      </w:pPr>
      <w:bookmarkStart w:id="29" w:name="_Toc448221945"/>
      <w:r>
        <w:lastRenderedPageBreak/>
        <w:t>Pharmacodynamics</w:t>
      </w:r>
      <w:bookmarkEnd w:id="29"/>
    </w:p>
    <w:p w:rsidR="00B03F4F" w:rsidRDefault="00B03F4F" w:rsidP="00B03F4F">
      <w:pPr>
        <w:pStyle w:val="Heading3"/>
      </w:pPr>
      <w:bookmarkStart w:id="30" w:name="_Toc295132727"/>
      <w:bookmarkStart w:id="31" w:name="_Toc290846260"/>
      <w:bookmarkStart w:id="32" w:name="_Toc272414637"/>
      <w:bookmarkStart w:id="33" w:name="_Toc241374297"/>
      <w:bookmarkStart w:id="34" w:name="_Toc448221946"/>
      <w:r>
        <w:t xml:space="preserve">Studies providing </w:t>
      </w:r>
      <w:proofErr w:type="spellStart"/>
      <w:r>
        <w:t>pharmacodynamic</w:t>
      </w:r>
      <w:proofErr w:type="spellEnd"/>
      <w:r>
        <w:t xml:space="preserve"> data</w:t>
      </w:r>
      <w:bookmarkEnd w:id="30"/>
      <w:bookmarkEnd w:id="31"/>
      <w:bookmarkEnd w:id="32"/>
      <w:bookmarkEnd w:id="34"/>
    </w:p>
    <w:p w:rsidR="00B03F4F" w:rsidRDefault="00B03F4F" w:rsidP="00B03F4F">
      <w:r>
        <w:t>No additional data provided</w:t>
      </w:r>
      <w:r w:rsidR="00392749">
        <w:t>.</w:t>
      </w:r>
    </w:p>
    <w:p w:rsidR="00B03F4F" w:rsidRDefault="00B03F4F" w:rsidP="00B03F4F">
      <w:pPr>
        <w:pStyle w:val="Heading3"/>
      </w:pPr>
      <w:bookmarkStart w:id="35" w:name="_Toc295132728"/>
      <w:bookmarkStart w:id="36" w:name="_Toc290846270"/>
      <w:bookmarkStart w:id="37" w:name="_Toc272414648"/>
      <w:bookmarkStart w:id="38" w:name="_Ref269983272"/>
      <w:bookmarkStart w:id="39" w:name="_Toc448221947"/>
      <w:bookmarkEnd w:id="33"/>
      <w:r>
        <w:t>Evaluator’s overall conclusions on pharmacodynamics</w:t>
      </w:r>
      <w:bookmarkEnd w:id="35"/>
      <w:bookmarkEnd w:id="36"/>
      <w:bookmarkEnd w:id="37"/>
      <w:bookmarkEnd w:id="38"/>
      <w:bookmarkEnd w:id="39"/>
    </w:p>
    <w:p w:rsidR="00B03F4F" w:rsidRDefault="00B03F4F" w:rsidP="00B03F4F">
      <w:r>
        <w:t>Not applicable</w:t>
      </w:r>
      <w:r w:rsidR="00392749">
        <w:t>.</w:t>
      </w:r>
    </w:p>
    <w:p w:rsidR="00586F98" w:rsidRDefault="00C22678" w:rsidP="00586F98">
      <w:pPr>
        <w:pStyle w:val="Heading2"/>
      </w:pPr>
      <w:bookmarkStart w:id="40" w:name="_Toc448221948"/>
      <w:r>
        <w:t>Dosage selection for the pivotal studies</w:t>
      </w:r>
      <w:bookmarkEnd w:id="40"/>
    </w:p>
    <w:p w:rsidR="00B03F4F" w:rsidRDefault="00B03F4F" w:rsidP="00B03F4F">
      <w:proofErr w:type="spellStart"/>
      <w:r>
        <w:t>Eltrombopag</w:t>
      </w:r>
      <w:proofErr w:type="spellEnd"/>
      <w:r>
        <w:t xml:space="preserve"> 50 mg once daily was selected as the starting dose for the pivotal </w:t>
      </w:r>
      <w:r w:rsidR="00577163">
        <w:t>Study EL</w:t>
      </w:r>
      <w:r>
        <w:t xml:space="preserve">T112523 because this regimen has been demonstrated to be safe and effective in increasing platelet counts in patients with chronic ITP and HCV. A starting dose of 25 mg once daily was selected for East Asian patients due to ethno-pharmacologic differences in exposure. The dose of </w:t>
      </w:r>
      <w:proofErr w:type="spellStart"/>
      <w:r>
        <w:t>eltrombopag</w:t>
      </w:r>
      <w:proofErr w:type="spellEnd"/>
      <w:r>
        <w:t xml:space="preserve"> could be increased every 2 weeks in 25 mg increments up to a maximum dose of 150 mg once daily based on the following considerations:</w:t>
      </w:r>
    </w:p>
    <w:p w:rsidR="00B03F4F" w:rsidRDefault="00B03F4F" w:rsidP="000663A9">
      <w:pPr>
        <w:pStyle w:val="Numberbullet0"/>
        <w:numPr>
          <w:ilvl w:val="0"/>
          <w:numId w:val="9"/>
        </w:numPr>
      </w:pPr>
      <w:r>
        <w:t>The effective dose in SAA subjects was unknown.</w:t>
      </w:r>
    </w:p>
    <w:p w:rsidR="00B03F4F" w:rsidRDefault="00B03F4F" w:rsidP="000663A9">
      <w:pPr>
        <w:pStyle w:val="Numberbullet0"/>
        <w:numPr>
          <w:ilvl w:val="0"/>
          <w:numId w:val="9"/>
        </w:numPr>
      </w:pPr>
      <w:r>
        <w:t xml:space="preserve">300 mg per day was the maximum dose previously studied in the </w:t>
      </w:r>
      <w:proofErr w:type="spellStart"/>
      <w:r>
        <w:t>eltrombopag</w:t>
      </w:r>
      <w:proofErr w:type="spellEnd"/>
      <w:r>
        <w:t xml:space="preserve"> programme.</w:t>
      </w:r>
    </w:p>
    <w:p w:rsidR="00B03F4F" w:rsidRDefault="00B03F4F" w:rsidP="000663A9">
      <w:pPr>
        <w:pStyle w:val="Numberbullet0"/>
        <w:numPr>
          <w:ilvl w:val="0"/>
          <w:numId w:val="9"/>
        </w:numPr>
      </w:pPr>
      <w:r>
        <w:t xml:space="preserve"> In healthy subjects, a clear dose and exposure response was seen for </w:t>
      </w:r>
      <w:proofErr w:type="spellStart"/>
      <w:r>
        <w:t>eltrombopag</w:t>
      </w:r>
      <w:proofErr w:type="spellEnd"/>
      <w:r>
        <w:t xml:space="preserve"> doses of 10 mg to 200 mg once daily for 5 days, with geometric mean area under the curve (</w:t>
      </w:r>
      <w:r w:rsidR="00577163">
        <w:t>AUC</w:t>
      </w:r>
      <w:r w:rsidR="00577163" w:rsidRPr="00577163">
        <w:rPr>
          <w:vertAlign w:val="subscript"/>
        </w:rPr>
        <w:t>(0</w:t>
      </w:r>
      <w:r w:rsidR="00360B57">
        <w:rPr>
          <w:vertAlign w:val="subscript"/>
        </w:rPr>
        <w:t> </w:t>
      </w:r>
      <w:r w:rsidR="00577163" w:rsidRPr="00577163">
        <w:rPr>
          <w:vertAlign w:val="subscript"/>
        </w:rPr>
        <w:t>infinity)</w:t>
      </w:r>
      <w:r>
        <w:t xml:space="preserve"> values of 302 </w:t>
      </w:r>
      <w:proofErr w:type="spellStart"/>
      <w:r>
        <w:t>μg.h</w:t>
      </w:r>
      <w:proofErr w:type="spellEnd"/>
      <w:r>
        <w:t xml:space="preserve">/mL for the 200 mg once daily regimen. </w:t>
      </w:r>
      <w:proofErr w:type="spellStart"/>
      <w:r>
        <w:t>Eltrombopag</w:t>
      </w:r>
      <w:proofErr w:type="spellEnd"/>
      <w:r>
        <w:t xml:space="preserve"> was well tolerated in healthy subjects at all dose levels.</w:t>
      </w:r>
    </w:p>
    <w:p w:rsidR="00B03F4F" w:rsidRDefault="00B03F4F" w:rsidP="000663A9">
      <w:pPr>
        <w:pStyle w:val="Numberbullet0"/>
        <w:numPr>
          <w:ilvl w:val="0"/>
          <w:numId w:val="9"/>
        </w:numPr>
      </w:pPr>
      <w:r>
        <w:t xml:space="preserve">There is evidence that higher doses of growth factors are required in bone marrow failure syndromes. For instance, the effective erythropoietin (EPO) dose in </w:t>
      </w:r>
      <w:r w:rsidR="00116E1A">
        <w:t>Myelodysplastic syndrome (</w:t>
      </w:r>
      <w:r>
        <w:t>MDS</w:t>
      </w:r>
      <w:r w:rsidR="00116E1A">
        <w:t>)</w:t>
      </w:r>
      <w:r>
        <w:t xml:space="preserve"> is several times higher than the EPO dose used in anaemia of renal failure.</w:t>
      </w:r>
    </w:p>
    <w:p w:rsidR="00B03F4F" w:rsidRDefault="00B03F4F" w:rsidP="000663A9">
      <w:pPr>
        <w:pStyle w:val="Numberbullet0"/>
        <w:numPr>
          <w:ilvl w:val="0"/>
          <w:numId w:val="9"/>
        </w:numPr>
      </w:pPr>
      <w:r>
        <w:t>To ensure subject safety, a dose escalation scheme in which subjects were exposed to the</w:t>
      </w:r>
      <w:r w:rsidR="00392749">
        <w:t xml:space="preserve">  </w:t>
      </w:r>
      <w:r>
        <w:t xml:space="preserve"> lowest dose required to achieve desired platelet counts was used.</w:t>
      </w:r>
    </w:p>
    <w:p w:rsidR="00B03F4F" w:rsidRDefault="00B03F4F" w:rsidP="000663A9">
      <w:pPr>
        <w:pStyle w:val="Numberbullet0"/>
        <w:numPr>
          <w:ilvl w:val="0"/>
          <w:numId w:val="9"/>
        </w:numPr>
      </w:pPr>
      <w:r>
        <w:t xml:space="preserve">The dose of </w:t>
      </w:r>
      <w:proofErr w:type="spellStart"/>
      <w:r>
        <w:t>eltrombopag</w:t>
      </w:r>
      <w:proofErr w:type="spellEnd"/>
      <w:r>
        <w:t xml:space="preserve"> 150 mg/day in the two supportive studies (ELT116826 and ELT116643) was based upon the results of ELT112523. In ELT112523 nearly all subjects escalated to 150 mg once daily prior to observation of responses.</w:t>
      </w:r>
    </w:p>
    <w:p w:rsidR="00C22678" w:rsidRDefault="00C22678" w:rsidP="00C22678">
      <w:pPr>
        <w:pStyle w:val="Heading2"/>
      </w:pPr>
      <w:bookmarkStart w:id="41" w:name="_Toc448221949"/>
      <w:r>
        <w:t>Clinical efficacy</w:t>
      </w:r>
      <w:bookmarkEnd w:id="41"/>
    </w:p>
    <w:p w:rsidR="002638A5" w:rsidRDefault="00B03F4F" w:rsidP="00B03F4F">
      <w:pPr>
        <w:pStyle w:val="Heading3"/>
      </w:pPr>
      <w:bookmarkStart w:id="42" w:name="_Toc295132731"/>
      <w:bookmarkStart w:id="43" w:name="_Toc448221950"/>
      <w:r>
        <w:t>Pivotal Study</w:t>
      </w:r>
      <w:bookmarkEnd w:id="43"/>
    </w:p>
    <w:p w:rsidR="00B03F4F" w:rsidRPr="00577163" w:rsidRDefault="00B03F4F" w:rsidP="00577163">
      <w:pPr>
        <w:ind w:left="170"/>
        <w:rPr>
          <w:rFonts w:asciiTheme="majorHAnsi" w:hAnsiTheme="majorHAnsi" w:cstheme="majorHAnsi"/>
          <w:b/>
        </w:rPr>
      </w:pPr>
      <w:r w:rsidRPr="00577163">
        <w:rPr>
          <w:rFonts w:asciiTheme="majorHAnsi" w:hAnsiTheme="majorHAnsi" w:cstheme="majorHAnsi"/>
          <w:b/>
        </w:rPr>
        <w:t>Severe Aplastic Anaemia (SAA) with insufficient response to immunosuppressive therapy (IST) (Anti-</w:t>
      </w:r>
      <w:proofErr w:type="spellStart"/>
      <w:r w:rsidRPr="00577163">
        <w:rPr>
          <w:rFonts w:asciiTheme="majorHAnsi" w:hAnsiTheme="majorHAnsi" w:cstheme="majorHAnsi"/>
          <w:b/>
        </w:rPr>
        <w:t>thymocyte</w:t>
      </w:r>
      <w:proofErr w:type="spellEnd"/>
      <w:r w:rsidRPr="00577163">
        <w:rPr>
          <w:rFonts w:asciiTheme="majorHAnsi" w:hAnsiTheme="majorHAnsi" w:cstheme="majorHAnsi"/>
          <w:b/>
        </w:rPr>
        <w:t xml:space="preserve"> globulin, ATG and </w:t>
      </w:r>
      <w:proofErr w:type="spellStart"/>
      <w:r w:rsidRPr="00577163">
        <w:rPr>
          <w:rFonts w:asciiTheme="majorHAnsi" w:hAnsiTheme="majorHAnsi" w:cstheme="majorHAnsi"/>
          <w:b/>
        </w:rPr>
        <w:t>Cyclosporin</w:t>
      </w:r>
      <w:proofErr w:type="spellEnd"/>
      <w:r w:rsidRPr="00577163">
        <w:rPr>
          <w:rFonts w:asciiTheme="majorHAnsi" w:hAnsiTheme="majorHAnsi" w:cstheme="majorHAnsi"/>
          <w:b/>
        </w:rPr>
        <w:t xml:space="preserve"> A</w:t>
      </w:r>
      <w:r w:rsidR="00360B57">
        <w:rPr>
          <w:rFonts w:asciiTheme="majorHAnsi" w:hAnsiTheme="majorHAnsi" w:cstheme="majorHAnsi"/>
          <w:b/>
        </w:rPr>
        <w:t xml:space="preserve"> </w:t>
      </w:r>
      <w:r w:rsidRPr="00577163">
        <w:rPr>
          <w:rFonts w:asciiTheme="majorHAnsi" w:hAnsiTheme="majorHAnsi" w:cstheme="majorHAnsi"/>
          <w:b/>
        </w:rPr>
        <w:t>(</w:t>
      </w:r>
      <w:proofErr w:type="spellStart"/>
      <w:r w:rsidRPr="00577163">
        <w:rPr>
          <w:rFonts w:asciiTheme="majorHAnsi" w:hAnsiTheme="majorHAnsi" w:cstheme="majorHAnsi"/>
          <w:b/>
        </w:rPr>
        <w:t>CsA</w:t>
      </w:r>
      <w:proofErr w:type="spellEnd"/>
      <w:r w:rsidRPr="00577163">
        <w:rPr>
          <w:rFonts w:asciiTheme="majorHAnsi" w:hAnsiTheme="majorHAnsi" w:cstheme="majorHAnsi"/>
          <w:b/>
        </w:rPr>
        <w:t>))</w:t>
      </w:r>
      <w:bookmarkEnd w:id="42"/>
    </w:p>
    <w:p w:rsidR="00B03F4F" w:rsidRDefault="00B03F4F" w:rsidP="00B03F4F">
      <w:pPr>
        <w:pStyle w:val="Heading4"/>
      </w:pPr>
      <w:bookmarkStart w:id="44" w:name="_Toc295132732"/>
      <w:bookmarkStart w:id="45" w:name="_Toc290846274"/>
      <w:bookmarkStart w:id="46" w:name="_Toc272414652"/>
      <w:bookmarkStart w:id="47" w:name="_Ref271037274"/>
      <w:r>
        <w:t>Pivotal efficacy study</w:t>
      </w:r>
      <w:bookmarkEnd w:id="44"/>
      <w:bookmarkEnd w:id="45"/>
      <w:bookmarkEnd w:id="46"/>
      <w:bookmarkEnd w:id="47"/>
    </w:p>
    <w:p w:rsidR="002638A5" w:rsidRDefault="00B03F4F" w:rsidP="00B03F4F">
      <w:pPr>
        <w:pStyle w:val="Heading5"/>
        <w:rPr>
          <w:color w:val="auto"/>
        </w:rPr>
      </w:pPr>
      <w:bookmarkStart w:id="48" w:name="_Toc295132733"/>
      <w:bookmarkStart w:id="49" w:name="_Toc290846275"/>
      <w:bookmarkStart w:id="50" w:name="_Toc272414653"/>
      <w:bookmarkStart w:id="51" w:name="_Ref271040932"/>
      <w:bookmarkStart w:id="52" w:name="_Ref271040927"/>
      <w:bookmarkStart w:id="53" w:name="_Ref243301615"/>
      <w:r>
        <w:rPr>
          <w:color w:val="auto"/>
        </w:rPr>
        <w:t xml:space="preserve">Study </w:t>
      </w:r>
      <w:r>
        <w:t>ELT112523 (NIH 09-H-0154)</w:t>
      </w:r>
      <w:bookmarkEnd w:id="48"/>
      <w:bookmarkEnd w:id="49"/>
      <w:bookmarkEnd w:id="50"/>
      <w:bookmarkEnd w:id="51"/>
      <w:bookmarkEnd w:id="52"/>
      <w:bookmarkEnd w:id="53"/>
    </w:p>
    <w:p w:rsidR="00B03F4F" w:rsidRDefault="00B03F4F" w:rsidP="00B03F4F">
      <w:r>
        <w:t xml:space="preserve">Phase II, open-label, non-randomised, single-arm, single centre (NIH Bethesda Maryland USA) investigator sponsored study to evaluate the efficacy to </w:t>
      </w:r>
      <w:proofErr w:type="spellStart"/>
      <w:r>
        <w:t>Eltrombopag</w:t>
      </w:r>
      <w:proofErr w:type="spellEnd"/>
      <w:r>
        <w:t xml:space="preserve"> in patients with SAA and an insufficient response to IST.</w:t>
      </w:r>
      <w:r w:rsidR="00392749">
        <w:t xml:space="preserve"> </w:t>
      </w:r>
      <w:r>
        <w:t>Enrolment completed but some patients are still undergoing treatment. The cut-off date was 9/5/14 and results published in peer reviewed journals.</w:t>
      </w:r>
    </w:p>
    <w:p w:rsidR="00B03F4F" w:rsidRDefault="00B03F4F" w:rsidP="00116E1A">
      <w:pPr>
        <w:pStyle w:val="Heading6"/>
      </w:pPr>
      <w:r>
        <w:lastRenderedPageBreak/>
        <w:t>Study design, objectives, locations and dates</w:t>
      </w:r>
    </w:p>
    <w:p w:rsidR="00B03F4F" w:rsidRDefault="00B03F4F" w:rsidP="00B03F4F">
      <w:pPr>
        <w:rPr>
          <w:lang w:val="en-US"/>
        </w:rPr>
      </w:pPr>
      <w:r>
        <w:rPr>
          <w:lang w:val="en-US"/>
        </w:rPr>
        <w:t xml:space="preserve">The study was designed as an open-label, single center, non-randomized, </w:t>
      </w:r>
      <w:r w:rsidR="00116E1A">
        <w:rPr>
          <w:lang w:val="en-US"/>
        </w:rPr>
        <w:t>Phase II</w:t>
      </w:r>
      <w:r>
        <w:rPr>
          <w:lang w:val="en-US"/>
        </w:rPr>
        <w:t xml:space="preserve">, dose modification study of </w:t>
      </w:r>
      <w:proofErr w:type="spellStart"/>
      <w:r>
        <w:rPr>
          <w:lang w:val="en-US"/>
        </w:rPr>
        <w:t>eltrombopag</w:t>
      </w:r>
      <w:proofErr w:type="spellEnd"/>
      <w:r>
        <w:rPr>
          <w:lang w:val="en-US"/>
        </w:rPr>
        <w:t xml:space="preserve"> in subjects with SAA and thrombocytopenia with a baseline platelet count </w:t>
      </w:r>
      <w:r w:rsidR="00116E1A">
        <w:rPr>
          <w:rFonts w:ascii="Times New Roman" w:hAnsi="Times New Roman"/>
          <w:b/>
          <w:bCs/>
          <w:lang w:val="en-US"/>
        </w:rPr>
        <w:t>≤</w:t>
      </w:r>
      <w:r w:rsidR="00116E1A">
        <w:rPr>
          <w:rFonts w:ascii="Symbol" w:hAnsi="Symbol"/>
          <w:b/>
          <w:bCs/>
          <w:lang w:val="en-US"/>
        </w:rPr>
        <w:t></w:t>
      </w:r>
      <w:r>
        <w:rPr>
          <w:lang w:val="en-US"/>
        </w:rPr>
        <w:t xml:space="preserve">30 </w:t>
      </w:r>
      <w:r w:rsidR="0032542E">
        <w:rPr>
          <w:lang w:val="en-US"/>
        </w:rPr>
        <w:t>x 10</w:t>
      </w:r>
      <w:r w:rsidR="0032542E" w:rsidRPr="0032542E">
        <w:rPr>
          <w:vertAlign w:val="superscript"/>
          <w:lang w:val="en-US"/>
        </w:rPr>
        <w:t>9</w:t>
      </w:r>
      <w:r>
        <w:rPr>
          <w:lang w:val="en-US"/>
        </w:rPr>
        <w:t>/L, following insufficient response to immunosuppressive therapy (Figure 1).</w:t>
      </w:r>
    </w:p>
    <w:p w:rsidR="00B03F4F" w:rsidRDefault="00B03F4F" w:rsidP="00B03F4F">
      <w:pPr>
        <w:rPr>
          <w:lang w:val="en-US"/>
        </w:rPr>
      </w:pPr>
      <w:r w:rsidRPr="00116E1A">
        <w:rPr>
          <w:i/>
          <w:lang w:val="en-US"/>
        </w:rPr>
        <w:t>The primary objective</w:t>
      </w:r>
      <w:r>
        <w:rPr>
          <w:lang w:val="en-US"/>
        </w:rPr>
        <w:t xml:space="preserve"> was to assess the safety and efficacy of the oral </w:t>
      </w:r>
      <w:proofErr w:type="spellStart"/>
      <w:r>
        <w:rPr>
          <w:lang w:val="en-US"/>
        </w:rPr>
        <w:t>thrombopoietin</w:t>
      </w:r>
      <w:proofErr w:type="spellEnd"/>
      <w:r>
        <w:rPr>
          <w:lang w:val="en-US"/>
        </w:rPr>
        <w:t xml:space="preserve"> receptor agonist (TPO-R) </w:t>
      </w:r>
      <w:proofErr w:type="spellStart"/>
      <w:r>
        <w:rPr>
          <w:lang w:val="en-US"/>
        </w:rPr>
        <w:t>eltrombopag</w:t>
      </w:r>
      <w:proofErr w:type="spellEnd"/>
      <w:r>
        <w:rPr>
          <w:lang w:val="en-US"/>
        </w:rPr>
        <w:t xml:space="preserve"> in SAA subjects with immunosuppressive-therapy refractory thrombocytopenia.</w:t>
      </w:r>
    </w:p>
    <w:p w:rsidR="00B03F4F" w:rsidRDefault="00B03F4F" w:rsidP="00B03F4F">
      <w:pPr>
        <w:rPr>
          <w:lang w:val="en-US"/>
        </w:rPr>
      </w:pPr>
      <w:r w:rsidRPr="00116E1A">
        <w:rPr>
          <w:i/>
          <w:lang w:val="en-US"/>
        </w:rPr>
        <w:t>Secondary objectives</w:t>
      </w:r>
      <w:r>
        <w:rPr>
          <w:lang w:val="en-US"/>
        </w:rPr>
        <w:t xml:space="preserve"> included the analysis of the incidence and severity of bleeding episodes, and the impact on quality of life.</w:t>
      </w:r>
    </w:p>
    <w:p w:rsidR="00B03F4F" w:rsidRDefault="00B03F4F" w:rsidP="00B03F4F">
      <w:pPr>
        <w:rPr>
          <w:lang w:val="en-US"/>
        </w:rPr>
      </w:pPr>
      <w:r w:rsidRPr="00116E1A">
        <w:rPr>
          <w:i/>
          <w:lang w:val="en-US"/>
        </w:rPr>
        <w:t>Study center(s):</w:t>
      </w:r>
      <w:r>
        <w:rPr>
          <w:lang w:val="en-US"/>
        </w:rPr>
        <w:t xml:space="preserve"> This study was conducted at 1 center (National Institute of Health [NIH]) in one country (US).</w:t>
      </w:r>
    </w:p>
    <w:p w:rsidR="00B03F4F" w:rsidRDefault="00B03F4F" w:rsidP="00B03F4F">
      <w:r w:rsidRPr="00116E1A">
        <w:rPr>
          <w:i/>
          <w:lang w:val="en-US"/>
        </w:rPr>
        <w:t>Study Period:</w:t>
      </w:r>
      <w:r>
        <w:rPr>
          <w:lang w:val="en-US"/>
        </w:rPr>
        <w:t xml:space="preserve"> 23 June 2009 - 09 May 2014 (Clinical Cut-Off Date)</w:t>
      </w:r>
    </w:p>
    <w:p w:rsidR="00B03F4F" w:rsidRDefault="00B03F4F" w:rsidP="00116E1A">
      <w:pPr>
        <w:pStyle w:val="Heading6"/>
      </w:pPr>
      <w:bookmarkStart w:id="54" w:name="_Ref295125532"/>
      <w:r>
        <w:t>Inclusion and withdrawal criteria</w:t>
      </w:r>
      <w:bookmarkEnd w:id="54"/>
    </w:p>
    <w:p w:rsidR="002638A5" w:rsidRDefault="00B03F4F" w:rsidP="00B03F4F">
      <w:r w:rsidRPr="00116E1A">
        <w:rPr>
          <w:i/>
        </w:rPr>
        <w:t xml:space="preserve">Inclusion </w:t>
      </w:r>
      <w:r w:rsidR="002638A5">
        <w:rPr>
          <w:i/>
        </w:rPr>
        <w:t>c</w:t>
      </w:r>
      <w:r w:rsidRPr="00116E1A">
        <w:rPr>
          <w:i/>
        </w:rPr>
        <w:t>riteria</w:t>
      </w:r>
    </w:p>
    <w:p w:rsidR="00B03F4F" w:rsidRPr="004F2F93" w:rsidRDefault="00B03F4F" w:rsidP="000663A9">
      <w:pPr>
        <w:pStyle w:val="Numberbullet0"/>
        <w:numPr>
          <w:ilvl w:val="0"/>
          <w:numId w:val="10"/>
        </w:numPr>
        <w:rPr>
          <w:lang w:val="en-US"/>
        </w:rPr>
      </w:pPr>
      <w:r w:rsidRPr="004F2F93">
        <w:rPr>
          <w:lang w:val="en-US"/>
        </w:rPr>
        <w:t>Diagnosis of SAA, with refractory thrombocytopenia following at least one</w:t>
      </w:r>
      <w:r w:rsidR="004F2F93" w:rsidRPr="004F2F93">
        <w:rPr>
          <w:lang w:val="en-US"/>
        </w:rPr>
        <w:t xml:space="preserve"> </w:t>
      </w:r>
      <w:r w:rsidRPr="004F2F93">
        <w:rPr>
          <w:lang w:val="en-US"/>
        </w:rPr>
        <w:t>treatment course of horse or rabbit ATG/cyclosporine.</w:t>
      </w:r>
    </w:p>
    <w:p w:rsidR="002638A5" w:rsidRDefault="00B03F4F" w:rsidP="000663A9">
      <w:pPr>
        <w:pStyle w:val="Numberbullet0"/>
        <w:numPr>
          <w:ilvl w:val="0"/>
          <w:numId w:val="10"/>
        </w:numPr>
        <w:rPr>
          <w:lang w:val="en-US"/>
        </w:rPr>
      </w:pPr>
      <w:r w:rsidRPr="004F2F93">
        <w:rPr>
          <w:lang w:val="en-US"/>
        </w:rPr>
        <w:t xml:space="preserve">Platelet count </w:t>
      </w:r>
      <w:r w:rsidR="00116E1A">
        <w:rPr>
          <w:lang w:val="en-US"/>
        </w:rPr>
        <w:t xml:space="preserve">≤ </w:t>
      </w:r>
      <w:r w:rsidRPr="004F2F93">
        <w:rPr>
          <w:lang w:val="en-US"/>
        </w:rPr>
        <w:t>30</w:t>
      </w:r>
      <w:r w:rsidR="0032542E">
        <w:rPr>
          <w:lang w:val="en-US"/>
        </w:rPr>
        <w:t>x 10</w:t>
      </w:r>
      <w:r w:rsidR="0032542E" w:rsidRPr="0032542E">
        <w:rPr>
          <w:vertAlign w:val="superscript"/>
          <w:lang w:val="en-US"/>
        </w:rPr>
        <w:t>9</w:t>
      </w:r>
      <w:r w:rsidRPr="004F2F93">
        <w:rPr>
          <w:lang w:val="en-US"/>
        </w:rPr>
        <w:t>/L</w:t>
      </w:r>
    </w:p>
    <w:p w:rsidR="00B03F4F" w:rsidRPr="004F2F93" w:rsidRDefault="00B03F4F" w:rsidP="000663A9">
      <w:pPr>
        <w:pStyle w:val="Numberbullet0"/>
        <w:numPr>
          <w:ilvl w:val="0"/>
          <w:numId w:val="10"/>
        </w:numPr>
        <w:rPr>
          <w:lang w:val="en-US"/>
        </w:rPr>
      </w:pPr>
      <w:r w:rsidRPr="004F2F93">
        <w:rPr>
          <w:lang w:val="en-US"/>
        </w:rPr>
        <w:t xml:space="preserve">Age </w:t>
      </w:r>
      <w:r w:rsidR="00716C6C">
        <w:rPr>
          <w:rFonts w:ascii="Times New Roman" w:hAnsi="Times New Roman"/>
          <w:b/>
          <w:bCs/>
          <w:lang w:val="en-US"/>
        </w:rPr>
        <w:t>≥</w:t>
      </w:r>
      <w:r w:rsidR="00116E1A">
        <w:rPr>
          <w:lang w:val="en-US"/>
        </w:rPr>
        <w:t xml:space="preserve"> </w:t>
      </w:r>
      <w:r w:rsidRPr="004F2F93">
        <w:rPr>
          <w:lang w:val="en-US"/>
        </w:rPr>
        <w:t>12years old</w:t>
      </w:r>
    </w:p>
    <w:p w:rsidR="00B03F4F" w:rsidRPr="004F2F93" w:rsidRDefault="00B03F4F" w:rsidP="000663A9">
      <w:pPr>
        <w:pStyle w:val="Numberbullet0"/>
        <w:numPr>
          <w:ilvl w:val="0"/>
          <w:numId w:val="10"/>
        </w:numPr>
        <w:rPr>
          <w:lang w:val="en-US"/>
        </w:rPr>
      </w:pPr>
      <w:r w:rsidRPr="004F2F93">
        <w:rPr>
          <w:lang w:val="en-US"/>
        </w:rPr>
        <w:t xml:space="preserve">A subject was </w:t>
      </w:r>
      <w:r w:rsidRPr="00116E1A">
        <w:rPr>
          <w:i/>
          <w:lang w:val="en-US"/>
        </w:rPr>
        <w:t>not eligible for inclusion</w:t>
      </w:r>
      <w:r w:rsidRPr="004F2F93">
        <w:rPr>
          <w:lang w:val="en-US"/>
        </w:rPr>
        <w:t xml:space="preserve"> in this study if any of the following criteria</w:t>
      </w:r>
      <w:r w:rsidR="004F2F93" w:rsidRPr="004F2F93">
        <w:rPr>
          <w:lang w:val="en-US"/>
        </w:rPr>
        <w:t xml:space="preserve"> </w:t>
      </w:r>
      <w:r w:rsidRPr="004F2F93">
        <w:rPr>
          <w:lang w:val="en-US"/>
        </w:rPr>
        <w:t>applied:</w:t>
      </w:r>
    </w:p>
    <w:p w:rsidR="00B03F4F" w:rsidRPr="00B03F4F" w:rsidRDefault="00B03F4F" w:rsidP="004F2F93">
      <w:pPr>
        <w:pStyle w:val="Numberbullet2"/>
        <w:rPr>
          <w:lang w:val="en-US"/>
        </w:rPr>
      </w:pPr>
      <w:r w:rsidRPr="00B03F4F">
        <w:rPr>
          <w:lang w:val="en-US"/>
        </w:rPr>
        <w:t xml:space="preserve">Diagnosis of </w:t>
      </w:r>
      <w:proofErr w:type="spellStart"/>
      <w:r w:rsidRPr="00B03F4F">
        <w:rPr>
          <w:lang w:val="en-US"/>
        </w:rPr>
        <w:t>Fanconi</w:t>
      </w:r>
      <w:proofErr w:type="spellEnd"/>
      <w:r w:rsidRPr="00B03F4F">
        <w:rPr>
          <w:lang w:val="en-US"/>
        </w:rPr>
        <w:t xml:space="preserve"> anemia</w:t>
      </w:r>
    </w:p>
    <w:p w:rsidR="00B03F4F" w:rsidRPr="00B03F4F" w:rsidRDefault="00B03F4F" w:rsidP="004F2F93">
      <w:pPr>
        <w:pStyle w:val="Numberbullet2"/>
        <w:rPr>
          <w:lang w:val="en-US"/>
        </w:rPr>
      </w:pPr>
      <w:r w:rsidRPr="00B03F4F">
        <w:rPr>
          <w:lang w:val="en-US"/>
        </w:rPr>
        <w:t>Infection not adequately responding to appropriate therapy</w:t>
      </w:r>
    </w:p>
    <w:p w:rsidR="00B03F4F" w:rsidRPr="00B03F4F" w:rsidRDefault="00B03F4F" w:rsidP="004F2F93">
      <w:pPr>
        <w:pStyle w:val="Numberbullet2"/>
        <w:rPr>
          <w:lang w:val="en-US"/>
        </w:rPr>
      </w:pPr>
      <w:r w:rsidRPr="00B03F4F">
        <w:rPr>
          <w:lang w:val="en-US"/>
        </w:rPr>
        <w:t xml:space="preserve">Patients with a PNH clone size in neutrophils of </w:t>
      </w:r>
      <w:r w:rsidR="00716C6C">
        <w:rPr>
          <w:rFonts w:ascii="Times New Roman" w:hAnsi="Times New Roman"/>
          <w:b/>
          <w:bCs/>
          <w:lang w:val="en-US"/>
        </w:rPr>
        <w:t>≥</w:t>
      </w:r>
      <w:r w:rsidR="00116E1A">
        <w:rPr>
          <w:lang w:val="en-US"/>
        </w:rPr>
        <w:t xml:space="preserve"> </w:t>
      </w:r>
      <w:r w:rsidRPr="00B03F4F">
        <w:rPr>
          <w:lang w:val="en-US"/>
        </w:rPr>
        <w:t>50%</w:t>
      </w:r>
    </w:p>
    <w:p w:rsidR="00B03F4F" w:rsidRPr="00B03F4F" w:rsidRDefault="00B03F4F" w:rsidP="004F2F93">
      <w:pPr>
        <w:pStyle w:val="Numberbullet2"/>
        <w:rPr>
          <w:lang w:val="en-US"/>
        </w:rPr>
      </w:pPr>
      <w:r w:rsidRPr="00B03F4F">
        <w:rPr>
          <w:lang w:val="en-US"/>
        </w:rPr>
        <w:t>HIV positivity</w:t>
      </w:r>
    </w:p>
    <w:p w:rsidR="00B03F4F" w:rsidRPr="00B03F4F" w:rsidRDefault="00B03F4F" w:rsidP="004F2F93">
      <w:pPr>
        <w:pStyle w:val="Numberbullet2"/>
        <w:rPr>
          <w:lang w:val="en-US"/>
        </w:rPr>
      </w:pPr>
      <w:r w:rsidRPr="00B03F4F">
        <w:rPr>
          <w:lang w:val="en-US"/>
        </w:rPr>
        <w:t>Creatinine &gt;2.5</w:t>
      </w:r>
    </w:p>
    <w:p w:rsidR="00B03F4F" w:rsidRPr="00B03F4F" w:rsidRDefault="00B03F4F" w:rsidP="004F2F93">
      <w:pPr>
        <w:pStyle w:val="Numberbullet2"/>
        <w:rPr>
          <w:lang w:val="en-US"/>
        </w:rPr>
      </w:pPr>
      <w:r w:rsidRPr="00B03F4F">
        <w:rPr>
          <w:lang w:val="en-US"/>
        </w:rPr>
        <w:t>Bilirubin &gt;2.0</w:t>
      </w:r>
    </w:p>
    <w:p w:rsidR="00B03F4F" w:rsidRPr="00B03F4F" w:rsidRDefault="00B03F4F" w:rsidP="004F2F93">
      <w:pPr>
        <w:pStyle w:val="Numberbullet2"/>
        <w:rPr>
          <w:lang w:val="en-US"/>
        </w:rPr>
      </w:pPr>
      <w:r w:rsidRPr="00B03F4F">
        <w:rPr>
          <w:lang w:val="en-US"/>
        </w:rPr>
        <w:t>AST or ALT &gt;5 times the upper limit of normal</w:t>
      </w:r>
    </w:p>
    <w:p w:rsidR="00B03F4F" w:rsidRPr="00B03F4F" w:rsidRDefault="00B03F4F" w:rsidP="004F2F93">
      <w:pPr>
        <w:pStyle w:val="Numberbullet2"/>
        <w:rPr>
          <w:lang w:val="en-US"/>
        </w:rPr>
      </w:pPr>
      <w:r w:rsidRPr="00B03F4F">
        <w:rPr>
          <w:lang w:val="en-US"/>
        </w:rPr>
        <w:t xml:space="preserve">Hypersensitivity to </w:t>
      </w:r>
      <w:proofErr w:type="spellStart"/>
      <w:r w:rsidRPr="00B03F4F">
        <w:rPr>
          <w:lang w:val="en-US"/>
        </w:rPr>
        <w:t>eltrombopag</w:t>
      </w:r>
      <w:proofErr w:type="spellEnd"/>
      <w:r w:rsidRPr="00B03F4F">
        <w:rPr>
          <w:lang w:val="en-US"/>
        </w:rPr>
        <w:t xml:space="preserve"> or its components</w:t>
      </w:r>
    </w:p>
    <w:p w:rsidR="00B03F4F" w:rsidRPr="00B03F4F" w:rsidRDefault="00B03F4F" w:rsidP="004F2F93">
      <w:pPr>
        <w:pStyle w:val="Numberbullet2"/>
        <w:rPr>
          <w:lang w:val="en-US"/>
        </w:rPr>
      </w:pPr>
      <w:r w:rsidRPr="00B03F4F">
        <w:rPr>
          <w:lang w:val="en-US"/>
        </w:rPr>
        <w:t>Female subjects who were nursing or pregnant or were unwilling to take oral contraceptives or refrained from pregnancy if of childbearing potential</w:t>
      </w:r>
    </w:p>
    <w:p w:rsidR="00B03F4F" w:rsidRPr="00B03F4F" w:rsidRDefault="00B03F4F" w:rsidP="004F2F93">
      <w:pPr>
        <w:pStyle w:val="Numberbullet2"/>
        <w:rPr>
          <w:lang w:val="en-US"/>
        </w:rPr>
      </w:pPr>
      <w:r w:rsidRPr="00B03F4F">
        <w:rPr>
          <w:lang w:val="en-US"/>
        </w:rPr>
        <w:t>History of malignancy other than localized tumors diagnosed more than one year</w:t>
      </w:r>
      <w:r>
        <w:rPr>
          <w:lang w:val="en-US"/>
        </w:rPr>
        <w:t xml:space="preserve"> </w:t>
      </w:r>
      <w:r w:rsidRPr="00B03F4F">
        <w:rPr>
          <w:lang w:val="en-US"/>
        </w:rPr>
        <w:t xml:space="preserve">previously and treated surgically with curative intent (for instance squamous cell or other skin cancers, </w:t>
      </w:r>
      <w:r w:rsidR="00116E1A">
        <w:rPr>
          <w:lang w:val="en-US"/>
        </w:rPr>
        <w:t>S</w:t>
      </w:r>
      <w:r w:rsidRPr="00B03F4F">
        <w:rPr>
          <w:lang w:val="en-US"/>
        </w:rPr>
        <w:t xml:space="preserve">tage 1 breast cancer, cervical carcinoma in situ, </w:t>
      </w:r>
      <w:proofErr w:type="spellStart"/>
      <w:r w:rsidRPr="00B03F4F">
        <w:rPr>
          <w:lang w:val="en-US"/>
        </w:rPr>
        <w:t>etc</w:t>
      </w:r>
      <w:proofErr w:type="spellEnd"/>
      <w:r w:rsidRPr="00B03F4F">
        <w:rPr>
          <w:lang w:val="en-US"/>
        </w:rPr>
        <w:t>)</w:t>
      </w:r>
    </w:p>
    <w:p w:rsidR="00B03F4F" w:rsidRPr="00B03F4F" w:rsidRDefault="00B03F4F" w:rsidP="004F2F93">
      <w:pPr>
        <w:pStyle w:val="Numberbullet2"/>
        <w:rPr>
          <w:lang w:val="en-US"/>
        </w:rPr>
      </w:pPr>
      <w:r w:rsidRPr="00B03F4F">
        <w:rPr>
          <w:lang w:val="en-US"/>
        </w:rPr>
        <w:t>Unable to understand the investigational nature of the study or gave informed consent</w:t>
      </w:r>
    </w:p>
    <w:p w:rsidR="00B03F4F" w:rsidRPr="00B03F4F" w:rsidRDefault="00B03F4F" w:rsidP="004F2F93">
      <w:pPr>
        <w:pStyle w:val="Numberbullet2"/>
        <w:rPr>
          <w:lang w:val="en-US"/>
        </w:rPr>
      </w:pPr>
      <w:r w:rsidRPr="00B03F4F">
        <w:rPr>
          <w:lang w:val="en-US"/>
        </w:rPr>
        <w:t>History of congestive heart failure, arrhythmia requiring chronic treatment, arterial or venous thrombosis (not excluding line thrombosis) within the last 1 year, or myocardial infarction within 3 months before enrollment</w:t>
      </w:r>
    </w:p>
    <w:p w:rsidR="00B03F4F" w:rsidRDefault="00B03F4F" w:rsidP="004F2F93">
      <w:pPr>
        <w:pStyle w:val="Numberbullet2"/>
        <w:rPr>
          <w:lang w:val="en-US"/>
        </w:rPr>
      </w:pPr>
      <w:r>
        <w:rPr>
          <w:lang w:val="en-US"/>
        </w:rPr>
        <w:t>Eastern Cooperative Oncology Group (ECOG) Performance Status of 3 or greater</w:t>
      </w:r>
    </w:p>
    <w:p w:rsidR="00B03F4F" w:rsidRDefault="00B03F4F" w:rsidP="004F2F93">
      <w:pPr>
        <w:pStyle w:val="Numberbullet2"/>
        <w:rPr>
          <w:lang w:val="en-US"/>
        </w:rPr>
      </w:pPr>
      <w:r>
        <w:rPr>
          <w:lang w:val="en-US"/>
        </w:rPr>
        <w:t xml:space="preserve">Treatment with horse or rabbit ATG or </w:t>
      </w:r>
      <w:proofErr w:type="spellStart"/>
      <w:r>
        <w:rPr>
          <w:lang w:val="en-US"/>
        </w:rPr>
        <w:t>Campath</w:t>
      </w:r>
      <w:proofErr w:type="spellEnd"/>
      <w:r>
        <w:rPr>
          <w:lang w:val="en-US"/>
        </w:rPr>
        <w:t xml:space="preserve"> within 6 months of study entry.</w:t>
      </w:r>
    </w:p>
    <w:p w:rsidR="00B03F4F" w:rsidRDefault="00B03F4F" w:rsidP="004F2F93">
      <w:pPr>
        <w:pStyle w:val="Numberbullet2"/>
      </w:pPr>
      <w:r>
        <w:rPr>
          <w:lang w:val="en-US"/>
        </w:rPr>
        <w:t>Concurrent stable treatment with cyclosporine or G-CSF was permitted.</w:t>
      </w:r>
    </w:p>
    <w:p w:rsidR="00B03F4F" w:rsidRPr="002638A5" w:rsidRDefault="00392749" w:rsidP="002638A5">
      <w:pPr>
        <w:pageBreakBefore/>
        <w:rPr>
          <w:i/>
        </w:rPr>
      </w:pPr>
      <w:r w:rsidRPr="002638A5">
        <w:rPr>
          <w:i/>
        </w:rPr>
        <w:lastRenderedPageBreak/>
        <w:t>Withdrawal criteria</w:t>
      </w:r>
    </w:p>
    <w:p w:rsidR="00B03F4F" w:rsidRDefault="00B03F4F" w:rsidP="002638A5">
      <w:pPr>
        <w:rPr>
          <w:lang w:val="en-US"/>
        </w:rPr>
      </w:pPr>
      <w:proofErr w:type="spellStart"/>
      <w:r>
        <w:rPr>
          <w:lang w:val="en-US"/>
        </w:rPr>
        <w:t>Eltrombopag</w:t>
      </w:r>
      <w:proofErr w:type="spellEnd"/>
      <w:r>
        <w:rPr>
          <w:lang w:val="en-US"/>
        </w:rPr>
        <w:t xml:space="preserve"> was to be discontinued if any of the following occurred during treatment.</w:t>
      </w:r>
    </w:p>
    <w:p w:rsidR="00B03F4F" w:rsidRDefault="00B03F4F" w:rsidP="004F2F93">
      <w:pPr>
        <w:pStyle w:val="ListBullet"/>
        <w:rPr>
          <w:lang w:val="en-US"/>
        </w:rPr>
      </w:pPr>
      <w:r>
        <w:rPr>
          <w:lang w:val="en-US"/>
        </w:rPr>
        <w:t xml:space="preserve">Intolerance of </w:t>
      </w:r>
      <w:proofErr w:type="spellStart"/>
      <w:r>
        <w:rPr>
          <w:lang w:val="en-US"/>
        </w:rPr>
        <w:t>eltrombopag</w:t>
      </w:r>
      <w:proofErr w:type="spellEnd"/>
      <w:r>
        <w:rPr>
          <w:lang w:val="en-US"/>
        </w:rPr>
        <w:t xml:space="preserve"> not resolved by dose reduction</w:t>
      </w:r>
    </w:p>
    <w:p w:rsidR="00B03F4F" w:rsidRDefault="00B03F4F" w:rsidP="004F2F93">
      <w:pPr>
        <w:pStyle w:val="ListBullet"/>
        <w:rPr>
          <w:lang w:val="en-US"/>
        </w:rPr>
      </w:pPr>
      <w:r>
        <w:rPr>
          <w:lang w:val="en-US"/>
        </w:rPr>
        <w:t>Life threatening acute hypersensitivity reaction</w:t>
      </w:r>
    </w:p>
    <w:p w:rsidR="00B03F4F" w:rsidRDefault="00B03F4F" w:rsidP="004F2F93">
      <w:pPr>
        <w:pStyle w:val="ListBullet"/>
        <w:rPr>
          <w:lang w:val="en-US"/>
        </w:rPr>
      </w:pPr>
      <w:r>
        <w:rPr>
          <w:lang w:val="en-US"/>
        </w:rPr>
        <w:t>Thrombosis/embolism (deep vein thrombosis [DVT], pulmonary embolus [PE], stroke or transient ischemic attack [TIA], myocardial infarction) other than central line thrombosis</w:t>
      </w:r>
    </w:p>
    <w:p w:rsidR="00B03F4F" w:rsidRDefault="00B03F4F" w:rsidP="004F2F93">
      <w:pPr>
        <w:pStyle w:val="ListBullet"/>
        <w:rPr>
          <w:lang w:val="en-US"/>
        </w:rPr>
      </w:pPr>
      <w:r>
        <w:rPr>
          <w:lang w:val="en-US"/>
        </w:rPr>
        <w:t>Persistent hepatotoxic</w:t>
      </w:r>
      <w:r w:rsidR="00116E1A">
        <w:rPr>
          <w:lang w:val="en-US"/>
        </w:rPr>
        <w:t>ity (as defined in the Protocol</w:t>
      </w:r>
      <w:r>
        <w:rPr>
          <w:lang w:val="en-US"/>
        </w:rPr>
        <w:t>)</w:t>
      </w:r>
    </w:p>
    <w:p w:rsidR="00B03F4F" w:rsidRDefault="00B03F4F" w:rsidP="004F2F93">
      <w:pPr>
        <w:pStyle w:val="ListBullet"/>
        <w:rPr>
          <w:lang w:val="en-US"/>
        </w:rPr>
      </w:pPr>
      <w:r>
        <w:rPr>
          <w:lang w:val="en-US"/>
        </w:rPr>
        <w:t xml:space="preserve">New or worsening morphological abnormalities or </w:t>
      </w:r>
      <w:proofErr w:type="spellStart"/>
      <w:r>
        <w:rPr>
          <w:lang w:val="en-US"/>
        </w:rPr>
        <w:t>cytopenia</w:t>
      </w:r>
      <w:proofErr w:type="spellEnd"/>
      <w:r>
        <w:rPr>
          <w:lang w:val="en-US"/>
        </w:rPr>
        <w:t>(s) (as defined in the Protocol)</w:t>
      </w:r>
    </w:p>
    <w:p w:rsidR="00B03F4F" w:rsidRDefault="00B03F4F" w:rsidP="004F2F93">
      <w:pPr>
        <w:pStyle w:val="ListBullet"/>
        <w:rPr>
          <w:lang w:val="en-US"/>
        </w:rPr>
      </w:pPr>
      <w:r>
        <w:rPr>
          <w:lang w:val="en-US"/>
        </w:rPr>
        <w:t>No treatment at the Primary Response Assessment</w:t>
      </w:r>
    </w:p>
    <w:p w:rsidR="00B03F4F" w:rsidRDefault="00B03F4F" w:rsidP="004F2F93">
      <w:pPr>
        <w:pStyle w:val="ListBullet"/>
        <w:rPr>
          <w:lang w:val="en-US"/>
        </w:rPr>
      </w:pPr>
      <w:r>
        <w:rPr>
          <w:lang w:val="en-US"/>
        </w:rPr>
        <w:t>Any Grade IV toxicity considered related to study treatment excluding readily reversible metabolic or laboratory abnormalities or hematologic toxicities</w:t>
      </w:r>
    </w:p>
    <w:p w:rsidR="00B03F4F" w:rsidRDefault="00B03F4F" w:rsidP="004F2F93">
      <w:pPr>
        <w:pStyle w:val="ListBullet"/>
        <w:rPr>
          <w:lang w:val="en-US"/>
        </w:rPr>
      </w:pPr>
      <w:r>
        <w:rPr>
          <w:lang w:val="en-US"/>
        </w:rPr>
        <w:t>Significant progression of disease or a concomitant condition that would make the subject ineligible for further protocol participation</w:t>
      </w:r>
    </w:p>
    <w:p w:rsidR="002638A5" w:rsidRDefault="00B03F4F" w:rsidP="004F2F93">
      <w:pPr>
        <w:pStyle w:val="ListBullet"/>
        <w:rPr>
          <w:lang w:val="en-US"/>
        </w:rPr>
      </w:pPr>
      <w:r>
        <w:rPr>
          <w:lang w:val="en-US"/>
        </w:rPr>
        <w:t>Pregnancy or unwillingness to use acceptable forms of contraception</w:t>
      </w:r>
    </w:p>
    <w:p w:rsidR="00B03F4F" w:rsidRDefault="00B03F4F" w:rsidP="004F2F93">
      <w:pPr>
        <w:pStyle w:val="ListBullet"/>
        <w:rPr>
          <w:lang w:val="en-US"/>
        </w:rPr>
      </w:pPr>
      <w:r>
        <w:rPr>
          <w:lang w:val="en-US"/>
        </w:rPr>
        <w:t>Initiation of non-protocol therapy for aplastic anemia</w:t>
      </w:r>
    </w:p>
    <w:p w:rsidR="00B03F4F" w:rsidRDefault="00B03F4F" w:rsidP="004F2F93">
      <w:pPr>
        <w:pStyle w:val="ListBullet"/>
        <w:rPr>
          <w:lang w:val="en-US"/>
        </w:rPr>
      </w:pPr>
      <w:r>
        <w:rPr>
          <w:lang w:val="en-US"/>
        </w:rPr>
        <w:t>Development of study related cataracts</w:t>
      </w:r>
    </w:p>
    <w:p w:rsidR="002638A5" w:rsidRDefault="00B03F4F" w:rsidP="00116E1A">
      <w:pPr>
        <w:pStyle w:val="Heading6"/>
      </w:pPr>
      <w:bookmarkStart w:id="55" w:name="_Ref295125560"/>
      <w:r>
        <w:t>Study treatment.</w:t>
      </w:r>
      <w:bookmarkEnd w:id="55"/>
    </w:p>
    <w:p w:rsidR="002638A5" w:rsidRDefault="00B03F4F" w:rsidP="00B03F4F">
      <w:proofErr w:type="spellStart"/>
      <w:r>
        <w:t>Eltrom</w:t>
      </w:r>
      <w:r w:rsidR="00586DB0">
        <w:t>b</w:t>
      </w:r>
      <w:r>
        <w:t>opag</w:t>
      </w:r>
      <w:proofErr w:type="spellEnd"/>
      <w:r>
        <w:t xml:space="preserve"> 50</w:t>
      </w:r>
      <w:r w:rsidR="00116E1A">
        <w:t xml:space="preserve"> </w:t>
      </w:r>
      <w:r>
        <w:t>mg once daily (25</w:t>
      </w:r>
      <w:r w:rsidR="00116E1A">
        <w:t xml:space="preserve"> </w:t>
      </w:r>
      <w:r>
        <w:t>mg in East Asian patients), increasing by 25</w:t>
      </w:r>
      <w:r w:rsidR="00116E1A">
        <w:t xml:space="preserve"> </w:t>
      </w:r>
      <w:r>
        <w:t>mg daily each 2 weeks based on platelet count response, to a maximum of 150</w:t>
      </w:r>
      <w:r w:rsidR="00116E1A">
        <w:t xml:space="preserve"> </w:t>
      </w:r>
      <w:r>
        <w:t>mg/day (75 mg in East Asians). 44 patients were entered and 43 treated. The primary response assessment (PRA) was after 12-16 weeks. Responders were enrolled in an extension study with 3 monthly assessments, to evaluate the lowest dose of study drug to maintain platelet counts until the subjects met off-study criteria or the study closed. Non-responders or those intolerant of study drug were taken off study (Figure 1).</w:t>
      </w:r>
      <w:r w:rsidR="00392749">
        <w:t xml:space="preserve">   </w:t>
      </w:r>
    </w:p>
    <w:p w:rsidR="00B03F4F" w:rsidRPr="00B672D0" w:rsidRDefault="00B03F4F" w:rsidP="00B672D0">
      <w:pPr>
        <w:pStyle w:val="FigureTitle"/>
      </w:pPr>
      <w:bookmarkStart w:id="56" w:name="_Toc295132829"/>
      <w:bookmarkStart w:id="57" w:name="_Ref295125982"/>
      <w:r w:rsidRPr="00B672D0">
        <w:t>Figure</w:t>
      </w:r>
      <w:r w:rsidR="00B672D0" w:rsidRPr="00B672D0">
        <w:t xml:space="preserve"> 1:</w:t>
      </w:r>
      <w:r w:rsidRPr="00B672D0">
        <w:t xml:space="preserve"> Study Schema ELT112523</w:t>
      </w:r>
      <w:bookmarkEnd w:id="56"/>
      <w:bookmarkEnd w:id="57"/>
    </w:p>
    <w:p w:rsidR="00B03F4F" w:rsidRDefault="00B03F4F" w:rsidP="00B03F4F">
      <w:r>
        <w:rPr>
          <w:noProof/>
          <w:lang w:eastAsia="en-AU"/>
        </w:rPr>
        <w:drawing>
          <wp:inline distT="0" distB="0" distL="0" distR="0" wp14:anchorId="668DE8FC" wp14:editId="6D300860">
            <wp:extent cx="3679371" cy="1820238"/>
            <wp:effectExtent l="0" t="0" r="0" b="8890"/>
            <wp:docPr id="20" name="Picture 20" descr="   Figure 1. Study Schema ELT112523&#10;1. SAA patients with platelets &lt;30 Gi/L and Insufficient response to IST&#10;2. Eltrombopag 50 mg daily&#10;3. Dose escalation to every 2 weeks to 150 mg daily&#10;4. Haematological response at 3-4 months?&#10;a. Responders followed every 3 months (extension study)&#10;b. Non-responders of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3680869" cy="1820979"/>
                    </a:xfrm>
                    <a:prstGeom prst="rect">
                      <a:avLst/>
                    </a:prstGeom>
                    <a:noFill/>
                    <a:ln>
                      <a:noFill/>
                    </a:ln>
                  </pic:spPr>
                </pic:pic>
              </a:graphicData>
            </a:graphic>
          </wp:inline>
        </w:drawing>
      </w:r>
    </w:p>
    <w:p w:rsidR="00B03F4F" w:rsidRDefault="00B03F4F" w:rsidP="00116E1A">
      <w:pPr>
        <w:pStyle w:val="Heading6"/>
      </w:pPr>
      <w:r w:rsidRPr="004F2F93">
        <w:t>Efficacy</w:t>
      </w:r>
      <w:r>
        <w:t xml:space="preserve"> variables and outcomes</w:t>
      </w:r>
    </w:p>
    <w:p w:rsidR="00B03F4F" w:rsidRDefault="00B03F4F" w:rsidP="00B03F4F">
      <w:r>
        <w:t>The main efficacy variables were:</w:t>
      </w:r>
    </w:p>
    <w:p w:rsidR="00B03F4F" w:rsidRDefault="00B03F4F" w:rsidP="004F2F93">
      <w:pPr>
        <w:pStyle w:val="ListBullet"/>
      </w:pPr>
      <w:r>
        <w:t>Haematological improvements. Elevation in blood counts. Based on the following criteria</w:t>
      </w:r>
    </w:p>
    <w:p w:rsidR="00B03F4F" w:rsidRDefault="00B03F4F" w:rsidP="004F2F93">
      <w:pPr>
        <w:pStyle w:val="ListBullet2"/>
      </w:pPr>
      <w:r>
        <w:t>Platelet count increase to 20</w:t>
      </w:r>
      <w:r w:rsidR="00116E1A">
        <w:t xml:space="preserve"> </w:t>
      </w:r>
      <w:r w:rsidR="0032542E">
        <w:t>x 10</w:t>
      </w:r>
      <w:r w:rsidR="0032542E" w:rsidRPr="0032542E">
        <w:rPr>
          <w:vertAlign w:val="superscript"/>
        </w:rPr>
        <w:t>9</w:t>
      </w:r>
      <w:r>
        <w:t>/L above baseline or stable platelet counts with transfusion independence for a minimum of 8 weeks.</w:t>
      </w:r>
    </w:p>
    <w:p w:rsidR="00B03F4F" w:rsidRDefault="00B03F4F" w:rsidP="004F2F93">
      <w:pPr>
        <w:pStyle w:val="ListBullet2"/>
      </w:pPr>
      <w:r>
        <w:lastRenderedPageBreak/>
        <w:t>Haemoglobin (</w:t>
      </w:r>
      <w:proofErr w:type="spellStart"/>
      <w:r>
        <w:t>Hb</w:t>
      </w:r>
      <w:proofErr w:type="spellEnd"/>
      <w:r>
        <w:t>) increase by &gt;1.5</w:t>
      </w:r>
      <w:r w:rsidR="00116E1A">
        <w:t xml:space="preserve"> </w:t>
      </w:r>
      <w:r>
        <w:t>g/</w:t>
      </w:r>
      <w:proofErr w:type="spellStart"/>
      <w:r>
        <w:t>dL</w:t>
      </w:r>
      <w:proofErr w:type="spellEnd"/>
      <w:r>
        <w:t xml:space="preserve"> (15</w:t>
      </w:r>
      <w:r w:rsidR="00116E1A">
        <w:t xml:space="preserve"> </w:t>
      </w:r>
      <w:r>
        <w:t xml:space="preserve">g/L) for patients with pre-treatment </w:t>
      </w:r>
      <w:proofErr w:type="spellStart"/>
      <w:r>
        <w:t>Hb</w:t>
      </w:r>
      <w:proofErr w:type="spellEnd"/>
      <w:r>
        <w:t xml:space="preserve"> levels of &lt;9</w:t>
      </w:r>
      <w:r w:rsidR="00116E1A">
        <w:t xml:space="preserve"> </w:t>
      </w:r>
      <w:r>
        <w:t>g/</w:t>
      </w:r>
      <w:proofErr w:type="spellStart"/>
      <w:r w:rsidR="00116E1A">
        <w:t>d</w:t>
      </w:r>
      <w:r>
        <w:t>L</w:t>
      </w:r>
      <w:proofErr w:type="spellEnd"/>
      <w:r>
        <w:t xml:space="preserve">, or a reduction in the units of </w:t>
      </w:r>
      <w:r w:rsidR="00116E1A">
        <w:t>red blood cell (</w:t>
      </w:r>
      <w:r>
        <w:t>RBC</w:t>
      </w:r>
      <w:r w:rsidR="00116E1A">
        <w:t>)</w:t>
      </w:r>
      <w:r>
        <w:t xml:space="preserve"> transfused by at least 4 for 8 consecutive weeks, compared with the 8 weeks pre-treatment.</w:t>
      </w:r>
    </w:p>
    <w:p w:rsidR="00B03F4F" w:rsidRDefault="00B03F4F" w:rsidP="004F2F93">
      <w:pPr>
        <w:pStyle w:val="ListBullet2"/>
      </w:pPr>
      <w:r>
        <w:t xml:space="preserve">An </w:t>
      </w:r>
      <w:r w:rsidR="00116E1A" w:rsidRPr="00116E1A">
        <w:t>Absolute neutrophil count</w:t>
      </w:r>
      <w:r w:rsidR="00116E1A">
        <w:rPr>
          <w:rStyle w:val="tgc"/>
          <w:rFonts w:ascii="Arial" w:hAnsi="Arial" w:cs="Arial"/>
          <w:color w:val="222222"/>
        </w:rPr>
        <w:t xml:space="preserve"> (</w:t>
      </w:r>
      <w:r>
        <w:t>ANC</w:t>
      </w:r>
      <w:r w:rsidR="00116E1A">
        <w:t>)</w:t>
      </w:r>
      <w:r>
        <w:t xml:space="preserve"> increase of 100% (for pre-treatment levels &lt;0.5 </w:t>
      </w:r>
      <w:r w:rsidR="0032542E">
        <w:t>x 10</w:t>
      </w:r>
      <w:r w:rsidR="0032542E" w:rsidRPr="0032542E">
        <w:rPr>
          <w:vertAlign w:val="superscript"/>
        </w:rPr>
        <w:t>9</w:t>
      </w:r>
      <w:r>
        <w:t xml:space="preserve">/L) or an ANC increase &gt;0.5 </w:t>
      </w:r>
      <w:r w:rsidR="0032542E">
        <w:t>x 10</w:t>
      </w:r>
      <w:r w:rsidR="0032542E" w:rsidRPr="0032542E">
        <w:rPr>
          <w:vertAlign w:val="superscript"/>
        </w:rPr>
        <w:t>9</w:t>
      </w:r>
      <w:r>
        <w:t>/L.</w:t>
      </w:r>
    </w:p>
    <w:p w:rsidR="00B03F4F" w:rsidRDefault="00B03F4F" w:rsidP="00B03F4F">
      <w:r>
        <w:t>The primary efficacy outcome was- Investigator assessed haematological response at the Primary Response Assessment (PRA) 12-16 weeks after drug commencement.</w:t>
      </w:r>
    </w:p>
    <w:p w:rsidR="00B03F4F" w:rsidRDefault="00B03F4F" w:rsidP="00B03F4F">
      <w:r>
        <w:t>Other efficacy outcomes included:</w:t>
      </w:r>
    </w:p>
    <w:p w:rsidR="00B03F4F" w:rsidRDefault="00B03F4F" w:rsidP="004F2F93">
      <w:pPr>
        <w:pStyle w:val="ListBullet"/>
      </w:pPr>
      <w:r>
        <w:t>Best lineage response</w:t>
      </w:r>
      <w:r w:rsidR="00116E1A">
        <w:t>:</w:t>
      </w:r>
      <w:r>
        <w:t xml:space="preserve"> </w:t>
      </w:r>
      <w:proofErr w:type="spellStart"/>
      <w:r>
        <w:t>unilineage</w:t>
      </w:r>
      <w:proofErr w:type="spellEnd"/>
      <w:r>
        <w:t xml:space="preserve">, </w:t>
      </w:r>
      <w:proofErr w:type="spellStart"/>
      <w:r>
        <w:t>bilineage</w:t>
      </w:r>
      <w:proofErr w:type="spellEnd"/>
      <w:r>
        <w:t xml:space="preserve"> or </w:t>
      </w:r>
      <w:proofErr w:type="spellStart"/>
      <w:r>
        <w:t>trilinage</w:t>
      </w:r>
      <w:proofErr w:type="spellEnd"/>
      <w:r>
        <w:t xml:space="preserve">. To determine whether the response to </w:t>
      </w:r>
      <w:proofErr w:type="spellStart"/>
      <w:r>
        <w:t>Eltrombopag</w:t>
      </w:r>
      <w:proofErr w:type="spellEnd"/>
      <w:r>
        <w:t xml:space="preserve"> improved over time with continued treatment.</w:t>
      </w:r>
    </w:p>
    <w:p w:rsidR="00B03F4F" w:rsidRDefault="00B03F4F" w:rsidP="004F2F93">
      <w:pPr>
        <w:pStyle w:val="ListBullet"/>
      </w:pPr>
      <w:r>
        <w:t>Response at each subject’s last assessment</w:t>
      </w:r>
      <w:r w:rsidR="00116E1A">
        <w:t>:</w:t>
      </w:r>
      <w:r>
        <w:t xml:space="preserve"> to assess maintenance of effect over time during the extension</w:t>
      </w:r>
    </w:p>
    <w:p w:rsidR="00B03F4F" w:rsidRDefault="00B03F4F" w:rsidP="004F2F93">
      <w:pPr>
        <w:pStyle w:val="ListBullet"/>
      </w:pPr>
      <w:r>
        <w:t>Duration of response, maintenance of response after discontinuation of therapy</w:t>
      </w:r>
      <w:r w:rsidR="00116E1A">
        <w:t>:</w:t>
      </w:r>
      <w:r>
        <w:t xml:space="preserve"> to evaluate durability of response</w:t>
      </w:r>
    </w:p>
    <w:p w:rsidR="00B03F4F" w:rsidRDefault="00B03F4F" w:rsidP="004F2F93">
      <w:pPr>
        <w:pStyle w:val="ListBullet"/>
      </w:pPr>
      <w:r>
        <w:t>Transfusion independence for platelets and RBC. Assessed by a shift from baseline transfusion dependence to independence and the maximum duration of transfusion independence.</w:t>
      </w:r>
    </w:p>
    <w:p w:rsidR="00B03F4F" w:rsidRDefault="00B03F4F" w:rsidP="004F2F93">
      <w:pPr>
        <w:pStyle w:val="ListBullet"/>
      </w:pPr>
      <w:r>
        <w:t>Bone marrow cellularity and haematopoiesis. To assess reconstitution of the marrow</w:t>
      </w:r>
    </w:p>
    <w:p w:rsidR="00B03F4F" w:rsidRDefault="00B03F4F" w:rsidP="00116E1A">
      <w:pPr>
        <w:pStyle w:val="ListBullet"/>
      </w:pPr>
      <w:r>
        <w:t>Health-related quality of life measures at base-line and</w:t>
      </w:r>
      <w:r w:rsidR="00116E1A">
        <w:t xml:space="preserve"> at 12-16 weeks after baseline.</w:t>
      </w:r>
    </w:p>
    <w:p w:rsidR="00B03F4F" w:rsidRDefault="00B03F4F" w:rsidP="00116E1A">
      <w:pPr>
        <w:pStyle w:val="Heading6"/>
      </w:pPr>
      <w:r>
        <w:t>Randomisation and blinding methods</w:t>
      </w:r>
    </w:p>
    <w:p w:rsidR="00B03F4F" w:rsidRDefault="00B03F4F" w:rsidP="00B03F4F">
      <w:r>
        <w:t>Not applicable</w:t>
      </w:r>
    </w:p>
    <w:p w:rsidR="00B03F4F" w:rsidRDefault="00B03F4F" w:rsidP="00116E1A">
      <w:pPr>
        <w:pStyle w:val="Heading6"/>
      </w:pPr>
      <w:bookmarkStart w:id="58" w:name="_Ref295125912"/>
      <w:r>
        <w:t>Analysis populations</w:t>
      </w:r>
      <w:bookmarkEnd w:id="58"/>
    </w:p>
    <w:p w:rsidR="00B03F4F" w:rsidRDefault="00B03F4F" w:rsidP="00B03F4F">
      <w:pPr>
        <w:autoSpaceDE w:val="0"/>
        <w:autoSpaceDN w:val="0"/>
        <w:adjustRightInd w:val="0"/>
        <w:jc w:val="both"/>
        <w:rPr>
          <w:lang w:val="en-US"/>
        </w:rPr>
      </w:pPr>
      <w:r>
        <w:rPr>
          <w:lang w:val="en-US"/>
        </w:rPr>
        <w:t xml:space="preserve">The </w:t>
      </w:r>
      <w:r w:rsidRPr="00116E1A">
        <w:rPr>
          <w:i/>
          <w:lang w:val="en-US"/>
        </w:rPr>
        <w:t>All Enrolled Subjects</w:t>
      </w:r>
      <w:r>
        <w:rPr>
          <w:lang w:val="en-US"/>
        </w:rPr>
        <w:t xml:space="preserve"> population comprises all subjects enrolled into the study. Any data in the database for subjects not treated with IP were included in listings but not in other displays, except for subject accounting summaries.</w:t>
      </w:r>
    </w:p>
    <w:p w:rsidR="00B03F4F" w:rsidRDefault="00B03F4F" w:rsidP="00B03F4F">
      <w:pPr>
        <w:autoSpaceDE w:val="0"/>
        <w:autoSpaceDN w:val="0"/>
        <w:adjustRightInd w:val="0"/>
        <w:jc w:val="both"/>
        <w:rPr>
          <w:lang w:val="en-US"/>
        </w:rPr>
      </w:pPr>
      <w:r>
        <w:rPr>
          <w:lang w:val="en-US"/>
        </w:rPr>
        <w:t xml:space="preserve">The </w:t>
      </w:r>
      <w:r w:rsidRPr="00116E1A">
        <w:rPr>
          <w:i/>
          <w:lang w:val="en-US"/>
        </w:rPr>
        <w:t>Safety population</w:t>
      </w:r>
      <w:r>
        <w:rPr>
          <w:lang w:val="en-US"/>
        </w:rPr>
        <w:t xml:space="preserve"> comprises all subjects who received at least one dose of IP. This population was used in all displays of efficacy and safety data.</w:t>
      </w:r>
    </w:p>
    <w:p w:rsidR="00B03F4F" w:rsidRDefault="00B03F4F" w:rsidP="00116E1A">
      <w:pPr>
        <w:pStyle w:val="Tabletitle"/>
        <w:rPr>
          <w:lang w:val="en-US"/>
        </w:rPr>
      </w:pPr>
      <w:bookmarkStart w:id="59" w:name="_Toc295132804"/>
      <w:r>
        <w:t xml:space="preserve">Table </w:t>
      </w:r>
      <w:r w:rsidR="00B672D0">
        <w:t>1:</w:t>
      </w:r>
      <w:r>
        <w:t xml:space="preserve"> Summary of Study Populations</w:t>
      </w:r>
      <w:bookmarkEnd w:id="59"/>
      <w:r>
        <w:rPr>
          <w:noProof/>
          <w:lang w:eastAsia="en-AU"/>
        </w:rPr>
        <w:drawing>
          <wp:inline distT="0" distB="0" distL="0" distR="0" wp14:anchorId="66BE3C3D" wp14:editId="2B19E99F">
            <wp:extent cx="3229429" cy="1087546"/>
            <wp:effectExtent l="0" t="0" r="0" b="0"/>
            <wp:docPr id="19" name="Picture 19" descr="Table 1: Summary of Stud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28257" cy="1087151"/>
                    </a:xfrm>
                    <a:prstGeom prst="rect">
                      <a:avLst/>
                    </a:prstGeom>
                    <a:noFill/>
                    <a:ln>
                      <a:noFill/>
                    </a:ln>
                  </pic:spPr>
                </pic:pic>
              </a:graphicData>
            </a:graphic>
          </wp:inline>
        </w:drawing>
      </w:r>
    </w:p>
    <w:p w:rsidR="00B03F4F" w:rsidRDefault="00B03F4F" w:rsidP="00116E1A">
      <w:pPr>
        <w:pStyle w:val="Heading6"/>
      </w:pPr>
      <w:bookmarkStart w:id="60" w:name="_Ref295125930"/>
      <w:r>
        <w:t>Sample size</w:t>
      </w:r>
      <w:bookmarkEnd w:id="60"/>
    </w:p>
    <w:p w:rsidR="00B03F4F" w:rsidRDefault="00B03F4F" w:rsidP="00586DB0">
      <w:pPr>
        <w:rPr>
          <w:lang w:val="en-US"/>
        </w:rPr>
      </w:pPr>
      <w:r w:rsidRPr="00116E1A">
        <w:t xml:space="preserve">A total of 44 subjects with SAA were enrolled in the study, 43 subjects received at least one dose of </w:t>
      </w:r>
      <w:proofErr w:type="spellStart"/>
      <w:r w:rsidRPr="00116E1A">
        <w:t>eltrombopag</w:t>
      </w:r>
      <w:proofErr w:type="spellEnd"/>
      <w:r w:rsidRPr="00116E1A">
        <w:t>. The protocol was written originally to enrol and treat 25 subjects. Twenty-six subjects were enrolled under the original protocol; one enrolled subject was not treated. The protocol was amended 20-Apr-2012 to increase enrolment to a maximum of 45 subjects.</w:t>
      </w:r>
      <w:r>
        <w:rPr>
          <w:lang w:val="en-US"/>
        </w:rPr>
        <w:t xml:space="preserve"> Eighteen subjects were enrolled and treated under this amendment. The efficacy and safety populations study consisted of 43 treated subjects.</w:t>
      </w:r>
    </w:p>
    <w:p w:rsidR="002638A5" w:rsidRDefault="00B03F4F" w:rsidP="00586DB0">
      <w:r>
        <w:t>One subject was withdrawn prior to treatment. As this is a rare clinical scenario the number of enrolled and treated patients is appropriate.</w:t>
      </w:r>
    </w:p>
    <w:p w:rsidR="00B03F4F" w:rsidRDefault="00B03F4F" w:rsidP="00116E1A">
      <w:pPr>
        <w:pStyle w:val="Heading6"/>
      </w:pPr>
      <w:bookmarkStart w:id="61" w:name="_Ref295125949"/>
      <w:r>
        <w:lastRenderedPageBreak/>
        <w:t>Statistical methods</w:t>
      </w:r>
      <w:bookmarkEnd w:id="61"/>
    </w:p>
    <w:p w:rsidR="00B03F4F" w:rsidRDefault="00B03F4F" w:rsidP="00116E1A">
      <w:r>
        <w:t>A 2 stage design</w:t>
      </w:r>
      <w:r w:rsidR="00116E1A">
        <w:t>:</w:t>
      </w:r>
      <w:r>
        <w:t xml:space="preserve"> A maximum of 25 subjects were included in the first stage to test the null hypothesis that the response rate with this treatment was no greater than 10%. The trial was powered against an alternative hypothesis that the response rate was at least 30%.</w:t>
      </w:r>
      <w:r w:rsidR="00392749">
        <w:t xml:space="preserve"> </w:t>
      </w:r>
      <w:r>
        <w:t>The null hypothesis of p</w:t>
      </w:r>
      <w:r w:rsidR="00116E1A">
        <w:t xml:space="preserve"> ≤ </w:t>
      </w:r>
      <w:r>
        <w:t>10% was to be rejected if the total number of responders out of 25 subjects was 6 or more. Eleven subjects were determined to have responded, so that the objective of the design was met and the null hypothesis rejected for this part of the trial.</w:t>
      </w:r>
    </w:p>
    <w:p w:rsidR="00116E1A" w:rsidRDefault="00B03F4F" w:rsidP="00116E1A">
      <w:r>
        <w:t>Subsequently, to obtain more precision in the parameter estimates, a further 20 to 25 subjects were planned to have been added to the trial after completion of the original 25 subjects, bringing the total planned sample size to a maximum of 50 subjects. Eventually 44 were enrolled and 43 received study drug</w:t>
      </w:r>
      <w:r w:rsidR="00116E1A">
        <w:t>.</w:t>
      </w:r>
    </w:p>
    <w:p w:rsidR="00B03F4F" w:rsidRDefault="00B03F4F" w:rsidP="00116E1A">
      <w:pPr>
        <w:pStyle w:val="Heading6"/>
        <w:rPr>
          <w:rFonts w:ascii="Arial" w:hAnsi="Arial"/>
        </w:rPr>
      </w:pPr>
      <w:r w:rsidRPr="00116E1A">
        <w:t>Participant</w:t>
      </w:r>
      <w:r>
        <w:t xml:space="preserve"> flow</w:t>
      </w:r>
    </w:p>
    <w:p w:rsidR="00B03F4F" w:rsidRDefault="00B03F4F" w:rsidP="00116E1A">
      <w:r>
        <w:t>See Figure 1</w:t>
      </w:r>
      <w:r w:rsidR="00116E1A">
        <w:t>.</w:t>
      </w:r>
    </w:p>
    <w:p w:rsidR="00B03F4F" w:rsidRDefault="00B03F4F" w:rsidP="00116E1A">
      <w:pPr>
        <w:pStyle w:val="Heading6"/>
      </w:pPr>
      <w:bookmarkStart w:id="62" w:name="_Ref295126126"/>
      <w:r>
        <w:t>Major protocol violations/deviations</w:t>
      </w:r>
      <w:bookmarkEnd w:id="62"/>
    </w:p>
    <w:p w:rsidR="00B03F4F" w:rsidRDefault="00B03F4F" w:rsidP="00B03F4F">
      <w:pPr>
        <w:autoSpaceDE w:val="0"/>
        <w:autoSpaceDN w:val="0"/>
        <w:adjustRightInd w:val="0"/>
        <w:rPr>
          <w:lang w:val="en-US"/>
        </w:rPr>
      </w:pPr>
      <w:r>
        <w:rPr>
          <w:lang w:val="en-US"/>
        </w:rPr>
        <w:t>Forty-three of the 44 subjects enrolled in the study met all inclusion/exclusion criteria. One enrolled subject (</w:t>
      </w:r>
      <w:r w:rsidR="00116E1A">
        <w:t>[information redacted]</w:t>
      </w:r>
      <w:r>
        <w:rPr>
          <w:lang w:val="en-US"/>
        </w:rPr>
        <w:t xml:space="preserve">) was not treated due to a change in diagnosis from aplastic anemia to </w:t>
      </w:r>
      <w:proofErr w:type="spellStart"/>
      <w:r>
        <w:rPr>
          <w:lang w:val="en-US"/>
        </w:rPr>
        <w:t>hypocellular</w:t>
      </w:r>
      <w:proofErr w:type="spellEnd"/>
      <w:r>
        <w:rPr>
          <w:lang w:val="en-US"/>
        </w:rPr>
        <w:t xml:space="preserve"> myelodysplastic syndrome prior to treatment with </w:t>
      </w:r>
      <w:proofErr w:type="spellStart"/>
      <w:r>
        <w:rPr>
          <w:lang w:val="en-US"/>
        </w:rPr>
        <w:t>eltrombopag</w:t>
      </w:r>
      <w:proofErr w:type="spellEnd"/>
      <w:r>
        <w:rPr>
          <w:lang w:val="en-US"/>
        </w:rPr>
        <w:t>.</w:t>
      </w:r>
    </w:p>
    <w:p w:rsidR="00B03F4F" w:rsidRDefault="00B03F4F" w:rsidP="00116E1A">
      <w:pPr>
        <w:pStyle w:val="Heading6"/>
      </w:pPr>
      <w:bookmarkStart w:id="63" w:name="_Ref295126074"/>
      <w:r>
        <w:t>Baseline data</w:t>
      </w:r>
      <w:bookmarkEnd w:id="63"/>
    </w:p>
    <w:p w:rsidR="00116E1A" w:rsidRPr="00116E1A" w:rsidRDefault="00116E1A" w:rsidP="00116E1A">
      <w:r>
        <w:t>The following tables describe the baseline characteristics and disease at scree</w:t>
      </w:r>
      <w:r w:rsidR="00586DB0">
        <w:t>n</w:t>
      </w:r>
      <w:r>
        <w:t>ing of the population.</w:t>
      </w:r>
    </w:p>
    <w:p w:rsidR="00B03F4F" w:rsidRDefault="00B03F4F" w:rsidP="00116E1A">
      <w:pPr>
        <w:pStyle w:val="Tabletitle"/>
        <w:rPr>
          <w:lang w:val="en-US"/>
        </w:rPr>
      </w:pPr>
      <w:bookmarkStart w:id="64" w:name="_Toc295132805"/>
      <w:r>
        <w:t xml:space="preserve">Table </w:t>
      </w:r>
      <w:r w:rsidR="00B672D0">
        <w:t>2</w:t>
      </w:r>
      <w:r w:rsidR="00116E1A">
        <w:t>:</w:t>
      </w:r>
      <w:r>
        <w:t xml:space="preserve"> Summary of demographic characteristics (Safety population)</w:t>
      </w:r>
      <w:bookmarkEnd w:id="64"/>
    </w:p>
    <w:p w:rsidR="00B03F4F" w:rsidRDefault="00B03F4F" w:rsidP="00B03F4F">
      <w:pPr>
        <w:autoSpaceDE w:val="0"/>
        <w:autoSpaceDN w:val="0"/>
        <w:adjustRightInd w:val="0"/>
      </w:pPr>
      <w:r>
        <w:rPr>
          <w:noProof/>
          <w:lang w:eastAsia="en-AU"/>
        </w:rPr>
        <w:drawing>
          <wp:inline distT="0" distB="0" distL="0" distR="0" wp14:anchorId="280E3E4F" wp14:editId="45793424">
            <wp:extent cx="3600450" cy="2400300"/>
            <wp:effectExtent l="0" t="0" r="0" b="0"/>
            <wp:docPr id="18" name="Picture 18" descr="Table 2: Summary of demographic characterist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2638A5" w:rsidRDefault="00B03F4F" w:rsidP="00116E1A">
      <w:pPr>
        <w:pStyle w:val="Tabletitle"/>
      </w:pPr>
      <w:bookmarkStart w:id="65" w:name="_Toc295132806"/>
      <w:r>
        <w:lastRenderedPageBreak/>
        <w:t xml:space="preserve">Table </w:t>
      </w:r>
      <w:r w:rsidR="00B672D0">
        <w:t>3</w:t>
      </w:r>
      <w:r w:rsidR="00116E1A">
        <w:t>:</w:t>
      </w:r>
      <w:r>
        <w:t xml:space="preserve"> Summary of disease characteristics at screening</w:t>
      </w:r>
      <w:bookmarkEnd w:id="65"/>
    </w:p>
    <w:p w:rsidR="00B03F4F" w:rsidRDefault="00B03F4F" w:rsidP="002638A5">
      <w:r>
        <w:rPr>
          <w:noProof/>
          <w:lang w:eastAsia="en-AU"/>
        </w:rPr>
        <w:drawing>
          <wp:inline distT="0" distB="0" distL="0" distR="0" wp14:anchorId="41AB4341" wp14:editId="623FED1A">
            <wp:extent cx="3395719" cy="3705225"/>
            <wp:effectExtent l="0" t="0" r="0" b="0"/>
            <wp:docPr id="17" name="Picture 17" descr="Table 3: Summary of disease characteristics a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4989"/>
                    <a:stretch/>
                  </pic:blipFill>
                  <pic:spPr bwMode="auto">
                    <a:xfrm>
                      <a:off x="0" y="0"/>
                      <a:ext cx="3395719" cy="3705225"/>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116E1A">
      <w:pPr>
        <w:pStyle w:val="Heading5"/>
      </w:pPr>
      <w:r>
        <w:t xml:space="preserve">Results </w:t>
      </w:r>
      <w:r w:rsidRPr="00116E1A">
        <w:t>for</w:t>
      </w:r>
      <w:r>
        <w:t xml:space="preserve"> the primary efficacy outcome</w:t>
      </w:r>
    </w:p>
    <w:p w:rsidR="00B03F4F" w:rsidRDefault="00B03F4F" w:rsidP="00B03F4F">
      <w:r>
        <w:t xml:space="preserve">At the PRA a </w:t>
      </w:r>
      <w:proofErr w:type="spellStart"/>
      <w:r>
        <w:t>haematologic</w:t>
      </w:r>
      <w:proofErr w:type="spellEnd"/>
      <w:r>
        <w:t xml:space="preserve"> response was achieved in 17</w:t>
      </w:r>
      <w:r w:rsidR="00B672D0">
        <w:t xml:space="preserve"> </w:t>
      </w:r>
      <w:r>
        <w:t xml:space="preserve">(40%) in at least one lineage (95% CI: 25%, 56%) </w:t>
      </w:r>
      <w:proofErr w:type="gramStart"/>
      <w:r>
        <w:t>(Table</w:t>
      </w:r>
      <w:r w:rsidR="00392749">
        <w:t xml:space="preserve"> </w:t>
      </w:r>
      <w:r>
        <w:t>4).</w:t>
      </w:r>
      <w:proofErr w:type="gramEnd"/>
      <w:r>
        <w:t xml:space="preserve"> 65% met the platelet response criteria whilst 47% and 18% respectively met ANC and </w:t>
      </w:r>
      <w:proofErr w:type="spellStart"/>
      <w:r>
        <w:t>Hb</w:t>
      </w:r>
      <w:proofErr w:type="spellEnd"/>
      <w:r>
        <w:t xml:space="preserve"> criteria. 13 of the responses were </w:t>
      </w:r>
      <w:proofErr w:type="spellStart"/>
      <w:r>
        <w:t>unilineage</w:t>
      </w:r>
      <w:proofErr w:type="spellEnd"/>
      <w:r>
        <w:t xml:space="preserve"> and 4 patients had </w:t>
      </w:r>
      <w:proofErr w:type="spellStart"/>
      <w:r>
        <w:t>multilineage</w:t>
      </w:r>
      <w:proofErr w:type="spellEnd"/>
      <w:r>
        <w:t xml:space="preserve"> responses (3- </w:t>
      </w:r>
      <w:proofErr w:type="spellStart"/>
      <w:r w:rsidR="00360B57">
        <w:t>bilineage</w:t>
      </w:r>
      <w:proofErr w:type="spellEnd"/>
      <w:r>
        <w:t xml:space="preserve">, 1 </w:t>
      </w:r>
      <w:proofErr w:type="spellStart"/>
      <w:r>
        <w:t>trilineage</w:t>
      </w:r>
      <w:proofErr w:type="spellEnd"/>
      <w:r>
        <w:t>)</w:t>
      </w:r>
      <w:r w:rsidR="00B672D0">
        <w:t xml:space="preserve"> (Table 5)</w:t>
      </w:r>
      <w:r>
        <w:t>.</w:t>
      </w:r>
    </w:p>
    <w:p w:rsidR="002638A5" w:rsidRDefault="00B03F4F" w:rsidP="00B03F4F">
      <w:r>
        <w:t xml:space="preserve">82% of responders continue </w:t>
      </w:r>
      <w:proofErr w:type="spellStart"/>
      <w:r>
        <w:t>eltrombopag</w:t>
      </w:r>
      <w:proofErr w:type="spellEnd"/>
      <w:r>
        <w:t xml:space="preserve"> treatment in the extension phase of the study. At the clinical cut off 53% of responders had achieved </w:t>
      </w:r>
      <w:proofErr w:type="spellStart"/>
      <w:r>
        <w:t>multilineage</w:t>
      </w:r>
      <w:proofErr w:type="spellEnd"/>
      <w:r>
        <w:t xml:space="preserve"> responses with duration ranging from 3-54.8 months.</w:t>
      </w:r>
    </w:p>
    <w:p w:rsidR="00B03F4F" w:rsidRDefault="00B03F4F" w:rsidP="00B672D0">
      <w:pPr>
        <w:pStyle w:val="Tabletitle"/>
      </w:pPr>
      <w:bookmarkStart w:id="66" w:name="_Toc295132807"/>
      <w:r>
        <w:t xml:space="preserve">Table </w:t>
      </w:r>
      <w:r w:rsidR="00B672D0">
        <w:t>4:</w:t>
      </w:r>
      <w:r>
        <w:t xml:space="preserve"> Primary endpoint response</w:t>
      </w:r>
      <w:bookmarkEnd w:id="66"/>
    </w:p>
    <w:p w:rsidR="00B03F4F" w:rsidRDefault="00B03F4F" w:rsidP="00B03F4F">
      <w:r>
        <w:rPr>
          <w:noProof/>
          <w:lang w:eastAsia="en-AU"/>
        </w:rPr>
        <w:drawing>
          <wp:inline distT="0" distB="0" distL="0" distR="0" wp14:anchorId="10A456EC" wp14:editId="0BA7671E">
            <wp:extent cx="3238500" cy="813426"/>
            <wp:effectExtent l="0" t="0" r="0" b="6350"/>
            <wp:docPr id="16" name="Picture 16" descr="Table 4: Primary endpoin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3703" cy="817245"/>
                    </a:xfrm>
                    <a:prstGeom prst="rect">
                      <a:avLst/>
                    </a:prstGeom>
                    <a:noFill/>
                    <a:ln>
                      <a:noFill/>
                    </a:ln>
                  </pic:spPr>
                </pic:pic>
              </a:graphicData>
            </a:graphic>
          </wp:inline>
        </w:drawing>
      </w:r>
    </w:p>
    <w:p w:rsidR="002638A5" w:rsidRDefault="00B03F4F" w:rsidP="00B672D0">
      <w:pPr>
        <w:pStyle w:val="Tabletitle"/>
      </w:pPr>
      <w:bookmarkStart w:id="67" w:name="_Toc295132808"/>
      <w:r w:rsidRPr="00B672D0">
        <w:lastRenderedPageBreak/>
        <w:t>Table</w:t>
      </w:r>
      <w:r w:rsidR="00B672D0">
        <w:t xml:space="preserve"> 5</w:t>
      </w:r>
      <w:r w:rsidR="00B672D0" w:rsidRPr="00B672D0">
        <w:t>:</w:t>
      </w:r>
      <w:r w:rsidRPr="00B672D0">
        <w:t xml:space="preserve"> Respon</w:t>
      </w:r>
      <w:r w:rsidR="00FE1955">
        <w:t>s</w:t>
      </w:r>
      <w:r w:rsidRPr="00B672D0">
        <w:t xml:space="preserve">es to </w:t>
      </w:r>
      <w:proofErr w:type="spellStart"/>
      <w:r w:rsidRPr="00B672D0">
        <w:t>Eltrombopag</w:t>
      </w:r>
      <w:proofErr w:type="spellEnd"/>
      <w:r w:rsidRPr="00B672D0">
        <w:t>. At PRA, Best Observed and at Last Assessment</w:t>
      </w:r>
      <w:bookmarkEnd w:id="67"/>
    </w:p>
    <w:p w:rsidR="00B03F4F" w:rsidRDefault="00B03F4F" w:rsidP="002638A5">
      <w:r>
        <w:rPr>
          <w:noProof/>
          <w:lang w:eastAsia="en-AU"/>
        </w:rPr>
        <w:drawing>
          <wp:inline distT="0" distB="0" distL="0" distR="0" wp14:anchorId="71F5E037" wp14:editId="00A782C3">
            <wp:extent cx="4601029" cy="2134498"/>
            <wp:effectExtent l="0" t="0" r="0" b="0"/>
            <wp:docPr id="15" name="Picture 15" descr="Table 5: Respones to Eltrombopag. At PRA, Best Observed and at Las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l="2513" t="1907"/>
                    <a:stretch/>
                  </pic:blipFill>
                  <pic:spPr bwMode="auto">
                    <a:xfrm>
                      <a:off x="0" y="0"/>
                      <a:ext cx="4598153" cy="2133164"/>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4F2F93">
      <w:pPr>
        <w:pStyle w:val="Heading5"/>
      </w:pPr>
      <w:r>
        <w:t>Results for other efficacy outcomes</w:t>
      </w:r>
    </w:p>
    <w:p w:rsidR="00B03F4F" w:rsidRDefault="00B03F4F" w:rsidP="00B03F4F">
      <w:r w:rsidRPr="00B672D0">
        <w:rPr>
          <w:i/>
        </w:rPr>
        <w:t>Best lineage response</w:t>
      </w:r>
      <w:r w:rsidR="00B672D0" w:rsidRPr="00B672D0">
        <w:t>:</w:t>
      </w:r>
      <w:r w:rsidRPr="00B672D0">
        <w:t xml:space="preserve"> Detailed</w:t>
      </w:r>
      <w:r>
        <w:t xml:space="preserve"> in Table 5. Lineage response improved with ongoing therapy.</w:t>
      </w:r>
    </w:p>
    <w:p w:rsidR="002638A5" w:rsidRDefault="00B03F4F" w:rsidP="00B03F4F">
      <w:r w:rsidRPr="00B672D0">
        <w:rPr>
          <w:i/>
        </w:rPr>
        <w:t>Response at each subjects last assessment</w:t>
      </w:r>
      <w:r w:rsidR="00B672D0" w:rsidRPr="00B672D0">
        <w:rPr>
          <w:i/>
        </w:rPr>
        <w:t>:</w:t>
      </w:r>
      <w:r>
        <w:t xml:space="preserve"> See Table 5. The majority of responders maintained responses at data cut-off. Three patients who relapsed were </w:t>
      </w:r>
      <w:proofErr w:type="spellStart"/>
      <w:r>
        <w:t>unilineage</w:t>
      </w:r>
      <w:proofErr w:type="spellEnd"/>
      <w:r>
        <w:t xml:space="preserve"> responders and relapses occurred early (&lt;6 months of therapy).</w:t>
      </w:r>
    </w:p>
    <w:p w:rsidR="00B03F4F" w:rsidRDefault="00B03F4F" w:rsidP="00B03F4F">
      <w:r w:rsidRPr="00B672D0">
        <w:rPr>
          <w:i/>
        </w:rPr>
        <w:t>Duration of response and maintenance of response after discontinuation of therapy</w:t>
      </w:r>
      <w:r w:rsidR="00B672D0" w:rsidRPr="00B672D0">
        <w:rPr>
          <w:i/>
        </w:rPr>
        <w:t>:</w:t>
      </w:r>
      <w:r w:rsidRPr="00B672D0">
        <w:rPr>
          <w:i/>
        </w:rPr>
        <w:t xml:space="preserve"> </w:t>
      </w:r>
      <w:r>
        <w:t>Of those who responded the response was maintained (at least 2 response assessments) for a median duration of 12 month’s (3-54.8).</w:t>
      </w:r>
      <w:r w:rsidR="00392749">
        <w:t xml:space="preserve"> </w:t>
      </w:r>
      <w:r>
        <w:t>8 responders have been followed for at least one year without relapse; including 6 who have been followed for 2 years without relapse. No new therapy for SAA has been given.</w:t>
      </w:r>
    </w:p>
    <w:p w:rsidR="002638A5" w:rsidRDefault="00B03F4F" w:rsidP="00B03F4F">
      <w:r w:rsidRPr="00B672D0">
        <w:rPr>
          <w:i/>
        </w:rPr>
        <w:t>Transfusion independence for platelets and RBC</w:t>
      </w:r>
      <w:r w:rsidR="00B672D0" w:rsidRPr="00B672D0">
        <w:rPr>
          <w:i/>
        </w:rPr>
        <w:t>:</w:t>
      </w:r>
      <w:r>
        <w:t xml:space="preserve"> See Table 6. Twenty-three of 39 subjects who were platelet transfusion dependent at baseline-line became platelet independent whilst 10 of 37 became RBS transfusion independent.</w:t>
      </w:r>
    </w:p>
    <w:p w:rsidR="00B03F4F" w:rsidRDefault="00B03F4F" w:rsidP="00B672D0">
      <w:pPr>
        <w:pStyle w:val="Tabletitle"/>
      </w:pPr>
      <w:bookmarkStart w:id="68" w:name="_Toc295132809"/>
      <w:r w:rsidRPr="00B672D0">
        <w:t>Table</w:t>
      </w:r>
      <w:r w:rsidR="00B672D0">
        <w:t xml:space="preserve"> 6</w:t>
      </w:r>
      <w:r w:rsidR="00B672D0" w:rsidRPr="00B672D0">
        <w:t>:</w:t>
      </w:r>
      <w:r>
        <w:rPr>
          <w:rFonts w:asciiTheme="majorHAnsi" w:hAnsiTheme="majorHAnsi"/>
        </w:rPr>
        <w:t xml:space="preserve"> </w:t>
      </w:r>
      <w:r>
        <w:t>Summary of transfusion free periods for responders compared to non-responders</w:t>
      </w:r>
      <w:bookmarkEnd w:id="68"/>
    </w:p>
    <w:p w:rsidR="00B03F4F" w:rsidRDefault="00B03F4F" w:rsidP="002638A5">
      <w:pPr>
        <w:rPr>
          <w:b/>
        </w:rPr>
      </w:pPr>
      <w:r>
        <w:rPr>
          <w:noProof/>
          <w:lang w:eastAsia="en-AU"/>
        </w:rPr>
        <w:drawing>
          <wp:inline distT="0" distB="0" distL="0" distR="0" wp14:anchorId="18F0D5B3" wp14:editId="6A42FF67">
            <wp:extent cx="5229225" cy="1047750"/>
            <wp:effectExtent l="0" t="0" r="9525" b="0"/>
            <wp:docPr id="14" name="Picture 14" descr="Table 6: Summary of transfusion free periods for responders compared to non-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229225" cy="1047750"/>
                    </a:xfrm>
                    <a:prstGeom prst="rect">
                      <a:avLst/>
                    </a:prstGeom>
                    <a:noFill/>
                    <a:ln>
                      <a:noFill/>
                    </a:ln>
                  </pic:spPr>
                </pic:pic>
              </a:graphicData>
            </a:graphic>
          </wp:inline>
        </w:drawing>
      </w:r>
    </w:p>
    <w:p w:rsidR="00B03F4F" w:rsidRDefault="00B03F4F" w:rsidP="00B03F4F">
      <w:r w:rsidRPr="00B672D0">
        <w:rPr>
          <w:i/>
        </w:rPr>
        <w:t>Bone marrow cellularity and haematopoiesis</w:t>
      </w:r>
      <w:r w:rsidR="00B672D0">
        <w:rPr>
          <w:i/>
        </w:rPr>
        <w:t xml:space="preserve">: </w:t>
      </w:r>
      <w:r>
        <w:t xml:space="preserve">88% of responders had </w:t>
      </w:r>
      <w:proofErr w:type="spellStart"/>
      <w:r>
        <w:t>hyp</w:t>
      </w:r>
      <w:r w:rsidR="00586DB0">
        <w:t>o</w:t>
      </w:r>
      <w:r>
        <w:t>cellular</w:t>
      </w:r>
      <w:proofErr w:type="spellEnd"/>
      <w:r>
        <w:t xml:space="preserve"> bone marrows at baseline. Of these 6 became </w:t>
      </w:r>
      <w:r w:rsidR="00B672D0">
        <w:t>‘</w:t>
      </w:r>
      <w:proofErr w:type="spellStart"/>
      <w:r>
        <w:t>normocelluar</w:t>
      </w:r>
      <w:proofErr w:type="spellEnd"/>
      <w:r w:rsidR="00B672D0">
        <w:t>’</w:t>
      </w:r>
      <w:r>
        <w:t xml:space="preserve"> during the extension phase at ~2 tears of therapy. A further 6 were reported to have had improvements in cellularity. The remaining 5 had no change in cellularity. Upon tapering, 2 </w:t>
      </w:r>
      <w:proofErr w:type="spellStart"/>
      <w:r>
        <w:t>normocelluar</w:t>
      </w:r>
      <w:proofErr w:type="spellEnd"/>
      <w:r>
        <w:t xml:space="preserve"> patients became </w:t>
      </w:r>
      <w:proofErr w:type="spellStart"/>
      <w:r>
        <w:t>hypocellular</w:t>
      </w:r>
      <w:proofErr w:type="spellEnd"/>
      <w:r>
        <w:t xml:space="preserve"> although they maintained their </w:t>
      </w:r>
      <w:proofErr w:type="spellStart"/>
      <w:r>
        <w:t>trilineage</w:t>
      </w:r>
      <w:proofErr w:type="spellEnd"/>
      <w:r>
        <w:t xml:space="preserve"> </w:t>
      </w:r>
      <w:proofErr w:type="spellStart"/>
      <w:r>
        <w:t>haematologic</w:t>
      </w:r>
      <w:proofErr w:type="spellEnd"/>
      <w:r>
        <w:t xml:space="preserve"> response criteria. A total of 7 subjects had </w:t>
      </w:r>
      <w:proofErr w:type="spellStart"/>
      <w:r>
        <w:t>trilineage</w:t>
      </w:r>
      <w:proofErr w:type="spellEnd"/>
      <w:r>
        <w:t xml:space="preserve"> haematopoies</w:t>
      </w:r>
      <w:r w:rsidR="00586DB0">
        <w:t>is</w:t>
      </w:r>
      <w:r>
        <w:t xml:space="preserve"> documented in the bone marrow after a median of 635 days of therapy.</w:t>
      </w:r>
    </w:p>
    <w:p w:rsidR="00B03F4F" w:rsidRDefault="00B03F4F" w:rsidP="00B03F4F">
      <w:r w:rsidRPr="00B672D0">
        <w:rPr>
          <w:i/>
        </w:rPr>
        <w:t>Health-related quality of life measures at base-line (HRQOL) and at 12-16 weeks after baseline</w:t>
      </w:r>
      <w:r w:rsidR="00B672D0">
        <w:rPr>
          <w:i/>
        </w:rPr>
        <w:t xml:space="preserve">: </w:t>
      </w:r>
      <w:r>
        <w:t xml:space="preserve">Slight to modest impairment of health outcome measures were seen in all patients at baseline. No change in was seen at the PRA time point. Some differences were reported for responders compared to non-responders and it is relevant to note that the ongoing improvements in </w:t>
      </w:r>
      <w:proofErr w:type="spellStart"/>
      <w:r>
        <w:t>haematologic</w:t>
      </w:r>
      <w:proofErr w:type="spellEnd"/>
      <w:r>
        <w:t xml:space="preserve"> response criteria in the responders. Note should also be made of the increases in days of independence of blood product transfusion.</w:t>
      </w:r>
    </w:p>
    <w:p w:rsidR="002638A5" w:rsidRDefault="00B03F4F" w:rsidP="00B672D0">
      <w:pPr>
        <w:pStyle w:val="Heading4"/>
      </w:pPr>
      <w:bookmarkStart w:id="69" w:name="_Toc295132734"/>
      <w:bookmarkStart w:id="70" w:name="_Toc290846276"/>
      <w:r>
        <w:lastRenderedPageBreak/>
        <w:t>Study ELT116826</w:t>
      </w:r>
      <w:bookmarkEnd w:id="69"/>
      <w:bookmarkEnd w:id="70"/>
    </w:p>
    <w:p w:rsidR="00B03F4F" w:rsidRDefault="00B03F4F" w:rsidP="00B03F4F">
      <w:pPr>
        <w:rPr>
          <w:lang w:val="en-US"/>
        </w:rPr>
      </w:pPr>
      <w:proofErr w:type="gramStart"/>
      <w:r>
        <w:rPr>
          <w:lang w:val="en-US"/>
        </w:rPr>
        <w:t xml:space="preserve">Extended dosing with </w:t>
      </w:r>
      <w:proofErr w:type="spellStart"/>
      <w:r>
        <w:rPr>
          <w:lang w:val="en-US"/>
        </w:rPr>
        <w:t>Eltrombopag</w:t>
      </w:r>
      <w:proofErr w:type="spellEnd"/>
      <w:r>
        <w:rPr>
          <w:lang w:val="en-US"/>
        </w:rPr>
        <w:t xml:space="preserve"> in Subjects with refractory severe aplastic anemia (SAA).</w:t>
      </w:r>
      <w:proofErr w:type="gramEnd"/>
    </w:p>
    <w:p w:rsidR="00B03F4F" w:rsidRDefault="00B03F4F" w:rsidP="00B672D0">
      <w:pPr>
        <w:pStyle w:val="Heading5"/>
      </w:pPr>
      <w:r w:rsidRPr="00B672D0">
        <w:t>Study</w:t>
      </w:r>
      <w:r>
        <w:t xml:space="preserve"> design, objectives, locations and dates</w:t>
      </w:r>
    </w:p>
    <w:p w:rsidR="00B03F4F" w:rsidRDefault="00B03F4F" w:rsidP="00B03F4F">
      <w:pPr>
        <w:autoSpaceDE w:val="0"/>
        <w:autoSpaceDN w:val="0"/>
        <w:adjustRightInd w:val="0"/>
      </w:pPr>
      <w:proofErr w:type="gramStart"/>
      <w:r>
        <w:t xml:space="preserve">A follow-up and </w:t>
      </w:r>
      <w:r w:rsidR="00B672D0">
        <w:t>‘</w:t>
      </w:r>
      <w:r>
        <w:t>extension</w:t>
      </w:r>
      <w:r w:rsidR="00B672D0">
        <w:t>’</w:t>
      </w:r>
      <w:r>
        <w:t xml:space="preserve"> of the pivotal study evaluating an alternative dosing schedule.</w:t>
      </w:r>
      <w:proofErr w:type="gramEnd"/>
    </w:p>
    <w:p w:rsidR="002638A5" w:rsidRDefault="00B03F4F" w:rsidP="00B03F4F">
      <w:pPr>
        <w:autoSpaceDE w:val="0"/>
        <w:autoSpaceDN w:val="0"/>
        <w:adjustRightInd w:val="0"/>
      </w:pPr>
      <w:r>
        <w:t>Study design</w:t>
      </w:r>
      <w:r w:rsidR="008B6069">
        <w:t xml:space="preserve"> (Figure 2)</w:t>
      </w:r>
      <w:r w:rsidR="00B672D0">
        <w:t>:</w:t>
      </w:r>
      <w:r>
        <w:t xml:space="preserve"> open-label, non-randomized, single-arm, Phase II, single centre study conducted by the NIH to evaluate the safety and efficacy of </w:t>
      </w:r>
      <w:proofErr w:type="spellStart"/>
      <w:r>
        <w:t>eltrombopag</w:t>
      </w:r>
      <w:proofErr w:type="spellEnd"/>
      <w:r>
        <w:t xml:space="preserve"> in subjects aged 12 and above with refractory SAA.</w:t>
      </w:r>
    </w:p>
    <w:p w:rsidR="002638A5" w:rsidRDefault="00B03F4F" w:rsidP="00B672D0">
      <w:pPr>
        <w:pStyle w:val="FigureTitle"/>
      </w:pPr>
      <w:bookmarkStart w:id="71" w:name="_Toc295132830"/>
      <w:r>
        <w:t xml:space="preserve">Figure </w:t>
      </w:r>
      <w:r w:rsidR="00B672D0">
        <w:t>2:</w:t>
      </w:r>
      <w:r>
        <w:t xml:space="preserve"> ELT116826 Study design</w:t>
      </w:r>
      <w:bookmarkEnd w:id="71"/>
    </w:p>
    <w:p w:rsidR="00B03F4F" w:rsidRDefault="00B03F4F" w:rsidP="002638A5">
      <w:r>
        <w:rPr>
          <w:noProof/>
          <w:lang w:eastAsia="en-AU"/>
        </w:rPr>
        <w:drawing>
          <wp:inline distT="0" distB="0" distL="0" distR="0" wp14:anchorId="28E67476" wp14:editId="2C0E8E10">
            <wp:extent cx="4789714" cy="2278743"/>
            <wp:effectExtent l="0" t="0" r="0" b="7620"/>
            <wp:docPr id="13" name="Picture 13" descr="Figure 2: ELT116826 Study design&#10;1. 60 subjects with SAA&#10;2. Commence Eltrombopag at 150 mg/day&#10;3. Follow-up at 12 and 24 weeks&#10;4. Continue eltrombopag at current dose if response sustained at 24 weeks&#10;5. Responders tapered when counts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0956" b="3507"/>
                    <a:stretch/>
                  </pic:blipFill>
                  <pic:spPr bwMode="auto">
                    <a:xfrm>
                      <a:off x="0" y="0"/>
                      <a:ext cx="4790579" cy="2279155"/>
                    </a:xfrm>
                    <a:prstGeom prst="rect">
                      <a:avLst/>
                    </a:prstGeom>
                    <a:noFill/>
                    <a:ln>
                      <a:noFill/>
                    </a:ln>
                    <a:extLst>
                      <a:ext uri="{53640926-AAD7-44D8-BBD7-CCE9431645EC}">
                        <a14:shadowObscured xmlns:a14="http://schemas.microsoft.com/office/drawing/2010/main"/>
                      </a:ext>
                    </a:extLst>
                  </pic:spPr>
                </pic:pic>
              </a:graphicData>
            </a:graphic>
          </wp:inline>
        </w:drawing>
      </w:r>
    </w:p>
    <w:p w:rsidR="00B753D7" w:rsidRPr="00B753D7" w:rsidRDefault="00B753D7" w:rsidP="002638A5">
      <w:pPr>
        <w:pStyle w:val="FigureDescription"/>
      </w:pPr>
      <w:r w:rsidRPr="00B753D7">
        <w:t>1. 60 subjects with SAA; 2.</w:t>
      </w:r>
      <w:r w:rsidRPr="00B753D7">
        <w:tab/>
        <w:t xml:space="preserve">Commence </w:t>
      </w:r>
      <w:proofErr w:type="spellStart"/>
      <w:r w:rsidRPr="00B753D7">
        <w:t>Eltrombopag</w:t>
      </w:r>
      <w:proofErr w:type="spellEnd"/>
      <w:r w:rsidRPr="00B753D7">
        <w:t xml:space="preserve"> at 150 mg/day; 3. </w:t>
      </w:r>
      <w:proofErr w:type="gramStart"/>
      <w:r w:rsidRPr="00B753D7">
        <w:t>Follow-up at 12 and 24 weeks; 4.</w:t>
      </w:r>
      <w:proofErr w:type="gramEnd"/>
      <w:r w:rsidRPr="00B753D7">
        <w:t xml:space="preserve"> Continue </w:t>
      </w:r>
      <w:proofErr w:type="spellStart"/>
      <w:r w:rsidRPr="00B753D7">
        <w:t>eltrombopag</w:t>
      </w:r>
      <w:proofErr w:type="spellEnd"/>
      <w:r w:rsidRPr="00B753D7">
        <w:t xml:space="preserve"> at current dose if response sustained at 24 weeks; 5. Responders tapered when counts stable</w:t>
      </w:r>
    </w:p>
    <w:p w:rsidR="00B03F4F" w:rsidRDefault="00B03F4F" w:rsidP="00B03F4F">
      <w:pPr>
        <w:autoSpaceDE w:val="0"/>
        <w:autoSpaceDN w:val="0"/>
        <w:adjustRightInd w:val="0"/>
      </w:pPr>
      <w:r w:rsidRPr="00B672D0">
        <w:rPr>
          <w:i/>
        </w:rPr>
        <w:t>Objective</w:t>
      </w:r>
      <w:r w:rsidR="00B672D0">
        <w:t>:</w:t>
      </w:r>
      <w:r>
        <w:t xml:space="preserve"> To evaluate a starting daily dose of </w:t>
      </w:r>
      <w:proofErr w:type="spellStart"/>
      <w:r>
        <w:t>Eltrombopag</w:t>
      </w:r>
      <w:proofErr w:type="spellEnd"/>
      <w:r>
        <w:t xml:space="preserve"> of 150 mg, with dose adjustment for East Asians and children. The primary endpoint was haematological response (platelet count, erythroid or neutrophil) at 6 months. Subject-reported outcomes were collected at baseline, 3 months (12 weeks) and 6 months.</w:t>
      </w:r>
    </w:p>
    <w:p w:rsidR="00B03F4F" w:rsidRDefault="00B03F4F" w:rsidP="00B03F4F">
      <w:pPr>
        <w:autoSpaceDE w:val="0"/>
        <w:autoSpaceDN w:val="0"/>
        <w:adjustRightInd w:val="0"/>
      </w:pPr>
      <w:r w:rsidRPr="00B672D0">
        <w:rPr>
          <w:i/>
        </w:rPr>
        <w:t>Location</w:t>
      </w:r>
      <w:r>
        <w:t xml:space="preserve">: </w:t>
      </w:r>
      <w:r>
        <w:rPr>
          <w:lang w:val="en-US"/>
        </w:rPr>
        <w:t>This study was conducted at a single center in the United States.</w:t>
      </w:r>
    </w:p>
    <w:p w:rsidR="00B03F4F" w:rsidRDefault="00B03F4F" w:rsidP="00B03F4F">
      <w:pPr>
        <w:autoSpaceDE w:val="0"/>
        <w:autoSpaceDN w:val="0"/>
        <w:adjustRightInd w:val="0"/>
      </w:pPr>
      <w:r w:rsidRPr="00B672D0">
        <w:rPr>
          <w:i/>
        </w:rPr>
        <w:t>Dates and enrolment</w:t>
      </w:r>
      <w:r w:rsidR="00B672D0" w:rsidRPr="00B672D0">
        <w:rPr>
          <w:i/>
        </w:rPr>
        <w:t>:</w:t>
      </w:r>
      <w:r>
        <w:t xml:space="preserve"> The planned enrolment is 60 subjects. 15 subjects have been enrolled as of the clinical cut-off date (31 Mar 2014). The starting daily dose of </w:t>
      </w:r>
      <w:proofErr w:type="spellStart"/>
      <w:r>
        <w:t>eltrombopag</w:t>
      </w:r>
      <w:proofErr w:type="spellEnd"/>
      <w:r>
        <w:t xml:space="preserve"> was 150 mg, with dose adjustment for East Asians (75</w:t>
      </w:r>
      <w:r w:rsidR="00B672D0">
        <w:t xml:space="preserve"> </w:t>
      </w:r>
      <w:r>
        <w:t>mg) and children. The primary endpoint was haematological response (platelet count, erythroid or neutrophil) at 6 months. Subject-reported outcomes were collected at baseline, 3 months (12 weeks) and 6 months.</w:t>
      </w:r>
    </w:p>
    <w:p w:rsidR="00B03F4F" w:rsidRDefault="00B03F4F" w:rsidP="00116E1A">
      <w:pPr>
        <w:pStyle w:val="Heading6"/>
      </w:pPr>
      <w:r>
        <w:t>Inclusion and exclusion criteria</w:t>
      </w:r>
    </w:p>
    <w:p w:rsidR="002638A5" w:rsidRDefault="00B03F4F" w:rsidP="00B03F4F">
      <w:r>
        <w:t xml:space="preserve">Inclusion </w:t>
      </w:r>
      <w:r w:rsidR="00A651F3">
        <w:t>c</w:t>
      </w:r>
      <w:r>
        <w:t>riteria</w:t>
      </w:r>
      <w:r w:rsidR="002638A5">
        <w:t>:</w:t>
      </w:r>
    </w:p>
    <w:p w:rsidR="00B03F4F" w:rsidRPr="004F2F93" w:rsidRDefault="00B03F4F" w:rsidP="000663A9">
      <w:pPr>
        <w:pStyle w:val="Numberbullet0"/>
        <w:numPr>
          <w:ilvl w:val="0"/>
          <w:numId w:val="11"/>
        </w:numPr>
        <w:rPr>
          <w:lang w:val="en-US"/>
        </w:rPr>
      </w:pPr>
      <w:r w:rsidRPr="004F2F93">
        <w:rPr>
          <w:lang w:val="en-US"/>
        </w:rPr>
        <w:t xml:space="preserve">Diagnosis of refractory SAA following at least one treatment course of </w:t>
      </w:r>
      <w:proofErr w:type="spellStart"/>
      <w:r w:rsidRPr="004F2F93">
        <w:rPr>
          <w:lang w:val="en-US"/>
        </w:rPr>
        <w:t>antithymocyte</w:t>
      </w:r>
      <w:proofErr w:type="spellEnd"/>
      <w:r w:rsidRPr="004F2F93">
        <w:rPr>
          <w:lang w:val="en-US"/>
        </w:rPr>
        <w:t xml:space="preserve"> globulin, or </w:t>
      </w:r>
      <w:proofErr w:type="spellStart"/>
      <w:r w:rsidRPr="004F2F93">
        <w:rPr>
          <w:lang w:val="en-US"/>
        </w:rPr>
        <w:t>alemtuzumab</w:t>
      </w:r>
      <w:proofErr w:type="spellEnd"/>
      <w:r w:rsidRPr="004F2F93">
        <w:rPr>
          <w:lang w:val="en-US"/>
        </w:rPr>
        <w:t xml:space="preserve"> or cyclophosphamide.</w:t>
      </w:r>
    </w:p>
    <w:p w:rsidR="00B03F4F" w:rsidRPr="004F2F93" w:rsidRDefault="00B03F4F" w:rsidP="000663A9">
      <w:pPr>
        <w:pStyle w:val="Numberbullet0"/>
        <w:numPr>
          <w:ilvl w:val="0"/>
          <w:numId w:val="11"/>
        </w:numPr>
        <w:rPr>
          <w:lang w:val="en-US"/>
        </w:rPr>
      </w:pPr>
      <w:r w:rsidRPr="004F2F93">
        <w:rPr>
          <w:lang w:val="en-US"/>
        </w:rPr>
        <w:t>At least one of the following:</w:t>
      </w:r>
    </w:p>
    <w:p w:rsidR="00B03F4F" w:rsidRDefault="00B03F4F" w:rsidP="004F2F93">
      <w:pPr>
        <w:pStyle w:val="Numberbullet2"/>
        <w:rPr>
          <w:lang w:val="en-US"/>
        </w:rPr>
      </w:pPr>
      <w:r>
        <w:rPr>
          <w:lang w:val="en-US"/>
        </w:rPr>
        <w:t xml:space="preserve">platelet count </w:t>
      </w:r>
      <w:r w:rsidR="00B672D0">
        <w:rPr>
          <w:lang w:val="en-US"/>
        </w:rPr>
        <w:t xml:space="preserve">≤ </w:t>
      </w:r>
      <w:r>
        <w:rPr>
          <w:lang w:val="en-US"/>
        </w:rPr>
        <w:t xml:space="preserve">30 </w:t>
      </w:r>
      <w:r w:rsidR="0032542E">
        <w:t>x 10</w:t>
      </w:r>
      <w:r w:rsidR="0032542E" w:rsidRPr="0032542E">
        <w:rPr>
          <w:vertAlign w:val="superscript"/>
        </w:rPr>
        <w:t>9</w:t>
      </w:r>
      <w:r>
        <w:rPr>
          <w:lang w:val="en-US"/>
        </w:rPr>
        <w:t>/L or platelet-transfusion-dependence (requiring at least 4 platelet transfusions in the 8 weeks prior to study entry);</w:t>
      </w:r>
    </w:p>
    <w:p w:rsidR="00B03F4F" w:rsidRDefault="00B03F4F" w:rsidP="004F2F93">
      <w:pPr>
        <w:pStyle w:val="Numberbullet2"/>
        <w:rPr>
          <w:lang w:val="en-US"/>
        </w:rPr>
      </w:pPr>
      <w:r>
        <w:rPr>
          <w:lang w:val="en-US"/>
        </w:rPr>
        <w:t xml:space="preserve">neutrophil count less than 0.5 </w:t>
      </w:r>
      <w:r w:rsidR="0032542E">
        <w:t>x 10</w:t>
      </w:r>
      <w:r w:rsidR="0032542E" w:rsidRPr="0032542E">
        <w:rPr>
          <w:vertAlign w:val="superscript"/>
        </w:rPr>
        <w:t>9</w:t>
      </w:r>
      <w:r>
        <w:rPr>
          <w:lang w:val="en-US"/>
        </w:rPr>
        <w:t>/L;</w:t>
      </w:r>
    </w:p>
    <w:p w:rsidR="00B03F4F" w:rsidRDefault="00B03F4F" w:rsidP="004F2F93">
      <w:pPr>
        <w:pStyle w:val="Numberbullet2"/>
        <w:rPr>
          <w:lang w:val="en-US"/>
        </w:rPr>
      </w:pPr>
      <w:r>
        <w:rPr>
          <w:lang w:val="en-US"/>
        </w:rPr>
        <w:t>hemoglobin less than 9.0 g/</w:t>
      </w:r>
      <w:proofErr w:type="spellStart"/>
      <w:r>
        <w:rPr>
          <w:lang w:val="en-US"/>
        </w:rPr>
        <w:t>dL</w:t>
      </w:r>
      <w:proofErr w:type="spellEnd"/>
      <w:r>
        <w:rPr>
          <w:lang w:val="en-US"/>
        </w:rPr>
        <w:t xml:space="preserve"> or red cell transfusion</w:t>
      </w:r>
      <w:r w:rsidR="00586DB0">
        <w:rPr>
          <w:lang w:val="en-US"/>
        </w:rPr>
        <w:t xml:space="preserve"> </w:t>
      </w:r>
      <w:r>
        <w:rPr>
          <w:lang w:val="en-US"/>
        </w:rPr>
        <w:t>dependence (requiring at least 4 units of RBCs in the eight weeks prior to study entry)</w:t>
      </w:r>
    </w:p>
    <w:p w:rsidR="00B03F4F" w:rsidRDefault="00B03F4F" w:rsidP="004F2F93">
      <w:pPr>
        <w:pStyle w:val="Numberbullet0"/>
        <w:rPr>
          <w:lang w:val="en-US"/>
        </w:rPr>
      </w:pPr>
      <w:r>
        <w:rPr>
          <w:lang w:val="en-US"/>
        </w:rPr>
        <w:lastRenderedPageBreak/>
        <w:t xml:space="preserve">Age </w:t>
      </w:r>
      <w:r w:rsidR="00716C6C">
        <w:rPr>
          <w:rFonts w:ascii="Times New Roman" w:hAnsi="Times New Roman"/>
          <w:b/>
          <w:bCs/>
          <w:lang w:val="en-US"/>
        </w:rPr>
        <w:t>≥</w:t>
      </w:r>
      <w:r w:rsidR="00B672D0">
        <w:rPr>
          <w:lang w:val="en-US"/>
        </w:rPr>
        <w:t xml:space="preserve"> </w:t>
      </w:r>
      <w:r>
        <w:rPr>
          <w:lang w:val="en-US"/>
        </w:rPr>
        <w:t>2years old</w:t>
      </w:r>
    </w:p>
    <w:p w:rsidR="00B03F4F" w:rsidRDefault="00B03F4F" w:rsidP="004F2F93">
      <w:pPr>
        <w:pStyle w:val="Numberbullet0"/>
        <w:rPr>
          <w:lang w:val="en-US"/>
        </w:rPr>
      </w:pPr>
      <w:r>
        <w:rPr>
          <w:lang w:val="en-US"/>
        </w:rPr>
        <w:t>Weight &gt; 12 kg</w:t>
      </w:r>
    </w:p>
    <w:p w:rsidR="00B03F4F" w:rsidRDefault="00B03F4F" w:rsidP="00B03F4F">
      <w:pPr>
        <w:autoSpaceDE w:val="0"/>
        <w:autoSpaceDN w:val="0"/>
        <w:adjustRightInd w:val="0"/>
        <w:jc w:val="both"/>
        <w:rPr>
          <w:lang w:val="en-US"/>
        </w:rPr>
      </w:pPr>
      <w:r>
        <w:rPr>
          <w:lang w:val="en-US"/>
        </w:rPr>
        <w:t>Exclusion criteria</w:t>
      </w:r>
      <w:r w:rsidR="00B672D0">
        <w:rPr>
          <w:lang w:val="en-US"/>
        </w:rPr>
        <w:t>:</w:t>
      </w:r>
    </w:p>
    <w:p w:rsidR="00B03F4F" w:rsidRPr="004F2F93" w:rsidRDefault="00B03F4F" w:rsidP="000663A9">
      <w:pPr>
        <w:pStyle w:val="Numberbullet0"/>
        <w:numPr>
          <w:ilvl w:val="0"/>
          <w:numId w:val="12"/>
        </w:numPr>
        <w:rPr>
          <w:lang w:val="en-US"/>
        </w:rPr>
      </w:pPr>
      <w:r w:rsidRPr="004F2F93">
        <w:rPr>
          <w:lang w:val="en-US"/>
        </w:rPr>
        <w:t xml:space="preserve">Diagnosis of </w:t>
      </w:r>
      <w:proofErr w:type="spellStart"/>
      <w:r w:rsidRPr="004F2F93">
        <w:rPr>
          <w:lang w:val="en-US"/>
        </w:rPr>
        <w:t>Fanconi</w:t>
      </w:r>
      <w:proofErr w:type="spellEnd"/>
      <w:r w:rsidRPr="004F2F93">
        <w:rPr>
          <w:lang w:val="en-US"/>
        </w:rPr>
        <w:t xml:space="preserve"> anemia</w:t>
      </w:r>
    </w:p>
    <w:p w:rsidR="00B03F4F" w:rsidRPr="004F2F93" w:rsidRDefault="00B03F4F" w:rsidP="000663A9">
      <w:pPr>
        <w:pStyle w:val="Numberbullet0"/>
        <w:numPr>
          <w:ilvl w:val="0"/>
          <w:numId w:val="12"/>
        </w:numPr>
        <w:rPr>
          <w:lang w:val="en-US"/>
        </w:rPr>
      </w:pPr>
      <w:r w:rsidRPr="004F2F93">
        <w:rPr>
          <w:lang w:val="en-US"/>
        </w:rPr>
        <w:t>Infection not adequately responding to appropriate therapy</w:t>
      </w:r>
    </w:p>
    <w:p w:rsidR="00B03F4F" w:rsidRPr="004F2F93" w:rsidRDefault="00B03F4F" w:rsidP="000663A9">
      <w:pPr>
        <w:pStyle w:val="Numberbullet0"/>
        <w:numPr>
          <w:ilvl w:val="0"/>
          <w:numId w:val="12"/>
        </w:numPr>
        <w:rPr>
          <w:lang w:val="en-US"/>
        </w:rPr>
      </w:pPr>
      <w:r w:rsidRPr="004F2F93">
        <w:rPr>
          <w:lang w:val="en-US"/>
        </w:rPr>
        <w:t>Evidence of a clonal disorder on cytogenetics performed within 12 weeks of study entry.</w:t>
      </w:r>
    </w:p>
    <w:p w:rsidR="00B03F4F" w:rsidRPr="004F2F93" w:rsidRDefault="00B03F4F" w:rsidP="000663A9">
      <w:pPr>
        <w:pStyle w:val="Numberbullet0"/>
        <w:numPr>
          <w:ilvl w:val="0"/>
          <w:numId w:val="12"/>
        </w:numPr>
        <w:rPr>
          <w:lang w:val="en-US"/>
        </w:rPr>
      </w:pPr>
      <w:r w:rsidRPr="004F2F93">
        <w:rPr>
          <w:lang w:val="en-US"/>
        </w:rPr>
        <w:t>Creatinine &gt; 2.5 mg/dl</w:t>
      </w:r>
    </w:p>
    <w:p w:rsidR="00B03F4F" w:rsidRPr="004F2F93" w:rsidRDefault="00B03F4F" w:rsidP="000663A9">
      <w:pPr>
        <w:pStyle w:val="Numberbullet0"/>
        <w:numPr>
          <w:ilvl w:val="0"/>
          <w:numId w:val="12"/>
        </w:numPr>
        <w:rPr>
          <w:lang w:val="en-US"/>
        </w:rPr>
      </w:pPr>
      <w:r w:rsidRPr="004F2F93">
        <w:rPr>
          <w:lang w:val="en-US"/>
        </w:rPr>
        <w:t>Direct Bilirubin &gt; 2.0 mg/dl</w:t>
      </w:r>
    </w:p>
    <w:p w:rsidR="00B03F4F" w:rsidRPr="004F2F93" w:rsidRDefault="00B03F4F" w:rsidP="000663A9">
      <w:pPr>
        <w:pStyle w:val="Numberbullet0"/>
        <w:numPr>
          <w:ilvl w:val="0"/>
          <w:numId w:val="12"/>
        </w:numPr>
        <w:rPr>
          <w:lang w:val="en-US"/>
        </w:rPr>
      </w:pPr>
      <w:r w:rsidRPr="004F2F93">
        <w:rPr>
          <w:lang w:val="en-US"/>
        </w:rPr>
        <w:t>Alanine aminotransferase or aspartate aminotransferase &gt;5 times the upper limit of normal</w:t>
      </w:r>
    </w:p>
    <w:p w:rsidR="00B03F4F" w:rsidRPr="004F2F93" w:rsidRDefault="00B03F4F" w:rsidP="000663A9">
      <w:pPr>
        <w:pStyle w:val="Numberbullet0"/>
        <w:numPr>
          <w:ilvl w:val="0"/>
          <w:numId w:val="12"/>
        </w:numPr>
        <w:rPr>
          <w:lang w:val="en-US"/>
        </w:rPr>
      </w:pPr>
      <w:r w:rsidRPr="004F2F93">
        <w:rPr>
          <w:lang w:val="en-US"/>
        </w:rPr>
        <w:t xml:space="preserve">Hypersensitivity to </w:t>
      </w:r>
      <w:proofErr w:type="spellStart"/>
      <w:r w:rsidRPr="004F2F93">
        <w:rPr>
          <w:lang w:val="en-US"/>
        </w:rPr>
        <w:t>eltrombopag</w:t>
      </w:r>
      <w:proofErr w:type="spellEnd"/>
      <w:r w:rsidRPr="004F2F93">
        <w:rPr>
          <w:lang w:val="en-US"/>
        </w:rPr>
        <w:t xml:space="preserve"> or its components</w:t>
      </w:r>
    </w:p>
    <w:p w:rsidR="00B03F4F" w:rsidRPr="004F2F93" w:rsidRDefault="00B03F4F" w:rsidP="000663A9">
      <w:pPr>
        <w:pStyle w:val="Numberbullet0"/>
        <w:numPr>
          <w:ilvl w:val="0"/>
          <w:numId w:val="12"/>
        </w:numPr>
        <w:rPr>
          <w:lang w:val="en-US"/>
        </w:rPr>
      </w:pPr>
      <w:r w:rsidRPr="004F2F93">
        <w:rPr>
          <w:lang w:val="en-US"/>
        </w:rPr>
        <w:t>Female subjects who are nursing or pregnant or are unwilling to take oral contraceptives or refrain from pregnancy if of childbearing potential</w:t>
      </w:r>
    </w:p>
    <w:p w:rsidR="00B03F4F" w:rsidRPr="004F2F93" w:rsidRDefault="00B03F4F" w:rsidP="000663A9">
      <w:pPr>
        <w:pStyle w:val="Numberbullet0"/>
        <w:numPr>
          <w:ilvl w:val="0"/>
          <w:numId w:val="12"/>
        </w:numPr>
        <w:rPr>
          <w:lang w:val="en-US"/>
        </w:rPr>
      </w:pPr>
      <w:r w:rsidRPr="004F2F93">
        <w:rPr>
          <w:lang w:val="en-US"/>
        </w:rPr>
        <w:t>Unable to understand the investigational nature of the study or give informed consent</w:t>
      </w:r>
    </w:p>
    <w:p w:rsidR="00B03F4F" w:rsidRPr="004F2F93" w:rsidRDefault="00B03F4F" w:rsidP="000663A9">
      <w:pPr>
        <w:pStyle w:val="Numberbullet0"/>
        <w:numPr>
          <w:ilvl w:val="0"/>
          <w:numId w:val="12"/>
        </w:numPr>
        <w:rPr>
          <w:lang w:val="en-US"/>
        </w:rPr>
      </w:pPr>
      <w:r w:rsidRPr="004F2F93">
        <w:rPr>
          <w:lang w:val="en-US"/>
        </w:rPr>
        <w:t>Moribund status or concurrent hepatic, renal, cardiac, neurologic, pulmonary, infectious, or metabolic disease of such severity that it would preclude the patient’s ability to tolerate protocol therapy, or that death within 7-10 days is likely</w:t>
      </w:r>
    </w:p>
    <w:p w:rsidR="00B03F4F" w:rsidRPr="004F2F93" w:rsidRDefault="00B03F4F" w:rsidP="000663A9">
      <w:pPr>
        <w:pStyle w:val="Numberbullet0"/>
        <w:numPr>
          <w:ilvl w:val="0"/>
          <w:numId w:val="12"/>
        </w:numPr>
        <w:rPr>
          <w:lang w:val="en-US"/>
        </w:rPr>
      </w:pPr>
      <w:r w:rsidRPr="004F2F93">
        <w:rPr>
          <w:lang w:val="en-US"/>
        </w:rPr>
        <w:t>Treatment with ATG, cyclopho</w:t>
      </w:r>
      <w:r w:rsidR="00586DB0">
        <w:rPr>
          <w:lang w:val="en-US"/>
        </w:rPr>
        <w:t>s</w:t>
      </w:r>
      <w:r w:rsidRPr="004F2F93">
        <w:rPr>
          <w:lang w:val="en-US"/>
        </w:rPr>
        <w:t xml:space="preserve">phamide or </w:t>
      </w:r>
      <w:proofErr w:type="spellStart"/>
      <w:r w:rsidRPr="004F2F93">
        <w:rPr>
          <w:lang w:val="en-US"/>
        </w:rPr>
        <w:t>alemtuzamab</w:t>
      </w:r>
      <w:proofErr w:type="spellEnd"/>
      <w:r w:rsidRPr="004F2F93">
        <w:rPr>
          <w:lang w:val="en-US"/>
        </w:rPr>
        <w:t xml:space="preserve"> within 6 months of study entry.</w:t>
      </w:r>
    </w:p>
    <w:p w:rsidR="00B03F4F" w:rsidRDefault="00B03F4F" w:rsidP="00116E1A">
      <w:pPr>
        <w:pStyle w:val="Heading6"/>
      </w:pPr>
      <w:r>
        <w:t>Study treatments</w:t>
      </w:r>
    </w:p>
    <w:p w:rsidR="00B03F4F" w:rsidRDefault="00B03F4F" w:rsidP="00BC6F78">
      <w:r>
        <w:t xml:space="preserve">Starting daily dosage according to age and ethnicity </w:t>
      </w:r>
      <w:r w:rsidR="00BC6F78">
        <w:t xml:space="preserve">are shown in </w:t>
      </w:r>
      <w:r>
        <w:t>(Table 7).</w:t>
      </w:r>
    </w:p>
    <w:p w:rsidR="00B03F4F" w:rsidRDefault="00B03F4F" w:rsidP="00BC6F78">
      <w:pPr>
        <w:pStyle w:val="Tabletitle"/>
      </w:pPr>
      <w:bookmarkStart w:id="72" w:name="_Toc295132810"/>
      <w:r>
        <w:t>Table</w:t>
      </w:r>
      <w:r w:rsidR="00BC6F78">
        <w:t xml:space="preserve"> 7:</w:t>
      </w:r>
      <w:r>
        <w:t xml:space="preserve"> Dose according to age and ethnicity</w:t>
      </w:r>
      <w:bookmarkEnd w:id="72"/>
    </w:p>
    <w:p w:rsidR="00B03F4F" w:rsidRDefault="00B03F4F" w:rsidP="00B03F4F">
      <w:r>
        <w:rPr>
          <w:noProof/>
          <w:lang w:eastAsia="en-AU"/>
        </w:rPr>
        <w:drawing>
          <wp:inline distT="0" distB="0" distL="0" distR="0" wp14:anchorId="508F45C6" wp14:editId="23749EF0">
            <wp:extent cx="2838450" cy="1552575"/>
            <wp:effectExtent l="0" t="0" r="0" b="9525"/>
            <wp:docPr id="12" name="Picture 12" descr="Table 7:. Dose according to ag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18356" t="15147"/>
                    <a:stretch/>
                  </pic:blipFill>
                  <pic:spPr bwMode="auto">
                    <a:xfrm>
                      <a:off x="0" y="0"/>
                      <a:ext cx="2838450"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B03F4F">
      <w:pPr>
        <w:rPr>
          <w:lang w:val="en-US"/>
        </w:rPr>
      </w:pPr>
      <w:r>
        <w:rPr>
          <w:lang w:val="en-US"/>
        </w:rPr>
        <w:t xml:space="preserve">The daily dose of </w:t>
      </w:r>
      <w:proofErr w:type="spellStart"/>
      <w:r>
        <w:rPr>
          <w:lang w:val="en-US"/>
        </w:rPr>
        <w:t>eltrombopag</w:t>
      </w:r>
      <w:proofErr w:type="spellEnd"/>
      <w:r>
        <w:rPr>
          <w:lang w:val="en-US"/>
        </w:rPr>
        <w:t xml:space="preserve"> was adjusted according to the rules outlined in Table 8</w:t>
      </w:r>
      <w:r w:rsidR="00BC6F78">
        <w:rPr>
          <w:lang w:val="en-US"/>
        </w:rPr>
        <w:t>.</w:t>
      </w:r>
    </w:p>
    <w:p w:rsidR="00B03F4F" w:rsidRDefault="00B03F4F" w:rsidP="00BC6F78">
      <w:pPr>
        <w:pStyle w:val="Tabletitle"/>
      </w:pPr>
      <w:bookmarkStart w:id="73" w:name="_Toc295132811"/>
      <w:r>
        <w:t>Table</w:t>
      </w:r>
      <w:r w:rsidR="00BC6F78">
        <w:t xml:space="preserve"> 8:</w:t>
      </w:r>
      <w:r>
        <w:t xml:space="preserve"> Dose adjustment of </w:t>
      </w:r>
      <w:proofErr w:type="spellStart"/>
      <w:r>
        <w:t>eltrombopag</w:t>
      </w:r>
      <w:bookmarkEnd w:id="73"/>
      <w:proofErr w:type="spellEnd"/>
    </w:p>
    <w:p w:rsidR="00B03F4F" w:rsidRDefault="00B03F4F" w:rsidP="00B03F4F">
      <w:r>
        <w:rPr>
          <w:noProof/>
          <w:lang w:eastAsia="en-AU"/>
        </w:rPr>
        <w:drawing>
          <wp:inline distT="0" distB="0" distL="0" distR="0" wp14:anchorId="4C022724" wp14:editId="09A474A3">
            <wp:extent cx="3590925" cy="1438275"/>
            <wp:effectExtent l="0" t="0" r="9525" b="9525"/>
            <wp:docPr id="11" name="Picture 11" descr="Table 8: Dose adjustment of eltrombo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3085" t="13429"/>
                    <a:stretch/>
                  </pic:blipFill>
                  <pic:spPr bwMode="auto">
                    <a:xfrm>
                      <a:off x="0" y="0"/>
                      <a:ext cx="3590925" cy="1438275"/>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A651F3">
      <w:pPr>
        <w:pStyle w:val="Heading6"/>
        <w:pageBreakBefore/>
      </w:pPr>
      <w:r>
        <w:lastRenderedPageBreak/>
        <w:t>Efficacy variables and outcomes</w:t>
      </w:r>
    </w:p>
    <w:p w:rsidR="00B03F4F" w:rsidRDefault="00B03F4F" w:rsidP="00B03F4F">
      <w:r>
        <w:t>The main efficacy variables were:</w:t>
      </w:r>
    </w:p>
    <w:p w:rsidR="00B03F4F" w:rsidRDefault="00B03F4F" w:rsidP="004F2F93">
      <w:pPr>
        <w:pStyle w:val="ListBullet"/>
      </w:pPr>
      <w:r>
        <w:t>Primary endpoint of the study was haematological response (platelet count, erythroid and neutrophil) at 6 months (24 weeks). Haematological response is defined as:</w:t>
      </w:r>
    </w:p>
    <w:p w:rsidR="00B03F4F" w:rsidRDefault="00B03F4F" w:rsidP="004F2F93">
      <w:pPr>
        <w:pStyle w:val="ListBullet2"/>
      </w:pPr>
      <w:r>
        <w:t xml:space="preserve">Platelet count increases to 20 </w:t>
      </w:r>
      <w:r w:rsidR="0032542E">
        <w:t>x 10</w:t>
      </w:r>
      <w:r w:rsidR="0032542E" w:rsidRPr="0032542E">
        <w:rPr>
          <w:vertAlign w:val="superscript"/>
        </w:rPr>
        <w:t>9</w:t>
      </w:r>
      <w:r>
        <w:t>/L above baseline, or stable platelet counts with</w:t>
      </w:r>
      <w:r w:rsidR="00392749">
        <w:t xml:space="preserve"> </w:t>
      </w:r>
      <w:r>
        <w:t xml:space="preserve"> transfusion independence for a minimum of 8 consecutive weeks; or</w:t>
      </w:r>
    </w:p>
    <w:p w:rsidR="00B03F4F" w:rsidRDefault="00B03F4F" w:rsidP="004F2F93">
      <w:pPr>
        <w:pStyle w:val="ListBullet2"/>
      </w:pPr>
      <w:r>
        <w:t>Haemoglobin increase by &gt;</w:t>
      </w:r>
      <w:r w:rsidR="00BC6F78">
        <w:t xml:space="preserve"> </w:t>
      </w:r>
      <w:r>
        <w:t>1.5 g/</w:t>
      </w:r>
      <w:proofErr w:type="spellStart"/>
      <w:r>
        <w:t>dL</w:t>
      </w:r>
      <w:proofErr w:type="spellEnd"/>
      <w:r>
        <w:t xml:space="preserve"> (for subjects with pre-treatment </w:t>
      </w:r>
      <w:proofErr w:type="spellStart"/>
      <w:r>
        <w:t>Hb</w:t>
      </w:r>
      <w:proofErr w:type="spellEnd"/>
      <w:r w:rsidR="00BC6F78">
        <w:t xml:space="preserve"> </w:t>
      </w:r>
      <w:r>
        <w:t>&lt;</w:t>
      </w:r>
      <w:r w:rsidR="00BC6F78">
        <w:t xml:space="preserve"> </w:t>
      </w:r>
      <w:r>
        <w:t>9</w:t>
      </w:r>
      <w:r w:rsidR="00BC6F78">
        <w:t xml:space="preserve"> </w:t>
      </w:r>
      <w:r>
        <w:t>g/</w:t>
      </w:r>
      <w:proofErr w:type="spellStart"/>
      <w:r>
        <w:t>dL</w:t>
      </w:r>
      <w:proofErr w:type="spellEnd"/>
      <w:r>
        <w:t>), or a reduction in the units of red blood cell transfusion by at least 4 of 8 consecutive weeks pre-treatment; or</w:t>
      </w:r>
    </w:p>
    <w:p w:rsidR="00B03F4F" w:rsidRDefault="00BC6F78" w:rsidP="004F2F93">
      <w:pPr>
        <w:pStyle w:val="ListBullet2"/>
      </w:pPr>
      <w:r>
        <w:t>ANC</w:t>
      </w:r>
      <w:r w:rsidR="00B03F4F">
        <w:t xml:space="preserve"> increase of 100% (for pre-treatment levels &lt;0.5 </w:t>
      </w:r>
      <w:r w:rsidR="0032542E">
        <w:t>x 10</w:t>
      </w:r>
      <w:r w:rsidR="0032542E" w:rsidRPr="0032542E">
        <w:rPr>
          <w:vertAlign w:val="superscript"/>
        </w:rPr>
        <w:t>9</w:t>
      </w:r>
      <w:r w:rsidR="00B03F4F">
        <w:t xml:space="preserve">/L), or an ANC increase &gt;0.5 </w:t>
      </w:r>
      <w:r w:rsidR="0032542E">
        <w:t>x 10</w:t>
      </w:r>
      <w:r w:rsidR="0032542E" w:rsidRPr="0032542E">
        <w:rPr>
          <w:vertAlign w:val="superscript"/>
        </w:rPr>
        <w:t>9</w:t>
      </w:r>
      <w:r w:rsidR="00B03F4F">
        <w:t>/L.</w:t>
      </w:r>
    </w:p>
    <w:p w:rsidR="00B03F4F" w:rsidRDefault="00B03F4F" w:rsidP="004F2F93">
      <w:pPr>
        <w:pStyle w:val="ListBullet"/>
      </w:pPr>
      <w:r>
        <w:t>Other efficacy outcomes included:</w:t>
      </w:r>
    </w:p>
    <w:p w:rsidR="00B03F4F" w:rsidRDefault="00B03F4F" w:rsidP="004F2F93">
      <w:pPr>
        <w:pStyle w:val="ListBullet2"/>
      </w:pPr>
      <w:r>
        <w:t>Secondary endpoints included duration of response (haematological responses at 3</w:t>
      </w:r>
      <w:r w:rsidR="00BC6F78">
        <w:t xml:space="preserve"> </w:t>
      </w:r>
      <w:r>
        <w:t>months, 12 months and yearly thereafter), relapse, and progression to clonal haematopoiesis (PNH evolution, cytogenetic abnormalities in the bone marrow, myelodysplasia by morphology, or acute leukaemia), survival, and health-related quality of life.</w:t>
      </w:r>
    </w:p>
    <w:p w:rsidR="00B03F4F" w:rsidRDefault="00B03F4F" w:rsidP="004F2F93">
      <w:pPr>
        <w:pStyle w:val="ListBullet2"/>
      </w:pPr>
      <w:r>
        <w:t>The planned analysis included descriptive statistics on the proportion of responders (% subjects with treatment response).</w:t>
      </w:r>
    </w:p>
    <w:p w:rsidR="00B03F4F" w:rsidRDefault="00B03F4F" w:rsidP="00116E1A">
      <w:pPr>
        <w:pStyle w:val="Heading6"/>
      </w:pPr>
      <w:r>
        <w:t>Randomisation and blinding methods</w:t>
      </w:r>
    </w:p>
    <w:p w:rsidR="00B03F4F" w:rsidRDefault="00B03F4F" w:rsidP="00B03F4F">
      <w:proofErr w:type="gramStart"/>
      <w:r>
        <w:t>None</w:t>
      </w:r>
      <w:r w:rsidR="00BC6F78">
        <w:t>.</w:t>
      </w:r>
      <w:proofErr w:type="gramEnd"/>
    </w:p>
    <w:p w:rsidR="00B03F4F" w:rsidRDefault="00B03F4F" w:rsidP="00116E1A">
      <w:pPr>
        <w:pStyle w:val="Heading6"/>
      </w:pPr>
      <w:r>
        <w:t>Analysis populations</w:t>
      </w:r>
    </w:p>
    <w:p w:rsidR="00B03F4F" w:rsidRDefault="00B03F4F" w:rsidP="004F2F93">
      <w:r>
        <w:t>Patients with SAA referred to the NIH.</w:t>
      </w:r>
    </w:p>
    <w:p w:rsidR="00B03F4F" w:rsidRDefault="00B03F4F" w:rsidP="004F2F93">
      <w:r>
        <w:t>Demographics of study population to date</w:t>
      </w:r>
    </w:p>
    <w:p w:rsidR="00B03F4F" w:rsidRDefault="00B03F4F" w:rsidP="000663A9">
      <w:pPr>
        <w:pStyle w:val="Numberbullet0"/>
        <w:numPr>
          <w:ilvl w:val="0"/>
          <w:numId w:val="13"/>
        </w:numPr>
      </w:pPr>
      <w:r>
        <w:t>Age range</w:t>
      </w:r>
      <w:r w:rsidR="00BC6F78">
        <w:t>:</w:t>
      </w:r>
      <w:r>
        <w:t xml:space="preserve"> 14 years to 69 years (median 46 years), with 12 of 15 subjects (80%) being greater than 18 years of age. Three subjects (20%) were in the 12-17 year range. The majority of subjects were female (10, 67%).</w:t>
      </w:r>
    </w:p>
    <w:p w:rsidR="002638A5" w:rsidRDefault="00B03F4F" w:rsidP="000663A9">
      <w:pPr>
        <w:pStyle w:val="Numberbullet0"/>
        <w:numPr>
          <w:ilvl w:val="0"/>
          <w:numId w:val="13"/>
        </w:numPr>
      </w:pPr>
      <w:r>
        <w:t>The majority of subjects were White (12, 80%) followed by Asian (2, 13%) and Black/African American (1, 7%).</w:t>
      </w:r>
    </w:p>
    <w:p w:rsidR="00B03F4F" w:rsidRDefault="00B03F4F" w:rsidP="000663A9">
      <w:pPr>
        <w:pStyle w:val="Numberbullet0"/>
        <w:numPr>
          <w:ilvl w:val="0"/>
          <w:numId w:val="13"/>
        </w:numPr>
      </w:pPr>
      <w:r>
        <w:t xml:space="preserve">Median baseline haematology parameters were consistent with that expected in the previously treated SAA population. Median baseline haematology parameters included ANC 0.53 </w:t>
      </w:r>
      <w:r w:rsidR="0032542E">
        <w:t>x 10</w:t>
      </w:r>
      <w:r w:rsidR="0032542E" w:rsidRPr="0032542E">
        <w:rPr>
          <w:vertAlign w:val="superscript"/>
        </w:rPr>
        <w:t>9</w:t>
      </w:r>
      <w:r>
        <w:t xml:space="preserve">/L, platelets 11 </w:t>
      </w:r>
      <w:r w:rsidR="0032542E">
        <w:t>x 10</w:t>
      </w:r>
      <w:r w:rsidR="0032542E" w:rsidRPr="0032542E">
        <w:rPr>
          <w:vertAlign w:val="superscript"/>
        </w:rPr>
        <w:t>9</w:t>
      </w:r>
      <w:r>
        <w:t xml:space="preserve">/L, absolute reticulocyte count (ARC) 34.7 </w:t>
      </w:r>
      <w:r w:rsidR="0032542E">
        <w:t>x 10</w:t>
      </w:r>
      <w:r w:rsidR="0032542E" w:rsidRPr="0032542E">
        <w:rPr>
          <w:vertAlign w:val="superscript"/>
        </w:rPr>
        <w:t>9</w:t>
      </w:r>
      <w:r>
        <w:t>/L, and haemoglobin 8.6 g/</w:t>
      </w:r>
      <w:proofErr w:type="spellStart"/>
      <w:r>
        <w:t>dL</w:t>
      </w:r>
      <w:proofErr w:type="spellEnd"/>
      <w:r>
        <w:t>.</w:t>
      </w:r>
    </w:p>
    <w:p w:rsidR="00B03F4F" w:rsidRDefault="00B03F4F" w:rsidP="00116E1A">
      <w:pPr>
        <w:pStyle w:val="Heading6"/>
      </w:pPr>
      <w:r>
        <w:t>Sample size</w:t>
      </w:r>
    </w:p>
    <w:p w:rsidR="00B03F4F" w:rsidRDefault="00B03F4F" w:rsidP="00B03F4F">
      <w:pPr>
        <w:autoSpaceDE w:val="0"/>
        <w:autoSpaceDN w:val="0"/>
        <w:adjustRightInd w:val="0"/>
        <w:jc w:val="both"/>
        <w:rPr>
          <w:lang w:val="en-US"/>
        </w:rPr>
      </w:pPr>
      <w:r>
        <w:rPr>
          <w:lang w:val="en-US"/>
        </w:rPr>
        <w:t>Planned number of subjects: 60</w:t>
      </w:r>
    </w:p>
    <w:p w:rsidR="00B03F4F" w:rsidRDefault="00B03F4F" w:rsidP="00B03F4F">
      <w:pPr>
        <w:autoSpaceDE w:val="0"/>
        <w:autoSpaceDN w:val="0"/>
        <w:adjustRightInd w:val="0"/>
        <w:jc w:val="both"/>
        <w:rPr>
          <w:lang w:val="en-US"/>
        </w:rPr>
      </w:pPr>
      <w:r>
        <w:rPr>
          <w:lang w:val="en-US"/>
        </w:rPr>
        <w:t>Number of subjects enrolled: 15/60</w:t>
      </w:r>
    </w:p>
    <w:p w:rsidR="00B03F4F" w:rsidRDefault="00B03F4F" w:rsidP="00B03F4F">
      <w:pPr>
        <w:autoSpaceDE w:val="0"/>
        <w:autoSpaceDN w:val="0"/>
        <w:adjustRightInd w:val="0"/>
        <w:jc w:val="both"/>
      </w:pPr>
      <w:r>
        <w:rPr>
          <w:lang w:val="en-US"/>
        </w:rPr>
        <w:t>Study is Ongoing</w:t>
      </w:r>
      <w:r w:rsidR="00BC6F78">
        <w:rPr>
          <w:lang w:val="en-US"/>
        </w:rPr>
        <w:t>;</w:t>
      </w:r>
      <w:r>
        <w:rPr>
          <w:lang w:val="en-US"/>
        </w:rPr>
        <w:t xml:space="preserve"> data are included up to 31 March 2014</w:t>
      </w:r>
    </w:p>
    <w:p w:rsidR="00B03F4F" w:rsidRDefault="00B03F4F" w:rsidP="00116E1A">
      <w:pPr>
        <w:pStyle w:val="Heading6"/>
      </w:pPr>
      <w:r>
        <w:t>Statistical methods</w:t>
      </w:r>
    </w:p>
    <w:p w:rsidR="00B03F4F" w:rsidRDefault="00B03F4F" w:rsidP="00B03F4F">
      <w:proofErr w:type="gramStart"/>
      <w:r>
        <w:t xml:space="preserve">Simple descriptive on the </w:t>
      </w:r>
      <w:r>
        <w:rPr>
          <w:lang w:val="en-US"/>
        </w:rPr>
        <w:t>proportion of responders (% subjects with treatment response).</w:t>
      </w:r>
      <w:proofErr w:type="gramEnd"/>
      <w:r w:rsidR="00BC6F78">
        <w:rPr>
          <w:lang w:val="en-US"/>
        </w:rPr>
        <w:t xml:space="preserve"> </w:t>
      </w:r>
      <w:r>
        <w:rPr>
          <w:lang w:val="en-US"/>
        </w:rPr>
        <w:t>Subjects were considered evaluable for response at 3 or 6 months if they completed 3 or 6 months of treatment, respectively, or were discontinued early for any reason.</w:t>
      </w:r>
    </w:p>
    <w:p w:rsidR="00B03F4F" w:rsidRDefault="00B03F4F" w:rsidP="00116E1A">
      <w:pPr>
        <w:pStyle w:val="Heading6"/>
      </w:pPr>
      <w:r>
        <w:lastRenderedPageBreak/>
        <w:t>Participant flow</w:t>
      </w:r>
    </w:p>
    <w:p w:rsidR="00B03F4F" w:rsidRDefault="00B03F4F" w:rsidP="00B03F4F">
      <w:r>
        <w:t>See Figure 2.</w:t>
      </w:r>
    </w:p>
    <w:p w:rsidR="00B03F4F" w:rsidRDefault="00B03F4F" w:rsidP="00116E1A">
      <w:pPr>
        <w:pStyle w:val="Heading6"/>
      </w:pPr>
      <w:r>
        <w:t>Major protocol violations/deviations</w:t>
      </w:r>
    </w:p>
    <w:p w:rsidR="00B03F4F" w:rsidRDefault="00B03F4F" w:rsidP="00B03F4F">
      <w:pPr>
        <w:autoSpaceDE w:val="0"/>
        <w:autoSpaceDN w:val="0"/>
        <w:adjustRightInd w:val="0"/>
      </w:pPr>
      <w:r>
        <w:t>None reported</w:t>
      </w:r>
      <w:r w:rsidR="00FE1955">
        <w:t>.</w:t>
      </w:r>
    </w:p>
    <w:p w:rsidR="00B03F4F" w:rsidRDefault="00B03F4F" w:rsidP="00116E1A">
      <w:pPr>
        <w:pStyle w:val="Heading6"/>
      </w:pPr>
      <w:r>
        <w:t>Baseline data</w:t>
      </w:r>
    </w:p>
    <w:p w:rsidR="008B6069" w:rsidRDefault="008B6069" w:rsidP="008B6069">
      <w:bookmarkStart w:id="74" w:name="_Toc295132812"/>
      <w:r>
        <w:t>Baseline haematological data are described in Table 9 below.</w:t>
      </w:r>
    </w:p>
    <w:p w:rsidR="00A651F3" w:rsidRDefault="00B03F4F" w:rsidP="00BC6F78">
      <w:pPr>
        <w:pStyle w:val="Tabletitle"/>
      </w:pPr>
      <w:r>
        <w:t>Table</w:t>
      </w:r>
      <w:r w:rsidR="00BC6F78">
        <w:t xml:space="preserve"> 9:</w:t>
      </w:r>
      <w:r>
        <w:t xml:space="preserve"> Baseline haematological parameters</w:t>
      </w:r>
      <w:bookmarkEnd w:id="74"/>
    </w:p>
    <w:p w:rsidR="00B03F4F" w:rsidRDefault="00B03F4F" w:rsidP="00A651F3">
      <w:r>
        <w:rPr>
          <w:noProof/>
          <w:lang w:eastAsia="en-AU"/>
        </w:rPr>
        <w:drawing>
          <wp:inline distT="0" distB="0" distL="0" distR="0" wp14:anchorId="5A8B8C97" wp14:editId="369D6A54">
            <wp:extent cx="3367314" cy="946127"/>
            <wp:effectExtent l="0" t="0" r="5080" b="6985"/>
            <wp:docPr id="10" name="Picture 10" descr="Table 9: Baseline haematological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8557" cy="949286"/>
                    </a:xfrm>
                    <a:prstGeom prst="rect">
                      <a:avLst/>
                    </a:prstGeom>
                    <a:noFill/>
                    <a:ln>
                      <a:noFill/>
                    </a:ln>
                  </pic:spPr>
                </pic:pic>
              </a:graphicData>
            </a:graphic>
          </wp:inline>
        </w:drawing>
      </w:r>
    </w:p>
    <w:p w:rsidR="00B03F4F" w:rsidRDefault="00B03F4F" w:rsidP="00B03F4F">
      <w:pPr>
        <w:autoSpaceDE w:val="0"/>
        <w:autoSpaceDN w:val="0"/>
        <w:adjustRightInd w:val="0"/>
      </w:pPr>
      <w:r>
        <w:rPr>
          <w:lang w:val="en-US"/>
        </w:rPr>
        <w:t>Median baseline lab values for neutrophils, platelets, reticulocytes, and hemoglobin are consistent with that expected in the previously treated SAA population</w:t>
      </w:r>
      <w:r w:rsidR="00BC6F78">
        <w:rPr>
          <w:lang w:val="en-US"/>
        </w:rPr>
        <w:t>.</w:t>
      </w:r>
    </w:p>
    <w:p w:rsidR="00B03F4F" w:rsidRDefault="00B03F4F" w:rsidP="004F2F93">
      <w:pPr>
        <w:pStyle w:val="Heading5"/>
      </w:pPr>
      <w:r>
        <w:t xml:space="preserve">Results for the primary efficacy </w:t>
      </w:r>
      <w:r w:rsidRPr="004F2F93">
        <w:t>outcome</w:t>
      </w:r>
    </w:p>
    <w:p w:rsidR="002638A5" w:rsidRDefault="00B03F4F" w:rsidP="00B03F4F">
      <w:r>
        <w:t>The primary efficacy endpoint in Study ELT116826 was haematological response (platelet count, erythroid or neutrophil) at 6 months (24 weeks).</w:t>
      </w:r>
    </w:p>
    <w:p w:rsidR="00B03F4F" w:rsidRDefault="00B03F4F" w:rsidP="00B03F4F">
      <w:r>
        <w:t xml:space="preserve">At clinical cut-off date, 11 and 6 subjects, respectively, were evaluable or had discontinued </w:t>
      </w:r>
      <w:r w:rsidR="008B6069">
        <w:t>t</w:t>
      </w:r>
      <w:r>
        <w:t xml:space="preserve">reatment at the 3 and 6 month response assessments (Table </w:t>
      </w:r>
      <w:r w:rsidR="008B6069">
        <w:t>10</w:t>
      </w:r>
      <w:r>
        <w:t xml:space="preserve">). At the 3 month assessment 4 of 11 (36%) evaluable subjects met the </w:t>
      </w:r>
      <w:proofErr w:type="spellStart"/>
      <w:r>
        <w:t>haematologic</w:t>
      </w:r>
      <w:proofErr w:type="spellEnd"/>
      <w:r>
        <w:t xml:space="preserve"> response criteria in at least one lineage. At the 6 month assessment (primary response assessment), 4 of 6 (67%) evaluable subjects met the </w:t>
      </w:r>
      <w:proofErr w:type="spellStart"/>
      <w:r>
        <w:t>haematologic</w:t>
      </w:r>
      <w:proofErr w:type="spellEnd"/>
      <w:r>
        <w:t xml:space="preserve"> response criteria in at least one lineage.</w:t>
      </w:r>
    </w:p>
    <w:p w:rsidR="00B03F4F" w:rsidRDefault="00B03F4F" w:rsidP="00B03F4F">
      <w:r>
        <w:t>As of the clinical cut-off date, 2 of the 4 subjects with a response at the 3 month assessment were evaluable and had maintained their response at 6 months. The remaining 2 subjects had not had their 6 month assessment as of the clinical cut-off date.</w:t>
      </w:r>
    </w:p>
    <w:p w:rsidR="00B03F4F" w:rsidRDefault="00B03F4F" w:rsidP="00B03F4F">
      <w:r>
        <w:t>Of the subjects who did not respond at 3 months and were evaluable at 6 months, 2 additional subjects responded at 6 months. The remaining 3 subjects had not had their 6 month assessment as of the clinical cut-off date.</w:t>
      </w:r>
    </w:p>
    <w:p w:rsidR="00B03F4F" w:rsidRDefault="00B03F4F" w:rsidP="00BC6F78">
      <w:pPr>
        <w:pStyle w:val="Tabletitle"/>
      </w:pPr>
      <w:bookmarkStart w:id="75" w:name="_Toc295132813"/>
      <w:r>
        <w:t>Table</w:t>
      </w:r>
      <w:r w:rsidR="00BC6F78">
        <w:t xml:space="preserve"> 10:</w:t>
      </w:r>
      <w:r>
        <w:t xml:space="preserve"> 3 and 6 Month Response Assessments (ELT116826)</w:t>
      </w:r>
      <w:bookmarkEnd w:id="75"/>
    </w:p>
    <w:p w:rsidR="00B03F4F" w:rsidRDefault="00B03F4F" w:rsidP="00B03F4F">
      <w:r>
        <w:rPr>
          <w:noProof/>
          <w:lang w:eastAsia="en-AU"/>
        </w:rPr>
        <w:drawing>
          <wp:inline distT="0" distB="0" distL="0" distR="0" wp14:anchorId="60C7D339" wp14:editId="6CFF1848">
            <wp:extent cx="4397829" cy="1103703"/>
            <wp:effectExtent l="0" t="0" r="3175" b="1270"/>
            <wp:docPr id="9" name="Picture 9" descr="Table 10: 3 and 6 Month Response Assessments (ELT11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l="2814"/>
                    <a:stretch/>
                  </pic:blipFill>
                  <pic:spPr bwMode="auto">
                    <a:xfrm>
                      <a:off x="0" y="0"/>
                      <a:ext cx="4397021" cy="1103500"/>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4F2F93">
      <w:pPr>
        <w:pStyle w:val="Heading5"/>
      </w:pPr>
      <w:r>
        <w:t>Results for other efficacy outcomes</w:t>
      </w:r>
    </w:p>
    <w:p w:rsidR="00B03F4F" w:rsidRDefault="00B03F4F" w:rsidP="00B03F4F">
      <w:r>
        <w:t>No other results provided</w:t>
      </w:r>
    </w:p>
    <w:p w:rsidR="00B03F4F" w:rsidRPr="00BC6F78" w:rsidRDefault="00B03F4F" w:rsidP="00BC6F78">
      <w:pPr>
        <w:pStyle w:val="Heading3"/>
        <w:rPr>
          <w:rFonts w:ascii="Cambria" w:hAnsi="Cambria"/>
        </w:rPr>
      </w:pPr>
      <w:bookmarkStart w:id="76" w:name="_Toc295132735"/>
      <w:bookmarkStart w:id="77" w:name="_Toc290846277"/>
      <w:bookmarkStart w:id="78" w:name="_Toc272414655"/>
      <w:bookmarkStart w:id="79" w:name="_Ref271037210"/>
      <w:bookmarkStart w:id="80" w:name="_Ref271037188"/>
      <w:bookmarkStart w:id="81" w:name="_Ref243294291"/>
      <w:bookmarkStart w:id="82" w:name="_Toc241374311"/>
      <w:bookmarkStart w:id="83" w:name="_Toc448221951"/>
      <w:r w:rsidRPr="00BC6F78">
        <w:rPr>
          <w:rFonts w:ascii="Cambria" w:hAnsi="Cambria"/>
        </w:rPr>
        <w:t>Other relevant studies</w:t>
      </w:r>
      <w:bookmarkEnd w:id="76"/>
      <w:bookmarkEnd w:id="77"/>
      <w:bookmarkEnd w:id="78"/>
      <w:bookmarkEnd w:id="79"/>
      <w:bookmarkEnd w:id="80"/>
      <w:bookmarkEnd w:id="83"/>
    </w:p>
    <w:p w:rsidR="002638A5" w:rsidRDefault="00B03F4F" w:rsidP="004F2F93">
      <w:pPr>
        <w:pStyle w:val="Heading4"/>
      </w:pPr>
      <w:bookmarkStart w:id="84" w:name="_Toc295132736"/>
      <w:bookmarkStart w:id="85" w:name="_Toc290846278"/>
      <w:bookmarkEnd w:id="81"/>
      <w:bookmarkEnd w:id="82"/>
      <w:r>
        <w:t>ELT116643 study</w:t>
      </w:r>
      <w:bookmarkEnd w:id="84"/>
      <w:bookmarkEnd w:id="85"/>
    </w:p>
    <w:p w:rsidR="00B03F4F" w:rsidRDefault="00B03F4F" w:rsidP="00B03F4F">
      <w:pPr>
        <w:rPr>
          <w:lang w:val="en-US"/>
        </w:rPr>
      </w:pPr>
      <w:proofErr w:type="spellStart"/>
      <w:r>
        <w:rPr>
          <w:lang w:val="en-US"/>
        </w:rPr>
        <w:t>Eltrombopag</w:t>
      </w:r>
      <w:proofErr w:type="spellEnd"/>
      <w:r>
        <w:rPr>
          <w:lang w:val="en-US"/>
        </w:rPr>
        <w:t xml:space="preserve"> added to standard immunosuppression in treatment naïve severe aplastic anemia.</w:t>
      </w:r>
    </w:p>
    <w:p w:rsidR="00B03F4F" w:rsidRDefault="00B03F4F" w:rsidP="00BC6F78">
      <w:pPr>
        <w:pStyle w:val="Heading5"/>
      </w:pPr>
      <w:bookmarkStart w:id="86" w:name="_Ref295125513"/>
      <w:r>
        <w:lastRenderedPageBreak/>
        <w:t xml:space="preserve">Study design, </w:t>
      </w:r>
      <w:r w:rsidRPr="00BC6F78">
        <w:t>objectives</w:t>
      </w:r>
      <w:r>
        <w:t>, locations and dates</w:t>
      </w:r>
      <w:bookmarkEnd w:id="86"/>
    </w:p>
    <w:p w:rsidR="00B03F4F" w:rsidRDefault="00B03F4F" w:rsidP="004F2F93">
      <w:proofErr w:type="gramStart"/>
      <w:r>
        <w:t xml:space="preserve">An ongoing study evaluating </w:t>
      </w:r>
      <w:proofErr w:type="spellStart"/>
      <w:r>
        <w:t>Eltrombopag</w:t>
      </w:r>
      <w:proofErr w:type="spellEnd"/>
      <w:r>
        <w:t xml:space="preserve"> in combination with standard, first line</w:t>
      </w:r>
      <w:r w:rsidR="00BC6F78">
        <w:t xml:space="preserve"> i</w:t>
      </w:r>
      <w:r>
        <w:t>mmunosuppressive therapy (</w:t>
      </w:r>
      <w:proofErr w:type="spellStart"/>
      <w:r>
        <w:t>hATG</w:t>
      </w:r>
      <w:proofErr w:type="spellEnd"/>
      <w:r>
        <w:t>/</w:t>
      </w:r>
      <w:proofErr w:type="spellStart"/>
      <w:r>
        <w:t>CsA</w:t>
      </w:r>
      <w:proofErr w:type="spellEnd"/>
      <w:r>
        <w:t>) for treatment-naïve patients with SAA</w:t>
      </w:r>
      <w:r w:rsidR="008B6069">
        <w:t xml:space="preserve"> (Figure 3)</w:t>
      </w:r>
      <w:r>
        <w:t>.</w:t>
      </w:r>
      <w:proofErr w:type="gramEnd"/>
    </w:p>
    <w:p w:rsidR="00B03F4F" w:rsidRDefault="00B03F4F" w:rsidP="004F2F93">
      <w:r>
        <w:t>Design</w:t>
      </w:r>
      <w:r w:rsidR="00BC6F78">
        <w:t>:</w:t>
      </w:r>
      <w:r>
        <w:t xml:space="preserve"> an open-label, Phase I/II single-centre study of </w:t>
      </w:r>
      <w:proofErr w:type="spellStart"/>
      <w:r>
        <w:t>eltrombopag</w:t>
      </w:r>
      <w:proofErr w:type="spellEnd"/>
      <w:r>
        <w:t xml:space="preserve"> in combination with standard regimen of </w:t>
      </w:r>
      <w:proofErr w:type="spellStart"/>
      <w:r>
        <w:t>hATG</w:t>
      </w:r>
      <w:proofErr w:type="spellEnd"/>
      <w:r>
        <w:t>/</w:t>
      </w:r>
      <w:proofErr w:type="spellStart"/>
      <w:r>
        <w:t>CsA</w:t>
      </w:r>
      <w:proofErr w:type="spellEnd"/>
      <w:r>
        <w:t xml:space="preserve"> in 62 treatment-naive subjects ages 2 and above with SAA. Sixty-two subjects will be enrolled in this study; the first 31 subjects will be enrolled to Cohort 1 (</w:t>
      </w:r>
      <w:proofErr w:type="spellStart"/>
      <w:r>
        <w:t>eltrombopag</w:t>
      </w:r>
      <w:proofErr w:type="spellEnd"/>
      <w:r>
        <w:t xml:space="preserve"> treatment for 6 months) and the remaining 31 subjects will be enrolled to Cohort 2 (</w:t>
      </w:r>
      <w:proofErr w:type="spellStart"/>
      <w:r>
        <w:t>eltrombopag</w:t>
      </w:r>
      <w:proofErr w:type="spellEnd"/>
      <w:r>
        <w:t xml:space="preserve"> treatment for 3 months).</w:t>
      </w:r>
    </w:p>
    <w:p w:rsidR="00A651F3" w:rsidRDefault="00B03F4F" w:rsidP="00BC6F78">
      <w:pPr>
        <w:pStyle w:val="FigureTitle"/>
      </w:pPr>
      <w:bookmarkStart w:id="87" w:name="_Toc295132831"/>
      <w:r>
        <w:t>Figure</w:t>
      </w:r>
      <w:r w:rsidR="008B6069">
        <w:t xml:space="preserve"> 3</w:t>
      </w:r>
      <w:r w:rsidR="00BC6F78">
        <w:t>:</w:t>
      </w:r>
      <w:r>
        <w:t xml:space="preserve"> ELT116643 Study design</w:t>
      </w:r>
      <w:bookmarkEnd w:id="87"/>
    </w:p>
    <w:p w:rsidR="00B03F4F" w:rsidRDefault="00B03F4F" w:rsidP="00A651F3">
      <w:r>
        <w:rPr>
          <w:noProof/>
          <w:lang w:eastAsia="en-AU"/>
        </w:rPr>
        <w:drawing>
          <wp:inline distT="0" distB="0" distL="0" distR="0" wp14:anchorId="2C861EB2" wp14:editId="3054695B">
            <wp:extent cx="5019586" cy="1734457"/>
            <wp:effectExtent l="0" t="0" r="0" b="0"/>
            <wp:docPr id="8" name="Picture 8" descr="Figure 3: ELT116643 Study design&#10;1. 62 SAA treatment naïve patients&#10;2. Horse-ATG x 4 days CsA starting Day 1 at 6 mg&#10;3. Eltrombopag daily, starting Day 14 at 3 or 6 mg&#10;4. Follow-up 3 months, 6 months, annually for up to 5 years&#10;5. Of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19586" cy="1734457"/>
                    </a:xfrm>
                    <a:prstGeom prst="rect">
                      <a:avLst/>
                    </a:prstGeom>
                    <a:noFill/>
                    <a:ln>
                      <a:noFill/>
                    </a:ln>
                  </pic:spPr>
                </pic:pic>
              </a:graphicData>
            </a:graphic>
          </wp:inline>
        </w:drawing>
      </w:r>
    </w:p>
    <w:p w:rsidR="00B753D7" w:rsidRPr="00B753D7" w:rsidRDefault="00B753D7" w:rsidP="00A651F3">
      <w:pPr>
        <w:pStyle w:val="FigureDescription"/>
      </w:pPr>
      <w:r w:rsidRPr="00B753D7">
        <w:t xml:space="preserve">1. 62 SAA treatment naïve patients; 2. </w:t>
      </w:r>
      <w:proofErr w:type="gramStart"/>
      <w:r w:rsidRPr="00B753D7">
        <w:t xml:space="preserve">Horse-ATG x 4 days </w:t>
      </w:r>
      <w:proofErr w:type="spellStart"/>
      <w:r w:rsidRPr="00B753D7">
        <w:t>CsA</w:t>
      </w:r>
      <w:proofErr w:type="spellEnd"/>
      <w:r w:rsidRPr="00B753D7">
        <w:t xml:space="preserve"> starting Day 1 at 6 mg; 3.</w:t>
      </w:r>
      <w:proofErr w:type="gramEnd"/>
      <w:r w:rsidRPr="00B753D7">
        <w:t xml:space="preserve"> </w:t>
      </w:r>
      <w:proofErr w:type="spellStart"/>
      <w:proofErr w:type="gramStart"/>
      <w:r w:rsidRPr="00B753D7">
        <w:t>Eltrombopag</w:t>
      </w:r>
      <w:proofErr w:type="spellEnd"/>
      <w:r w:rsidRPr="00B753D7">
        <w:t xml:space="preserve"> daily, starting Day 14 at 3 or 6 mg; 4.</w:t>
      </w:r>
      <w:proofErr w:type="gramEnd"/>
      <w:r w:rsidRPr="00B753D7">
        <w:t xml:space="preserve"> </w:t>
      </w:r>
      <w:proofErr w:type="gramStart"/>
      <w:r w:rsidRPr="00B753D7">
        <w:t>Follow-up 3 months, 6 months, annually for up to 5 years; 5.</w:t>
      </w:r>
      <w:proofErr w:type="gramEnd"/>
      <w:r w:rsidRPr="00B753D7">
        <w:t xml:space="preserve"> Off study</w:t>
      </w:r>
    </w:p>
    <w:p w:rsidR="00B03F4F" w:rsidRDefault="00B03F4F" w:rsidP="00B03F4F">
      <w:pPr>
        <w:autoSpaceDE w:val="0"/>
        <w:autoSpaceDN w:val="0"/>
        <w:adjustRightInd w:val="0"/>
        <w:rPr>
          <w:lang w:val="en-US"/>
        </w:rPr>
      </w:pPr>
      <w:r>
        <w:rPr>
          <w:lang w:val="en-US"/>
        </w:rPr>
        <w:t xml:space="preserve">The primary endpoint of the study was </w:t>
      </w:r>
      <w:proofErr w:type="spellStart"/>
      <w:r>
        <w:rPr>
          <w:lang w:val="en-US"/>
        </w:rPr>
        <w:t>haematological</w:t>
      </w:r>
      <w:proofErr w:type="spellEnd"/>
      <w:r>
        <w:rPr>
          <w:lang w:val="en-US"/>
        </w:rPr>
        <w:t xml:space="preserve"> response (platelet count, erythroid or neutrophil) at 6 months (24 weeks). </w:t>
      </w:r>
      <w:proofErr w:type="spellStart"/>
      <w:r>
        <w:rPr>
          <w:lang w:val="en-US"/>
        </w:rPr>
        <w:t>Haematological</w:t>
      </w:r>
      <w:proofErr w:type="spellEnd"/>
      <w:r>
        <w:rPr>
          <w:lang w:val="en-US"/>
        </w:rPr>
        <w:t xml:space="preserve"> response is defined as:</w:t>
      </w:r>
    </w:p>
    <w:p w:rsidR="00B03F4F" w:rsidRPr="00392749" w:rsidRDefault="00B03F4F" w:rsidP="004F2F93">
      <w:pPr>
        <w:pStyle w:val="ListBullet"/>
        <w:rPr>
          <w:lang w:val="en-US"/>
        </w:rPr>
      </w:pPr>
      <w:r>
        <w:rPr>
          <w:lang w:val="en-US"/>
        </w:rPr>
        <w:t xml:space="preserve">Platelet count increases to 20 </w:t>
      </w:r>
      <w:r w:rsidR="0032542E">
        <w:t>x 10</w:t>
      </w:r>
      <w:r w:rsidR="0032542E" w:rsidRPr="0032542E">
        <w:rPr>
          <w:vertAlign w:val="superscript"/>
        </w:rPr>
        <w:t>9</w:t>
      </w:r>
      <w:r>
        <w:rPr>
          <w:lang w:val="en-US"/>
        </w:rPr>
        <w:t xml:space="preserve">/L above baseline, or stable platelet counts with transfusion </w:t>
      </w:r>
      <w:r w:rsidRPr="00392749">
        <w:rPr>
          <w:lang w:val="en-US"/>
        </w:rPr>
        <w:t>independence for a minimum of 8 consecutive weeks;</w:t>
      </w:r>
    </w:p>
    <w:p w:rsidR="00B03F4F" w:rsidRPr="00392749" w:rsidRDefault="00B03F4F" w:rsidP="004F2F93">
      <w:pPr>
        <w:pStyle w:val="ListBullet"/>
        <w:rPr>
          <w:lang w:val="en-US"/>
        </w:rPr>
      </w:pPr>
      <w:proofErr w:type="spellStart"/>
      <w:r w:rsidRPr="00392749">
        <w:rPr>
          <w:lang w:val="en-US"/>
        </w:rPr>
        <w:t>Haemoglobin</w:t>
      </w:r>
      <w:proofErr w:type="spellEnd"/>
      <w:r w:rsidRPr="00392749">
        <w:rPr>
          <w:lang w:val="en-US"/>
        </w:rPr>
        <w:t xml:space="preserve"> increase by </w:t>
      </w:r>
      <w:r w:rsidR="00BC6F78" w:rsidRPr="00392749">
        <w:rPr>
          <w:lang w:val="en-US"/>
        </w:rPr>
        <w:t xml:space="preserve">&gt; </w:t>
      </w:r>
      <w:r w:rsidRPr="00392749">
        <w:rPr>
          <w:lang w:val="en-US"/>
        </w:rPr>
        <w:t>1.5 g/</w:t>
      </w:r>
      <w:proofErr w:type="spellStart"/>
      <w:r w:rsidRPr="00392749">
        <w:rPr>
          <w:lang w:val="en-US"/>
        </w:rPr>
        <w:t>dL</w:t>
      </w:r>
      <w:proofErr w:type="spellEnd"/>
      <w:r w:rsidRPr="00392749">
        <w:rPr>
          <w:lang w:val="en-US"/>
        </w:rPr>
        <w:t xml:space="preserve"> (for subjects with pre-treatment </w:t>
      </w:r>
      <w:proofErr w:type="spellStart"/>
      <w:r w:rsidRPr="00392749">
        <w:rPr>
          <w:lang w:val="en-US"/>
        </w:rPr>
        <w:t>haemoglobin</w:t>
      </w:r>
      <w:proofErr w:type="spellEnd"/>
      <w:r w:rsidRPr="00392749">
        <w:rPr>
          <w:lang w:val="en-US"/>
        </w:rPr>
        <w:t xml:space="preserve"> &lt;</w:t>
      </w:r>
      <w:r w:rsidR="00BC6F78" w:rsidRPr="00392749">
        <w:rPr>
          <w:lang w:val="en-US"/>
        </w:rPr>
        <w:t xml:space="preserve"> </w:t>
      </w:r>
      <w:r w:rsidRPr="00392749">
        <w:rPr>
          <w:lang w:val="en-US"/>
        </w:rPr>
        <w:t>9 g/</w:t>
      </w:r>
      <w:proofErr w:type="spellStart"/>
      <w:r w:rsidRPr="00392749">
        <w:rPr>
          <w:lang w:val="en-US"/>
        </w:rPr>
        <w:t>dL</w:t>
      </w:r>
      <w:proofErr w:type="spellEnd"/>
      <w:r w:rsidRPr="00392749">
        <w:rPr>
          <w:lang w:val="en-US"/>
        </w:rPr>
        <w:t>), or a reduction in the units of red blood cell transfusion by at least 4 of 8 consecutive weeks pre-treatment;</w:t>
      </w:r>
    </w:p>
    <w:p w:rsidR="00B03F4F" w:rsidRDefault="00B03F4F" w:rsidP="004F2F93">
      <w:pPr>
        <w:pStyle w:val="ListBullet"/>
        <w:rPr>
          <w:lang w:val="en-US"/>
        </w:rPr>
      </w:pPr>
      <w:r>
        <w:rPr>
          <w:lang w:val="en-US"/>
        </w:rPr>
        <w:t xml:space="preserve">Absolute neutrophil count increase of 100% (for pre-treatment levels &lt;0.5 </w:t>
      </w:r>
      <w:r w:rsidR="0032542E">
        <w:t>x 10</w:t>
      </w:r>
      <w:r w:rsidR="0032542E" w:rsidRPr="0032542E">
        <w:rPr>
          <w:vertAlign w:val="superscript"/>
        </w:rPr>
        <w:t>9</w:t>
      </w:r>
      <w:r>
        <w:rPr>
          <w:lang w:val="en-US"/>
        </w:rPr>
        <w:t xml:space="preserve">/L), or an ANC increase &gt;0.5 </w:t>
      </w:r>
      <w:r w:rsidR="0032542E">
        <w:t>x 10</w:t>
      </w:r>
      <w:r w:rsidR="0032542E" w:rsidRPr="0032542E">
        <w:rPr>
          <w:vertAlign w:val="superscript"/>
        </w:rPr>
        <w:t>9</w:t>
      </w:r>
      <w:r>
        <w:rPr>
          <w:lang w:val="en-US"/>
        </w:rPr>
        <w:t>/L.</w:t>
      </w:r>
    </w:p>
    <w:p w:rsidR="00B03F4F" w:rsidRDefault="00B03F4F" w:rsidP="00B03F4F">
      <w:pPr>
        <w:autoSpaceDE w:val="0"/>
        <w:autoSpaceDN w:val="0"/>
        <w:adjustRightInd w:val="0"/>
      </w:pPr>
      <w:r>
        <w:rPr>
          <w:lang w:val="en-US"/>
        </w:rPr>
        <w:t>Secondary endpoints included duration of response (</w:t>
      </w:r>
      <w:proofErr w:type="spellStart"/>
      <w:r>
        <w:rPr>
          <w:lang w:val="en-US"/>
        </w:rPr>
        <w:t>haematological</w:t>
      </w:r>
      <w:proofErr w:type="spellEnd"/>
      <w:r>
        <w:rPr>
          <w:lang w:val="en-US"/>
        </w:rPr>
        <w:t xml:space="preserve"> responses at 3 months, 12 months and yearly thereafter), relapse, and progression to clonal </w:t>
      </w:r>
      <w:proofErr w:type="spellStart"/>
      <w:r>
        <w:rPr>
          <w:lang w:val="en-US"/>
        </w:rPr>
        <w:t>haematopoiesis</w:t>
      </w:r>
      <w:proofErr w:type="spellEnd"/>
      <w:r>
        <w:rPr>
          <w:lang w:val="en-US"/>
        </w:rPr>
        <w:t xml:space="preserve"> (PNH evolution, cytogenetic abnormalities in bone marrow, myelodysplasia by morphology, or acute </w:t>
      </w:r>
      <w:proofErr w:type="spellStart"/>
      <w:r>
        <w:rPr>
          <w:lang w:val="en-US"/>
        </w:rPr>
        <w:t>leukaemia</w:t>
      </w:r>
      <w:proofErr w:type="spellEnd"/>
      <w:r>
        <w:rPr>
          <w:lang w:val="en-US"/>
        </w:rPr>
        <w:t>), survival, and health-related quality of life.</w:t>
      </w:r>
    </w:p>
    <w:p w:rsidR="00B03F4F" w:rsidRDefault="00B03F4F" w:rsidP="00BC4E3B">
      <w:pPr>
        <w:pStyle w:val="Heading5"/>
      </w:pPr>
      <w:r>
        <w:t>Inclusion and exclusion criteria</w:t>
      </w:r>
    </w:p>
    <w:p w:rsidR="00B03F4F" w:rsidRDefault="00B03F4F" w:rsidP="00B03F4F">
      <w:pPr>
        <w:autoSpaceDE w:val="0"/>
        <w:autoSpaceDN w:val="0"/>
        <w:adjustRightInd w:val="0"/>
        <w:rPr>
          <w:lang w:val="en-US"/>
        </w:rPr>
      </w:pPr>
      <w:r>
        <w:rPr>
          <w:lang w:val="en-US"/>
        </w:rPr>
        <w:t xml:space="preserve">Inclusion </w:t>
      </w:r>
      <w:r w:rsidR="00A651F3">
        <w:rPr>
          <w:lang w:val="en-US"/>
        </w:rPr>
        <w:t>c</w:t>
      </w:r>
      <w:r>
        <w:rPr>
          <w:lang w:val="en-US"/>
        </w:rPr>
        <w:t>riteria</w:t>
      </w:r>
    </w:p>
    <w:p w:rsidR="00B03F4F" w:rsidRPr="004F2F93" w:rsidRDefault="00B753D7" w:rsidP="000663A9">
      <w:pPr>
        <w:pStyle w:val="Numberbullet0"/>
        <w:numPr>
          <w:ilvl w:val="0"/>
          <w:numId w:val="14"/>
        </w:numPr>
        <w:rPr>
          <w:lang w:val="en-US"/>
        </w:rPr>
      </w:pPr>
      <w:r>
        <w:rPr>
          <w:lang w:val="en-US"/>
        </w:rPr>
        <w:t xml:space="preserve">SAA </w:t>
      </w:r>
      <w:proofErr w:type="spellStart"/>
      <w:r>
        <w:rPr>
          <w:lang w:val="en-US"/>
        </w:rPr>
        <w:t>characteris</w:t>
      </w:r>
      <w:r w:rsidR="00B03F4F" w:rsidRPr="004F2F93">
        <w:rPr>
          <w:lang w:val="en-US"/>
        </w:rPr>
        <w:t>ed</w:t>
      </w:r>
      <w:proofErr w:type="spellEnd"/>
      <w:r w:rsidR="00B03F4F" w:rsidRPr="004F2F93">
        <w:rPr>
          <w:lang w:val="en-US"/>
        </w:rPr>
        <w:t xml:space="preserve"> by Bone marrow cellularity &lt; 30% (excluding lymphocytes) AND</w:t>
      </w:r>
    </w:p>
    <w:p w:rsidR="00B03F4F" w:rsidRDefault="009E4A5C" w:rsidP="0025467A">
      <w:pPr>
        <w:pStyle w:val="ListBullet2"/>
        <w:numPr>
          <w:ilvl w:val="0"/>
          <w:numId w:val="0"/>
        </w:numPr>
        <w:ind w:left="720" w:hanging="360"/>
        <w:rPr>
          <w:lang w:val="en-US"/>
        </w:rPr>
      </w:pPr>
      <w:r>
        <w:rPr>
          <w:lang w:val="en-US"/>
        </w:rPr>
        <w:t>a</w:t>
      </w:r>
      <w:r w:rsidR="00B03F4F">
        <w:rPr>
          <w:lang w:val="en-US"/>
        </w:rPr>
        <w:t xml:space="preserve">t least two of the following: ANC &lt; 0.5 </w:t>
      </w:r>
      <w:r w:rsidR="0032542E">
        <w:t>x 10</w:t>
      </w:r>
      <w:r w:rsidR="0032542E" w:rsidRPr="0032542E">
        <w:rPr>
          <w:vertAlign w:val="superscript"/>
        </w:rPr>
        <w:t>9</w:t>
      </w:r>
      <w:r w:rsidR="00B03F4F">
        <w:rPr>
          <w:lang w:val="en-US"/>
        </w:rPr>
        <w:t xml:space="preserve">/L, Platelet count &lt; 20 </w:t>
      </w:r>
      <w:r w:rsidR="0032542E">
        <w:t>x 10</w:t>
      </w:r>
      <w:r w:rsidR="0032542E" w:rsidRPr="0032542E">
        <w:rPr>
          <w:vertAlign w:val="superscript"/>
        </w:rPr>
        <w:t>9</w:t>
      </w:r>
      <w:r w:rsidR="00B03F4F">
        <w:rPr>
          <w:lang w:val="en-US"/>
        </w:rPr>
        <w:t xml:space="preserve">/L, or ARC &lt; 60 </w:t>
      </w:r>
      <w:r w:rsidR="0032542E">
        <w:t>x 10</w:t>
      </w:r>
      <w:r w:rsidR="0032542E" w:rsidRPr="0032542E">
        <w:rPr>
          <w:vertAlign w:val="superscript"/>
        </w:rPr>
        <w:t>9</w:t>
      </w:r>
      <w:r w:rsidR="00B03F4F">
        <w:rPr>
          <w:lang w:val="en-US"/>
        </w:rPr>
        <w:t>/µL</w:t>
      </w:r>
    </w:p>
    <w:p w:rsidR="00B03F4F" w:rsidRDefault="00B03F4F" w:rsidP="004F2F93">
      <w:pPr>
        <w:pStyle w:val="Numberbullet0"/>
        <w:rPr>
          <w:lang w:val="en-US"/>
        </w:rPr>
      </w:pPr>
      <w:r>
        <w:rPr>
          <w:lang w:val="en-US"/>
        </w:rPr>
        <w:t>Age &gt; 2 years old</w:t>
      </w:r>
    </w:p>
    <w:p w:rsidR="00B03F4F" w:rsidRDefault="00B03F4F" w:rsidP="004F2F93">
      <w:pPr>
        <w:pStyle w:val="Numberbullet0"/>
        <w:rPr>
          <w:lang w:val="en-US"/>
        </w:rPr>
      </w:pPr>
      <w:r>
        <w:rPr>
          <w:lang w:val="en-US"/>
        </w:rPr>
        <w:t>Weight &gt; 12 kg</w:t>
      </w:r>
    </w:p>
    <w:p w:rsidR="00B03F4F" w:rsidRDefault="00B03F4F" w:rsidP="00B03F4F">
      <w:pPr>
        <w:autoSpaceDE w:val="0"/>
        <w:autoSpaceDN w:val="0"/>
        <w:adjustRightInd w:val="0"/>
        <w:rPr>
          <w:lang w:val="en-US"/>
        </w:rPr>
      </w:pPr>
      <w:r>
        <w:rPr>
          <w:lang w:val="en-US"/>
        </w:rPr>
        <w:t xml:space="preserve">Exclusion </w:t>
      </w:r>
      <w:r w:rsidR="00A651F3">
        <w:rPr>
          <w:lang w:val="en-US"/>
        </w:rPr>
        <w:t>c</w:t>
      </w:r>
      <w:r>
        <w:rPr>
          <w:lang w:val="en-US"/>
        </w:rPr>
        <w:t>riteria</w:t>
      </w:r>
    </w:p>
    <w:p w:rsidR="00B03F4F" w:rsidRPr="004F2F93" w:rsidRDefault="00B03F4F" w:rsidP="000663A9">
      <w:pPr>
        <w:pStyle w:val="Numberbullet0"/>
        <w:numPr>
          <w:ilvl w:val="0"/>
          <w:numId w:val="15"/>
        </w:numPr>
        <w:rPr>
          <w:lang w:val="en-US"/>
        </w:rPr>
      </w:pPr>
      <w:r w:rsidRPr="004F2F93">
        <w:rPr>
          <w:lang w:val="en-US"/>
        </w:rPr>
        <w:t xml:space="preserve">Diagnosis of </w:t>
      </w:r>
      <w:proofErr w:type="spellStart"/>
      <w:r w:rsidRPr="004F2F93">
        <w:rPr>
          <w:lang w:val="en-US"/>
        </w:rPr>
        <w:t>Fanconi</w:t>
      </w:r>
      <w:proofErr w:type="spellEnd"/>
      <w:r w:rsidRPr="004F2F93">
        <w:rPr>
          <w:lang w:val="en-US"/>
        </w:rPr>
        <w:t xml:space="preserve"> anemia</w:t>
      </w:r>
    </w:p>
    <w:p w:rsidR="00B03F4F" w:rsidRPr="004F2F93" w:rsidRDefault="00B03F4F" w:rsidP="000663A9">
      <w:pPr>
        <w:pStyle w:val="Numberbullet0"/>
        <w:numPr>
          <w:ilvl w:val="0"/>
          <w:numId w:val="15"/>
        </w:numPr>
        <w:rPr>
          <w:lang w:val="en-US"/>
        </w:rPr>
      </w:pPr>
      <w:r w:rsidRPr="004F2F93">
        <w:rPr>
          <w:lang w:val="en-US"/>
        </w:rPr>
        <w:t>Evidence of a clonal disorder on cytogenetics performed within 12 weeks of study entry</w:t>
      </w:r>
    </w:p>
    <w:p w:rsidR="00B03F4F" w:rsidRPr="004F2F93" w:rsidRDefault="00B03F4F" w:rsidP="000663A9">
      <w:pPr>
        <w:pStyle w:val="Numberbullet0"/>
        <w:numPr>
          <w:ilvl w:val="0"/>
          <w:numId w:val="15"/>
        </w:numPr>
        <w:rPr>
          <w:lang w:val="en-US"/>
        </w:rPr>
      </w:pPr>
      <w:r w:rsidRPr="004F2F93">
        <w:rPr>
          <w:lang w:val="en-US"/>
        </w:rPr>
        <w:lastRenderedPageBreak/>
        <w:t xml:space="preserve">Prior immunosuppressive therapy with any ATG, </w:t>
      </w:r>
      <w:proofErr w:type="spellStart"/>
      <w:r w:rsidRPr="004F2F93">
        <w:rPr>
          <w:lang w:val="en-US"/>
        </w:rPr>
        <w:t>alemtuzumab</w:t>
      </w:r>
      <w:proofErr w:type="spellEnd"/>
      <w:r w:rsidRPr="004F2F93">
        <w:rPr>
          <w:lang w:val="en-US"/>
        </w:rPr>
        <w:t>, or high dose cyclophosphamide</w:t>
      </w:r>
    </w:p>
    <w:p w:rsidR="00B03F4F" w:rsidRPr="004F2F93" w:rsidRDefault="00B03F4F" w:rsidP="000663A9">
      <w:pPr>
        <w:pStyle w:val="Numberbullet0"/>
        <w:numPr>
          <w:ilvl w:val="0"/>
          <w:numId w:val="15"/>
        </w:numPr>
        <w:rPr>
          <w:lang w:val="en-US"/>
        </w:rPr>
      </w:pPr>
      <w:r w:rsidRPr="004F2F93">
        <w:rPr>
          <w:lang w:val="en-US"/>
        </w:rPr>
        <w:t>Alanine aminotransferase or aspartate aminotransferase &gt; 3 times the upper limit of normal</w:t>
      </w:r>
    </w:p>
    <w:p w:rsidR="00B03F4F" w:rsidRPr="004F2F93" w:rsidRDefault="00B03F4F" w:rsidP="000663A9">
      <w:pPr>
        <w:pStyle w:val="Numberbullet0"/>
        <w:numPr>
          <w:ilvl w:val="0"/>
          <w:numId w:val="15"/>
        </w:numPr>
        <w:rPr>
          <w:lang w:val="en-US"/>
        </w:rPr>
      </w:pPr>
      <w:r w:rsidRPr="004F2F93">
        <w:rPr>
          <w:lang w:val="en-US"/>
        </w:rPr>
        <w:t>Subjects with liver cirrhosis</w:t>
      </w:r>
    </w:p>
    <w:p w:rsidR="00B03F4F" w:rsidRPr="004F2F93" w:rsidRDefault="00B03F4F" w:rsidP="000663A9">
      <w:pPr>
        <w:pStyle w:val="Numberbullet0"/>
        <w:numPr>
          <w:ilvl w:val="0"/>
          <w:numId w:val="15"/>
        </w:numPr>
        <w:rPr>
          <w:lang w:val="en-US"/>
        </w:rPr>
      </w:pPr>
      <w:r w:rsidRPr="004F2F93">
        <w:rPr>
          <w:lang w:val="en-US"/>
        </w:rPr>
        <w:t xml:space="preserve">Hypersensitivity to </w:t>
      </w:r>
      <w:proofErr w:type="spellStart"/>
      <w:r w:rsidRPr="004F2F93">
        <w:rPr>
          <w:lang w:val="en-US"/>
        </w:rPr>
        <w:t>eltrombopag</w:t>
      </w:r>
      <w:proofErr w:type="spellEnd"/>
      <w:r w:rsidRPr="004F2F93">
        <w:rPr>
          <w:lang w:val="en-US"/>
        </w:rPr>
        <w:t xml:space="preserve"> or its components</w:t>
      </w:r>
    </w:p>
    <w:p w:rsidR="00B03F4F" w:rsidRPr="004F2F93" w:rsidRDefault="00B03F4F" w:rsidP="000663A9">
      <w:pPr>
        <w:pStyle w:val="Numberbullet0"/>
        <w:numPr>
          <w:ilvl w:val="0"/>
          <w:numId w:val="15"/>
        </w:numPr>
        <w:rPr>
          <w:lang w:val="en-US"/>
        </w:rPr>
      </w:pPr>
      <w:r w:rsidRPr="004F2F93">
        <w:rPr>
          <w:lang w:val="en-US"/>
        </w:rPr>
        <w:t>Infection not adequately responding to appropriate therapy</w:t>
      </w:r>
    </w:p>
    <w:p w:rsidR="002638A5" w:rsidRDefault="00B03F4F" w:rsidP="000663A9">
      <w:pPr>
        <w:pStyle w:val="Numberbullet0"/>
        <w:numPr>
          <w:ilvl w:val="0"/>
          <w:numId w:val="15"/>
        </w:numPr>
        <w:rPr>
          <w:lang w:val="en-US"/>
        </w:rPr>
      </w:pPr>
      <w:r w:rsidRPr="004F2F93">
        <w:rPr>
          <w:lang w:val="en-US"/>
        </w:rPr>
        <w:t>Moribund status or concurrent hepatic, renal, cardiac, neurologic, pulmonary, infectious, or metabolic disease of such severity that it would preclude the patient’s ability to tolerate protocol therapy, or that death within 7-10 days is likely</w:t>
      </w:r>
    </w:p>
    <w:p w:rsidR="00B03F4F" w:rsidRPr="004F2F93" w:rsidRDefault="00B03F4F" w:rsidP="000663A9">
      <w:pPr>
        <w:pStyle w:val="Numberbullet0"/>
        <w:numPr>
          <w:ilvl w:val="0"/>
          <w:numId w:val="15"/>
        </w:numPr>
        <w:rPr>
          <w:lang w:val="en-US"/>
        </w:rPr>
      </w:pPr>
      <w:r w:rsidRPr="004F2F93">
        <w:rPr>
          <w:lang w:val="en-US"/>
        </w:rPr>
        <w:t>Potential subjects with cancer who are on active chemotherapeutic treatment or who take drugs with hematological effects will not be eligible</w:t>
      </w:r>
    </w:p>
    <w:p w:rsidR="00B03F4F" w:rsidRPr="004F2F93" w:rsidRDefault="00B03F4F" w:rsidP="000663A9">
      <w:pPr>
        <w:pStyle w:val="Numberbullet0"/>
        <w:numPr>
          <w:ilvl w:val="0"/>
          <w:numId w:val="15"/>
        </w:numPr>
        <w:rPr>
          <w:lang w:val="en-US"/>
        </w:rPr>
      </w:pPr>
      <w:r w:rsidRPr="004F2F93">
        <w:rPr>
          <w:lang w:val="en-US"/>
        </w:rPr>
        <w:t>Current pregnancy, or unwillingness to take oral contraceptives or use a barrier method of birth control or practice abstinence to refrain from pregnancy if of childbearing potential during the course of this study</w:t>
      </w:r>
    </w:p>
    <w:p w:rsidR="00B03F4F" w:rsidRDefault="00B03F4F" w:rsidP="000663A9">
      <w:pPr>
        <w:pStyle w:val="Numberbullet0"/>
        <w:numPr>
          <w:ilvl w:val="0"/>
          <w:numId w:val="15"/>
        </w:numPr>
      </w:pPr>
      <w:r w:rsidRPr="004F2F93">
        <w:rPr>
          <w:lang w:val="en-US"/>
        </w:rPr>
        <w:t>Inability to understand the investigational nature of the study or to give informed consent</w:t>
      </w:r>
    </w:p>
    <w:p w:rsidR="00B03F4F" w:rsidRDefault="00B03F4F" w:rsidP="00BC4E3B">
      <w:pPr>
        <w:pStyle w:val="Heading5"/>
      </w:pPr>
      <w:r>
        <w:t>Study treatments</w:t>
      </w:r>
    </w:p>
    <w:p w:rsidR="00B03F4F" w:rsidRDefault="00B03F4F" w:rsidP="00B03F4F">
      <w:pPr>
        <w:autoSpaceDE w:val="0"/>
        <w:autoSpaceDN w:val="0"/>
        <w:adjustRightInd w:val="0"/>
      </w:pPr>
      <w:r w:rsidRPr="008B5E1C">
        <w:rPr>
          <w:i/>
        </w:rPr>
        <w:t>Dose</w:t>
      </w:r>
      <w:r w:rsidR="008B5E1C">
        <w:t>:</w:t>
      </w:r>
      <w:r w:rsidR="00392749">
        <w:t xml:space="preserve"> </w:t>
      </w:r>
      <w:proofErr w:type="spellStart"/>
      <w:r>
        <w:t>Eltrombopag</w:t>
      </w:r>
      <w:proofErr w:type="spellEnd"/>
      <w:r>
        <w:t xml:space="preserve">, 150 mg is initiated on Day 14 to avoid overlap with the known transient </w:t>
      </w:r>
      <w:proofErr w:type="spellStart"/>
      <w:r>
        <w:t>hepatotoxicities</w:t>
      </w:r>
      <w:proofErr w:type="spellEnd"/>
      <w:r>
        <w:t xml:space="preserve"> associated with ATG/</w:t>
      </w:r>
      <w:proofErr w:type="spellStart"/>
      <w:r>
        <w:t>CsA</w:t>
      </w:r>
      <w:proofErr w:type="spellEnd"/>
      <w:r>
        <w:t xml:space="preserve">. </w:t>
      </w:r>
      <w:proofErr w:type="spellStart"/>
      <w:r>
        <w:t>Eltrombopag</w:t>
      </w:r>
      <w:proofErr w:type="spellEnd"/>
      <w:r>
        <w:t>, along with cyclosporine, is discontinued at 6 months regardless of response characteristics in this study.</w:t>
      </w:r>
    </w:p>
    <w:p w:rsidR="00B03F4F" w:rsidRDefault="00B03F4F" w:rsidP="00B03F4F">
      <w:pPr>
        <w:autoSpaceDE w:val="0"/>
        <w:autoSpaceDN w:val="0"/>
        <w:adjustRightInd w:val="0"/>
        <w:rPr>
          <w:lang w:val="en-US"/>
        </w:rPr>
      </w:pPr>
      <w:proofErr w:type="spellStart"/>
      <w:r>
        <w:rPr>
          <w:lang w:val="en-US"/>
        </w:rPr>
        <w:t>Eltrombopag</w:t>
      </w:r>
      <w:proofErr w:type="spellEnd"/>
      <w:r>
        <w:rPr>
          <w:lang w:val="en-US"/>
        </w:rPr>
        <w:t xml:space="preserve"> was initiated on </w:t>
      </w:r>
      <w:r w:rsidR="008B5E1C">
        <w:rPr>
          <w:lang w:val="en-US"/>
        </w:rPr>
        <w:t>D</w:t>
      </w:r>
      <w:r>
        <w:rPr>
          <w:lang w:val="en-US"/>
        </w:rPr>
        <w:t xml:space="preserve">ay 14 to avoid overlap with the known transient </w:t>
      </w:r>
      <w:proofErr w:type="spellStart"/>
      <w:r>
        <w:rPr>
          <w:lang w:val="en-US"/>
        </w:rPr>
        <w:t>hepatotoxicities</w:t>
      </w:r>
      <w:proofErr w:type="spellEnd"/>
      <w:r>
        <w:rPr>
          <w:lang w:val="en-US"/>
        </w:rPr>
        <w:t xml:space="preserve"> associated with ATG/</w:t>
      </w:r>
      <w:proofErr w:type="spellStart"/>
      <w:r>
        <w:rPr>
          <w:lang w:val="en-US"/>
        </w:rPr>
        <w:t>CsA</w:t>
      </w:r>
      <w:proofErr w:type="spellEnd"/>
      <w:r>
        <w:rPr>
          <w:lang w:val="en-US"/>
        </w:rPr>
        <w:t xml:space="preserve">. Subjects initiate </w:t>
      </w:r>
      <w:proofErr w:type="spellStart"/>
      <w:r>
        <w:rPr>
          <w:lang w:val="en-US"/>
        </w:rPr>
        <w:t>eltrombopag</w:t>
      </w:r>
      <w:proofErr w:type="spellEnd"/>
      <w:r>
        <w:rPr>
          <w:lang w:val="en-US"/>
        </w:rPr>
        <w:t xml:space="preserve"> at a starting daily dose according to age and ethnicity (Table 11).</w:t>
      </w:r>
    </w:p>
    <w:p w:rsidR="00FE1955" w:rsidRDefault="00B03F4F" w:rsidP="008B5E1C">
      <w:pPr>
        <w:pStyle w:val="Tabletitle"/>
      </w:pPr>
      <w:bookmarkStart w:id="88" w:name="_Toc295132814"/>
      <w:r>
        <w:t xml:space="preserve">Table </w:t>
      </w:r>
      <w:r w:rsidR="008B5E1C">
        <w:t>11:</w:t>
      </w:r>
      <w:r>
        <w:t xml:space="preserve"> Dose according to age and ethnicity</w:t>
      </w:r>
      <w:bookmarkEnd w:id="88"/>
    </w:p>
    <w:p w:rsidR="00B03F4F" w:rsidRDefault="00B03F4F" w:rsidP="00A651F3">
      <w:r>
        <w:rPr>
          <w:noProof/>
          <w:lang w:eastAsia="en-AU"/>
        </w:rPr>
        <w:drawing>
          <wp:inline distT="0" distB="0" distL="0" distR="0" wp14:anchorId="77468437" wp14:editId="674B260B">
            <wp:extent cx="2692400" cy="1574800"/>
            <wp:effectExtent l="0" t="0" r="0" b="6350"/>
            <wp:docPr id="7" name="Picture 7" descr="Table 11: Dose according to ag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4821" cy="1576216"/>
                    </a:xfrm>
                    <a:prstGeom prst="rect">
                      <a:avLst/>
                    </a:prstGeom>
                    <a:noFill/>
                    <a:ln>
                      <a:noFill/>
                    </a:ln>
                  </pic:spPr>
                </pic:pic>
              </a:graphicData>
            </a:graphic>
          </wp:inline>
        </w:drawing>
      </w:r>
    </w:p>
    <w:p w:rsidR="00B03F4F" w:rsidRDefault="00B03F4F" w:rsidP="00B03F4F">
      <w:pPr>
        <w:rPr>
          <w:lang w:val="en-US"/>
        </w:rPr>
      </w:pPr>
      <w:r>
        <w:rPr>
          <w:lang w:val="en-US"/>
        </w:rPr>
        <w:t xml:space="preserve">The daily dose of </w:t>
      </w:r>
      <w:proofErr w:type="spellStart"/>
      <w:r>
        <w:rPr>
          <w:lang w:val="en-US"/>
        </w:rPr>
        <w:t>eltrombopag</w:t>
      </w:r>
      <w:proofErr w:type="spellEnd"/>
      <w:r>
        <w:rPr>
          <w:lang w:val="en-US"/>
        </w:rPr>
        <w:t xml:space="preserve"> was adjusted according to the rules outlined in Table 12.</w:t>
      </w:r>
    </w:p>
    <w:p w:rsidR="00B03F4F" w:rsidRDefault="00B03F4F" w:rsidP="008B5E1C">
      <w:pPr>
        <w:pStyle w:val="Tabletitle"/>
      </w:pPr>
      <w:bookmarkStart w:id="89" w:name="_Toc295132815"/>
      <w:r>
        <w:t>Table</w:t>
      </w:r>
      <w:r w:rsidR="008B5E1C">
        <w:t xml:space="preserve"> 12:</w:t>
      </w:r>
      <w:r>
        <w:t xml:space="preserve"> Dose adjustment of </w:t>
      </w:r>
      <w:proofErr w:type="spellStart"/>
      <w:r>
        <w:t>eltrombopag</w:t>
      </w:r>
      <w:bookmarkEnd w:id="89"/>
      <w:proofErr w:type="spellEnd"/>
    </w:p>
    <w:p w:rsidR="00B03F4F" w:rsidRDefault="00B03F4F" w:rsidP="00B03F4F">
      <w:pPr>
        <w:autoSpaceDE w:val="0"/>
        <w:autoSpaceDN w:val="0"/>
        <w:adjustRightInd w:val="0"/>
      </w:pPr>
      <w:r>
        <w:rPr>
          <w:noProof/>
          <w:lang w:eastAsia="en-AU"/>
        </w:rPr>
        <w:drawing>
          <wp:inline distT="0" distB="0" distL="0" distR="0" wp14:anchorId="235E6BF0" wp14:editId="785F986C">
            <wp:extent cx="3486150" cy="1066800"/>
            <wp:effectExtent l="0" t="0" r="0" b="0"/>
            <wp:docPr id="6" name="Picture 6" descr="Table 12: Dose adjustment of eltrombo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150" cy="1066800"/>
                    </a:xfrm>
                    <a:prstGeom prst="rect">
                      <a:avLst/>
                    </a:prstGeom>
                    <a:noFill/>
                    <a:ln>
                      <a:noFill/>
                    </a:ln>
                  </pic:spPr>
                </pic:pic>
              </a:graphicData>
            </a:graphic>
          </wp:inline>
        </w:drawing>
      </w:r>
    </w:p>
    <w:p w:rsidR="00B03F4F" w:rsidRDefault="00B03F4F" w:rsidP="00BC4E3B">
      <w:pPr>
        <w:pStyle w:val="Heading5"/>
      </w:pPr>
      <w:r>
        <w:lastRenderedPageBreak/>
        <w:t>Efficacy variables and outcomes</w:t>
      </w:r>
    </w:p>
    <w:p w:rsidR="00B03F4F" w:rsidRDefault="00B03F4F" w:rsidP="00B03F4F">
      <w:pPr>
        <w:rPr>
          <w:lang w:val="en-US"/>
        </w:rPr>
      </w:pPr>
      <w:r>
        <w:rPr>
          <w:lang w:val="en-US"/>
        </w:rPr>
        <w:t>The primary efficacy endpoint is the rate of complete hematologic response (CR) at six months and the key secondary efficacy endpoint was partial response (PR).</w:t>
      </w:r>
    </w:p>
    <w:p w:rsidR="00B03F4F" w:rsidRDefault="00B03F4F" w:rsidP="00BC4E3B">
      <w:pPr>
        <w:pStyle w:val="Heading5"/>
      </w:pPr>
      <w:r>
        <w:t>Randomisation and blinding methods</w:t>
      </w:r>
    </w:p>
    <w:p w:rsidR="00B03F4F" w:rsidRDefault="00B03F4F" w:rsidP="00B03F4F">
      <w:proofErr w:type="gramStart"/>
      <w:r>
        <w:t>None</w:t>
      </w:r>
      <w:r w:rsidR="008B5E1C">
        <w:t>.</w:t>
      </w:r>
      <w:proofErr w:type="gramEnd"/>
    </w:p>
    <w:p w:rsidR="00B03F4F" w:rsidRDefault="00B03F4F" w:rsidP="00BC4E3B">
      <w:pPr>
        <w:pStyle w:val="Heading5"/>
      </w:pPr>
      <w:r>
        <w:t>Analysis populations</w:t>
      </w:r>
    </w:p>
    <w:p w:rsidR="00B03F4F" w:rsidRDefault="00B03F4F" w:rsidP="00B03F4F">
      <w:pPr>
        <w:rPr>
          <w:lang w:val="en-US"/>
        </w:rPr>
      </w:pPr>
      <w:r>
        <w:rPr>
          <w:lang w:val="en-US"/>
        </w:rPr>
        <w:t xml:space="preserve">All subjects evaluated at the NIH who </w:t>
      </w:r>
      <w:proofErr w:type="gramStart"/>
      <w:r>
        <w:rPr>
          <w:lang w:val="en-US"/>
        </w:rPr>
        <w:t>are</w:t>
      </w:r>
      <w:proofErr w:type="gramEnd"/>
      <w:r>
        <w:rPr>
          <w:lang w:val="en-US"/>
        </w:rPr>
        <w:t xml:space="preserve"> age 2 and older with SAA who have not received prior ATG-based immunosuppressive therapy and lack a suitable matched sibling marrow donor (or are not allogeneic transplantation candidates due to patient choice, advanced age, or infeasibility of transplantation) will be considered for enrollment (Table 13).</w:t>
      </w:r>
    </w:p>
    <w:p w:rsidR="00B03F4F" w:rsidRDefault="00B03F4F" w:rsidP="00BC4E3B">
      <w:pPr>
        <w:pStyle w:val="Heading5"/>
      </w:pPr>
      <w:r>
        <w:t>Sample size</w:t>
      </w:r>
    </w:p>
    <w:p w:rsidR="00B03F4F" w:rsidRDefault="00B03F4F" w:rsidP="00B03F4F">
      <w:pPr>
        <w:rPr>
          <w:lang w:val="en-US"/>
        </w:rPr>
      </w:pPr>
      <w:r>
        <w:rPr>
          <w:lang w:val="en-US"/>
        </w:rPr>
        <w:t>Planned number of subjects: Cohort 1: 31; Cohort 2: 31</w:t>
      </w:r>
    </w:p>
    <w:p w:rsidR="00B03F4F" w:rsidRDefault="00B03F4F" w:rsidP="00B03F4F">
      <w:pPr>
        <w:rPr>
          <w:lang w:val="en-US"/>
        </w:rPr>
      </w:pPr>
      <w:r>
        <w:rPr>
          <w:lang w:val="en-US"/>
        </w:rPr>
        <w:t>Number of subjects enrolled: Cohort 1: 31; Cohort 2: 16</w:t>
      </w:r>
    </w:p>
    <w:p w:rsidR="00B03F4F" w:rsidRDefault="00B03F4F" w:rsidP="00B03F4F">
      <w:pPr>
        <w:rPr>
          <w:lang w:val="en-US"/>
        </w:rPr>
      </w:pPr>
      <w:r>
        <w:rPr>
          <w:lang w:val="en-US"/>
        </w:rPr>
        <w:t>Study is Ongoing: data are included up to clinical cut-off 31 March 2014</w:t>
      </w:r>
      <w:r w:rsidR="00FE1955">
        <w:rPr>
          <w:lang w:val="en-US"/>
        </w:rPr>
        <w:t>.</w:t>
      </w:r>
    </w:p>
    <w:p w:rsidR="00B03F4F" w:rsidRDefault="00B03F4F" w:rsidP="00BC4E3B">
      <w:pPr>
        <w:pStyle w:val="Heading5"/>
      </w:pPr>
      <w:r>
        <w:t>Statistical methods</w:t>
      </w:r>
    </w:p>
    <w:p w:rsidR="00B03F4F" w:rsidRDefault="00B03F4F" w:rsidP="00B03F4F">
      <w:pPr>
        <w:rPr>
          <w:lang w:val="en-US"/>
        </w:rPr>
      </w:pPr>
      <w:proofErr w:type="gramStart"/>
      <w:r>
        <w:rPr>
          <w:lang w:val="en-US"/>
        </w:rPr>
        <w:t>Simple descriptive statistics on the proportions of responses (% subjects with partial or complete response).</w:t>
      </w:r>
      <w:proofErr w:type="gramEnd"/>
    </w:p>
    <w:p w:rsidR="00B03F4F" w:rsidRDefault="00B03F4F" w:rsidP="00B03F4F">
      <w:pPr>
        <w:rPr>
          <w:lang w:val="en-US"/>
        </w:rPr>
      </w:pPr>
      <w:r>
        <w:rPr>
          <w:lang w:val="en-US"/>
        </w:rPr>
        <w:t>Subjects were considered evaluable for response at 3 or 6 months if they completed 3 or 6 months of treatment, respectively, or were discontinued early for any reason.</w:t>
      </w:r>
    </w:p>
    <w:p w:rsidR="00B03F4F" w:rsidRDefault="00B03F4F" w:rsidP="00BC4E3B">
      <w:pPr>
        <w:pStyle w:val="Heading5"/>
      </w:pPr>
      <w:r w:rsidRPr="008B5E1C">
        <w:t>Participant</w:t>
      </w:r>
      <w:r>
        <w:t xml:space="preserve"> flow</w:t>
      </w:r>
    </w:p>
    <w:p w:rsidR="00B03F4F" w:rsidRDefault="00B03F4F" w:rsidP="00B03F4F">
      <w:pPr>
        <w:tabs>
          <w:tab w:val="left" w:pos="3888"/>
        </w:tabs>
        <w:autoSpaceDE w:val="0"/>
        <w:autoSpaceDN w:val="0"/>
        <w:adjustRightInd w:val="0"/>
      </w:pPr>
      <w:r>
        <w:t>See Figure 3.</w:t>
      </w:r>
    </w:p>
    <w:p w:rsidR="00B03F4F" w:rsidRDefault="00B03F4F" w:rsidP="00BC4E3B">
      <w:pPr>
        <w:pStyle w:val="Heading5"/>
      </w:pPr>
      <w:r>
        <w:t xml:space="preserve">Baseline </w:t>
      </w:r>
      <w:r w:rsidRPr="008B5E1C">
        <w:t>data</w:t>
      </w:r>
    </w:p>
    <w:p w:rsidR="00B03F4F" w:rsidRDefault="00B03F4F" w:rsidP="00B03F4F">
      <w:pPr>
        <w:autoSpaceDE w:val="0"/>
        <w:autoSpaceDN w:val="0"/>
        <w:adjustRightInd w:val="0"/>
      </w:pPr>
      <w:r w:rsidRPr="008B5E1C">
        <w:rPr>
          <w:i/>
        </w:rPr>
        <w:t>Demographic and Baseline Characteristics</w:t>
      </w:r>
      <w:r w:rsidR="008B5E1C">
        <w:rPr>
          <w:i/>
        </w:rPr>
        <w:t>:</w:t>
      </w:r>
      <w:r>
        <w:t xml:space="preserve"> As of the clinical cut-off for this ongoing study, 47 of the planned 62 subjects (as of 31 Mar</w:t>
      </w:r>
      <w:r w:rsidR="008B5E1C">
        <w:t>ch</w:t>
      </w:r>
      <w:r>
        <w:t xml:space="preserve"> 2014) have been enrolled (Table 13). The first 31 subjects were enrolled to Cohort 1 and the remaining 16 subjects were enrolled to Cohort 2. The median (range) age of subjects was 39 years (12, 72), with 40 of 47 subjects (85%) being 18 years of age. Seven subjects (15%) were in the 12-17 year range. The majority of subjects were male (25, 53%). The majority of subjects were White (25, 53%) followed by Black/African American (15, 32%) and Asian (5, 11%). Baseline haematology values were consistent with the diagnosis of SAA (Table 14). The baseline median values for ANC, platelets and ARC were indicative of the </w:t>
      </w:r>
      <w:proofErr w:type="spellStart"/>
      <w:r>
        <w:t>pancytopaenic</w:t>
      </w:r>
      <w:proofErr w:type="spellEnd"/>
      <w:r>
        <w:t xml:space="preserve"> SAA patient population (0.33 </w:t>
      </w:r>
      <w:r w:rsidR="0032542E">
        <w:t>x 10</w:t>
      </w:r>
      <w:r w:rsidR="0032542E" w:rsidRPr="0032542E">
        <w:rPr>
          <w:vertAlign w:val="superscript"/>
        </w:rPr>
        <w:t>9</w:t>
      </w:r>
      <w:r>
        <w:t xml:space="preserve">/L, 9 </w:t>
      </w:r>
      <w:r w:rsidR="0032542E">
        <w:t>x 10</w:t>
      </w:r>
      <w:r w:rsidR="0032542E" w:rsidRPr="0032542E">
        <w:rPr>
          <w:vertAlign w:val="superscript"/>
        </w:rPr>
        <w:t>9</w:t>
      </w:r>
      <w:r>
        <w:t xml:space="preserve">/L and 12.8 </w:t>
      </w:r>
      <w:r w:rsidR="0032542E">
        <w:t>x 10</w:t>
      </w:r>
      <w:r w:rsidR="0032542E" w:rsidRPr="0032542E">
        <w:rPr>
          <w:vertAlign w:val="superscript"/>
        </w:rPr>
        <w:t>9</w:t>
      </w:r>
      <w:r>
        <w:t xml:space="preserve">/L, respectively). The majority of subjects (61%) enrolled in the study met the criteria for SAA in all 3 lineages. All subjects were treatment naive at entry into the study and were scheduled to receive standard IST with </w:t>
      </w:r>
      <w:proofErr w:type="spellStart"/>
      <w:r>
        <w:t>hATG</w:t>
      </w:r>
      <w:proofErr w:type="spellEnd"/>
      <w:r>
        <w:t>/</w:t>
      </w:r>
      <w:proofErr w:type="spellStart"/>
      <w:r>
        <w:t>CsA</w:t>
      </w:r>
      <w:proofErr w:type="spellEnd"/>
      <w:r>
        <w:t xml:space="preserve"> as part of the study.</w:t>
      </w:r>
    </w:p>
    <w:p w:rsidR="00456013" w:rsidRDefault="00B03F4F" w:rsidP="00FE1955">
      <w:pPr>
        <w:pStyle w:val="Tabletitle"/>
        <w:spacing w:after="0"/>
      </w:pPr>
      <w:bookmarkStart w:id="90" w:name="_Toc295132816"/>
      <w:r>
        <w:lastRenderedPageBreak/>
        <w:t>Table</w:t>
      </w:r>
      <w:r w:rsidR="008B5E1C">
        <w:t xml:space="preserve"> 13</w:t>
      </w:r>
      <w:r w:rsidR="008B5E1C">
        <w:rPr>
          <w:noProof/>
        </w:rPr>
        <w:t>:</w:t>
      </w:r>
      <w:r>
        <w:t xml:space="preserve"> Subject disposition</w:t>
      </w:r>
      <w:bookmarkStart w:id="91" w:name="_Toc295132817"/>
      <w:bookmarkEnd w:id="90"/>
    </w:p>
    <w:p w:rsidR="00456013" w:rsidRDefault="00456013" w:rsidP="00FE1955">
      <w:r>
        <w:rPr>
          <w:noProof/>
          <w:lang w:eastAsia="en-AU"/>
        </w:rPr>
        <w:drawing>
          <wp:inline distT="0" distB="0" distL="0" distR="0" wp14:anchorId="066756F5" wp14:editId="457FA1E3">
            <wp:extent cx="3733219" cy="2844800"/>
            <wp:effectExtent l="0" t="0" r="635" b="0"/>
            <wp:docPr id="299" name="Picture 299" descr="Table 13: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883" b="-1"/>
                    <a:stretch/>
                  </pic:blipFill>
                  <pic:spPr bwMode="auto">
                    <a:xfrm>
                      <a:off x="0" y="0"/>
                      <a:ext cx="3754307" cy="2860870"/>
                    </a:xfrm>
                    <a:prstGeom prst="rect">
                      <a:avLst/>
                    </a:prstGeom>
                    <a:ln>
                      <a:noFill/>
                    </a:ln>
                    <a:extLst>
                      <a:ext uri="{53640926-AAD7-44D8-BBD7-CCE9431645EC}">
                        <a14:shadowObscured xmlns:a14="http://schemas.microsoft.com/office/drawing/2010/main"/>
                      </a:ext>
                    </a:extLst>
                  </pic:spPr>
                </pic:pic>
              </a:graphicData>
            </a:graphic>
          </wp:inline>
        </w:drawing>
      </w:r>
    </w:p>
    <w:p w:rsidR="00A651F3" w:rsidRDefault="00B03F4F" w:rsidP="00FE1955">
      <w:pPr>
        <w:pStyle w:val="Tabletitle"/>
        <w:keepNext w:val="0"/>
      </w:pPr>
      <w:r>
        <w:t xml:space="preserve">Table </w:t>
      </w:r>
      <w:r w:rsidR="002638A5">
        <w:fldChar w:fldCharType="begin"/>
      </w:r>
      <w:r w:rsidR="002638A5">
        <w:instrText xml:space="preserve"> SEQ Table \* ARABIC </w:instrText>
      </w:r>
      <w:r w:rsidR="002638A5">
        <w:fldChar w:fldCharType="separate"/>
      </w:r>
      <w:r w:rsidR="00192660">
        <w:rPr>
          <w:noProof/>
        </w:rPr>
        <w:t>1</w:t>
      </w:r>
      <w:r w:rsidR="002638A5">
        <w:rPr>
          <w:noProof/>
        </w:rPr>
        <w:fldChar w:fldCharType="end"/>
      </w:r>
      <w:r w:rsidR="008B6069">
        <w:rPr>
          <w:noProof/>
        </w:rPr>
        <w:t>4:</w:t>
      </w:r>
      <w:r>
        <w:t xml:space="preserve"> Baseline haematology parameters</w:t>
      </w:r>
      <w:bookmarkEnd w:id="91"/>
    </w:p>
    <w:p w:rsidR="00B03F4F" w:rsidRDefault="00B03F4F" w:rsidP="00A651F3">
      <w:r>
        <w:rPr>
          <w:noProof/>
          <w:lang w:eastAsia="en-AU"/>
        </w:rPr>
        <w:drawing>
          <wp:inline distT="0" distB="0" distL="0" distR="0" wp14:anchorId="02929791" wp14:editId="4CCD367E">
            <wp:extent cx="4738914" cy="827314"/>
            <wp:effectExtent l="0" t="0" r="5080" b="0"/>
            <wp:docPr id="4" name="Picture 4" descr="Table 14: Baseline haematolog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b="11464"/>
                    <a:stretch/>
                  </pic:blipFill>
                  <pic:spPr bwMode="auto">
                    <a:xfrm>
                      <a:off x="0" y="0"/>
                      <a:ext cx="4733925" cy="826443"/>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A651F3">
      <w:pPr>
        <w:pStyle w:val="Heading5"/>
      </w:pPr>
      <w:r>
        <w:t xml:space="preserve">Results for the </w:t>
      </w:r>
      <w:r w:rsidRPr="00456013">
        <w:t>primary</w:t>
      </w:r>
      <w:r>
        <w:t xml:space="preserve"> efficacy outcome</w:t>
      </w:r>
    </w:p>
    <w:p w:rsidR="00B03F4F" w:rsidRDefault="00B03F4F" w:rsidP="00B03F4F">
      <w:pPr>
        <w:autoSpaceDE w:val="0"/>
        <w:autoSpaceDN w:val="0"/>
        <w:adjustRightInd w:val="0"/>
      </w:pPr>
      <w:r w:rsidRPr="00456013">
        <w:rPr>
          <w:i/>
        </w:rPr>
        <w:t>Efficacy data reported</w:t>
      </w:r>
      <w:r w:rsidR="00456013">
        <w:t>:</w:t>
      </w:r>
      <w:r>
        <w:t xml:space="preserve"> At the 6 month assessment, the primary endpoint of CR was met by 10/28 subjects (36%; 95% CI: 19%, 56%) and 22 subjects overall (79%) had a CR or PR (Table </w:t>
      </w:r>
      <w:r w:rsidR="008B6069">
        <w:t>15</w:t>
      </w:r>
      <w:r>
        <w:t>). At the 3 month assessment, 6/33 subjects (18%) had a CR and 26 subjects (79%) had an overall response. Five of the 6 subjects with a CR at 3 months were evaluable and maintained a CR at the 6 month assessment. The remaining subject has not had their 6 month assessment as of the clinical cut-off date. The remaining 5 subjects with a CR at 6 months had PR at the 3 month assessment. Five of the 10 subjects with CRs reported at 6 months met the SAA criteria in all 3 lineages at baseline.</w:t>
      </w:r>
    </w:p>
    <w:p w:rsidR="00B03F4F" w:rsidRDefault="00B03F4F" w:rsidP="00B03F4F">
      <w:pPr>
        <w:pStyle w:val="Caption"/>
        <w:rPr>
          <w:b/>
        </w:rPr>
      </w:pPr>
      <w:bookmarkStart w:id="92" w:name="_Toc295132818"/>
      <w:r>
        <w:rPr>
          <w:b/>
        </w:rPr>
        <w:t>Table</w:t>
      </w:r>
      <w:r w:rsidR="00456013">
        <w:rPr>
          <w:b/>
        </w:rPr>
        <w:t xml:space="preserve"> 15:</w:t>
      </w:r>
      <w:r>
        <w:rPr>
          <w:b/>
        </w:rPr>
        <w:t xml:space="preserve"> </w:t>
      </w:r>
      <w:r w:rsidR="00360B57">
        <w:rPr>
          <w:b/>
        </w:rPr>
        <w:t>Three and Six</w:t>
      </w:r>
      <w:r>
        <w:rPr>
          <w:b/>
        </w:rPr>
        <w:t xml:space="preserve"> Month Response Assessments</w:t>
      </w:r>
      <w:r w:rsidR="00456013">
        <w:rPr>
          <w:b/>
        </w:rPr>
        <w:t xml:space="preserve">. </w:t>
      </w:r>
      <w:r>
        <w:rPr>
          <w:b/>
        </w:rPr>
        <w:t>ELT116643</w:t>
      </w:r>
      <w:bookmarkEnd w:id="92"/>
    </w:p>
    <w:p w:rsidR="00456013" w:rsidRPr="00456013" w:rsidRDefault="00456013" w:rsidP="00456013">
      <w:r>
        <w:rPr>
          <w:noProof/>
          <w:lang w:eastAsia="en-AU"/>
        </w:rPr>
        <w:drawing>
          <wp:inline distT="0" distB="0" distL="0" distR="0" wp14:anchorId="6C710C28" wp14:editId="47EC4FA5">
            <wp:extent cx="4528457" cy="1603829"/>
            <wp:effectExtent l="0" t="0" r="5715" b="0"/>
            <wp:docPr id="309" name="Picture 309" descr="Table 15: 3 and 6 Month Response Assessments. ELT11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718"/>
                    <a:stretch/>
                  </pic:blipFill>
                  <pic:spPr bwMode="auto">
                    <a:xfrm>
                      <a:off x="0" y="0"/>
                      <a:ext cx="4539836" cy="1607859"/>
                    </a:xfrm>
                    <a:prstGeom prst="rect">
                      <a:avLst/>
                    </a:prstGeom>
                    <a:ln>
                      <a:noFill/>
                    </a:ln>
                    <a:extLst>
                      <a:ext uri="{53640926-AAD7-44D8-BBD7-CCE9431645EC}">
                        <a14:shadowObscured xmlns:a14="http://schemas.microsoft.com/office/drawing/2010/main"/>
                      </a:ext>
                    </a:extLst>
                  </pic:spPr>
                </pic:pic>
              </a:graphicData>
            </a:graphic>
          </wp:inline>
        </w:drawing>
      </w:r>
    </w:p>
    <w:p w:rsidR="00B03F4F" w:rsidRDefault="00456013" w:rsidP="00456013">
      <w:pPr>
        <w:pStyle w:val="Heading3"/>
      </w:pPr>
      <w:bookmarkStart w:id="93" w:name="_Toc295132737"/>
      <w:bookmarkStart w:id="94" w:name="_Toc290846281"/>
      <w:bookmarkStart w:id="95" w:name="_Toc272414656"/>
      <w:bookmarkStart w:id="96" w:name="_Toc241374312"/>
      <w:bookmarkStart w:id="97" w:name="_Toc448221952"/>
      <w:r>
        <w:t>A</w:t>
      </w:r>
      <w:r w:rsidR="00B03F4F">
        <w:t xml:space="preserve">nalyses performed across </w:t>
      </w:r>
      <w:r w:rsidR="00B03F4F" w:rsidRPr="004F2F93">
        <w:t>trials</w:t>
      </w:r>
      <w:r w:rsidR="00B03F4F">
        <w:t xml:space="preserve"> (pooled analyses and meta-analyses)</w:t>
      </w:r>
      <w:bookmarkEnd w:id="93"/>
      <w:bookmarkEnd w:id="94"/>
      <w:bookmarkEnd w:id="95"/>
      <w:bookmarkEnd w:id="96"/>
      <w:bookmarkEnd w:id="97"/>
    </w:p>
    <w:p w:rsidR="00B03F4F" w:rsidRDefault="00B03F4F" w:rsidP="00B03F4F">
      <w:pPr>
        <w:autoSpaceDE w:val="0"/>
        <w:autoSpaceDN w:val="0"/>
        <w:adjustRightInd w:val="0"/>
      </w:pPr>
      <w:r>
        <w:t>Not included</w:t>
      </w:r>
      <w:r w:rsidR="00456013">
        <w:t>.</w:t>
      </w:r>
    </w:p>
    <w:p w:rsidR="002638A5" w:rsidRDefault="00B03F4F" w:rsidP="00456013">
      <w:pPr>
        <w:pStyle w:val="Heading3"/>
      </w:pPr>
      <w:bookmarkStart w:id="98" w:name="_Toc295132738"/>
      <w:bookmarkStart w:id="99" w:name="_Toc290846282"/>
      <w:bookmarkStart w:id="100" w:name="_Toc272414657"/>
      <w:bookmarkStart w:id="101" w:name="_Ref271126605"/>
      <w:bookmarkStart w:id="102" w:name="_Toc448221953"/>
      <w:r w:rsidRPr="004F2F93">
        <w:lastRenderedPageBreak/>
        <w:t>Evaluator’s</w:t>
      </w:r>
      <w:r>
        <w:t xml:space="preserve"> conclusions on clinical </w:t>
      </w:r>
      <w:r w:rsidRPr="00456013">
        <w:t>efficacy</w:t>
      </w:r>
      <w:bookmarkEnd w:id="102"/>
    </w:p>
    <w:p w:rsidR="00B03F4F" w:rsidRPr="00192660" w:rsidRDefault="00B03F4F" w:rsidP="00192660">
      <w:pPr>
        <w:ind w:left="1135"/>
        <w:rPr>
          <w:rFonts w:asciiTheme="majorHAnsi" w:hAnsiTheme="majorHAnsi" w:cstheme="majorHAnsi"/>
          <w:b/>
          <w:i/>
        </w:rPr>
      </w:pPr>
      <w:proofErr w:type="gramStart"/>
      <w:r w:rsidRPr="00192660">
        <w:rPr>
          <w:rFonts w:asciiTheme="majorHAnsi" w:hAnsiTheme="majorHAnsi" w:cstheme="majorHAnsi"/>
          <w:b/>
          <w:i/>
        </w:rPr>
        <w:t>for</w:t>
      </w:r>
      <w:proofErr w:type="gramEnd"/>
      <w:r w:rsidRPr="00192660">
        <w:rPr>
          <w:rFonts w:asciiTheme="majorHAnsi" w:hAnsiTheme="majorHAnsi" w:cstheme="majorHAnsi"/>
          <w:b/>
          <w:i/>
        </w:rPr>
        <w:t xml:space="preserve"> patients with severe aplastic anaemia who had had an insufficient response to immunosuppressive therapy.</w:t>
      </w:r>
      <w:bookmarkEnd w:id="98"/>
      <w:bookmarkEnd w:id="99"/>
      <w:bookmarkEnd w:id="100"/>
      <w:bookmarkEnd w:id="101"/>
    </w:p>
    <w:p w:rsidR="00B03F4F" w:rsidRDefault="00456013" w:rsidP="004F2F93">
      <w:r>
        <w:t>The pivotal S</w:t>
      </w:r>
      <w:r w:rsidR="00B03F4F">
        <w:t xml:space="preserve">tudy EELT112523 and supporting </w:t>
      </w:r>
      <w:r w:rsidR="00577163">
        <w:t>Study EL</w:t>
      </w:r>
      <w:r w:rsidR="00B03F4F">
        <w:t xml:space="preserve">T116826, whilst non-randomised, provide evidence for the efficacy of </w:t>
      </w:r>
      <w:proofErr w:type="spellStart"/>
      <w:r w:rsidR="00B03F4F">
        <w:t>eltrombopag</w:t>
      </w:r>
      <w:proofErr w:type="spellEnd"/>
      <w:r w:rsidR="00B03F4F">
        <w:t xml:space="preserve"> in a significant minority of patients who meet the study criteria.</w:t>
      </w:r>
    </w:p>
    <w:p w:rsidR="002638A5" w:rsidRDefault="00456013" w:rsidP="004F2F93">
      <w:r>
        <w:t xml:space="preserve">The evaluator does however </w:t>
      </w:r>
      <w:r w:rsidR="00B03F4F">
        <w:t xml:space="preserve">have some comments that relate to inclusion criteria in these studies. </w:t>
      </w:r>
      <w:r>
        <w:t xml:space="preserve">The evaluator’s </w:t>
      </w:r>
      <w:r w:rsidR="00B03F4F">
        <w:t>impression is that already available, albeit not totally effective, alternative therapy options may have may have not been considered in some patients included in these studies. In particular;</w:t>
      </w:r>
    </w:p>
    <w:p w:rsidR="00B03F4F" w:rsidRDefault="00B03F4F" w:rsidP="000663A9">
      <w:pPr>
        <w:pStyle w:val="Numberbullet0"/>
        <w:numPr>
          <w:ilvl w:val="0"/>
          <w:numId w:val="16"/>
        </w:numPr>
      </w:pPr>
      <w:r>
        <w:t>Patients could be entered into these studies after having failed only one prior IST. It is well recognised from the literature, and it is accepted practice, that a proportion of patient</w:t>
      </w:r>
      <w:r w:rsidR="00360B57">
        <w:t>s</w:t>
      </w:r>
      <w:r>
        <w:t xml:space="preserve"> who fail a first course of IST will respond to a second course.</w:t>
      </w:r>
    </w:p>
    <w:p w:rsidR="002638A5" w:rsidRDefault="00B03F4F" w:rsidP="000663A9">
      <w:pPr>
        <w:pStyle w:val="Numberbullet0"/>
        <w:numPr>
          <w:ilvl w:val="0"/>
          <w:numId w:val="16"/>
        </w:numPr>
      </w:pPr>
      <w:r>
        <w:t xml:space="preserve">It is also curious that little mention is made of the use of allogeneic haematopoietic stem cell transplantation in suitable patients with SAA. It is to be noted that not all patients with SAA are suitable recipients of such a transplant with availability of a suitable donor, patient age and co-morbidities being key inclusion/exclusion criteria. However, in the context of this rare condition this therapy is </w:t>
      </w:r>
      <w:r w:rsidR="00B672D0">
        <w:t>‘</w:t>
      </w:r>
      <w:r>
        <w:t>widely’ practiced Australia (and the rest of the world). For instance, the Australian Bone Marrow Transplant Recipient Registry (ABMTRR, Annual Data Summary 3013) reports that in 2013, 4 children and 15 adults in Australia were the recipients of allogeneic stem cell transplants for the management of aplastic anaemia. The ABMTRR contains data on more than 160 recipients of such transplants with long term follow up &gt;9 years. Survival in adult the adult cohorts (16+ years) was 72% (</w:t>
      </w:r>
      <w:r w:rsidR="00256BB3" w:rsidRPr="00256BB3">
        <w:t>Human leukocyte antigen</w:t>
      </w:r>
      <w:r w:rsidR="00256BB3">
        <w:t xml:space="preserve"> (</w:t>
      </w:r>
      <w:r>
        <w:t>HLA</w:t>
      </w:r>
      <w:r w:rsidR="00256BB3">
        <w:t>)</w:t>
      </w:r>
      <w:r>
        <w:t xml:space="preserve"> matched sibling donor) and 56% (HLA-identical unrelated donor). In paediatric patients (n=43) survival for AA, SAA and very SAA was 95%. </w:t>
      </w:r>
      <w:r w:rsidR="00456013">
        <w:t>The evaluator’s</w:t>
      </w:r>
      <w:r>
        <w:t xml:space="preserve"> belief is that the majority of adult patients in this data base would have come to transplant after failure of at least 1 course of IST. In paediatric practice by contrast </w:t>
      </w:r>
      <w:r w:rsidR="00554E4A">
        <w:t>the evaluator</w:t>
      </w:r>
      <w:r>
        <w:t xml:space="preserve"> believe</w:t>
      </w:r>
      <w:r w:rsidR="00554E4A">
        <w:t>s</w:t>
      </w:r>
      <w:r>
        <w:t xml:space="preserve"> that a transplant is therapy of choice provided that a suitable donor is available.</w:t>
      </w:r>
    </w:p>
    <w:p w:rsidR="002638A5" w:rsidRDefault="00B03F4F" w:rsidP="004F2F93">
      <w:r>
        <w:t>Given the caveats noted above the submitted data does support efficacy (with acceptable toxicity) in this group of patients. The efficacy endpoints reported (for instance reduction in red blood cell and platelet transfusion requirements) can be clinically meaningful to those patients who achieve them.</w:t>
      </w:r>
    </w:p>
    <w:p w:rsidR="002638A5" w:rsidRDefault="00B03F4F" w:rsidP="004F2F93">
      <w:r>
        <w:t>Particular note is made of the following that reflect on long-term efficacy and the ability for drug withdrawal. Note is also made of bi-lineage and tri-lineage responses, the ability to titrate down to the lowest effective dose and the ability for eventual drug withdrawal in a (limited) number of patients).</w:t>
      </w:r>
    </w:p>
    <w:p w:rsidR="002638A5" w:rsidRDefault="00B03F4F" w:rsidP="000663A9">
      <w:pPr>
        <w:pStyle w:val="Numberbullet0"/>
        <w:numPr>
          <w:ilvl w:val="0"/>
          <w:numId w:val="17"/>
        </w:numPr>
      </w:pPr>
      <w:r>
        <w:t xml:space="preserve">The gradual improvement of </w:t>
      </w:r>
      <w:proofErr w:type="spellStart"/>
      <w:r>
        <w:t>haematologic</w:t>
      </w:r>
      <w:proofErr w:type="spellEnd"/>
      <w:r>
        <w:t xml:space="preserve"> responses across multiple lineages over time and the maintenance of response for 1 year provide evidence of the long-term efficacy of </w:t>
      </w:r>
      <w:proofErr w:type="spellStart"/>
      <w:r>
        <w:t>eltrombopag</w:t>
      </w:r>
      <w:proofErr w:type="spellEnd"/>
      <w:r>
        <w:t xml:space="preserve"> in heavily pre-treated SAA patients.</w:t>
      </w:r>
    </w:p>
    <w:p w:rsidR="002638A5" w:rsidRDefault="00B03F4F" w:rsidP="000663A9">
      <w:pPr>
        <w:pStyle w:val="Numberbullet0"/>
        <w:numPr>
          <w:ilvl w:val="0"/>
          <w:numId w:val="17"/>
        </w:numPr>
      </w:pPr>
      <w:r>
        <w:t xml:space="preserve">Responses were maintained throughout the treatment period, with subjects receiving 150 mg </w:t>
      </w:r>
      <w:proofErr w:type="spellStart"/>
      <w:r>
        <w:t>eltrombopag</w:t>
      </w:r>
      <w:proofErr w:type="spellEnd"/>
      <w:r>
        <w:t xml:space="preserve"> for up to 39 months.</w:t>
      </w:r>
    </w:p>
    <w:p w:rsidR="002638A5" w:rsidRDefault="00B03F4F" w:rsidP="000663A9">
      <w:pPr>
        <w:pStyle w:val="Numberbullet0"/>
        <w:numPr>
          <w:ilvl w:val="0"/>
          <w:numId w:val="17"/>
        </w:numPr>
      </w:pPr>
      <w:r>
        <w:t xml:space="preserve">Relapses were few and occurred early in treatment course. No relapses occurred after 6months of treatment and no relapses occurred in subjects with </w:t>
      </w:r>
      <w:proofErr w:type="spellStart"/>
      <w:r>
        <w:t>multilineage</w:t>
      </w:r>
      <w:proofErr w:type="spellEnd"/>
      <w:r>
        <w:t xml:space="preserve"> responses.</w:t>
      </w:r>
    </w:p>
    <w:p w:rsidR="00B03F4F" w:rsidRDefault="00B03F4F" w:rsidP="000663A9">
      <w:pPr>
        <w:pStyle w:val="Numberbullet0"/>
        <w:numPr>
          <w:ilvl w:val="0"/>
          <w:numId w:val="17"/>
        </w:numPr>
      </w:pPr>
      <w:r>
        <w:t xml:space="preserve">Based upon these data, there is no evidence for development of tolerance to </w:t>
      </w:r>
      <w:proofErr w:type="spellStart"/>
      <w:r>
        <w:t>eltrombopag</w:t>
      </w:r>
      <w:proofErr w:type="spellEnd"/>
      <w:r>
        <w:t xml:space="preserve"> or loss of efficacy following continued treatment with </w:t>
      </w:r>
      <w:proofErr w:type="spellStart"/>
      <w:r>
        <w:t>eltrombopag</w:t>
      </w:r>
      <w:proofErr w:type="spellEnd"/>
      <w:r>
        <w:t>.</w:t>
      </w:r>
    </w:p>
    <w:p w:rsidR="00B03F4F" w:rsidRDefault="00B03F4F" w:rsidP="000663A9">
      <w:pPr>
        <w:pStyle w:val="Numberbullet0"/>
        <w:numPr>
          <w:ilvl w:val="0"/>
          <w:numId w:val="17"/>
        </w:numPr>
      </w:pPr>
      <w:r>
        <w:t>In addition, all subjects meeting ‘</w:t>
      </w:r>
      <w:proofErr w:type="spellStart"/>
      <w:r>
        <w:t>trilineage</w:t>
      </w:r>
      <w:proofErr w:type="spellEnd"/>
      <w:r>
        <w:t xml:space="preserve"> haematopoiesis’ criteria who had </w:t>
      </w:r>
      <w:proofErr w:type="spellStart"/>
      <w:r>
        <w:t>eltrombopag</w:t>
      </w:r>
      <w:proofErr w:type="spellEnd"/>
      <w:r>
        <w:t xml:space="preserve"> tapered off, have maintained their response with a median follow-up of 20.6 months as of </w:t>
      </w:r>
      <w:r>
        <w:lastRenderedPageBreak/>
        <w:t xml:space="preserve">data cut-off. This provides evidence supporting the persistence of efficacy following treatment with </w:t>
      </w:r>
      <w:proofErr w:type="spellStart"/>
      <w:r>
        <w:t>eltrombopag</w:t>
      </w:r>
      <w:proofErr w:type="spellEnd"/>
      <w:r>
        <w:t xml:space="preserve"> in patients with SAA</w:t>
      </w:r>
    </w:p>
    <w:p w:rsidR="00C22678" w:rsidRDefault="00C22678" w:rsidP="00C22678">
      <w:pPr>
        <w:pStyle w:val="Heading2"/>
      </w:pPr>
      <w:bookmarkStart w:id="103" w:name="_Toc448221954"/>
      <w:r>
        <w:t>Clinical safety</w:t>
      </w:r>
      <w:bookmarkEnd w:id="103"/>
    </w:p>
    <w:p w:rsidR="00B03F4F" w:rsidRDefault="00B03F4F" w:rsidP="004F2F93">
      <w:pPr>
        <w:pStyle w:val="Heading3"/>
      </w:pPr>
      <w:bookmarkStart w:id="104" w:name="_Toc295132740"/>
      <w:bookmarkStart w:id="105" w:name="_Toc290846284"/>
      <w:bookmarkStart w:id="106" w:name="_Toc272414659"/>
      <w:bookmarkStart w:id="107" w:name="_Toc448221955"/>
      <w:r>
        <w:t>Studies providing evaluable safety data</w:t>
      </w:r>
      <w:bookmarkEnd w:id="104"/>
      <w:bookmarkEnd w:id="105"/>
      <w:bookmarkEnd w:id="106"/>
      <w:bookmarkEnd w:id="107"/>
    </w:p>
    <w:p w:rsidR="00B03F4F" w:rsidRDefault="00B03F4F" w:rsidP="00B03F4F">
      <w:bookmarkStart w:id="108" w:name="_Ref268776745"/>
      <w:r>
        <w:t>The following studies provided evaluable safety data:</w:t>
      </w:r>
    </w:p>
    <w:p w:rsidR="00B03F4F" w:rsidRDefault="00B03F4F" w:rsidP="004F2F93">
      <w:pPr>
        <w:rPr>
          <w:lang w:val="en-US"/>
        </w:rPr>
      </w:pPr>
      <w:r>
        <w:rPr>
          <w:lang w:val="en-US"/>
        </w:rPr>
        <w:t>The primary safety data is from the pivotal Phase II Study ELT112523 (National Institute of Health [NIH] 09-H-0154); the safety and efficacy proposed for the labeling is based on this study. Available supportive safety data in SAA subjects is provided from the ongoing Phase II Study ELT116826 (NIH 13-H-0133) in subjects with an insufficient response to IST, as well as the ongoing Phase I/II Study ELT116643 (NIH 12-H-0150) in treatment naïve subjects.</w:t>
      </w:r>
    </w:p>
    <w:p w:rsidR="00B03F4F" w:rsidRDefault="00B03F4F" w:rsidP="004F2F93">
      <w:pPr>
        <w:rPr>
          <w:lang w:val="en-US"/>
        </w:rPr>
      </w:pPr>
      <w:r>
        <w:rPr>
          <w:lang w:val="en-US"/>
        </w:rPr>
        <w:t xml:space="preserve">Additional supportive safety data are provided from a completed, placebo-controlled Phase I/II Study PMA112509 in subjects with advanced MDS or acute myeloid </w:t>
      </w:r>
      <w:proofErr w:type="spellStart"/>
      <w:r>
        <w:rPr>
          <w:lang w:val="en-US"/>
        </w:rPr>
        <w:t>leukaemia</w:t>
      </w:r>
      <w:proofErr w:type="spellEnd"/>
      <w:r>
        <w:rPr>
          <w:lang w:val="en-US"/>
        </w:rPr>
        <w:t xml:space="preserve"> (AML)</w:t>
      </w:r>
      <w:r w:rsidR="00554E4A">
        <w:rPr>
          <w:lang w:val="en-US"/>
        </w:rPr>
        <w:t>.</w:t>
      </w:r>
    </w:p>
    <w:p w:rsidR="00B03F4F" w:rsidRDefault="00B03F4F" w:rsidP="004F2F93">
      <w:pPr>
        <w:pStyle w:val="Heading4"/>
      </w:pPr>
      <w:r>
        <w:t xml:space="preserve">Efficacy </w:t>
      </w:r>
      <w:r w:rsidR="00A651F3">
        <w:t>d</w:t>
      </w:r>
      <w:r>
        <w:t xml:space="preserve">ata from ITP and </w:t>
      </w:r>
      <w:r w:rsidR="00A651F3">
        <w:t>H</w:t>
      </w:r>
      <w:r>
        <w:t xml:space="preserve">epatitis C </w:t>
      </w:r>
      <w:r w:rsidR="00A651F3">
        <w:t>s</w:t>
      </w:r>
      <w:r>
        <w:t>tudies</w:t>
      </w:r>
    </w:p>
    <w:p w:rsidR="00B03F4F" w:rsidRDefault="00B03F4F" w:rsidP="004F2F93">
      <w:proofErr w:type="spellStart"/>
      <w:r>
        <w:t>Eltrombopag</w:t>
      </w:r>
      <w:proofErr w:type="spellEnd"/>
      <w:r>
        <w:t xml:space="preserve"> is an approved product with an established safety profile in chronic ITP and HCV indications based upon review of placebo-controlled databases:</w:t>
      </w:r>
    </w:p>
    <w:p w:rsidR="00B03F4F" w:rsidRDefault="00B03F4F" w:rsidP="000663A9">
      <w:pPr>
        <w:pStyle w:val="Numberbullet0"/>
        <w:numPr>
          <w:ilvl w:val="0"/>
          <w:numId w:val="18"/>
        </w:numPr>
      </w:pPr>
      <w:r>
        <w:t>Chronic ITP</w:t>
      </w:r>
      <w:r w:rsidR="00554E4A">
        <w:t>:</w:t>
      </w:r>
      <w:r>
        <w:t xml:space="preserve"> randomized controlled safety database: n=427 (</w:t>
      </w:r>
      <w:proofErr w:type="spellStart"/>
      <w:r>
        <w:t>eltrombopag</w:t>
      </w:r>
      <w:proofErr w:type="spellEnd"/>
      <w:r>
        <w:t xml:space="preserve"> n=299, placebo n=128). Total </w:t>
      </w:r>
      <w:proofErr w:type="spellStart"/>
      <w:r>
        <w:t>eltrombopag</w:t>
      </w:r>
      <w:proofErr w:type="spellEnd"/>
      <w:r>
        <w:t xml:space="preserve"> chronic ITP safety database: n=446</w:t>
      </w:r>
    </w:p>
    <w:p w:rsidR="00B03F4F" w:rsidRDefault="00B03F4F" w:rsidP="000663A9">
      <w:pPr>
        <w:pStyle w:val="Numberbullet0"/>
        <w:numPr>
          <w:ilvl w:val="0"/>
          <w:numId w:val="18"/>
        </w:numPr>
      </w:pPr>
      <w:r>
        <w:t>HCV</w:t>
      </w:r>
      <w:r w:rsidR="00554E4A">
        <w:t>:</w:t>
      </w:r>
      <w:r>
        <w:t xml:space="preserve"> randomized controlled safety database: n=1439 (</w:t>
      </w:r>
      <w:proofErr w:type="spellStart"/>
      <w:r>
        <w:t>eltrombopag</w:t>
      </w:r>
      <w:proofErr w:type="spellEnd"/>
      <w:r>
        <w:t xml:space="preserve"> n=955, placebo n=484). Total </w:t>
      </w:r>
      <w:proofErr w:type="spellStart"/>
      <w:r>
        <w:t>eltrombopag</w:t>
      </w:r>
      <w:proofErr w:type="spellEnd"/>
      <w:r>
        <w:t xml:space="preserve"> HCV safety database: n=1576</w:t>
      </w:r>
    </w:p>
    <w:p w:rsidR="00B03F4F" w:rsidRDefault="00B03F4F" w:rsidP="004F2F93">
      <w:r>
        <w:t xml:space="preserve">The sponsor reports that an estimated 3,900 subjects have been exposed to </w:t>
      </w:r>
      <w:proofErr w:type="spellStart"/>
      <w:r>
        <w:t>eltrombopag</w:t>
      </w:r>
      <w:proofErr w:type="spellEnd"/>
      <w:r>
        <w:t xml:space="preserve"> in sponsored ongoing and completed interventional studies; this includes subjects with ITP, liver diseases, haematology-oncology related </w:t>
      </w:r>
      <w:proofErr w:type="spellStart"/>
      <w:r>
        <w:t>thrombocytopaenia</w:t>
      </w:r>
      <w:proofErr w:type="spellEnd"/>
      <w:r>
        <w:t xml:space="preserve">, as well as healthy volunteers. The </w:t>
      </w:r>
      <w:proofErr w:type="spellStart"/>
      <w:r>
        <w:t>eltrombopag</w:t>
      </w:r>
      <w:proofErr w:type="spellEnd"/>
      <w:r>
        <w:t xml:space="preserve"> SAA clinical development programme includes a safety database of 88 </w:t>
      </w:r>
      <w:proofErr w:type="spellStart"/>
      <w:r>
        <w:t>Eltrombopag</w:t>
      </w:r>
      <w:proofErr w:type="spellEnd"/>
      <w:r>
        <w:t>-treated subjects with SAA from 3 open-label trials included in this submission. (Table 16)</w:t>
      </w:r>
    </w:p>
    <w:p w:rsidR="00B03F4F" w:rsidRDefault="00B03F4F" w:rsidP="00554E4A">
      <w:pPr>
        <w:pStyle w:val="Tabletitle"/>
      </w:pPr>
      <w:bookmarkStart w:id="109" w:name="_Toc295132819"/>
      <w:r>
        <w:t xml:space="preserve">Table </w:t>
      </w:r>
      <w:r w:rsidR="00554E4A">
        <w:t>16:</w:t>
      </w:r>
      <w:r>
        <w:t xml:space="preserve"> SAA </w:t>
      </w:r>
      <w:r w:rsidR="00554E4A">
        <w:t>and</w:t>
      </w:r>
      <w:r>
        <w:t xml:space="preserve"> MDS/AML patients treated with </w:t>
      </w:r>
      <w:proofErr w:type="spellStart"/>
      <w:r>
        <w:t>Eltrombopag</w:t>
      </w:r>
      <w:proofErr w:type="spellEnd"/>
      <w:r>
        <w:t>. Safety database</w:t>
      </w:r>
      <w:bookmarkEnd w:id="109"/>
    </w:p>
    <w:p w:rsidR="00B03F4F" w:rsidRDefault="00B03F4F" w:rsidP="00B03F4F">
      <w:r>
        <w:rPr>
          <w:noProof/>
          <w:lang w:eastAsia="en-AU"/>
        </w:rPr>
        <w:drawing>
          <wp:inline distT="0" distB="0" distL="0" distR="0" wp14:anchorId="0BB5F4AC" wp14:editId="5E782F44">
            <wp:extent cx="4223657" cy="1334430"/>
            <wp:effectExtent l="0" t="0" r="5715" b="0"/>
            <wp:docPr id="30" name="Picture 30" descr="Table 16:. SAA and MDS/AML patients treated with Eltrombopag.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l="2411" t="3705" r="5221" b="6536"/>
                    <a:stretch/>
                  </pic:blipFill>
                  <pic:spPr bwMode="auto">
                    <a:xfrm>
                      <a:off x="0" y="0"/>
                      <a:ext cx="4232532" cy="1337234"/>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4F2F93">
      <w:r>
        <w:t xml:space="preserve">The sponsor also provided additional safety data from a placebo-controlled study in subjects with advanced MDS or AML receiving up to twice the maximum dose of </w:t>
      </w:r>
      <w:proofErr w:type="spellStart"/>
      <w:r>
        <w:t>eltrombopag</w:t>
      </w:r>
      <w:proofErr w:type="spellEnd"/>
      <w:r>
        <w:t xml:space="preserve"> in SAA. Both SAA and the MDS/AML population are characterised by sever pancytopenia and it complications.</w:t>
      </w:r>
    </w:p>
    <w:p w:rsidR="00B03F4F" w:rsidRPr="0025245B" w:rsidRDefault="00B03F4F" w:rsidP="004F2F93">
      <w:r w:rsidRPr="00554E4A">
        <w:rPr>
          <w:rStyle w:val="Heading6Char"/>
          <w:rFonts w:eastAsia="Cambria"/>
        </w:rPr>
        <w:t>Summary</w:t>
      </w:r>
      <w:r w:rsidR="00554E4A">
        <w:t>:</w:t>
      </w:r>
      <w:r>
        <w:t xml:space="preserve"> The safety profiles observed in both SAA and MDS/AML populations (PMA112509) seem to be consistent with what has been reported for </w:t>
      </w:r>
      <w:proofErr w:type="spellStart"/>
      <w:r>
        <w:t>eltrombopag</w:t>
      </w:r>
      <w:proofErr w:type="spellEnd"/>
      <w:r>
        <w:t xml:space="preserve"> in chronic ITP and HCV. No new safety signals have been identified in the SAA population with doses up to </w:t>
      </w:r>
      <w:proofErr w:type="spellStart"/>
      <w:r>
        <w:t>eltrombopag</w:t>
      </w:r>
      <w:proofErr w:type="spellEnd"/>
      <w:r>
        <w:t xml:space="preserve"> 150 mg.</w:t>
      </w:r>
    </w:p>
    <w:p w:rsidR="00B03F4F" w:rsidRPr="0025245B" w:rsidRDefault="00B03F4F" w:rsidP="0025245B">
      <w:pPr>
        <w:pStyle w:val="Heading4"/>
        <w:rPr>
          <w:rFonts w:ascii="Arial" w:hAnsi="Arial"/>
        </w:rPr>
      </w:pPr>
      <w:r w:rsidRPr="0025245B">
        <w:lastRenderedPageBreak/>
        <w:t>Pivotal efficacy studies</w:t>
      </w:r>
      <w:bookmarkEnd w:id="108"/>
    </w:p>
    <w:p w:rsidR="00B03F4F" w:rsidRDefault="00B03F4F" w:rsidP="004F2F93">
      <w:r>
        <w:t>In the pivotal efficacy studies, the following safety data were collected:</w:t>
      </w:r>
    </w:p>
    <w:p w:rsidR="00B03F4F" w:rsidRDefault="00B03F4F" w:rsidP="00554E4A">
      <w:pPr>
        <w:pStyle w:val="ListBullet"/>
      </w:pPr>
      <w:r>
        <w:t>General adverse events (AEs) in SAA patients were assessed in the pivotal study (ELT112523) and the 2 supporting studies (ELT116826 and ELT116643)</w:t>
      </w:r>
    </w:p>
    <w:p w:rsidR="002638A5" w:rsidRDefault="00B03F4F" w:rsidP="0025467A">
      <w:pPr>
        <w:pStyle w:val="ListBullet2"/>
        <w:numPr>
          <w:ilvl w:val="0"/>
          <w:numId w:val="0"/>
        </w:numPr>
        <w:ind w:left="360"/>
      </w:pPr>
      <w:r>
        <w:t xml:space="preserve">Of the 43 subjects who received </w:t>
      </w:r>
      <w:proofErr w:type="spellStart"/>
      <w:r>
        <w:t>eltrombopag</w:t>
      </w:r>
      <w:proofErr w:type="spellEnd"/>
      <w:r>
        <w:t xml:space="preserve"> in Study ELT112523, 93% were escalated to the maximum dose of </w:t>
      </w:r>
      <w:proofErr w:type="spellStart"/>
      <w:r>
        <w:t>eltrombopag</w:t>
      </w:r>
      <w:proofErr w:type="spellEnd"/>
      <w:r>
        <w:t xml:space="preserve"> 150 mg. Three subjects received a maximum dose of </w:t>
      </w:r>
      <w:proofErr w:type="spellStart"/>
      <w:r>
        <w:t>eltrombopag</w:t>
      </w:r>
      <w:proofErr w:type="spellEnd"/>
      <w:r>
        <w:t xml:space="preserve"> 125 mg. Given the design of the study, in which subjects who did not meet response criteria were discontinued from treatment after 3 months, the median (range) time on treatment was 3.6 months (2-39). </w:t>
      </w:r>
      <w:proofErr w:type="spellStart"/>
      <w:r>
        <w:t>Eltrombopag</w:t>
      </w:r>
      <w:proofErr w:type="spellEnd"/>
      <w:r>
        <w:t xml:space="preserve"> treatment was received for at least 3 months in 77% of subjects. As of the clinical cut-off date, 28% and 21% of subjects received </w:t>
      </w:r>
      <w:proofErr w:type="spellStart"/>
      <w:r>
        <w:t>eltrombopag</w:t>
      </w:r>
      <w:proofErr w:type="spellEnd"/>
      <w:r>
        <w:t xml:space="preserve"> for &gt;6 and 12 months, respectively, with a maximum duration of 39 months</w:t>
      </w:r>
    </w:p>
    <w:p w:rsidR="00B03F4F" w:rsidRDefault="00B03F4F" w:rsidP="004F2F93">
      <w:pPr>
        <w:pStyle w:val="ListBullet"/>
      </w:pPr>
      <w:r>
        <w:t>AEs of particular interest in the SAA patient group including hepatobiliary, thromboembolic, haematological malignancies and clonal cytogenetic changes were monitored (relevant clinical and laboratory assessments) and are reported for all studies.</w:t>
      </w:r>
    </w:p>
    <w:p w:rsidR="00B03F4F" w:rsidRDefault="00B03F4F" w:rsidP="004F2F93">
      <w:pPr>
        <w:pStyle w:val="ListBullet"/>
      </w:pPr>
      <w:r>
        <w:t>Laboratory tests, including standard haematology, biochemistry were performed according to study protocol. Specialised investigations included bone marrow aspiration and biopsy and cytogenetic analysis.</w:t>
      </w:r>
    </w:p>
    <w:p w:rsidR="00B03F4F" w:rsidRDefault="00B03F4F" w:rsidP="00554E4A">
      <w:pPr>
        <w:pStyle w:val="Heading4"/>
      </w:pPr>
      <w:r>
        <w:t xml:space="preserve">Pivotal studies that assessed safety as a </w:t>
      </w:r>
      <w:r w:rsidRPr="00554E4A">
        <w:t>primary</w:t>
      </w:r>
      <w:r>
        <w:t xml:space="preserve"> outcome</w:t>
      </w:r>
    </w:p>
    <w:p w:rsidR="00B03F4F" w:rsidRDefault="00B03F4F" w:rsidP="00B03F4F">
      <w:r>
        <w:t xml:space="preserve">In addition to the pivotal </w:t>
      </w:r>
      <w:r w:rsidR="00577163">
        <w:t>Study EL</w:t>
      </w:r>
      <w:r>
        <w:t xml:space="preserve">T112523, studies ELT1116826, ELT116643 and </w:t>
      </w:r>
      <w:r>
        <w:rPr>
          <w:b/>
        </w:rPr>
        <w:t xml:space="preserve">PMA112509 </w:t>
      </w:r>
      <w:r>
        <w:t xml:space="preserve">assessed safety as a primary outcome. The safety population consisted of all patients who had received at least one dose of </w:t>
      </w:r>
      <w:proofErr w:type="spellStart"/>
      <w:r>
        <w:t>eltrombopag</w:t>
      </w:r>
      <w:proofErr w:type="spellEnd"/>
      <w:r>
        <w:t xml:space="preserve">. These studies are described in Section </w:t>
      </w:r>
      <w:r w:rsidR="00554E4A">
        <w:t>8.2</w:t>
      </w:r>
      <w:r>
        <w:t>.</w:t>
      </w:r>
    </w:p>
    <w:p w:rsidR="00B03F4F" w:rsidRDefault="00B03F4F" w:rsidP="004F2F93">
      <w:pPr>
        <w:pStyle w:val="Heading4"/>
      </w:pPr>
      <w:r>
        <w:t>Dose-response and non-pivotal efficacy studies</w:t>
      </w:r>
    </w:p>
    <w:p w:rsidR="00B03F4F" w:rsidRDefault="00B03F4F" w:rsidP="00B03F4F">
      <w:r>
        <w:t>Dose rationale and dosing strategy have been described above.</w:t>
      </w:r>
    </w:p>
    <w:p w:rsidR="002638A5" w:rsidRDefault="00B03F4F" w:rsidP="00B03F4F">
      <w:r>
        <w:t xml:space="preserve">The ongoing non-randomised Phase II </w:t>
      </w:r>
      <w:r w:rsidR="00577163">
        <w:t>Study EL</w:t>
      </w:r>
      <w:r>
        <w:t>T1116826 dose-modification study evaluated patients who commenced treatment at the maximum dose used in ELT112523 (150</w:t>
      </w:r>
      <w:r w:rsidR="00554E4A">
        <w:t xml:space="preserve"> </w:t>
      </w:r>
      <w:r>
        <w:t>mg/d</w:t>
      </w:r>
      <w:r w:rsidR="00554E4A">
        <w:t>ay</w:t>
      </w:r>
      <w:r>
        <w:t>, with modifications for East Asians and children) and then evaluated, in responding patients, the lowest dose that maintained stable platelet counts.</w:t>
      </w:r>
    </w:p>
    <w:p w:rsidR="00B03F4F" w:rsidRDefault="00B03F4F" w:rsidP="00B03F4F">
      <w:pPr>
        <w:pStyle w:val="Bullet1"/>
        <w:numPr>
          <w:ilvl w:val="0"/>
          <w:numId w:val="0"/>
        </w:numPr>
        <w:tabs>
          <w:tab w:val="left" w:pos="720"/>
        </w:tabs>
        <w:ind w:left="284" w:hanging="284"/>
      </w:pPr>
      <w:r>
        <w:t xml:space="preserve">Study ELT116643 provides data on dosing of </w:t>
      </w:r>
      <w:proofErr w:type="spellStart"/>
      <w:r>
        <w:t>Eltrombopag</w:t>
      </w:r>
      <w:proofErr w:type="spellEnd"/>
      <w:r>
        <w:t xml:space="preserve"> in combination with </w:t>
      </w:r>
      <w:proofErr w:type="spellStart"/>
      <w:r>
        <w:t>CsA</w:t>
      </w:r>
      <w:proofErr w:type="spellEnd"/>
      <w:r>
        <w:t>/</w:t>
      </w:r>
      <w:proofErr w:type="spellStart"/>
      <w:r>
        <w:t>hATG</w:t>
      </w:r>
      <w:proofErr w:type="spellEnd"/>
      <w:r>
        <w:t>.</w:t>
      </w:r>
    </w:p>
    <w:p w:rsidR="00B03F4F" w:rsidRDefault="00B03F4F" w:rsidP="004F2F93">
      <w:pPr>
        <w:pStyle w:val="Heading3"/>
      </w:pPr>
      <w:bookmarkStart w:id="110" w:name="_Toc295132741"/>
      <w:bookmarkStart w:id="111" w:name="_Toc290846285"/>
      <w:bookmarkStart w:id="112" w:name="_Toc272414660"/>
      <w:bookmarkStart w:id="113" w:name="_Ref271195841"/>
      <w:bookmarkStart w:id="114" w:name="_Ref271195835"/>
      <w:bookmarkStart w:id="115" w:name="_Ref269204367"/>
      <w:bookmarkStart w:id="116" w:name="_Toc448221956"/>
      <w:r>
        <w:t>Pivotal studies that assessed safety as a primary outcome</w:t>
      </w:r>
      <w:bookmarkEnd w:id="110"/>
      <w:bookmarkEnd w:id="111"/>
      <w:bookmarkEnd w:id="112"/>
      <w:bookmarkEnd w:id="113"/>
      <w:bookmarkEnd w:id="114"/>
      <w:bookmarkEnd w:id="115"/>
      <w:bookmarkEnd w:id="116"/>
    </w:p>
    <w:p w:rsidR="00B03F4F" w:rsidRDefault="00B03F4F" w:rsidP="004F2F93">
      <w:pPr>
        <w:pStyle w:val="Heading4"/>
      </w:pPr>
      <w:bookmarkStart w:id="117" w:name="_Toc290846286"/>
      <w:bookmarkStart w:id="118" w:name="_Ref290844188"/>
      <w:bookmarkStart w:id="119" w:name="_Toc295132742"/>
      <w:r>
        <w:t xml:space="preserve">Study </w:t>
      </w:r>
      <w:bookmarkEnd w:id="117"/>
      <w:bookmarkEnd w:id="118"/>
      <w:r>
        <w:t>ELT112523</w:t>
      </w:r>
      <w:bookmarkEnd w:id="119"/>
    </w:p>
    <w:p w:rsidR="00FE1955" w:rsidRPr="00FE1955" w:rsidRDefault="00B03F4F" w:rsidP="00FE1955">
      <w:pPr>
        <w:pStyle w:val="Heading5"/>
      </w:pPr>
      <w:bookmarkStart w:id="120" w:name="_Toc295132743"/>
      <w:bookmarkStart w:id="121" w:name="_Toc290846287"/>
      <w:r w:rsidRPr="00FE1955">
        <w:t>Study design, objectives, locations and dates</w:t>
      </w:r>
      <w:bookmarkStart w:id="122" w:name="_Toc295132744"/>
      <w:bookmarkStart w:id="123" w:name="_Toc290846288"/>
      <w:bookmarkEnd w:id="120"/>
      <w:bookmarkEnd w:id="121"/>
      <w:r w:rsidR="00FE1955" w:rsidRPr="00FE1955">
        <w:t>/Inclusion and exclusion criteria</w:t>
      </w:r>
      <w:bookmarkEnd w:id="122"/>
      <w:bookmarkEnd w:id="123"/>
      <w:r w:rsidR="00FE1955" w:rsidRPr="00FE1955">
        <w:t>/</w:t>
      </w:r>
      <w:bookmarkStart w:id="124" w:name="_Toc295132745"/>
      <w:bookmarkStart w:id="125" w:name="_Toc290846289"/>
      <w:r w:rsidR="00FE1955" w:rsidRPr="00FE1955">
        <w:t>Study treatments</w:t>
      </w:r>
      <w:bookmarkEnd w:id="124"/>
      <w:bookmarkEnd w:id="125"/>
    </w:p>
    <w:p w:rsidR="00B03F4F" w:rsidRDefault="00B03F4F" w:rsidP="00B03F4F">
      <w:r w:rsidRPr="00FE1955">
        <w:t xml:space="preserve">See section </w:t>
      </w:r>
      <w:r w:rsidRPr="00FE1955">
        <w:fldChar w:fldCharType="begin"/>
      </w:r>
      <w:r w:rsidRPr="00FE1955">
        <w:instrText xml:space="preserve"> REF _Ref295125560 \r \h </w:instrText>
      </w:r>
      <w:r w:rsidR="00554E4A" w:rsidRPr="00FE1955">
        <w:instrText xml:space="preserve"> \* MERGEFORMAT </w:instrText>
      </w:r>
      <w:r w:rsidRPr="00FE1955">
        <w:fldChar w:fldCharType="separate"/>
      </w:r>
      <w:r w:rsidR="00192660">
        <w:t>7.1.1.1.3</w:t>
      </w:r>
      <w:r w:rsidRPr="00FE1955">
        <w:fldChar w:fldCharType="end"/>
      </w:r>
      <w:r w:rsidR="00FE1955" w:rsidRPr="00FE1955">
        <w:t>.1</w:t>
      </w:r>
    </w:p>
    <w:p w:rsidR="00B03F4F" w:rsidRDefault="00B03F4F" w:rsidP="00240809">
      <w:pPr>
        <w:pStyle w:val="Heading5"/>
      </w:pPr>
      <w:bookmarkStart w:id="126" w:name="_Toc295132746"/>
      <w:bookmarkStart w:id="127" w:name="_Toc290846290"/>
      <w:r>
        <w:t>Safety variables and outcomes</w:t>
      </w:r>
      <w:bookmarkEnd w:id="126"/>
      <w:bookmarkEnd w:id="127"/>
    </w:p>
    <w:p w:rsidR="00B03F4F" w:rsidRDefault="00B03F4F" w:rsidP="00B03F4F">
      <w:r>
        <w:t>The main safety variables were:</w:t>
      </w:r>
    </w:p>
    <w:p w:rsidR="00B03F4F" w:rsidRDefault="00B03F4F" w:rsidP="00240809">
      <w:pPr>
        <w:pStyle w:val="ListBullet"/>
      </w:pPr>
      <w:r>
        <w:rPr>
          <w:lang w:val="en-US"/>
        </w:rPr>
        <w:t>Tabulation of extent of exposure, AEs, serious adverse events (SAEs), deaths, clinical laboratory evaluations, and pregnancies are detailed in the RAP.</w:t>
      </w:r>
    </w:p>
    <w:p w:rsidR="00B03F4F" w:rsidRDefault="00B03F4F" w:rsidP="00B03F4F">
      <w:r>
        <w:t>Other safety measures included:</w:t>
      </w:r>
    </w:p>
    <w:p w:rsidR="00B03F4F" w:rsidRDefault="00B03F4F" w:rsidP="00240809">
      <w:pPr>
        <w:pStyle w:val="ListBullet"/>
        <w:rPr>
          <w:lang w:val="en-US"/>
        </w:rPr>
      </w:pPr>
      <w:r>
        <w:rPr>
          <w:lang w:val="en-US"/>
        </w:rPr>
        <w:t>Complete blood count, differential, and reticulocytes</w:t>
      </w:r>
    </w:p>
    <w:p w:rsidR="002638A5" w:rsidRDefault="00B03F4F" w:rsidP="00240809">
      <w:pPr>
        <w:pStyle w:val="ListBullet"/>
        <w:rPr>
          <w:lang w:val="en-US"/>
        </w:rPr>
      </w:pPr>
      <w:r>
        <w:rPr>
          <w:lang w:val="en-US"/>
        </w:rPr>
        <w:t>Biochemistry parameters (alanine aminotransferase [ALT], aspartate aminotransferase [AST], alkaline phosphatase [ALP], bilirubin, blood urea nitrogen [BUN], and creatinine)</w:t>
      </w:r>
    </w:p>
    <w:p w:rsidR="00B03F4F" w:rsidRDefault="00B03F4F" w:rsidP="00240809">
      <w:pPr>
        <w:pStyle w:val="ListBullet"/>
        <w:rPr>
          <w:lang w:val="en-US"/>
        </w:rPr>
      </w:pPr>
      <w:r>
        <w:rPr>
          <w:lang w:val="en-US"/>
        </w:rPr>
        <w:lastRenderedPageBreak/>
        <w:t>Cytogenetic testing.</w:t>
      </w:r>
    </w:p>
    <w:p w:rsidR="00B03F4F" w:rsidRDefault="00B03F4F" w:rsidP="00240809">
      <w:pPr>
        <w:pStyle w:val="Heading5"/>
      </w:pPr>
      <w:bookmarkStart w:id="128" w:name="_Toc295132747"/>
      <w:bookmarkStart w:id="129" w:name="_Toc290846291"/>
      <w:r>
        <w:t>Randomisation and blinding methods</w:t>
      </w:r>
      <w:bookmarkEnd w:id="128"/>
      <w:bookmarkEnd w:id="129"/>
    </w:p>
    <w:p w:rsidR="00B03F4F" w:rsidRDefault="00B03F4F" w:rsidP="00B03F4F">
      <w:r>
        <w:t>N/A</w:t>
      </w:r>
    </w:p>
    <w:p w:rsidR="00FE1955" w:rsidRPr="00FE1955" w:rsidRDefault="00B03F4F" w:rsidP="00FE1955">
      <w:pPr>
        <w:pStyle w:val="Heading5"/>
      </w:pPr>
      <w:bookmarkStart w:id="130" w:name="_Toc295132748"/>
      <w:bookmarkStart w:id="131" w:name="_Toc290846292"/>
      <w:r w:rsidRPr="00FE1955">
        <w:t>Analysis populations</w:t>
      </w:r>
      <w:bookmarkStart w:id="132" w:name="_Toc295132749"/>
      <w:bookmarkStart w:id="133" w:name="_Toc290846293"/>
      <w:bookmarkEnd w:id="130"/>
      <w:bookmarkEnd w:id="131"/>
      <w:r w:rsidR="00FE1955" w:rsidRPr="00FE1955">
        <w:t>/</w:t>
      </w:r>
      <w:r w:rsidR="00A651F3" w:rsidRPr="00FE1955">
        <w:t>sample size</w:t>
      </w:r>
      <w:bookmarkEnd w:id="132"/>
      <w:bookmarkEnd w:id="133"/>
      <w:r w:rsidR="00A651F3" w:rsidRPr="00FE1955">
        <w:t>/</w:t>
      </w:r>
      <w:bookmarkStart w:id="134" w:name="_Toc295132750"/>
      <w:bookmarkStart w:id="135" w:name="_Toc290846294"/>
      <w:r w:rsidR="00A651F3" w:rsidRPr="00FE1955">
        <w:t xml:space="preserve"> statistical methods</w:t>
      </w:r>
      <w:bookmarkStart w:id="136" w:name="_Toc295132752"/>
      <w:bookmarkStart w:id="137" w:name="_Toc290846296"/>
      <w:bookmarkEnd w:id="134"/>
      <w:bookmarkEnd w:id="135"/>
      <w:r w:rsidR="00A651F3" w:rsidRPr="00FE1955">
        <w:t>/major protocol violations/deviations</w:t>
      </w:r>
      <w:bookmarkEnd w:id="136"/>
      <w:bookmarkEnd w:id="137"/>
      <w:r w:rsidR="00A651F3" w:rsidRPr="00FE1955">
        <w:t>/</w:t>
      </w:r>
      <w:bookmarkStart w:id="138" w:name="_Toc295132753"/>
      <w:bookmarkStart w:id="139" w:name="_Toc290846297"/>
      <w:r w:rsidR="00A651F3" w:rsidRPr="00FE1955">
        <w:t xml:space="preserve"> baseline data</w:t>
      </w:r>
      <w:bookmarkEnd w:id="138"/>
      <w:bookmarkEnd w:id="139"/>
    </w:p>
    <w:p w:rsidR="00B03F4F" w:rsidRPr="00FE1955" w:rsidRDefault="00B03F4F" w:rsidP="00B03F4F">
      <w:pPr>
        <w:autoSpaceDE w:val="0"/>
        <w:autoSpaceDN w:val="0"/>
        <w:adjustRightInd w:val="0"/>
        <w:jc w:val="both"/>
      </w:pPr>
      <w:r w:rsidRPr="00FE1955">
        <w:t xml:space="preserve">See section </w:t>
      </w:r>
      <w:r w:rsidRPr="00FE1955">
        <w:fldChar w:fldCharType="begin"/>
      </w:r>
      <w:r w:rsidRPr="00FE1955">
        <w:instrText xml:space="preserve"> REF _Ref295125912 \r \h </w:instrText>
      </w:r>
      <w:r w:rsidR="00BC4E3B" w:rsidRPr="00FE1955">
        <w:instrText xml:space="preserve"> \* MERGEFORMAT </w:instrText>
      </w:r>
      <w:r w:rsidRPr="00FE1955">
        <w:fldChar w:fldCharType="separate"/>
      </w:r>
      <w:r w:rsidR="00192660">
        <w:t>7.1.1.1.6</w:t>
      </w:r>
      <w:r w:rsidRPr="00FE1955">
        <w:fldChar w:fldCharType="end"/>
      </w:r>
      <w:r w:rsidR="00FE1955">
        <w:t>.</w:t>
      </w:r>
    </w:p>
    <w:p w:rsidR="00B03F4F" w:rsidRDefault="00B03F4F" w:rsidP="00BC4E3B">
      <w:pPr>
        <w:pStyle w:val="Heading5"/>
      </w:pPr>
      <w:bookmarkStart w:id="140" w:name="_Toc295132751"/>
      <w:bookmarkStart w:id="141" w:name="_Toc290846295"/>
      <w:r>
        <w:t>Participant flow</w:t>
      </w:r>
      <w:bookmarkEnd w:id="140"/>
      <w:bookmarkEnd w:id="141"/>
    </w:p>
    <w:p w:rsidR="00B03F4F" w:rsidRPr="009F2A6F" w:rsidRDefault="00B03F4F" w:rsidP="009F2A6F">
      <w:r w:rsidRPr="009F2A6F">
        <w:t xml:space="preserve">See </w:t>
      </w:r>
      <w:r w:rsidR="009F2A6F">
        <w:t>Figure 1: Study Schema ELT112523.</w:t>
      </w:r>
    </w:p>
    <w:p w:rsidR="00B03F4F" w:rsidRDefault="00B03F4F" w:rsidP="00240809">
      <w:pPr>
        <w:pStyle w:val="Heading5"/>
      </w:pPr>
      <w:bookmarkStart w:id="142" w:name="_Toc295132754"/>
      <w:bookmarkStart w:id="143" w:name="_Toc290846298"/>
      <w:r>
        <w:t>Results for the primary safety outcome</w:t>
      </w:r>
      <w:bookmarkEnd w:id="142"/>
      <w:bookmarkEnd w:id="143"/>
    </w:p>
    <w:p w:rsidR="002638A5" w:rsidRDefault="00B03F4F" w:rsidP="00240809">
      <w:pPr>
        <w:rPr>
          <w:lang w:val="en-US"/>
        </w:rPr>
      </w:pPr>
      <w:proofErr w:type="spellStart"/>
      <w:r>
        <w:rPr>
          <w:lang w:val="en-US"/>
        </w:rPr>
        <w:t>Eltrombopag</w:t>
      </w:r>
      <w:proofErr w:type="spellEnd"/>
      <w:r>
        <w:rPr>
          <w:lang w:val="en-US"/>
        </w:rPr>
        <w:t xml:space="preserve"> at doses up to 150 mg daily was generally well-tolerated in the SAA studies. Over 90% of subjects in Study ELT112523 escalated to the maximum dose, and 12% of subjects discontinued due to AEs.</w:t>
      </w:r>
    </w:p>
    <w:p w:rsidR="002638A5" w:rsidRDefault="00B03F4F" w:rsidP="00240809">
      <w:pPr>
        <w:rPr>
          <w:lang w:val="en-US"/>
        </w:rPr>
      </w:pPr>
      <w:r>
        <w:rPr>
          <w:lang w:val="en-US"/>
        </w:rPr>
        <w:t xml:space="preserve">In general, the safety profile of </w:t>
      </w:r>
      <w:proofErr w:type="spellStart"/>
      <w:r>
        <w:rPr>
          <w:lang w:val="en-US"/>
        </w:rPr>
        <w:t>eltrombopag</w:t>
      </w:r>
      <w:proofErr w:type="spellEnd"/>
      <w:r>
        <w:rPr>
          <w:lang w:val="en-US"/>
        </w:rPr>
        <w:t xml:space="preserve"> at doses up to 150 mg daily in Study ELT112523 is consistent with the expected safety profile for patients with SAA and the established safety profile of </w:t>
      </w:r>
      <w:proofErr w:type="spellStart"/>
      <w:r>
        <w:rPr>
          <w:lang w:val="en-US"/>
        </w:rPr>
        <w:t>eltrombopag</w:t>
      </w:r>
      <w:proofErr w:type="spellEnd"/>
      <w:r>
        <w:rPr>
          <w:lang w:val="en-US"/>
        </w:rPr>
        <w:t xml:space="preserve"> in the approved chronic ITP and HCV indications. No new safety signals have been detected. The most common AEs were nausea, fatigue, cough, </w:t>
      </w:r>
      <w:proofErr w:type="spellStart"/>
      <w:r>
        <w:rPr>
          <w:lang w:val="en-US"/>
        </w:rPr>
        <w:t>diarrhoea</w:t>
      </w:r>
      <w:proofErr w:type="spellEnd"/>
      <w:r>
        <w:rPr>
          <w:lang w:val="en-US"/>
        </w:rPr>
        <w:t xml:space="preserve">, and headache. Serious AEs of febrile </w:t>
      </w:r>
      <w:proofErr w:type="spellStart"/>
      <w:r>
        <w:rPr>
          <w:lang w:val="en-US"/>
        </w:rPr>
        <w:t>neutropaenia</w:t>
      </w:r>
      <w:proofErr w:type="spellEnd"/>
      <w:r>
        <w:rPr>
          <w:lang w:val="en-US"/>
        </w:rPr>
        <w:t xml:space="preserve">, sepsis, and viral infection were reported and were expected given the severe </w:t>
      </w:r>
      <w:proofErr w:type="spellStart"/>
      <w:r>
        <w:rPr>
          <w:lang w:val="en-US"/>
        </w:rPr>
        <w:t>neutropaenia</w:t>
      </w:r>
      <w:proofErr w:type="spellEnd"/>
      <w:r>
        <w:rPr>
          <w:lang w:val="en-US"/>
        </w:rPr>
        <w:t xml:space="preserve"> in this patient population. Of note, infectious SAEs were reported in a smaller proportion of responders (18%) than non-responders (30%) in ELT112523, despite the longer duration of follow-up in responders.</w:t>
      </w:r>
    </w:p>
    <w:p w:rsidR="002638A5" w:rsidRDefault="00B03F4F" w:rsidP="00240809">
      <w:pPr>
        <w:rPr>
          <w:lang w:val="en-US"/>
        </w:rPr>
      </w:pPr>
      <w:r>
        <w:rPr>
          <w:lang w:val="en-US"/>
        </w:rPr>
        <w:t>The incidence and cause (primarily sepsis/infection) of deaths reported in the pivotal Study ELT112523 were consistent with the disease under study.</w:t>
      </w:r>
    </w:p>
    <w:p w:rsidR="00B03F4F" w:rsidRDefault="00B03F4F" w:rsidP="00240809">
      <w:pPr>
        <w:pStyle w:val="Heading3"/>
      </w:pPr>
      <w:bookmarkStart w:id="144" w:name="_Toc295132755"/>
      <w:bookmarkStart w:id="145" w:name="_Toc290846300"/>
      <w:bookmarkStart w:id="146" w:name="_Toc272414662"/>
      <w:bookmarkStart w:id="147" w:name="_Ref271196630"/>
      <w:bookmarkStart w:id="148" w:name="_Toc241374318"/>
      <w:bookmarkStart w:id="149" w:name="_Toc448221957"/>
      <w:r>
        <w:t>Patient exposure</w:t>
      </w:r>
      <w:bookmarkEnd w:id="144"/>
      <w:bookmarkEnd w:id="145"/>
      <w:bookmarkEnd w:id="146"/>
      <w:bookmarkEnd w:id="147"/>
      <w:bookmarkEnd w:id="148"/>
      <w:bookmarkEnd w:id="149"/>
    </w:p>
    <w:p w:rsidR="00B03F4F" w:rsidRDefault="00B03F4F" w:rsidP="00240809">
      <w:pPr>
        <w:pStyle w:val="Heading4"/>
      </w:pPr>
      <w:bookmarkStart w:id="150" w:name="_Toc295132756"/>
      <w:r>
        <w:t xml:space="preserve">Study ELT112523 </w:t>
      </w:r>
      <w:r w:rsidR="00A651F3">
        <w:t>e</w:t>
      </w:r>
      <w:r>
        <w:t>xposure</w:t>
      </w:r>
      <w:bookmarkEnd w:id="150"/>
    </w:p>
    <w:p w:rsidR="00B03F4F" w:rsidRDefault="00B03F4F" w:rsidP="000663A9">
      <w:pPr>
        <w:pStyle w:val="Numberbullet0"/>
        <w:numPr>
          <w:ilvl w:val="0"/>
          <w:numId w:val="19"/>
        </w:numPr>
      </w:pPr>
      <w:r>
        <w:t xml:space="preserve">Forty-three subjects initiated treatment with </w:t>
      </w:r>
      <w:proofErr w:type="spellStart"/>
      <w:r>
        <w:t>eltrombopag</w:t>
      </w:r>
      <w:proofErr w:type="spellEnd"/>
      <w:r>
        <w:t xml:space="preserve"> 50 mg and were dose escalated in 25 mg increments every 2 weeks to a maximum of </w:t>
      </w:r>
      <w:proofErr w:type="spellStart"/>
      <w:r>
        <w:t>eltrombopag</w:t>
      </w:r>
      <w:proofErr w:type="spellEnd"/>
      <w:r>
        <w:t xml:space="preserve"> 150 mg.</w:t>
      </w:r>
    </w:p>
    <w:p w:rsidR="00B03F4F" w:rsidRDefault="00B03F4F" w:rsidP="000663A9">
      <w:pPr>
        <w:pStyle w:val="Numberbullet0"/>
        <w:numPr>
          <w:ilvl w:val="0"/>
          <w:numId w:val="19"/>
        </w:numPr>
      </w:pPr>
      <w:r>
        <w:t xml:space="preserve">Of the 43 subjects who received </w:t>
      </w:r>
      <w:proofErr w:type="spellStart"/>
      <w:r>
        <w:t>eltrombopag</w:t>
      </w:r>
      <w:proofErr w:type="spellEnd"/>
      <w:r>
        <w:t xml:space="preserve">, 40 (93%) were escalated to the maximum dose of </w:t>
      </w:r>
      <w:proofErr w:type="spellStart"/>
      <w:r>
        <w:t>eltrombopag</w:t>
      </w:r>
      <w:proofErr w:type="spellEnd"/>
      <w:r>
        <w:t xml:space="preserve"> 15</w:t>
      </w:r>
      <w:r w:rsidR="00BC4E3B">
        <w:t>0 mg</w:t>
      </w:r>
      <w:r w:rsidR="00392749">
        <w:t xml:space="preserve"> </w:t>
      </w:r>
      <w:r>
        <w:t xml:space="preserve"> Three subjects did not receive the maximum dose of 150 mg.</w:t>
      </w:r>
      <w:r w:rsidR="00392749">
        <w:t xml:space="preserve"> </w:t>
      </w:r>
      <w:r>
        <w:t>The maximum dose received for these 3 subjects was 125</w:t>
      </w:r>
      <w:r w:rsidR="00BC4E3B">
        <w:t xml:space="preserve"> </w:t>
      </w:r>
      <w:r>
        <w:t>mg.</w:t>
      </w:r>
    </w:p>
    <w:p w:rsidR="00B03F4F" w:rsidRDefault="00B03F4F" w:rsidP="000663A9">
      <w:pPr>
        <w:pStyle w:val="Numberbullet0"/>
        <w:numPr>
          <w:ilvl w:val="0"/>
          <w:numId w:val="19"/>
        </w:numPr>
      </w:pPr>
      <w:r>
        <w:t>The median subject daily dose was calculated by dividing the cumulative dose received by the days of treatment.</w:t>
      </w:r>
      <w:r w:rsidR="00392749">
        <w:t xml:space="preserve"> </w:t>
      </w:r>
      <w:r>
        <w:t>Due to the protocol-specified dose escalation, the average daily dose is &lt;</w:t>
      </w:r>
      <w:r w:rsidR="00BC4E3B">
        <w:t xml:space="preserve"> </w:t>
      </w:r>
      <w:r>
        <w:t>150 mg for all subjects (Table 17).</w:t>
      </w:r>
    </w:p>
    <w:p w:rsidR="00A651F3" w:rsidRDefault="00B03F4F" w:rsidP="00BC4E3B">
      <w:pPr>
        <w:pStyle w:val="Tabletitle"/>
      </w:pPr>
      <w:bookmarkStart w:id="151" w:name="_Toc295132820"/>
      <w:r w:rsidRPr="00BC4E3B">
        <w:lastRenderedPageBreak/>
        <w:t>Table</w:t>
      </w:r>
      <w:r w:rsidR="00BC4E3B" w:rsidRPr="00BC4E3B">
        <w:t xml:space="preserve"> 17:</w:t>
      </w:r>
      <w:r w:rsidRPr="00BC4E3B">
        <w:t xml:space="preserve"> Summary of Exposure to </w:t>
      </w:r>
      <w:proofErr w:type="spellStart"/>
      <w:r w:rsidRPr="00BC4E3B">
        <w:t>Eltrombopag</w:t>
      </w:r>
      <w:proofErr w:type="spellEnd"/>
      <w:r w:rsidRPr="00BC4E3B">
        <w:t xml:space="preserve"> in pivotal </w:t>
      </w:r>
      <w:r w:rsidR="00577163" w:rsidRPr="00BC4E3B">
        <w:t>Study EL</w:t>
      </w:r>
      <w:r w:rsidRPr="00BC4E3B">
        <w:t>T112523</w:t>
      </w:r>
      <w:bookmarkEnd w:id="151"/>
    </w:p>
    <w:p w:rsidR="00B03F4F" w:rsidRDefault="00B03F4F" w:rsidP="00A651F3">
      <w:r>
        <w:rPr>
          <w:noProof/>
          <w:lang w:eastAsia="en-AU"/>
        </w:rPr>
        <w:drawing>
          <wp:inline distT="0" distB="0" distL="0" distR="0" wp14:anchorId="40A9260D" wp14:editId="3425A6A1">
            <wp:extent cx="4455886" cy="3026324"/>
            <wp:effectExtent l="0" t="0" r="1905" b="3175"/>
            <wp:docPr id="29" name="Picture 29" descr="Table 17: Summary of Exposure to Eltrombopag in pivotal Study ELT1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060" cy="3027121"/>
                    </a:xfrm>
                    <a:prstGeom prst="rect">
                      <a:avLst/>
                    </a:prstGeom>
                    <a:noFill/>
                    <a:ln>
                      <a:noFill/>
                    </a:ln>
                  </pic:spPr>
                </pic:pic>
              </a:graphicData>
            </a:graphic>
          </wp:inline>
        </w:drawing>
      </w:r>
    </w:p>
    <w:p w:rsidR="00B03F4F" w:rsidRDefault="00B03F4F" w:rsidP="00240809">
      <w:pPr>
        <w:pStyle w:val="Numberbullet0"/>
        <w:numPr>
          <w:ilvl w:val="0"/>
          <w:numId w:val="0"/>
        </w:numPr>
      </w:pPr>
      <w:r>
        <w:t>Given the design of the study, in which subjects who did not meet response criteria were discontinued from treatment after 3 months, the median time on treatment was 3.6 months. The majority of subjects received treatment for at least 3 months.</w:t>
      </w:r>
      <w:r w:rsidR="00392749">
        <w:t xml:space="preserve"> </w:t>
      </w:r>
      <w:r>
        <w:t xml:space="preserve">Nine subjects received </w:t>
      </w:r>
      <w:proofErr w:type="spellStart"/>
      <w:r>
        <w:t>eltrombopag</w:t>
      </w:r>
      <w:proofErr w:type="spellEnd"/>
      <w:r>
        <w:t xml:space="preserve"> for more than 12 months, with a maximum duration of 39 months.</w:t>
      </w:r>
    </w:p>
    <w:p w:rsidR="00B03F4F" w:rsidRDefault="00B03F4F" w:rsidP="00BC4E3B">
      <w:pPr>
        <w:pStyle w:val="Heading4"/>
      </w:pPr>
      <w:bookmarkStart w:id="152" w:name="_Toc295132757"/>
      <w:r>
        <w:t>Study ELT116826 exposure</w:t>
      </w:r>
      <w:bookmarkEnd w:id="152"/>
    </w:p>
    <w:p w:rsidR="00B03F4F" w:rsidRDefault="00B03F4F" w:rsidP="00240809">
      <w:r>
        <w:t xml:space="preserve">Of the 15 subjects who received </w:t>
      </w:r>
      <w:proofErr w:type="spellStart"/>
      <w:r>
        <w:t>eltrombopag</w:t>
      </w:r>
      <w:proofErr w:type="spellEnd"/>
      <w:r>
        <w:t xml:space="preserve"> up to 15</w:t>
      </w:r>
      <w:r w:rsidR="00BC4E3B">
        <w:t>0 mg</w:t>
      </w:r>
      <w:r>
        <w:t xml:space="preserve"> in Study</w:t>
      </w:r>
      <w:r w:rsidR="00586DB0">
        <w:t xml:space="preserve"> </w:t>
      </w:r>
      <w:r>
        <w:t>ELT116826, 5 subjects completed 6</w:t>
      </w:r>
      <w:r w:rsidR="00586DB0">
        <w:t xml:space="preserve"> </w:t>
      </w:r>
      <w:r>
        <w:t xml:space="preserve">months of treatment with </w:t>
      </w:r>
      <w:proofErr w:type="spellStart"/>
      <w:r>
        <w:t>eltrombopag</w:t>
      </w:r>
      <w:proofErr w:type="spellEnd"/>
      <w:r w:rsidR="00586DB0">
        <w:t xml:space="preserve"> </w:t>
      </w:r>
      <w:r>
        <w:t>and 4 of the 5 subjects had entered the extension phase of the study. As of the clinical cut-off date (31 March 2014), the 4</w:t>
      </w:r>
      <w:r w:rsidR="00BC4E3B">
        <w:t xml:space="preserve"> </w:t>
      </w:r>
      <w:r>
        <w:t>subjects received between 57</w:t>
      </w:r>
      <w:r w:rsidR="00BC4E3B">
        <w:t xml:space="preserve"> </w:t>
      </w:r>
      <w:r>
        <w:t>to 85</w:t>
      </w:r>
      <w:r w:rsidR="00BC4E3B">
        <w:t xml:space="preserve"> </w:t>
      </w:r>
      <w:r>
        <w:t>days of treatment in the extension phase. No further exposure data are available for this ongoing study.</w:t>
      </w:r>
    </w:p>
    <w:p w:rsidR="00B03F4F" w:rsidRDefault="00B03F4F" w:rsidP="00240809">
      <w:pPr>
        <w:pStyle w:val="Heading4"/>
      </w:pPr>
      <w:bookmarkStart w:id="153" w:name="_Toc295132758"/>
      <w:r>
        <w:t>Study ELT116643 exposure</w:t>
      </w:r>
      <w:bookmarkEnd w:id="153"/>
    </w:p>
    <w:p w:rsidR="00B03F4F" w:rsidRDefault="00B03F4F" w:rsidP="00240809">
      <w:r>
        <w:t>Of the 44</w:t>
      </w:r>
      <w:r w:rsidR="00BC4E3B">
        <w:t xml:space="preserve"> </w:t>
      </w:r>
      <w:r>
        <w:t xml:space="preserve">subjects who received </w:t>
      </w:r>
      <w:proofErr w:type="spellStart"/>
      <w:r>
        <w:t>eltrombopag</w:t>
      </w:r>
      <w:proofErr w:type="spellEnd"/>
      <w:r>
        <w:t xml:space="preserve"> up to 15</w:t>
      </w:r>
      <w:r w:rsidR="00BC4E3B">
        <w:t>0 mg</w:t>
      </w:r>
      <w:r>
        <w:t xml:space="preserve"> in StudyELT116643, 19 subjects completed the planned 6</w:t>
      </w:r>
      <w:r w:rsidR="00586DB0">
        <w:t xml:space="preserve"> </w:t>
      </w:r>
      <w:r>
        <w:t xml:space="preserve">month </w:t>
      </w:r>
      <w:proofErr w:type="spellStart"/>
      <w:r>
        <w:t>eltrombopag</w:t>
      </w:r>
      <w:proofErr w:type="spellEnd"/>
      <w:r>
        <w:t xml:space="preserve"> treatment period in Cohort 1.</w:t>
      </w:r>
      <w:r w:rsidR="00392749">
        <w:t xml:space="preserve"> </w:t>
      </w:r>
      <w:r>
        <w:t>Five Cohort 1</w:t>
      </w:r>
      <w:r w:rsidR="00BC4E3B">
        <w:t xml:space="preserve"> </w:t>
      </w:r>
      <w:r>
        <w:t xml:space="preserve">subjects tapered off </w:t>
      </w:r>
      <w:proofErr w:type="spellStart"/>
      <w:r>
        <w:t>eltrombopag</w:t>
      </w:r>
      <w:proofErr w:type="spellEnd"/>
      <w:r>
        <w:t xml:space="preserve"> due to increased platelet count: 1 subject received 5</w:t>
      </w:r>
      <w:r w:rsidR="00BC4E3B">
        <w:t xml:space="preserve"> </w:t>
      </w:r>
      <w:r>
        <w:t xml:space="preserve">months of </w:t>
      </w:r>
      <w:proofErr w:type="spellStart"/>
      <w:r>
        <w:t>eltrombopag</w:t>
      </w:r>
      <w:proofErr w:type="spellEnd"/>
      <w:r>
        <w:t xml:space="preserve"> treatment, 1</w:t>
      </w:r>
      <w:r w:rsidR="00BC4E3B">
        <w:t xml:space="preserve"> </w:t>
      </w:r>
      <w:r>
        <w:t>subject received 4 months, 1 subject received 2 months and 2 subjects received 1 month. Three subjects from Cohort 2 completed the planned 3-month</w:t>
      </w:r>
      <w:r w:rsidR="00BC4E3B">
        <w:t xml:space="preserve"> </w:t>
      </w:r>
      <w:proofErr w:type="spellStart"/>
      <w:r>
        <w:t>eltrombopag</w:t>
      </w:r>
      <w:proofErr w:type="spellEnd"/>
      <w:r>
        <w:t xml:space="preserve"> treatment period. No further exposure data is provided.</w:t>
      </w:r>
    </w:p>
    <w:p w:rsidR="00B03F4F" w:rsidRDefault="00B03F4F" w:rsidP="00240809">
      <w:pPr>
        <w:pStyle w:val="Heading4"/>
      </w:pPr>
      <w:bookmarkStart w:id="154" w:name="_Toc295132759"/>
      <w:r>
        <w:t>Study PMA112509 exposure</w:t>
      </w:r>
      <w:bookmarkEnd w:id="154"/>
    </w:p>
    <w:p w:rsidR="00B03F4F" w:rsidRDefault="00B03F4F" w:rsidP="00240809">
      <w:pPr>
        <w:rPr>
          <w:lang w:val="en-US"/>
        </w:rPr>
      </w:pPr>
      <w:r>
        <w:rPr>
          <w:lang w:val="en-US"/>
        </w:rPr>
        <w:t xml:space="preserve">Subjects received a starting daily dose of 50 mg </w:t>
      </w:r>
      <w:proofErr w:type="spellStart"/>
      <w:r>
        <w:rPr>
          <w:lang w:val="en-US"/>
        </w:rPr>
        <w:t>eltrombopag</w:t>
      </w:r>
      <w:proofErr w:type="spellEnd"/>
      <w:r>
        <w:rPr>
          <w:lang w:val="en-US"/>
        </w:rPr>
        <w:t xml:space="preserve"> or matching placebo. The dose could be increased, depending on platelet and bone marrow blast response, every 2 weeks up to a maximum dose of 300 mg/day (150 mg for East Asian subjects). The goal of this dosing schema was to maintain a stable platelet count in the safe range without exceeding platelet counts &gt;400 </w:t>
      </w:r>
      <w:r w:rsidR="0032542E">
        <w:t>x 10</w:t>
      </w:r>
      <w:r w:rsidR="0032542E" w:rsidRPr="0032542E">
        <w:rPr>
          <w:vertAlign w:val="superscript"/>
        </w:rPr>
        <w:t>9</w:t>
      </w:r>
      <w:r>
        <w:rPr>
          <w:lang w:val="en-US"/>
        </w:rPr>
        <w:t>/L.</w:t>
      </w:r>
    </w:p>
    <w:p w:rsidR="00B03F4F" w:rsidRDefault="00B03F4F" w:rsidP="00240809">
      <w:pPr>
        <w:rPr>
          <w:lang w:val="en-US"/>
        </w:rPr>
      </w:pPr>
      <w:r>
        <w:rPr>
          <w:lang w:val="en-US"/>
        </w:rPr>
        <w:t xml:space="preserve">Most subjects in the </w:t>
      </w:r>
      <w:proofErr w:type="spellStart"/>
      <w:r>
        <w:rPr>
          <w:lang w:val="en-US"/>
        </w:rPr>
        <w:t>eltrombopag</w:t>
      </w:r>
      <w:proofErr w:type="spellEnd"/>
      <w:r>
        <w:rPr>
          <w:lang w:val="en-US"/>
        </w:rPr>
        <w:t xml:space="preserve"> group (56%) and in the placebo group (65%) received the maximum dose of IP (300 mg, or 150 mg fo</w:t>
      </w:r>
      <w:r w:rsidR="008B6069">
        <w:rPr>
          <w:lang w:val="en-US"/>
        </w:rPr>
        <w:t>r East Asian subjects) (Table 18</w:t>
      </w:r>
      <w:r>
        <w:rPr>
          <w:lang w:val="en-US"/>
        </w:rPr>
        <w:t xml:space="preserve">). Nine subjects (14%) receiving </w:t>
      </w:r>
      <w:proofErr w:type="spellStart"/>
      <w:r>
        <w:rPr>
          <w:lang w:val="en-US"/>
        </w:rPr>
        <w:t>eltrombopag</w:t>
      </w:r>
      <w:proofErr w:type="spellEnd"/>
      <w:r>
        <w:rPr>
          <w:lang w:val="en-US"/>
        </w:rPr>
        <w:t xml:space="preserve"> and 1 subject (3%) receiving placebo continued treatment for &gt;6 months in the extension treatment periods.</w:t>
      </w:r>
    </w:p>
    <w:p w:rsidR="00A651F3" w:rsidRDefault="00B03F4F" w:rsidP="009F2A6F">
      <w:pPr>
        <w:pStyle w:val="Tabletitle"/>
        <w:spacing w:after="0"/>
      </w:pPr>
      <w:bookmarkStart w:id="155" w:name="_Toc295132821"/>
      <w:r>
        <w:lastRenderedPageBreak/>
        <w:t>Table</w:t>
      </w:r>
      <w:r w:rsidR="00BC4E3B">
        <w:t xml:space="preserve"> 18:</w:t>
      </w:r>
      <w:r>
        <w:t xml:space="preserve"> Exposure to study drug</w:t>
      </w:r>
      <w:bookmarkEnd w:id="155"/>
    </w:p>
    <w:p w:rsidR="00B03F4F" w:rsidRDefault="00B03F4F" w:rsidP="00A651F3">
      <w:r>
        <w:rPr>
          <w:noProof/>
          <w:lang w:eastAsia="en-AU"/>
        </w:rPr>
        <w:drawing>
          <wp:inline distT="0" distB="0" distL="0" distR="0" wp14:anchorId="719FE592" wp14:editId="1E36FD6A">
            <wp:extent cx="4848225" cy="2705100"/>
            <wp:effectExtent l="0" t="0" r="9525" b="0"/>
            <wp:docPr id="28" name="Picture 28" descr="Table 18. Exposure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8225" cy="2705100"/>
                    </a:xfrm>
                    <a:prstGeom prst="rect">
                      <a:avLst/>
                    </a:prstGeom>
                    <a:noFill/>
                    <a:ln>
                      <a:noFill/>
                    </a:ln>
                  </pic:spPr>
                </pic:pic>
              </a:graphicData>
            </a:graphic>
          </wp:inline>
        </w:drawing>
      </w:r>
    </w:p>
    <w:p w:rsidR="00B03F4F" w:rsidRDefault="00B03F4F" w:rsidP="00BC4E3B">
      <w:pPr>
        <w:pStyle w:val="Heading3"/>
      </w:pPr>
      <w:bookmarkStart w:id="156" w:name="_Toc295132760"/>
      <w:bookmarkStart w:id="157" w:name="_Toc290846301"/>
      <w:bookmarkStart w:id="158" w:name="_Toc272414663"/>
      <w:bookmarkStart w:id="159" w:name="_Ref271044764"/>
      <w:bookmarkStart w:id="160" w:name="_Toc241374319"/>
      <w:bookmarkStart w:id="161" w:name="_Toc448221958"/>
      <w:r>
        <w:t>Adverse events</w:t>
      </w:r>
      <w:bookmarkEnd w:id="156"/>
      <w:bookmarkEnd w:id="157"/>
      <w:bookmarkEnd w:id="158"/>
      <w:bookmarkEnd w:id="159"/>
      <w:bookmarkEnd w:id="160"/>
      <w:bookmarkEnd w:id="161"/>
    </w:p>
    <w:p w:rsidR="00B03F4F" w:rsidRDefault="00B03F4F" w:rsidP="00BC4E3B">
      <w:pPr>
        <w:pStyle w:val="Heading4"/>
      </w:pPr>
      <w:bookmarkStart w:id="162" w:name="_Toc295132761"/>
      <w:bookmarkStart w:id="163" w:name="_Toc290846302"/>
      <w:bookmarkStart w:id="164" w:name="_Toc272414664"/>
      <w:bookmarkStart w:id="165" w:name="_Ref272333565"/>
      <w:bookmarkStart w:id="166" w:name="_Ref272317284"/>
      <w:r>
        <w:t xml:space="preserve">All adverse events (irrespective of </w:t>
      </w:r>
      <w:r w:rsidRPr="00BC4E3B">
        <w:t>relationship</w:t>
      </w:r>
      <w:r>
        <w:t xml:space="preserve"> to study treatment)</w:t>
      </w:r>
      <w:bookmarkEnd w:id="162"/>
      <w:bookmarkEnd w:id="163"/>
      <w:bookmarkEnd w:id="164"/>
      <w:bookmarkEnd w:id="165"/>
      <w:bookmarkEnd w:id="166"/>
    </w:p>
    <w:p w:rsidR="00B03F4F" w:rsidRDefault="00B03F4F" w:rsidP="00BC4E3B">
      <w:pPr>
        <w:pStyle w:val="Heading5"/>
      </w:pPr>
      <w:bookmarkStart w:id="167" w:name="_Toc295132762"/>
      <w:r>
        <w:t>Pivotal study - ELT112523</w:t>
      </w:r>
      <w:bookmarkEnd w:id="167"/>
    </w:p>
    <w:p w:rsidR="00B03F4F" w:rsidRDefault="00B03F4F" w:rsidP="00240809">
      <w:r>
        <w:t xml:space="preserve">In Study ELT112523, on-therapy adverse events (AEs) were defined as those that occurred from the date of first dose of </w:t>
      </w:r>
      <w:proofErr w:type="spellStart"/>
      <w:r>
        <w:t>eltrombopag</w:t>
      </w:r>
      <w:proofErr w:type="spellEnd"/>
      <w:r>
        <w:t xml:space="preserve"> treatment to the date 30 day following the last dose of </w:t>
      </w:r>
      <w:proofErr w:type="spellStart"/>
      <w:r>
        <w:t>eltrombopag</w:t>
      </w:r>
      <w:proofErr w:type="spellEnd"/>
      <w:r>
        <w:t>. Nearly all subjects (93%) experienced at least one AE on-therapy, and the majority of subjects had at least one AE considered by investigator as possibly related to treatment.</w:t>
      </w:r>
      <w:r w:rsidR="00392749">
        <w:t xml:space="preserve"> </w:t>
      </w:r>
      <w:r>
        <w:t xml:space="preserve">Two deaths occurred during the on-therapy period of the study and 6 deaths occurred during the entire study period (see below). The most common AEs observed in Study ELT112523 largely reflect the well-known safety profile of </w:t>
      </w:r>
      <w:proofErr w:type="spellStart"/>
      <w:r>
        <w:t>eltrombopag</w:t>
      </w:r>
      <w:proofErr w:type="spellEnd"/>
      <w:r>
        <w:t xml:space="preserve"> treatment and events expected in the SAA population. Nausea, fatigue, cough, diarrhoea, and headache were the most common AEs, reported by at least 20% of subjects.</w:t>
      </w:r>
    </w:p>
    <w:p w:rsidR="00B03F4F" w:rsidRDefault="00B03F4F" w:rsidP="00240809">
      <w:r>
        <w:t>In this study, a total of 14 subjects had at least one serious AE (SAE) reported during treatment</w:t>
      </w:r>
      <w:r w:rsidR="008B6069">
        <w:t xml:space="preserve"> (Table 19)</w:t>
      </w:r>
      <w:r>
        <w:t>.</w:t>
      </w:r>
    </w:p>
    <w:p w:rsidR="00A651F3" w:rsidRDefault="00B03F4F" w:rsidP="00BC4E3B">
      <w:pPr>
        <w:pStyle w:val="Tabletitle"/>
      </w:pPr>
      <w:bookmarkStart w:id="168" w:name="_Toc295132822"/>
      <w:r w:rsidRPr="00BC4E3B">
        <w:t>Table</w:t>
      </w:r>
      <w:r w:rsidR="00BC4E3B" w:rsidRPr="00BC4E3B">
        <w:t xml:space="preserve"> 19:</w:t>
      </w:r>
      <w:r w:rsidRPr="00BC4E3B">
        <w:t xml:space="preserve"> Adverse events</w:t>
      </w:r>
      <w:r>
        <w:t xml:space="preserve"> reported in the pivotal </w:t>
      </w:r>
      <w:r w:rsidR="00577163">
        <w:t>Study EL</w:t>
      </w:r>
      <w:r>
        <w:t>T112523</w:t>
      </w:r>
      <w:bookmarkEnd w:id="168"/>
    </w:p>
    <w:p w:rsidR="00B03F4F" w:rsidRDefault="00B03F4F" w:rsidP="00A651F3">
      <w:r>
        <w:rPr>
          <w:noProof/>
          <w:lang w:eastAsia="en-AU"/>
        </w:rPr>
        <w:drawing>
          <wp:inline distT="0" distB="0" distL="0" distR="0" wp14:anchorId="3E025855" wp14:editId="7B0394EF">
            <wp:extent cx="4651829" cy="1122086"/>
            <wp:effectExtent l="0" t="0" r="0" b="1905"/>
            <wp:docPr id="27" name="Picture 27" descr="Table 19: Adverse events reported in the pivotal Study ELT1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lum bright="-20000" contrast="40000"/>
                      <a:extLst>
                        <a:ext uri="{28A0092B-C50C-407E-A947-70E740481C1C}">
                          <a14:useLocalDpi xmlns:a14="http://schemas.microsoft.com/office/drawing/2010/main" val="0"/>
                        </a:ext>
                      </a:extLst>
                    </a:blip>
                    <a:srcRect l="2157" r="1388" b="18378"/>
                    <a:stretch/>
                  </pic:blipFill>
                  <pic:spPr bwMode="auto">
                    <a:xfrm>
                      <a:off x="0" y="0"/>
                      <a:ext cx="4652266" cy="1122191"/>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240809">
      <w:pPr>
        <w:rPr>
          <w:lang w:val="en-US"/>
        </w:rPr>
      </w:pPr>
      <w:r>
        <w:rPr>
          <w:lang w:val="en-US"/>
        </w:rPr>
        <w:t xml:space="preserve">The most common AEs observed in this study largely reflect the well-known safety profile of </w:t>
      </w:r>
      <w:proofErr w:type="spellStart"/>
      <w:r>
        <w:rPr>
          <w:lang w:val="en-US"/>
        </w:rPr>
        <w:t>eltrombopag</w:t>
      </w:r>
      <w:proofErr w:type="spellEnd"/>
      <w:r>
        <w:rPr>
          <w:lang w:val="en-US"/>
        </w:rPr>
        <w:t xml:space="preserve"> and events expected in this patient population.</w:t>
      </w:r>
    </w:p>
    <w:p w:rsidR="00B03F4F" w:rsidRDefault="00B03F4F" w:rsidP="00240809">
      <w:r w:rsidRPr="00392749">
        <w:rPr>
          <w:lang w:val="en-US"/>
        </w:rPr>
        <w:t>Nausea, fatigue, cough, diarrhea, and headache were the most common AEs reported by at least 20% of subjects (</w:t>
      </w:r>
      <w:r w:rsidR="00392749" w:rsidRPr="00392749">
        <w:rPr>
          <w:lang w:val="en-US"/>
        </w:rPr>
        <w:t>T</w:t>
      </w:r>
      <w:r w:rsidRPr="00392749">
        <w:rPr>
          <w:lang w:val="en-US"/>
        </w:rPr>
        <w:t xml:space="preserve">able </w:t>
      </w:r>
      <w:r w:rsidR="00392749" w:rsidRPr="00392749">
        <w:rPr>
          <w:lang w:val="en-US"/>
        </w:rPr>
        <w:t>20).</w:t>
      </w:r>
    </w:p>
    <w:p w:rsidR="00B03F4F" w:rsidRDefault="00B03F4F" w:rsidP="00593E16">
      <w:pPr>
        <w:pStyle w:val="Tabletitle"/>
      </w:pPr>
      <w:bookmarkStart w:id="169" w:name="_Toc295132823"/>
      <w:r w:rsidRPr="00593E16">
        <w:lastRenderedPageBreak/>
        <w:t>Table</w:t>
      </w:r>
      <w:r w:rsidR="00593E16">
        <w:t xml:space="preserve"> 20:</w:t>
      </w:r>
      <w:r w:rsidRPr="00593E16">
        <w:t xml:space="preserve"> On therapy</w:t>
      </w:r>
      <w:r>
        <w:t xml:space="preserve"> event occurring in &gt;10% or more subjects in Pivotal Study ELT112523</w:t>
      </w:r>
      <w:bookmarkEnd w:id="169"/>
    </w:p>
    <w:p w:rsidR="00B03F4F" w:rsidRDefault="00B03F4F" w:rsidP="00A651F3">
      <w:r>
        <w:rPr>
          <w:noProof/>
        </w:rPr>
        <w:drawing>
          <wp:inline distT="0" distB="0" distL="0" distR="0" wp14:anchorId="04141870" wp14:editId="11FA36CA">
            <wp:extent cx="4172857" cy="3156930"/>
            <wp:effectExtent l="0" t="0" r="0" b="5715"/>
            <wp:docPr id="26" name="Picture 26" descr="Table 20: On therapy event occurring in &gt;10% or more subjects in Pivotal Study ELT1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b="6467"/>
                    <a:stretch/>
                  </pic:blipFill>
                  <pic:spPr bwMode="auto">
                    <a:xfrm>
                      <a:off x="0" y="0"/>
                      <a:ext cx="4168634" cy="3153735"/>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240809">
      <w:pPr>
        <w:pStyle w:val="Heading5"/>
      </w:pPr>
      <w:bookmarkStart w:id="170" w:name="_Toc295132763"/>
      <w:r>
        <w:t>Other studies</w:t>
      </w:r>
      <w:bookmarkEnd w:id="170"/>
    </w:p>
    <w:p w:rsidR="002638A5" w:rsidRDefault="00B03F4F" w:rsidP="00593E16">
      <w:pPr>
        <w:pStyle w:val="Heading6"/>
      </w:pPr>
      <w:r>
        <w:t>ELT116826</w:t>
      </w:r>
    </w:p>
    <w:p w:rsidR="00B03F4F" w:rsidRDefault="00B03F4F" w:rsidP="00B03F4F">
      <w:r>
        <w:t xml:space="preserve">As of the clinical cut-off data (31 March 2014) in Study ELT116826, no AEs have led to discontinuation of </w:t>
      </w:r>
      <w:proofErr w:type="spellStart"/>
      <w:r>
        <w:t>eltrombopag</w:t>
      </w:r>
      <w:proofErr w:type="spellEnd"/>
      <w:r>
        <w:t xml:space="preserve"> treatment</w:t>
      </w:r>
      <w:r w:rsidR="008B6069">
        <w:t xml:space="preserve"> (Table 21)</w:t>
      </w:r>
      <w:r>
        <w:t>.</w:t>
      </w:r>
      <w:r w:rsidR="00392749">
        <w:t xml:space="preserve"> </w:t>
      </w:r>
      <w:r>
        <w:t>Six subjects have had at least 1 SAE reported, none of which were considered related to treatment.</w:t>
      </w:r>
      <w:r w:rsidR="00392749">
        <w:t xml:space="preserve"> </w:t>
      </w:r>
      <w:r>
        <w:t>No deaths have been reported</w:t>
      </w:r>
    </w:p>
    <w:p w:rsidR="00B03F4F" w:rsidRDefault="00B03F4F" w:rsidP="00593E16">
      <w:pPr>
        <w:pStyle w:val="Tabletitle"/>
      </w:pPr>
      <w:bookmarkStart w:id="171" w:name="_Toc295132824"/>
      <w:r w:rsidRPr="00593E16">
        <w:t xml:space="preserve">Table </w:t>
      </w:r>
      <w:r w:rsidR="00593E16" w:rsidRPr="00593E16">
        <w:t>21:</w:t>
      </w:r>
      <w:r w:rsidRPr="00593E16">
        <w:t xml:space="preserve"> Overview</w:t>
      </w:r>
      <w:r>
        <w:rPr>
          <w:lang w:val="en-US"/>
        </w:rPr>
        <w:t xml:space="preserve"> of Adverse Events in Study ELT116826 (Safety Population)</w:t>
      </w:r>
      <w:bookmarkEnd w:id="171"/>
    </w:p>
    <w:p w:rsidR="00B03F4F" w:rsidRDefault="00B03F4F" w:rsidP="00B03F4F">
      <w:r>
        <w:rPr>
          <w:noProof/>
          <w:lang w:eastAsia="en-AU"/>
        </w:rPr>
        <w:drawing>
          <wp:inline distT="0" distB="0" distL="0" distR="0" wp14:anchorId="7B6D6A0A" wp14:editId="2F89F852">
            <wp:extent cx="4506686" cy="936454"/>
            <wp:effectExtent l="0" t="0" r="0" b="0"/>
            <wp:docPr id="25" name="Picture 25" descr="Table 21: Overview of Adverse Events in Study ELT116826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28A0092B-C50C-407E-A947-70E740481C1C}">
                          <a14:useLocalDpi xmlns:a14="http://schemas.microsoft.com/office/drawing/2010/main" val="0"/>
                        </a:ext>
                      </a:extLst>
                    </a:blip>
                    <a:srcRect l="1423" b="11623"/>
                    <a:stretch/>
                  </pic:blipFill>
                  <pic:spPr bwMode="auto">
                    <a:xfrm>
                      <a:off x="0" y="0"/>
                      <a:ext cx="4506686" cy="936454"/>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116E1A">
      <w:pPr>
        <w:pStyle w:val="Heading6"/>
      </w:pPr>
      <w:r>
        <w:t>ELT116643</w:t>
      </w:r>
    </w:p>
    <w:p w:rsidR="00B03F4F" w:rsidRDefault="00B03F4F" w:rsidP="00B03F4F">
      <w:r>
        <w:t xml:space="preserve">As of the clinical cut-off data (31 March 2014, in Study ELT116643), the addition of </w:t>
      </w:r>
      <w:proofErr w:type="spellStart"/>
      <w:r>
        <w:t>eltrombopag</w:t>
      </w:r>
      <w:proofErr w:type="spellEnd"/>
      <w:r>
        <w:t xml:space="preserve"> to the standard immunosuppressive regimen of </w:t>
      </w:r>
      <w:proofErr w:type="spellStart"/>
      <w:r>
        <w:t>hATG</w:t>
      </w:r>
      <w:proofErr w:type="spellEnd"/>
      <w:r>
        <w:t>/</w:t>
      </w:r>
      <w:proofErr w:type="spellStart"/>
      <w:r>
        <w:t>CsA</w:t>
      </w:r>
      <w:proofErr w:type="spellEnd"/>
      <w:r>
        <w:t xml:space="preserve"> has had acceptable tolerability to date with no discontinuations due to AEs</w:t>
      </w:r>
      <w:r w:rsidR="008B6069">
        <w:t xml:space="preserve"> (Table 22)</w:t>
      </w:r>
      <w:r>
        <w:t>.</w:t>
      </w:r>
    </w:p>
    <w:p w:rsidR="00B03F4F" w:rsidRDefault="00B03F4F" w:rsidP="00593E16">
      <w:pPr>
        <w:pStyle w:val="Tabletitle"/>
        <w:rPr>
          <w:szCs w:val="24"/>
        </w:rPr>
      </w:pPr>
      <w:bookmarkStart w:id="172" w:name="_Toc295132825"/>
      <w:r w:rsidRPr="00593E16">
        <w:t xml:space="preserve">Table </w:t>
      </w:r>
      <w:r w:rsidR="00593E16" w:rsidRPr="00593E16">
        <w:t>22:</w:t>
      </w:r>
      <w:r w:rsidRPr="00593E16">
        <w:t xml:space="preserve"> Overview of Adverse Events</w:t>
      </w:r>
      <w:r>
        <w:rPr>
          <w:lang w:val="en-US"/>
        </w:rPr>
        <w:t xml:space="preserve"> in Study ELT116643 (Safety Population)</w:t>
      </w:r>
      <w:bookmarkEnd w:id="172"/>
    </w:p>
    <w:p w:rsidR="00B03F4F" w:rsidRDefault="00B03F4F" w:rsidP="00B03F4F">
      <w:r>
        <w:rPr>
          <w:noProof/>
          <w:lang w:eastAsia="en-AU"/>
        </w:rPr>
        <w:drawing>
          <wp:inline distT="0" distB="0" distL="0" distR="0" wp14:anchorId="5B0830D6" wp14:editId="644673C8">
            <wp:extent cx="4368800" cy="868650"/>
            <wp:effectExtent l="0" t="0" r="0" b="8255"/>
            <wp:docPr id="24" name="Picture 24" descr="Table 22: Overview of Adverse Events in Study ELT11664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a:extLst>
                        <a:ext uri="{28A0092B-C50C-407E-A947-70E740481C1C}">
                          <a14:useLocalDpi xmlns:a14="http://schemas.microsoft.com/office/drawing/2010/main" val="0"/>
                        </a:ext>
                      </a:extLst>
                    </a:blip>
                    <a:srcRect t="5398" b="13034"/>
                    <a:stretch/>
                  </pic:blipFill>
                  <pic:spPr bwMode="auto">
                    <a:xfrm>
                      <a:off x="0" y="0"/>
                      <a:ext cx="4367602" cy="868412"/>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116E1A">
      <w:pPr>
        <w:pStyle w:val="Heading6"/>
      </w:pPr>
      <w:r>
        <w:t>PMA112509</w:t>
      </w:r>
    </w:p>
    <w:p w:rsidR="00B03F4F" w:rsidRDefault="00B03F4F" w:rsidP="00B03F4F">
      <w:pPr>
        <w:rPr>
          <w:lang w:val="en-US"/>
        </w:rPr>
      </w:pPr>
      <w:r>
        <w:rPr>
          <w:lang w:val="en-US"/>
        </w:rPr>
        <w:t>Nearly all subjects (95 subjects [97%]) experienced 1 or more AEs that started on</w:t>
      </w:r>
      <w:r w:rsidR="00593E16">
        <w:rPr>
          <w:lang w:val="en-US"/>
        </w:rPr>
        <w:t xml:space="preserve"> </w:t>
      </w:r>
      <w:r>
        <w:rPr>
          <w:lang w:val="en-US"/>
        </w:rPr>
        <w:t xml:space="preserve">treatment (Table 23). A greater proportion of subjects in the </w:t>
      </w:r>
      <w:proofErr w:type="spellStart"/>
      <w:r>
        <w:rPr>
          <w:lang w:val="en-US"/>
        </w:rPr>
        <w:t>eltrombopag</w:t>
      </w:r>
      <w:proofErr w:type="spellEnd"/>
      <w:r>
        <w:rPr>
          <w:lang w:val="en-US"/>
        </w:rPr>
        <w:t xml:space="preserve"> group experienced SAEs (77%) and drug-related AEs (56%) compared with the placebo group (65% and 35%, respectively). </w:t>
      </w:r>
      <w:r>
        <w:rPr>
          <w:lang w:val="en-US"/>
        </w:rPr>
        <w:lastRenderedPageBreak/>
        <w:t xml:space="preserve">SAEs and AEs leading to withdrawal from study occurred less frequently in the </w:t>
      </w:r>
      <w:proofErr w:type="spellStart"/>
      <w:r>
        <w:rPr>
          <w:lang w:val="en-US"/>
        </w:rPr>
        <w:t>eltrombopag</w:t>
      </w:r>
      <w:proofErr w:type="spellEnd"/>
      <w:r>
        <w:rPr>
          <w:lang w:val="en-US"/>
        </w:rPr>
        <w:t xml:space="preserve"> group than in the placebo group.</w:t>
      </w:r>
    </w:p>
    <w:p w:rsidR="00B03F4F" w:rsidRDefault="00B03F4F" w:rsidP="00593E16">
      <w:pPr>
        <w:pStyle w:val="Tabletitle"/>
        <w:rPr>
          <w:lang w:val="en-US"/>
        </w:rPr>
      </w:pPr>
      <w:bookmarkStart w:id="173" w:name="_Toc295132826"/>
      <w:r w:rsidRPr="00593E16">
        <w:t>Table</w:t>
      </w:r>
      <w:r w:rsidR="00593E16" w:rsidRPr="00593E16">
        <w:t xml:space="preserve"> 23</w:t>
      </w:r>
      <w:r w:rsidR="00593E16">
        <w:t>:</w:t>
      </w:r>
      <w:r w:rsidRPr="00593E16">
        <w:t xml:space="preserve"> Overall</w:t>
      </w:r>
      <w:r>
        <w:t xml:space="preserve"> summary of adverse events starting on-treatment</w:t>
      </w:r>
      <w:bookmarkEnd w:id="173"/>
    </w:p>
    <w:p w:rsidR="00B03F4F" w:rsidRDefault="00B03F4F" w:rsidP="00B03F4F">
      <w:r>
        <w:rPr>
          <w:noProof/>
          <w:lang w:eastAsia="en-AU"/>
        </w:rPr>
        <w:drawing>
          <wp:inline distT="0" distB="0" distL="0" distR="0" wp14:anchorId="7DD4AB06" wp14:editId="62B2108B">
            <wp:extent cx="4557486" cy="1318096"/>
            <wp:effectExtent l="0" t="0" r="0" b="0"/>
            <wp:docPr id="23" name="Picture 23" descr="Table 23: Overall summary of adverse events starting on-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3">
                      <a:extLst>
                        <a:ext uri="{28A0092B-C50C-407E-A947-70E740481C1C}">
                          <a14:useLocalDpi xmlns:a14="http://schemas.microsoft.com/office/drawing/2010/main" val="0"/>
                        </a:ext>
                      </a:extLst>
                    </a:blip>
                    <a:srcRect b="9602"/>
                    <a:stretch/>
                  </pic:blipFill>
                  <pic:spPr bwMode="auto">
                    <a:xfrm>
                      <a:off x="0" y="0"/>
                      <a:ext cx="4572811" cy="1322528"/>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240809">
      <w:pPr>
        <w:rPr>
          <w:lang w:val="en-US"/>
        </w:rPr>
      </w:pPr>
      <w:r>
        <w:rPr>
          <w:lang w:val="en-US"/>
        </w:rPr>
        <w:t xml:space="preserve">The most commonly reported AEs were consistent with those expected for the disease under study and with those expected during treatment with </w:t>
      </w:r>
      <w:proofErr w:type="spellStart"/>
      <w:r>
        <w:rPr>
          <w:lang w:val="en-US"/>
        </w:rPr>
        <w:t>eltrombopag</w:t>
      </w:r>
      <w:proofErr w:type="spellEnd"/>
      <w:r>
        <w:rPr>
          <w:lang w:val="en-US"/>
        </w:rPr>
        <w:t>. Pyrexia was the most common AE in both treatment groups. The most common AEs (</w:t>
      </w:r>
      <w:r w:rsidR="00593E16">
        <w:rPr>
          <w:lang w:val="en-US"/>
        </w:rPr>
        <w:t>that is,</w:t>
      </w:r>
      <w:r>
        <w:rPr>
          <w:lang w:val="en-US"/>
        </w:rPr>
        <w:t xml:space="preserve"> occurring in at least 10% of the subjects) reported on treatment in the </w:t>
      </w:r>
      <w:proofErr w:type="spellStart"/>
      <w:r>
        <w:rPr>
          <w:lang w:val="en-US"/>
        </w:rPr>
        <w:t>eltrombopag</w:t>
      </w:r>
      <w:proofErr w:type="spellEnd"/>
      <w:r>
        <w:rPr>
          <w:lang w:val="en-US"/>
        </w:rPr>
        <w:t xml:space="preserve"> group were pyrexia, nausea, diarrhea, fatigue, de</w:t>
      </w:r>
      <w:r w:rsidR="00716C6C">
        <w:rPr>
          <w:lang w:val="en-US"/>
        </w:rPr>
        <w:t>creased appetite, and pneumonia</w:t>
      </w:r>
      <w:r>
        <w:rPr>
          <w:lang w:val="en-US"/>
        </w:rPr>
        <w:t xml:space="preserve">. A greater incidence of nausea, vomiting, diarrhea, and pyrexia was reported in the </w:t>
      </w:r>
      <w:proofErr w:type="spellStart"/>
      <w:r>
        <w:rPr>
          <w:lang w:val="en-US"/>
        </w:rPr>
        <w:t>eltrombopag</w:t>
      </w:r>
      <w:proofErr w:type="spellEnd"/>
      <w:r>
        <w:rPr>
          <w:lang w:val="en-US"/>
        </w:rPr>
        <w:t xml:space="preserve"> group compared with placebo; the majority of these events were mild to moderate. The </w:t>
      </w:r>
      <w:proofErr w:type="spellStart"/>
      <w:r>
        <w:rPr>
          <w:lang w:val="en-US"/>
        </w:rPr>
        <w:t>eltrombopag</w:t>
      </w:r>
      <w:proofErr w:type="spellEnd"/>
      <w:r>
        <w:rPr>
          <w:lang w:val="en-US"/>
        </w:rPr>
        <w:t xml:space="preserve"> group, when compared with placebo, had lower incidences of infection-related AEs (sepsis [13%</w:t>
      </w:r>
      <w:r w:rsidR="00593E16">
        <w:rPr>
          <w:lang w:val="en-US"/>
        </w:rPr>
        <w:t xml:space="preserve"> versus </w:t>
      </w:r>
      <w:r>
        <w:rPr>
          <w:lang w:val="en-US"/>
        </w:rPr>
        <w:t>18%] and febrile neutropenia [11%</w:t>
      </w:r>
      <w:r w:rsidR="00593E16">
        <w:rPr>
          <w:lang w:val="en-US"/>
        </w:rPr>
        <w:t xml:space="preserve"> versus </w:t>
      </w:r>
      <w:r>
        <w:rPr>
          <w:lang w:val="en-US"/>
        </w:rPr>
        <w:t xml:space="preserve">21%]) and </w:t>
      </w:r>
      <w:proofErr w:type="spellStart"/>
      <w:r>
        <w:rPr>
          <w:lang w:val="en-US"/>
        </w:rPr>
        <w:t>anaemia</w:t>
      </w:r>
      <w:proofErr w:type="spellEnd"/>
      <w:r>
        <w:rPr>
          <w:lang w:val="en-US"/>
        </w:rPr>
        <w:t xml:space="preserve"> (17%</w:t>
      </w:r>
      <w:r w:rsidR="00593E16">
        <w:rPr>
          <w:lang w:val="en-US"/>
        </w:rPr>
        <w:t xml:space="preserve"> versus </w:t>
      </w:r>
      <w:r>
        <w:rPr>
          <w:lang w:val="en-US"/>
        </w:rPr>
        <w:t xml:space="preserve">24%). Leukocytosis (including increased white blood cells) was more common in the </w:t>
      </w:r>
      <w:proofErr w:type="spellStart"/>
      <w:r>
        <w:rPr>
          <w:lang w:val="en-US"/>
        </w:rPr>
        <w:t>eltrombopag</w:t>
      </w:r>
      <w:proofErr w:type="spellEnd"/>
      <w:r>
        <w:rPr>
          <w:lang w:val="en-US"/>
        </w:rPr>
        <w:t xml:space="preserve"> (11%) group than in placebo (3%).</w:t>
      </w:r>
    </w:p>
    <w:p w:rsidR="00B03F4F" w:rsidRDefault="00B03F4F" w:rsidP="00240809">
      <w:pPr>
        <w:pStyle w:val="Heading4"/>
      </w:pPr>
      <w:bookmarkStart w:id="174" w:name="_Toc295132764"/>
      <w:bookmarkStart w:id="175" w:name="_Toc290846303"/>
      <w:bookmarkStart w:id="176" w:name="_Toc272414665"/>
      <w:bookmarkStart w:id="177" w:name="_Ref272333567"/>
      <w:r>
        <w:t>Treatment-related adverse events (adverse drug reactions)</w:t>
      </w:r>
      <w:bookmarkEnd w:id="174"/>
      <w:bookmarkEnd w:id="175"/>
      <w:bookmarkEnd w:id="176"/>
      <w:bookmarkEnd w:id="177"/>
    </w:p>
    <w:p w:rsidR="00B03F4F" w:rsidRDefault="00B03F4F" w:rsidP="00240809">
      <w:pPr>
        <w:pStyle w:val="Heading5"/>
      </w:pPr>
      <w:r>
        <w:t>Pivotal studies</w:t>
      </w:r>
    </w:p>
    <w:p w:rsidR="00B03F4F" w:rsidRDefault="00B03F4F" w:rsidP="00B03F4F">
      <w:pPr>
        <w:rPr>
          <w:lang w:val="en-US"/>
        </w:rPr>
      </w:pPr>
      <w:r>
        <w:rPr>
          <w:lang w:val="en-US"/>
        </w:rPr>
        <w:t>Thirty subjects (70%) had at least one AE considered by the investigator to be related to treatment (Table 24). Nausea, headache, and diarrhea were the most common AEs (</w:t>
      </w:r>
      <w:r w:rsidR="00716C6C">
        <w:rPr>
          <w:rFonts w:ascii="Times New Roman" w:hAnsi="Times New Roman"/>
          <w:b/>
          <w:bCs/>
          <w:lang w:val="en-US"/>
        </w:rPr>
        <w:t>≥</w:t>
      </w:r>
      <w:r w:rsidR="00716C6C">
        <w:rPr>
          <w:rFonts w:ascii="Symbol" w:hAnsi="Symbol"/>
          <w:b/>
          <w:bCs/>
          <w:lang w:val="en-US"/>
        </w:rPr>
        <w:t></w:t>
      </w:r>
      <w:r>
        <w:rPr>
          <w:lang w:val="en-US"/>
        </w:rPr>
        <w:t>20%) considered related to treatment</w:t>
      </w:r>
    </w:p>
    <w:p w:rsidR="00A651F3" w:rsidRDefault="00B03F4F" w:rsidP="00716C6C">
      <w:pPr>
        <w:pStyle w:val="Tabletitle"/>
        <w:rPr>
          <w:lang w:val="en-US"/>
        </w:rPr>
      </w:pPr>
      <w:bookmarkStart w:id="178" w:name="_Toc295132827"/>
      <w:r w:rsidRPr="00716C6C">
        <w:t>Table</w:t>
      </w:r>
      <w:r w:rsidR="00716C6C" w:rsidRPr="00716C6C">
        <w:t xml:space="preserve"> 24:</w:t>
      </w:r>
      <w:r w:rsidRPr="00716C6C">
        <w:t xml:space="preserve"> On-Therapy</w:t>
      </w:r>
      <w:r>
        <w:rPr>
          <w:lang w:val="en-US"/>
        </w:rPr>
        <w:t xml:space="preserve"> Summary of Adverse Events Related to Study Treatment Occurring in </w:t>
      </w:r>
      <w:r w:rsidR="00716C6C">
        <w:rPr>
          <w:rFonts w:ascii="Times New Roman" w:hAnsi="Times New Roman" w:cs="Times New Roman"/>
          <w:lang w:val="en-US"/>
        </w:rPr>
        <w:t>≥</w:t>
      </w:r>
      <w:r w:rsidR="00716C6C">
        <w:rPr>
          <w:rFonts w:ascii="Symbol" w:hAnsi="Symbol"/>
          <w:lang w:val="en-US"/>
        </w:rPr>
        <w:t></w:t>
      </w:r>
      <w:r>
        <w:rPr>
          <w:lang w:val="en-US"/>
        </w:rPr>
        <w:t>10% of Subjects (Safety Population)</w:t>
      </w:r>
      <w:bookmarkEnd w:id="178"/>
    </w:p>
    <w:p w:rsidR="00B03F4F" w:rsidRDefault="00B03F4F" w:rsidP="00A651F3">
      <w:r>
        <w:rPr>
          <w:noProof/>
          <w:lang w:eastAsia="en-AU"/>
        </w:rPr>
        <w:drawing>
          <wp:inline distT="0" distB="0" distL="0" distR="0" wp14:anchorId="12DE0785" wp14:editId="6AD33CF9">
            <wp:extent cx="4071257" cy="1036321"/>
            <wp:effectExtent l="0" t="0" r="5715" b="0"/>
            <wp:docPr id="22" name="Picture 22" descr="Table 24: On-Therapy Summary of Adverse Events Related to Study Treatment Occurring in ³ 10% of Subjec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extLst>
                        <a:ext uri="{28A0092B-C50C-407E-A947-70E740481C1C}">
                          <a14:useLocalDpi xmlns:a14="http://schemas.microsoft.com/office/drawing/2010/main" val="0"/>
                        </a:ext>
                      </a:extLst>
                    </a:blip>
                    <a:srcRect b="10423"/>
                    <a:stretch/>
                  </pic:blipFill>
                  <pic:spPr bwMode="auto">
                    <a:xfrm>
                      <a:off x="0" y="0"/>
                      <a:ext cx="4071680" cy="1036429"/>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240809">
      <w:pPr>
        <w:pStyle w:val="Heading5"/>
      </w:pPr>
      <w:r>
        <w:t>Other studies</w:t>
      </w:r>
    </w:p>
    <w:p w:rsidR="00B03F4F" w:rsidRDefault="00B03F4F" w:rsidP="00116E1A">
      <w:pPr>
        <w:pStyle w:val="Heading6"/>
      </w:pPr>
      <w:r>
        <w:t>PMA112509</w:t>
      </w:r>
    </w:p>
    <w:p w:rsidR="00B03F4F" w:rsidRDefault="00B03F4F" w:rsidP="00B03F4F">
      <w:pPr>
        <w:autoSpaceDE w:val="0"/>
        <w:autoSpaceDN w:val="0"/>
        <w:adjustRightInd w:val="0"/>
        <w:rPr>
          <w:lang w:val="en-US"/>
        </w:rPr>
      </w:pPr>
      <w:r>
        <w:rPr>
          <w:lang w:val="en-US"/>
        </w:rPr>
        <w:t xml:space="preserve">In the </w:t>
      </w:r>
      <w:proofErr w:type="spellStart"/>
      <w:r>
        <w:rPr>
          <w:lang w:val="en-US"/>
        </w:rPr>
        <w:t>eltrombopag</w:t>
      </w:r>
      <w:proofErr w:type="spellEnd"/>
      <w:r>
        <w:rPr>
          <w:lang w:val="en-US"/>
        </w:rPr>
        <w:t xml:space="preserve"> treatment group, 53% of the subjects experienced an adverse event related to study drug compared with 32% in the placebo group. The majority of AEs considered related to treatment with </w:t>
      </w:r>
      <w:proofErr w:type="spellStart"/>
      <w:r>
        <w:rPr>
          <w:lang w:val="en-US"/>
        </w:rPr>
        <w:t>eltrombopag</w:t>
      </w:r>
      <w:proofErr w:type="spellEnd"/>
      <w:r>
        <w:rPr>
          <w:lang w:val="en-US"/>
        </w:rPr>
        <w:t xml:space="preserve"> were gastrointestinal AEs (nausea, diarrhea, and vomiting).</w:t>
      </w:r>
    </w:p>
    <w:p w:rsidR="00B03F4F" w:rsidRDefault="00B03F4F" w:rsidP="00240809">
      <w:pPr>
        <w:pStyle w:val="Heading4"/>
      </w:pPr>
      <w:bookmarkStart w:id="179" w:name="_Toc295132765"/>
      <w:bookmarkStart w:id="180" w:name="_Toc290846304"/>
      <w:bookmarkStart w:id="181" w:name="_Toc272414666"/>
      <w:bookmarkStart w:id="182" w:name="_Ref272333507"/>
      <w:bookmarkStart w:id="183" w:name="_Toc241374320"/>
      <w:r>
        <w:t>Deaths and other serious adverse events</w:t>
      </w:r>
      <w:bookmarkEnd w:id="179"/>
      <w:bookmarkEnd w:id="180"/>
      <w:bookmarkEnd w:id="181"/>
      <w:bookmarkEnd w:id="182"/>
      <w:bookmarkEnd w:id="183"/>
    </w:p>
    <w:p w:rsidR="00B03F4F" w:rsidRDefault="00B03F4F" w:rsidP="00240809">
      <w:pPr>
        <w:pStyle w:val="Heading5"/>
      </w:pPr>
      <w:r>
        <w:t>Pivotal studies</w:t>
      </w:r>
    </w:p>
    <w:p w:rsidR="00B03F4F" w:rsidRDefault="00B03F4F" w:rsidP="00116E1A">
      <w:pPr>
        <w:pStyle w:val="Heading6"/>
      </w:pPr>
      <w:r>
        <w:t>Deaths</w:t>
      </w:r>
    </w:p>
    <w:p w:rsidR="002638A5" w:rsidRDefault="00B03F4F" w:rsidP="00B03F4F">
      <w:r>
        <w:t>A total of 6 deaths (14%) were reported during Study ELT112523. None of the deaths were considered related to treatment by the investigator.</w:t>
      </w:r>
    </w:p>
    <w:p w:rsidR="00B03F4F" w:rsidRDefault="00B03F4F" w:rsidP="00B03F4F">
      <w:r>
        <w:lastRenderedPageBreak/>
        <w:t xml:space="preserve">No subject died while receiving </w:t>
      </w:r>
      <w:proofErr w:type="spellStart"/>
      <w:r>
        <w:t>eltrombopag</w:t>
      </w:r>
      <w:proofErr w:type="spellEnd"/>
      <w:r>
        <w:t xml:space="preserve">; 2 subjects died of sepsis/infection within 30 days of the last dose of </w:t>
      </w:r>
      <w:proofErr w:type="spellStart"/>
      <w:r>
        <w:t>eltrombopag</w:t>
      </w:r>
      <w:proofErr w:type="spellEnd"/>
      <w:r>
        <w:t xml:space="preserve"> and 4 subjects died more than 110 days after the last dose of </w:t>
      </w:r>
      <w:proofErr w:type="spellStart"/>
      <w:r>
        <w:t>eltrombopag</w:t>
      </w:r>
      <w:proofErr w:type="spellEnd"/>
      <w:r>
        <w:t xml:space="preserve"> (</w:t>
      </w:r>
      <w:r w:rsidR="00716C6C">
        <w:t xml:space="preserve">2 subjects </w:t>
      </w:r>
      <w:r>
        <w:t xml:space="preserve">sepsis/infection; </w:t>
      </w:r>
      <w:r w:rsidR="00716C6C">
        <w:t xml:space="preserve">1 subject </w:t>
      </w:r>
      <w:r>
        <w:t xml:space="preserve">MDS/AML; </w:t>
      </w:r>
      <w:r w:rsidR="00716C6C">
        <w:t xml:space="preserve">1 subject </w:t>
      </w:r>
      <w:r>
        <w:t>unknown).</w:t>
      </w:r>
    </w:p>
    <w:p w:rsidR="00B03F4F" w:rsidRDefault="00B03F4F" w:rsidP="00B03F4F">
      <w:r>
        <w:t>All causes of death were consistent with the patient population under study.</w:t>
      </w:r>
    </w:p>
    <w:p w:rsidR="00B03F4F" w:rsidRDefault="00B03F4F" w:rsidP="00B03F4F">
      <w:pPr>
        <w:rPr>
          <w:lang w:val="en-US"/>
        </w:rPr>
      </w:pPr>
      <w:r>
        <w:rPr>
          <w:lang w:val="en-US"/>
        </w:rPr>
        <w:t>Four subjects who died had an SAE reported with a fatal outcome:</w:t>
      </w:r>
    </w:p>
    <w:p w:rsidR="00B03F4F" w:rsidRDefault="00B03F4F" w:rsidP="00240809">
      <w:pPr>
        <w:pStyle w:val="ListBullet"/>
        <w:rPr>
          <w:lang w:val="en-US"/>
        </w:rPr>
      </w:pPr>
      <w:r>
        <w:rPr>
          <w:lang w:val="en-US"/>
        </w:rPr>
        <w:t xml:space="preserve">One subject </w:t>
      </w:r>
      <w:r w:rsidR="00240809">
        <w:rPr>
          <w:lang w:val="en-US"/>
        </w:rPr>
        <w:t>[information redacted]</w:t>
      </w:r>
      <w:r>
        <w:rPr>
          <w:lang w:val="en-US"/>
        </w:rPr>
        <w:t xml:space="preserve"> whose primary cause of death was reported as </w:t>
      </w:r>
      <w:r w:rsidR="00360B57">
        <w:rPr>
          <w:lang w:val="en-US"/>
        </w:rPr>
        <w:t>unknown</w:t>
      </w:r>
      <w:r>
        <w:rPr>
          <w:lang w:val="en-US"/>
        </w:rPr>
        <w:t xml:space="preserve"> completed 12 weeks of study treatment and died due to an unknown cause 16 weeks post-therapy, one week after being referred to other therapies or supportive care.</w:t>
      </w:r>
    </w:p>
    <w:p w:rsidR="00B03F4F" w:rsidRDefault="00B03F4F" w:rsidP="00240809">
      <w:pPr>
        <w:pStyle w:val="ListBullet"/>
        <w:rPr>
          <w:lang w:val="en-US"/>
        </w:rPr>
      </w:pPr>
      <w:r>
        <w:rPr>
          <w:lang w:val="en-US"/>
        </w:rPr>
        <w:t xml:space="preserve">Three subjects </w:t>
      </w:r>
      <w:r w:rsidR="00240809">
        <w:rPr>
          <w:lang w:val="en-US"/>
        </w:rPr>
        <w:t>[information redacted]</w:t>
      </w:r>
      <w:r>
        <w:rPr>
          <w:lang w:val="en-US"/>
        </w:rPr>
        <w:t xml:space="preserve"> whose primary cause of death was reported as disease under study (sepsis/infection) had fatal SAEs of aplastic anemia, sepsis, and septic shock respectively.</w:t>
      </w:r>
    </w:p>
    <w:p w:rsidR="00B03F4F" w:rsidRDefault="00B03F4F" w:rsidP="00716C6C">
      <w:pPr>
        <w:pStyle w:val="Heading6"/>
        <w:rPr>
          <w:lang w:val="en-US"/>
        </w:rPr>
      </w:pPr>
      <w:r>
        <w:rPr>
          <w:lang w:val="en-US"/>
        </w:rPr>
        <w:t>Serious adverse events</w:t>
      </w:r>
    </w:p>
    <w:p w:rsidR="00B03F4F" w:rsidRDefault="00B03F4F" w:rsidP="00B03F4F">
      <w:pPr>
        <w:rPr>
          <w:lang w:val="en-US"/>
        </w:rPr>
      </w:pPr>
      <w:r>
        <w:rPr>
          <w:lang w:val="en-US"/>
        </w:rPr>
        <w:t xml:space="preserve">A total of 14 subjects had at least 1 SAE reported during treatment (Table 25). The most common SAE reported was febrile </w:t>
      </w:r>
      <w:proofErr w:type="spellStart"/>
      <w:r>
        <w:rPr>
          <w:lang w:val="en-US"/>
        </w:rPr>
        <w:t>neutropaenia</w:t>
      </w:r>
      <w:proofErr w:type="spellEnd"/>
      <w:r>
        <w:rPr>
          <w:lang w:val="en-US"/>
        </w:rPr>
        <w:t xml:space="preserve">, followed by sepsis and viral infection. The percent of responders with infectious SAEs (3/17; 18%) was less than that in non-responders (8/26; 30%) despite the shorter observation time for non-responders. Infectious complications and </w:t>
      </w:r>
      <w:proofErr w:type="spellStart"/>
      <w:r>
        <w:rPr>
          <w:lang w:val="en-US"/>
        </w:rPr>
        <w:t>cytopaenia</w:t>
      </w:r>
      <w:proofErr w:type="spellEnd"/>
      <w:r>
        <w:rPr>
          <w:lang w:val="en-US"/>
        </w:rPr>
        <w:t xml:space="preserve"> are common in </w:t>
      </w:r>
      <w:proofErr w:type="spellStart"/>
      <w:r>
        <w:rPr>
          <w:lang w:val="en-US"/>
        </w:rPr>
        <w:t>cytopenic</w:t>
      </w:r>
      <w:proofErr w:type="spellEnd"/>
      <w:r>
        <w:rPr>
          <w:lang w:val="en-US"/>
        </w:rPr>
        <w:t xml:space="preserve"> SAA </w:t>
      </w:r>
      <w:r w:rsidRPr="00392749">
        <w:rPr>
          <w:lang w:val="en-US"/>
        </w:rPr>
        <w:t>patients (Valdez, 2011). Most subjects</w:t>
      </w:r>
      <w:r>
        <w:rPr>
          <w:lang w:val="en-US"/>
        </w:rPr>
        <w:t xml:space="preserve"> had recovered or were recovering from the SAE as of the data cut-off (09 May 2014).</w:t>
      </w:r>
    </w:p>
    <w:p w:rsidR="00B03F4F" w:rsidRPr="00716C6C" w:rsidRDefault="00B03F4F" w:rsidP="00716C6C">
      <w:pPr>
        <w:pStyle w:val="Tabletitle"/>
      </w:pPr>
      <w:bookmarkStart w:id="184" w:name="_Toc295132828"/>
      <w:r w:rsidRPr="00716C6C">
        <w:t>Table</w:t>
      </w:r>
      <w:r w:rsidR="00716C6C">
        <w:t xml:space="preserve"> 25:</w:t>
      </w:r>
      <w:r w:rsidRPr="00716C6C">
        <w:t xml:space="preserve"> SAEs in Pivotal Study ELT112523</w:t>
      </w:r>
      <w:bookmarkEnd w:id="184"/>
    </w:p>
    <w:p w:rsidR="00B03F4F" w:rsidRDefault="00B03F4F" w:rsidP="00B03F4F">
      <w:pPr>
        <w:rPr>
          <w:sz w:val="20"/>
          <w:szCs w:val="20"/>
        </w:rPr>
      </w:pPr>
      <w:r>
        <w:rPr>
          <w:noProof/>
          <w:sz w:val="20"/>
          <w:szCs w:val="20"/>
          <w:lang w:eastAsia="en-AU"/>
        </w:rPr>
        <w:drawing>
          <wp:inline distT="0" distB="0" distL="0" distR="0" wp14:anchorId="5A354252" wp14:editId="483E2FD6">
            <wp:extent cx="3904343" cy="2496457"/>
            <wp:effectExtent l="0" t="0" r="1270" b="0"/>
            <wp:docPr id="21" name="Picture 21" descr="Table 25: SAEs in Pivotal Study ELT1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a:lum bright="-20000" contrast="40000"/>
                      <a:extLst>
                        <a:ext uri="{28A0092B-C50C-407E-A947-70E740481C1C}">
                          <a14:useLocalDpi xmlns:a14="http://schemas.microsoft.com/office/drawing/2010/main" val="0"/>
                        </a:ext>
                      </a:extLst>
                    </a:blip>
                    <a:srcRect l="2609" t="2204" r="3827" b="3031"/>
                    <a:stretch/>
                  </pic:blipFill>
                  <pic:spPr bwMode="auto">
                    <a:xfrm>
                      <a:off x="0" y="0"/>
                      <a:ext cx="3902727" cy="2495424"/>
                    </a:xfrm>
                    <a:prstGeom prst="rect">
                      <a:avLst/>
                    </a:prstGeom>
                    <a:noFill/>
                    <a:ln>
                      <a:noFill/>
                    </a:ln>
                    <a:extLst>
                      <a:ext uri="{53640926-AAD7-44D8-BBD7-CCE9431645EC}">
                        <a14:shadowObscured xmlns:a14="http://schemas.microsoft.com/office/drawing/2010/main"/>
                      </a:ext>
                    </a:extLst>
                  </pic:spPr>
                </pic:pic>
              </a:graphicData>
            </a:graphic>
          </wp:inline>
        </w:drawing>
      </w:r>
    </w:p>
    <w:p w:rsidR="00B03F4F" w:rsidRDefault="00B03F4F" w:rsidP="00240809">
      <w:pPr>
        <w:pStyle w:val="Heading5"/>
        <w:rPr>
          <w:szCs w:val="24"/>
        </w:rPr>
      </w:pPr>
      <w:r>
        <w:t xml:space="preserve">Other </w:t>
      </w:r>
      <w:r w:rsidRPr="00240809">
        <w:t>studies</w:t>
      </w:r>
    </w:p>
    <w:p w:rsidR="00B03F4F" w:rsidRDefault="00B03F4F" w:rsidP="00116E1A">
      <w:pPr>
        <w:pStyle w:val="Heading6"/>
      </w:pPr>
      <w:r>
        <w:t>Deaths</w:t>
      </w:r>
    </w:p>
    <w:p w:rsidR="00B03F4F" w:rsidRDefault="00B03F4F" w:rsidP="00B03F4F">
      <w:pPr>
        <w:autoSpaceDE w:val="0"/>
        <w:autoSpaceDN w:val="0"/>
        <w:adjustRightInd w:val="0"/>
      </w:pPr>
      <w:r>
        <w:t>In Study ELT116826, no subject had died due to an AE as of the data cut-off date.</w:t>
      </w:r>
    </w:p>
    <w:p w:rsidR="00B03F4F" w:rsidRDefault="00B03F4F" w:rsidP="00B03F4F">
      <w:pPr>
        <w:autoSpaceDE w:val="0"/>
        <w:autoSpaceDN w:val="0"/>
        <w:adjustRightInd w:val="0"/>
      </w:pPr>
      <w:r>
        <w:t>In Study ELT116643, 1 subject died of encephalopathy and respiratory failure in the setting of an infection while on-treatment as of the data cut-off date. Neither event was considered related to study treatments.</w:t>
      </w:r>
    </w:p>
    <w:p w:rsidR="00B03F4F" w:rsidRDefault="00B03F4F" w:rsidP="00B03F4F">
      <w:pPr>
        <w:autoSpaceDE w:val="0"/>
        <w:autoSpaceDN w:val="0"/>
        <w:adjustRightInd w:val="0"/>
      </w:pPr>
      <w:r>
        <w:t>All causes of death were consistent with the patient population under study.</w:t>
      </w:r>
    </w:p>
    <w:p w:rsidR="00B03F4F" w:rsidRDefault="00B03F4F" w:rsidP="00B03F4F">
      <w:pPr>
        <w:autoSpaceDE w:val="0"/>
        <w:autoSpaceDN w:val="0"/>
        <w:adjustRightInd w:val="0"/>
      </w:pPr>
      <w:r>
        <w:t xml:space="preserve"> In Study PMA115209 a </w:t>
      </w:r>
      <w:r>
        <w:rPr>
          <w:lang w:val="en-US"/>
        </w:rPr>
        <w:t xml:space="preserve">total of 61 deaths (62%) were reported during the study (including extension and follow-up periods): 40 deaths (63%) in the </w:t>
      </w:r>
      <w:proofErr w:type="spellStart"/>
      <w:r>
        <w:rPr>
          <w:lang w:val="en-US"/>
        </w:rPr>
        <w:t>eltrombopag</w:t>
      </w:r>
      <w:proofErr w:type="spellEnd"/>
      <w:r>
        <w:rPr>
          <w:lang w:val="en-US"/>
        </w:rPr>
        <w:t xml:space="preserve"> group and 21 deaths (62%) in the placebo group. The majority of deaths in both treatment groups (</w:t>
      </w:r>
      <w:proofErr w:type="spellStart"/>
      <w:r>
        <w:rPr>
          <w:lang w:val="en-US"/>
        </w:rPr>
        <w:t>eltrombopag</w:t>
      </w:r>
      <w:proofErr w:type="spellEnd"/>
      <w:r>
        <w:rPr>
          <w:lang w:val="en-US"/>
        </w:rPr>
        <w:t>, 93%; placebo, 86%) were judged by the investigator to be due to the disease under study.</w:t>
      </w:r>
    </w:p>
    <w:p w:rsidR="00B03F4F" w:rsidRDefault="00B03F4F" w:rsidP="00116E1A">
      <w:pPr>
        <w:pStyle w:val="Heading6"/>
      </w:pPr>
      <w:r>
        <w:lastRenderedPageBreak/>
        <w:t>Serious adverse events</w:t>
      </w:r>
    </w:p>
    <w:p w:rsidR="00B03F4F" w:rsidRDefault="00B03F4F" w:rsidP="00B03F4F">
      <w:pPr>
        <w:autoSpaceDE w:val="0"/>
        <w:autoSpaceDN w:val="0"/>
        <w:adjustRightInd w:val="0"/>
        <w:rPr>
          <w:lang w:val="en-US"/>
        </w:rPr>
      </w:pPr>
      <w:r>
        <w:rPr>
          <w:lang w:val="en-US"/>
        </w:rPr>
        <w:t xml:space="preserve">In Study ELT116826, 6 of the 15 subjects (40%) who received </w:t>
      </w:r>
      <w:proofErr w:type="spellStart"/>
      <w:r>
        <w:rPr>
          <w:lang w:val="en-US"/>
        </w:rPr>
        <w:t>eltrombopag</w:t>
      </w:r>
      <w:proofErr w:type="spellEnd"/>
      <w:r>
        <w:rPr>
          <w:lang w:val="en-US"/>
        </w:rPr>
        <w:t xml:space="preserve"> have had 11 SAEs. None of the events were considered related to </w:t>
      </w:r>
      <w:proofErr w:type="spellStart"/>
      <w:r>
        <w:rPr>
          <w:lang w:val="en-US"/>
        </w:rPr>
        <w:t>eltrombopag</w:t>
      </w:r>
      <w:proofErr w:type="spellEnd"/>
      <w:r>
        <w:rPr>
          <w:lang w:val="en-US"/>
        </w:rPr>
        <w:t xml:space="preserve"> treatment.</w:t>
      </w:r>
    </w:p>
    <w:p w:rsidR="00B03F4F" w:rsidRDefault="00B03F4F" w:rsidP="00B03F4F">
      <w:pPr>
        <w:autoSpaceDE w:val="0"/>
        <w:autoSpaceDN w:val="0"/>
        <w:adjustRightInd w:val="0"/>
      </w:pPr>
      <w:r>
        <w:t xml:space="preserve">In Study ELT116643, 18 of the 44 subjects (41%) who received </w:t>
      </w:r>
      <w:proofErr w:type="spellStart"/>
      <w:r>
        <w:t>eltrombopag</w:t>
      </w:r>
      <w:proofErr w:type="spellEnd"/>
      <w:r>
        <w:t xml:space="preserve"> had 31 SAEs reported. Most of the SAEs were infectious in nature as expected in this patient population. One event of squamous cell carcinoma was considered possibly related to treatment with </w:t>
      </w:r>
      <w:proofErr w:type="spellStart"/>
      <w:r>
        <w:t>hATG</w:t>
      </w:r>
      <w:proofErr w:type="spellEnd"/>
      <w:r>
        <w:t>/</w:t>
      </w:r>
      <w:proofErr w:type="spellStart"/>
      <w:r>
        <w:t>CsA</w:t>
      </w:r>
      <w:proofErr w:type="spellEnd"/>
      <w:r>
        <w:t xml:space="preserve"> and </w:t>
      </w:r>
      <w:proofErr w:type="spellStart"/>
      <w:r>
        <w:t>eltrombopag</w:t>
      </w:r>
      <w:proofErr w:type="spellEnd"/>
      <w:r>
        <w:t>. One subject had fatal events of encephalopathy and respiratory failure, which were not considered related to treatment.</w:t>
      </w:r>
    </w:p>
    <w:p w:rsidR="00B03F4F" w:rsidRDefault="00B03F4F" w:rsidP="00B03F4F">
      <w:pPr>
        <w:autoSpaceDE w:val="0"/>
        <w:autoSpaceDN w:val="0"/>
        <w:adjustRightInd w:val="0"/>
      </w:pPr>
      <w:r>
        <w:t>In Study PMA115209, a</w:t>
      </w:r>
      <w:r>
        <w:rPr>
          <w:lang w:val="en-US"/>
        </w:rPr>
        <w:t xml:space="preserve"> greater proportion of subjects in the </w:t>
      </w:r>
      <w:proofErr w:type="spellStart"/>
      <w:r>
        <w:rPr>
          <w:lang w:val="en-US"/>
        </w:rPr>
        <w:t>eltrombopag</w:t>
      </w:r>
      <w:proofErr w:type="spellEnd"/>
      <w:r>
        <w:rPr>
          <w:lang w:val="en-US"/>
        </w:rPr>
        <w:t xml:space="preserve"> group than in the placebo group experienced SAEs (77%</w:t>
      </w:r>
      <w:r w:rsidR="00593E16">
        <w:rPr>
          <w:lang w:val="en-US"/>
        </w:rPr>
        <w:t xml:space="preserve"> versus </w:t>
      </w:r>
      <w:r>
        <w:rPr>
          <w:lang w:val="en-US"/>
        </w:rPr>
        <w:t xml:space="preserve">65%). The most common SAE in both treatment groups was pneumonia. A smaller proportion of subjects treated with </w:t>
      </w:r>
      <w:proofErr w:type="spellStart"/>
      <w:r>
        <w:rPr>
          <w:lang w:val="en-US"/>
        </w:rPr>
        <w:t>eltrombopag</w:t>
      </w:r>
      <w:proofErr w:type="spellEnd"/>
      <w:r>
        <w:rPr>
          <w:lang w:val="en-US"/>
        </w:rPr>
        <w:t xml:space="preserve"> than with placebo reported SAEs of febrile neutropenia (6%</w:t>
      </w:r>
      <w:r w:rsidR="00593E16">
        <w:rPr>
          <w:lang w:val="en-US"/>
        </w:rPr>
        <w:t xml:space="preserve"> versus </w:t>
      </w:r>
      <w:r>
        <w:rPr>
          <w:lang w:val="en-US"/>
        </w:rPr>
        <w:t xml:space="preserve">18%). A larger proportion of </w:t>
      </w:r>
      <w:proofErr w:type="spellStart"/>
      <w:r>
        <w:rPr>
          <w:lang w:val="en-US"/>
        </w:rPr>
        <w:t>eltrombopag</w:t>
      </w:r>
      <w:proofErr w:type="spellEnd"/>
      <w:r>
        <w:rPr>
          <w:lang w:val="en-US"/>
        </w:rPr>
        <w:t>-treated subjects reported SAEs of pyrexia (9%</w:t>
      </w:r>
      <w:r w:rsidR="00593E16">
        <w:rPr>
          <w:lang w:val="en-US"/>
        </w:rPr>
        <w:t xml:space="preserve"> versus </w:t>
      </w:r>
      <w:r>
        <w:rPr>
          <w:lang w:val="en-US"/>
        </w:rPr>
        <w:t xml:space="preserve">3%) and </w:t>
      </w:r>
      <w:proofErr w:type="spellStart"/>
      <w:r>
        <w:rPr>
          <w:lang w:val="en-US"/>
        </w:rPr>
        <w:t>anaemia</w:t>
      </w:r>
      <w:proofErr w:type="spellEnd"/>
      <w:r>
        <w:rPr>
          <w:lang w:val="en-US"/>
        </w:rPr>
        <w:t xml:space="preserve"> (6%</w:t>
      </w:r>
      <w:r w:rsidR="00593E16">
        <w:rPr>
          <w:lang w:val="en-US"/>
        </w:rPr>
        <w:t xml:space="preserve"> versus </w:t>
      </w:r>
      <w:r>
        <w:rPr>
          <w:lang w:val="en-US"/>
        </w:rPr>
        <w:t>0%) compared with placebo.</w:t>
      </w:r>
    </w:p>
    <w:p w:rsidR="00B03F4F" w:rsidRDefault="00B03F4F" w:rsidP="00716C6C">
      <w:pPr>
        <w:pStyle w:val="Heading4"/>
      </w:pPr>
      <w:bookmarkStart w:id="185" w:name="_Toc295132766"/>
      <w:bookmarkStart w:id="186" w:name="_Toc290846305"/>
      <w:bookmarkStart w:id="187" w:name="_Toc272414667"/>
      <w:bookmarkStart w:id="188" w:name="_Ref272333477"/>
      <w:bookmarkStart w:id="189" w:name="_Toc241374325"/>
      <w:r w:rsidRPr="00716C6C">
        <w:t>Discontinuation</w:t>
      </w:r>
      <w:r>
        <w:t xml:space="preserve"> due to adverse events</w:t>
      </w:r>
      <w:bookmarkEnd w:id="185"/>
      <w:bookmarkEnd w:id="186"/>
      <w:bookmarkEnd w:id="187"/>
      <w:bookmarkEnd w:id="188"/>
      <w:bookmarkEnd w:id="189"/>
    </w:p>
    <w:p w:rsidR="00B03F4F" w:rsidRDefault="00B03F4F" w:rsidP="00716C6C">
      <w:pPr>
        <w:pStyle w:val="Heading5"/>
      </w:pPr>
      <w:r>
        <w:t>Pivotal studies</w:t>
      </w:r>
    </w:p>
    <w:p w:rsidR="00B03F4F" w:rsidRDefault="00B03F4F" w:rsidP="00B03F4F">
      <w:r>
        <w:t xml:space="preserve">Five subjects (12%) in </w:t>
      </w:r>
      <w:r w:rsidR="00577163">
        <w:t>Study EL</w:t>
      </w:r>
      <w:r>
        <w:t xml:space="preserve">T112523 discontinued treatment with </w:t>
      </w:r>
      <w:proofErr w:type="spellStart"/>
      <w:r>
        <w:t>eltrombopag</w:t>
      </w:r>
      <w:proofErr w:type="spellEnd"/>
      <w:r>
        <w:t xml:space="preserve"> due to AEs</w:t>
      </w:r>
      <w:r w:rsidR="00716C6C">
        <w:t>;</w:t>
      </w:r>
      <w:r>
        <w:t xml:space="preserve"> suspected cataract, abdominal discomfort, acute hepatitis B, viral infection and sepsis. No event lead to discontinuation for more than 1 subject.</w:t>
      </w:r>
    </w:p>
    <w:p w:rsidR="00B03F4F" w:rsidRDefault="00B03F4F" w:rsidP="00240809">
      <w:pPr>
        <w:pStyle w:val="Heading5"/>
      </w:pPr>
      <w:r>
        <w:t>Other studies</w:t>
      </w:r>
    </w:p>
    <w:p w:rsidR="00240809" w:rsidRDefault="00B03F4F" w:rsidP="00116E1A">
      <w:pPr>
        <w:pStyle w:val="Heading6"/>
      </w:pPr>
      <w:r>
        <w:t xml:space="preserve">Studies ELT116826 or </w:t>
      </w:r>
      <w:r w:rsidR="00577163">
        <w:t>Study EL</w:t>
      </w:r>
      <w:r>
        <w:t>T116643.</w:t>
      </w:r>
      <w:r>
        <w:tab/>
      </w:r>
    </w:p>
    <w:p w:rsidR="00B03F4F" w:rsidRDefault="00B03F4F" w:rsidP="00B03F4F">
      <w:r>
        <w:t xml:space="preserve">No subjects discontinued </w:t>
      </w:r>
      <w:proofErr w:type="spellStart"/>
      <w:r>
        <w:t>eltrombopag</w:t>
      </w:r>
      <w:proofErr w:type="spellEnd"/>
      <w:r>
        <w:t xml:space="preserve"> due to an AE.</w:t>
      </w:r>
    </w:p>
    <w:p w:rsidR="00B03F4F" w:rsidRDefault="00B03F4F" w:rsidP="00B03F4F">
      <w:r>
        <w:rPr>
          <w:lang w:val="en-US"/>
        </w:rPr>
        <w:t xml:space="preserve">In </w:t>
      </w:r>
      <w:r w:rsidR="00716C6C">
        <w:rPr>
          <w:lang w:val="en-US"/>
        </w:rPr>
        <w:t>S</w:t>
      </w:r>
      <w:r>
        <w:rPr>
          <w:lang w:val="en-US"/>
        </w:rPr>
        <w:t xml:space="preserve">tudy </w:t>
      </w:r>
      <w:r w:rsidRPr="00240809">
        <w:rPr>
          <w:i/>
        </w:rPr>
        <w:t>PMA112509</w:t>
      </w:r>
      <w:r>
        <w:t xml:space="preserve"> </w:t>
      </w:r>
      <w:r>
        <w:rPr>
          <w:lang w:val="en-US"/>
        </w:rPr>
        <w:t xml:space="preserve">fewer subjects in the </w:t>
      </w:r>
      <w:proofErr w:type="spellStart"/>
      <w:r>
        <w:rPr>
          <w:lang w:val="en-US"/>
        </w:rPr>
        <w:t>eltrombopag</w:t>
      </w:r>
      <w:proofErr w:type="spellEnd"/>
      <w:r>
        <w:rPr>
          <w:lang w:val="en-US"/>
        </w:rPr>
        <w:t xml:space="preserve"> group (19%) discontinued treatment with IP due to AEs compared with the placebo group (38%) The most common AEs leading to discontinuation of IP in both groups were sepsis and pneumonia</w:t>
      </w:r>
    </w:p>
    <w:p w:rsidR="00B03F4F" w:rsidRDefault="00B03F4F" w:rsidP="00240809">
      <w:pPr>
        <w:pStyle w:val="Heading4"/>
      </w:pPr>
      <w:r>
        <w:t>Safety Topics of Special Interest</w:t>
      </w:r>
    </w:p>
    <w:p w:rsidR="002638A5" w:rsidRDefault="00B03F4F" w:rsidP="00B03F4F">
      <w:pPr>
        <w:autoSpaceDE w:val="0"/>
        <w:autoSpaceDN w:val="0"/>
        <w:adjustRightInd w:val="0"/>
      </w:pPr>
      <w:r>
        <w:t xml:space="preserve">Safety issues that may potentially be of special interest in the SAA population treated with </w:t>
      </w:r>
      <w:proofErr w:type="spellStart"/>
      <w:r>
        <w:t>eltrombopag</w:t>
      </w:r>
      <w:proofErr w:type="spellEnd"/>
      <w:r>
        <w:t xml:space="preserve"> (ELT112523, ELT116826 and ELT116643) include hepatobiliary events, thromboembolic events, cytogenetic abnormalities, and </w:t>
      </w:r>
      <w:proofErr w:type="spellStart"/>
      <w:r>
        <w:t>haematologic</w:t>
      </w:r>
      <w:proofErr w:type="spellEnd"/>
      <w:r>
        <w:t xml:space="preserve"> malignancies. (Detailed below)</w:t>
      </w:r>
    </w:p>
    <w:p w:rsidR="00B03F4F" w:rsidRDefault="00B03F4F" w:rsidP="00716C6C">
      <w:pPr>
        <w:pStyle w:val="Heading3"/>
      </w:pPr>
      <w:bookmarkStart w:id="190" w:name="_Toc290846306"/>
      <w:bookmarkStart w:id="191" w:name="_Toc272414668"/>
      <w:bookmarkStart w:id="192" w:name="_Ref272333085"/>
      <w:bookmarkStart w:id="193" w:name="_Ref271196640"/>
      <w:bookmarkStart w:id="194" w:name="_Ref271044780"/>
      <w:bookmarkStart w:id="195" w:name="_Toc241374321"/>
      <w:bookmarkStart w:id="196" w:name="_Toc295132767"/>
      <w:bookmarkStart w:id="197" w:name="_Toc448221959"/>
      <w:r>
        <w:t>Laboratory tests</w:t>
      </w:r>
      <w:bookmarkEnd w:id="190"/>
      <w:bookmarkEnd w:id="191"/>
      <w:bookmarkEnd w:id="192"/>
      <w:bookmarkEnd w:id="193"/>
      <w:bookmarkEnd w:id="194"/>
      <w:bookmarkEnd w:id="195"/>
      <w:bookmarkEnd w:id="196"/>
      <w:bookmarkEnd w:id="197"/>
    </w:p>
    <w:p w:rsidR="00B03F4F" w:rsidRDefault="00B03F4F" w:rsidP="00716C6C">
      <w:pPr>
        <w:pStyle w:val="Heading4"/>
      </w:pPr>
      <w:bookmarkStart w:id="198" w:name="_Toc295132768"/>
      <w:bookmarkStart w:id="199" w:name="_Toc290846307"/>
      <w:bookmarkStart w:id="200" w:name="_Toc272414669"/>
      <w:r>
        <w:t>Liver function</w:t>
      </w:r>
      <w:bookmarkEnd w:id="198"/>
      <w:bookmarkEnd w:id="199"/>
      <w:bookmarkEnd w:id="200"/>
    </w:p>
    <w:p w:rsidR="00B03F4F" w:rsidRDefault="00B03F4F" w:rsidP="00240809">
      <w:pPr>
        <w:pStyle w:val="Heading5"/>
      </w:pPr>
      <w:r>
        <w:t>Pivotal studies</w:t>
      </w:r>
    </w:p>
    <w:p w:rsidR="00B03F4F" w:rsidRDefault="00B03F4F" w:rsidP="00B03F4F">
      <w:r>
        <w:t xml:space="preserve">Transaminase elevations and elevations of indirect bilirubin have been observed in the </w:t>
      </w:r>
      <w:proofErr w:type="spellStart"/>
      <w:r>
        <w:t>eltrombopag</w:t>
      </w:r>
      <w:proofErr w:type="spellEnd"/>
      <w:r>
        <w:t xml:space="preserve"> clinical programme and are described in the approved labelling for </w:t>
      </w:r>
      <w:proofErr w:type="spellStart"/>
      <w:r>
        <w:t>eltrombopag</w:t>
      </w:r>
      <w:proofErr w:type="spellEnd"/>
      <w:r>
        <w:t>. Transaminase elevations were observed primarily in subjects with either a medical history or baseline elevations of transaminases. No elevations of aminotransferases in conjunction with direct bilirubin elevations were noted. Two subjects had alanine aminotransferase (ALT) or aspartate aminotransferase (AST) &gt;3x upper limit of normal (ULN) concurrent with total bilirubin &gt;1.5xULN.</w:t>
      </w:r>
    </w:p>
    <w:p w:rsidR="00B03F4F" w:rsidRDefault="00B03F4F" w:rsidP="00B03F4F">
      <w:r>
        <w:t xml:space="preserve">In both cases, bilirubin elevations were due to indirect bilirubin. Four subjects had transaminase elevations of &gt;5xULN. All 4 subjects had elevations in ALT and/or AST at study entry and 1 was diagnosed with acute hepatitis B during the study. 9 subjects had an elevation </w:t>
      </w:r>
      <w:r>
        <w:lastRenderedPageBreak/>
        <w:t>of either AST or ALT &gt;3xULN All subjects with total bilirubin elevation &gt;1.5xULN were due to indirect bilirubin</w:t>
      </w:r>
      <w:r w:rsidR="00240809">
        <w:t xml:space="preserve"> </w:t>
      </w:r>
      <w:r>
        <w:t xml:space="preserve">(direct fractions </w:t>
      </w:r>
      <w:r>
        <w:rPr>
          <w:rFonts w:ascii="Symbol" w:hAnsi="Symbol"/>
        </w:rPr>
        <w:t></w:t>
      </w:r>
      <w:r>
        <w:t>25%).</w:t>
      </w:r>
    </w:p>
    <w:p w:rsidR="00B03F4F" w:rsidRDefault="00B03F4F" w:rsidP="00240809">
      <w:pPr>
        <w:pStyle w:val="Heading5"/>
      </w:pPr>
      <w:r>
        <w:t>Other studies</w:t>
      </w:r>
    </w:p>
    <w:p w:rsidR="00B03F4F" w:rsidRDefault="00B03F4F" w:rsidP="00B03F4F">
      <w:pPr>
        <w:autoSpaceDE w:val="0"/>
        <w:autoSpaceDN w:val="0"/>
        <w:adjustRightInd w:val="0"/>
      </w:pPr>
      <w:r>
        <w:t>In ELT116643, no SAEs related to liver function were reported as of the clinical cut-off date.</w:t>
      </w:r>
    </w:p>
    <w:p w:rsidR="00B03F4F" w:rsidRDefault="00B03F4F" w:rsidP="00240809">
      <w:pPr>
        <w:pStyle w:val="Heading4"/>
      </w:pPr>
      <w:bookmarkStart w:id="201" w:name="_Toc295132769"/>
      <w:bookmarkStart w:id="202" w:name="_Toc290846308"/>
      <w:bookmarkStart w:id="203" w:name="_Toc272414670"/>
      <w:r>
        <w:t>Kidney function</w:t>
      </w:r>
      <w:bookmarkEnd w:id="201"/>
      <w:bookmarkEnd w:id="202"/>
      <w:bookmarkEnd w:id="203"/>
    </w:p>
    <w:p w:rsidR="00B03F4F" w:rsidRDefault="00B03F4F" w:rsidP="00240809">
      <w:pPr>
        <w:pStyle w:val="Heading5"/>
      </w:pPr>
      <w:r>
        <w:t>Pivotal studies</w:t>
      </w:r>
    </w:p>
    <w:p w:rsidR="00B03F4F" w:rsidRDefault="00B03F4F" w:rsidP="00B03F4F">
      <w:r>
        <w:t>No unexpected adverse events reported</w:t>
      </w:r>
      <w:r w:rsidR="00240809">
        <w:t>.</w:t>
      </w:r>
    </w:p>
    <w:p w:rsidR="00B03F4F" w:rsidRDefault="00B03F4F" w:rsidP="00240809">
      <w:pPr>
        <w:pStyle w:val="Heading5"/>
      </w:pPr>
      <w:r>
        <w:t xml:space="preserve">Other </w:t>
      </w:r>
      <w:r w:rsidRPr="00240809">
        <w:t>studies</w:t>
      </w:r>
    </w:p>
    <w:p w:rsidR="00B03F4F" w:rsidRDefault="00B03F4F" w:rsidP="00B03F4F">
      <w:pPr>
        <w:autoSpaceDE w:val="0"/>
        <w:autoSpaceDN w:val="0"/>
        <w:adjustRightInd w:val="0"/>
      </w:pPr>
      <w:r>
        <w:t>No unexpected adverse events reported</w:t>
      </w:r>
      <w:r w:rsidR="00240809">
        <w:t>.</w:t>
      </w:r>
    </w:p>
    <w:p w:rsidR="00B03F4F" w:rsidRDefault="00B03F4F" w:rsidP="00240809">
      <w:pPr>
        <w:pStyle w:val="Heading4"/>
      </w:pPr>
      <w:bookmarkStart w:id="204" w:name="_Toc295132770"/>
      <w:bookmarkStart w:id="205" w:name="_Toc290846309"/>
      <w:bookmarkStart w:id="206" w:name="_Toc272414671"/>
      <w:r>
        <w:t>Other clinical chemistry</w:t>
      </w:r>
      <w:bookmarkEnd w:id="204"/>
      <w:bookmarkEnd w:id="205"/>
      <w:bookmarkEnd w:id="206"/>
    </w:p>
    <w:p w:rsidR="00B03F4F" w:rsidRDefault="00B03F4F" w:rsidP="00240809">
      <w:pPr>
        <w:pStyle w:val="Heading5"/>
      </w:pPr>
      <w:r>
        <w:t>Pivotal studies</w:t>
      </w:r>
    </w:p>
    <w:p w:rsidR="00B03F4F" w:rsidRDefault="00B03F4F" w:rsidP="00240809">
      <w:r>
        <w:t>Nothing of apparent significance reported</w:t>
      </w:r>
      <w:r w:rsidR="00240809">
        <w:t>.</w:t>
      </w:r>
    </w:p>
    <w:p w:rsidR="00B03F4F" w:rsidRDefault="00B03F4F" w:rsidP="00240809">
      <w:pPr>
        <w:pStyle w:val="Heading5"/>
      </w:pPr>
      <w:r>
        <w:t>Other studies</w:t>
      </w:r>
    </w:p>
    <w:p w:rsidR="00B03F4F" w:rsidRDefault="00B03F4F" w:rsidP="00240809">
      <w:r>
        <w:t>Nothing of apparent significance reported</w:t>
      </w:r>
    </w:p>
    <w:p w:rsidR="00B03F4F" w:rsidRDefault="00B03F4F" w:rsidP="00240809">
      <w:pPr>
        <w:pStyle w:val="Heading4"/>
      </w:pPr>
      <w:bookmarkStart w:id="207" w:name="_Toc295132771"/>
      <w:bookmarkStart w:id="208" w:name="_Toc290846310"/>
      <w:bookmarkStart w:id="209" w:name="_Toc272414672"/>
      <w:r>
        <w:t>Haematology</w:t>
      </w:r>
      <w:bookmarkEnd w:id="207"/>
      <w:bookmarkEnd w:id="208"/>
      <w:bookmarkEnd w:id="209"/>
    </w:p>
    <w:p w:rsidR="00B03F4F" w:rsidRDefault="00B03F4F" w:rsidP="00240809">
      <w:pPr>
        <w:pStyle w:val="Heading5"/>
      </w:pPr>
      <w:r>
        <w:t>Pivotal studies</w:t>
      </w:r>
    </w:p>
    <w:p w:rsidR="00B03F4F" w:rsidRDefault="00B03F4F" w:rsidP="00B03F4F">
      <w:r>
        <w:t>No apparently new haematological toxicity reported. See relevant sections relating to haematological response and assessment criteria.</w:t>
      </w:r>
    </w:p>
    <w:p w:rsidR="00B03F4F" w:rsidRDefault="00B03F4F" w:rsidP="00240809">
      <w:pPr>
        <w:pStyle w:val="Heading5"/>
      </w:pPr>
      <w:r>
        <w:t>Other studies</w:t>
      </w:r>
    </w:p>
    <w:p w:rsidR="00B03F4F" w:rsidRDefault="00B03F4F" w:rsidP="00B03F4F">
      <w:pPr>
        <w:autoSpaceDE w:val="0"/>
        <w:autoSpaceDN w:val="0"/>
        <w:adjustRightInd w:val="0"/>
      </w:pPr>
      <w:r>
        <w:t>No apparently new haematological toxicity reported. See relevant sections relating to haematological response and assessment criteria.</w:t>
      </w:r>
    </w:p>
    <w:p w:rsidR="00B03F4F" w:rsidRDefault="00B03F4F" w:rsidP="00240809">
      <w:pPr>
        <w:pStyle w:val="Heading4"/>
      </w:pPr>
      <w:bookmarkStart w:id="210" w:name="_Toc295132772"/>
      <w:bookmarkStart w:id="211" w:name="_Toc290846315"/>
      <w:bookmarkStart w:id="212" w:name="_Toc272414677"/>
      <w:proofErr w:type="gramStart"/>
      <w:r>
        <w:t>Thromboembolic events.</w:t>
      </w:r>
      <w:bookmarkEnd w:id="210"/>
      <w:proofErr w:type="gramEnd"/>
    </w:p>
    <w:bookmarkEnd w:id="211"/>
    <w:bookmarkEnd w:id="212"/>
    <w:p w:rsidR="00B03F4F" w:rsidRDefault="00B03F4F" w:rsidP="00240809">
      <w:pPr>
        <w:pStyle w:val="Heading5"/>
      </w:pPr>
      <w:r>
        <w:t>Pivotal studies</w:t>
      </w:r>
    </w:p>
    <w:p w:rsidR="00B03F4F" w:rsidRDefault="00B03F4F" w:rsidP="00B03F4F">
      <w:r>
        <w:t xml:space="preserve"> No thromboembolic events have been reported during treatment in Study ELT112523. One subject (Subject </w:t>
      </w:r>
      <w:r w:rsidR="00716C6C">
        <w:t>[information redacted]</w:t>
      </w:r>
      <w:r>
        <w:t xml:space="preserve">) developed a DVT 14 months after discontinuation of treatment with </w:t>
      </w:r>
      <w:proofErr w:type="spellStart"/>
      <w:r>
        <w:t>eltrombopag</w:t>
      </w:r>
      <w:proofErr w:type="spellEnd"/>
      <w:r>
        <w:t>.</w:t>
      </w:r>
    </w:p>
    <w:p w:rsidR="00B03F4F" w:rsidRDefault="00B03F4F" w:rsidP="00240809">
      <w:pPr>
        <w:pStyle w:val="Heading5"/>
      </w:pPr>
      <w:r>
        <w:t>Other studies</w:t>
      </w:r>
    </w:p>
    <w:p w:rsidR="00B03F4F" w:rsidRDefault="00B03F4F" w:rsidP="00B03F4F">
      <w:r>
        <w:t>No thromboembolic events have been reported during treatment in Study ELT116826, or in Study ELT116643</w:t>
      </w:r>
    </w:p>
    <w:p w:rsidR="00B03F4F" w:rsidRDefault="00B03F4F" w:rsidP="00240809">
      <w:pPr>
        <w:pStyle w:val="Heading4"/>
      </w:pPr>
      <w:bookmarkStart w:id="213" w:name="_Toc295132773"/>
      <w:bookmarkStart w:id="214" w:name="_Toc290846316"/>
      <w:bookmarkStart w:id="215" w:name="_Toc272414678"/>
      <w:r>
        <w:t>Cytogenetic events</w:t>
      </w:r>
      <w:bookmarkEnd w:id="213"/>
    </w:p>
    <w:p w:rsidR="00B03F4F" w:rsidRDefault="00B03F4F" w:rsidP="00240809">
      <w:pPr>
        <w:pStyle w:val="Heading5"/>
      </w:pPr>
      <w:r>
        <w:t>Pivotal studies</w:t>
      </w:r>
    </w:p>
    <w:p w:rsidR="00B03F4F" w:rsidRDefault="00B03F4F" w:rsidP="00B03F4F">
      <w:r>
        <w:t>A known complication of SAA is the appearance of cytogenetic abnormalities in bone marrow cells</w:t>
      </w:r>
      <w:r w:rsidRPr="00392749">
        <w:t>. Cytogenetic abnormalities have been reported in 15-20% of patients with SAA [</w:t>
      </w:r>
      <w:proofErr w:type="spellStart"/>
      <w:r w:rsidRPr="00392749">
        <w:t>Maciejewski</w:t>
      </w:r>
      <w:proofErr w:type="spellEnd"/>
      <w:r w:rsidRPr="00392749">
        <w:t xml:space="preserve">, 2002; </w:t>
      </w:r>
      <w:proofErr w:type="spellStart"/>
      <w:r w:rsidRPr="00392749">
        <w:t>Scheinberg</w:t>
      </w:r>
      <w:proofErr w:type="spellEnd"/>
      <w:r w:rsidRPr="00392749">
        <w:t xml:space="preserve">, 2011; </w:t>
      </w:r>
      <w:proofErr w:type="spellStart"/>
      <w:r w:rsidRPr="00392749">
        <w:t>Scheinberg</w:t>
      </w:r>
      <w:proofErr w:type="spellEnd"/>
      <w:r w:rsidRPr="00392749">
        <w:t>, 2012a]. Consequently</w:t>
      </w:r>
      <w:r>
        <w:t xml:space="preserve">, testing for cytogenetic abnormalities is performed in all SAA studies conducted by the NIH. The clinical consequences are variable, depending upon the specific abnormality and the presence or absence of clinical sequelae such as dysplasia or worsening </w:t>
      </w:r>
      <w:proofErr w:type="spellStart"/>
      <w:r>
        <w:t>cytopaenias</w:t>
      </w:r>
      <w:proofErr w:type="spellEnd"/>
      <w:r>
        <w:t xml:space="preserve"> [</w:t>
      </w:r>
      <w:proofErr w:type="spellStart"/>
      <w:r>
        <w:t>Maciejewski</w:t>
      </w:r>
      <w:proofErr w:type="spellEnd"/>
      <w:r>
        <w:t>, 2002]. Consistent with the known occurrence of cytogenetic abnormalities in SAA, 7% of subjects in Study ELT112523 had a cytogenetic abnormality present at baseline.</w:t>
      </w:r>
    </w:p>
    <w:p w:rsidR="002638A5" w:rsidRDefault="00B03F4F" w:rsidP="00B03F4F">
      <w:r>
        <w:t xml:space="preserve">Eight subjects (19%) had a new cytogenetic abnormality detected after treatment in Study ELT112523. In general, the incidence of cytogenetic abnormalities was lower in subjects with </w:t>
      </w:r>
      <w:r>
        <w:lastRenderedPageBreak/>
        <w:t xml:space="preserve">longer exposure to </w:t>
      </w:r>
      <w:proofErr w:type="spellStart"/>
      <w:r>
        <w:t>eltrombopag</w:t>
      </w:r>
      <w:proofErr w:type="spellEnd"/>
      <w:r>
        <w:t>. The cytogenetic abnormalities were primarily detected in non-responders who discontinued treatment due to non-response at the PRA, after 3-4 months of treatment.</w:t>
      </w:r>
    </w:p>
    <w:p w:rsidR="002638A5" w:rsidRDefault="00B03F4F" w:rsidP="00B03F4F">
      <w:r>
        <w:t xml:space="preserve">The most common cytogenetic abnormality (present in 5 subjects) affected the structure or number of chromosome 7; all 5 were non-responders to </w:t>
      </w:r>
      <w:proofErr w:type="spellStart"/>
      <w:r>
        <w:t>eltrombopag</w:t>
      </w:r>
      <w:proofErr w:type="spellEnd"/>
      <w:r>
        <w:t xml:space="preserve"> and the cytogenetic abnormalities were detected at the PRA. One additional non-responder had trisomy 8 detected at the PRA. Two responders to </w:t>
      </w:r>
      <w:proofErr w:type="spellStart"/>
      <w:r>
        <w:t>eltrombopag</w:t>
      </w:r>
      <w:proofErr w:type="spellEnd"/>
      <w:r>
        <w:t xml:space="preserve"> had a deletion of chromosome 13 detected after &gt;9 months of treatment. Five of the subjects with cytogenetic abnormalities had no clinical sequelae of dysplasia or worsening </w:t>
      </w:r>
      <w:proofErr w:type="spellStart"/>
      <w:r>
        <w:t>cytopenias</w:t>
      </w:r>
      <w:proofErr w:type="spellEnd"/>
      <w:r>
        <w:t xml:space="preserve"> reported.</w:t>
      </w:r>
    </w:p>
    <w:p w:rsidR="00B03F4F" w:rsidRDefault="00B03F4F" w:rsidP="00240809">
      <w:pPr>
        <w:pStyle w:val="Heading5"/>
      </w:pPr>
      <w:r>
        <w:t>Other studies</w:t>
      </w:r>
    </w:p>
    <w:p w:rsidR="00B03F4F" w:rsidRDefault="00B03F4F" w:rsidP="00B03F4F">
      <w:r>
        <w:t>In Study ELT116826, cytogenetic abnormalities affecting chromosome 7 and 13, respectively, were detected post-baseline in 2 non-responders (13%) at the 3 month response assessment.</w:t>
      </w:r>
    </w:p>
    <w:p w:rsidR="00B03F4F" w:rsidRDefault="00B03F4F" w:rsidP="00B03F4F">
      <w:r>
        <w:t xml:space="preserve">In Study ELT116643, cytogenetic abnormalities affecting chromosome 7 and 13, respectively, were detected post-baseline in 2 subjects (5%) at the 3 month response assessment. This rate is consistent to rates in literature in treatment naïve patient </w:t>
      </w:r>
      <w:r w:rsidRPr="00392749">
        <w:t>population [</w:t>
      </w:r>
      <w:proofErr w:type="spellStart"/>
      <w:r w:rsidRPr="00392749">
        <w:t>Scheinberg</w:t>
      </w:r>
      <w:proofErr w:type="spellEnd"/>
      <w:r w:rsidRPr="00392749">
        <w:t>, 2011].</w:t>
      </w:r>
    </w:p>
    <w:p w:rsidR="00B03F4F" w:rsidRDefault="00B03F4F" w:rsidP="00B03F4F">
      <w:r>
        <w:t xml:space="preserve">The development of cytogenetic abnormalities is a known risk for patients with SAA, and this risk is thought to be higher in heavily pre-treated patients with insufficient response to IST compared to earlier lines of therapy and in responding patients. There is no literature on the incidence of cytogenetic abnormalities in the heavily pre-treated population studied in the pivotal trial; however, the 5-19% incidence of cytogenetic abnormalities in the SAA studies of </w:t>
      </w:r>
      <w:proofErr w:type="spellStart"/>
      <w:r>
        <w:t>eltrombopag</w:t>
      </w:r>
      <w:proofErr w:type="spellEnd"/>
      <w:r>
        <w:t xml:space="preserve"> appear in line with published literature.</w:t>
      </w:r>
    </w:p>
    <w:p w:rsidR="00B03F4F" w:rsidRDefault="00B03F4F" w:rsidP="00240809">
      <w:pPr>
        <w:pStyle w:val="Heading4"/>
      </w:pPr>
      <w:bookmarkStart w:id="216" w:name="_Toc295132774"/>
      <w:r>
        <w:t xml:space="preserve">Haematological </w:t>
      </w:r>
      <w:r w:rsidR="00006C56">
        <w:t>m</w:t>
      </w:r>
      <w:r>
        <w:t>alignancies</w:t>
      </w:r>
      <w:bookmarkEnd w:id="214"/>
      <w:bookmarkEnd w:id="215"/>
      <w:bookmarkEnd w:id="216"/>
    </w:p>
    <w:p w:rsidR="00B03F4F" w:rsidRDefault="00B03F4F" w:rsidP="00B03F4F">
      <w:r>
        <w:t>Patients with aplastic anaemia are known to be at risk for the development of MDS and AML [</w:t>
      </w:r>
      <w:proofErr w:type="spellStart"/>
      <w:r>
        <w:t>Maciejewski</w:t>
      </w:r>
      <w:proofErr w:type="spellEnd"/>
      <w:r>
        <w:t>, 2004; Marsh, 2009].</w:t>
      </w:r>
    </w:p>
    <w:p w:rsidR="00B03F4F" w:rsidRDefault="00B03F4F" w:rsidP="00240809">
      <w:pPr>
        <w:pStyle w:val="Heading5"/>
      </w:pPr>
      <w:r>
        <w:t>Pivotal studies</w:t>
      </w:r>
    </w:p>
    <w:p w:rsidR="00B03F4F" w:rsidRDefault="00B03F4F" w:rsidP="00716C6C">
      <w:r>
        <w:t xml:space="preserve">Consistent with the above, 1 subject enrolled in Study ELT112523 had a change in diagnosis to </w:t>
      </w:r>
      <w:proofErr w:type="spellStart"/>
      <w:r>
        <w:t>hypocellular</w:t>
      </w:r>
      <w:proofErr w:type="spellEnd"/>
      <w:r>
        <w:t xml:space="preserve"> MDS prior to treatment with </w:t>
      </w:r>
      <w:proofErr w:type="spellStart"/>
      <w:r>
        <w:t>eltrombopag</w:t>
      </w:r>
      <w:proofErr w:type="spellEnd"/>
      <w:r>
        <w:t xml:space="preserve">. This subject was not treated with </w:t>
      </w:r>
      <w:proofErr w:type="spellStart"/>
      <w:r>
        <w:t>eltrombopag</w:t>
      </w:r>
      <w:proofErr w:type="spellEnd"/>
      <w:r>
        <w:t xml:space="preserve"> and was not included in the Safety Population.</w:t>
      </w:r>
    </w:p>
    <w:p w:rsidR="00B03F4F" w:rsidRDefault="00B03F4F" w:rsidP="00716C6C">
      <w:r>
        <w:t xml:space="preserve">Three subjects in Study ELT112523 were diagnosed by the investigator with MDS following treatment with </w:t>
      </w:r>
      <w:proofErr w:type="spellStart"/>
      <w:r>
        <w:t>eltrombopag</w:t>
      </w:r>
      <w:proofErr w:type="spellEnd"/>
      <w:r>
        <w:t xml:space="preserve">. One subject, with bone marrow dysplasia at baseline, developed monosomy 7 and subsequently died of MDS &gt;6 months after the last dose of </w:t>
      </w:r>
      <w:proofErr w:type="spellStart"/>
      <w:r>
        <w:t>eltrombopag</w:t>
      </w:r>
      <w:proofErr w:type="spellEnd"/>
      <w:r>
        <w:t xml:space="preserve">. One subject was diagnosed based solely on monosomy 7 without evidence of dysplasia on bone marrow or worsening peripheral blood counts. This subject was transplanted. One subject was a responder for 13 months, developed deletion of chromosome 13 with &lt;5% ringed </w:t>
      </w:r>
      <w:proofErr w:type="spellStart"/>
      <w:r>
        <w:t>sideroblasts</w:t>
      </w:r>
      <w:proofErr w:type="spellEnd"/>
      <w:r>
        <w:t xml:space="preserve"> and received a transplant.</w:t>
      </w:r>
    </w:p>
    <w:p w:rsidR="00B03F4F" w:rsidRDefault="00B03F4F" w:rsidP="00716C6C">
      <w:r>
        <w:t xml:space="preserve">Based on available evidence, </w:t>
      </w:r>
      <w:proofErr w:type="spellStart"/>
      <w:r>
        <w:t>eltrombopag</w:t>
      </w:r>
      <w:proofErr w:type="spellEnd"/>
      <w:r>
        <w:t xml:space="preserve"> does not appear to increase the risk of progression to MDS or AML in the SAA patient population.</w:t>
      </w:r>
    </w:p>
    <w:p w:rsidR="00B03F4F" w:rsidRDefault="00B03F4F" w:rsidP="00240809">
      <w:pPr>
        <w:pStyle w:val="Heading5"/>
      </w:pPr>
      <w:r>
        <w:t>Other studies</w:t>
      </w:r>
    </w:p>
    <w:p w:rsidR="00B03F4F" w:rsidRDefault="00B03F4F" w:rsidP="00716C6C">
      <w:r>
        <w:t>As of the clinical data cut-off date, the development of MDS or AML had not been reported in Study ELT116826.</w:t>
      </w:r>
    </w:p>
    <w:p w:rsidR="00B03F4F" w:rsidRDefault="00B03F4F" w:rsidP="00716C6C">
      <w:r>
        <w:t xml:space="preserve">In Study ELT116643, one subject (Subject </w:t>
      </w:r>
      <w:r w:rsidR="00716C6C">
        <w:t>[information redacted]</w:t>
      </w:r>
      <w:r>
        <w:t>) with monosomy 7 had evidence of dysplasia and an increase in blasts on a subsequent bone marrow exam consistent with development of MDS.</w:t>
      </w:r>
    </w:p>
    <w:p w:rsidR="00B03F4F" w:rsidRDefault="00B03F4F" w:rsidP="00716C6C">
      <w:pPr>
        <w:pStyle w:val="Heading3"/>
      </w:pPr>
      <w:bookmarkStart w:id="217" w:name="_Toc295132775"/>
      <w:bookmarkStart w:id="218" w:name="_Toc290846317"/>
      <w:bookmarkStart w:id="219" w:name="_Toc272414679"/>
      <w:bookmarkStart w:id="220" w:name="_Ref272333048"/>
      <w:bookmarkStart w:id="221" w:name="_Toc241374326"/>
      <w:bookmarkStart w:id="222" w:name="_Toc448221960"/>
      <w:r>
        <w:lastRenderedPageBreak/>
        <w:t>Post-marketing experience</w:t>
      </w:r>
      <w:bookmarkEnd w:id="217"/>
      <w:bookmarkEnd w:id="218"/>
      <w:bookmarkEnd w:id="219"/>
      <w:bookmarkEnd w:id="220"/>
      <w:bookmarkEnd w:id="221"/>
      <w:bookmarkEnd w:id="222"/>
    </w:p>
    <w:p w:rsidR="00B03F4F" w:rsidRDefault="00B03F4F" w:rsidP="00B03F4F">
      <w:pPr>
        <w:autoSpaceDE w:val="0"/>
        <w:autoSpaceDN w:val="0"/>
        <w:adjustRightInd w:val="0"/>
      </w:pPr>
      <w:proofErr w:type="gramStart"/>
      <w:r>
        <w:t xml:space="preserve">Noted above in relation to the use of </w:t>
      </w:r>
      <w:proofErr w:type="spellStart"/>
      <w:r>
        <w:t>eltrombopag</w:t>
      </w:r>
      <w:proofErr w:type="spellEnd"/>
      <w:r>
        <w:t xml:space="preserve"> in the currently approved indications ITP and Hepatitis C associated thrombocytopenia.</w:t>
      </w:r>
      <w:proofErr w:type="gramEnd"/>
    </w:p>
    <w:p w:rsidR="00B03F4F" w:rsidRDefault="00B03F4F" w:rsidP="00716C6C">
      <w:pPr>
        <w:pStyle w:val="Heading3"/>
      </w:pPr>
      <w:bookmarkStart w:id="223" w:name="_Toc272414680"/>
      <w:bookmarkStart w:id="224" w:name="_Ref272333005"/>
      <w:bookmarkStart w:id="225" w:name="_Toc295132776"/>
      <w:bookmarkStart w:id="226" w:name="_Toc290846318"/>
      <w:bookmarkStart w:id="227" w:name="_Toc448221961"/>
      <w:r>
        <w:t>Safety issues with the potential for major regulatory imp</w:t>
      </w:r>
      <w:bookmarkEnd w:id="223"/>
      <w:bookmarkEnd w:id="224"/>
      <w:r>
        <w:t>act</w:t>
      </w:r>
      <w:bookmarkEnd w:id="225"/>
      <w:bookmarkEnd w:id="226"/>
      <w:bookmarkEnd w:id="227"/>
    </w:p>
    <w:p w:rsidR="002638A5" w:rsidRDefault="00B03F4F" w:rsidP="00716C6C">
      <w:r>
        <w:t>Note is made of the specific safety issues (thromb</w:t>
      </w:r>
      <w:r w:rsidR="00586DB0">
        <w:t>o</w:t>
      </w:r>
      <w:r>
        <w:t xml:space="preserve">embolic events, development of new cytogenetic abnormalities and haematological malignancies) evaluated in the submitted studies and discussed in the supplied material. Within the limitations of available follow-up data there does not seem to be a new safety signal, and that the occurrence of these </w:t>
      </w:r>
      <w:r w:rsidR="00B672D0">
        <w:t>‘</w:t>
      </w:r>
      <w:r>
        <w:t>events</w:t>
      </w:r>
      <w:r w:rsidR="00B672D0">
        <w:t>’</w:t>
      </w:r>
      <w:r>
        <w:t xml:space="preserve">, in particular </w:t>
      </w:r>
      <w:proofErr w:type="spellStart"/>
      <w:r>
        <w:t>cytogentic</w:t>
      </w:r>
      <w:proofErr w:type="spellEnd"/>
      <w:r>
        <w:t xml:space="preserve"> evolution and the development of a haematological malignancy, would seem to be consistent with the known clinical behaviour of patients with aplastic anaemia.</w:t>
      </w:r>
    </w:p>
    <w:p w:rsidR="00B03F4F" w:rsidRDefault="00B03F4F" w:rsidP="00716C6C">
      <w:r>
        <w:t>However note should be made of the relatively short follow-up time and ongoing monitoring for these events would be appropriate and prudent.</w:t>
      </w:r>
    </w:p>
    <w:p w:rsidR="00B03F4F" w:rsidRDefault="00B03F4F" w:rsidP="00716C6C">
      <w:r>
        <w:t>In addition, safety data in the paediatric population is clearly limited.</w:t>
      </w:r>
    </w:p>
    <w:p w:rsidR="00B03F4F" w:rsidRDefault="00B03F4F" w:rsidP="00716C6C">
      <w:pPr>
        <w:pStyle w:val="Heading3"/>
      </w:pPr>
      <w:bookmarkStart w:id="228" w:name="_Toc295132777"/>
      <w:bookmarkStart w:id="229" w:name="_Toc290846329"/>
      <w:bookmarkStart w:id="230" w:name="_Toc272414691"/>
      <w:bookmarkStart w:id="231" w:name="_Toc241374328"/>
      <w:bookmarkStart w:id="232" w:name="_Toc448221962"/>
      <w:r>
        <w:t>Evaluator’s overall conclusions on clinical safety</w:t>
      </w:r>
      <w:bookmarkEnd w:id="228"/>
      <w:bookmarkEnd w:id="229"/>
      <w:bookmarkEnd w:id="230"/>
      <w:bookmarkEnd w:id="231"/>
      <w:bookmarkEnd w:id="232"/>
    </w:p>
    <w:p w:rsidR="002638A5" w:rsidRDefault="00B03F4F" w:rsidP="00240809">
      <w:r>
        <w:t xml:space="preserve">In the context of the particular patient group being evaluated it appears that the safety data reported are consistent with the known safety signals reported for </w:t>
      </w:r>
      <w:proofErr w:type="spellStart"/>
      <w:r>
        <w:t>eltrombopag</w:t>
      </w:r>
      <w:proofErr w:type="spellEnd"/>
      <w:r>
        <w:t xml:space="preserve"> in the currently approved indications (ITP and Hepatitis C associated thrombocytopenia).</w:t>
      </w:r>
    </w:p>
    <w:p w:rsidR="00B03F4F" w:rsidRDefault="00B03F4F" w:rsidP="00240809">
      <w:r>
        <w:t>Note is made of the three particular safety issues; thromboembolic events, the development of cytogenetic abnormalities and haematological malignancies.</w:t>
      </w:r>
    </w:p>
    <w:p w:rsidR="00B03F4F" w:rsidRDefault="00B03F4F" w:rsidP="000663A9">
      <w:pPr>
        <w:pStyle w:val="Numberbullet0"/>
        <w:numPr>
          <w:ilvl w:val="0"/>
          <w:numId w:val="20"/>
        </w:numPr>
      </w:pPr>
      <w:r>
        <w:t>No safety signal was detected for thromboembolic events</w:t>
      </w:r>
    </w:p>
    <w:p w:rsidR="00B03F4F" w:rsidRDefault="00B03F4F" w:rsidP="000663A9">
      <w:pPr>
        <w:pStyle w:val="Numberbullet0"/>
        <w:numPr>
          <w:ilvl w:val="0"/>
          <w:numId w:val="20"/>
        </w:numPr>
      </w:pPr>
      <w:r>
        <w:t xml:space="preserve">New </w:t>
      </w:r>
      <w:proofErr w:type="spellStart"/>
      <w:r>
        <w:t>cytogentic</w:t>
      </w:r>
      <w:proofErr w:type="spellEnd"/>
      <w:r>
        <w:t xml:space="preserve"> abnormalities and haematological malignancies were reported in a limited number of patients. It is well recognised that both occurrences are seen in long-term follow-up of patients with SAA treated along conventional lines. In addition such events do not seem to have been identified in the patients treated ITP and Hepatitis C associated thrombocytopenia.</w:t>
      </w:r>
    </w:p>
    <w:p w:rsidR="00B03F4F" w:rsidRDefault="00B03F4F" w:rsidP="00B03F4F">
      <w:pPr>
        <w:autoSpaceDE w:val="0"/>
        <w:autoSpaceDN w:val="0"/>
        <w:adjustRightInd w:val="0"/>
      </w:pPr>
      <w:r>
        <w:t xml:space="preserve">Thus </w:t>
      </w:r>
      <w:r w:rsidR="00716C6C">
        <w:t>the evaluator</w:t>
      </w:r>
      <w:r>
        <w:t xml:space="preserve"> agree</w:t>
      </w:r>
      <w:r w:rsidR="00716C6C">
        <w:t>s</w:t>
      </w:r>
      <w:r>
        <w:t xml:space="preserve"> with the sponsor’s assessment that there does not appear to be an unexpected</w:t>
      </w:r>
      <w:r w:rsidR="00716C6C">
        <w:t xml:space="preserve"> </w:t>
      </w:r>
      <w:r>
        <w:t xml:space="preserve">increase in the incidence of these events. However </w:t>
      </w:r>
      <w:r w:rsidR="00716C6C">
        <w:t>th</w:t>
      </w:r>
      <w:r w:rsidR="00CE312E">
        <w:t>is</w:t>
      </w:r>
      <w:r w:rsidR="00716C6C">
        <w:t xml:space="preserve"> evaluator</w:t>
      </w:r>
      <w:r>
        <w:t xml:space="preserve"> would strongly recommend that long-term follow-up for these complications is undertaken in the SAA patients treated with </w:t>
      </w:r>
      <w:proofErr w:type="spellStart"/>
      <w:r>
        <w:t>eltrombopag</w:t>
      </w:r>
      <w:proofErr w:type="spellEnd"/>
      <w:r>
        <w:t>.</w:t>
      </w:r>
    </w:p>
    <w:p w:rsidR="00C22678" w:rsidRDefault="00C22678" w:rsidP="00C22678">
      <w:pPr>
        <w:pStyle w:val="Heading2"/>
      </w:pPr>
      <w:bookmarkStart w:id="233" w:name="_Toc448221963"/>
      <w:r>
        <w:t>First round benefit-risk assessment</w:t>
      </w:r>
      <w:bookmarkEnd w:id="233"/>
    </w:p>
    <w:p w:rsidR="00B03F4F" w:rsidRDefault="00B03F4F" w:rsidP="00CE312E">
      <w:pPr>
        <w:pStyle w:val="Heading3"/>
      </w:pPr>
      <w:bookmarkStart w:id="234" w:name="_Toc295132779"/>
      <w:bookmarkStart w:id="235" w:name="_Toc290846331"/>
      <w:bookmarkStart w:id="236" w:name="_Toc272414693"/>
      <w:bookmarkStart w:id="237" w:name="_Ref272160836"/>
      <w:bookmarkStart w:id="238" w:name="_Toc241374331"/>
      <w:bookmarkStart w:id="239" w:name="_Toc236802592"/>
      <w:bookmarkStart w:id="240" w:name="_Toc448221964"/>
      <w:r>
        <w:t xml:space="preserve">First round </w:t>
      </w:r>
      <w:r w:rsidRPr="00CE312E">
        <w:t>assessment</w:t>
      </w:r>
      <w:r>
        <w:t xml:space="preserve"> of benefits</w:t>
      </w:r>
      <w:bookmarkEnd w:id="234"/>
      <w:bookmarkEnd w:id="235"/>
      <w:bookmarkEnd w:id="236"/>
      <w:bookmarkEnd w:id="237"/>
      <w:bookmarkEnd w:id="238"/>
      <w:bookmarkEnd w:id="239"/>
      <w:bookmarkEnd w:id="240"/>
    </w:p>
    <w:p w:rsidR="00B03F4F" w:rsidRDefault="00B03F4F" w:rsidP="00B03F4F">
      <w:r>
        <w:t>SAA is a rare condition frequently treated with immunosuppressive therapy and or haematopoietic stem cell transplantation. Patients who fail 1-2 courses if IST and who are unsuitable for matched sibling transplantation, have very limited therapeutic options apart from supportive care (antimicrobials and transfusion support for platelets and red cells), an unrelated or mismatched allogeneic transplant or a novel clinical trial. Such patients have a very limited long-term survival and would be the potential beneficiaries.</w:t>
      </w:r>
    </w:p>
    <w:p w:rsidR="00B03F4F" w:rsidRDefault="00B03F4F" w:rsidP="00B03F4F">
      <w:r>
        <w:t xml:space="preserve">The benefit of </w:t>
      </w:r>
      <w:proofErr w:type="spellStart"/>
      <w:r>
        <w:t>eltrombopag</w:t>
      </w:r>
      <w:proofErr w:type="spellEnd"/>
      <w:r>
        <w:t xml:space="preserve">, reported in the pivotal clinical </w:t>
      </w:r>
      <w:r w:rsidR="00577163">
        <w:t>Study EL</w:t>
      </w:r>
      <w:r>
        <w:t xml:space="preserve">T112523 and supporting studies, is the availability of a new therapeutic option for patients who fail or are unsuitable for conventional therapies. The action of this agent (stimulation of haematopoietic stem cells) is </w:t>
      </w:r>
      <w:r>
        <w:lastRenderedPageBreak/>
        <w:t xml:space="preserve">mechanistically distinct from conventional therapies (IST </w:t>
      </w:r>
      <w:r w:rsidR="00CE312E">
        <w:t>and</w:t>
      </w:r>
      <w:r>
        <w:t xml:space="preserve"> transplantation) thus implying the potential for activity in patients resistant or relapsing from such therapy.</w:t>
      </w:r>
    </w:p>
    <w:p w:rsidR="00B03F4F" w:rsidRDefault="00B03F4F" w:rsidP="00B03F4F">
      <w:r>
        <w:t>A significant minority of patient entered into the studies in reported for the target population achieved meaningful haematopoietic responses in at least one lineage. Bi- and tri-lineage responses and improvements in bone marrow cellularity are reported as is the ability for dose reduction and eventual cessation. Responses can be long-term.</w:t>
      </w:r>
      <w:r w:rsidR="00392749">
        <w:t xml:space="preserve"> </w:t>
      </w:r>
      <w:r>
        <w:t>Limited quality of life data and improvements are also reported.</w:t>
      </w:r>
    </w:p>
    <w:p w:rsidR="00B03F4F" w:rsidRDefault="00B03F4F" w:rsidP="00B03F4F">
      <w:proofErr w:type="spellStart"/>
      <w:r>
        <w:t>Eltrombopag</w:t>
      </w:r>
      <w:proofErr w:type="spellEnd"/>
      <w:r>
        <w:t xml:space="preserve"> is orally administered with a convenient dosing schedule. It is reported to be well tolerated with, in the context, an acceptable safety profile and no new safety signals have to date been identified in the SAA population. The safety profile in the SAA patient population is consistent with that observed in approved indications of </w:t>
      </w:r>
      <w:proofErr w:type="spellStart"/>
      <w:r>
        <w:t>eltrombopag</w:t>
      </w:r>
      <w:proofErr w:type="spellEnd"/>
      <w:r>
        <w:t xml:space="preserve">. Transaminase and indirect bilirubin elevations observed were consistent with information described in the approved labelling for </w:t>
      </w:r>
      <w:proofErr w:type="spellStart"/>
      <w:r>
        <w:t>eltrombopag</w:t>
      </w:r>
      <w:proofErr w:type="spellEnd"/>
      <w:r>
        <w:t>.</w:t>
      </w:r>
      <w:r w:rsidR="00392749">
        <w:t xml:space="preserve"> </w:t>
      </w:r>
      <w:r>
        <w:t>Thromboembolic events were not observed in the SAA studies and no new identified safety risks were noted.</w:t>
      </w:r>
      <w:r w:rsidR="00392749">
        <w:t xml:space="preserve"> </w:t>
      </w:r>
      <w:r>
        <w:t xml:space="preserve">The incidence of cytogenetic abnormalities in the SAA studies of </w:t>
      </w:r>
      <w:proofErr w:type="spellStart"/>
      <w:r>
        <w:t>eltrombopag</w:t>
      </w:r>
      <w:proofErr w:type="spellEnd"/>
      <w:r>
        <w:t xml:space="preserve"> observed were in line with the rates reported in the published literature in SAA patients.</w:t>
      </w:r>
    </w:p>
    <w:p w:rsidR="00B03F4F" w:rsidRDefault="00B03F4F" w:rsidP="00B03F4F">
      <w:r>
        <w:t xml:space="preserve">In summary the benefits of </w:t>
      </w:r>
      <w:proofErr w:type="spellStart"/>
      <w:r>
        <w:t>eltrombopag</w:t>
      </w:r>
      <w:proofErr w:type="spellEnd"/>
      <w:r>
        <w:t xml:space="preserve"> in the proposed usage are:</w:t>
      </w:r>
    </w:p>
    <w:p w:rsidR="00B03F4F" w:rsidRDefault="00B03F4F" w:rsidP="00240809">
      <w:pPr>
        <w:pStyle w:val="ListBullet"/>
      </w:pPr>
      <w:r>
        <w:t>A novel therapeutic option, with a novel mode of action,</w:t>
      </w:r>
      <w:r w:rsidR="00392749">
        <w:t xml:space="preserve"> </w:t>
      </w:r>
      <w:r>
        <w:t xml:space="preserve">for patients who have failed </w:t>
      </w:r>
      <w:r w:rsidR="00B672D0">
        <w:t>‘</w:t>
      </w:r>
      <w:r>
        <w:t>conventional therapy</w:t>
      </w:r>
      <w:r w:rsidR="00B672D0">
        <w:t>’</w:t>
      </w:r>
    </w:p>
    <w:p w:rsidR="00B03F4F" w:rsidRDefault="00B03F4F" w:rsidP="00240809">
      <w:pPr>
        <w:pStyle w:val="ListBullet"/>
      </w:pPr>
      <w:r>
        <w:t>Meaningful responses in a significant minority of patients</w:t>
      </w:r>
    </w:p>
    <w:p w:rsidR="00B03F4F" w:rsidRDefault="00B03F4F" w:rsidP="00CE312E">
      <w:pPr>
        <w:pStyle w:val="ListBullet"/>
      </w:pPr>
      <w:r>
        <w:t>Orally administered with the potential for drug cessation</w:t>
      </w:r>
    </w:p>
    <w:p w:rsidR="00B03F4F" w:rsidRDefault="00B03F4F" w:rsidP="00CE312E">
      <w:pPr>
        <w:pStyle w:val="ListBullet2"/>
      </w:pPr>
      <w:r>
        <w:t>in responders</w:t>
      </w:r>
    </w:p>
    <w:p w:rsidR="00B03F4F" w:rsidRDefault="00CE312E" w:rsidP="00CE312E">
      <w:pPr>
        <w:pStyle w:val="ListBullet2"/>
      </w:pPr>
      <w:proofErr w:type="gramStart"/>
      <w:r>
        <w:t>i</w:t>
      </w:r>
      <w:r w:rsidR="00B03F4F">
        <w:t>n</w:t>
      </w:r>
      <w:proofErr w:type="gramEnd"/>
      <w:r w:rsidR="00B03F4F">
        <w:t xml:space="preserve"> those who fail to respond to the initial trial of therapy</w:t>
      </w:r>
      <w:r>
        <w:t>.</w:t>
      </w:r>
    </w:p>
    <w:p w:rsidR="00B03F4F" w:rsidRDefault="00B03F4F" w:rsidP="00240809">
      <w:pPr>
        <w:pStyle w:val="Heading3"/>
      </w:pPr>
      <w:bookmarkStart w:id="241" w:name="_Toc295132780"/>
      <w:bookmarkStart w:id="242" w:name="_Toc290846332"/>
      <w:bookmarkStart w:id="243" w:name="_Toc272414694"/>
      <w:bookmarkStart w:id="244" w:name="_Ref272160964"/>
      <w:bookmarkStart w:id="245" w:name="_Toc241374334"/>
      <w:bookmarkStart w:id="246" w:name="_Toc236802596"/>
      <w:bookmarkStart w:id="247" w:name="_Toc448221965"/>
      <w:r>
        <w:t>First round assessment of risks</w:t>
      </w:r>
      <w:bookmarkEnd w:id="241"/>
      <w:bookmarkEnd w:id="242"/>
      <w:bookmarkEnd w:id="243"/>
      <w:bookmarkEnd w:id="244"/>
      <w:bookmarkEnd w:id="245"/>
      <w:bookmarkEnd w:id="246"/>
      <w:bookmarkEnd w:id="247"/>
    </w:p>
    <w:p w:rsidR="00B03F4F" w:rsidRDefault="00B03F4F" w:rsidP="00B03F4F">
      <w:r>
        <w:t xml:space="preserve">The risks of </w:t>
      </w:r>
      <w:proofErr w:type="spellStart"/>
      <w:r>
        <w:t>eltrombopag</w:t>
      </w:r>
      <w:proofErr w:type="spellEnd"/>
      <w:r>
        <w:t xml:space="preserve"> in the proposed usage are:</w:t>
      </w:r>
    </w:p>
    <w:p w:rsidR="002638A5" w:rsidRDefault="00B03F4F" w:rsidP="00240809">
      <w:pPr>
        <w:pStyle w:val="ListBullet"/>
      </w:pPr>
      <w:r>
        <w:t>Use in patients for who</w:t>
      </w:r>
      <w:r w:rsidR="00C37DA8">
        <w:t>m</w:t>
      </w:r>
      <w:r>
        <w:t xml:space="preserve"> a </w:t>
      </w:r>
      <w:r w:rsidR="00B672D0">
        <w:t>‘</w:t>
      </w:r>
      <w:r>
        <w:t>suitable/conventional</w:t>
      </w:r>
      <w:r w:rsidR="00B672D0">
        <w:t>’</w:t>
      </w:r>
      <w:r>
        <w:t xml:space="preserve"> alternative therapeutic option is available.</w:t>
      </w:r>
    </w:p>
    <w:p w:rsidR="00B03F4F" w:rsidRDefault="00B03F4F" w:rsidP="00240809">
      <w:pPr>
        <w:pStyle w:val="ListBullet2"/>
      </w:pPr>
      <w:r>
        <w:t xml:space="preserve">This issue has been addressed above, but in brief, if the proposed indication included patients who had failed only one prior IST, then the use of this agent has the potential to replace current </w:t>
      </w:r>
      <w:r w:rsidR="00B672D0">
        <w:t>‘</w:t>
      </w:r>
      <w:r>
        <w:t>accepted</w:t>
      </w:r>
      <w:r w:rsidR="00B672D0">
        <w:t>’</w:t>
      </w:r>
      <w:r>
        <w:t xml:space="preserve"> second line therapy.</w:t>
      </w:r>
    </w:p>
    <w:p w:rsidR="00B03F4F" w:rsidRDefault="00B03F4F" w:rsidP="00240809">
      <w:pPr>
        <w:pStyle w:val="ListBullet2"/>
      </w:pPr>
      <w:r>
        <w:t xml:space="preserve">It should be noted that the accepted second line therapies (a second IST or an allogeneic transplant) are far from ideal and are associated with significant costs and toxicities. There is however no available data comparing </w:t>
      </w:r>
      <w:proofErr w:type="spellStart"/>
      <w:r>
        <w:t>eltrombopag</w:t>
      </w:r>
      <w:proofErr w:type="spellEnd"/>
      <w:r>
        <w:t xml:space="preserve"> with these options to assess the relative efficacy and costs, and thus which would be the preferred second line option.</w:t>
      </w:r>
    </w:p>
    <w:p w:rsidR="00B03F4F" w:rsidRDefault="00B03F4F" w:rsidP="00240809">
      <w:pPr>
        <w:pStyle w:val="ListBullet2"/>
        <w:rPr>
          <w:kern w:val="24"/>
        </w:rPr>
      </w:pPr>
      <w:r>
        <w:t>I</w:t>
      </w:r>
      <w:r>
        <w:rPr>
          <w:kern w:val="24"/>
        </w:rPr>
        <w:t>t could be well argued that the community would benefit from the availability of a range of options for these patients.</w:t>
      </w:r>
    </w:p>
    <w:p w:rsidR="00B03F4F" w:rsidRDefault="00B03F4F" w:rsidP="00240809">
      <w:pPr>
        <w:pStyle w:val="ListBullet"/>
      </w:pPr>
      <w:r>
        <w:t>Prolonged inappropriate use. Care should be taken to ensure that;</w:t>
      </w:r>
    </w:p>
    <w:p w:rsidR="002638A5" w:rsidRDefault="00B03F4F" w:rsidP="00240809">
      <w:pPr>
        <w:pStyle w:val="ListBullet2"/>
      </w:pPr>
      <w:r>
        <w:t xml:space="preserve">A defined trial period is identified and that ongoing use is restricted to appropriately defined </w:t>
      </w:r>
      <w:r w:rsidR="00B672D0">
        <w:t>‘</w:t>
      </w:r>
      <w:r>
        <w:t>responders</w:t>
      </w:r>
      <w:r w:rsidR="00B672D0">
        <w:t>’</w:t>
      </w:r>
      <w:r>
        <w:t>. The criteria used in the reported trials seem appropriate.</w:t>
      </w:r>
    </w:p>
    <w:p w:rsidR="00B03F4F" w:rsidRDefault="00B03F4F" w:rsidP="00240809">
      <w:pPr>
        <w:pStyle w:val="ListBullet2"/>
      </w:pPr>
      <w:r>
        <w:t xml:space="preserve">Appropriate dose tapering and cessation criteria are considered. </w:t>
      </w:r>
      <w:r>
        <w:rPr>
          <w:kern w:val="24"/>
        </w:rPr>
        <w:t>The criteria used in the reported trials seem appropriate.</w:t>
      </w:r>
    </w:p>
    <w:p w:rsidR="00B03F4F" w:rsidRDefault="00B03F4F" w:rsidP="00240809">
      <w:pPr>
        <w:pStyle w:val="ListBullet"/>
      </w:pPr>
      <w:r>
        <w:t>Limited paediatric data.</w:t>
      </w:r>
    </w:p>
    <w:p w:rsidR="00B03F4F" w:rsidRDefault="00B03F4F" w:rsidP="00240809">
      <w:pPr>
        <w:pStyle w:val="ListBullet"/>
      </w:pPr>
      <w:r>
        <w:lastRenderedPageBreak/>
        <w:t>Possible safety signals</w:t>
      </w:r>
      <w:r w:rsidR="00CE312E">
        <w:t>,</w:t>
      </w:r>
      <w:r>
        <w:t xml:space="preserve"> in particular new cytogenetic abnormalities or an increase incidence of haematological malignancies.</w:t>
      </w:r>
    </w:p>
    <w:p w:rsidR="00B03F4F" w:rsidRDefault="00B03F4F" w:rsidP="00240809">
      <w:pPr>
        <w:pStyle w:val="ListBullet2"/>
        <w:rPr>
          <w:kern w:val="24"/>
        </w:rPr>
      </w:pPr>
      <w:r>
        <w:t xml:space="preserve">Note is made of the supplied safety data both in the accepted indications (ITP and hepatitis C) and in SAA population. However, given the action of </w:t>
      </w:r>
      <w:proofErr w:type="spellStart"/>
      <w:r>
        <w:t>eltrombopag</w:t>
      </w:r>
      <w:proofErr w:type="spellEnd"/>
      <w:r>
        <w:t xml:space="preserve"> in the haematopoietic stem cell and the well-recognised potential for patients with SAA to develop additional </w:t>
      </w:r>
      <w:r>
        <w:rPr>
          <w:kern w:val="24"/>
        </w:rPr>
        <w:t>new cytogenetic abnormalities or progress to a haematological malignancy, ongoing monitoring of this issue would seem appropriate.</w:t>
      </w:r>
    </w:p>
    <w:p w:rsidR="00B03F4F" w:rsidRDefault="00B03F4F" w:rsidP="00240809">
      <w:pPr>
        <w:pStyle w:val="Heading3"/>
      </w:pPr>
      <w:bookmarkStart w:id="248" w:name="_Toc295132781"/>
      <w:bookmarkStart w:id="249" w:name="_Toc290846333"/>
      <w:bookmarkStart w:id="250" w:name="_Toc272414695"/>
      <w:bookmarkStart w:id="251" w:name="_Toc241374335"/>
      <w:bookmarkStart w:id="252" w:name="_Toc236802597"/>
      <w:bookmarkStart w:id="253" w:name="_Toc448221966"/>
      <w:r>
        <w:t>First round assessment of benefit-risk balance</w:t>
      </w:r>
      <w:bookmarkEnd w:id="248"/>
      <w:bookmarkEnd w:id="249"/>
      <w:bookmarkEnd w:id="250"/>
      <w:bookmarkEnd w:id="251"/>
      <w:bookmarkEnd w:id="252"/>
      <w:bookmarkEnd w:id="253"/>
    </w:p>
    <w:p w:rsidR="00B03F4F" w:rsidRDefault="00B03F4F" w:rsidP="00240809">
      <w:r>
        <w:t xml:space="preserve">The benefit-risk balance of </w:t>
      </w:r>
      <w:proofErr w:type="spellStart"/>
      <w:r>
        <w:t>eltrombopag</w:t>
      </w:r>
      <w:proofErr w:type="spellEnd"/>
      <w:r>
        <w:t xml:space="preserve">, given the proposed usage, has the potential to be favourable. However </w:t>
      </w:r>
      <w:r w:rsidR="00CE312E">
        <w:t>the evaluator</w:t>
      </w:r>
      <w:r>
        <w:t xml:space="preserve"> would recommend particular attention is paid to the exact wording of the indication.</w:t>
      </w:r>
    </w:p>
    <w:p w:rsidR="002638A5" w:rsidRDefault="00CE312E" w:rsidP="00240809">
      <w:r>
        <w:t xml:space="preserve">The evaluator </w:t>
      </w:r>
      <w:r w:rsidR="00B03F4F">
        <w:t>certainly think</w:t>
      </w:r>
      <w:r>
        <w:t>s</w:t>
      </w:r>
      <w:r w:rsidR="00B03F4F">
        <w:t xml:space="preserve"> that the use of </w:t>
      </w:r>
      <w:proofErr w:type="spellStart"/>
      <w:r w:rsidR="00B03F4F">
        <w:t>eltrombopag</w:t>
      </w:r>
      <w:proofErr w:type="spellEnd"/>
      <w:r w:rsidR="00B03F4F">
        <w:t xml:space="preserve"> would be appropriate and the risks acceptable for SAA patients who;</w:t>
      </w:r>
    </w:p>
    <w:p w:rsidR="00B03F4F" w:rsidRDefault="00B03F4F" w:rsidP="000663A9">
      <w:pPr>
        <w:pStyle w:val="Numberbullet0"/>
        <w:numPr>
          <w:ilvl w:val="0"/>
          <w:numId w:val="21"/>
        </w:numPr>
      </w:pPr>
      <w:r>
        <w:t>Have failed 2 courses of conventional IST and for whom an allogenic stem cell transplant is not feasible or inappropriate due to lack of an available donor or patient co-morbidities.</w:t>
      </w:r>
    </w:p>
    <w:p w:rsidR="002638A5" w:rsidRDefault="00B03F4F" w:rsidP="0025467A">
      <w:pPr>
        <w:pStyle w:val="Numberbullet2"/>
        <w:numPr>
          <w:ilvl w:val="0"/>
          <w:numId w:val="0"/>
        </w:numPr>
        <w:ind w:left="425"/>
      </w:pPr>
      <w:r>
        <w:t xml:space="preserve">A significant issue in this context is to define </w:t>
      </w:r>
      <w:r w:rsidR="00B672D0">
        <w:t>‘</w:t>
      </w:r>
      <w:r>
        <w:t>acceptability of available donor</w:t>
      </w:r>
      <w:r w:rsidR="00B672D0">
        <w:t>’</w:t>
      </w:r>
      <w:r>
        <w:t>; fully matched sibling</w:t>
      </w:r>
      <w:r w:rsidR="00593E16">
        <w:t xml:space="preserve"> versus </w:t>
      </w:r>
      <w:r>
        <w:t>fully (molecularly)-matched unrelated donor</w:t>
      </w:r>
      <w:r w:rsidR="00593E16">
        <w:t xml:space="preserve"> versus </w:t>
      </w:r>
      <w:r>
        <w:t xml:space="preserve">mismatched related or unrelated donor. </w:t>
      </w:r>
      <w:r w:rsidR="00B672D0">
        <w:t>‘</w:t>
      </w:r>
      <w:r>
        <w:t>Acceptability</w:t>
      </w:r>
      <w:r w:rsidR="00B672D0">
        <w:t>’</w:t>
      </w:r>
      <w:r>
        <w:t xml:space="preserve"> will clearly vary depending on the age comorbidities of the patient.</w:t>
      </w:r>
    </w:p>
    <w:p w:rsidR="002638A5" w:rsidRDefault="00B03F4F" w:rsidP="00240809">
      <w:pPr>
        <w:pStyle w:val="Numberbullet0"/>
      </w:pPr>
      <w:r>
        <w:t>Have failed 1 course of conventional IST and for whom a second course of IST would be inappropriate and, in whom,</w:t>
      </w:r>
      <w:r w:rsidR="00392749">
        <w:t xml:space="preserve"> </w:t>
      </w:r>
      <w:r>
        <w:t>an allogenic stem cell transplant is not feasible or inappropriate due to lack of an available donor (see above) or patient co-morbidities</w:t>
      </w:r>
    </w:p>
    <w:p w:rsidR="00C22678" w:rsidRDefault="00C22678" w:rsidP="00240809">
      <w:pPr>
        <w:pStyle w:val="Heading2"/>
      </w:pPr>
      <w:bookmarkStart w:id="254" w:name="_Toc448221967"/>
      <w:r>
        <w:t>First round recommendation regarding authorisation</w:t>
      </w:r>
      <w:bookmarkEnd w:id="254"/>
    </w:p>
    <w:p w:rsidR="00B03F4F" w:rsidRDefault="00CE312E" w:rsidP="00B03F4F">
      <w:r>
        <w:t>The evaluator</w:t>
      </w:r>
      <w:r w:rsidR="00B03F4F">
        <w:t xml:space="preserve"> would not recommend a blanket approval for patients with SAA who have failed (one round) IST as proposed by the sponsors. Rather </w:t>
      </w:r>
      <w:r>
        <w:t>the evalu</w:t>
      </w:r>
      <w:r w:rsidR="00586DB0">
        <w:t>a</w:t>
      </w:r>
      <w:r>
        <w:t>tor</w:t>
      </w:r>
      <w:r w:rsidR="00B03F4F">
        <w:t xml:space="preserve"> would recommend initial approval a suggested in section </w:t>
      </w:r>
      <w:r>
        <w:t>10</w:t>
      </w:r>
      <w:r w:rsidR="00B03F4F">
        <w:t xml:space="preserve"> above. The sponsors could be asked to address the issues of the number of rounds of IST required and the place of allogeneic transplantation before in a subsequent submission.</w:t>
      </w:r>
    </w:p>
    <w:p w:rsidR="00C22678" w:rsidRDefault="00C22678" w:rsidP="00240809">
      <w:pPr>
        <w:pStyle w:val="Heading2"/>
      </w:pPr>
      <w:bookmarkStart w:id="255" w:name="_Toc448221968"/>
      <w:r>
        <w:t>Clinical questions</w:t>
      </w:r>
      <w:bookmarkEnd w:id="255"/>
    </w:p>
    <w:p w:rsidR="00B03F4F" w:rsidRDefault="00B03F4F" w:rsidP="00B03F4F">
      <w:r>
        <w:t>Refer to comments above</w:t>
      </w:r>
      <w:r w:rsidR="009F2A6F">
        <w:t>.</w:t>
      </w:r>
    </w:p>
    <w:p w:rsidR="00C618F7" w:rsidRDefault="00C618F7" w:rsidP="00240809">
      <w:pPr>
        <w:pStyle w:val="Heading2"/>
      </w:pPr>
      <w:bookmarkStart w:id="256" w:name="_Toc448221969"/>
      <w:r>
        <w:t>Second round evaluation of clinical data submitted in response to questions</w:t>
      </w:r>
      <w:bookmarkEnd w:id="256"/>
    </w:p>
    <w:p w:rsidR="002638A5" w:rsidRDefault="009F2A6F" w:rsidP="00C225BF">
      <w:pPr>
        <w:pStyle w:val="Numberbullet0"/>
        <w:numPr>
          <w:ilvl w:val="0"/>
          <w:numId w:val="31"/>
        </w:numPr>
        <w:rPr>
          <w:b/>
          <w:i/>
        </w:rPr>
      </w:pPr>
      <w:r w:rsidRPr="00C225BF">
        <w:rPr>
          <w:b/>
          <w:i/>
        </w:rPr>
        <w:t>Question</w:t>
      </w:r>
      <w:r w:rsidR="0064377C" w:rsidRPr="00C225BF">
        <w:rPr>
          <w:b/>
          <w:i/>
        </w:rPr>
        <w:t xml:space="preserve"> </w:t>
      </w:r>
      <w:r w:rsidR="00C225BF" w:rsidRPr="00C225BF">
        <w:rPr>
          <w:b/>
          <w:i/>
        </w:rPr>
        <w:t>posed by RMP evaluator</w:t>
      </w:r>
      <w:r w:rsidR="002638A5">
        <w:rPr>
          <w:b/>
          <w:i/>
        </w:rPr>
        <w:t>:</w:t>
      </w:r>
    </w:p>
    <w:p w:rsidR="009F2A6F" w:rsidRPr="009F2A6F" w:rsidRDefault="009F2A6F" w:rsidP="00C225BF">
      <w:pPr>
        <w:ind w:left="360"/>
        <w:rPr>
          <w:i/>
        </w:rPr>
      </w:pPr>
      <w:r w:rsidRPr="009F2A6F">
        <w:rPr>
          <w:i/>
        </w:rPr>
        <w:t>It is recommended the existing additional risk minimisation activities be updated to include the proposed indication and specific risks associated with that indication (e.g. cytogenetic abnormalities).</w:t>
      </w:r>
    </w:p>
    <w:p w:rsidR="009F2A6F" w:rsidRPr="0064377C" w:rsidRDefault="009F2A6F" w:rsidP="009F2A6F">
      <w:pPr>
        <w:rPr>
          <w:i/>
        </w:rPr>
      </w:pPr>
      <w:r w:rsidRPr="0064377C">
        <w:rPr>
          <w:i/>
        </w:rPr>
        <w:t>Sponsor’s response:</w:t>
      </w:r>
    </w:p>
    <w:p w:rsidR="0064377C" w:rsidRDefault="0064377C" w:rsidP="0064377C">
      <w:r>
        <w:t>This is covered on page 99 of European RMP v33.</w:t>
      </w:r>
    </w:p>
    <w:p w:rsidR="0064377C" w:rsidRDefault="0064377C" w:rsidP="0064377C">
      <w:r>
        <w:lastRenderedPageBreak/>
        <w:t>No additional educational materials are proposed for the indication of SAA, but the existing educational materials will be updated to include an indication statement for SAA, following possible approval of the SAA application.</w:t>
      </w:r>
    </w:p>
    <w:p w:rsidR="0064377C" w:rsidRDefault="0064377C" w:rsidP="0064377C">
      <w:r>
        <w:t>A known complication of SAA is the appearance of cytogenetic abnormalities in bone marrow cells. Cytogenetic abnormalities have been reported in 15</w:t>
      </w:r>
      <w:r w:rsidR="00A21D62">
        <w:t xml:space="preserve"> to </w:t>
      </w:r>
      <w:r>
        <w:t>20 % of patients with SAA [</w:t>
      </w:r>
      <w:proofErr w:type="spellStart"/>
      <w:r>
        <w:t>Maciejewski</w:t>
      </w:r>
      <w:proofErr w:type="spellEnd"/>
      <w:r>
        <w:t xml:space="preserve">, 2002; </w:t>
      </w:r>
      <w:proofErr w:type="spellStart"/>
      <w:r>
        <w:t>Scheinberg</w:t>
      </w:r>
      <w:proofErr w:type="spellEnd"/>
      <w:r>
        <w:t xml:space="preserve">, 2011; </w:t>
      </w:r>
      <w:proofErr w:type="spellStart"/>
      <w:r>
        <w:t>Scheinberg</w:t>
      </w:r>
      <w:proofErr w:type="spellEnd"/>
      <w:r>
        <w:t xml:space="preserve">, 2012]. The clinical consequences are variable, depending upon the specific abnormality and the presence or absence of clinical sequelae such as dysplasia or worsening </w:t>
      </w:r>
      <w:proofErr w:type="spellStart"/>
      <w:r>
        <w:t>cytopenias</w:t>
      </w:r>
      <w:proofErr w:type="spellEnd"/>
      <w:r>
        <w:t xml:space="preserve"> [</w:t>
      </w:r>
      <w:proofErr w:type="spellStart"/>
      <w:r>
        <w:t>Maciejewski</w:t>
      </w:r>
      <w:proofErr w:type="spellEnd"/>
      <w:r>
        <w:t>, 2002]. Novartis does not propose to include any specific information about cytogenetic abnormalities in the educational materials. Information communicated to physicians through the Australian product information document is considered the primary tool to educate physicians about this risk.</w:t>
      </w:r>
    </w:p>
    <w:p w:rsidR="009F2A6F" w:rsidRDefault="0064377C" w:rsidP="0064377C">
      <w:r>
        <w:t>No other regulatory body including the US Food and Drug Administration (US FDA) and the European Medicines Agency (EMA) have requested the addition of such information in the currently implemented educational materials. [</w:t>
      </w:r>
      <w:r w:rsidR="00586DB0">
        <w:t>I</w:t>
      </w:r>
      <w:r>
        <w:t>nformation redacted].</w:t>
      </w:r>
    </w:p>
    <w:p w:rsidR="002638A5" w:rsidRDefault="00C225BF" w:rsidP="009F2A6F">
      <w:pPr>
        <w:pStyle w:val="Heading6"/>
        <w:numPr>
          <w:ilvl w:val="0"/>
          <w:numId w:val="0"/>
        </w:numPr>
      </w:pPr>
      <w:r>
        <w:t>Clinical e</w:t>
      </w:r>
      <w:r w:rsidR="009F2A6F">
        <w:t>valuator comment</w:t>
      </w:r>
      <w:r w:rsidR="002638A5">
        <w:t>:</w:t>
      </w:r>
    </w:p>
    <w:p w:rsidR="009F2A6F" w:rsidRDefault="009F2A6F" w:rsidP="009F2A6F">
      <w:proofErr w:type="gramStart"/>
      <w:r>
        <w:t>Noted.</w:t>
      </w:r>
      <w:proofErr w:type="gramEnd"/>
      <w:r>
        <w:t xml:space="preserve"> From the reports available to date there does not seem to be an increase in haematopoietic cytogenetic abnormalities in SAA patients. However</w:t>
      </w:r>
    </w:p>
    <w:p w:rsidR="009F2A6F" w:rsidRDefault="009F2A6F" w:rsidP="009F2A6F">
      <w:pPr>
        <w:pStyle w:val="ListBullet2"/>
      </w:pPr>
      <w:r>
        <w:t xml:space="preserve">Experience </w:t>
      </w:r>
      <w:r w:rsidRPr="00EB3FF7">
        <w:t xml:space="preserve">with </w:t>
      </w:r>
      <w:proofErr w:type="spellStart"/>
      <w:r w:rsidRPr="00EB3FF7">
        <w:t>Eltrombopag</w:t>
      </w:r>
      <w:proofErr w:type="spellEnd"/>
      <w:r w:rsidRPr="00EB3FF7">
        <w:t xml:space="preserve"> in SAA is relatively short compared to the other indications</w:t>
      </w:r>
    </w:p>
    <w:p w:rsidR="009F2A6F" w:rsidRPr="00EB3FF7" w:rsidRDefault="009F2A6F" w:rsidP="009F2A6F">
      <w:pPr>
        <w:pStyle w:val="ListBullet2"/>
      </w:pPr>
      <w:r>
        <w:t xml:space="preserve">It </w:t>
      </w:r>
      <w:r w:rsidRPr="00EB3FF7">
        <w:t>should be reinforced that SAA is (almost universally) accepted to be a disorder of the haematopoietic stem cell and is thus distinguished from the other indications.</w:t>
      </w:r>
      <w:r>
        <w:t xml:space="preserve"> The TPO receptor (target of </w:t>
      </w:r>
      <w:proofErr w:type="spellStart"/>
      <w:r>
        <w:t>Eltrombopag</w:t>
      </w:r>
      <w:proofErr w:type="spellEnd"/>
      <w:r>
        <w:t>) is present on haematopoietic stem can progenitor cells.</w:t>
      </w:r>
    </w:p>
    <w:p w:rsidR="009F2A6F" w:rsidRDefault="009F2A6F" w:rsidP="009F2A6F">
      <w:r>
        <w:t>Thus the evaluator still has the opinion that this issue deserves further monitoring.</w:t>
      </w:r>
    </w:p>
    <w:p w:rsidR="002638A5" w:rsidRDefault="009F2A6F" w:rsidP="00C225BF">
      <w:pPr>
        <w:pStyle w:val="Numberbullet0"/>
        <w:rPr>
          <w:b/>
          <w:i/>
        </w:rPr>
      </w:pPr>
      <w:r w:rsidRPr="00C225BF">
        <w:rPr>
          <w:b/>
          <w:i/>
        </w:rPr>
        <w:t>Question</w:t>
      </w:r>
      <w:r w:rsidR="0064377C" w:rsidRPr="00C225BF">
        <w:rPr>
          <w:b/>
          <w:i/>
        </w:rPr>
        <w:t xml:space="preserve"> </w:t>
      </w:r>
      <w:r w:rsidR="00C225BF" w:rsidRPr="00C225BF">
        <w:rPr>
          <w:b/>
          <w:i/>
        </w:rPr>
        <w:t>posed by clinical evaluator</w:t>
      </w:r>
      <w:r w:rsidR="002638A5">
        <w:rPr>
          <w:b/>
          <w:i/>
        </w:rPr>
        <w:t>:</w:t>
      </w:r>
    </w:p>
    <w:p w:rsidR="0064377C" w:rsidRPr="0064377C" w:rsidRDefault="0064377C" w:rsidP="00C225BF">
      <w:pPr>
        <w:ind w:left="360"/>
        <w:rPr>
          <w:i/>
        </w:rPr>
      </w:pPr>
      <w:r w:rsidRPr="0064377C">
        <w:rPr>
          <w:i/>
        </w:rPr>
        <w:t>The sponsor is invited to comment at the s31 stage on any issues raised in this report, particularly those issues raised or summarised within Sections 9 and 10 of the report regarding benefit, risk, wording of indication and the sponsor's proposed approach to long-term monitoring of safety in SAA.</w:t>
      </w:r>
    </w:p>
    <w:p w:rsidR="0064377C" w:rsidRPr="0064377C" w:rsidRDefault="00C225BF" w:rsidP="009F2A6F">
      <w:pPr>
        <w:rPr>
          <w:i/>
        </w:rPr>
      </w:pPr>
      <w:r>
        <w:rPr>
          <w:i/>
        </w:rPr>
        <w:t>Clinical e</w:t>
      </w:r>
      <w:r w:rsidR="0064377C" w:rsidRPr="0064377C">
        <w:rPr>
          <w:i/>
        </w:rPr>
        <w:t>valuator comment:</w:t>
      </w:r>
    </w:p>
    <w:p w:rsidR="002638A5" w:rsidRDefault="009F2A6F" w:rsidP="009F2A6F">
      <w:r>
        <w:t>The evaluator has read the sponsors response to comments relating to the wording of the indication and note their interpretation and arguments. The evaluator certainly agrees that there is sufficient evidence to support activity in the particular patient groups evaluated, including patient who had failed only one round of IST.</w:t>
      </w:r>
    </w:p>
    <w:p w:rsidR="002638A5" w:rsidRDefault="009F2A6F" w:rsidP="009F2A6F">
      <w:r>
        <w:t>The evaluator would like to make the following points;</w:t>
      </w:r>
    </w:p>
    <w:p w:rsidR="009F2A6F" w:rsidRPr="009F2A6F" w:rsidRDefault="009F2A6F" w:rsidP="009F2A6F">
      <w:pPr>
        <w:pStyle w:val="Numberbullet2"/>
      </w:pPr>
      <w:r w:rsidRPr="009F2A6F">
        <w:t>The therapy for SAA patients who have failed initial therapy is suboptimal. There are however a number of well-established paradigms involving consideration of an allogeneic transplant for suitable patients or a second round of IST.</w:t>
      </w:r>
    </w:p>
    <w:p w:rsidR="002638A5" w:rsidRDefault="009F2A6F" w:rsidP="009F2A6F">
      <w:pPr>
        <w:pStyle w:val="Numberbullet2"/>
      </w:pPr>
      <w:r w:rsidRPr="009F2A6F">
        <w:t>Australian and international registry data demonstrate significant use, in the context of a rare disease, of allogeneic transplantation in this area</w:t>
      </w:r>
      <w:r w:rsidR="002638A5">
        <w:t>.</w:t>
      </w:r>
    </w:p>
    <w:p w:rsidR="002638A5" w:rsidRDefault="009F2A6F" w:rsidP="009F2A6F">
      <w:pPr>
        <w:pStyle w:val="Numberbullet2"/>
      </w:pPr>
      <w:r w:rsidRPr="009F2A6F">
        <w:t>Given the small numbers of patients evaluated and the high likelihood for differences in patient selection criteria it is inappropriate to compare non-randomised studies. Whilst potential efficacy of all three approaches is demonstrated any attempt to imply that one therapy is better that any of the others is inappropriate.</w:t>
      </w:r>
    </w:p>
    <w:p w:rsidR="002638A5" w:rsidRDefault="009F2A6F" w:rsidP="009F2A6F">
      <w:r>
        <w:lastRenderedPageBreak/>
        <w:t>Thus the recommendations can be considered in the context of a global paradigm for the management of SAA patients who have failed previous IST. The following is, the evaluator believes, appropriate;</w:t>
      </w:r>
    </w:p>
    <w:p w:rsidR="009F2A6F" w:rsidRDefault="009F2A6F" w:rsidP="009F2A6F">
      <w:pPr>
        <w:pStyle w:val="Numberbullet0"/>
        <w:numPr>
          <w:ilvl w:val="0"/>
          <w:numId w:val="28"/>
        </w:numPr>
      </w:pPr>
      <w:r w:rsidRPr="00496F43">
        <w:t>Have failed 2 courses of conventional IST and for whom an allogen</w:t>
      </w:r>
      <w:r>
        <w:t>e</w:t>
      </w:r>
      <w:r w:rsidRPr="00496F43">
        <w:t>ic stem cell transplant is not feasible or inappropriate due to lack of an available donor or patient co-morbidities</w:t>
      </w:r>
    </w:p>
    <w:p w:rsidR="002638A5" w:rsidRDefault="009F2A6F" w:rsidP="009F2A6F">
      <w:pPr>
        <w:pStyle w:val="Numberbullet0"/>
        <w:numPr>
          <w:ilvl w:val="0"/>
          <w:numId w:val="28"/>
        </w:numPr>
      </w:pPr>
      <w:r w:rsidRPr="00496F43">
        <w:t>Have failed 1 course of conventional IST and for whom a second course of</w:t>
      </w:r>
      <w:r>
        <w:t xml:space="preserve"> IST would be inappropriate and </w:t>
      </w:r>
      <w:r w:rsidRPr="00496F43">
        <w:t>, in whom,  an allogen</w:t>
      </w:r>
      <w:r>
        <w:t>e</w:t>
      </w:r>
      <w:r w:rsidRPr="00496F43">
        <w:t>ic stem cell transplant is not feasible or inappropriate due to lack of an available donor (see above) or patient co-morbidities</w:t>
      </w:r>
    </w:p>
    <w:p w:rsidR="00C618F7" w:rsidRDefault="00C618F7" w:rsidP="00CE312E">
      <w:pPr>
        <w:pStyle w:val="Heading3"/>
      </w:pPr>
      <w:bookmarkStart w:id="257" w:name="_Toc448221970"/>
      <w:r>
        <w:t>Second round benefit-risk assessment</w:t>
      </w:r>
      <w:bookmarkEnd w:id="257"/>
    </w:p>
    <w:p w:rsidR="00B03F4F" w:rsidRDefault="00B03F4F" w:rsidP="00CE312E">
      <w:pPr>
        <w:pStyle w:val="Heading4"/>
      </w:pPr>
      <w:bookmarkStart w:id="258" w:name="_Toc295132790"/>
      <w:bookmarkStart w:id="259" w:name="_Toc290846349"/>
      <w:bookmarkStart w:id="260" w:name="_Toc272414709"/>
      <w:r>
        <w:t>Second round assessment of benefits</w:t>
      </w:r>
      <w:bookmarkEnd w:id="258"/>
      <w:bookmarkEnd w:id="259"/>
      <w:bookmarkEnd w:id="260"/>
    </w:p>
    <w:p w:rsidR="00B03F4F" w:rsidRDefault="00B03F4F" w:rsidP="00240809">
      <w:proofErr w:type="gramStart"/>
      <w:r>
        <w:t>Availability of a therapy for patients for whom no other appropriate therapy is possible or appropriate.</w:t>
      </w:r>
      <w:proofErr w:type="gramEnd"/>
    </w:p>
    <w:p w:rsidR="00B03F4F" w:rsidRDefault="00B03F4F" w:rsidP="00CE312E">
      <w:pPr>
        <w:pStyle w:val="Heading4"/>
      </w:pPr>
      <w:bookmarkStart w:id="261" w:name="_Toc295132791"/>
      <w:bookmarkStart w:id="262" w:name="_Toc290846350"/>
      <w:bookmarkStart w:id="263" w:name="_Toc272414710"/>
      <w:r>
        <w:t>Second round assessment of risks</w:t>
      </w:r>
      <w:bookmarkEnd w:id="261"/>
      <w:bookmarkEnd w:id="262"/>
      <w:bookmarkEnd w:id="263"/>
    </w:p>
    <w:p w:rsidR="00B03F4F" w:rsidRPr="00C225BF" w:rsidRDefault="00B03F4F" w:rsidP="00C225BF">
      <w:pPr>
        <w:pStyle w:val="Numberbullet0"/>
        <w:numPr>
          <w:ilvl w:val="0"/>
          <w:numId w:val="30"/>
        </w:numPr>
      </w:pPr>
      <w:r w:rsidRPr="00C225BF">
        <w:t xml:space="preserve">See comments </w:t>
      </w:r>
      <w:proofErr w:type="gramStart"/>
      <w:r w:rsidR="00C225BF">
        <w:t>under</w:t>
      </w:r>
      <w:proofErr w:type="gramEnd"/>
      <w:r w:rsidRPr="00C225BF">
        <w:t xml:space="preserve"> </w:t>
      </w:r>
      <w:r w:rsidR="00C225BF" w:rsidRPr="00C225BF">
        <w:rPr>
          <w:i/>
        </w:rPr>
        <w:t xml:space="preserve">1. </w:t>
      </w:r>
      <w:r w:rsidR="00C225BF" w:rsidRPr="00C225BF">
        <w:rPr>
          <w:rFonts w:eastAsiaTheme="minorHAnsi"/>
          <w:i/>
        </w:rPr>
        <w:t>Question</w:t>
      </w:r>
      <w:r w:rsidR="00C225BF" w:rsidRPr="00C225BF">
        <w:rPr>
          <w:i/>
        </w:rPr>
        <w:t xml:space="preserve"> by RMP evaluator</w:t>
      </w:r>
      <w:r w:rsidR="00C225BF" w:rsidRPr="00C225BF">
        <w:t>:</w:t>
      </w:r>
    </w:p>
    <w:p w:rsidR="002638A5" w:rsidRDefault="00B03F4F" w:rsidP="00C225BF">
      <w:pPr>
        <w:pStyle w:val="Numberbullet0"/>
        <w:numPr>
          <w:ilvl w:val="0"/>
          <w:numId w:val="30"/>
        </w:numPr>
      </w:pPr>
      <w:r w:rsidRPr="00C225BF">
        <w:t xml:space="preserve">For patients who have failed only 1 course of IST and for whom neither a second course of IST nor an allogeneic transplant is </w:t>
      </w:r>
      <w:r w:rsidRPr="00C225BF">
        <w:rPr>
          <w:u w:val="single"/>
        </w:rPr>
        <w:t>contr</w:t>
      </w:r>
      <w:r w:rsidRPr="00C225BF">
        <w:t>aindicated there is the potential for replacement, without proof of superiority, of currently accepted second line approaches. A cost benefit analysis should be considered.</w:t>
      </w:r>
    </w:p>
    <w:p w:rsidR="00B03F4F" w:rsidRDefault="00B03F4F" w:rsidP="00CE312E">
      <w:pPr>
        <w:pStyle w:val="Heading4"/>
      </w:pPr>
      <w:r>
        <w:tab/>
      </w:r>
      <w:bookmarkStart w:id="264" w:name="_Toc295132792"/>
      <w:bookmarkStart w:id="265" w:name="_Toc290846351"/>
      <w:bookmarkStart w:id="266" w:name="_Toc272414711"/>
      <w:r>
        <w:t>Second round assessment of benefit-risk balance</w:t>
      </w:r>
      <w:bookmarkEnd w:id="264"/>
      <w:bookmarkEnd w:id="265"/>
      <w:bookmarkEnd w:id="266"/>
    </w:p>
    <w:p w:rsidR="00B03F4F" w:rsidRDefault="00A50F5F" w:rsidP="00CE312E">
      <w:r>
        <w:t>The data c</w:t>
      </w:r>
      <w:r w:rsidR="00B03F4F">
        <w:t>learly</w:t>
      </w:r>
      <w:r>
        <w:t xml:space="preserve"> indicate</w:t>
      </w:r>
      <w:r w:rsidR="00B03F4F">
        <w:t xml:space="preserve"> a benefit for patients with no appropriate alternative (see previous comments)</w:t>
      </w:r>
      <w:r w:rsidR="00CE312E">
        <w:t>.</w:t>
      </w:r>
    </w:p>
    <w:p w:rsidR="00B03F4F" w:rsidRDefault="00B03F4F" w:rsidP="00240809">
      <w:pPr>
        <w:pStyle w:val="Heading2"/>
      </w:pPr>
      <w:r>
        <w:t xml:space="preserve"> </w:t>
      </w:r>
      <w:bookmarkStart w:id="267" w:name="_Toc448221971"/>
      <w:r w:rsidR="00C618F7">
        <w:t>References</w:t>
      </w:r>
      <w:bookmarkStart w:id="268" w:name="_Toc295132798"/>
      <w:bookmarkEnd w:id="1"/>
      <w:bookmarkEnd w:id="0"/>
      <w:bookmarkEnd w:id="3"/>
      <w:r>
        <w:t>-supplied by sponsor</w:t>
      </w:r>
      <w:bookmarkEnd w:id="268"/>
      <w:bookmarkEnd w:id="267"/>
    </w:p>
    <w:p w:rsidR="00B03F4F" w:rsidRDefault="00B03F4F" w:rsidP="00240809">
      <w:pPr>
        <w:ind w:left="720" w:hanging="720"/>
      </w:pPr>
      <w:proofErr w:type="spellStart"/>
      <w:r>
        <w:t>Afdhal</w:t>
      </w:r>
      <w:proofErr w:type="spellEnd"/>
      <w:r>
        <w:t xml:space="preserve"> NH, </w:t>
      </w:r>
      <w:proofErr w:type="spellStart"/>
      <w:r>
        <w:t>Giannini</w:t>
      </w:r>
      <w:proofErr w:type="spellEnd"/>
      <w:r>
        <w:t xml:space="preserve"> EG, </w:t>
      </w:r>
      <w:proofErr w:type="spellStart"/>
      <w:r>
        <w:t>Tayyab</w:t>
      </w:r>
      <w:proofErr w:type="spellEnd"/>
      <w:r>
        <w:t xml:space="preserve"> G, </w:t>
      </w:r>
      <w:proofErr w:type="spellStart"/>
      <w:r>
        <w:t>Mohsin</w:t>
      </w:r>
      <w:proofErr w:type="spellEnd"/>
      <w:r>
        <w:t xml:space="preserve"> A, et al. </w:t>
      </w:r>
      <w:proofErr w:type="spellStart"/>
      <w:r>
        <w:t>Eltrombopag</w:t>
      </w:r>
      <w:proofErr w:type="spellEnd"/>
      <w:r>
        <w:t xml:space="preserve"> before procedures in patients with cirrhosis and thrombocytopenia. N </w:t>
      </w:r>
      <w:proofErr w:type="spellStart"/>
      <w:r>
        <w:t>Engl</w:t>
      </w:r>
      <w:proofErr w:type="spellEnd"/>
      <w:r>
        <w:t xml:space="preserve"> J Med. 2012; 367(21):2056.</w:t>
      </w:r>
    </w:p>
    <w:p w:rsidR="00B03F4F" w:rsidRDefault="00B03F4F" w:rsidP="00240809">
      <w:pPr>
        <w:ind w:left="720" w:hanging="720"/>
      </w:pPr>
      <w:r>
        <w:t xml:space="preserve">Alexander WS, Roberts AW, Nicola NA, Li R, Metcalf D. Deficiencies in progenitor cells of multiple hematopoietic lineages and defective </w:t>
      </w:r>
      <w:proofErr w:type="spellStart"/>
      <w:r>
        <w:t>megakaryocytopoiesis</w:t>
      </w:r>
      <w:proofErr w:type="spellEnd"/>
      <w:r>
        <w:t xml:space="preserve"> in mice lacking the </w:t>
      </w:r>
      <w:proofErr w:type="spellStart"/>
      <w:r>
        <w:t>thrombopoietic</w:t>
      </w:r>
      <w:proofErr w:type="spellEnd"/>
      <w:r>
        <w:t xml:space="preserve"> receptor c-</w:t>
      </w:r>
      <w:proofErr w:type="spellStart"/>
      <w:r>
        <w:t>Mpl</w:t>
      </w:r>
      <w:proofErr w:type="spellEnd"/>
      <w:r>
        <w:t>. Blood 1996;87:2162-70.</w:t>
      </w:r>
    </w:p>
    <w:p w:rsidR="00B03F4F" w:rsidRDefault="00B03F4F" w:rsidP="00240809">
      <w:pPr>
        <w:ind w:left="720" w:hanging="720"/>
      </w:pPr>
      <w:proofErr w:type="spellStart"/>
      <w:proofErr w:type="gramStart"/>
      <w:r>
        <w:t>Camitta</w:t>
      </w:r>
      <w:proofErr w:type="spellEnd"/>
      <w:r>
        <w:t xml:space="preserve"> BM, </w:t>
      </w:r>
      <w:proofErr w:type="spellStart"/>
      <w:r>
        <w:t>Rappeport</w:t>
      </w:r>
      <w:proofErr w:type="spellEnd"/>
      <w:r>
        <w:t xml:space="preserve"> JM, Parkman R and Nathan DG.</w:t>
      </w:r>
      <w:proofErr w:type="gramEnd"/>
      <w:r>
        <w:t xml:space="preserve"> </w:t>
      </w:r>
      <w:proofErr w:type="gramStart"/>
      <w:r>
        <w:t xml:space="preserve">Selection of patients for bone marrow transplantation in severe aplastic </w:t>
      </w:r>
      <w:proofErr w:type="spellStart"/>
      <w:r>
        <w:t>anemia</w:t>
      </w:r>
      <w:proofErr w:type="spellEnd"/>
      <w:r>
        <w:t>.</w:t>
      </w:r>
      <w:proofErr w:type="gramEnd"/>
      <w:r>
        <w:t xml:space="preserve"> Blood 1975; 45(3): 355-363.</w:t>
      </w:r>
    </w:p>
    <w:p w:rsidR="00B03F4F" w:rsidRDefault="00B03F4F" w:rsidP="00240809">
      <w:pPr>
        <w:ind w:left="720" w:hanging="720"/>
      </w:pPr>
      <w:r>
        <w:t xml:space="preserve">Cheng G, Saleh M, Marcher C, </w:t>
      </w:r>
      <w:proofErr w:type="gramStart"/>
      <w:r>
        <w:t>Vasey</w:t>
      </w:r>
      <w:proofErr w:type="gramEnd"/>
      <w:r>
        <w:t xml:space="preserve"> S, et al. </w:t>
      </w:r>
      <w:proofErr w:type="spellStart"/>
      <w:r>
        <w:t>Eltrombopag</w:t>
      </w:r>
      <w:proofErr w:type="spellEnd"/>
      <w:r>
        <w:t xml:space="preserve"> for management of chronic immune thrombocytopenia (RAISE): a 6-month, randomized, phase 3 study. Lancet 2011; 377:393-402.</w:t>
      </w:r>
    </w:p>
    <w:p w:rsidR="00B03F4F" w:rsidRDefault="00B03F4F" w:rsidP="00240809">
      <w:pPr>
        <w:ind w:left="720" w:hanging="720"/>
      </w:pPr>
      <w:r>
        <w:t xml:space="preserve">Erickson-Miller CL, </w:t>
      </w:r>
      <w:proofErr w:type="spellStart"/>
      <w:r>
        <w:t>Kirchnera</w:t>
      </w:r>
      <w:proofErr w:type="spellEnd"/>
      <w:r>
        <w:t xml:space="preserve"> J, </w:t>
      </w:r>
      <w:proofErr w:type="spellStart"/>
      <w:r>
        <w:t>Aivado</w:t>
      </w:r>
      <w:proofErr w:type="spellEnd"/>
      <w:r>
        <w:t xml:space="preserve"> M, </w:t>
      </w:r>
      <w:proofErr w:type="spellStart"/>
      <w:r>
        <w:t>Mayc</w:t>
      </w:r>
      <w:proofErr w:type="spellEnd"/>
      <w:r>
        <w:t xml:space="preserve"> R, </w:t>
      </w:r>
      <w:proofErr w:type="spellStart"/>
      <w:r>
        <w:t>Paynec</w:t>
      </w:r>
      <w:proofErr w:type="spellEnd"/>
      <w:r>
        <w:t xml:space="preserve"> P, </w:t>
      </w:r>
      <w:proofErr w:type="spellStart"/>
      <w:r>
        <w:t>Chadderton</w:t>
      </w:r>
      <w:proofErr w:type="spellEnd"/>
      <w:r>
        <w:t xml:space="preserve"> A. Reduced proliferation of non-megakaryocytic acute myelogenous </w:t>
      </w:r>
      <w:proofErr w:type="spellStart"/>
      <w:r>
        <w:t>leukemia</w:t>
      </w:r>
      <w:proofErr w:type="spellEnd"/>
      <w:r>
        <w:t xml:space="preserve"> and other </w:t>
      </w:r>
      <w:proofErr w:type="spellStart"/>
      <w:r>
        <w:t>leukemia</w:t>
      </w:r>
      <w:proofErr w:type="spellEnd"/>
      <w:r>
        <w:t xml:space="preserve"> and lymphoma cell lines in response to </w:t>
      </w:r>
      <w:proofErr w:type="spellStart"/>
      <w:r>
        <w:t>eltrombopag</w:t>
      </w:r>
      <w:proofErr w:type="spellEnd"/>
      <w:r>
        <w:t xml:space="preserve"> </w:t>
      </w:r>
      <w:proofErr w:type="spellStart"/>
      <w:r>
        <w:t>Leukemia</w:t>
      </w:r>
      <w:proofErr w:type="spellEnd"/>
      <w:r>
        <w:t xml:space="preserve"> Research 2010;34:1224– 1231.</w:t>
      </w:r>
    </w:p>
    <w:p w:rsidR="00B03F4F" w:rsidRDefault="00B03F4F" w:rsidP="00240809">
      <w:pPr>
        <w:ind w:left="720" w:hanging="720"/>
      </w:pPr>
      <w:proofErr w:type="spellStart"/>
      <w:r>
        <w:t>Geddis</w:t>
      </w:r>
      <w:proofErr w:type="spellEnd"/>
      <w:r>
        <w:t xml:space="preserve"> AE. </w:t>
      </w:r>
      <w:proofErr w:type="gramStart"/>
      <w:r>
        <w:t xml:space="preserve">Congenital </w:t>
      </w:r>
      <w:proofErr w:type="spellStart"/>
      <w:r>
        <w:t>amegakaryocytic</w:t>
      </w:r>
      <w:proofErr w:type="spellEnd"/>
      <w:r>
        <w:t xml:space="preserve"> thrombocytopenia.</w:t>
      </w:r>
      <w:proofErr w:type="gramEnd"/>
      <w:r>
        <w:t xml:space="preserve"> </w:t>
      </w:r>
      <w:proofErr w:type="spellStart"/>
      <w:proofErr w:type="gramStart"/>
      <w:r>
        <w:t>Pediatr</w:t>
      </w:r>
      <w:proofErr w:type="spellEnd"/>
      <w:r>
        <w:t xml:space="preserve"> Blood Cancer.</w:t>
      </w:r>
      <w:proofErr w:type="gramEnd"/>
      <w:r>
        <w:t xml:space="preserve"> 2011; 57(2):199-203.</w:t>
      </w:r>
    </w:p>
    <w:p w:rsidR="00B03F4F" w:rsidRDefault="00B03F4F" w:rsidP="00240809">
      <w:pPr>
        <w:ind w:left="720" w:hanging="720"/>
      </w:pPr>
      <w:r>
        <w:t>Gupta, V., Dai Y.</w:t>
      </w:r>
      <w:proofErr w:type="gramStart"/>
      <w:r>
        <w:t>,</w:t>
      </w:r>
      <w:proofErr w:type="spellStart"/>
      <w:r>
        <w:t>Vethanayagam</w:t>
      </w:r>
      <w:proofErr w:type="spellEnd"/>
      <w:proofErr w:type="gramEnd"/>
      <w:r>
        <w:t xml:space="preserve"> R.R., et.al. </w:t>
      </w:r>
      <w:proofErr w:type="spellStart"/>
      <w:r>
        <w:t>Cyclosporin</w:t>
      </w:r>
      <w:proofErr w:type="spellEnd"/>
      <w:r>
        <w:t xml:space="preserve"> A, tacrolimus and </w:t>
      </w:r>
      <w:proofErr w:type="spellStart"/>
      <w:r>
        <w:t>sirolimus</w:t>
      </w:r>
      <w:proofErr w:type="spellEnd"/>
      <w:r>
        <w:t xml:space="preserve"> are potent inhibitors of the human breast cancer resistance protein (ABCG2) and reverse resistance to </w:t>
      </w:r>
      <w:proofErr w:type="spellStart"/>
      <w:r>
        <w:t>mitoxantrone</w:t>
      </w:r>
      <w:proofErr w:type="spellEnd"/>
      <w:r>
        <w:t xml:space="preserve"> and </w:t>
      </w:r>
      <w:proofErr w:type="spellStart"/>
      <w:r>
        <w:t>topotecan</w:t>
      </w:r>
      <w:proofErr w:type="spellEnd"/>
      <w:r>
        <w:t>.</w:t>
      </w:r>
      <w:r w:rsidR="00392749">
        <w:t xml:space="preserve"> </w:t>
      </w:r>
      <w:proofErr w:type="gramStart"/>
      <w:r>
        <w:t xml:space="preserve">Cancer </w:t>
      </w:r>
      <w:proofErr w:type="spellStart"/>
      <w:r>
        <w:t>Chemother</w:t>
      </w:r>
      <w:proofErr w:type="spellEnd"/>
      <w:r>
        <w:t xml:space="preserve"> </w:t>
      </w:r>
      <w:proofErr w:type="spellStart"/>
      <w:r>
        <w:t>Pharmacol</w:t>
      </w:r>
      <w:proofErr w:type="spellEnd"/>
      <w:r>
        <w:t>.</w:t>
      </w:r>
      <w:proofErr w:type="gramEnd"/>
      <w:r>
        <w:t xml:space="preserve"> </w:t>
      </w:r>
      <w:proofErr w:type="gramStart"/>
      <w:r>
        <w:t>2006, 58, 374383.</w:t>
      </w:r>
      <w:proofErr w:type="gramEnd"/>
    </w:p>
    <w:p w:rsidR="00B03F4F" w:rsidRDefault="00B03F4F" w:rsidP="00240809">
      <w:pPr>
        <w:ind w:left="720" w:hanging="720"/>
      </w:pPr>
      <w:proofErr w:type="gramStart"/>
      <w:r>
        <w:lastRenderedPageBreak/>
        <w:t>Gupta, V., Gordon-Smith EC., Cook G., et.al.</w:t>
      </w:r>
      <w:proofErr w:type="gramEnd"/>
      <w:r>
        <w:t xml:space="preserve"> A third course of anti-</w:t>
      </w:r>
      <w:proofErr w:type="spellStart"/>
      <w:r>
        <w:t>thymocyte</w:t>
      </w:r>
      <w:proofErr w:type="spellEnd"/>
      <w:r>
        <w:t xml:space="preserve"> globulin in aplastic anaemia is only beneficial in previous responders. </w:t>
      </w:r>
      <w:proofErr w:type="gramStart"/>
      <w:r>
        <w:t>British Journal of Haematology.</w:t>
      </w:r>
      <w:proofErr w:type="gramEnd"/>
      <w:r>
        <w:t xml:space="preserve"> 2005; 129, 110–117.</w:t>
      </w:r>
    </w:p>
    <w:p w:rsidR="00B03F4F" w:rsidRDefault="00B03F4F" w:rsidP="00240809">
      <w:pPr>
        <w:ind w:left="720" w:hanging="720"/>
      </w:pPr>
      <w:proofErr w:type="gramStart"/>
      <w:r>
        <w:t>Kimura S, Roberts AW, Metcalf D, Alexander WS.</w:t>
      </w:r>
      <w:proofErr w:type="gramEnd"/>
      <w:r>
        <w:t xml:space="preserve"> </w:t>
      </w:r>
      <w:proofErr w:type="gramStart"/>
      <w:r>
        <w:t>Hematopoietic stem cell deficiencies in mice lacking c-</w:t>
      </w:r>
      <w:proofErr w:type="spellStart"/>
      <w:r>
        <w:t>Mpl</w:t>
      </w:r>
      <w:proofErr w:type="spellEnd"/>
      <w:r>
        <w:t xml:space="preserve">, the receptor for </w:t>
      </w:r>
      <w:proofErr w:type="spellStart"/>
      <w:r>
        <w:t>thrombopoietin</w:t>
      </w:r>
      <w:proofErr w:type="spellEnd"/>
      <w:r>
        <w:t>.</w:t>
      </w:r>
      <w:proofErr w:type="gramEnd"/>
      <w:r>
        <w:t xml:space="preserve"> Proc Natl </w:t>
      </w:r>
      <w:proofErr w:type="spellStart"/>
      <w:r>
        <w:t>Acad</w:t>
      </w:r>
      <w:proofErr w:type="spellEnd"/>
      <w:r>
        <w:t xml:space="preserve"> </w:t>
      </w:r>
      <w:proofErr w:type="spellStart"/>
      <w:r>
        <w:t>Sci</w:t>
      </w:r>
      <w:proofErr w:type="spellEnd"/>
      <w:r>
        <w:t xml:space="preserve"> U S A. 1998</w:t>
      </w:r>
      <w:proofErr w:type="gramStart"/>
      <w:r>
        <w:t>;95</w:t>
      </w:r>
      <w:proofErr w:type="gramEnd"/>
      <w:r>
        <w:t>(3): 1195-200.</w:t>
      </w:r>
    </w:p>
    <w:p w:rsidR="00B03F4F" w:rsidRDefault="00B03F4F" w:rsidP="00240809">
      <w:pPr>
        <w:ind w:left="720" w:hanging="720"/>
      </w:pPr>
      <w:proofErr w:type="spellStart"/>
      <w:proofErr w:type="gramStart"/>
      <w:r>
        <w:t>Maciejewski</w:t>
      </w:r>
      <w:proofErr w:type="spellEnd"/>
      <w:r>
        <w:t xml:space="preserve"> JP and </w:t>
      </w:r>
      <w:proofErr w:type="spellStart"/>
      <w:r>
        <w:t>Selleri</w:t>
      </w:r>
      <w:proofErr w:type="spellEnd"/>
      <w:r>
        <w:t xml:space="preserve"> C. Evolution of Clonal Cytogenetic Abnormalities in Aplastic </w:t>
      </w:r>
      <w:proofErr w:type="spellStart"/>
      <w:r>
        <w:t>Anemia</w:t>
      </w:r>
      <w:proofErr w:type="spellEnd"/>
      <w:r>
        <w:t>.</w:t>
      </w:r>
      <w:proofErr w:type="gramEnd"/>
      <w:r w:rsidR="00392749">
        <w:t xml:space="preserve"> </w:t>
      </w:r>
      <w:proofErr w:type="spellStart"/>
      <w:r>
        <w:t>Leukemia</w:t>
      </w:r>
      <w:proofErr w:type="spellEnd"/>
      <w:r>
        <w:t xml:space="preserve"> and Lymphoma 2004</w:t>
      </w:r>
      <w:proofErr w:type="gramStart"/>
      <w:r>
        <w:t>;45:433</w:t>
      </w:r>
      <w:proofErr w:type="gramEnd"/>
      <w:r>
        <w:t>-440.</w:t>
      </w:r>
    </w:p>
    <w:p w:rsidR="00B03F4F" w:rsidRDefault="00B03F4F" w:rsidP="00240809">
      <w:pPr>
        <w:ind w:left="720" w:hanging="720"/>
      </w:pPr>
      <w:proofErr w:type="spellStart"/>
      <w:r>
        <w:t>Maciejewski</w:t>
      </w:r>
      <w:proofErr w:type="spellEnd"/>
      <w:r>
        <w:t xml:space="preserve"> JP, </w:t>
      </w:r>
      <w:proofErr w:type="spellStart"/>
      <w:r>
        <w:t>Risitano</w:t>
      </w:r>
      <w:proofErr w:type="spellEnd"/>
      <w:r>
        <w:t xml:space="preserve"> A, </w:t>
      </w:r>
      <w:proofErr w:type="spellStart"/>
      <w:r>
        <w:t>Sloand</w:t>
      </w:r>
      <w:proofErr w:type="spellEnd"/>
      <w:r>
        <w:t xml:space="preserve"> EM, Nunez O, Young NS. </w:t>
      </w:r>
      <w:proofErr w:type="gramStart"/>
      <w:r>
        <w:t xml:space="preserve">Distinct clinical outcomes for cytogenetic abnormalities evolving from aplastic </w:t>
      </w:r>
      <w:proofErr w:type="spellStart"/>
      <w:r>
        <w:t>anemia</w:t>
      </w:r>
      <w:proofErr w:type="spellEnd"/>
      <w:r>
        <w:t>.</w:t>
      </w:r>
      <w:proofErr w:type="gramEnd"/>
      <w:r>
        <w:t xml:space="preserve"> </w:t>
      </w:r>
      <w:proofErr w:type="gramStart"/>
      <w:r>
        <w:t>Blood.</w:t>
      </w:r>
      <w:proofErr w:type="gramEnd"/>
      <w:r>
        <w:t xml:space="preserve"> </w:t>
      </w:r>
      <w:proofErr w:type="gramStart"/>
      <w:r>
        <w:t>2002; 99: 31293135.</w:t>
      </w:r>
      <w:proofErr w:type="gramEnd"/>
    </w:p>
    <w:p w:rsidR="00B03F4F" w:rsidRDefault="00B03F4F" w:rsidP="00240809">
      <w:pPr>
        <w:ind w:left="720" w:hanging="720"/>
      </w:pPr>
      <w:r>
        <w:t xml:space="preserve">Marsh JC, </w:t>
      </w:r>
      <w:proofErr w:type="spellStart"/>
      <w:r>
        <w:t>Bacigalupo</w:t>
      </w:r>
      <w:proofErr w:type="spellEnd"/>
      <w:r>
        <w:t xml:space="preserve"> A, </w:t>
      </w:r>
      <w:proofErr w:type="spellStart"/>
      <w:r>
        <w:t>Schrezenmeier</w:t>
      </w:r>
      <w:proofErr w:type="spellEnd"/>
      <w:r>
        <w:t xml:space="preserve"> H, </w:t>
      </w:r>
      <w:proofErr w:type="spellStart"/>
      <w:r>
        <w:t>Tichelli</w:t>
      </w:r>
      <w:proofErr w:type="spellEnd"/>
      <w:r>
        <w:t xml:space="preserve"> A, </w:t>
      </w:r>
      <w:proofErr w:type="spellStart"/>
      <w:r>
        <w:t>Risitano</w:t>
      </w:r>
      <w:proofErr w:type="spellEnd"/>
      <w:r>
        <w:t xml:space="preserve"> AM, et al. Prospective study of rabbit </w:t>
      </w:r>
      <w:proofErr w:type="spellStart"/>
      <w:r>
        <w:t>antithymocyte</w:t>
      </w:r>
      <w:proofErr w:type="spellEnd"/>
      <w:r>
        <w:t xml:space="preserve"> globulin and cyclosporine for aplastic </w:t>
      </w:r>
      <w:proofErr w:type="spellStart"/>
      <w:r>
        <w:t>anemia</w:t>
      </w:r>
      <w:proofErr w:type="spellEnd"/>
      <w:r>
        <w:t xml:space="preserve"> from the EBMT Severe Aplastic Anaemia Working Party. Blood 2012</w:t>
      </w:r>
      <w:proofErr w:type="gramStart"/>
      <w:r>
        <w:t>;119:5391</w:t>
      </w:r>
      <w:proofErr w:type="gramEnd"/>
      <w:r>
        <w:t>-5396.</w:t>
      </w:r>
    </w:p>
    <w:p w:rsidR="00B03F4F" w:rsidRDefault="00B03F4F" w:rsidP="00240809">
      <w:pPr>
        <w:ind w:left="720" w:hanging="720"/>
      </w:pPr>
      <w:proofErr w:type="gramStart"/>
      <w:r>
        <w:t xml:space="preserve">Marsh JCW and </w:t>
      </w:r>
      <w:proofErr w:type="spellStart"/>
      <w:r>
        <w:t>Kulasekararaj</w:t>
      </w:r>
      <w:proofErr w:type="spellEnd"/>
      <w:r>
        <w:t xml:space="preserve"> AG.</w:t>
      </w:r>
      <w:proofErr w:type="gramEnd"/>
      <w:r>
        <w:t xml:space="preserve"> Management of the Refractory Aplastic </w:t>
      </w:r>
      <w:proofErr w:type="spellStart"/>
      <w:r>
        <w:t>Anemia</w:t>
      </w:r>
      <w:proofErr w:type="spellEnd"/>
      <w:r>
        <w:t xml:space="preserve"> Patient: What are the Options? Blood 2013</w:t>
      </w:r>
      <w:proofErr w:type="gramStart"/>
      <w:r>
        <w:t>;122:3561</w:t>
      </w:r>
      <w:proofErr w:type="gramEnd"/>
      <w:r>
        <w:t>-3567.</w:t>
      </w:r>
    </w:p>
    <w:p w:rsidR="00B03F4F" w:rsidRDefault="00B03F4F" w:rsidP="00240809">
      <w:pPr>
        <w:ind w:left="720" w:hanging="720"/>
      </w:pPr>
      <w:r>
        <w:t xml:space="preserve">Marsh JCW, Ball SE, </w:t>
      </w:r>
      <w:proofErr w:type="spellStart"/>
      <w:r>
        <w:t>Cavenagh</w:t>
      </w:r>
      <w:proofErr w:type="spellEnd"/>
      <w:r>
        <w:t xml:space="preserve"> J, </w:t>
      </w:r>
      <w:proofErr w:type="spellStart"/>
      <w:r>
        <w:t>Darbyshire</w:t>
      </w:r>
      <w:proofErr w:type="spellEnd"/>
      <w:r>
        <w:t xml:space="preserve"> P, </w:t>
      </w:r>
      <w:proofErr w:type="spellStart"/>
      <w:r>
        <w:t>Dokal</w:t>
      </w:r>
      <w:proofErr w:type="spellEnd"/>
      <w:r>
        <w:t xml:space="preserve"> I, et al. Guidelines for the diagnosis and management of aplastic </w:t>
      </w:r>
      <w:proofErr w:type="spellStart"/>
      <w:r>
        <w:t>anemia</w:t>
      </w:r>
      <w:proofErr w:type="spellEnd"/>
      <w:r>
        <w:t xml:space="preserve">. </w:t>
      </w:r>
      <w:proofErr w:type="gramStart"/>
      <w:r>
        <w:t xml:space="preserve">Br J </w:t>
      </w:r>
      <w:proofErr w:type="spellStart"/>
      <w:r>
        <w:t>Haematol</w:t>
      </w:r>
      <w:proofErr w:type="spellEnd"/>
      <w:r>
        <w:t>.</w:t>
      </w:r>
      <w:proofErr w:type="gramEnd"/>
      <w:r>
        <w:t xml:space="preserve"> </w:t>
      </w:r>
      <w:proofErr w:type="gramStart"/>
      <w:r>
        <w:t>2009; 147:43-70.</w:t>
      </w:r>
      <w:proofErr w:type="gramEnd"/>
      <w:r w:rsidR="00392749">
        <w:t xml:space="preserve"> </w:t>
      </w:r>
      <w:proofErr w:type="gramStart"/>
      <w:r>
        <w:t>Metcalf, D.</w:t>
      </w:r>
      <w:proofErr w:type="gramEnd"/>
      <w:r>
        <w:t xml:space="preserve"> </w:t>
      </w:r>
      <w:proofErr w:type="gramStart"/>
      <w:r>
        <w:t xml:space="preserve">A promising new treatment for refractory aplastic </w:t>
      </w:r>
      <w:proofErr w:type="spellStart"/>
      <w:r>
        <w:t>anemia</w:t>
      </w:r>
      <w:proofErr w:type="spellEnd"/>
      <w:r>
        <w:t>.</w:t>
      </w:r>
      <w:proofErr w:type="gramEnd"/>
      <w:r>
        <w:t xml:space="preserve"> </w:t>
      </w:r>
      <w:proofErr w:type="gramStart"/>
      <w:r>
        <w:t>NEJM.</w:t>
      </w:r>
      <w:proofErr w:type="gramEnd"/>
      <w:r>
        <w:t xml:space="preserve"> 2012; 367(1) 74-75.</w:t>
      </w:r>
    </w:p>
    <w:p w:rsidR="00B03F4F" w:rsidRDefault="00B03F4F" w:rsidP="00240809">
      <w:pPr>
        <w:ind w:left="720" w:hanging="720"/>
      </w:pPr>
      <w:r>
        <w:t xml:space="preserve">Qian H, </w:t>
      </w:r>
      <w:proofErr w:type="spellStart"/>
      <w:r>
        <w:t>Buza-Vidas</w:t>
      </w:r>
      <w:proofErr w:type="spellEnd"/>
      <w:r>
        <w:t xml:space="preserve"> N, Hyland CD, et al. Critical role of </w:t>
      </w:r>
      <w:proofErr w:type="spellStart"/>
      <w:r>
        <w:t>thrombopoietin</w:t>
      </w:r>
      <w:proofErr w:type="spellEnd"/>
      <w:r>
        <w:t xml:space="preserve"> in maintaining adult quiescent hematopoietic stem cells. Cell Stem Cell. 2007; 1(6):671-84.</w:t>
      </w:r>
    </w:p>
    <w:p w:rsidR="00B03F4F" w:rsidRDefault="00B03F4F" w:rsidP="00240809">
      <w:pPr>
        <w:ind w:left="720" w:hanging="720"/>
      </w:pPr>
      <w:r>
        <w:t xml:space="preserve">Rosenfeld S, </w:t>
      </w:r>
      <w:proofErr w:type="spellStart"/>
      <w:r>
        <w:t>Follmann</w:t>
      </w:r>
      <w:proofErr w:type="spellEnd"/>
      <w:r>
        <w:t xml:space="preserve"> D, Nunez O, Young NS. </w:t>
      </w:r>
      <w:proofErr w:type="spellStart"/>
      <w:r>
        <w:t>Antithymocyte</w:t>
      </w:r>
      <w:proofErr w:type="spellEnd"/>
      <w:r>
        <w:t xml:space="preserve"> globulin and cyclosporine for severe aplastic </w:t>
      </w:r>
      <w:proofErr w:type="spellStart"/>
      <w:r>
        <w:t>anemia</w:t>
      </w:r>
      <w:proofErr w:type="spellEnd"/>
      <w:r>
        <w:t>: association between hematologic response and long-term outcome. JAMA 2003; 289:1130–1135.</w:t>
      </w:r>
    </w:p>
    <w:p w:rsidR="00B03F4F" w:rsidRDefault="00B03F4F" w:rsidP="00240809">
      <w:pPr>
        <w:ind w:left="720" w:hanging="720"/>
      </w:pPr>
      <w:proofErr w:type="spellStart"/>
      <w:proofErr w:type="gramStart"/>
      <w:r>
        <w:t>Scheinberg</w:t>
      </w:r>
      <w:proofErr w:type="spellEnd"/>
      <w:r>
        <w:t xml:space="preserve"> P and Young NS.</w:t>
      </w:r>
      <w:proofErr w:type="gramEnd"/>
      <w:r>
        <w:t xml:space="preserve"> How I Treat Acquired Aplastic </w:t>
      </w:r>
      <w:proofErr w:type="spellStart"/>
      <w:r>
        <w:t>Anemia</w:t>
      </w:r>
      <w:proofErr w:type="spellEnd"/>
      <w:r>
        <w:t>. Blood 2012b; 120:1185-1196.</w:t>
      </w:r>
    </w:p>
    <w:p w:rsidR="00B03F4F" w:rsidRDefault="00B03F4F" w:rsidP="00240809">
      <w:pPr>
        <w:ind w:left="720" w:hanging="720"/>
      </w:pPr>
      <w:proofErr w:type="spellStart"/>
      <w:r>
        <w:t>Scheinberg</w:t>
      </w:r>
      <w:proofErr w:type="spellEnd"/>
      <w:r>
        <w:t xml:space="preserve"> P, Nunez O, Weinstein B, et al. Horse versus rabbit </w:t>
      </w:r>
      <w:proofErr w:type="spellStart"/>
      <w:r>
        <w:t>antithymocyte</w:t>
      </w:r>
      <w:proofErr w:type="spellEnd"/>
      <w:r>
        <w:t xml:space="preserve"> globulin in \</w:t>
      </w:r>
      <w:proofErr w:type="spellStart"/>
      <w:r>
        <w:t>acqired</w:t>
      </w:r>
      <w:proofErr w:type="spellEnd"/>
      <w:r>
        <w:t xml:space="preserve"> aplastic </w:t>
      </w:r>
      <w:proofErr w:type="spellStart"/>
      <w:r>
        <w:t>anemia</w:t>
      </w:r>
      <w:proofErr w:type="spellEnd"/>
      <w:r>
        <w:t xml:space="preserve">. New </w:t>
      </w:r>
      <w:proofErr w:type="spellStart"/>
      <w:r>
        <w:t>Engl</w:t>
      </w:r>
      <w:proofErr w:type="spellEnd"/>
      <w:r>
        <w:t xml:space="preserve"> J Med. 2011</w:t>
      </w:r>
      <w:proofErr w:type="gramStart"/>
      <w:r>
        <w:t>;365:430</w:t>
      </w:r>
      <w:proofErr w:type="gramEnd"/>
      <w:r>
        <w:t>-438.</w:t>
      </w:r>
    </w:p>
    <w:p w:rsidR="00B03F4F" w:rsidRDefault="00B03F4F" w:rsidP="00240809">
      <w:pPr>
        <w:ind w:left="720" w:hanging="720"/>
      </w:pPr>
      <w:proofErr w:type="spellStart"/>
      <w:proofErr w:type="gramStart"/>
      <w:r>
        <w:t>Scheinberg</w:t>
      </w:r>
      <w:proofErr w:type="spellEnd"/>
      <w:r>
        <w:t xml:space="preserve"> P, Nunez O, Weinstein B, </w:t>
      </w:r>
      <w:proofErr w:type="spellStart"/>
      <w:r>
        <w:t>Scheinberg</w:t>
      </w:r>
      <w:proofErr w:type="spellEnd"/>
      <w:r>
        <w:t xml:space="preserve"> P, Wu CO, Young NS.</w:t>
      </w:r>
      <w:proofErr w:type="gramEnd"/>
      <w:r>
        <w:t xml:space="preserve"> Activity of </w:t>
      </w:r>
      <w:proofErr w:type="spellStart"/>
      <w:r>
        <w:t>alemtuzumab</w:t>
      </w:r>
      <w:proofErr w:type="spellEnd"/>
      <w:r>
        <w:t xml:space="preserve"> monotherapy in treatment-naive, relapsed, and refractory severe acquired aplastic </w:t>
      </w:r>
      <w:proofErr w:type="spellStart"/>
      <w:r>
        <w:t>anemia</w:t>
      </w:r>
      <w:proofErr w:type="spellEnd"/>
      <w:r>
        <w:t xml:space="preserve">. </w:t>
      </w:r>
      <w:proofErr w:type="gramStart"/>
      <w:r>
        <w:t>Blood.</w:t>
      </w:r>
      <w:proofErr w:type="gramEnd"/>
      <w:r>
        <w:t xml:space="preserve"> 2012a; 119(2):345-354.</w:t>
      </w:r>
    </w:p>
    <w:p w:rsidR="00B03F4F" w:rsidRDefault="00B03F4F" w:rsidP="00240809">
      <w:pPr>
        <w:ind w:left="720" w:hanging="720"/>
      </w:pPr>
      <w:proofErr w:type="spellStart"/>
      <w:proofErr w:type="gramStart"/>
      <w:r>
        <w:t>Scheinberg</w:t>
      </w:r>
      <w:proofErr w:type="spellEnd"/>
      <w:r>
        <w:t xml:space="preserve"> P, Nunez O, Wu C and Young NS.</w:t>
      </w:r>
      <w:proofErr w:type="gramEnd"/>
      <w:r>
        <w:t xml:space="preserve"> Treatment of Severe Aplastic </w:t>
      </w:r>
      <w:proofErr w:type="spellStart"/>
      <w:r>
        <w:t>Anemia</w:t>
      </w:r>
      <w:proofErr w:type="spellEnd"/>
      <w:r>
        <w:t xml:space="preserve"> with Combined Immunosuppression: Anti-</w:t>
      </w:r>
      <w:proofErr w:type="spellStart"/>
      <w:r>
        <w:t>thymocyte</w:t>
      </w:r>
      <w:proofErr w:type="spellEnd"/>
      <w:r>
        <w:t xml:space="preserve"> globulin, </w:t>
      </w:r>
      <w:proofErr w:type="spellStart"/>
      <w:r>
        <w:t>ciclosporin</w:t>
      </w:r>
      <w:proofErr w:type="spellEnd"/>
      <w:r>
        <w:t xml:space="preserve"> and mycophenolate </w:t>
      </w:r>
      <w:proofErr w:type="spellStart"/>
      <w:r>
        <w:t>mofetil</w:t>
      </w:r>
      <w:proofErr w:type="spellEnd"/>
      <w:r>
        <w:t xml:space="preserve">. Brit J </w:t>
      </w:r>
      <w:proofErr w:type="spellStart"/>
      <w:r>
        <w:t>Hemat</w:t>
      </w:r>
      <w:proofErr w:type="spellEnd"/>
      <w:r>
        <w:t xml:space="preserve"> 2006</w:t>
      </w:r>
      <w:proofErr w:type="gramStart"/>
      <w:r>
        <w:t>;133:606</w:t>
      </w:r>
      <w:proofErr w:type="gramEnd"/>
      <w:r>
        <w:t>-611.</w:t>
      </w:r>
    </w:p>
    <w:p w:rsidR="00B03F4F" w:rsidRDefault="00B03F4F" w:rsidP="00240809">
      <w:pPr>
        <w:ind w:left="720" w:hanging="720"/>
      </w:pPr>
      <w:proofErr w:type="spellStart"/>
      <w:r>
        <w:t>Scheinberg</w:t>
      </w:r>
      <w:proofErr w:type="spellEnd"/>
      <w:r>
        <w:t xml:space="preserve"> P, </w:t>
      </w:r>
      <w:proofErr w:type="spellStart"/>
      <w:r>
        <w:t>Townsley</w:t>
      </w:r>
      <w:proofErr w:type="spellEnd"/>
      <w:r>
        <w:t xml:space="preserve"> D, </w:t>
      </w:r>
      <w:proofErr w:type="spellStart"/>
      <w:r>
        <w:t>Dumitrriu</w:t>
      </w:r>
      <w:proofErr w:type="spellEnd"/>
      <w:r>
        <w:t xml:space="preserve"> B, </w:t>
      </w:r>
      <w:proofErr w:type="spellStart"/>
      <w:r>
        <w:t>Scheinberg</w:t>
      </w:r>
      <w:proofErr w:type="spellEnd"/>
      <w:r>
        <w:t xml:space="preserve"> P, Weinstein B, et al. Horse </w:t>
      </w:r>
      <w:proofErr w:type="spellStart"/>
      <w:r>
        <w:t>Antithymocyte</w:t>
      </w:r>
      <w:proofErr w:type="spellEnd"/>
      <w:r>
        <w:t xml:space="preserve"> Globulin as Salvage Therapy after Rabbit </w:t>
      </w:r>
      <w:proofErr w:type="spellStart"/>
      <w:r>
        <w:t>Antithymocyte</w:t>
      </w:r>
      <w:proofErr w:type="spellEnd"/>
      <w:r>
        <w:t xml:space="preserve"> Globulin for Severe Aplastic </w:t>
      </w:r>
      <w:proofErr w:type="spellStart"/>
      <w:r>
        <w:t>Anemia</w:t>
      </w:r>
      <w:proofErr w:type="spellEnd"/>
      <w:r>
        <w:t xml:space="preserve">. Am J </w:t>
      </w:r>
      <w:proofErr w:type="spellStart"/>
      <w:r>
        <w:t>Hemat</w:t>
      </w:r>
      <w:proofErr w:type="spellEnd"/>
      <w:r>
        <w:t xml:space="preserve"> 2014; Accepted Article, </w:t>
      </w:r>
      <w:proofErr w:type="spellStart"/>
      <w:r>
        <w:t>doi</w:t>
      </w:r>
      <w:proofErr w:type="spellEnd"/>
      <w:r>
        <w:t>: 10.1002/ajh.23669.</w:t>
      </w:r>
    </w:p>
    <w:p w:rsidR="00B03F4F" w:rsidRDefault="00B03F4F" w:rsidP="00240809">
      <w:pPr>
        <w:ind w:left="720" w:hanging="720"/>
      </w:pPr>
      <w:proofErr w:type="spellStart"/>
      <w:r>
        <w:t>Scheinberg</w:t>
      </w:r>
      <w:proofErr w:type="spellEnd"/>
      <w:r>
        <w:t xml:space="preserve"> P, Wu CO, Nunez O, </w:t>
      </w:r>
      <w:proofErr w:type="spellStart"/>
      <w:r>
        <w:t>ScheinbergP</w:t>
      </w:r>
      <w:proofErr w:type="spellEnd"/>
      <w:r>
        <w:t xml:space="preserve">, Boss C, et al. Treatment of severe aplastic </w:t>
      </w:r>
      <w:proofErr w:type="spellStart"/>
      <w:r>
        <w:t>anemia</w:t>
      </w:r>
      <w:proofErr w:type="spellEnd"/>
      <w:r>
        <w:t xml:space="preserve"> with a combination of horse </w:t>
      </w:r>
      <w:proofErr w:type="spellStart"/>
      <w:r>
        <w:t>antithymocyte</w:t>
      </w:r>
      <w:proofErr w:type="spellEnd"/>
      <w:r>
        <w:t xml:space="preserve"> globulin and cyclosporine, with or without </w:t>
      </w:r>
      <w:proofErr w:type="spellStart"/>
      <w:r>
        <w:t>sirolimus</w:t>
      </w:r>
      <w:proofErr w:type="spellEnd"/>
      <w:r>
        <w:t xml:space="preserve">: a prospective randomized study. </w:t>
      </w:r>
      <w:proofErr w:type="spellStart"/>
      <w:r>
        <w:t>Haematologica</w:t>
      </w:r>
      <w:proofErr w:type="spellEnd"/>
      <w:r>
        <w:t xml:space="preserve"> 2009</w:t>
      </w:r>
      <w:proofErr w:type="gramStart"/>
      <w:r>
        <w:t>;94:348</w:t>
      </w:r>
      <w:proofErr w:type="gramEnd"/>
      <w:r>
        <w:t>-354.</w:t>
      </w:r>
    </w:p>
    <w:p w:rsidR="00B03F4F" w:rsidRDefault="00B03F4F" w:rsidP="00240809">
      <w:pPr>
        <w:ind w:left="720" w:hanging="720"/>
      </w:pPr>
      <w:proofErr w:type="spellStart"/>
      <w:r>
        <w:t>Socie</w:t>
      </w:r>
      <w:proofErr w:type="spellEnd"/>
      <w:r>
        <w:t xml:space="preserve"> G. Allogeneic BM Transplantation for the Treatment of Aplastic </w:t>
      </w:r>
      <w:proofErr w:type="spellStart"/>
      <w:r>
        <w:t>Anemia</w:t>
      </w:r>
      <w:proofErr w:type="spellEnd"/>
      <w:r>
        <w:t xml:space="preserve">: Current Results and Expanding Donor Possibilities. </w:t>
      </w:r>
      <w:proofErr w:type="gramStart"/>
      <w:r>
        <w:t xml:space="preserve">Aplastic </w:t>
      </w:r>
      <w:proofErr w:type="spellStart"/>
      <w:r>
        <w:t>Anemia</w:t>
      </w:r>
      <w:proofErr w:type="spellEnd"/>
      <w:r>
        <w:t>, ASH Education Book 2013; pp82-86.</w:t>
      </w:r>
      <w:proofErr w:type="gramEnd"/>
    </w:p>
    <w:p w:rsidR="00B03F4F" w:rsidRDefault="00B03F4F" w:rsidP="00240809">
      <w:pPr>
        <w:ind w:left="720" w:hanging="720"/>
      </w:pPr>
      <w:r>
        <w:t xml:space="preserve">Sun, H, Tsai, Y, Nowak, I, </w:t>
      </w:r>
      <w:proofErr w:type="spellStart"/>
      <w:r>
        <w:t>Liesveld</w:t>
      </w:r>
      <w:proofErr w:type="spellEnd"/>
      <w:r>
        <w:t xml:space="preserve">, J, Chen, Y, </w:t>
      </w:r>
      <w:proofErr w:type="spellStart"/>
      <w:r>
        <w:t>Eltrombopag</w:t>
      </w:r>
      <w:proofErr w:type="spellEnd"/>
      <w:r>
        <w:t xml:space="preserve">, a </w:t>
      </w:r>
      <w:proofErr w:type="spellStart"/>
      <w:r>
        <w:t>thrombopoietin</w:t>
      </w:r>
      <w:proofErr w:type="spellEnd"/>
      <w:r>
        <w:t xml:space="preserve"> receptor agonist, enhances human umbilical cord blood hematopoietic stem/primitive progenitor cell expansion and promotes multi-lineage </w:t>
      </w:r>
      <w:proofErr w:type="spellStart"/>
      <w:r>
        <w:t>hematopoiesis</w:t>
      </w:r>
      <w:proofErr w:type="spellEnd"/>
      <w:r>
        <w:t xml:space="preserve">, Stem Cell Research (2012), </w:t>
      </w:r>
      <w:proofErr w:type="spellStart"/>
      <w:r>
        <w:t>doi</w:t>
      </w:r>
      <w:proofErr w:type="spellEnd"/>
      <w:r>
        <w:t>: 10.1016/j.scr.2012.05.001.</w:t>
      </w:r>
    </w:p>
    <w:p w:rsidR="00B03F4F" w:rsidRDefault="00B03F4F" w:rsidP="00240809">
      <w:pPr>
        <w:ind w:left="720" w:hanging="720"/>
      </w:pPr>
      <w:proofErr w:type="spellStart"/>
      <w:r>
        <w:lastRenderedPageBreak/>
        <w:t>Tichelli</w:t>
      </w:r>
      <w:proofErr w:type="spellEnd"/>
      <w:r>
        <w:t xml:space="preserve"> A, </w:t>
      </w:r>
      <w:proofErr w:type="spellStart"/>
      <w:r>
        <w:t>Schrezenmeier</w:t>
      </w:r>
      <w:proofErr w:type="spellEnd"/>
      <w:r>
        <w:t xml:space="preserve"> H, </w:t>
      </w:r>
      <w:proofErr w:type="spellStart"/>
      <w:r>
        <w:t>Socié</w:t>
      </w:r>
      <w:proofErr w:type="spellEnd"/>
      <w:r>
        <w:t xml:space="preserve"> G, Marsh J, </w:t>
      </w:r>
      <w:proofErr w:type="spellStart"/>
      <w:r>
        <w:t>Bacigalupo</w:t>
      </w:r>
      <w:proofErr w:type="spellEnd"/>
      <w:r>
        <w:t xml:space="preserve"> A, et al. A randomized controlled study in patients with newly diagnosed severe aplastic </w:t>
      </w:r>
      <w:proofErr w:type="spellStart"/>
      <w:r>
        <w:t>anemia</w:t>
      </w:r>
      <w:proofErr w:type="spellEnd"/>
      <w:r>
        <w:t xml:space="preserve"> receiving </w:t>
      </w:r>
      <w:proofErr w:type="spellStart"/>
      <w:r>
        <w:t>antithymocyte</w:t>
      </w:r>
      <w:proofErr w:type="spellEnd"/>
      <w:r>
        <w:t xml:space="preserve"> globulin (ATG), cyclosporine with or without G-CSF: a study of the SAA Working Party of the European Group for Blood and Marrow Transplantation. Blood 2011</w:t>
      </w:r>
      <w:proofErr w:type="gramStart"/>
      <w:r>
        <w:t>;117:4434</w:t>
      </w:r>
      <w:proofErr w:type="gramEnd"/>
      <w:r>
        <w:t>-4441.</w:t>
      </w:r>
    </w:p>
    <w:p w:rsidR="00B03F4F" w:rsidRDefault="00B03F4F" w:rsidP="00240809">
      <w:pPr>
        <w:ind w:left="720" w:hanging="720"/>
      </w:pPr>
      <w:proofErr w:type="gramStart"/>
      <w:r>
        <w:t xml:space="preserve">Valdez JM, </w:t>
      </w:r>
      <w:proofErr w:type="spellStart"/>
      <w:r>
        <w:t>Scheinberg</w:t>
      </w:r>
      <w:proofErr w:type="spellEnd"/>
      <w:r>
        <w:t xml:space="preserve"> P, Nunez O, Wu CO, Young NS and Walsh TJ.</w:t>
      </w:r>
      <w:proofErr w:type="gramEnd"/>
      <w:r>
        <w:t xml:space="preserve"> Decreased Infection-Related Mortality and Improved Survival in Severe Aplastic </w:t>
      </w:r>
      <w:proofErr w:type="spellStart"/>
      <w:r>
        <w:t>Anemia</w:t>
      </w:r>
      <w:proofErr w:type="spellEnd"/>
      <w:r>
        <w:t xml:space="preserve"> in the Past Two Decades. Clinical Infectious Diseases 2011</w:t>
      </w:r>
      <w:proofErr w:type="gramStart"/>
      <w:r>
        <w:t>;52</w:t>
      </w:r>
      <w:proofErr w:type="gramEnd"/>
      <w:r>
        <w:t>(6):726–735.</w:t>
      </w:r>
    </w:p>
    <w:p w:rsidR="00B03F4F" w:rsidRDefault="00B03F4F" w:rsidP="00240809">
      <w:pPr>
        <w:ind w:left="720" w:hanging="720"/>
      </w:pPr>
      <w:proofErr w:type="gramStart"/>
      <w:r>
        <w:t>Young NS and Kaufman DW.</w:t>
      </w:r>
      <w:proofErr w:type="gramEnd"/>
      <w:r>
        <w:t xml:space="preserve"> </w:t>
      </w:r>
      <w:proofErr w:type="gramStart"/>
      <w:r>
        <w:t xml:space="preserve">The Epidemiology of Acquired Aplastic </w:t>
      </w:r>
      <w:proofErr w:type="spellStart"/>
      <w:r>
        <w:t>Anemia</w:t>
      </w:r>
      <w:proofErr w:type="spellEnd"/>
      <w:r>
        <w:t>.</w:t>
      </w:r>
      <w:proofErr w:type="gramEnd"/>
      <w:r>
        <w:t xml:space="preserve"> </w:t>
      </w:r>
      <w:proofErr w:type="spellStart"/>
      <w:r>
        <w:t>Hematologica</w:t>
      </w:r>
      <w:proofErr w:type="spellEnd"/>
      <w:r>
        <w:t xml:space="preserve"> 2008</w:t>
      </w:r>
      <w:proofErr w:type="gramStart"/>
      <w:r>
        <w:t>;93:489</w:t>
      </w:r>
      <w:proofErr w:type="gramEnd"/>
      <w:r>
        <w:t>-492.</w:t>
      </w:r>
    </w:p>
    <w:p w:rsidR="00B03F4F" w:rsidRDefault="00B03F4F" w:rsidP="00240809">
      <w:pPr>
        <w:ind w:left="720" w:hanging="720"/>
      </w:pPr>
      <w:proofErr w:type="gramStart"/>
      <w:r>
        <w:t xml:space="preserve">Zeigler FC, de </w:t>
      </w:r>
      <w:proofErr w:type="spellStart"/>
      <w:r>
        <w:t>Sauvage</w:t>
      </w:r>
      <w:proofErr w:type="spellEnd"/>
      <w:r>
        <w:t xml:space="preserve"> F, </w:t>
      </w:r>
      <w:proofErr w:type="spellStart"/>
      <w:r>
        <w:t>Widmer</w:t>
      </w:r>
      <w:proofErr w:type="spellEnd"/>
      <w:r>
        <w:t xml:space="preserve"> HR, et al.</w:t>
      </w:r>
      <w:proofErr w:type="gramEnd"/>
      <w:r>
        <w:t xml:space="preserve"> In vitro </w:t>
      </w:r>
      <w:proofErr w:type="spellStart"/>
      <w:r>
        <w:t>megakaryocytopoietic</w:t>
      </w:r>
      <w:proofErr w:type="spellEnd"/>
      <w:r>
        <w:t xml:space="preserve"> and </w:t>
      </w:r>
      <w:proofErr w:type="spellStart"/>
      <w:r>
        <w:t>thrombopoietic</w:t>
      </w:r>
      <w:proofErr w:type="spellEnd"/>
      <w:r>
        <w:t xml:space="preserve"> activity of c-</w:t>
      </w:r>
      <w:proofErr w:type="spellStart"/>
      <w:r>
        <w:t>mpl</w:t>
      </w:r>
      <w:proofErr w:type="spellEnd"/>
      <w:r>
        <w:t xml:space="preserve"> ligand (TPO) on purified murine hematopoietic stem cells. Blood 1994; 84(12):4045-52.</w:t>
      </w:r>
      <w:r w:rsidR="00646206">
        <w:t>Correct styling examples.</w:t>
      </w:r>
    </w:p>
    <w:p w:rsidR="003D1E62" w:rsidRPr="001D043B" w:rsidRDefault="003D1E62" w:rsidP="002666AC">
      <w:pPr>
        <w:sectPr w:rsidR="003D1E62" w:rsidRPr="001D043B" w:rsidSect="008D770F">
          <w:headerReference w:type="even" r:id="rId46"/>
          <w:headerReference w:type="default" r:id="rId47"/>
          <w:headerReference w:type="first" r:id="rId48"/>
          <w:footerReference w:type="first" r:id="rId49"/>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B03F4F">
        <w:trPr>
          <w:trHeight w:hRule="exact" w:val="564"/>
        </w:trPr>
        <w:tc>
          <w:tcPr>
            <w:tcW w:w="9175" w:type="dxa"/>
          </w:tcPr>
          <w:p w:rsidR="00B3567E" w:rsidRPr="00487162" w:rsidRDefault="00B3567E" w:rsidP="00B03F4F">
            <w:pPr>
              <w:pStyle w:val="TGASignoff"/>
            </w:pPr>
            <w:r w:rsidRPr="00487162">
              <w:lastRenderedPageBreak/>
              <w:t>Therapeutic Goods Administration</w:t>
            </w:r>
          </w:p>
        </w:tc>
      </w:tr>
      <w:tr w:rsidR="00B3567E" w:rsidRPr="00487162" w:rsidTr="00B03F4F">
        <w:trPr>
          <w:trHeight w:val="1221"/>
        </w:trPr>
        <w:tc>
          <w:tcPr>
            <w:tcW w:w="9175" w:type="dxa"/>
            <w:tcMar>
              <w:top w:w="28" w:type="dxa"/>
            </w:tcMar>
          </w:tcPr>
          <w:p w:rsidR="00B3567E" w:rsidRPr="00487162" w:rsidRDefault="00B3567E" w:rsidP="00B03F4F">
            <w:pPr>
              <w:pStyle w:val="Address"/>
            </w:pPr>
            <w:r w:rsidRPr="00487162">
              <w:t>PO Box 100 Woden ACT 2606 Australia</w:t>
            </w:r>
          </w:p>
          <w:p w:rsidR="00B3567E" w:rsidRPr="00487162" w:rsidRDefault="00B3567E" w:rsidP="00B03F4F">
            <w:pPr>
              <w:pStyle w:val="Address"/>
            </w:pPr>
            <w:r w:rsidRPr="00487162">
              <w:t xml:space="preserve">Email: </w:t>
            </w:r>
            <w:hyperlink r:id="rId50" w:history="1">
              <w:r w:rsidRPr="008D770F">
                <w:rPr>
                  <w:rStyle w:val="Hyperlink"/>
                </w:rPr>
                <w:t>info@tga.gov.au</w:t>
              </w:r>
            </w:hyperlink>
            <w:r w:rsidR="00392749">
              <w:t xml:space="preserve"> </w:t>
            </w:r>
            <w:r w:rsidRPr="00487162">
              <w:t>Phone: 1800 020 653</w:t>
            </w:r>
            <w:r w:rsidR="00392749">
              <w:t xml:space="preserve"> </w:t>
            </w:r>
            <w:r w:rsidRPr="00487162">
              <w:t>Fax: 02 6232 8605</w:t>
            </w:r>
          </w:p>
          <w:p w:rsidR="00B3567E" w:rsidRPr="008D770F" w:rsidRDefault="002638A5" w:rsidP="00B03F4F">
            <w:pPr>
              <w:pStyle w:val="Address"/>
              <w:spacing w:line="260" w:lineRule="atLeast"/>
              <w:rPr>
                <w:b/>
                <w:color w:val="0000FF"/>
                <w:u w:val="single"/>
              </w:rPr>
            </w:pPr>
            <w:hyperlink r:id="rId5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2"/>
      <w:headerReference w:type="default" r:id="rId53"/>
      <w:footerReference w:type="default" r:id="rId54"/>
      <w:headerReference w:type="first" r:id="rId55"/>
      <w:footerReference w:type="first" r:id="rId5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8A5" w:rsidRDefault="002638A5" w:rsidP="00C40A36">
      <w:pPr>
        <w:spacing w:after="0"/>
      </w:pPr>
      <w:r>
        <w:separator/>
      </w:r>
    </w:p>
  </w:endnote>
  <w:endnote w:type="continuationSeparator" w:id="0">
    <w:p w:rsidR="002638A5" w:rsidRDefault="002638A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2638A5" w:rsidRPr="00487162" w:rsidTr="004F2F93">
      <w:trPr>
        <w:trHeight w:val="269"/>
      </w:trPr>
      <w:tc>
        <w:tcPr>
          <w:tcW w:w="7655" w:type="dxa"/>
          <w:tcMar>
            <w:top w:w="142" w:type="dxa"/>
            <w:bottom w:w="0" w:type="dxa"/>
          </w:tcMar>
        </w:tcPr>
        <w:p w:rsidR="002638A5" w:rsidRPr="00487162" w:rsidRDefault="002638A5" w:rsidP="00B03F4F">
          <w:pPr>
            <w:pStyle w:val="Footer"/>
          </w:pPr>
          <w:r>
            <w:t>Submission</w:t>
          </w:r>
          <w:r w:rsidRPr="00487162">
            <w:t xml:space="preserve"> PM-20</w:t>
          </w:r>
          <w:r>
            <w:t>14</w:t>
          </w:r>
          <w:r w:rsidRPr="00487162">
            <w:t>-</w:t>
          </w:r>
          <w:r>
            <w:t xml:space="preserve">04303-1-4 Extract from the Clinical Evaluation Report for </w:t>
          </w:r>
          <w:proofErr w:type="spellStart"/>
          <w:r>
            <w:t>Revolade</w:t>
          </w:r>
          <w:proofErr w:type="spellEnd"/>
        </w:p>
      </w:tc>
      <w:tc>
        <w:tcPr>
          <w:tcW w:w="1206" w:type="dxa"/>
          <w:tcMar>
            <w:top w:w="142" w:type="dxa"/>
            <w:bottom w:w="0" w:type="dxa"/>
          </w:tcMar>
        </w:tcPr>
        <w:p w:rsidR="002638A5" w:rsidRPr="00981D66" w:rsidRDefault="002638A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006C56">
            <w:rPr>
              <w:noProof/>
            </w:rPr>
            <w:t>5</w:t>
          </w:r>
          <w:r w:rsidRPr="00981D66">
            <w:fldChar w:fldCharType="end"/>
          </w:r>
          <w:r w:rsidRPr="00981D66">
            <w:t xml:space="preserve"> of </w:t>
          </w:r>
          <w:fldSimple w:instr=" NUMPAGES  \* Arabic  \* MERGEFORMAT ">
            <w:r w:rsidR="00006C56">
              <w:rPr>
                <w:noProof/>
              </w:rPr>
              <w:t>43</w:t>
            </w:r>
          </w:fldSimple>
        </w:p>
      </w:tc>
    </w:tr>
  </w:tbl>
  <w:p w:rsidR="002638A5" w:rsidRDefault="002638A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638A5" w:rsidRPr="00487162" w:rsidTr="00E45619">
      <w:trPr>
        <w:trHeight w:val="269"/>
      </w:trPr>
      <w:tc>
        <w:tcPr>
          <w:tcW w:w="4519" w:type="dxa"/>
          <w:tcBorders>
            <w:top w:val="single" w:sz="4" w:space="0" w:color="auto"/>
          </w:tcBorders>
          <w:tcMar>
            <w:top w:w="142" w:type="dxa"/>
            <w:bottom w:w="0" w:type="dxa"/>
          </w:tcMar>
        </w:tcPr>
        <w:p w:rsidR="002638A5" w:rsidRPr="00487162" w:rsidRDefault="002638A5" w:rsidP="00FE1DEE">
          <w:pPr>
            <w:pStyle w:val="Footer"/>
          </w:pPr>
          <w:r w:rsidRPr="00487162">
            <w:t>Document title, Part #, Section # - Section title</w:t>
          </w:r>
        </w:p>
        <w:p w:rsidR="002638A5" w:rsidRPr="00487162" w:rsidRDefault="002638A5" w:rsidP="00FE1DEE">
          <w:pPr>
            <w:pStyle w:val="Footer"/>
          </w:pPr>
          <w:r w:rsidRPr="00487162">
            <w:t>V1.0 October 2010</w:t>
          </w:r>
        </w:p>
      </w:tc>
      <w:tc>
        <w:tcPr>
          <w:tcW w:w="4342" w:type="dxa"/>
          <w:tcBorders>
            <w:top w:val="single" w:sz="4" w:space="0" w:color="auto"/>
          </w:tcBorders>
          <w:tcMar>
            <w:top w:w="142" w:type="dxa"/>
            <w:bottom w:w="0" w:type="dxa"/>
          </w:tcMar>
        </w:tcPr>
        <w:p w:rsidR="002638A5" w:rsidRPr="00487162" w:rsidRDefault="002638A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2638A5" w:rsidRDefault="002638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A5" w:rsidRDefault="002638A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638A5" w:rsidTr="0010601F">
      <w:trPr>
        <w:trHeight w:val="108"/>
      </w:trPr>
      <w:tc>
        <w:tcPr>
          <w:tcW w:w="8875" w:type="dxa"/>
          <w:gridSpan w:val="2"/>
          <w:tcBorders>
            <w:bottom w:val="single" w:sz="4" w:space="0" w:color="auto"/>
          </w:tcBorders>
          <w:tcMar>
            <w:right w:w="284" w:type="dxa"/>
          </w:tcMar>
        </w:tcPr>
        <w:p w:rsidR="002638A5" w:rsidRDefault="002638A5" w:rsidP="006E08B3">
          <w:pPr>
            <w:pStyle w:val="Heading3"/>
          </w:pPr>
          <w:r>
            <w:t>Copyright</w:t>
          </w:r>
        </w:p>
        <w:p w:rsidR="002638A5" w:rsidRDefault="002638A5" w:rsidP="006E08B3">
          <w:r>
            <w:rPr>
              <w:rFonts w:cs="Arial"/>
            </w:rPr>
            <w:t>©</w:t>
          </w:r>
          <w:r>
            <w:t xml:space="preserve"> Commonwealth of Australia [add year]</w:t>
          </w:r>
        </w:p>
        <w:p w:rsidR="002638A5" w:rsidRDefault="002638A5" w:rsidP="006E08B3"/>
        <w:p w:rsidR="002638A5" w:rsidRDefault="002638A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638A5" w:rsidRDefault="002638A5" w:rsidP="006E08B3"/>
        <w:p w:rsidR="002638A5" w:rsidRDefault="002638A5" w:rsidP="006E08B3">
          <w:pPr>
            <w:pStyle w:val="Heading3"/>
          </w:pPr>
          <w:r>
            <w:t>Confidentiality</w:t>
          </w:r>
        </w:p>
        <w:p w:rsidR="002638A5" w:rsidRDefault="002638A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638A5" w:rsidRDefault="002638A5" w:rsidP="006E08B3"/>
        <w:p w:rsidR="002638A5" w:rsidRDefault="002638A5" w:rsidP="006E08B3">
          <w:r>
            <w:t>For submission made by individuals, all personal details, other than your name, will be removed from your submission before it is published on the TGA’s Internet site.</w:t>
          </w:r>
        </w:p>
        <w:p w:rsidR="002638A5" w:rsidRDefault="002638A5" w:rsidP="006E08B3"/>
        <w:p w:rsidR="002638A5" w:rsidRDefault="002638A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638A5" w:rsidTr="0010601F">
      <w:trPr>
        <w:trHeight w:val="417"/>
      </w:trPr>
      <w:tc>
        <w:tcPr>
          <w:tcW w:w="4519" w:type="dxa"/>
          <w:tcBorders>
            <w:top w:val="single" w:sz="4" w:space="0" w:color="auto"/>
          </w:tcBorders>
          <w:tcMar>
            <w:top w:w="142" w:type="dxa"/>
            <w:bottom w:w="0" w:type="dxa"/>
          </w:tcMar>
        </w:tcPr>
        <w:p w:rsidR="002638A5" w:rsidRDefault="002638A5" w:rsidP="006E08B3">
          <w:r>
            <w:t>Document title, Part #, Section # - Section title</w:t>
          </w:r>
        </w:p>
        <w:p w:rsidR="002638A5" w:rsidRDefault="002638A5" w:rsidP="006E08B3">
          <w:r>
            <w:t>V1.0 October 2010</w:t>
          </w:r>
        </w:p>
      </w:tc>
      <w:tc>
        <w:tcPr>
          <w:tcW w:w="4356" w:type="dxa"/>
          <w:tcBorders>
            <w:top w:val="single" w:sz="4" w:space="0" w:color="auto"/>
          </w:tcBorders>
          <w:tcMar>
            <w:top w:w="142" w:type="dxa"/>
            <w:bottom w:w="0" w:type="dxa"/>
          </w:tcMar>
        </w:tcPr>
        <w:p w:rsidR="002638A5" w:rsidRDefault="002638A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2638A5" w:rsidRDefault="002638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8A5" w:rsidRDefault="002638A5" w:rsidP="00C40A36">
      <w:pPr>
        <w:spacing w:after="0"/>
      </w:pPr>
      <w:r>
        <w:separator/>
      </w:r>
    </w:p>
  </w:footnote>
  <w:footnote w:type="continuationSeparator" w:id="0">
    <w:p w:rsidR="002638A5" w:rsidRDefault="002638A5"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A5" w:rsidRDefault="002638A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A5" w:rsidRDefault="002638A5">
    <w:pPr>
      <w:rPr>
        <w:noProof/>
        <w:lang w:eastAsia="en-AU"/>
      </w:rPr>
    </w:pPr>
    <w:r w:rsidRPr="002D545C">
      <w:rPr>
        <w:noProof/>
        <w:lang w:eastAsia="en-AU"/>
      </w:rPr>
      <w:drawing>
        <wp:anchor distT="0" distB="0" distL="114300" distR="114300" simplePos="0" relativeHeight="251659264" behindDoc="1" locked="0" layoutInCell="1" allowOverlap="1" wp14:anchorId="53467AB3" wp14:editId="51DE06F5">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638A5" w:rsidRDefault="002638A5" w:rsidP="00593AD1">
    <w:pPr>
      <w:pStyle w:val="HeaderNoLine"/>
    </w:pPr>
    <w:r>
      <w:rPr>
        <w:noProof/>
        <w:lang w:eastAsia="en-AU"/>
      </w:rPr>
      <w:drawing>
        <wp:inline distT="0" distB="0" distL="0" distR="0" wp14:anchorId="4DBDCE5A" wp14:editId="05A23B6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A5" w:rsidRDefault="002638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A5" w:rsidRDefault="002638A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A5" w:rsidRDefault="002638A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A5" w:rsidRDefault="002638A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A5" w:rsidRDefault="002638A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A5" w:rsidRDefault="002638A5" w:rsidP="006E08B3">
    <w:r>
      <w:t>Therapeutic Goods Administration</w:t>
    </w:r>
  </w:p>
  <w:p w:rsidR="002638A5" w:rsidRDefault="002638A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25CD592"/>
    <w:lvl w:ilvl="0">
      <w:start w:val="1"/>
      <w:numFmt w:val="bullet"/>
      <w:lvlText w:val=""/>
      <w:lvlJc w:val="left"/>
      <w:pPr>
        <w:tabs>
          <w:tab w:val="num" w:pos="643"/>
        </w:tabs>
        <w:ind w:left="643" w:hanging="360"/>
      </w:pPr>
      <w:rPr>
        <w:rFonts w:ascii="Symbol" w:hAnsi="Symbol" w:hint="default"/>
      </w:rPr>
    </w:lvl>
  </w:abstractNum>
  <w:abstractNum w:abstractNumId="1">
    <w:nsid w:val="05BF0D85"/>
    <w:multiLevelType w:val="hybridMultilevel"/>
    <w:tmpl w:val="F586A1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D220FB9"/>
    <w:multiLevelType w:val="hybridMultilevel"/>
    <w:tmpl w:val="A25E75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6974C6A"/>
    <w:multiLevelType w:val="hybridMultilevel"/>
    <w:tmpl w:val="D5B0462C"/>
    <w:lvl w:ilvl="0" w:tplc="3ECA4A58">
      <w:start w:val="1"/>
      <w:numFmt w:val="decimal"/>
      <w:lvlText w:val="%1."/>
      <w:lvlJc w:val="left"/>
      <w:pPr>
        <w:ind w:left="360" w:hanging="360"/>
      </w:pPr>
      <w:rPr>
        <w:rFonts w:ascii="Cambria" w:eastAsia="Times New Roman" w:hAnsi="Cambria" w:cs="Times New Roman"/>
      </w:rPr>
    </w:lvl>
    <w:lvl w:ilvl="1" w:tplc="0C090003">
      <w:start w:val="1"/>
      <w:numFmt w:val="bullet"/>
      <w:lvlText w:val="o"/>
      <w:lvlJc w:val="left"/>
      <w:pPr>
        <w:ind w:left="1440" w:hanging="360"/>
      </w:pPr>
      <w:rPr>
        <w:rFonts w:ascii="Courier New" w:hAnsi="Courier New" w:cs="Courier New" w:hint="default"/>
      </w:rPr>
    </w:lvl>
    <w:lvl w:ilvl="2" w:tplc="571C5B64">
      <w:start w:val="1"/>
      <w:numFmt w:val="decimal"/>
      <w:lvlText w:val="%3."/>
      <w:lvlJc w:val="left"/>
      <w:pPr>
        <w:ind w:left="1920" w:hanging="360"/>
      </w:pPr>
      <w:rPr>
        <w:rFonts w:hint="default"/>
        <w:b/>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E12419"/>
    <w:multiLevelType w:val="hybridMultilevel"/>
    <w:tmpl w:val="F87C4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066740A"/>
    <w:multiLevelType w:val="hybridMultilevel"/>
    <w:tmpl w:val="84FEAA0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9">
    <w:nsid w:val="3C7223ED"/>
    <w:multiLevelType w:val="hybridMultilevel"/>
    <w:tmpl w:val="A62C6A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76D699C"/>
    <w:multiLevelType w:val="hybridMultilevel"/>
    <w:tmpl w:val="98E069EC"/>
    <w:lvl w:ilvl="0" w:tplc="FEF003A2">
      <w:start w:val="1"/>
      <w:numFmt w:val="decimal"/>
      <w:lvlText w:val="%1."/>
      <w:lvlJc w:val="left"/>
      <w:pPr>
        <w:ind w:left="648" w:hanging="360"/>
      </w:pPr>
      <w:rPr>
        <w:rFonts w:hint="default"/>
      </w:rPr>
    </w:lvl>
    <w:lvl w:ilvl="1" w:tplc="0C090019" w:tentative="1">
      <w:start w:val="1"/>
      <w:numFmt w:val="lowerLetter"/>
      <w:lvlText w:val="%2."/>
      <w:lvlJc w:val="left"/>
      <w:pPr>
        <w:ind w:left="1368" w:hanging="360"/>
      </w:pPr>
    </w:lvl>
    <w:lvl w:ilvl="2" w:tplc="0C09001B" w:tentative="1">
      <w:start w:val="1"/>
      <w:numFmt w:val="lowerRoman"/>
      <w:lvlText w:val="%3."/>
      <w:lvlJc w:val="right"/>
      <w:pPr>
        <w:ind w:left="2088" w:hanging="180"/>
      </w:pPr>
    </w:lvl>
    <w:lvl w:ilvl="3" w:tplc="0C09000F" w:tentative="1">
      <w:start w:val="1"/>
      <w:numFmt w:val="decimal"/>
      <w:lvlText w:val="%4."/>
      <w:lvlJc w:val="left"/>
      <w:pPr>
        <w:ind w:left="2808" w:hanging="360"/>
      </w:pPr>
    </w:lvl>
    <w:lvl w:ilvl="4" w:tplc="0C090019" w:tentative="1">
      <w:start w:val="1"/>
      <w:numFmt w:val="lowerLetter"/>
      <w:lvlText w:val="%5."/>
      <w:lvlJc w:val="left"/>
      <w:pPr>
        <w:ind w:left="3528" w:hanging="360"/>
      </w:pPr>
    </w:lvl>
    <w:lvl w:ilvl="5" w:tplc="0C09001B" w:tentative="1">
      <w:start w:val="1"/>
      <w:numFmt w:val="lowerRoman"/>
      <w:lvlText w:val="%6."/>
      <w:lvlJc w:val="right"/>
      <w:pPr>
        <w:ind w:left="4248" w:hanging="180"/>
      </w:pPr>
    </w:lvl>
    <w:lvl w:ilvl="6" w:tplc="0C09000F" w:tentative="1">
      <w:start w:val="1"/>
      <w:numFmt w:val="decimal"/>
      <w:lvlText w:val="%7."/>
      <w:lvlJc w:val="left"/>
      <w:pPr>
        <w:ind w:left="4968" w:hanging="360"/>
      </w:pPr>
    </w:lvl>
    <w:lvl w:ilvl="7" w:tplc="0C090019" w:tentative="1">
      <w:start w:val="1"/>
      <w:numFmt w:val="lowerLetter"/>
      <w:lvlText w:val="%8."/>
      <w:lvlJc w:val="left"/>
      <w:pPr>
        <w:ind w:left="5688" w:hanging="360"/>
      </w:pPr>
    </w:lvl>
    <w:lvl w:ilvl="8" w:tplc="0C09001B" w:tentative="1">
      <w:start w:val="1"/>
      <w:numFmt w:val="lowerRoman"/>
      <w:lvlText w:val="%9."/>
      <w:lvlJc w:val="right"/>
      <w:pPr>
        <w:ind w:left="6408" w:hanging="180"/>
      </w:pPr>
    </w:lvl>
  </w:abstractNum>
  <w:abstractNum w:abstractNumId="11">
    <w:nsid w:val="4EF564EE"/>
    <w:multiLevelType w:val="hybridMultilevel"/>
    <w:tmpl w:val="D35C0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D0B1B75"/>
    <w:multiLevelType w:val="multilevel"/>
    <w:tmpl w:val="99D861F4"/>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4452"/>
        </w:tabs>
        <w:ind w:left="4452" w:hanging="1191"/>
      </w:pPr>
      <w:rPr>
        <w:rFonts w:cs="Times New Roman"/>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tabs>
          <w:tab w:val="num" w:pos="1559"/>
        </w:tabs>
        <w:ind w:left="1559" w:hanging="1417"/>
      </w:pPr>
      <w:rPr>
        <w:rFonts w:ascii="Cambria" w:hAnsi="Cambria"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nsid w:val="7038707F"/>
    <w:multiLevelType w:val="hybridMultilevel"/>
    <w:tmpl w:val="FEF6B34E"/>
    <w:lvl w:ilvl="0" w:tplc="7E088DC4">
      <w:start w:val="1"/>
      <w:numFmt w:val="decimal"/>
      <w:lvlText w:val="%1."/>
      <w:lvlJc w:val="left"/>
      <w:pPr>
        <w:ind w:left="648" w:hanging="360"/>
      </w:pPr>
    </w:lvl>
    <w:lvl w:ilvl="1" w:tplc="0C090019">
      <w:start w:val="1"/>
      <w:numFmt w:val="lowerLetter"/>
      <w:lvlText w:val="%2."/>
      <w:lvlJc w:val="left"/>
      <w:pPr>
        <w:ind w:left="1368" w:hanging="360"/>
      </w:pPr>
    </w:lvl>
    <w:lvl w:ilvl="2" w:tplc="0C09001B">
      <w:start w:val="1"/>
      <w:numFmt w:val="lowerRoman"/>
      <w:lvlText w:val="%3."/>
      <w:lvlJc w:val="right"/>
      <w:pPr>
        <w:ind w:left="2088" w:hanging="180"/>
      </w:pPr>
    </w:lvl>
    <w:lvl w:ilvl="3" w:tplc="0C09000F">
      <w:start w:val="1"/>
      <w:numFmt w:val="decimal"/>
      <w:lvlText w:val="%4."/>
      <w:lvlJc w:val="left"/>
      <w:pPr>
        <w:ind w:left="2808" w:hanging="360"/>
      </w:pPr>
    </w:lvl>
    <w:lvl w:ilvl="4" w:tplc="0C090019">
      <w:start w:val="1"/>
      <w:numFmt w:val="lowerLetter"/>
      <w:lvlText w:val="%5."/>
      <w:lvlJc w:val="left"/>
      <w:pPr>
        <w:ind w:left="3528" w:hanging="360"/>
      </w:pPr>
    </w:lvl>
    <w:lvl w:ilvl="5" w:tplc="0C09001B">
      <w:start w:val="1"/>
      <w:numFmt w:val="lowerRoman"/>
      <w:lvlText w:val="%6."/>
      <w:lvlJc w:val="right"/>
      <w:pPr>
        <w:ind w:left="4248" w:hanging="180"/>
      </w:pPr>
    </w:lvl>
    <w:lvl w:ilvl="6" w:tplc="0C09000F">
      <w:start w:val="1"/>
      <w:numFmt w:val="decimal"/>
      <w:lvlText w:val="%7."/>
      <w:lvlJc w:val="left"/>
      <w:pPr>
        <w:ind w:left="4968" w:hanging="360"/>
      </w:pPr>
    </w:lvl>
    <w:lvl w:ilvl="7" w:tplc="0C090019">
      <w:start w:val="1"/>
      <w:numFmt w:val="lowerLetter"/>
      <w:lvlText w:val="%8."/>
      <w:lvlJc w:val="left"/>
      <w:pPr>
        <w:ind w:left="5688" w:hanging="360"/>
      </w:pPr>
    </w:lvl>
    <w:lvl w:ilvl="8" w:tplc="0C09001B">
      <w:start w:val="1"/>
      <w:numFmt w:val="lowerRoman"/>
      <w:lvlText w:val="%9."/>
      <w:lvlJc w:val="right"/>
      <w:pPr>
        <w:ind w:left="6408" w:hanging="180"/>
      </w:p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2"/>
  </w:num>
  <w:num w:numId="6">
    <w:abstractNumId w:val="7"/>
  </w:num>
  <w:num w:numId="7">
    <w:abstractNumId w:val="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3"/>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6"/>
  </w:num>
  <w:num w:numId="27">
    <w:abstractNumId w:val="10"/>
  </w:num>
  <w:num w:numId="2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2"/>
  </w:num>
  <w:num w:numId="3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0"/>
  </w:num>
  <w:num w:numId="33">
    <w:abstractNumId w:val="1"/>
  </w:num>
  <w:num w:numId="34">
    <w:abstractNumId w:val="11"/>
  </w:num>
  <w:num w:numId="3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163"/>
    <w:rsid w:val="00002031"/>
    <w:rsid w:val="00004734"/>
    <w:rsid w:val="00006B22"/>
    <w:rsid w:val="00006C56"/>
    <w:rsid w:val="0001276A"/>
    <w:rsid w:val="000246AE"/>
    <w:rsid w:val="00025C67"/>
    <w:rsid w:val="00040ACB"/>
    <w:rsid w:val="0005559E"/>
    <w:rsid w:val="000663A9"/>
    <w:rsid w:val="00077775"/>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16E1A"/>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9266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40809"/>
    <w:rsid w:val="0025245B"/>
    <w:rsid w:val="0025467A"/>
    <w:rsid w:val="00256BB3"/>
    <w:rsid w:val="00257848"/>
    <w:rsid w:val="002638A5"/>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42E"/>
    <w:rsid w:val="0032583B"/>
    <w:rsid w:val="00327883"/>
    <w:rsid w:val="00335504"/>
    <w:rsid w:val="003521E8"/>
    <w:rsid w:val="00360B57"/>
    <w:rsid w:val="003728F3"/>
    <w:rsid w:val="0037496E"/>
    <w:rsid w:val="0037623D"/>
    <w:rsid w:val="00386150"/>
    <w:rsid w:val="003874CE"/>
    <w:rsid w:val="00390900"/>
    <w:rsid w:val="00392749"/>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2960"/>
    <w:rsid w:val="00456013"/>
    <w:rsid w:val="004564A7"/>
    <w:rsid w:val="004617BF"/>
    <w:rsid w:val="00463658"/>
    <w:rsid w:val="004722CC"/>
    <w:rsid w:val="004936E4"/>
    <w:rsid w:val="00494E60"/>
    <w:rsid w:val="00497487"/>
    <w:rsid w:val="004A7E13"/>
    <w:rsid w:val="004B495C"/>
    <w:rsid w:val="004B7B76"/>
    <w:rsid w:val="004C2DCA"/>
    <w:rsid w:val="004F0F38"/>
    <w:rsid w:val="004F2F93"/>
    <w:rsid w:val="004F4AF5"/>
    <w:rsid w:val="00501921"/>
    <w:rsid w:val="00530354"/>
    <w:rsid w:val="0053625B"/>
    <w:rsid w:val="005434C6"/>
    <w:rsid w:val="00543B39"/>
    <w:rsid w:val="00550096"/>
    <w:rsid w:val="00554E4A"/>
    <w:rsid w:val="00557FF9"/>
    <w:rsid w:val="00576378"/>
    <w:rsid w:val="00577163"/>
    <w:rsid w:val="00577945"/>
    <w:rsid w:val="00577E38"/>
    <w:rsid w:val="00585322"/>
    <w:rsid w:val="005857C6"/>
    <w:rsid w:val="00586DB0"/>
    <w:rsid w:val="00586F98"/>
    <w:rsid w:val="00592F6E"/>
    <w:rsid w:val="00593AD1"/>
    <w:rsid w:val="00593E16"/>
    <w:rsid w:val="005A68B6"/>
    <w:rsid w:val="005C5570"/>
    <w:rsid w:val="005C79A4"/>
    <w:rsid w:val="005D5442"/>
    <w:rsid w:val="00603F32"/>
    <w:rsid w:val="006170F0"/>
    <w:rsid w:val="00620406"/>
    <w:rsid w:val="00632398"/>
    <w:rsid w:val="00640FC3"/>
    <w:rsid w:val="00642020"/>
    <w:rsid w:val="0064377C"/>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16C6C"/>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805D27"/>
    <w:rsid w:val="00821776"/>
    <w:rsid w:val="008321F5"/>
    <w:rsid w:val="00832369"/>
    <w:rsid w:val="00834660"/>
    <w:rsid w:val="00836BC2"/>
    <w:rsid w:val="008414A0"/>
    <w:rsid w:val="00843DA5"/>
    <w:rsid w:val="0085641B"/>
    <w:rsid w:val="00857136"/>
    <w:rsid w:val="00886D15"/>
    <w:rsid w:val="00887DD8"/>
    <w:rsid w:val="00896018"/>
    <w:rsid w:val="008960DD"/>
    <w:rsid w:val="0089635C"/>
    <w:rsid w:val="008A2B9D"/>
    <w:rsid w:val="008A5E0B"/>
    <w:rsid w:val="008A6D59"/>
    <w:rsid w:val="008B4B03"/>
    <w:rsid w:val="008B596F"/>
    <w:rsid w:val="008B5A3E"/>
    <w:rsid w:val="008B5E1C"/>
    <w:rsid w:val="008B6069"/>
    <w:rsid w:val="008C159F"/>
    <w:rsid w:val="008C1623"/>
    <w:rsid w:val="008C1850"/>
    <w:rsid w:val="008C51A9"/>
    <w:rsid w:val="008D770F"/>
    <w:rsid w:val="008E7846"/>
    <w:rsid w:val="008F1CCC"/>
    <w:rsid w:val="008F2967"/>
    <w:rsid w:val="008F6943"/>
    <w:rsid w:val="008F69AF"/>
    <w:rsid w:val="00902A21"/>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3FBB"/>
    <w:rsid w:val="009E4A5C"/>
    <w:rsid w:val="009F2A6F"/>
    <w:rsid w:val="00A102E4"/>
    <w:rsid w:val="00A12C42"/>
    <w:rsid w:val="00A14DF7"/>
    <w:rsid w:val="00A21D62"/>
    <w:rsid w:val="00A235D9"/>
    <w:rsid w:val="00A3246D"/>
    <w:rsid w:val="00A36FA7"/>
    <w:rsid w:val="00A475B7"/>
    <w:rsid w:val="00A47AF7"/>
    <w:rsid w:val="00A47C3E"/>
    <w:rsid w:val="00A50226"/>
    <w:rsid w:val="00A50F5F"/>
    <w:rsid w:val="00A60BAD"/>
    <w:rsid w:val="00A651F3"/>
    <w:rsid w:val="00A87683"/>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03F4F"/>
    <w:rsid w:val="00B1425E"/>
    <w:rsid w:val="00B21D29"/>
    <w:rsid w:val="00B25034"/>
    <w:rsid w:val="00B275F4"/>
    <w:rsid w:val="00B33588"/>
    <w:rsid w:val="00B33863"/>
    <w:rsid w:val="00B3567E"/>
    <w:rsid w:val="00B37D17"/>
    <w:rsid w:val="00B4175E"/>
    <w:rsid w:val="00B452CE"/>
    <w:rsid w:val="00B54C25"/>
    <w:rsid w:val="00B672D0"/>
    <w:rsid w:val="00B753D7"/>
    <w:rsid w:val="00B76B91"/>
    <w:rsid w:val="00B77EB1"/>
    <w:rsid w:val="00B811C6"/>
    <w:rsid w:val="00B85A87"/>
    <w:rsid w:val="00B92E08"/>
    <w:rsid w:val="00B96EBE"/>
    <w:rsid w:val="00BC4E3B"/>
    <w:rsid w:val="00BC622A"/>
    <w:rsid w:val="00BC6F78"/>
    <w:rsid w:val="00BD45E3"/>
    <w:rsid w:val="00BE0A78"/>
    <w:rsid w:val="00BE32A6"/>
    <w:rsid w:val="00BE6252"/>
    <w:rsid w:val="00BE79F0"/>
    <w:rsid w:val="00BF046D"/>
    <w:rsid w:val="00BF1190"/>
    <w:rsid w:val="00BF5D04"/>
    <w:rsid w:val="00C1164D"/>
    <w:rsid w:val="00C137CE"/>
    <w:rsid w:val="00C16861"/>
    <w:rsid w:val="00C225BF"/>
    <w:rsid w:val="00C22678"/>
    <w:rsid w:val="00C326C6"/>
    <w:rsid w:val="00C37DA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E312E"/>
    <w:rsid w:val="00CF15C3"/>
    <w:rsid w:val="00CF2B6F"/>
    <w:rsid w:val="00CF58B6"/>
    <w:rsid w:val="00D017ED"/>
    <w:rsid w:val="00D040D3"/>
    <w:rsid w:val="00D04C65"/>
    <w:rsid w:val="00D224FE"/>
    <w:rsid w:val="00D277EF"/>
    <w:rsid w:val="00D53A31"/>
    <w:rsid w:val="00D6493E"/>
    <w:rsid w:val="00D7301E"/>
    <w:rsid w:val="00D83AE1"/>
    <w:rsid w:val="00D855D4"/>
    <w:rsid w:val="00D87961"/>
    <w:rsid w:val="00D93466"/>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979F4"/>
    <w:rsid w:val="00EB0798"/>
    <w:rsid w:val="00EB40AD"/>
    <w:rsid w:val="00EB586E"/>
    <w:rsid w:val="00EB5FC8"/>
    <w:rsid w:val="00EC2D5E"/>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64605"/>
    <w:rsid w:val="00F80E40"/>
    <w:rsid w:val="00F848D9"/>
    <w:rsid w:val="00FA5B82"/>
    <w:rsid w:val="00FA639E"/>
    <w:rsid w:val="00FC25E4"/>
    <w:rsid w:val="00FC4EF7"/>
    <w:rsid w:val="00FE1955"/>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25245B"/>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C225BF"/>
    <w:pPr>
      <w:keepNext/>
      <w:keepLines/>
      <w:numPr>
        <w:ilvl w:val="3"/>
        <w:numId w:val="5"/>
      </w:numPr>
      <w:spacing w:line="220" w:lineRule="atLeast"/>
      <w:ind w:left="1191"/>
      <w:outlineLvl w:val="4"/>
    </w:pPr>
    <w:rPr>
      <w:rFonts w:eastAsia="Times New Roman"/>
      <w:b/>
      <w:bCs/>
      <w:i/>
      <w:color w:val="001523"/>
      <w:szCs w:val="21"/>
    </w:rPr>
  </w:style>
  <w:style w:type="paragraph" w:styleId="Heading6">
    <w:name w:val="heading 6"/>
    <w:basedOn w:val="Normal"/>
    <w:next w:val="Normal"/>
    <w:link w:val="Heading6Char"/>
    <w:uiPriority w:val="9"/>
    <w:rsid w:val="00116E1A"/>
    <w:pPr>
      <w:keepNext/>
      <w:numPr>
        <w:ilvl w:val="4"/>
        <w:numId w:val="5"/>
      </w:numPr>
      <w:tabs>
        <w:tab w:val="clear" w:pos="1559"/>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03F4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25245B"/>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C225BF"/>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116E1A"/>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B03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B03F4F"/>
    <w:pPr>
      <w:numPr>
        <w:numId w:val="6"/>
      </w:numPr>
      <w:spacing w:after="0" w:line="240" w:lineRule="auto"/>
    </w:pPr>
    <w:rPr>
      <w:rFonts w:eastAsia="Times New Roman"/>
      <w:kern w:val="24"/>
      <w:szCs w:val="24"/>
      <w:lang w:eastAsia="en-AU"/>
    </w:rPr>
  </w:style>
  <w:style w:type="paragraph" w:customStyle="1" w:styleId="Bullet2">
    <w:name w:val="Bullet 2"/>
    <w:basedOn w:val="Bullet1"/>
    <w:rsid w:val="00B03F4F"/>
    <w:pPr>
      <w:numPr>
        <w:numId w:val="7"/>
      </w:numPr>
    </w:pPr>
  </w:style>
  <w:style w:type="character" w:customStyle="1" w:styleId="Heading8Char">
    <w:name w:val="Heading 8 Char"/>
    <w:basedOn w:val="DefaultParagraphFont"/>
    <w:link w:val="Heading8"/>
    <w:uiPriority w:val="9"/>
    <w:semiHidden/>
    <w:rsid w:val="00B03F4F"/>
    <w:rPr>
      <w:rFonts w:asciiTheme="majorHAnsi" w:eastAsiaTheme="majorEastAsia" w:hAnsiTheme="majorHAnsi" w:cstheme="majorBidi"/>
      <w:color w:val="404040" w:themeColor="text1" w:themeTint="BF"/>
      <w:sz w:val="20"/>
      <w:szCs w:val="20"/>
    </w:rPr>
  </w:style>
  <w:style w:type="paragraph" w:customStyle="1" w:styleId="Abbreviations">
    <w:name w:val="Abbreviations"/>
    <w:basedOn w:val="Normal"/>
    <w:rsid w:val="00B03F4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tgc">
    <w:name w:val="_tgc"/>
    <w:basedOn w:val="DefaultParagraphFont"/>
    <w:rsid w:val="00116E1A"/>
  </w:style>
  <w:style w:type="character" w:styleId="Emphasis">
    <w:name w:val="Emphasis"/>
    <w:basedOn w:val="DefaultParagraphFont"/>
    <w:uiPriority w:val="20"/>
    <w:qFormat/>
    <w:rsid w:val="00256BB3"/>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25245B"/>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C225BF"/>
    <w:pPr>
      <w:keepNext/>
      <w:keepLines/>
      <w:numPr>
        <w:ilvl w:val="3"/>
        <w:numId w:val="5"/>
      </w:numPr>
      <w:spacing w:line="220" w:lineRule="atLeast"/>
      <w:ind w:left="1191"/>
      <w:outlineLvl w:val="4"/>
    </w:pPr>
    <w:rPr>
      <w:rFonts w:eastAsia="Times New Roman"/>
      <w:b/>
      <w:bCs/>
      <w:i/>
      <w:color w:val="001523"/>
      <w:szCs w:val="21"/>
    </w:rPr>
  </w:style>
  <w:style w:type="paragraph" w:styleId="Heading6">
    <w:name w:val="heading 6"/>
    <w:basedOn w:val="Normal"/>
    <w:next w:val="Normal"/>
    <w:link w:val="Heading6Char"/>
    <w:uiPriority w:val="9"/>
    <w:rsid w:val="00116E1A"/>
    <w:pPr>
      <w:keepNext/>
      <w:numPr>
        <w:ilvl w:val="4"/>
        <w:numId w:val="5"/>
      </w:numPr>
      <w:tabs>
        <w:tab w:val="clear" w:pos="1559"/>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03F4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25245B"/>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C225BF"/>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116E1A"/>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B03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B03F4F"/>
    <w:pPr>
      <w:numPr>
        <w:numId w:val="6"/>
      </w:numPr>
      <w:spacing w:after="0" w:line="240" w:lineRule="auto"/>
    </w:pPr>
    <w:rPr>
      <w:rFonts w:eastAsia="Times New Roman"/>
      <w:kern w:val="24"/>
      <w:szCs w:val="24"/>
      <w:lang w:eastAsia="en-AU"/>
    </w:rPr>
  </w:style>
  <w:style w:type="paragraph" w:customStyle="1" w:styleId="Bullet2">
    <w:name w:val="Bullet 2"/>
    <w:basedOn w:val="Bullet1"/>
    <w:rsid w:val="00B03F4F"/>
    <w:pPr>
      <w:numPr>
        <w:numId w:val="7"/>
      </w:numPr>
    </w:pPr>
  </w:style>
  <w:style w:type="character" w:customStyle="1" w:styleId="Heading8Char">
    <w:name w:val="Heading 8 Char"/>
    <w:basedOn w:val="DefaultParagraphFont"/>
    <w:link w:val="Heading8"/>
    <w:uiPriority w:val="9"/>
    <w:semiHidden/>
    <w:rsid w:val="00B03F4F"/>
    <w:rPr>
      <w:rFonts w:asciiTheme="majorHAnsi" w:eastAsiaTheme="majorEastAsia" w:hAnsiTheme="majorHAnsi" w:cstheme="majorBidi"/>
      <w:color w:val="404040" w:themeColor="text1" w:themeTint="BF"/>
      <w:sz w:val="20"/>
      <w:szCs w:val="20"/>
    </w:rPr>
  </w:style>
  <w:style w:type="paragraph" w:customStyle="1" w:styleId="Abbreviations">
    <w:name w:val="Abbreviations"/>
    <w:basedOn w:val="Normal"/>
    <w:rsid w:val="00B03F4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tgc">
    <w:name w:val="_tgc"/>
    <w:basedOn w:val="DefaultParagraphFont"/>
    <w:rsid w:val="00116E1A"/>
  </w:style>
  <w:style w:type="character" w:styleId="Emphasis">
    <w:name w:val="Emphasis"/>
    <w:basedOn w:val="DefaultParagraphFont"/>
    <w:uiPriority w:val="20"/>
    <w:qFormat/>
    <w:rsid w:val="00256BB3"/>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7057">
      <w:bodyDiv w:val="1"/>
      <w:marLeft w:val="0"/>
      <w:marRight w:val="0"/>
      <w:marTop w:val="0"/>
      <w:marBottom w:val="0"/>
      <w:divBdr>
        <w:top w:val="none" w:sz="0" w:space="0" w:color="auto"/>
        <w:left w:val="none" w:sz="0" w:space="0" w:color="auto"/>
        <w:bottom w:val="none" w:sz="0" w:space="0" w:color="auto"/>
        <w:right w:val="none" w:sz="0" w:space="0" w:color="auto"/>
      </w:divBdr>
    </w:div>
    <w:div w:id="109981931">
      <w:bodyDiv w:val="1"/>
      <w:marLeft w:val="0"/>
      <w:marRight w:val="0"/>
      <w:marTop w:val="0"/>
      <w:marBottom w:val="0"/>
      <w:divBdr>
        <w:top w:val="none" w:sz="0" w:space="0" w:color="auto"/>
        <w:left w:val="none" w:sz="0" w:space="0" w:color="auto"/>
        <w:bottom w:val="none" w:sz="0" w:space="0" w:color="auto"/>
        <w:right w:val="none" w:sz="0" w:space="0" w:color="auto"/>
      </w:divBdr>
    </w:div>
    <w:div w:id="213397260">
      <w:bodyDiv w:val="1"/>
      <w:marLeft w:val="0"/>
      <w:marRight w:val="0"/>
      <w:marTop w:val="0"/>
      <w:marBottom w:val="0"/>
      <w:divBdr>
        <w:top w:val="none" w:sz="0" w:space="0" w:color="auto"/>
        <w:left w:val="none" w:sz="0" w:space="0" w:color="auto"/>
        <w:bottom w:val="none" w:sz="0" w:space="0" w:color="auto"/>
        <w:right w:val="none" w:sz="0" w:space="0" w:color="auto"/>
      </w:divBdr>
    </w:div>
    <w:div w:id="353001177">
      <w:bodyDiv w:val="1"/>
      <w:marLeft w:val="0"/>
      <w:marRight w:val="0"/>
      <w:marTop w:val="0"/>
      <w:marBottom w:val="0"/>
      <w:divBdr>
        <w:top w:val="none" w:sz="0" w:space="0" w:color="auto"/>
        <w:left w:val="none" w:sz="0" w:space="0" w:color="auto"/>
        <w:bottom w:val="none" w:sz="0" w:space="0" w:color="auto"/>
        <w:right w:val="none" w:sz="0" w:space="0" w:color="auto"/>
      </w:divBdr>
    </w:div>
    <w:div w:id="823819906">
      <w:bodyDiv w:val="1"/>
      <w:marLeft w:val="0"/>
      <w:marRight w:val="0"/>
      <w:marTop w:val="0"/>
      <w:marBottom w:val="0"/>
      <w:divBdr>
        <w:top w:val="none" w:sz="0" w:space="0" w:color="auto"/>
        <w:left w:val="none" w:sz="0" w:space="0" w:color="auto"/>
        <w:bottom w:val="none" w:sz="0" w:space="0" w:color="auto"/>
        <w:right w:val="none" w:sz="0" w:space="0" w:color="auto"/>
      </w:divBdr>
    </w:div>
    <w:div w:id="932281127">
      <w:bodyDiv w:val="1"/>
      <w:marLeft w:val="0"/>
      <w:marRight w:val="0"/>
      <w:marTop w:val="0"/>
      <w:marBottom w:val="0"/>
      <w:divBdr>
        <w:top w:val="none" w:sz="0" w:space="0" w:color="auto"/>
        <w:left w:val="none" w:sz="0" w:space="0" w:color="auto"/>
        <w:bottom w:val="none" w:sz="0" w:space="0" w:color="auto"/>
        <w:right w:val="none" w:sz="0" w:space="0" w:color="auto"/>
      </w:divBdr>
    </w:div>
    <w:div w:id="974407073">
      <w:bodyDiv w:val="1"/>
      <w:marLeft w:val="0"/>
      <w:marRight w:val="0"/>
      <w:marTop w:val="0"/>
      <w:marBottom w:val="0"/>
      <w:divBdr>
        <w:top w:val="none" w:sz="0" w:space="0" w:color="auto"/>
        <w:left w:val="none" w:sz="0" w:space="0" w:color="auto"/>
        <w:bottom w:val="none" w:sz="0" w:space="0" w:color="auto"/>
        <w:right w:val="none" w:sz="0" w:space="0" w:color="auto"/>
      </w:divBdr>
    </w:div>
    <w:div w:id="1105080987">
      <w:bodyDiv w:val="1"/>
      <w:marLeft w:val="0"/>
      <w:marRight w:val="0"/>
      <w:marTop w:val="0"/>
      <w:marBottom w:val="0"/>
      <w:divBdr>
        <w:top w:val="none" w:sz="0" w:space="0" w:color="auto"/>
        <w:left w:val="none" w:sz="0" w:space="0" w:color="auto"/>
        <w:bottom w:val="none" w:sz="0" w:space="0" w:color="auto"/>
        <w:right w:val="none" w:sz="0" w:space="0" w:color="auto"/>
      </w:divBdr>
    </w:div>
    <w:div w:id="1145076446">
      <w:bodyDiv w:val="1"/>
      <w:marLeft w:val="0"/>
      <w:marRight w:val="0"/>
      <w:marTop w:val="0"/>
      <w:marBottom w:val="0"/>
      <w:divBdr>
        <w:top w:val="none" w:sz="0" w:space="0" w:color="auto"/>
        <w:left w:val="none" w:sz="0" w:space="0" w:color="auto"/>
        <w:bottom w:val="none" w:sz="0" w:space="0" w:color="auto"/>
        <w:right w:val="none" w:sz="0" w:space="0" w:color="auto"/>
      </w:divBdr>
    </w:div>
    <w:div w:id="1204709051">
      <w:bodyDiv w:val="1"/>
      <w:marLeft w:val="0"/>
      <w:marRight w:val="0"/>
      <w:marTop w:val="0"/>
      <w:marBottom w:val="0"/>
      <w:divBdr>
        <w:top w:val="none" w:sz="0" w:space="0" w:color="auto"/>
        <w:left w:val="none" w:sz="0" w:space="0" w:color="auto"/>
        <w:bottom w:val="none" w:sz="0" w:space="0" w:color="auto"/>
        <w:right w:val="none" w:sz="0" w:space="0" w:color="auto"/>
      </w:divBdr>
    </w:div>
    <w:div w:id="1478569913">
      <w:bodyDiv w:val="1"/>
      <w:marLeft w:val="0"/>
      <w:marRight w:val="0"/>
      <w:marTop w:val="0"/>
      <w:marBottom w:val="0"/>
      <w:divBdr>
        <w:top w:val="none" w:sz="0" w:space="0" w:color="auto"/>
        <w:left w:val="none" w:sz="0" w:space="0" w:color="auto"/>
        <w:bottom w:val="none" w:sz="0" w:space="0" w:color="auto"/>
        <w:right w:val="none" w:sz="0" w:space="0" w:color="auto"/>
      </w:divBdr>
    </w:div>
    <w:div w:id="1547134547">
      <w:bodyDiv w:val="1"/>
      <w:marLeft w:val="0"/>
      <w:marRight w:val="0"/>
      <w:marTop w:val="0"/>
      <w:marBottom w:val="0"/>
      <w:divBdr>
        <w:top w:val="none" w:sz="0" w:space="0" w:color="auto"/>
        <w:left w:val="none" w:sz="0" w:space="0" w:color="auto"/>
        <w:bottom w:val="none" w:sz="0" w:space="0" w:color="auto"/>
        <w:right w:val="none" w:sz="0" w:space="0" w:color="auto"/>
      </w:divBdr>
    </w:div>
    <w:div w:id="1611816909">
      <w:bodyDiv w:val="1"/>
      <w:marLeft w:val="0"/>
      <w:marRight w:val="0"/>
      <w:marTop w:val="0"/>
      <w:marBottom w:val="0"/>
      <w:divBdr>
        <w:top w:val="none" w:sz="0" w:space="0" w:color="auto"/>
        <w:left w:val="none" w:sz="0" w:space="0" w:color="auto"/>
        <w:bottom w:val="none" w:sz="0" w:space="0" w:color="auto"/>
        <w:right w:val="none" w:sz="0" w:space="0" w:color="auto"/>
      </w:divBdr>
    </w:div>
    <w:div w:id="1910577155">
      <w:bodyDiv w:val="1"/>
      <w:marLeft w:val="0"/>
      <w:marRight w:val="0"/>
      <w:marTop w:val="0"/>
      <w:marBottom w:val="0"/>
      <w:divBdr>
        <w:top w:val="none" w:sz="0" w:space="0" w:color="auto"/>
        <w:left w:val="none" w:sz="0" w:space="0" w:color="auto"/>
        <w:bottom w:val="none" w:sz="0" w:space="0" w:color="auto"/>
        <w:right w:val="none" w:sz="0" w:space="0" w:color="auto"/>
      </w:divBdr>
    </w:div>
    <w:div w:id="192475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emf"/><Relationship Id="rId21" Type="http://schemas.openxmlformats.org/officeDocument/2006/relationships/image" Target="media/image8.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4.xml"/><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microsoft.com/office/2007/relationships/hdphoto" Target="media/hdphoto2.wdp"/><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3.png"/><Relationship Id="rId30" Type="http://schemas.microsoft.com/office/2007/relationships/hdphoto" Target="media/hdphoto3.wdp"/><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tga.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50A89-851E-4620-A16A-1F917B53A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43</Pages>
  <Words>13333</Words>
  <Characters>75065</Characters>
  <Application>Microsoft Office Word</Application>
  <DocSecurity>0</DocSecurity>
  <Lines>2144</Lines>
  <Paragraphs>950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Eltrombopag</vt:lpstr>
    </vt:vector>
  </TitlesOfParts>
  <Company/>
  <LinksUpToDate>false</LinksUpToDate>
  <CharactersWithSpaces>87448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Eltrombopag</dc:title>
  <dc:subject>Prescription medicines</dc:subject>
  <dc:creator>Therapeutic Goods Administration</dc:creator>
  <cp:keywords>AusPARs</cp:keywords>
  <cp:lastModifiedBy>Lack, Janet</cp:lastModifiedBy>
  <cp:revision>3</cp:revision>
  <cp:lastPrinted>2015-09-22T23:53:00Z</cp:lastPrinted>
  <dcterms:created xsi:type="dcterms:W3CDTF">2016-04-11T23:11:00Z</dcterms:created>
  <dcterms:modified xsi:type="dcterms:W3CDTF">2016-04-12T00:57:00Z</dcterms:modified>
</cp:coreProperties>
</file>