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A7333" w14:textId="77777777" w:rsidR="00665DAE" w:rsidRDefault="00954716" w:rsidP="00665DAE">
      <w:pPr>
        <w:pStyle w:val="A-StudyTitle"/>
        <w:rPr>
          <w:rFonts w:ascii="Times New Roman" w:hAnsi="Times New Roman"/>
          <w:sz w:val="24"/>
        </w:rPr>
      </w:pPr>
      <w:r w:rsidRPr="008D28D2">
        <w:rPr>
          <w:rFonts w:ascii="Times New Roman" w:hAnsi="Times New Roman"/>
          <w:sz w:val="24"/>
        </w:rPr>
        <w:t>PRODUCT INFORMATION</w:t>
      </w:r>
    </w:p>
    <w:p w14:paraId="50223209" w14:textId="77777777" w:rsidR="0006031A" w:rsidRPr="00231232" w:rsidRDefault="0006031A" w:rsidP="0006031A">
      <w:pPr>
        <w:spacing w:after="0" w:line="240" w:lineRule="auto"/>
        <w:jc w:val="center"/>
        <w:rPr>
          <w:rFonts w:ascii="Times New Roman" w:hAnsi="Times New Roman"/>
          <w:b/>
          <w:szCs w:val="24"/>
        </w:rPr>
      </w:pPr>
      <w:r w:rsidRPr="00231232">
        <w:rPr>
          <w:rFonts w:ascii="Times New Roman" w:hAnsi="Times New Roman"/>
          <w:b/>
          <w:szCs w:val="24"/>
        </w:rPr>
        <w:t>EMPLICITI</w:t>
      </w:r>
      <w:r w:rsidR="000336D3" w:rsidRPr="000336D3">
        <w:rPr>
          <w:rFonts w:ascii="Times New Roman Bold" w:hAnsi="Times New Roman Bold"/>
          <w:b/>
          <w:szCs w:val="24"/>
          <w:vertAlign w:val="superscript"/>
        </w:rPr>
        <w:t>®</w:t>
      </w:r>
    </w:p>
    <w:p w14:paraId="4AE65A30" w14:textId="77777777" w:rsidR="0006031A" w:rsidRPr="00231232" w:rsidRDefault="0006031A" w:rsidP="0006031A">
      <w:pPr>
        <w:spacing w:after="0" w:line="240" w:lineRule="auto"/>
        <w:jc w:val="center"/>
        <w:rPr>
          <w:rFonts w:ascii="Times New Roman" w:hAnsi="Times New Roman"/>
          <w:b/>
          <w:szCs w:val="24"/>
        </w:rPr>
      </w:pPr>
      <w:r w:rsidRPr="00231232">
        <w:rPr>
          <w:rFonts w:ascii="Times New Roman" w:hAnsi="Times New Roman"/>
          <w:b/>
          <w:szCs w:val="24"/>
        </w:rPr>
        <w:t>(</w:t>
      </w:r>
      <w:proofErr w:type="spellStart"/>
      <w:proofErr w:type="gramStart"/>
      <w:r w:rsidRPr="00231232">
        <w:rPr>
          <w:rFonts w:ascii="Times New Roman" w:hAnsi="Times New Roman"/>
          <w:b/>
          <w:szCs w:val="24"/>
        </w:rPr>
        <w:t>elotuzumab</w:t>
      </w:r>
      <w:proofErr w:type="spellEnd"/>
      <w:proofErr w:type="gramEnd"/>
      <w:r w:rsidRPr="00231232">
        <w:rPr>
          <w:rFonts w:ascii="Times New Roman" w:hAnsi="Times New Roman"/>
          <w:b/>
          <w:szCs w:val="24"/>
        </w:rPr>
        <w:t>)</w:t>
      </w:r>
    </w:p>
    <w:p w14:paraId="6E9B321F" w14:textId="77777777" w:rsidR="00954716" w:rsidRDefault="00954716">
      <w:pPr>
        <w:pStyle w:val="A-Heading1"/>
        <w:rPr>
          <w:lang w:val="en-AU"/>
        </w:rPr>
      </w:pPr>
      <w:bookmarkStart w:id="0" w:name="_GoBack"/>
      <w:bookmarkEnd w:id="0"/>
      <w:r w:rsidRPr="008D28D2">
        <w:rPr>
          <w:lang w:val="en-AU"/>
        </w:rPr>
        <w:t>NAME OF THE MEDICINE</w:t>
      </w:r>
    </w:p>
    <w:p w14:paraId="52DEB53E" w14:textId="77777777" w:rsidR="0006031A" w:rsidRDefault="0006031A" w:rsidP="004F54EA">
      <w:pPr>
        <w:pStyle w:val="EMEABodyText"/>
      </w:pPr>
      <w:r w:rsidRPr="00231232">
        <w:t>EMPLICITI (</w:t>
      </w:r>
      <w:proofErr w:type="spellStart"/>
      <w:r w:rsidRPr="00231232">
        <w:t>elotuzumab</w:t>
      </w:r>
      <w:proofErr w:type="spellEnd"/>
      <w:r w:rsidRPr="00231232">
        <w:t>)</w:t>
      </w:r>
    </w:p>
    <w:p w14:paraId="57142EC4" w14:textId="38BDA828" w:rsidR="00877F96" w:rsidRPr="00877F96" w:rsidRDefault="00877F96" w:rsidP="004F54EA">
      <w:pPr>
        <w:pStyle w:val="EMEABodyText"/>
        <w:spacing w:before="0" w:after="0"/>
      </w:pPr>
      <w:proofErr w:type="gramStart"/>
      <w:r w:rsidRPr="00877F96">
        <w:t>E</w:t>
      </w:r>
      <w:r>
        <w:t>MPLICITI</w:t>
      </w:r>
      <w:r w:rsidRPr="00877F96">
        <w:t xml:space="preserve"> 300 mg powder for concentrate for solution for</w:t>
      </w:r>
      <w:r>
        <w:t xml:space="preserve"> intravenous </w:t>
      </w:r>
      <w:r w:rsidRPr="00877F96">
        <w:t>infusion.</w:t>
      </w:r>
      <w:proofErr w:type="gramEnd"/>
    </w:p>
    <w:p w14:paraId="0BCC5F19" w14:textId="3BC0981A" w:rsidR="00877F96" w:rsidRPr="00231232" w:rsidRDefault="00877F96" w:rsidP="004F54EA">
      <w:pPr>
        <w:spacing w:after="0" w:line="240" w:lineRule="auto"/>
        <w:rPr>
          <w:rFonts w:ascii="Times New Roman" w:hAnsi="Times New Roman"/>
          <w:szCs w:val="24"/>
        </w:rPr>
      </w:pPr>
      <w:proofErr w:type="gramStart"/>
      <w:r w:rsidRPr="00877F96">
        <w:rPr>
          <w:rFonts w:ascii="Times New Roman" w:hAnsi="Times New Roman"/>
          <w:szCs w:val="24"/>
        </w:rPr>
        <w:t>E</w:t>
      </w:r>
      <w:r>
        <w:rPr>
          <w:rFonts w:ascii="Times New Roman" w:hAnsi="Times New Roman"/>
          <w:szCs w:val="24"/>
        </w:rPr>
        <w:t>MPLICITI</w:t>
      </w:r>
      <w:r w:rsidRPr="00877F96">
        <w:rPr>
          <w:rFonts w:ascii="Times New Roman" w:hAnsi="Times New Roman"/>
          <w:szCs w:val="24"/>
        </w:rPr>
        <w:t xml:space="preserve"> 400 mg powder for concentrate for solution for </w:t>
      </w:r>
      <w:r>
        <w:rPr>
          <w:rFonts w:ascii="Times New Roman" w:hAnsi="Times New Roman"/>
          <w:szCs w:val="24"/>
        </w:rPr>
        <w:t xml:space="preserve">intravenous </w:t>
      </w:r>
      <w:r w:rsidRPr="00877F96">
        <w:rPr>
          <w:rFonts w:ascii="Times New Roman" w:hAnsi="Times New Roman"/>
          <w:szCs w:val="24"/>
        </w:rPr>
        <w:t>infusion.</w:t>
      </w:r>
      <w:proofErr w:type="gramEnd"/>
    </w:p>
    <w:p w14:paraId="41E6FEDF" w14:textId="77777777" w:rsidR="008D3007" w:rsidRDefault="008D3007" w:rsidP="003B2103">
      <w:pPr>
        <w:pStyle w:val="EMEABodyText"/>
      </w:pPr>
      <w:proofErr w:type="spellStart"/>
      <w:r w:rsidRPr="008D3007">
        <w:t>Elotuzumab</w:t>
      </w:r>
      <w:proofErr w:type="spellEnd"/>
      <w:r w:rsidRPr="008D3007">
        <w:t xml:space="preserve"> is a humanized recombinant monoclonal antibody directed to SLAMF7, a cell surface glycoprotein. </w:t>
      </w:r>
      <w:proofErr w:type="spellStart"/>
      <w:r w:rsidRPr="008D3007">
        <w:t>Elotuzumab</w:t>
      </w:r>
      <w:proofErr w:type="spellEnd"/>
      <w:r w:rsidRPr="008D3007">
        <w:t xml:space="preserve"> consists of the complementary determining regions (CDR) of the mouse antibody MuLuc63 grafted onto human IgG1 heavy and kappa light chain frameworks. </w:t>
      </w:r>
      <w:proofErr w:type="spellStart"/>
      <w:r w:rsidRPr="008D3007">
        <w:t>Elotuzumab</w:t>
      </w:r>
      <w:proofErr w:type="spellEnd"/>
      <w:r w:rsidRPr="008D3007">
        <w:t xml:space="preserve"> is produced in NS0 cells by recombinant DNA technology. Purified </w:t>
      </w:r>
      <w:proofErr w:type="spellStart"/>
      <w:r w:rsidRPr="008D3007">
        <w:t>elotuzumab</w:t>
      </w:r>
      <w:proofErr w:type="spellEnd"/>
      <w:r w:rsidRPr="008D3007">
        <w:t xml:space="preserve"> IgG1 has been shown to have an affinity to SLAMF7 in the range of 30 to 45 </w:t>
      </w:r>
      <w:proofErr w:type="spellStart"/>
      <w:r w:rsidRPr="008D3007">
        <w:t>nM</w:t>
      </w:r>
      <w:proofErr w:type="spellEnd"/>
      <w:r w:rsidRPr="008D3007">
        <w:t>.</w:t>
      </w:r>
    </w:p>
    <w:p w14:paraId="24B24AF4" w14:textId="77777777" w:rsidR="008D3007" w:rsidRPr="008D3007" w:rsidRDefault="008D3007" w:rsidP="00836D25">
      <w:pPr>
        <w:pStyle w:val="EMEABodyText"/>
      </w:pPr>
      <w:proofErr w:type="spellStart"/>
      <w:r w:rsidRPr="008D3007">
        <w:t>Elotuzumab</w:t>
      </w:r>
      <w:proofErr w:type="spellEnd"/>
      <w:r w:rsidRPr="008D3007">
        <w:t xml:space="preserve"> has a theoretical mass of 148.1 </w:t>
      </w:r>
      <w:proofErr w:type="spellStart"/>
      <w:r w:rsidRPr="008D3007">
        <w:t>kDa</w:t>
      </w:r>
      <w:proofErr w:type="spellEnd"/>
      <w:r w:rsidRPr="008D3007">
        <w:t xml:space="preserve"> for the intact antibody. The </w:t>
      </w:r>
      <w:proofErr w:type="spellStart"/>
      <w:r w:rsidRPr="008D3007">
        <w:t>elotuzumab</w:t>
      </w:r>
      <w:proofErr w:type="spellEnd"/>
      <w:r w:rsidRPr="008D3007">
        <w:t xml:space="preserve"> molecule consists of two identical heavy chain subunits and two identical light chain subunits which are covalently linked through disulfide bridges. The light and heavy chains have masses of 23.4 </w:t>
      </w:r>
      <w:proofErr w:type="spellStart"/>
      <w:r w:rsidRPr="008D3007">
        <w:t>kDa</w:t>
      </w:r>
      <w:proofErr w:type="spellEnd"/>
      <w:r w:rsidRPr="008D3007">
        <w:t xml:space="preserve"> and 50.6 </w:t>
      </w:r>
      <w:proofErr w:type="spellStart"/>
      <w:r w:rsidRPr="008D3007">
        <w:t>kDa</w:t>
      </w:r>
      <w:proofErr w:type="spellEnd"/>
      <w:r w:rsidRPr="008D3007">
        <w:t>, respectively. These molecular weights exclude the contributions of glycosylation and other posttranslational modifications.</w:t>
      </w:r>
    </w:p>
    <w:p w14:paraId="4960D87E" w14:textId="77777777" w:rsidR="00954716" w:rsidRDefault="00954716" w:rsidP="0006031A">
      <w:pPr>
        <w:pStyle w:val="A-Heading1"/>
        <w:spacing w:before="0" w:after="0" w:line="240" w:lineRule="auto"/>
        <w:rPr>
          <w:lang w:val="en-AU"/>
        </w:rPr>
      </w:pPr>
      <w:r w:rsidRPr="008D28D2">
        <w:rPr>
          <w:lang w:val="en-AU"/>
        </w:rPr>
        <w:t>DESCRIPTION</w:t>
      </w:r>
    </w:p>
    <w:p w14:paraId="40834C36" w14:textId="77777777" w:rsidR="00B16BDD" w:rsidRDefault="008D3007" w:rsidP="00836D25">
      <w:pPr>
        <w:pStyle w:val="EMEABodyText"/>
        <w:rPr>
          <w:noProof/>
        </w:rPr>
      </w:pPr>
      <w:r w:rsidRPr="008D3007">
        <w:t xml:space="preserve">EMPLICITI is a </w:t>
      </w:r>
      <w:proofErr w:type="spellStart"/>
      <w:r w:rsidRPr="008D3007">
        <w:t>nonpyrogenic</w:t>
      </w:r>
      <w:proofErr w:type="spellEnd"/>
      <w:r w:rsidRPr="008D3007">
        <w:t xml:space="preserve"> lyophilized powder that is a white to off-white, whole or fragmented cake that is provided in two strengths. </w:t>
      </w:r>
      <w:proofErr w:type="gramStart"/>
      <w:r w:rsidRPr="008D3007">
        <w:t>EMPLICITI  for</w:t>
      </w:r>
      <w:proofErr w:type="gramEnd"/>
      <w:r w:rsidRPr="008D3007">
        <w:t xml:space="preserve"> Injection, 400 mg per vial and EMPLICITI for Injection, 300 mg per vial are single-use, sterile, </w:t>
      </w:r>
      <w:proofErr w:type="spellStart"/>
      <w:r w:rsidRPr="008D3007">
        <w:t>nonpyrogenic</w:t>
      </w:r>
      <w:proofErr w:type="spellEnd"/>
      <w:r w:rsidRPr="008D3007">
        <w:t xml:space="preserve"> lyophilized products.</w:t>
      </w:r>
      <w:r>
        <w:t xml:space="preserve"> </w:t>
      </w:r>
      <w:r w:rsidR="004A17F3" w:rsidRPr="004A17F3">
        <w:rPr>
          <w:noProof/>
        </w:rPr>
        <w:t>Each single use 300 mg vial con</w:t>
      </w:r>
      <w:r w:rsidR="000100D0">
        <w:rPr>
          <w:noProof/>
        </w:rPr>
        <w:t>tains</w:t>
      </w:r>
      <w:r w:rsidR="004A17F3" w:rsidRPr="004A17F3">
        <w:rPr>
          <w:noProof/>
        </w:rPr>
        <w:t xml:space="preserve"> 340 mg </w:t>
      </w:r>
      <w:proofErr w:type="spellStart"/>
      <w:r w:rsidR="004A17F3" w:rsidRPr="004A17F3">
        <w:t>Elotuzumab</w:t>
      </w:r>
      <w:proofErr w:type="spellEnd"/>
      <w:r w:rsidR="004A17F3" w:rsidRPr="004A17F3">
        <w:t xml:space="preserve">, 16.6 mg </w:t>
      </w:r>
      <w:r w:rsidR="004A17F3" w:rsidRPr="004A17F3">
        <w:rPr>
          <w:noProof/>
        </w:rPr>
        <w:t>Sodium citrate, 2.44mg of citric acid monohydrate, 510</w:t>
      </w:r>
      <w:r w:rsidR="008D5EDE">
        <w:rPr>
          <w:noProof/>
        </w:rPr>
        <w:t xml:space="preserve"> </w:t>
      </w:r>
      <w:r w:rsidR="004A17F3" w:rsidRPr="004A17F3">
        <w:rPr>
          <w:noProof/>
        </w:rPr>
        <w:t xml:space="preserve">mg sucrose, 3.40 mg Polysorbate 80. </w:t>
      </w:r>
      <w:r w:rsidR="004A17F3" w:rsidRPr="004A17F3">
        <w:t>Each single use 400 mg vial c</w:t>
      </w:r>
      <w:r w:rsidR="000100D0">
        <w:t>ontains</w:t>
      </w:r>
      <w:r w:rsidR="004A17F3" w:rsidRPr="004A17F3">
        <w:t xml:space="preserve"> 440</w:t>
      </w:r>
      <w:r w:rsidR="008D5EDE">
        <w:t xml:space="preserve"> </w:t>
      </w:r>
      <w:r w:rsidR="004A17F3" w:rsidRPr="004A17F3">
        <w:t xml:space="preserve">mg of </w:t>
      </w:r>
      <w:proofErr w:type="spellStart"/>
      <w:r w:rsidR="004A17F3" w:rsidRPr="004A17F3">
        <w:t>Elotuzumab</w:t>
      </w:r>
      <w:proofErr w:type="spellEnd"/>
      <w:r w:rsidR="004A17F3" w:rsidRPr="004A17F3">
        <w:t xml:space="preserve">, 21.5 mg </w:t>
      </w:r>
      <w:r w:rsidR="004A17F3" w:rsidRPr="004A17F3">
        <w:rPr>
          <w:noProof/>
        </w:rPr>
        <w:t>Sodium citrate, 3.17 mg of citric acid monohydrate, 660 mg sucrose, 4.40 mg Polysorbate 80</w:t>
      </w:r>
      <w:r w:rsidR="004A17F3" w:rsidRPr="008D3007">
        <w:rPr>
          <w:noProof/>
        </w:rPr>
        <w:t>.</w:t>
      </w:r>
    </w:p>
    <w:p w14:paraId="0CFF0D71" w14:textId="5C97A434" w:rsidR="00FD6553" w:rsidRPr="008D3007" w:rsidRDefault="00FD6553" w:rsidP="0030288C">
      <w:pPr>
        <w:pStyle w:val="EMEABodyText"/>
        <w:rPr>
          <w:noProof/>
          <w:szCs w:val="24"/>
        </w:rPr>
      </w:pPr>
      <w:r w:rsidRPr="00FD6553">
        <w:rPr>
          <w:szCs w:val="24"/>
        </w:rPr>
        <w:t>EMPLICITI for Injection vials require reconstitution with Sterile Water for Injection, BP (13 mL and 17 mL, respectively) to obtain a solution with a concentration of 25 mg/</w:t>
      </w:r>
      <w:proofErr w:type="spellStart"/>
      <w:r w:rsidRPr="00FD6553">
        <w:rPr>
          <w:szCs w:val="24"/>
        </w:rPr>
        <w:t>mL.</w:t>
      </w:r>
      <w:proofErr w:type="spellEnd"/>
      <w:r w:rsidRPr="00FD6553">
        <w:rPr>
          <w:szCs w:val="24"/>
        </w:rPr>
        <w:t xml:space="preserve"> After reconstitution, each vial contains overfill to allow for withdrawal of 12 mL (300 mg) and 16 mL (400 mg).  The reconstituted solution has a pH of 5.7 – 6.3 in sterile water for injection BP and is intravenously administered as an isotonic solution upon further dilution with 0.9% </w:t>
      </w:r>
      <w:r>
        <w:rPr>
          <w:szCs w:val="24"/>
        </w:rPr>
        <w:t>s</w:t>
      </w:r>
      <w:r w:rsidRPr="00FD6553">
        <w:rPr>
          <w:szCs w:val="24"/>
        </w:rPr>
        <w:t xml:space="preserve">odium chloride or </w:t>
      </w:r>
      <w:r>
        <w:rPr>
          <w:szCs w:val="24"/>
        </w:rPr>
        <w:t>5% glucose</w:t>
      </w:r>
      <w:r w:rsidRPr="00FD6553">
        <w:rPr>
          <w:szCs w:val="24"/>
        </w:rPr>
        <w:t>.</w:t>
      </w:r>
    </w:p>
    <w:p w14:paraId="3F2C83C7" w14:textId="77777777" w:rsidR="00877F96" w:rsidRPr="008D28D2" w:rsidRDefault="00877F96" w:rsidP="00836D25">
      <w:pPr>
        <w:pStyle w:val="EMEABodyText"/>
      </w:pPr>
      <w:r w:rsidRPr="008D28D2">
        <w:t>CAS number</w:t>
      </w:r>
      <w:r w:rsidRPr="004B7762">
        <w:t xml:space="preserve">: </w:t>
      </w:r>
      <w:r w:rsidRPr="004B7762">
        <w:rPr>
          <w:lang w:eastAsia="en-AU"/>
        </w:rPr>
        <w:t>915296-00-3</w:t>
      </w:r>
    </w:p>
    <w:p w14:paraId="432769DA" w14:textId="77777777" w:rsidR="00954716" w:rsidRPr="008D28D2" w:rsidRDefault="00954716" w:rsidP="0006031A">
      <w:pPr>
        <w:pStyle w:val="A-Heading1"/>
        <w:spacing w:before="0" w:after="0" w:line="240" w:lineRule="auto"/>
      </w:pPr>
      <w:r w:rsidRPr="008D28D2">
        <w:t>PHARMACOLOGY</w:t>
      </w:r>
    </w:p>
    <w:p w14:paraId="682A71A7" w14:textId="77777777" w:rsidR="000F1D80" w:rsidRDefault="000F1D80" w:rsidP="00E560C5">
      <w:pPr>
        <w:pStyle w:val="A-Heading2"/>
        <w:spacing w:before="120" w:line="240" w:lineRule="auto"/>
        <w:rPr>
          <w:i w:val="0"/>
          <w:szCs w:val="24"/>
        </w:rPr>
      </w:pPr>
      <w:r>
        <w:rPr>
          <w:szCs w:val="24"/>
        </w:rPr>
        <w:t>General</w:t>
      </w:r>
    </w:p>
    <w:p w14:paraId="57C6B245" w14:textId="77777777" w:rsidR="00B16BDD" w:rsidRDefault="00954716" w:rsidP="00311101">
      <w:pPr>
        <w:pStyle w:val="A-Heading2"/>
        <w:spacing w:before="0" w:after="0" w:line="240" w:lineRule="auto"/>
        <w:rPr>
          <w:szCs w:val="24"/>
        </w:rPr>
      </w:pPr>
      <w:r w:rsidRPr="00311101">
        <w:rPr>
          <w:szCs w:val="24"/>
        </w:rPr>
        <w:t>Mechanism of Action</w:t>
      </w:r>
    </w:p>
    <w:p w14:paraId="76C32098" w14:textId="080F8DFC" w:rsidR="00847979" w:rsidRPr="00847979" w:rsidRDefault="00847979" w:rsidP="00847979">
      <w:pPr>
        <w:pStyle w:val="EMEABodyText"/>
        <w:rPr>
          <w:rFonts w:eastAsia="TimesNewRoman"/>
          <w:szCs w:val="24"/>
          <w:lang w:val="en-US"/>
        </w:rPr>
      </w:pPr>
      <w:proofErr w:type="spellStart"/>
      <w:r w:rsidRPr="00847979">
        <w:rPr>
          <w:rFonts w:eastAsia="TimesNewRoman"/>
          <w:szCs w:val="24"/>
          <w:lang w:val="en-US"/>
        </w:rPr>
        <w:t>Elotuzumab</w:t>
      </w:r>
      <w:proofErr w:type="spellEnd"/>
      <w:r w:rsidRPr="00847979">
        <w:rPr>
          <w:rFonts w:eastAsia="TimesNewRoman"/>
          <w:szCs w:val="24"/>
          <w:lang w:val="en-US"/>
        </w:rPr>
        <w:t xml:space="preserve"> is an </w:t>
      </w:r>
      <w:proofErr w:type="spellStart"/>
      <w:r w:rsidRPr="00847979">
        <w:rPr>
          <w:rFonts w:eastAsia="TimesNewRoman"/>
          <w:szCs w:val="24"/>
          <w:lang w:val="en-US"/>
        </w:rPr>
        <w:t>immunostimulatory</w:t>
      </w:r>
      <w:proofErr w:type="spellEnd"/>
      <w:r w:rsidRPr="00847979">
        <w:rPr>
          <w:rFonts w:eastAsia="TimesNewRoman"/>
          <w:szCs w:val="24"/>
          <w:lang w:val="en-US"/>
        </w:rPr>
        <w:t xml:space="preserve"> </w:t>
      </w:r>
      <w:proofErr w:type="spellStart"/>
      <w:r w:rsidRPr="00847979">
        <w:rPr>
          <w:rFonts w:eastAsia="TimesNewRoman"/>
          <w:szCs w:val="24"/>
          <w:lang w:val="en-US"/>
        </w:rPr>
        <w:t>humanised</w:t>
      </w:r>
      <w:proofErr w:type="spellEnd"/>
      <w:r w:rsidRPr="00847979">
        <w:rPr>
          <w:rFonts w:eastAsia="TimesNewRoman"/>
          <w:szCs w:val="24"/>
          <w:lang w:val="en-US"/>
        </w:rPr>
        <w:t xml:space="preserve">, IgG1 monoclonal antibody that specifically targets the SLAMF7 (signaling lymphocyte activation molecule family member 7) protein. SLAMF7 is highly expressed on multiple myeloma cells independent of cytogenetic abnormalities. SLAMF7 is also expressed on natural killer cells, </w:t>
      </w:r>
      <w:r w:rsidR="00576B82">
        <w:rPr>
          <w:rFonts w:eastAsia="TimesNewRoman"/>
          <w:szCs w:val="24"/>
          <w:lang w:val="en-US"/>
        </w:rPr>
        <w:t xml:space="preserve">natural killer T cells, </w:t>
      </w:r>
      <w:r w:rsidRPr="00847979">
        <w:rPr>
          <w:rFonts w:eastAsia="TimesNewRoman"/>
          <w:szCs w:val="24"/>
          <w:lang w:val="en-US"/>
        </w:rPr>
        <w:t>plasma cells</w:t>
      </w:r>
      <w:r w:rsidR="008156CE">
        <w:rPr>
          <w:rFonts w:eastAsia="TimesNewRoman"/>
          <w:szCs w:val="24"/>
          <w:lang w:val="en-US"/>
        </w:rPr>
        <w:t>,</w:t>
      </w:r>
      <w:r w:rsidRPr="00847979">
        <w:rPr>
          <w:rFonts w:eastAsia="TimesNewRoman"/>
          <w:szCs w:val="24"/>
          <w:lang w:val="en-US"/>
        </w:rPr>
        <w:t xml:space="preserve"> and at lower levels on </w:t>
      </w:r>
      <w:r w:rsidR="00576B82">
        <w:rPr>
          <w:rFonts w:eastAsia="TimesNewRoman"/>
          <w:szCs w:val="24"/>
          <w:lang w:val="en-US"/>
        </w:rPr>
        <w:t xml:space="preserve">some CD8+ T cells and other </w:t>
      </w:r>
      <w:r w:rsidRPr="00847979">
        <w:rPr>
          <w:rFonts w:eastAsia="TimesNewRoman"/>
          <w:szCs w:val="24"/>
          <w:lang w:val="en-US"/>
        </w:rPr>
        <w:t>specific immune cell subsets, but is not detected on normal solid tissues or hematopoietic stem cells.</w:t>
      </w:r>
    </w:p>
    <w:p w14:paraId="71866DEB" w14:textId="16E8244E" w:rsidR="00847979" w:rsidRPr="00847979" w:rsidRDefault="00847979" w:rsidP="00847979">
      <w:pPr>
        <w:pStyle w:val="EMEABodyText"/>
        <w:rPr>
          <w:szCs w:val="24"/>
        </w:rPr>
      </w:pPr>
      <w:proofErr w:type="spellStart"/>
      <w:r w:rsidRPr="00847979">
        <w:rPr>
          <w:rStyle w:val="bumpedfont15"/>
          <w:szCs w:val="24"/>
        </w:rPr>
        <w:lastRenderedPageBreak/>
        <w:t>Elotuzumab</w:t>
      </w:r>
      <w:proofErr w:type="spellEnd"/>
      <w:r w:rsidRPr="00847979">
        <w:rPr>
          <w:rStyle w:val="bumpedfont15"/>
          <w:szCs w:val="24"/>
        </w:rPr>
        <w:t> targets SLAMF7 on myeloma cells and facilitates the interaction with natural killer cells </w:t>
      </w:r>
      <w:r w:rsidR="00576B82">
        <w:rPr>
          <w:rStyle w:val="bumpedfont15"/>
          <w:szCs w:val="24"/>
        </w:rPr>
        <w:t xml:space="preserve">(via Fc receptors) </w:t>
      </w:r>
      <w:r w:rsidRPr="00847979">
        <w:rPr>
          <w:rStyle w:val="bumpedfont15"/>
          <w:szCs w:val="24"/>
        </w:rPr>
        <w:t>to mediate the killing of myeloma cells through antibody</w:t>
      </w:r>
      <w:r w:rsidRPr="00847979">
        <w:rPr>
          <w:rStyle w:val="bumpedfont15"/>
          <w:szCs w:val="24"/>
        </w:rPr>
        <w:noBreakHyphen/>
        <w:t xml:space="preserve">dependent cellular cytotoxicity (ADCC). </w:t>
      </w:r>
      <w:proofErr w:type="spellStart"/>
      <w:r w:rsidR="00576B82">
        <w:rPr>
          <w:rStyle w:val="bumpedfont15"/>
          <w:szCs w:val="24"/>
        </w:rPr>
        <w:t>Elotuzumab</w:t>
      </w:r>
      <w:proofErr w:type="spellEnd"/>
      <w:r w:rsidR="00576B82">
        <w:rPr>
          <w:rStyle w:val="bumpedfont15"/>
          <w:szCs w:val="24"/>
        </w:rPr>
        <w:t xml:space="preserve"> also directly activates natural killer cells through the SLAMF7 pathway to enhance anti-myeloma activity </w:t>
      </w:r>
      <w:r w:rsidR="00576B82" w:rsidRPr="00576B82">
        <w:rPr>
          <w:rStyle w:val="bumpedfont15"/>
          <w:i/>
          <w:szCs w:val="24"/>
        </w:rPr>
        <w:t>in vitro</w:t>
      </w:r>
      <w:r w:rsidR="00576B82">
        <w:rPr>
          <w:rStyle w:val="bumpedfont15"/>
          <w:szCs w:val="24"/>
        </w:rPr>
        <w:t xml:space="preserve">. </w:t>
      </w:r>
      <w:r w:rsidRPr="00847979">
        <w:rPr>
          <w:rStyle w:val="bumpedfont15"/>
          <w:szCs w:val="24"/>
        </w:rPr>
        <w:t xml:space="preserve">In preclinical models, </w:t>
      </w:r>
      <w:proofErr w:type="spellStart"/>
      <w:r w:rsidRPr="00847979">
        <w:rPr>
          <w:rStyle w:val="bumpedfont15"/>
          <w:szCs w:val="24"/>
        </w:rPr>
        <w:t>elotuzumab</w:t>
      </w:r>
      <w:proofErr w:type="spellEnd"/>
      <w:r w:rsidRPr="00847979">
        <w:rPr>
          <w:rStyle w:val="bumpedfont15"/>
          <w:szCs w:val="24"/>
        </w:rPr>
        <w:t xml:space="preserve"> has demonstrated synergistic activity when combined with </w:t>
      </w:r>
      <w:proofErr w:type="spellStart"/>
      <w:r w:rsidRPr="00847979">
        <w:rPr>
          <w:rStyle w:val="bumpedfont15"/>
          <w:szCs w:val="24"/>
        </w:rPr>
        <w:t>lenalidomide</w:t>
      </w:r>
      <w:proofErr w:type="spellEnd"/>
      <w:r w:rsidRPr="00847979">
        <w:rPr>
          <w:rStyle w:val="bumpedfont15"/>
          <w:szCs w:val="24"/>
        </w:rPr>
        <w:t xml:space="preserve"> or </w:t>
      </w:r>
      <w:proofErr w:type="spellStart"/>
      <w:r w:rsidRPr="00847979">
        <w:rPr>
          <w:rStyle w:val="bumpedfont15"/>
          <w:szCs w:val="24"/>
        </w:rPr>
        <w:t>bortezomib</w:t>
      </w:r>
      <w:proofErr w:type="spellEnd"/>
      <w:r w:rsidRPr="00847979">
        <w:rPr>
          <w:rStyle w:val="bumpedfont15"/>
          <w:szCs w:val="24"/>
        </w:rPr>
        <w:t>.</w:t>
      </w:r>
    </w:p>
    <w:p w14:paraId="2033AF91" w14:textId="6A6864AA" w:rsidR="00847979" w:rsidRPr="00836D25" w:rsidRDefault="00954716" w:rsidP="00836D25">
      <w:pPr>
        <w:pStyle w:val="A-Heading3"/>
        <w:spacing w:after="0" w:line="240" w:lineRule="auto"/>
        <w:jc w:val="both"/>
      </w:pPr>
      <w:r w:rsidRPr="008D28D2">
        <w:t>Pharmacokinetics</w:t>
      </w:r>
    </w:p>
    <w:p w14:paraId="189E1994" w14:textId="41EAB83B" w:rsidR="006F1B16" w:rsidRPr="00954FB5" w:rsidRDefault="00954716" w:rsidP="00836D25">
      <w:pPr>
        <w:pStyle w:val="A-Heading3"/>
        <w:tabs>
          <w:tab w:val="left" w:pos="3491"/>
        </w:tabs>
        <w:spacing w:after="0" w:line="240" w:lineRule="auto"/>
        <w:jc w:val="both"/>
        <w:rPr>
          <w:szCs w:val="24"/>
        </w:rPr>
      </w:pPr>
      <w:r w:rsidRPr="00954FB5">
        <w:rPr>
          <w:szCs w:val="24"/>
        </w:rPr>
        <w:t>Absorption</w:t>
      </w:r>
    </w:p>
    <w:p w14:paraId="59FD6054" w14:textId="4BC78AC4" w:rsidR="006335AE" w:rsidRPr="00954FB5" w:rsidRDefault="006F1B16" w:rsidP="00836D25">
      <w:pPr>
        <w:pStyle w:val="EMEABodyText"/>
      </w:pPr>
      <w:proofErr w:type="spellStart"/>
      <w:r w:rsidRPr="00954FB5">
        <w:t>Elotuzumab</w:t>
      </w:r>
      <w:proofErr w:type="spellEnd"/>
      <w:r w:rsidRPr="00954FB5">
        <w:t xml:space="preserve"> is administered </w:t>
      </w:r>
      <w:r w:rsidR="00603C75" w:rsidRPr="00954FB5">
        <w:t>intravenously</w:t>
      </w:r>
      <w:r w:rsidRPr="00954FB5">
        <w:t>.</w:t>
      </w:r>
    </w:p>
    <w:p w14:paraId="686563AF" w14:textId="77777777" w:rsidR="00F90B0C" w:rsidRPr="00954FB5" w:rsidRDefault="00F90B0C" w:rsidP="00954FB5">
      <w:pPr>
        <w:pStyle w:val="A-Heading3"/>
        <w:spacing w:after="0" w:line="240" w:lineRule="auto"/>
        <w:rPr>
          <w:szCs w:val="24"/>
        </w:rPr>
      </w:pPr>
      <w:r w:rsidRPr="00954FB5">
        <w:rPr>
          <w:szCs w:val="24"/>
        </w:rPr>
        <w:t>Distribution</w:t>
      </w:r>
    </w:p>
    <w:p w14:paraId="4F83984E" w14:textId="77777777" w:rsidR="00B16BDD" w:rsidRDefault="006335AE" w:rsidP="00836D25">
      <w:pPr>
        <w:pStyle w:val="EMEABodyText"/>
      </w:pPr>
      <w:r w:rsidRPr="00847979">
        <w:t xml:space="preserve">The pharmacokinetics of </w:t>
      </w:r>
      <w:proofErr w:type="spellStart"/>
      <w:r w:rsidRPr="00847979">
        <w:t>elotuzumab</w:t>
      </w:r>
      <w:proofErr w:type="spellEnd"/>
      <w:r w:rsidRPr="00847979">
        <w:t xml:space="preserve"> was studied in patients with multiple myeloma who received </w:t>
      </w:r>
      <w:r w:rsidRPr="00836D25">
        <w:t>doses</w:t>
      </w:r>
      <w:r w:rsidRPr="00847979">
        <w:t xml:space="preserve"> ranging from 0.5 to 20 mg/kg. </w:t>
      </w:r>
      <w:proofErr w:type="spellStart"/>
      <w:r w:rsidRPr="00847979">
        <w:t>Elotuzumab</w:t>
      </w:r>
      <w:proofErr w:type="spellEnd"/>
      <w:r w:rsidRPr="00847979">
        <w:t xml:space="preserve"> exhibits nonlinear pharmacokinetics with clearance of </w:t>
      </w:r>
      <w:proofErr w:type="spellStart"/>
      <w:r w:rsidRPr="00847979">
        <w:t>elotuzumab</w:t>
      </w:r>
      <w:proofErr w:type="spellEnd"/>
      <w:r w:rsidRPr="00847979">
        <w:t xml:space="preserve"> decreasing from </w:t>
      </w:r>
      <w:r w:rsidR="000B2BF3">
        <w:t xml:space="preserve">19.2 to 5.3 17.5 to 5.8 </w:t>
      </w:r>
      <w:r w:rsidRPr="00847979">
        <w:t>mL/day/kg with an increase in dose from 0.5 to 20 mg/kg, suggesting target</w:t>
      </w:r>
      <w:r w:rsidRPr="00847979">
        <w:noBreakHyphen/>
        <w:t xml:space="preserve">mediated clearance, resulting in greater than proportional increases in </w:t>
      </w:r>
      <w:r w:rsidRPr="00847979">
        <w:rPr>
          <w:lang w:val="en-US"/>
        </w:rPr>
        <w:t xml:space="preserve">Area under the Concentration time curve (AUC). The volume of distribution for </w:t>
      </w:r>
      <w:proofErr w:type="spellStart"/>
      <w:r w:rsidRPr="00847979">
        <w:rPr>
          <w:lang w:val="en-US"/>
        </w:rPr>
        <w:t>elotuzumab</w:t>
      </w:r>
      <w:proofErr w:type="spellEnd"/>
      <w:r w:rsidRPr="00847979">
        <w:rPr>
          <w:lang w:val="en-US"/>
        </w:rPr>
        <w:t xml:space="preserve"> approximated the serum volume and appeared to be independent of dose. Upon discontinuation of </w:t>
      </w:r>
      <w:proofErr w:type="spellStart"/>
      <w:r w:rsidRPr="00847979">
        <w:rPr>
          <w:lang w:val="en-US"/>
        </w:rPr>
        <w:t>elotuzumab</w:t>
      </w:r>
      <w:proofErr w:type="spellEnd"/>
      <w:r w:rsidRPr="00847979">
        <w:rPr>
          <w:lang w:val="en-US"/>
        </w:rPr>
        <w:t>, concentrations will decrease to approximately 3% (approximately 97% washout) of the population predicted steady</w:t>
      </w:r>
      <w:r w:rsidRPr="00847979">
        <w:rPr>
          <w:lang w:val="en-US"/>
        </w:rPr>
        <w:noBreakHyphen/>
        <w:t xml:space="preserve">state maximal serum concentration by 3 months. </w:t>
      </w:r>
      <w:r w:rsidRPr="00847979">
        <w:t xml:space="preserve">Administration of 10 mg/kg </w:t>
      </w:r>
      <w:proofErr w:type="spellStart"/>
      <w:r w:rsidRPr="00847979">
        <w:t>elotuzumab</w:t>
      </w:r>
      <w:proofErr w:type="spellEnd"/>
      <w:r w:rsidRPr="00847979">
        <w:t xml:space="preserve"> treatment resulted in steady</w:t>
      </w:r>
      <w:r w:rsidRPr="00847979">
        <w:noBreakHyphen/>
        <w:t>state trough concentrations in excess of 70 </w:t>
      </w:r>
      <w:r w:rsidRPr="00847979">
        <w:sym w:font="Symbol" w:char="F06D"/>
      </w:r>
      <w:r w:rsidRPr="00847979">
        <w:t xml:space="preserve">g/mL, </w:t>
      </w:r>
      <w:r w:rsidR="00E87DE6" w:rsidRPr="00847979">
        <w:rPr>
          <w:lang w:val="en-US"/>
        </w:rPr>
        <w:t>the target</w:t>
      </w:r>
      <w:r w:rsidRPr="00847979">
        <w:rPr>
          <w:lang w:val="en-US"/>
        </w:rPr>
        <w:t xml:space="preserve"> threshold concentration for maximal efficacy observed in the preclinical xenograft human multiple myeloma mouse model</w:t>
      </w:r>
      <w:r w:rsidRPr="00847979">
        <w:t>.</w:t>
      </w:r>
    </w:p>
    <w:p w14:paraId="0D589358" w14:textId="7CB1E3F8" w:rsidR="00954716" w:rsidRDefault="00954716" w:rsidP="006F1B16">
      <w:pPr>
        <w:pStyle w:val="A-Heading3"/>
        <w:spacing w:after="0" w:line="240" w:lineRule="auto"/>
      </w:pPr>
      <w:r w:rsidRPr="008D28D2">
        <w:t>Special Populations</w:t>
      </w:r>
    </w:p>
    <w:p w14:paraId="59BF4CC3" w14:textId="77777777" w:rsidR="006335AE" w:rsidRPr="00847979" w:rsidRDefault="006335AE" w:rsidP="006335AE">
      <w:pPr>
        <w:pStyle w:val="EMEABodyText"/>
        <w:rPr>
          <w:szCs w:val="24"/>
        </w:rPr>
      </w:pPr>
      <w:r w:rsidRPr="00847979">
        <w:rPr>
          <w:szCs w:val="24"/>
        </w:rPr>
        <w:t xml:space="preserve">Based on a population PK analysis using data from 375 patients, the clearance of </w:t>
      </w:r>
      <w:proofErr w:type="spellStart"/>
      <w:r w:rsidRPr="00847979">
        <w:rPr>
          <w:szCs w:val="24"/>
        </w:rPr>
        <w:t>elotuzumab</w:t>
      </w:r>
      <w:proofErr w:type="spellEnd"/>
      <w:r w:rsidRPr="00847979">
        <w:rPr>
          <w:szCs w:val="24"/>
        </w:rPr>
        <w:t xml:space="preserve"> increased with increasing body weight supporting a weight</w:t>
      </w:r>
      <w:r w:rsidRPr="00847979">
        <w:rPr>
          <w:szCs w:val="24"/>
        </w:rPr>
        <w:noBreakHyphen/>
        <w:t xml:space="preserve">based dose. The population PK analysis suggested that the following factors had no clinically important effect on the clearance of </w:t>
      </w:r>
      <w:proofErr w:type="spellStart"/>
      <w:r w:rsidRPr="00847979">
        <w:rPr>
          <w:szCs w:val="24"/>
        </w:rPr>
        <w:t>elotuzumab</w:t>
      </w:r>
      <w:proofErr w:type="spellEnd"/>
      <w:r w:rsidRPr="00847979">
        <w:rPr>
          <w:szCs w:val="24"/>
        </w:rPr>
        <w:t>: age (37 to 88 years), gender, race, baseline LDH, albumin, renal impairment, and mild hepatic impairment.</w:t>
      </w:r>
    </w:p>
    <w:p w14:paraId="21135C3C" w14:textId="77777777" w:rsidR="00A66DCA" w:rsidRPr="00A32D97" w:rsidRDefault="00A66DCA" w:rsidP="00A66DCA">
      <w:pPr>
        <w:pStyle w:val="A-Heading4"/>
        <w:spacing w:after="0" w:line="240" w:lineRule="auto"/>
        <w:jc w:val="both"/>
      </w:pPr>
      <w:r w:rsidRPr="00A32D97">
        <w:t>Renal Impairment</w:t>
      </w:r>
    </w:p>
    <w:p w14:paraId="1468D50F" w14:textId="77777777" w:rsidR="00A66DCA" w:rsidRPr="00A32D97" w:rsidRDefault="00A66DCA" w:rsidP="00A66DCA">
      <w:pPr>
        <w:pStyle w:val="EMEABodyText"/>
        <w:rPr>
          <w:szCs w:val="24"/>
        </w:rPr>
      </w:pPr>
      <w:r w:rsidRPr="00A32D97">
        <w:rPr>
          <w:szCs w:val="24"/>
        </w:rPr>
        <w:t>An open</w:t>
      </w:r>
      <w:r w:rsidRPr="00A32D97">
        <w:rPr>
          <w:szCs w:val="24"/>
        </w:rPr>
        <w:noBreakHyphen/>
        <w:t xml:space="preserve">label study evaluated the pharmacokinetics of </w:t>
      </w:r>
      <w:proofErr w:type="spellStart"/>
      <w:r w:rsidRPr="00A32D97">
        <w:rPr>
          <w:szCs w:val="24"/>
        </w:rPr>
        <w:t>elotuzumab</w:t>
      </w:r>
      <w:proofErr w:type="spellEnd"/>
      <w:r w:rsidRPr="00A32D97">
        <w:rPr>
          <w:szCs w:val="24"/>
        </w:rPr>
        <w:t xml:space="preserve"> in combination with </w:t>
      </w:r>
      <w:proofErr w:type="spellStart"/>
      <w:r w:rsidRPr="00A32D97">
        <w:rPr>
          <w:szCs w:val="24"/>
        </w:rPr>
        <w:t>lenalidomide</w:t>
      </w:r>
      <w:proofErr w:type="spellEnd"/>
      <w:r w:rsidRPr="00A32D97">
        <w:rPr>
          <w:szCs w:val="24"/>
        </w:rPr>
        <w:t xml:space="preserve"> and dexamethasone in patients with multiple myeloma with varying degrees of renal impairment (classified using the </w:t>
      </w:r>
      <w:proofErr w:type="spellStart"/>
      <w:r w:rsidRPr="00A32D97">
        <w:rPr>
          <w:szCs w:val="24"/>
        </w:rPr>
        <w:t>CrCL</w:t>
      </w:r>
      <w:proofErr w:type="spellEnd"/>
      <w:r w:rsidRPr="00A32D97">
        <w:rPr>
          <w:szCs w:val="24"/>
        </w:rPr>
        <w:t xml:space="preserve"> values). The effect of renal impairment on the pharmacokinetics of </w:t>
      </w:r>
      <w:proofErr w:type="spellStart"/>
      <w:r w:rsidRPr="00A32D97">
        <w:rPr>
          <w:szCs w:val="24"/>
        </w:rPr>
        <w:t>elotuzumab</w:t>
      </w:r>
      <w:proofErr w:type="spellEnd"/>
      <w:r w:rsidRPr="00A32D97">
        <w:rPr>
          <w:szCs w:val="24"/>
        </w:rPr>
        <w:t xml:space="preserve"> was evaluated in patients with normal renal function (</w:t>
      </w:r>
      <w:proofErr w:type="spellStart"/>
      <w:r w:rsidRPr="00A32D97">
        <w:rPr>
          <w:szCs w:val="24"/>
          <w:lang w:eastAsia="fr-BE"/>
        </w:rPr>
        <w:t>CrCl</w:t>
      </w:r>
      <w:proofErr w:type="spellEnd"/>
      <w:r w:rsidRPr="00A32D97">
        <w:rPr>
          <w:szCs w:val="24"/>
          <w:lang w:eastAsia="fr-BE"/>
        </w:rPr>
        <w:t> &gt; 90 mL/min</w:t>
      </w:r>
      <w:r w:rsidRPr="00A32D97">
        <w:rPr>
          <w:szCs w:val="24"/>
        </w:rPr>
        <w:t>; n = 8), severe renal impairment not requiring dialysis (</w:t>
      </w:r>
      <w:proofErr w:type="spellStart"/>
      <w:r w:rsidRPr="00A32D97">
        <w:rPr>
          <w:szCs w:val="24"/>
        </w:rPr>
        <w:t>Cr</w:t>
      </w:r>
      <w:r w:rsidRPr="00A32D97">
        <w:rPr>
          <w:szCs w:val="24"/>
          <w:lang w:eastAsia="fr-BE"/>
        </w:rPr>
        <w:t>Cl</w:t>
      </w:r>
      <w:proofErr w:type="spellEnd"/>
      <w:r w:rsidRPr="00A32D97">
        <w:rPr>
          <w:szCs w:val="24"/>
          <w:lang w:eastAsia="fr-BE"/>
        </w:rPr>
        <w:t> &lt;30 mL/min</w:t>
      </w:r>
      <w:r w:rsidRPr="00A32D97">
        <w:rPr>
          <w:szCs w:val="24"/>
        </w:rPr>
        <w:t>; n = </w:t>
      </w:r>
      <w:r w:rsidR="005345DB">
        <w:rPr>
          <w:szCs w:val="24"/>
        </w:rPr>
        <w:t>9</w:t>
      </w:r>
      <w:r w:rsidRPr="00A32D97">
        <w:rPr>
          <w:szCs w:val="24"/>
        </w:rPr>
        <w:t>), or end</w:t>
      </w:r>
      <w:r w:rsidRPr="00A32D97">
        <w:rPr>
          <w:szCs w:val="24"/>
        </w:rPr>
        <w:noBreakHyphen/>
        <w:t>stage renal disease requiring dialysis (</w:t>
      </w:r>
      <w:proofErr w:type="spellStart"/>
      <w:r w:rsidRPr="00A32D97">
        <w:rPr>
          <w:szCs w:val="24"/>
          <w:lang w:eastAsia="fr-BE"/>
        </w:rPr>
        <w:t>CrCl</w:t>
      </w:r>
      <w:proofErr w:type="spellEnd"/>
      <w:r w:rsidRPr="00A32D97">
        <w:rPr>
          <w:szCs w:val="24"/>
          <w:lang w:eastAsia="fr-BE"/>
        </w:rPr>
        <w:t> &lt; 30 mL/min</w:t>
      </w:r>
      <w:r w:rsidRPr="00A32D97">
        <w:rPr>
          <w:szCs w:val="24"/>
        </w:rPr>
        <w:t>; n = </w:t>
      </w:r>
      <w:r w:rsidR="005345DB">
        <w:rPr>
          <w:szCs w:val="24"/>
        </w:rPr>
        <w:t>9</w:t>
      </w:r>
      <w:r w:rsidRPr="00A32D97">
        <w:rPr>
          <w:szCs w:val="24"/>
        </w:rPr>
        <w:t xml:space="preserve">). No clinically important differences in the pharmacokinetics of </w:t>
      </w:r>
      <w:proofErr w:type="spellStart"/>
      <w:r w:rsidRPr="00A32D97">
        <w:rPr>
          <w:szCs w:val="24"/>
        </w:rPr>
        <w:t>elotuzumab</w:t>
      </w:r>
      <w:proofErr w:type="spellEnd"/>
      <w:r w:rsidRPr="00A32D97">
        <w:rPr>
          <w:szCs w:val="24"/>
        </w:rPr>
        <w:t xml:space="preserve"> were found between patients with severe renal impairment (with and without dialysis) and patients with normal renal function </w:t>
      </w:r>
      <w:r w:rsidRPr="002D634F">
        <w:rPr>
          <w:szCs w:val="24"/>
        </w:rPr>
        <w:t>(see DOSAGE &amp; ADMINSTRATION).</w:t>
      </w:r>
    </w:p>
    <w:p w14:paraId="7D6844C9" w14:textId="77777777" w:rsidR="00954716" w:rsidRPr="00A32D97" w:rsidRDefault="00AD01DB" w:rsidP="0006031A">
      <w:pPr>
        <w:pStyle w:val="A-Heading4"/>
        <w:spacing w:after="0" w:line="240" w:lineRule="auto"/>
      </w:pPr>
      <w:r w:rsidRPr="00A32D97">
        <w:t>Hepatic</w:t>
      </w:r>
      <w:r w:rsidR="00954716" w:rsidRPr="00A32D97">
        <w:t xml:space="preserve"> Impairment</w:t>
      </w:r>
    </w:p>
    <w:p w14:paraId="0B659ABC" w14:textId="77777777" w:rsidR="00DD4DED" w:rsidRPr="00847979" w:rsidRDefault="00DD4DED" w:rsidP="00DD4DED">
      <w:pPr>
        <w:pStyle w:val="EMEABodyText"/>
        <w:rPr>
          <w:szCs w:val="24"/>
        </w:rPr>
      </w:pPr>
      <w:r w:rsidRPr="00A32D97">
        <w:rPr>
          <w:szCs w:val="24"/>
        </w:rPr>
        <w:t xml:space="preserve">The effect of hepatic impairment on the clearance of </w:t>
      </w:r>
      <w:r w:rsidR="00414823">
        <w:rPr>
          <w:szCs w:val="24"/>
        </w:rPr>
        <w:t>EMPLICITI</w:t>
      </w:r>
      <w:r w:rsidRPr="00A32D97">
        <w:rPr>
          <w:szCs w:val="24"/>
        </w:rPr>
        <w:t xml:space="preserve"> was evaluated by population PK analyses in patients with mild hepatic impairment (total bilirubin [TB] less than or equal to the upper limit of normal [ULN] and AST greater than ULN or TB less than 1 to 1.5 times ULN and any AST; n = 33). No clinically important differences in the clearance of </w:t>
      </w:r>
      <w:r w:rsidR="00414823">
        <w:rPr>
          <w:szCs w:val="24"/>
        </w:rPr>
        <w:t>EMPLICITI</w:t>
      </w:r>
      <w:r w:rsidRPr="00A32D97">
        <w:rPr>
          <w:szCs w:val="24"/>
        </w:rPr>
        <w:t xml:space="preserve"> were found between patients with mild hepatic impairment and patients with normal hepatic function. </w:t>
      </w:r>
      <w:proofErr w:type="spellStart"/>
      <w:r w:rsidRPr="00A32D97">
        <w:rPr>
          <w:szCs w:val="24"/>
        </w:rPr>
        <w:t>Elotuzumab</w:t>
      </w:r>
      <w:proofErr w:type="spellEnd"/>
      <w:r w:rsidRPr="00A32D97">
        <w:rPr>
          <w:szCs w:val="24"/>
        </w:rPr>
        <w:t xml:space="preserve"> has not been studied in patients with </w:t>
      </w:r>
      <w:r w:rsidRPr="00A32D97">
        <w:rPr>
          <w:szCs w:val="24"/>
        </w:rPr>
        <w:lastRenderedPageBreak/>
        <w:t>moderate (TB greater than 1.5 to 3 times ULN and any AST) or severe hepatic impairment (TB greater than 3 times ULN and any AST</w:t>
      </w:r>
      <w:r w:rsidR="00E87DE6" w:rsidRPr="00A32D97">
        <w:rPr>
          <w:szCs w:val="24"/>
        </w:rPr>
        <w:t>)</w:t>
      </w:r>
      <w:r w:rsidR="00E87DE6">
        <w:rPr>
          <w:szCs w:val="24"/>
        </w:rPr>
        <w:t xml:space="preserve"> </w:t>
      </w:r>
      <w:r w:rsidR="00E87DE6" w:rsidRPr="00A32D97">
        <w:rPr>
          <w:szCs w:val="24"/>
        </w:rPr>
        <w:t>(</w:t>
      </w:r>
      <w:r w:rsidRPr="00A32D97">
        <w:rPr>
          <w:szCs w:val="24"/>
        </w:rPr>
        <w:t>see DOSAGE &amp; ADMINSTRATION).</w:t>
      </w:r>
    </w:p>
    <w:p w14:paraId="687DE91B" w14:textId="77777777" w:rsidR="000F1D80" w:rsidRPr="000F1D80" w:rsidRDefault="000F1D80" w:rsidP="004F54EA">
      <w:pPr>
        <w:pStyle w:val="A-Heading4"/>
        <w:rPr>
          <w:b/>
        </w:rPr>
      </w:pPr>
      <w:r w:rsidRPr="000F1D80">
        <w:t>Cardiac Electrophysiology</w:t>
      </w:r>
    </w:p>
    <w:p w14:paraId="14F88A8A" w14:textId="77777777" w:rsidR="00B16BDD" w:rsidRDefault="000F1D80" w:rsidP="00836D25">
      <w:pPr>
        <w:pStyle w:val="EMEABodyText"/>
      </w:pPr>
      <w:r w:rsidRPr="00311101">
        <w:t xml:space="preserve">No changes in mean QT interval were detected in </w:t>
      </w:r>
      <w:r w:rsidR="00DB2C76">
        <w:t>EMPLICITI</w:t>
      </w:r>
      <w:r w:rsidRPr="00311101">
        <w:t xml:space="preserve">-treated patients based on </w:t>
      </w:r>
      <w:proofErr w:type="spellStart"/>
      <w:r w:rsidRPr="00311101">
        <w:t>Fridericia</w:t>
      </w:r>
      <w:proofErr w:type="spellEnd"/>
      <w:r w:rsidRPr="00311101">
        <w:t xml:space="preserve"> correction method. The potential effect of </w:t>
      </w:r>
      <w:proofErr w:type="spellStart"/>
      <w:r w:rsidRPr="00311101">
        <w:t>elotuzumab</w:t>
      </w:r>
      <w:proofErr w:type="spellEnd"/>
      <w:r w:rsidRPr="00311101">
        <w:t xml:space="preserve"> on </w:t>
      </w:r>
      <w:proofErr w:type="spellStart"/>
      <w:r w:rsidRPr="00311101">
        <w:t>QTc</w:t>
      </w:r>
      <w:proofErr w:type="spellEnd"/>
      <w:r w:rsidRPr="00311101">
        <w:t xml:space="preserve"> interval prolongation was evaluated in 41 patients at doses of 10 and 20 mg/kg either as monotherapy or in combination with </w:t>
      </w:r>
      <w:proofErr w:type="spellStart"/>
      <w:r w:rsidRPr="00311101">
        <w:t>lenalidomide</w:t>
      </w:r>
      <w:proofErr w:type="spellEnd"/>
      <w:r w:rsidRPr="00311101">
        <w:t xml:space="preserve"> and dexamethasone.</w:t>
      </w:r>
    </w:p>
    <w:p w14:paraId="355D1FEB" w14:textId="0676C1E1" w:rsidR="00872F7F" w:rsidRPr="00872F7F" w:rsidRDefault="00872F7F" w:rsidP="004F54EA">
      <w:pPr>
        <w:pStyle w:val="A-Heading4"/>
        <w:rPr>
          <w:b/>
          <w:shd w:val="clear" w:color="000000" w:fill="FFFFFF"/>
        </w:rPr>
      </w:pPr>
      <w:r w:rsidRPr="00872F7F">
        <w:rPr>
          <w:shd w:val="clear" w:color="000000" w:fill="FFFFFF"/>
        </w:rPr>
        <w:t>Immunogenicity</w:t>
      </w:r>
    </w:p>
    <w:p w14:paraId="509E4214" w14:textId="77777777" w:rsidR="00872F7F" w:rsidRPr="00D11390" w:rsidRDefault="00872F7F" w:rsidP="00872F7F">
      <w:pPr>
        <w:pStyle w:val="BMSBodyText"/>
        <w:rPr>
          <w:color w:val="auto"/>
        </w:rPr>
      </w:pPr>
      <w:r w:rsidRPr="00D11390">
        <w:rPr>
          <w:color w:val="auto"/>
        </w:rPr>
        <w:t xml:space="preserve">As with all therapeutic proteins, there is a potential for immunogenicity to </w:t>
      </w:r>
      <w:r>
        <w:rPr>
          <w:color w:val="auto"/>
        </w:rPr>
        <w:t>EMPLICITI</w:t>
      </w:r>
      <w:r w:rsidRPr="00D11390">
        <w:rPr>
          <w:color w:val="auto"/>
        </w:rPr>
        <w:t>.</w:t>
      </w:r>
    </w:p>
    <w:p w14:paraId="6259CC96" w14:textId="77777777" w:rsidR="00872F7F" w:rsidRPr="004B36CD" w:rsidRDefault="00872F7F" w:rsidP="00872F7F">
      <w:pPr>
        <w:pStyle w:val="EMEABodyText"/>
        <w:rPr>
          <w:noProof/>
          <w:szCs w:val="24"/>
        </w:rPr>
      </w:pPr>
      <w:r w:rsidRPr="004B36CD">
        <w:rPr>
          <w:szCs w:val="24"/>
        </w:rPr>
        <w:t xml:space="preserve">Of 390 patients across four clinical studies who were treated with </w:t>
      </w:r>
      <w:r w:rsidR="00DB2C76" w:rsidRPr="004B36CD">
        <w:rPr>
          <w:szCs w:val="24"/>
        </w:rPr>
        <w:t>EMPLICITI and</w:t>
      </w:r>
      <w:r w:rsidRPr="004B36CD">
        <w:rPr>
          <w:szCs w:val="24"/>
        </w:rPr>
        <w:t xml:space="preserve"> evaluable for the presence of anti-product antibodies, 72 patients (18.5%) tested positive for treatment-emergent anti-product antibodies by an </w:t>
      </w:r>
      <w:proofErr w:type="spellStart"/>
      <w:r w:rsidRPr="004B36CD">
        <w:rPr>
          <w:szCs w:val="24"/>
        </w:rPr>
        <w:t>electrochemiluminescent</w:t>
      </w:r>
      <w:proofErr w:type="spellEnd"/>
      <w:r w:rsidRPr="004B36CD">
        <w:rPr>
          <w:szCs w:val="24"/>
        </w:rPr>
        <w:t xml:space="preserve"> (ECL) assay. Neutralizing antibodies were detected </w:t>
      </w:r>
      <w:r w:rsidR="00584A00">
        <w:rPr>
          <w:szCs w:val="24"/>
        </w:rPr>
        <w:t xml:space="preserve">in 19 of 299 patients in </w:t>
      </w:r>
      <w:r w:rsidR="007A712B">
        <w:rPr>
          <w:szCs w:val="24"/>
        </w:rPr>
        <w:t>Eloquent-2 (</w:t>
      </w:r>
      <w:r w:rsidR="0085193E">
        <w:rPr>
          <w:szCs w:val="24"/>
        </w:rPr>
        <w:t xml:space="preserve">Study </w:t>
      </w:r>
      <w:r w:rsidR="00414823">
        <w:rPr>
          <w:szCs w:val="24"/>
        </w:rPr>
        <w:t>CA204-004</w:t>
      </w:r>
      <w:r w:rsidR="007A712B">
        <w:rPr>
          <w:szCs w:val="24"/>
        </w:rPr>
        <w:t>)</w:t>
      </w:r>
      <w:r w:rsidRPr="004B36CD">
        <w:rPr>
          <w:szCs w:val="24"/>
        </w:rPr>
        <w:t>. In the majority of patients, immunogenicity occurred early in treatment and was transient, resolving by 2 to 4 months. There was no clear causal evidence of altered pharmacokinetic, efficacy, or toxicity profiles with anti-product antibody development based on the population pharmacokinetic and exposure-response analyses.</w:t>
      </w:r>
    </w:p>
    <w:p w14:paraId="6D6D3F95" w14:textId="77777777" w:rsidR="00954716" w:rsidRPr="008D28D2" w:rsidRDefault="00954716" w:rsidP="0006031A">
      <w:pPr>
        <w:pStyle w:val="A-Heading1"/>
        <w:spacing w:before="0" w:after="0" w:line="240" w:lineRule="auto"/>
      </w:pPr>
      <w:r w:rsidRPr="008D28D2">
        <w:t>CLINICAL TRIALS</w:t>
      </w:r>
    </w:p>
    <w:p w14:paraId="0D5EB257" w14:textId="77777777" w:rsidR="007561A5" w:rsidRPr="009F7250" w:rsidRDefault="007A712B" w:rsidP="005B2BEE">
      <w:pPr>
        <w:pStyle w:val="A-Heading2"/>
      </w:pPr>
      <w:r>
        <w:t>Eloquent-2 (</w:t>
      </w:r>
      <w:r w:rsidR="0085193E">
        <w:t xml:space="preserve">Study </w:t>
      </w:r>
      <w:r w:rsidR="00414823">
        <w:t>CA204-004</w:t>
      </w:r>
      <w:r>
        <w:t>)</w:t>
      </w:r>
    </w:p>
    <w:p w14:paraId="5817EDAB" w14:textId="77777777" w:rsidR="00B16BDD" w:rsidRDefault="00580CDE" w:rsidP="007561A5">
      <w:pPr>
        <w:pStyle w:val="EMEABodyText"/>
        <w:rPr>
          <w:szCs w:val="24"/>
        </w:rPr>
      </w:pPr>
      <w:r>
        <w:rPr>
          <w:color w:val="191919"/>
          <w:szCs w:val="24"/>
        </w:rPr>
        <w:t xml:space="preserve">A </w:t>
      </w:r>
      <w:r w:rsidR="007561A5" w:rsidRPr="007561A5">
        <w:rPr>
          <w:color w:val="191919"/>
          <w:szCs w:val="24"/>
        </w:rPr>
        <w:t>randomised, open</w:t>
      </w:r>
      <w:r w:rsidR="007561A5" w:rsidRPr="007561A5">
        <w:rPr>
          <w:color w:val="191919"/>
          <w:szCs w:val="24"/>
        </w:rPr>
        <w:noBreakHyphen/>
        <w:t xml:space="preserve">label study was conducted to evaluate the efficacy and safety of </w:t>
      </w:r>
      <w:r w:rsidR="007561A5" w:rsidRPr="007561A5">
        <w:rPr>
          <w:szCs w:val="24"/>
          <w:lang w:val="en-US"/>
        </w:rPr>
        <w:t>EMPLICITI</w:t>
      </w:r>
      <w:r w:rsidR="007561A5" w:rsidRPr="007561A5">
        <w:rPr>
          <w:szCs w:val="24"/>
        </w:rPr>
        <w:t xml:space="preserve"> in combination with </w:t>
      </w:r>
      <w:proofErr w:type="spellStart"/>
      <w:r w:rsidR="007561A5" w:rsidRPr="007561A5">
        <w:rPr>
          <w:szCs w:val="24"/>
        </w:rPr>
        <w:t>lenalidomide</w:t>
      </w:r>
      <w:proofErr w:type="spellEnd"/>
      <w:r w:rsidR="007561A5" w:rsidRPr="007561A5">
        <w:rPr>
          <w:szCs w:val="24"/>
        </w:rPr>
        <w:t xml:space="preserve"> and dexamethasone in patients with multiple myeloma who have received one to three prior therapies</w:t>
      </w:r>
      <w:r w:rsidR="007561A5" w:rsidRPr="007561A5">
        <w:rPr>
          <w:rStyle w:val="CommentReference"/>
          <w:sz w:val="24"/>
          <w:szCs w:val="24"/>
          <w:lang w:eastAsia="ja-JP"/>
        </w:rPr>
        <w:t xml:space="preserve">. </w:t>
      </w:r>
      <w:r w:rsidR="007561A5" w:rsidRPr="007561A5">
        <w:rPr>
          <w:szCs w:val="24"/>
        </w:rPr>
        <w:t>All patients had documented progression following their most recent therapy.</w:t>
      </w:r>
    </w:p>
    <w:p w14:paraId="55E3B90A" w14:textId="77777777" w:rsidR="00B16BDD" w:rsidRDefault="007561A5" w:rsidP="007561A5">
      <w:pPr>
        <w:pStyle w:val="EMEABodyText"/>
        <w:rPr>
          <w:szCs w:val="24"/>
        </w:rPr>
      </w:pPr>
      <w:r w:rsidRPr="007561A5">
        <w:rPr>
          <w:szCs w:val="24"/>
        </w:rPr>
        <w:t xml:space="preserve">Eligible patients were randomised in a 1:1 ratio to receive either </w:t>
      </w:r>
      <w:r w:rsidRPr="007561A5">
        <w:rPr>
          <w:color w:val="191919"/>
          <w:szCs w:val="24"/>
        </w:rPr>
        <w:t xml:space="preserve">EMPLICITI </w:t>
      </w:r>
      <w:r w:rsidRPr="007561A5">
        <w:rPr>
          <w:szCs w:val="24"/>
        </w:rPr>
        <w:t xml:space="preserve">in combination with </w:t>
      </w:r>
      <w:proofErr w:type="spellStart"/>
      <w:r w:rsidRPr="007561A5">
        <w:rPr>
          <w:szCs w:val="24"/>
        </w:rPr>
        <w:t>lenalidomide</w:t>
      </w:r>
      <w:proofErr w:type="spellEnd"/>
      <w:r w:rsidRPr="007561A5">
        <w:rPr>
          <w:szCs w:val="24"/>
        </w:rPr>
        <w:t xml:space="preserve"> and low dose dexamethasone or </w:t>
      </w:r>
      <w:proofErr w:type="spellStart"/>
      <w:r w:rsidRPr="007561A5">
        <w:rPr>
          <w:szCs w:val="24"/>
        </w:rPr>
        <w:t>lenalidomide</w:t>
      </w:r>
      <w:proofErr w:type="spellEnd"/>
      <w:r w:rsidRPr="007561A5">
        <w:rPr>
          <w:szCs w:val="24"/>
        </w:rPr>
        <w:t xml:space="preserve"> and low dose dexamethasone. Treatment was administered in 4</w:t>
      </w:r>
      <w:r w:rsidRPr="007561A5">
        <w:rPr>
          <w:szCs w:val="24"/>
        </w:rPr>
        <w:noBreakHyphen/>
        <w:t xml:space="preserve">week cycles until disease progression or unacceptable toxicity. </w:t>
      </w:r>
      <w:r w:rsidR="00820F36">
        <w:rPr>
          <w:szCs w:val="24"/>
        </w:rPr>
        <w:t xml:space="preserve">EMPLICITI </w:t>
      </w:r>
      <w:r w:rsidRPr="007561A5">
        <w:rPr>
          <w:color w:val="191919"/>
          <w:szCs w:val="24"/>
        </w:rPr>
        <w:t xml:space="preserve">10 mg/kg was administered intravenously each week for the first 2 cycles and every 2 weeks thereafter. Prior to EMPLICITI infusion, dexamethasone was administered as a divided dose: an oral dose of 28 mg and an intravenous dose of 8 mg. In the control group and on weeks without EMPLICITI, dexamethasone 40 mg was administered as a single oral dose weekly. </w:t>
      </w:r>
      <w:proofErr w:type="spellStart"/>
      <w:r w:rsidRPr="007561A5">
        <w:rPr>
          <w:color w:val="191919"/>
          <w:szCs w:val="24"/>
        </w:rPr>
        <w:t>Lenalidomide</w:t>
      </w:r>
      <w:proofErr w:type="spellEnd"/>
      <w:r w:rsidRPr="007561A5">
        <w:rPr>
          <w:color w:val="191919"/>
          <w:szCs w:val="24"/>
        </w:rPr>
        <w:t xml:space="preserve"> 25 mg was taken orally once daily for the first 3 weeks of each cycle.</w:t>
      </w:r>
      <w:r w:rsidRPr="007561A5">
        <w:rPr>
          <w:szCs w:val="24"/>
        </w:rPr>
        <w:t xml:space="preserve"> Assessment of tumour response was conducted every 4 weeks.</w:t>
      </w:r>
    </w:p>
    <w:p w14:paraId="26DB4A68" w14:textId="77777777" w:rsidR="00B16BDD" w:rsidRDefault="007561A5" w:rsidP="004F54EA">
      <w:pPr>
        <w:pStyle w:val="EMEABodyText"/>
      </w:pPr>
      <w:r w:rsidRPr="007561A5">
        <w:t xml:space="preserve">A total of 646 patients were randomised to receive treatment: 321 to </w:t>
      </w:r>
      <w:r w:rsidRPr="007561A5">
        <w:rPr>
          <w:color w:val="191919"/>
        </w:rPr>
        <w:t xml:space="preserve">EMPLICITI </w:t>
      </w:r>
      <w:r w:rsidRPr="007561A5">
        <w:t xml:space="preserve">in combination with </w:t>
      </w:r>
      <w:proofErr w:type="spellStart"/>
      <w:r w:rsidRPr="007561A5">
        <w:t>lenalidomide</w:t>
      </w:r>
      <w:proofErr w:type="spellEnd"/>
      <w:r w:rsidRPr="007561A5">
        <w:t xml:space="preserve"> and dexamethasone and 325 to </w:t>
      </w:r>
      <w:proofErr w:type="spellStart"/>
      <w:r w:rsidRPr="007561A5">
        <w:t>lenalidomide</w:t>
      </w:r>
      <w:proofErr w:type="spellEnd"/>
      <w:r w:rsidRPr="007561A5">
        <w:t xml:space="preserve"> and low dose dexamethasone</w:t>
      </w:r>
      <w:r w:rsidR="00301BBA">
        <w:t>.</w:t>
      </w:r>
    </w:p>
    <w:p w14:paraId="7F74E3E4" w14:textId="1C3E8E06" w:rsidR="00301BBA" w:rsidRPr="00301BBA" w:rsidRDefault="00301BBA" w:rsidP="004F54EA">
      <w:pPr>
        <w:pStyle w:val="EMEABodyText"/>
      </w:pPr>
      <w:r w:rsidRPr="004F54EA">
        <w:t>Demographics</w:t>
      </w:r>
      <w:r w:rsidRPr="00301BBA">
        <w:t xml:space="preserve"> and baseline characteristics were well balanced between treatment arms. The median age was 66 years (range 37 to 91); 57% of patients were older than 65 years; 60% of patients were male; </w:t>
      </w:r>
      <w:r w:rsidR="00737642">
        <w:t>C</w:t>
      </w:r>
      <w:r w:rsidR="00584A00">
        <w:t xml:space="preserve">aucasians </w:t>
      </w:r>
      <w:r w:rsidRPr="00301BBA">
        <w:t xml:space="preserve">comprised 84% of the study population, </w:t>
      </w:r>
      <w:r w:rsidR="00737642">
        <w:t>A</w:t>
      </w:r>
      <w:r w:rsidRPr="00301BBA">
        <w:t xml:space="preserve">sians 10%, and </w:t>
      </w:r>
      <w:r w:rsidR="00737642">
        <w:t>B</w:t>
      </w:r>
      <w:r w:rsidRPr="00301BBA">
        <w:t>lacks 4%.</w:t>
      </w:r>
      <w:r w:rsidRPr="00301BBA" w:rsidDel="00B330FC">
        <w:t xml:space="preserve"> </w:t>
      </w:r>
      <w:r w:rsidRPr="00301BBA">
        <w:t xml:space="preserve">The ISS Stage was I in 43%, II in 32% and III in 21% of patients. The high risk cytogenetic categories of del17p and </w:t>
      </w:r>
      <w:proofErr w:type="gramStart"/>
      <w:r w:rsidRPr="00301BBA">
        <w:t>t(</w:t>
      </w:r>
      <w:proofErr w:type="gramEnd"/>
      <w:r w:rsidRPr="00301BBA">
        <w:t>4;14) were present in 32% and 9% of patients, respectively. The median number of prior therapies was 2. Thirty</w:t>
      </w:r>
      <w:r w:rsidRPr="00301BBA">
        <w:noBreakHyphen/>
        <w:t xml:space="preserve">five percent (35%) of patients were refractory (progression during or within 60 days of last therapy) and 65% were relapsed (progression after 60 days of last therapy). Prior therapies included: </w:t>
      </w:r>
      <w:r w:rsidRPr="00301BBA">
        <w:lastRenderedPageBreak/>
        <w:t xml:space="preserve">stem cell transplant (54%), </w:t>
      </w:r>
      <w:proofErr w:type="spellStart"/>
      <w:r w:rsidRPr="00301BBA">
        <w:t>bortezomib</w:t>
      </w:r>
      <w:proofErr w:type="spellEnd"/>
      <w:r w:rsidRPr="00301BBA">
        <w:t xml:space="preserve"> (70%) </w:t>
      </w:r>
      <w:proofErr w:type="spellStart"/>
      <w:r w:rsidRPr="00301BBA">
        <w:t>melphalan</w:t>
      </w:r>
      <w:proofErr w:type="spellEnd"/>
      <w:r w:rsidRPr="00301BBA">
        <w:t xml:space="preserve"> (65%), thalidomide (48%), and </w:t>
      </w:r>
      <w:proofErr w:type="spellStart"/>
      <w:r w:rsidRPr="00301BBA">
        <w:t>lenalidomide</w:t>
      </w:r>
      <w:proofErr w:type="spellEnd"/>
      <w:r w:rsidRPr="00301BBA">
        <w:t xml:space="preserve"> (6%).</w:t>
      </w:r>
    </w:p>
    <w:p w14:paraId="75F1AD96" w14:textId="4B96ABE1" w:rsidR="00301BBA" w:rsidRPr="00836D25" w:rsidRDefault="00301BBA" w:rsidP="00836D25">
      <w:pPr>
        <w:pStyle w:val="EMEABodyText"/>
        <w:rPr>
          <w:szCs w:val="24"/>
          <w:lang w:val="en-US"/>
        </w:rPr>
      </w:pPr>
      <w:r w:rsidRPr="00301BBA">
        <w:rPr>
          <w:szCs w:val="24"/>
          <w:lang w:val="en-US"/>
        </w:rPr>
        <w:t>The primary endpoints of this study, progression</w:t>
      </w:r>
      <w:r w:rsidRPr="00301BBA">
        <w:rPr>
          <w:szCs w:val="24"/>
          <w:lang w:val="en-US"/>
        </w:rPr>
        <w:noBreakHyphen/>
        <w:t>free survival (PFS), as assessed by hazard ratio, and overall response rate (ORR) were determined based on assessments made by a blinded Independent Review Committee.</w:t>
      </w:r>
      <w:r w:rsidR="00291220" w:rsidRPr="00D204E0">
        <w:rPr>
          <w:szCs w:val="24"/>
          <w:lang w:val="en-US"/>
        </w:rPr>
        <w:t xml:space="preserve"> The median number of treatment cycles was 19 for the EMPLICITI arm and 14 for the comparator arm.</w:t>
      </w:r>
      <w:r w:rsidRPr="00301BBA">
        <w:rPr>
          <w:szCs w:val="24"/>
          <w:lang w:val="en-US"/>
        </w:rPr>
        <w:t xml:space="preserve"> Efficacy results are presented in </w:t>
      </w:r>
      <w:r w:rsidR="004F54EA">
        <w:rPr>
          <w:szCs w:val="24"/>
          <w:lang w:val="en-US"/>
        </w:rPr>
        <w:fldChar w:fldCharType="begin"/>
      </w:r>
      <w:r w:rsidR="004F54EA">
        <w:rPr>
          <w:szCs w:val="24"/>
          <w:lang w:val="en-US"/>
        </w:rPr>
        <w:instrText xml:space="preserve"> REF _Ref495676752 \h </w:instrText>
      </w:r>
      <w:r w:rsidR="004F54EA">
        <w:rPr>
          <w:szCs w:val="24"/>
          <w:lang w:val="en-US"/>
        </w:rPr>
      </w:r>
      <w:r w:rsidR="004F54EA">
        <w:rPr>
          <w:szCs w:val="24"/>
          <w:lang w:val="en-US"/>
        </w:rPr>
        <w:fldChar w:fldCharType="separate"/>
      </w:r>
      <w:r w:rsidR="004F54EA">
        <w:t xml:space="preserve">Table </w:t>
      </w:r>
      <w:r w:rsidR="004F54EA">
        <w:rPr>
          <w:noProof/>
        </w:rPr>
        <w:t>1</w:t>
      </w:r>
      <w:r w:rsidR="004F54EA">
        <w:rPr>
          <w:szCs w:val="24"/>
          <w:lang w:val="en-US"/>
        </w:rPr>
        <w:fldChar w:fldCharType="end"/>
      </w:r>
      <w:r w:rsidRPr="00301BBA">
        <w:rPr>
          <w:szCs w:val="24"/>
          <w:lang w:val="en-US"/>
        </w:rPr>
        <w:t xml:space="preserve">and </w:t>
      </w:r>
      <w:r w:rsidR="004F54EA">
        <w:rPr>
          <w:szCs w:val="24"/>
          <w:lang w:val="en-US"/>
        </w:rPr>
        <w:fldChar w:fldCharType="begin"/>
      </w:r>
      <w:r w:rsidR="004F54EA">
        <w:rPr>
          <w:szCs w:val="24"/>
          <w:lang w:val="en-US"/>
        </w:rPr>
        <w:instrText xml:space="preserve"> REF _Ref495676761 \h </w:instrText>
      </w:r>
      <w:r w:rsidR="004F54EA">
        <w:rPr>
          <w:szCs w:val="24"/>
          <w:lang w:val="en-US"/>
        </w:rPr>
      </w:r>
      <w:r w:rsidR="004F54EA">
        <w:rPr>
          <w:szCs w:val="24"/>
          <w:lang w:val="en-US"/>
        </w:rPr>
        <w:fldChar w:fldCharType="separate"/>
      </w:r>
      <w:r w:rsidR="004F54EA">
        <w:t xml:space="preserve">Figure </w:t>
      </w:r>
      <w:r w:rsidR="004F54EA">
        <w:rPr>
          <w:noProof/>
        </w:rPr>
        <w:t>1</w:t>
      </w:r>
      <w:r w:rsidR="004F54EA">
        <w:rPr>
          <w:szCs w:val="24"/>
          <w:lang w:val="en-US"/>
        </w:rPr>
        <w:fldChar w:fldCharType="end"/>
      </w:r>
      <w:r w:rsidRPr="00301BBA">
        <w:rPr>
          <w:szCs w:val="24"/>
          <w:lang w:val="en-US"/>
        </w:rPr>
        <w:t>.</w:t>
      </w:r>
    </w:p>
    <w:p w14:paraId="6B74AF6D" w14:textId="7EFB4666" w:rsidR="005B2BEE" w:rsidRDefault="005B2BEE" w:rsidP="005B2BEE">
      <w:pPr>
        <w:pStyle w:val="Caption"/>
      </w:pPr>
      <w:bookmarkStart w:id="1" w:name="_Ref495676752"/>
      <w:r>
        <w:t xml:space="preserve">Table </w:t>
      </w:r>
      <w:r>
        <w:fldChar w:fldCharType="begin"/>
      </w:r>
      <w:r>
        <w:instrText xml:space="preserve"> SEQ Table \* ARABIC </w:instrText>
      </w:r>
      <w:r>
        <w:fldChar w:fldCharType="separate"/>
      </w:r>
      <w:r w:rsidR="00B06408">
        <w:rPr>
          <w:noProof/>
        </w:rPr>
        <w:t>1</w:t>
      </w:r>
      <w:r>
        <w:fldChar w:fldCharType="end"/>
      </w:r>
      <w:bookmarkEnd w:id="1"/>
      <w:r>
        <w:t>:</w:t>
      </w:r>
      <w:r w:rsidRPr="005B2BEE">
        <w:t xml:space="preserve"> Efficacy Results for Eloquent-2 (Study CA204-004)</w:t>
      </w:r>
    </w:p>
    <w:tbl>
      <w:tblPr>
        <w:tblW w:w="5000" w:type="pct"/>
        <w:jc w:val="center"/>
        <w:tblCellSpacing w:w="0" w:type="dxa"/>
        <w:tblCellMar>
          <w:left w:w="0" w:type="dxa"/>
          <w:right w:w="0" w:type="dxa"/>
        </w:tblCellMar>
        <w:tblLook w:val="0000" w:firstRow="0" w:lastRow="0" w:firstColumn="0" w:lastColumn="0" w:noHBand="0" w:noVBand="0"/>
      </w:tblPr>
      <w:tblGrid>
        <w:gridCol w:w="4165"/>
        <w:gridCol w:w="2301"/>
        <w:gridCol w:w="2324"/>
      </w:tblGrid>
      <w:tr w:rsidR="00301BBA" w:rsidRPr="000B1E2B" w14:paraId="2F03FA00" w14:textId="77777777" w:rsidTr="005B2BEE">
        <w:trPr>
          <w:trHeight w:val="645"/>
          <w:tblHeader/>
          <w:tblCellSpacing w:w="0" w:type="dxa"/>
          <w:jc w:val="center"/>
        </w:trPr>
        <w:tc>
          <w:tcPr>
            <w:tcW w:w="2369" w:type="pct"/>
            <w:tcBorders>
              <w:top w:val="double" w:sz="4" w:space="0" w:color="auto"/>
            </w:tcBorders>
          </w:tcPr>
          <w:p w14:paraId="0EB8534B" w14:textId="77777777" w:rsidR="00301BBA" w:rsidRPr="000B1E2B" w:rsidRDefault="00301BBA" w:rsidP="00301BBA">
            <w:pPr>
              <w:rPr>
                <w:bCs/>
              </w:rPr>
            </w:pPr>
            <w:r w:rsidRPr="000B1E2B">
              <w:rPr>
                <w:bCs/>
              </w:rPr>
              <w:t> </w:t>
            </w:r>
          </w:p>
        </w:tc>
        <w:tc>
          <w:tcPr>
            <w:tcW w:w="1309" w:type="pct"/>
            <w:tcBorders>
              <w:top w:val="double" w:sz="4" w:space="0" w:color="auto"/>
            </w:tcBorders>
          </w:tcPr>
          <w:p w14:paraId="50601254" w14:textId="77777777" w:rsidR="00301BBA" w:rsidRPr="00DB661B" w:rsidRDefault="00301BBA" w:rsidP="00301BBA">
            <w:pPr>
              <w:pStyle w:val="BMSTableHeader"/>
            </w:pPr>
            <w:r>
              <w:t>EMPLICITI</w:t>
            </w:r>
            <w:r w:rsidRPr="000B1E2B">
              <w:t xml:space="preserve"> + </w:t>
            </w:r>
            <w:r w:rsidRPr="000B1E2B">
              <w:br/>
            </w:r>
            <w:proofErr w:type="spellStart"/>
            <w:r w:rsidRPr="000B1E2B">
              <w:t>Lenalidomide</w:t>
            </w:r>
            <w:proofErr w:type="spellEnd"/>
            <w:r w:rsidRPr="000B1E2B">
              <w:t>/</w:t>
            </w:r>
            <w:r w:rsidRPr="000B1E2B">
              <w:br/>
              <w:t>Dexamethasone</w:t>
            </w:r>
            <w:r w:rsidRPr="000B1E2B">
              <w:br/>
              <w:t xml:space="preserve">N = </w:t>
            </w:r>
            <w:r>
              <w:t>321</w:t>
            </w:r>
          </w:p>
        </w:tc>
        <w:tc>
          <w:tcPr>
            <w:tcW w:w="1322" w:type="pct"/>
            <w:tcBorders>
              <w:top w:val="double" w:sz="4" w:space="0" w:color="auto"/>
            </w:tcBorders>
          </w:tcPr>
          <w:p w14:paraId="10ABEF32" w14:textId="77777777" w:rsidR="00301BBA" w:rsidRPr="00DB661B" w:rsidRDefault="00301BBA" w:rsidP="00301BBA">
            <w:pPr>
              <w:pStyle w:val="BMSTableHeader"/>
            </w:pPr>
            <w:r w:rsidRPr="000B1E2B">
              <w:br/>
            </w:r>
            <w:proofErr w:type="spellStart"/>
            <w:r w:rsidRPr="000B1E2B">
              <w:t>Lenalidomide</w:t>
            </w:r>
            <w:proofErr w:type="spellEnd"/>
            <w:r w:rsidRPr="000B1E2B">
              <w:t>/</w:t>
            </w:r>
            <w:r w:rsidRPr="000B1E2B">
              <w:br/>
              <w:t xml:space="preserve">Dexamethasone </w:t>
            </w:r>
            <w:r w:rsidRPr="000B1E2B">
              <w:br/>
              <w:t xml:space="preserve">N = </w:t>
            </w:r>
            <w:r>
              <w:t>325</w:t>
            </w:r>
          </w:p>
        </w:tc>
      </w:tr>
      <w:tr w:rsidR="00301BBA" w:rsidRPr="000B1E2B" w14:paraId="13B8F603" w14:textId="77777777" w:rsidTr="00301BBA">
        <w:trPr>
          <w:trHeight w:val="345"/>
          <w:tblCellSpacing w:w="0" w:type="dxa"/>
          <w:jc w:val="center"/>
        </w:trPr>
        <w:tc>
          <w:tcPr>
            <w:tcW w:w="2369" w:type="pct"/>
            <w:tcBorders>
              <w:top w:val="single" w:sz="4" w:space="0" w:color="auto"/>
            </w:tcBorders>
          </w:tcPr>
          <w:p w14:paraId="469AAB9D" w14:textId="77777777" w:rsidR="00301BBA" w:rsidRPr="00D70AE5" w:rsidRDefault="00301BBA" w:rsidP="00301BBA">
            <w:pPr>
              <w:rPr>
                <w:rFonts w:ascii="Times New Roman" w:hAnsi="Times New Roman"/>
                <w:bCs/>
                <w:sz w:val="22"/>
                <w:szCs w:val="22"/>
              </w:rPr>
            </w:pPr>
            <w:r w:rsidRPr="00D70AE5">
              <w:rPr>
                <w:rFonts w:ascii="Times New Roman" w:hAnsi="Times New Roman"/>
                <w:b/>
                <w:bCs/>
                <w:sz w:val="22"/>
                <w:szCs w:val="22"/>
              </w:rPr>
              <w:t>PFS (ITT)</w:t>
            </w:r>
          </w:p>
        </w:tc>
        <w:tc>
          <w:tcPr>
            <w:tcW w:w="2631" w:type="pct"/>
            <w:gridSpan w:val="2"/>
            <w:tcBorders>
              <w:top w:val="single" w:sz="4" w:space="0" w:color="auto"/>
            </w:tcBorders>
          </w:tcPr>
          <w:p w14:paraId="36B6892B" w14:textId="77777777" w:rsidR="00301BBA" w:rsidRPr="000B1E2B" w:rsidRDefault="00301BBA" w:rsidP="00301BBA">
            <w:pPr>
              <w:pStyle w:val="BMSTableText"/>
            </w:pPr>
          </w:p>
        </w:tc>
      </w:tr>
      <w:tr w:rsidR="00301BBA" w:rsidRPr="000B1E2B" w14:paraId="5AAE2654" w14:textId="77777777" w:rsidTr="00301BBA">
        <w:trPr>
          <w:trHeight w:val="345"/>
          <w:tblCellSpacing w:w="0" w:type="dxa"/>
          <w:jc w:val="center"/>
        </w:trPr>
        <w:tc>
          <w:tcPr>
            <w:tcW w:w="2369" w:type="pct"/>
          </w:tcPr>
          <w:p w14:paraId="39C29E31" w14:textId="77777777" w:rsidR="00301BBA" w:rsidRDefault="00301BBA" w:rsidP="00301BBA">
            <w:pPr>
              <w:pStyle w:val="BMSTableText"/>
              <w:tabs>
                <w:tab w:val="clear" w:pos="360"/>
                <w:tab w:val="left" w:pos="426"/>
              </w:tabs>
              <w:jc w:val="left"/>
              <w:rPr>
                <w:sz w:val="22"/>
                <w:lang w:val="en-GB"/>
              </w:rPr>
            </w:pPr>
            <w:r>
              <w:tab/>
            </w:r>
            <w:r w:rsidRPr="000B1E2B">
              <w:t>Hazard Ratio [</w:t>
            </w:r>
            <w:r>
              <w:t>97.61</w:t>
            </w:r>
            <w:r w:rsidRPr="000B1E2B">
              <w:t>% CI]</w:t>
            </w:r>
          </w:p>
        </w:tc>
        <w:tc>
          <w:tcPr>
            <w:tcW w:w="2631" w:type="pct"/>
            <w:gridSpan w:val="2"/>
          </w:tcPr>
          <w:p w14:paraId="7A3B941D" w14:textId="77777777" w:rsidR="00301BBA" w:rsidRPr="000B1E2B" w:rsidRDefault="00301BBA" w:rsidP="00301BBA">
            <w:pPr>
              <w:pStyle w:val="BMSTableText"/>
            </w:pPr>
            <w:r>
              <w:t>0.68 [0.55, 0.85]</w:t>
            </w:r>
          </w:p>
        </w:tc>
      </w:tr>
      <w:tr w:rsidR="00301BBA" w:rsidRPr="000B1E2B" w14:paraId="423CF723" w14:textId="77777777" w:rsidTr="00301BBA">
        <w:trPr>
          <w:trHeight w:val="345"/>
          <w:tblCellSpacing w:w="0" w:type="dxa"/>
          <w:jc w:val="center"/>
        </w:trPr>
        <w:tc>
          <w:tcPr>
            <w:tcW w:w="2369" w:type="pct"/>
          </w:tcPr>
          <w:p w14:paraId="66013FDA" w14:textId="77777777" w:rsidR="00301BBA" w:rsidRDefault="00301BBA" w:rsidP="00301BBA">
            <w:pPr>
              <w:pStyle w:val="BMSTableText"/>
              <w:tabs>
                <w:tab w:val="clear" w:pos="360"/>
                <w:tab w:val="left" w:pos="567"/>
              </w:tabs>
              <w:jc w:val="left"/>
              <w:rPr>
                <w:sz w:val="22"/>
                <w:vertAlign w:val="superscript"/>
                <w:lang w:val="en-GB"/>
              </w:rPr>
            </w:pPr>
            <w:r>
              <w:tab/>
            </w:r>
            <w:r>
              <w:tab/>
              <w:t>Stratified l</w:t>
            </w:r>
            <w:r w:rsidRPr="000B1E2B">
              <w:t>og</w:t>
            </w:r>
            <w:r>
              <w:noBreakHyphen/>
            </w:r>
            <w:r w:rsidRPr="000B1E2B">
              <w:t>rank test p</w:t>
            </w:r>
            <w:r>
              <w:noBreakHyphen/>
            </w:r>
            <w:proofErr w:type="spellStart"/>
            <w:r w:rsidRPr="000B1E2B">
              <w:t>value</w:t>
            </w:r>
            <w:r w:rsidRPr="00946B21">
              <w:rPr>
                <w:sz w:val="28"/>
                <w:szCs w:val="28"/>
                <w:vertAlign w:val="superscript"/>
              </w:rPr>
              <w:t>a</w:t>
            </w:r>
            <w:proofErr w:type="spellEnd"/>
          </w:p>
        </w:tc>
        <w:tc>
          <w:tcPr>
            <w:tcW w:w="2631" w:type="pct"/>
            <w:gridSpan w:val="2"/>
          </w:tcPr>
          <w:p w14:paraId="58FB7825" w14:textId="77777777" w:rsidR="00301BBA" w:rsidRPr="000B1E2B" w:rsidRDefault="00301BBA" w:rsidP="00301BBA">
            <w:pPr>
              <w:pStyle w:val="BMSTableText"/>
            </w:pPr>
            <w:r>
              <w:t>0.0001</w:t>
            </w:r>
          </w:p>
        </w:tc>
      </w:tr>
      <w:tr w:rsidR="00301BBA" w:rsidRPr="000B1E2B" w14:paraId="17E18B65" w14:textId="77777777" w:rsidTr="00301BBA">
        <w:trPr>
          <w:trHeight w:val="600"/>
          <w:tblCellSpacing w:w="0" w:type="dxa"/>
          <w:jc w:val="center"/>
        </w:trPr>
        <w:tc>
          <w:tcPr>
            <w:tcW w:w="2369" w:type="pct"/>
          </w:tcPr>
          <w:p w14:paraId="37E1CF6F" w14:textId="77777777" w:rsidR="00301BBA" w:rsidRDefault="00301BBA" w:rsidP="00301BBA">
            <w:pPr>
              <w:pStyle w:val="BMSTableText"/>
              <w:tabs>
                <w:tab w:val="clear" w:pos="360"/>
                <w:tab w:val="left" w:pos="426"/>
              </w:tabs>
              <w:jc w:val="left"/>
              <w:rPr>
                <w:sz w:val="22"/>
                <w:lang w:val="en-GB"/>
              </w:rPr>
            </w:pPr>
            <w:r>
              <w:tab/>
              <w:t>1</w:t>
            </w:r>
            <w:r>
              <w:noBreakHyphen/>
              <w:t>Year PFS rate (%)</w:t>
            </w:r>
            <w:r>
              <w:br/>
            </w:r>
            <w:r>
              <w:tab/>
            </w:r>
            <w:r>
              <w:tab/>
              <w:t>[95% CI]</w:t>
            </w:r>
          </w:p>
        </w:tc>
        <w:tc>
          <w:tcPr>
            <w:tcW w:w="1309" w:type="pct"/>
          </w:tcPr>
          <w:p w14:paraId="48A5AABF" w14:textId="77777777" w:rsidR="00B16BDD" w:rsidRDefault="00301BBA" w:rsidP="00301BBA">
            <w:pPr>
              <w:pStyle w:val="BMSTableText"/>
            </w:pPr>
            <w:r>
              <w:t>68</w:t>
            </w:r>
          </w:p>
          <w:p w14:paraId="5B24BD61" w14:textId="45C24389" w:rsidR="00301BBA" w:rsidRDefault="00301BBA" w:rsidP="00301BBA">
            <w:pPr>
              <w:pStyle w:val="BMSTableText"/>
            </w:pPr>
            <w:r>
              <w:t>[63, 73]</w:t>
            </w:r>
          </w:p>
        </w:tc>
        <w:tc>
          <w:tcPr>
            <w:tcW w:w="1322" w:type="pct"/>
          </w:tcPr>
          <w:p w14:paraId="50BF2596" w14:textId="77777777" w:rsidR="00B16BDD" w:rsidRDefault="00301BBA" w:rsidP="00301BBA">
            <w:pPr>
              <w:pStyle w:val="BMSTableText"/>
            </w:pPr>
            <w:r>
              <w:t>56</w:t>
            </w:r>
          </w:p>
          <w:p w14:paraId="3807A213" w14:textId="16944246" w:rsidR="00301BBA" w:rsidRDefault="00301BBA" w:rsidP="00301BBA">
            <w:pPr>
              <w:pStyle w:val="BMSTableText"/>
            </w:pPr>
            <w:r>
              <w:t>[50, 61]</w:t>
            </w:r>
          </w:p>
        </w:tc>
      </w:tr>
      <w:tr w:rsidR="00301BBA" w:rsidRPr="000B1E2B" w14:paraId="2274A406" w14:textId="77777777" w:rsidTr="00301BBA">
        <w:trPr>
          <w:trHeight w:val="600"/>
          <w:tblCellSpacing w:w="0" w:type="dxa"/>
          <w:jc w:val="center"/>
        </w:trPr>
        <w:tc>
          <w:tcPr>
            <w:tcW w:w="2369" w:type="pct"/>
          </w:tcPr>
          <w:p w14:paraId="42AD6906" w14:textId="77777777" w:rsidR="00301BBA" w:rsidRDefault="00301BBA" w:rsidP="00301BBA">
            <w:pPr>
              <w:pStyle w:val="BMSTableText"/>
              <w:tabs>
                <w:tab w:val="clear" w:pos="360"/>
                <w:tab w:val="left" w:pos="426"/>
              </w:tabs>
              <w:jc w:val="left"/>
              <w:rPr>
                <w:sz w:val="22"/>
                <w:lang w:val="en-GB"/>
              </w:rPr>
            </w:pPr>
            <w:r>
              <w:tab/>
              <w:t>2</w:t>
            </w:r>
            <w:r>
              <w:noBreakHyphen/>
              <w:t>Year PFS rate (%)</w:t>
            </w:r>
            <w:r>
              <w:br/>
            </w:r>
            <w:r>
              <w:tab/>
            </w:r>
            <w:r>
              <w:tab/>
              <w:t>[95% CI]</w:t>
            </w:r>
          </w:p>
        </w:tc>
        <w:tc>
          <w:tcPr>
            <w:tcW w:w="1309" w:type="pct"/>
          </w:tcPr>
          <w:p w14:paraId="542B26CB" w14:textId="77777777" w:rsidR="00B16BDD" w:rsidRDefault="00301BBA" w:rsidP="00301BBA">
            <w:pPr>
              <w:pStyle w:val="BMSTableText"/>
            </w:pPr>
            <w:r>
              <w:t>39</w:t>
            </w:r>
          </w:p>
          <w:p w14:paraId="30C5C7AA" w14:textId="5011C122" w:rsidR="00301BBA" w:rsidRDefault="00301BBA" w:rsidP="00301BBA">
            <w:pPr>
              <w:pStyle w:val="BMSTableText"/>
            </w:pPr>
            <w:r>
              <w:t>[34, 45]</w:t>
            </w:r>
          </w:p>
        </w:tc>
        <w:tc>
          <w:tcPr>
            <w:tcW w:w="1322" w:type="pct"/>
          </w:tcPr>
          <w:p w14:paraId="310DF2E8" w14:textId="77777777" w:rsidR="00B16BDD" w:rsidRDefault="00301BBA" w:rsidP="00301BBA">
            <w:pPr>
              <w:pStyle w:val="BMSTableText"/>
            </w:pPr>
            <w:r>
              <w:t>26</w:t>
            </w:r>
          </w:p>
          <w:p w14:paraId="6C7A1496" w14:textId="167C13BD" w:rsidR="00301BBA" w:rsidRDefault="00301BBA" w:rsidP="00301BBA">
            <w:pPr>
              <w:pStyle w:val="BMSTableText"/>
            </w:pPr>
            <w:r>
              <w:t>[21, 31]</w:t>
            </w:r>
          </w:p>
        </w:tc>
      </w:tr>
      <w:tr w:rsidR="00301BBA" w:rsidRPr="000B1E2B" w14:paraId="65442CAC" w14:textId="77777777" w:rsidTr="00301BBA">
        <w:trPr>
          <w:trHeight w:val="600"/>
          <w:tblCellSpacing w:w="0" w:type="dxa"/>
          <w:jc w:val="center"/>
        </w:trPr>
        <w:tc>
          <w:tcPr>
            <w:tcW w:w="2369" w:type="pct"/>
          </w:tcPr>
          <w:p w14:paraId="6FC53273" w14:textId="77777777" w:rsidR="00301BBA" w:rsidRDefault="00301BBA" w:rsidP="00301BBA">
            <w:pPr>
              <w:pStyle w:val="BMSTableText"/>
              <w:tabs>
                <w:tab w:val="clear" w:pos="360"/>
                <w:tab w:val="left" w:pos="426"/>
              </w:tabs>
              <w:jc w:val="left"/>
              <w:rPr>
                <w:sz w:val="22"/>
                <w:lang w:val="en-GB"/>
              </w:rPr>
            </w:pPr>
            <w:r>
              <w:tab/>
            </w:r>
            <w:r w:rsidRPr="000B1E2B">
              <w:t>Median PFS in months [95% CI]</w:t>
            </w:r>
          </w:p>
        </w:tc>
        <w:tc>
          <w:tcPr>
            <w:tcW w:w="1309" w:type="pct"/>
          </w:tcPr>
          <w:p w14:paraId="7B2D4F6C" w14:textId="77777777" w:rsidR="00301BBA" w:rsidRPr="000B1E2B" w:rsidRDefault="00301BBA" w:rsidP="00301BBA">
            <w:pPr>
              <w:pStyle w:val="BMSTableText"/>
            </w:pPr>
            <w:r>
              <w:t>18.5 [16.5, 21.4]</w:t>
            </w:r>
          </w:p>
        </w:tc>
        <w:tc>
          <w:tcPr>
            <w:tcW w:w="1322" w:type="pct"/>
          </w:tcPr>
          <w:p w14:paraId="144CE6EF" w14:textId="77777777" w:rsidR="00301BBA" w:rsidRPr="000B1E2B" w:rsidRDefault="00301BBA" w:rsidP="00301BBA">
            <w:pPr>
              <w:pStyle w:val="BMSTableText"/>
            </w:pPr>
            <w:r>
              <w:t>14.3 [12.0, 16.0]</w:t>
            </w:r>
          </w:p>
        </w:tc>
      </w:tr>
      <w:tr w:rsidR="00301BBA" w:rsidRPr="000B1E2B" w14:paraId="3933067B" w14:textId="77777777" w:rsidTr="00301BBA">
        <w:trPr>
          <w:trHeight w:val="345"/>
          <w:tblCellSpacing w:w="0" w:type="dxa"/>
          <w:jc w:val="center"/>
        </w:trPr>
        <w:tc>
          <w:tcPr>
            <w:tcW w:w="2369" w:type="pct"/>
          </w:tcPr>
          <w:p w14:paraId="0372B820" w14:textId="77777777" w:rsidR="00301BBA" w:rsidRPr="003744C5" w:rsidRDefault="00301BBA" w:rsidP="00301BBA">
            <w:pPr>
              <w:pStyle w:val="BMSTableText"/>
              <w:jc w:val="left"/>
              <w:rPr>
                <w:sz w:val="22"/>
                <w:szCs w:val="22"/>
              </w:rPr>
            </w:pPr>
            <w:r w:rsidRPr="003744C5">
              <w:rPr>
                <w:b/>
                <w:sz w:val="22"/>
                <w:szCs w:val="22"/>
              </w:rPr>
              <w:t>Response</w:t>
            </w:r>
          </w:p>
        </w:tc>
        <w:tc>
          <w:tcPr>
            <w:tcW w:w="2631" w:type="pct"/>
            <w:gridSpan w:val="2"/>
          </w:tcPr>
          <w:p w14:paraId="630E5DD8" w14:textId="77777777" w:rsidR="00301BBA" w:rsidRPr="000B1E2B" w:rsidRDefault="00301BBA" w:rsidP="00301BBA">
            <w:pPr>
              <w:pStyle w:val="BMSTableText"/>
            </w:pPr>
          </w:p>
        </w:tc>
      </w:tr>
      <w:tr w:rsidR="00301BBA" w:rsidRPr="000B1E2B" w14:paraId="081F83C5" w14:textId="77777777" w:rsidTr="00301BBA">
        <w:trPr>
          <w:trHeight w:val="144"/>
          <w:tblCellSpacing w:w="0" w:type="dxa"/>
          <w:jc w:val="center"/>
        </w:trPr>
        <w:tc>
          <w:tcPr>
            <w:tcW w:w="2369" w:type="pct"/>
          </w:tcPr>
          <w:p w14:paraId="758C5C72" w14:textId="2737724B" w:rsidR="00301BBA" w:rsidRDefault="00301BBA" w:rsidP="00C238DC">
            <w:pPr>
              <w:pStyle w:val="BMSTableText"/>
              <w:tabs>
                <w:tab w:val="clear" w:pos="360"/>
                <w:tab w:val="left" w:pos="426"/>
              </w:tabs>
              <w:jc w:val="left"/>
              <w:rPr>
                <w:sz w:val="22"/>
                <w:lang w:val="en-GB"/>
              </w:rPr>
            </w:pPr>
            <w:r>
              <w:tab/>
            </w:r>
            <w:r w:rsidRPr="000B1E2B">
              <w:t>Overall Response (ORR)</w:t>
            </w:r>
            <w:r>
              <w:rPr>
                <w:vertAlign w:val="superscript"/>
              </w:rPr>
              <w:t>b</w:t>
            </w:r>
            <w:r w:rsidRPr="000B1E2B">
              <w:t xml:space="preserve"> n (%)</w:t>
            </w:r>
            <w:r>
              <w:br/>
            </w:r>
            <w:r>
              <w:tab/>
            </w:r>
            <w:r>
              <w:tab/>
              <w:t>[95% CI]</w:t>
            </w:r>
          </w:p>
        </w:tc>
        <w:tc>
          <w:tcPr>
            <w:tcW w:w="1309" w:type="pct"/>
          </w:tcPr>
          <w:p w14:paraId="24C3715C" w14:textId="77777777" w:rsidR="00301BBA" w:rsidRDefault="00301BBA" w:rsidP="00301BBA">
            <w:pPr>
              <w:pStyle w:val="BMSTableText"/>
            </w:pPr>
            <w:r>
              <w:t>252 (78.5)</w:t>
            </w:r>
          </w:p>
          <w:p w14:paraId="78E09848" w14:textId="77777777" w:rsidR="00301BBA" w:rsidRPr="000B1E2B" w:rsidRDefault="00301BBA" w:rsidP="00301BBA">
            <w:pPr>
              <w:pStyle w:val="BMSTableText"/>
            </w:pPr>
            <w:r>
              <w:t>[73.6, 82.9]</w:t>
            </w:r>
          </w:p>
        </w:tc>
        <w:tc>
          <w:tcPr>
            <w:tcW w:w="1322" w:type="pct"/>
          </w:tcPr>
          <w:p w14:paraId="5B3EF565" w14:textId="77777777" w:rsidR="00301BBA" w:rsidRDefault="00301BBA" w:rsidP="00301BBA">
            <w:pPr>
              <w:pStyle w:val="BMSTableText"/>
            </w:pPr>
            <w:r>
              <w:t>213 (65.5)</w:t>
            </w:r>
          </w:p>
          <w:p w14:paraId="19590B9F" w14:textId="77777777" w:rsidR="00301BBA" w:rsidRPr="000B1E2B" w:rsidRDefault="00301BBA" w:rsidP="00301BBA">
            <w:pPr>
              <w:pStyle w:val="BMSTableText"/>
            </w:pPr>
            <w:r>
              <w:t>[60.1, 70.7]</w:t>
            </w:r>
          </w:p>
        </w:tc>
      </w:tr>
      <w:tr w:rsidR="00301BBA" w:rsidRPr="000B1E2B" w14:paraId="331B2C1A" w14:textId="77777777" w:rsidTr="00301BBA">
        <w:trPr>
          <w:trHeight w:val="345"/>
          <w:tblCellSpacing w:w="0" w:type="dxa"/>
          <w:jc w:val="center"/>
        </w:trPr>
        <w:tc>
          <w:tcPr>
            <w:tcW w:w="2369" w:type="pct"/>
          </w:tcPr>
          <w:p w14:paraId="3C0EC81A" w14:textId="4A4F644F" w:rsidR="00301BBA" w:rsidRDefault="00301BBA" w:rsidP="00C238DC">
            <w:pPr>
              <w:pStyle w:val="BMSTableText"/>
              <w:tabs>
                <w:tab w:val="clear" w:pos="360"/>
                <w:tab w:val="left" w:pos="284"/>
              </w:tabs>
              <w:rPr>
                <w:sz w:val="22"/>
                <w:vertAlign w:val="superscript"/>
                <w:lang w:val="en-GB"/>
              </w:rPr>
            </w:pPr>
            <w:r>
              <w:tab/>
              <w:t>p</w:t>
            </w:r>
            <w:r>
              <w:noBreakHyphen/>
            </w:r>
            <w:proofErr w:type="spellStart"/>
            <w:r>
              <w:t>value</w:t>
            </w:r>
            <w:r>
              <w:rPr>
                <w:sz w:val="28"/>
                <w:szCs w:val="28"/>
                <w:vertAlign w:val="superscript"/>
              </w:rPr>
              <w:t>c</w:t>
            </w:r>
            <w:proofErr w:type="spellEnd"/>
          </w:p>
        </w:tc>
        <w:tc>
          <w:tcPr>
            <w:tcW w:w="2631" w:type="pct"/>
            <w:gridSpan w:val="2"/>
          </w:tcPr>
          <w:p w14:paraId="1E1F5561" w14:textId="77777777" w:rsidR="00301BBA" w:rsidRPr="000B1E2B" w:rsidRDefault="00301BBA" w:rsidP="00301BBA">
            <w:pPr>
              <w:pStyle w:val="BMSTableText"/>
            </w:pPr>
            <w:r>
              <w:t>0.0002</w:t>
            </w:r>
          </w:p>
        </w:tc>
      </w:tr>
      <w:tr w:rsidR="00301BBA" w:rsidRPr="000B1E2B" w14:paraId="756DB8F2" w14:textId="77777777" w:rsidTr="00301BBA">
        <w:trPr>
          <w:trHeight w:val="144"/>
          <w:tblCellSpacing w:w="0" w:type="dxa"/>
          <w:jc w:val="center"/>
        </w:trPr>
        <w:tc>
          <w:tcPr>
            <w:tcW w:w="2369" w:type="pct"/>
          </w:tcPr>
          <w:p w14:paraId="3477AE53" w14:textId="2BF60FBE" w:rsidR="00301BBA" w:rsidRDefault="00301BBA" w:rsidP="00C238DC">
            <w:pPr>
              <w:pStyle w:val="BMSTableText"/>
              <w:tabs>
                <w:tab w:val="clear" w:pos="360"/>
                <w:tab w:val="left" w:pos="426"/>
              </w:tabs>
              <w:jc w:val="left"/>
              <w:rPr>
                <w:sz w:val="22"/>
                <w:lang w:val="en-GB"/>
              </w:rPr>
            </w:pPr>
            <w:r>
              <w:tab/>
            </w:r>
            <w:r>
              <w:tab/>
            </w:r>
            <w:r w:rsidRPr="000B1E2B">
              <w:t>Complete Response (CR</w:t>
            </w:r>
            <w:r>
              <w:t xml:space="preserve"> + </w:t>
            </w:r>
            <w:proofErr w:type="spellStart"/>
            <w:r>
              <w:t>sCR</w:t>
            </w:r>
            <w:proofErr w:type="spellEnd"/>
            <w:proofErr w:type="gramStart"/>
            <w:r w:rsidRPr="000B1E2B">
              <w:t>)</w:t>
            </w:r>
            <w:r>
              <w:rPr>
                <w:rStyle w:val="BMSSuperscript"/>
              </w:rPr>
              <w:t>d</w:t>
            </w:r>
            <w:proofErr w:type="gramEnd"/>
            <w:r w:rsidRPr="000B1E2B">
              <w:t xml:space="preserve"> n (%)</w:t>
            </w:r>
          </w:p>
        </w:tc>
        <w:tc>
          <w:tcPr>
            <w:tcW w:w="1309" w:type="pct"/>
          </w:tcPr>
          <w:p w14:paraId="6E676790" w14:textId="19C6A6D8" w:rsidR="00301BBA" w:rsidRPr="00C56FB6" w:rsidRDefault="00301BBA" w:rsidP="00C238DC">
            <w:pPr>
              <w:pStyle w:val="BMSTableText"/>
              <w:rPr>
                <w:vertAlign w:val="superscript"/>
              </w:rPr>
            </w:pPr>
            <w:r>
              <w:t>14 (4.4)</w:t>
            </w:r>
            <w:r>
              <w:rPr>
                <w:vertAlign w:val="superscript"/>
              </w:rPr>
              <w:t>e</w:t>
            </w:r>
          </w:p>
        </w:tc>
        <w:tc>
          <w:tcPr>
            <w:tcW w:w="1322" w:type="pct"/>
          </w:tcPr>
          <w:p w14:paraId="0FFCEF1C" w14:textId="77777777" w:rsidR="00301BBA" w:rsidRPr="000B1E2B" w:rsidRDefault="00301BBA" w:rsidP="00301BBA">
            <w:pPr>
              <w:pStyle w:val="BMSTableText"/>
            </w:pPr>
            <w:r>
              <w:t>24 (7.4)</w:t>
            </w:r>
          </w:p>
        </w:tc>
      </w:tr>
      <w:tr w:rsidR="00301BBA" w:rsidRPr="000B1E2B" w14:paraId="1303097B" w14:textId="77777777" w:rsidTr="00301BBA">
        <w:trPr>
          <w:trHeight w:val="144"/>
          <w:tblCellSpacing w:w="0" w:type="dxa"/>
          <w:jc w:val="center"/>
        </w:trPr>
        <w:tc>
          <w:tcPr>
            <w:tcW w:w="2369" w:type="pct"/>
          </w:tcPr>
          <w:p w14:paraId="0D5D0976" w14:textId="77777777" w:rsidR="00301BBA" w:rsidRDefault="00301BBA" w:rsidP="00301BBA">
            <w:pPr>
              <w:pStyle w:val="BMSTableText"/>
              <w:tabs>
                <w:tab w:val="clear" w:pos="360"/>
                <w:tab w:val="left" w:pos="426"/>
              </w:tabs>
              <w:jc w:val="left"/>
              <w:rPr>
                <w:sz w:val="22"/>
                <w:lang w:val="en-GB"/>
              </w:rPr>
            </w:pPr>
            <w:r>
              <w:tab/>
            </w:r>
            <w:r>
              <w:tab/>
            </w:r>
            <w:r w:rsidRPr="000B1E2B">
              <w:t>Very Good Partial Response (VGPR) n (%)</w:t>
            </w:r>
          </w:p>
        </w:tc>
        <w:tc>
          <w:tcPr>
            <w:tcW w:w="1309" w:type="pct"/>
          </w:tcPr>
          <w:p w14:paraId="4540BCEC" w14:textId="77777777" w:rsidR="00301BBA" w:rsidRPr="000B1E2B" w:rsidRDefault="00301BBA" w:rsidP="00301BBA">
            <w:pPr>
              <w:pStyle w:val="BMSTableText"/>
            </w:pPr>
            <w:r>
              <w:t>91 (28.3)</w:t>
            </w:r>
          </w:p>
        </w:tc>
        <w:tc>
          <w:tcPr>
            <w:tcW w:w="1322" w:type="pct"/>
          </w:tcPr>
          <w:p w14:paraId="5F9C8765" w14:textId="77777777" w:rsidR="00301BBA" w:rsidRPr="000B1E2B" w:rsidRDefault="00301BBA" w:rsidP="00301BBA">
            <w:pPr>
              <w:pStyle w:val="BMSTableText"/>
            </w:pPr>
            <w:r>
              <w:t>67 (20.6)</w:t>
            </w:r>
          </w:p>
        </w:tc>
      </w:tr>
      <w:tr w:rsidR="00301BBA" w:rsidRPr="000B1E2B" w14:paraId="7F2DEC44" w14:textId="77777777" w:rsidTr="00301BBA">
        <w:trPr>
          <w:trHeight w:val="144"/>
          <w:tblCellSpacing w:w="0" w:type="dxa"/>
          <w:jc w:val="center"/>
        </w:trPr>
        <w:tc>
          <w:tcPr>
            <w:tcW w:w="2369" w:type="pct"/>
          </w:tcPr>
          <w:p w14:paraId="768F7AB6" w14:textId="77777777" w:rsidR="00301BBA" w:rsidRDefault="00301BBA" w:rsidP="00301BBA">
            <w:pPr>
              <w:pStyle w:val="BMSTableText"/>
              <w:tabs>
                <w:tab w:val="clear" w:pos="360"/>
                <w:tab w:val="left" w:pos="426"/>
              </w:tabs>
              <w:jc w:val="left"/>
              <w:rPr>
                <w:sz w:val="22"/>
                <w:lang w:val="pt-BR"/>
              </w:rPr>
            </w:pPr>
            <w:r>
              <w:rPr>
                <w:lang w:val="pt-BR"/>
              </w:rPr>
              <w:tab/>
            </w:r>
            <w:r>
              <w:rPr>
                <w:lang w:val="pt-BR"/>
              </w:rPr>
              <w:tab/>
            </w:r>
            <w:r w:rsidRPr="000B1E2B">
              <w:rPr>
                <w:lang w:val="pt-BR"/>
              </w:rPr>
              <w:t>Partial Response (RR/PR)</w:t>
            </w:r>
            <w:r>
              <w:rPr>
                <w:lang w:val="pt-BR"/>
              </w:rPr>
              <w:t xml:space="preserve"> </w:t>
            </w:r>
            <w:r w:rsidRPr="000B1E2B">
              <w:rPr>
                <w:lang w:val="pt-BR"/>
              </w:rPr>
              <w:t>n (%)</w:t>
            </w:r>
          </w:p>
        </w:tc>
        <w:tc>
          <w:tcPr>
            <w:tcW w:w="1309" w:type="pct"/>
          </w:tcPr>
          <w:p w14:paraId="79639FCF" w14:textId="77777777" w:rsidR="00301BBA" w:rsidRPr="000B1E2B" w:rsidRDefault="00301BBA" w:rsidP="00301BBA">
            <w:pPr>
              <w:pStyle w:val="BMSTableText"/>
            </w:pPr>
            <w:r>
              <w:t>147 (45.8)</w:t>
            </w:r>
          </w:p>
        </w:tc>
        <w:tc>
          <w:tcPr>
            <w:tcW w:w="1322" w:type="pct"/>
          </w:tcPr>
          <w:p w14:paraId="7DF6C69A" w14:textId="77777777" w:rsidR="00301BBA" w:rsidRPr="000B1E2B" w:rsidRDefault="00301BBA" w:rsidP="00301BBA">
            <w:pPr>
              <w:pStyle w:val="BMSTableText"/>
            </w:pPr>
            <w:r>
              <w:t>122 (37.5)</w:t>
            </w:r>
          </w:p>
        </w:tc>
      </w:tr>
      <w:tr w:rsidR="00301BBA" w:rsidRPr="000B1E2B" w14:paraId="419E6C11" w14:textId="77777777" w:rsidTr="00816401">
        <w:trPr>
          <w:trHeight w:val="144"/>
          <w:tblCellSpacing w:w="0" w:type="dxa"/>
          <w:jc w:val="center"/>
        </w:trPr>
        <w:tc>
          <w:tcPr>
            <w:tcW w:w="2369" w:type="pct"/>
          </w:tcPr>
          <w:p w14:paraId="1FCDE351" w14:textId="77777777" w:rsidR="00301BBA" w:rsidRDefault="00301BBA" w:rsidP="00301BBA">
            <w:pPr>
              <w:pStyle w:val="BMSTableText"/>
              <w:tabs>
                <w:tab w:val="clear" w:pos="360"/>
                <w:tab w:val="left" w:pos="426"/>
              </w:tabs>
              <w:jc w:val="left"/>
              <w:rPr>
                <w:sz w:val="22"/>
                <w:lang w:val="pt-BR"/>
              </w:rPr>
            </w:pPr>
            <w:r>
              <w:rPr>
                <w:lang w:val="pt-BR"/>
              </w:rPr>
              <w:tab/>
              <w:t>Combined Responses (CR+sCR+VGPR) n (%)</w:t>
            </w:r>
          </w:p>
        </w:tc>
        <w:tc>
          <w:tcPr>
            <w:tcW w:w="1309" w:type="pct"/>
          </w:tcPr>
          <w:p w14:paraId="38966295" w14:textId="77777777" w:rsidR="00301BBA" w:rsidRDefault="00301BBA" w:rsidP="00301BBA">
            <w:pPr>
              <w:pStyle w:val="BMSTableText"/>
            </w:pPr>
            <w:r>
              <w:t>105 (32.7)</w:t>
            </w:r>
          </w:p>
        </w:tc>
        <w:tc>
          <w:tcPr>
            <w:tcW w:w="1322" w:type="pct"/>
          </w:tcPr>
          <w:p w14:paraId="7C50C4E4" w14:textId="77777777" w:rsidR="00301BBA" w:rsidRDefault="00301BBA" w:rsidP="00301BBA">
            <w:pPr>
              <w:pStyle w:val="BMSTableText"/>
            </w:pPr>
            <w:r>
              <w:t>91 (28.0)</w:t>
            </w:r>
          </w:p>
        </w:tc>
      </w:tr>
    </w:tbl>
    <w:p w14:paraId="6D2B3402" w14:textId="25CE8519" w:rsidR="00C238DC" w:rsidRPr="00A00C96" w:rsidRDefault="00301BBA" w:rsidP="00301BBA">
      <w:pPr>
        <w:pStyle w:val="EMEABodyText"/>
        <w:ind w:left="567" w:hanging="567"/>
        <w:rPr>
          <w:rStyle w:val="BMSSuperscript"/>
          <w:sz w:val="20"/>
        </w:rPr>
      </w:pPr>
      <w:proofErr w:type="gramStart"/>
      <w:r w:rsidRPr="00A00C96">
        <w:rPr>
          <w:rStyle w:val="BMSSuperscript"/>
          <w:sz w:val="20"/>
        </w:rPr>
        <w:t>a</w:t>
      </w:r>
      <w:proofErr w:type="gramEnd"/>
      <w:r>
        <w:rPr>
          <w:rStyle w:val="BMSSuperscript"/>
          <w:sz w:val="20"/>
        </w:rPr>
        <w:tab/>
      </w:r>
      <w:r w:rsidRPr="00A00C96">
        <w:rPr>
          <w:rStyle w:val="BMSSuperscript"/>
          <w:sz w:val="20"/>
        </w:rPr>
        <w:t>p</w:t>
      </w:r>
      <w:r>
        <w:rPr>
          <w:rStyle w:val="BMSSuperscript"/>
          <w:sz w:val="20"/>
        </w:rPr>
        <w:noBreakHyphen/>
      </w:r>
      <w:r w:rsidRPr="00A00C96">
        <w:rPr>
          <w:rStyle w:val="BMSSuperscript"/>
          <w:sz w:val="20"/>
        </w:rPr>
        <w:t>value based on the log</w:t>
      </w:r>
      <w:r>
        <w:rPr>
          <w:rStyle w:val="BMSSuperscript"/>
          <w:sz w:val="20"/>
        </w:rPr>
        <w:noBreakHyphen/>
      </w:r>
      <w:r w:rsidRPr="00A00C96">
        <w:rPr>
          <w:rStyle w:val="BMSSuperscript"/>
          <w:sz w:val="20"/>
        </w:rPr>
        <w:t xml:space="preserve">rank test stratified by B2 </w:t>
      </w:r>
      <w:proofErr w:type="spellStart"/>
      <w:r w:rsidRPr="00A00C96">
        <w:rPr>
          <w:rStyle w:val="BMSSuperscript"/>
          <w:sz w:val="20"/>
        </w:rPr>
        <w:t>microglobulins</w:t>
      </w:r>
      <w:proofErr w:type="spellEnd"/>
      <w:r w:rsidRPr="00A00C96">
        <w:rPr>
          <w:rStyle w:val="BMSSuperscript"/>
          <w:sz w:val="20"/>
        </w:rPr>
        <w:t xml:space="preserve"> (&lt;3.5</w:t>
      </w:r>
      <w:r>
        <w:rPr>
          <w:rStyle w:val="BMSSuperscript"/>
          <w:sz w:val="20"/>
        </w:rPr>
        <w:t> </w:t>
      </w:r>
      <w:r w:rsidRPr="00A00C96">
        <w:rPr>
          <w:rStyle w:val="BMSSuperscript"/>
          <w:sz w:val="20"/>
        </w:rPr>
        <w:t xml:space="preserve">mg/L </w:t>
      </w:r>
      <w:r>
        <w:rPr>
          <w:rStyle w:val="BMSSuperscript"/>
          <w:sz w:val="20"/>
        </w:rPr>
        <w:t>versus</w:t>
      </w:r>
      <w:r w:rsidRPr="00A00C96">
        <w:rPr>
          <w:rStyle w:val="BMSSuperscript"/>
          <w:sz w:val="20"/>
        </w:rPr>
        <w:t xml:space="preserve"> ≥</w:t>
      </w:r>
      <w:r>
        <w:rPr>
          <w:rStyle w:val="BMSSuperscript"/>
          <w:sz w:val="20"/>
        </w:rPr>
        <w:t> </w:t>
      </w:r>
      <w:r w:rsidRPr="00A00C96">
        <w:rPr>
          <w:rStyle w:val="BMSSuperscript"/>
          <w:sz w:val="20"/>
        </w:rPr>
        <w:t xml:space="preserve">3.5mg/L), number of prior lines of therapy (1 </w:t>
      </w:r>
      <w:r>
        <w:rPr>
          <w:rStyle w:val="BMSSuperscript"/>
          <w:sz w:val="20"/>
        </w:rPr>
        <w:t>versus</w:t>
      </w:r>
      <w:r w:rsidRPr="00A00C96">
        <w:rPr>
          <w:rStyle w:val="BMSSuperscript"/>
          <w:sz w:val="20"/>
        </w:rPr>
        <w:t xml:space="preserve"> 2 or 3), and prior immunomodulatory therapy (no </w:t>
      </w:r>
      <w:r>
        <w:rPr>
          <w:rStyle w:val="BMSSuperscript"/>
          <w:sz w:val="20"/>
        </w:rPr>
        <w:t>versus</w:t>
      </w:r>
      <w:r w:rsidRPr="00A00C96">
        <w:rPr>
          <w:rStyle w:val="BMSSuperscript"/>
          <w:sz w:val="20"/>
        </w:rPr>
        <w:t xml:space="preserve"> prior thalidomide only </w:t>
      </w:r>
      <w:r>
        <w:rPr>
          <w:rStyle w:val="BMSSuperscript"/>
          <w:sz w:val="20"/>
        </w:rPr>
        <w:t>versus</w:t>
      </w:r>
      <w:r w:rsidRPr="00A00C96">
        <w:rPr>
          <w:rStyle w:val="BMSSuperscript"/>
          <w:sz w:val="20"/>
        </w:rPr>
        <w:t xml:space="preserve"> other)</w:t>
      </w:r>
    </w:p>
    <w:p w14:paraId="4A2CEB00" w14:textId="7ED4E4F9" w:rsidR="00301BBA" w:rsidRPr="00A00C96" w:rsidRDefault="00301BBA" w:rsidP="00301BBA">
      <w:pPr>
        <w:pStyle w:val="EMEABodyText"/>
        <w:tabs>
          <w:tab w:val="left" w:pos="567"/>
        </w:tabs>
        <w:rPr>
          <w:rStyle w:val="BMSSuperscript"/>
          <w:sz w:val="20"/>
        </w:rPr>
      </w:pPr>
      <w:proofErr w:type="gramStart"/>
      <w:r>
        <w:rPr>
          <w:rStyle w:val="BMSSuperscript"/>
          <w:sz w:val="20"/>
        </w:rPr>
        <w:t>b</w:t>
      </w:r>
      <w:proofErr w:type="gramEnd"/>
      <w:r>
        <w:rPr>
          <w:rStyle w:val="BMSSuperscript"/>
          <w:sz w:val="20"/>
        </w:rPr>
        <w:tab/>
      </w:r>
      <w:r w:rsidRPr="00A00C96">
        <w:rPr>
          <w:rStyle w:val="BMSSuperscript"/>
          <w:sz w:val="20"/>
        </w:rPr>
        <w:t>European Group for Blood a</w:t>
      </w:r>
      <w:r>
        <w:rPr>
          <w:rStyle w:val="BMSSuperscript"/>
          <w:sz w:val="20"/>
        </w:rPr>
        <w:t>nd</w:t>
      </w:r>
      <w:r w:rsidRPr="00A00C96">
        <w:rPr>
          <w:rStyle w:val="BMSSuperscript"/>
          <w:sz w:val="20"/>
        </w:rPr>
        <w:t xml:space="preserve"> Marrow Transplantation (EBMT) criteria</w:t>
      </w:r>
    </w:p>
    <w:p w14:paraId="384043EE" w14:textId="48611CF1" w:rsidR="00301BBA" w:rsidRPr="00A00C96" w:rsidRDefault="00301BBA" w:rsidP="00301BBA">
      <w:pPr>
        <w:pStyle w:val="EMEABodyText"/>
        <w:ind w:left="567" w:hanging="567"/>
        <w:rPr>
          <w:rStyle w:val="BMSSuperscript"/>
          <w:sz w:val="20"/>
        </w:rPr>
      </w:pPr>
      <w:proofErr w:type="gramStart"/>
      <w:r w:rsidRPr="00A00C96">
        <w:rPr>
          <w:rStyle w:val="BMSSuperscript"/>
          <w:sz w:val="20"/>
        </w:rPr>
        <w:t>c</w:t>
      </w:r>
      <w:proofErr w:type="gramEnd"/>
      <w:r w:rsidRPr="00A00C96">
        <w:rPr>
          <w:rStyle w:val="BMSSuperscript"/>
          <w:sz w:val="20"/>
        </w:rPr>
        <w:tab/>
        <w:t>p</w:t>
      </w:r>
      <w:r>
        <w:rPr>
          <w:rStyle w:val="BMSSuperscript"/>
          <w:sz w:val="20"/>
        </w:rPr>
        <w:noBreakHyphen/>
      </w:r>
      <w:r w:rsidRPr="00A00C96">
        <w:rPr>
          <w:rStyle w:val="BMSSuperscript"/>
          <w:sz w:val="20"/>
        </w:rPr>
        <w:t>value based on the Cochran</w:t>
      </w:r>
      <w:r>
        <w:rPr>
          <w:rStyle w:val="BMSSuperscript"/>
          <w:sz w:val="20"/>
        </w:rPr>
        <w:noBreakHyphen/>
      </w:r>
      <w:r w:rsidRPr="00A00C96">
        <w:rPr>
          <w:rStyle w:val="BMSSuperscript"/>
          <w:sz w:val="20"/>
        </w:rPr>
        <w:t>Mantel</w:t>
      </w:r>
      <w:r>
        <w:rPr>
          <w:rStyle w:val="BMSSuperscript"/>
          <w:sz w:val="20"/>
        </w:rPr>
        <w:noBreakHyphen/>
      </w:r>
      <w:proofErr w:type="spellStart"/>
      <w:r w:rsidRPr="00A00C96">
        <w:rPr>
          <w:rStyle w:val="BMSSuperscript"/>
          <w:sz w:val="20"/>
        </w:rPr>
        <w:t>Haenzel</w:t>
      </w:r>
      <w:proofErr w:type="spellEnd"/>
      <w:r w:rsidRPr="00A00C96">
        <w:rPr>
          <w:rStyle w:val="BMSSuperscript"/>
          <w:sz w:val="20"/>
        </w:rPr>
        <w:t xml:space="preserve"> chi</w:t>
      </w:r>
      <w:r>
        <w:rPr>
          <w:rStyle w:val="BMSSuperscript"/>
          <w:sz w:val="20"/>
        </w:rPr>
        <w:noBreakHyphen/>
      </w:r>
      <w:r w:rsidRPr="00A00C96">
        <w:rPr>
          <w:rStyle w:val="BMSSuperscript"/>
          <w:sz w:val="20"/>
        </w:rPr>
        <w:t xml:space="preserve">square test stratified by B2 </w:t>
      </w:r>
      <w:proofErr w:type="spellStart"/>
      <w:r w:rsidRPr="00A00C96">
        <w:rPr>
          <w:rStyle w:val="BMSSuperscript"/>
          <w:sz w:val="20"/>
        </w:rPr>
        <w:t>microglobulins</w:t>
      </w:r>
      <w:proofErr w:type="spellEnd"/>
      <w:r w:rsidRPr="00A00C96">
        <w:rPr>
          <w:rStyle w:val="BMSSuperscript"/>
          <w:sz w:val="20"/>
        </w:rPr>
        <w:t xml:space="preserve"> (&lt;3.5</w:t>
      </w:r>
      <w:r>
        <w:rPr>
          <w:rStyle w:val="BMSSuperscript"/>
          <w:sz w:val="20"/>
        </w:rPr>
        <w:t> </w:t>
      </w:r>
      <w:r w:rsidRPr="00A00C96">
        <w:rPr>
          <w:rStyle w:val="BMSSuperscript"/>
          <w:sz w:val="20"/>
        </w:rPr>
        <w:t xml:space="preserve">mg/L </w:t>
      </w:r>
      <w:r>
        <w:rPr>
          <w:rStyle w:val="BMSSuperscript"/>
          <w:sz w:val="20"/>
        </w:rPr>
        <w:t>versus</w:t>
      </w:r>
      <w:r w:rsidRPr="00A00C96">
        <w:rPr>
          <w:rStyle w:val="BMSSuperscript"/>
          <w:sz w:val="20"/>
        </w:rPr>
        <w:t xml:space="preserve"> ≥3.5</w:t>
      </w:r>
      <w:r>
        <w:rPr>
          <w:rStyle w:val="BMSSuperscript"/>
          <w:sz w:val="20"/>
        </w:rPr>
        <w:t> </w:t>
      </w:r>
      <w:r w:rsidRPr="00A00C96">
        <w:rPr>
          <w:rStyle w:val="BMSSuperscript"/>
          <w:sz w:val="20"/>
        </w:rPr>
        <w:t xml:space="preserve">mg/L), number of prior lines of therapy (1 </w:t>
      </w:r>
      <w:r>
        <w:rPr>
          <w:rStyle w:val="BMSSuperscript"/>
          <w:sz w:val="20"/>
        </w:rPr>
        <w:t>versus</w:t>
      </w:r>
      <w:r w:rsidRPr="00A00C96">
        <w:rPr>
          <w:rStyle w:val="BMSSuperscript"/>
          <w:sz w:val="20"/>
        </w:rPr>
        <w:t xml:space="preserve"> 2 or 3), and prior immunomodulatory therapy (no </w:t>
      </w:r>
      <w:r>
        <w:rPr>
          <w:rStyle w:val="BMSSuperscript"/>
          <w:sz w:val="20"/>
        </w:rPr>
        <w:t>versus</w:t>
      </w:r>
      <w:r w:rsidRPr="00A00C96">
        <w:rPr>
          <w:rStyle w:val="BMSSuperscript"/>
          <w:sz w:val="20"/>
        </w:rPr>
        <w:t xml:space="preserve"> prior thalidomide only </w:t>
      </w:r>
      <w:r>
        <w:rPr>
          <w:rStyle w:val="BMSSuperscript"/>
          <w:sz w:val="20"/>
        </w:rPr>
        <w:t>versus</w:t>
      </w:r>
      <w:r w:rsidRPr="00A00C96">
        <w:rPr>
          <w:rStyle w:val="BMSSuperscript"/>
          <w:sz w:val="20"/>
        </w:rPr>
        <w:t xml:space="preserve"> other)</w:t>
      </w:r>
    </w:p>
    <w:p w14:paraId="147ACEA4" w14:textId="50A02663" w:rsidR="00301BBA" w:rsidRDefault="00D70AE5" w:rsidP="00301BBA">
      <w:pPr>
        <w:pStyle w:val="EMEABodyText"/>
        <w:tabs>
          <w:tab w:val="left" w:pos="567"/>
        </w:tabs>
        <w:rPr>
          <w:rStyle w:val="BMSSuperscript"/>
          <w:sz w:val="20"/>
        </w:rPr>
      </w:pPr>
      <w:proofErr w:type="gramStart"/>
      <w:r>
        <w:rPr>
          <w:rStyle w:val="BMSSuperscript"/>
          <w:sz w:val="20"/>
        </w:rPr>
        <w:t>d</w:t>
      </w:r>
      <w:proofErr w:type="gramEnd"/>
      <w:r w:rsidR="00301BBA">
        <w:rPr>
          <w:rStyle w:val="BMSSuperscript"/>
          <w:sz w:val="20"/>
        </w:rPr>
        <w:tab/>
      </w:r>
      <w:r w:rsidR="00301BBA" w:rsidRPr="00A00C96">
        <w:rPr>
          <w:rStyle w:val="BMSSuperscript"/>
          <w:sz w:val="20"/>
        </w:rPr>
        <w:t>Complete response (CR) + stringent complete response (</w:t>
      </w:r>
      <w:proofErr w:type="spellStart"/>
      <w:r w:rsidR="00301BBA" w:rsidRPr="00A00C96">
        <w:rPr>
          <w:rStyle w:val="BMSSuperscript"/>
          <w:sz w:val="20"/>
        </w:rPr>
        <w:t>sCR</w:t>
      </w:r>
      <w:proofErr w:type="spellEnd"/>
      <w:r w:rsidR="00301BBA" w:rsidRPr="00A00C96">
        <w:rPr>
          <w:rStyle w:val="BMSSuperscript"/>
          <w:sz w:val="20"/>
        </w:rPr>
        <w:t>)</w:t>
      </w:r>
    </w:p>
    <w:p w14:paraId="46562080" w14:textId="2AED7FD4" w:rsidR="00301BBA" w:rsidRPr="00D70AE5" w:rsidRDefault="00301BBA" w:rsidP="00301BBA">
      <w:pPr>
        <w:pStyle w:val="EMEABodyText"/>
        <w:ind w:left="567" w:hanging="567"/>
        <w:rPr>
          <w:sz w:val="20"/>
          <w:vertAlign w:val="superscript"/>
        </w:rPr>
      </w:pPr>
      <w:proofErr w:type="gramStart"/>
      <w:r w:rsidRPr="00A00C96">
        <w:rPr>
          <w:rStyle w:val="BMSSuperscript"/>
          <w:sz w:val="20"/>
        </w:rPr>
        <w:t>e</w:t>
      </w:r>
      <w:proofErr w:type="gramEnd"/>
      <w:r w:rsidRPr="00A00C96">
        <w:rPr>
          <w:rStyle w:val="BMSSuperscript"/>
          <w:sz w:val="20"/>
        </w:rPr>
        <w:tab/>
      </w:r>
      <w:r w:rsidRPr="00D70AE5">
        <w:rPr>
          <w:sz w:val="20"/>
          <w:vertAlign w:val="superscript"/>
        </w:rPr>
        <w:t>Complete</w:t>
      </w:r>
      <w:r w:rsidRPr="001B60B7">
        <w:rPr>
          <w:sz w:val="20"/>
        </w:rPr>
        <w:t xml:space="preserve"> </w:t>
      </w:r>
      <w:r w:rsidRPr="00D70AE5">
        <w:rPr>
          <w:sz w:val="20"/>
          <w:vertAlign w:val="superscript"/>
        </w:rPr>
        <w:t xml:space="preserve">response rates in EMPLICITI group may be underestimated due to interference of </w:t>
      </w:r>
      <w:proofErr w:type="spellStart"/>
      <w:r w:rsidRPr="00D70AE5">
        <w:rPr>
          <w:sz w:val="20"/>
          <w:vertAlign w:val="superscript"/>
        </w:rPr>
        <w:t>elotuzumab</w:t>
      </w:r>
      <w:proofErr w:type="spellEnd"/>
      <w:r w:rsidRPr="00D70AE5">
        <w:rPr>
          <w:sz w:val="20"/>
          <w:vertAlign w:val="superscript"/>
        </w:rPr>
        <w:t xml:space="preserve"> monoclonal antibody with </w:t>
      </w:r>
      <w:proofErr w:type="spellStart"/>
      <w:r w:rsidRPr="00D70AE5">
        <w:rPr>
          <w:sz w:val="20"/>
          <w:vertAlign w:val="superscript"/>
        </w:rPr>
        <w:t>immunofixation</w:t>
      </w:r>
      <w:proofErr w:type="spellEnd"/>
      <w:r w:rsidRPr="00D70AE5">
        <w:rPr>
          <w:sz w:val="20"/>
          <w:vertAlign w:val="superscript"/>
        </w:rPr>
        <w:t xml:space="preserve"> assay and serum protein electrophoresis assay.</w:t>
      </w:r>
    </w:p>
    <w:p w14:paraId="5BFC3BF8" w14:textId="77777777" w:rsidR="00360B42" w:rsidRDefault="00360B42">
      <w:pPr>
        <w:spacing w:after="0" w:line="240" w:lineRule="auto"/>
        <w:rPr>
          <w:rFonts w:ascii="Times New Roman" w:hAnsi="Times New Roman"/>
          <w:szCs w:val="24"/>
          <w:lang w:val="en-GB"/>
        </w:rPr>
      </w:pPr>
      <w:r>
        <w:rPr>
          <w:szCs w:val="24"/>
        </w:rPr>
        <w:br w:type="page"/>
      </w:r>
    </w:p>
    <w:p w14:paraId="7695928D" w14:textId="0FDA49A8" w:rsidR="00360B42" w:rsidRPr="00360B42" w:rsidRDefault="00F5030B" w:rsidP="00F5030B">
      <w:pPr>
        <w:pStyle w:val="Caption"/>
        <w:rPr>
          <w:sz w:val="24"/>
          <w:szCs w:val="24"/>
        </w:rPr>
      </w:pPr>
      <w:bookmarkStart w:id="2" w:name="_Ref495676761"/>
      <w:r>
        <w:lastRenderedPageBreak/>
        <w:t xml:space="preserve">Figure </w:t>
      </w:r>
      <w:r>
        <w:fldChar w:fldCharType="begin"/>
      </w:r>
      <w:r>
        <w:instrText xml:space="preserve"> SEQ Figure \* ARABIC </w:instrText>
      </w:r>
      <w:r>
        <w:fldChar w:fldCharType="separate"/>
      </w:r>
      <w:r>
        <w:rPr>
          <w:noProof/>
        </w:rPr>
        <w:t>1</w:t>
      </w:r>
      <w:r>
        <w:fldChar w:fldCharType="end"/>
      </w:r>
      <w:bookmarkEnd w:id="2"/>
      <w:r w:rsidR="00360B42" w:rsidRPr="00360B42">
        <w:rPr>
          <w:sz w:val="24"/>
          <w:szCs w:val="24"/>
        </w:rPr>
        <w:t>: Progression Free Survival</w:t>
      </w:r>
      <w:r w:rsidR="00EB2ED7">
        <w:rPr>
          <w:sz w:val="24"/>
          <w:szCs w:val="24"/>
        </w:rPr>
        <w:t xml:space="preserve"> for </w:t>
      </w:r>
      <w:r w:rsidR="007A712B">
        <w:rPr>
          <w:sz w:val="24"/>
          <w:szCs w:val="24"/>
        </w:rPr>
        <w:t>Eloquent-2 (</w:t>
      </w:r>
      <w:r w:rsidR="00D204E0">
        <w:t xml:space="preserve">Study </w:t>
      </w:r>
      <w:r w:rsidR="00414823">
        <w:t>CA204-004</w:t>
      </w:r>
      <w:r w:rsidR="007A712B">
        <w:t>)</w:t>
      </w:r>
    </w:p>
    <w:p w14:paraId="7A69CB62" w14:textId="77777777" w:rsidR="00360B42" w:rsidRDefault="0091537D" w:rsidP="007561A5">
      <w:pPr>
        <w:pStyle w:val="EMEABodyText"/>
        <w:rPr>
          <w:szCs w:val="24"/>
        </w:rPr>
      </w:pPr>
      <w:r w:rsidRPr="0091537D">
        <w:rPr>
          <w:noProof/>
          <w:szCs w:val="24"/>
          <w:lang w:val="en-AU" w:eastAsia="en-AU"/>
        </w:rPr>
        <w:drawing>
          <wp:inline distT="0" distB="0" distL="0" distR="0" wp14:anchorId="413A7DD8" wp14:editId="6FF74DF4">
            <wp:extent cx="5581650" cy="3692885"/>
            <wp:effectExtent l="0" t="0" r="0" b="3175"/>
            <wp:docPr id="2" name="Picture 4" descr="Figure 1 is a link graph illustrating the progression free survival for Eloqu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b="16164"/>
                    <a:stretch>
                      <a:fillRect/>
                    </a:stretch>
                  </pic:blipFill>
                  <pic:spPr bwMode="auto">
                    <a:xfrm>
                      <a:off x="0" y="0"/>
                      <a:ext cx="5581650" cy="3692885"/>
                    </a:xfrm>
                    <a:prstGeom prst="rect">
                      <a:avLst/>
                    </a:prstGeom>
                    <a:noFill/>
                    <a:ln w="9525">
                      <a:noFill/>
                      <a:miter lim="800000"/>
                      <a:headEnd/>
                      <a:tailEnd/>
                    </a:ln>
                  </pic:spPr>
                </pic:pic>
              </a:graphicData>
            </a:graphic>
          </wp:inline>
        </w:drawing>
      </w:r>
    </w:p>
    <w:p w14:paraId="69216DEF" w14:textId="77777777" w:rsidR="00B16BDD" w:rsidRDefault="00DB04E3" w:rsidP="007561A5">
      <w:pPr>
        <w:pStyle w:val="EMEABodyText"/>
        <w:rPr>
          <w:sz w:val="20"/>
        </w:rPr>
      </w:pPr>
      <w:r w:rsidRPr="00DB04E3">
        <w:rPr>
          <w:sz w:val="20"/>
        </w:rPr>
        <w:t>E-</w:t>
      </w:r>
      <w:proofErr w:type="spellStart"/>
      <w:r w:rsidRPr="00DB04E3">
        <w:rPr>
          <w:sz w:val="20"/>
        </w:rPr>
        <w:t>Ld</w:t>
      </w:r>
      <w:proofErr w:type="spellEnd"/>
      <w:r w:rsidRPr="00DB04E3">
        <w:rPr>
          <w:sz w:val="20"/>
        </w:rPr>
        <w:t xml:space="preserve"> = </w:t>
      </w:r>
      <w:proofErr w:type="spellStart"/>
      <w:r w:rsidRPr="00DB04E3">
        <w:rPr>
          <w:sz w:val="20"/>
        </w:rPr>
        <w:t>elotuzumab</w:t>
      </w:r>
      <w:proofErr w:type="spellEnd"/>
      <w:r w:rsidRPr="00DB04E3">
        <w:rPr>
          <w:sz w:val="20"/>
        </w:rPr>
        <w:t>/</w:t>
      </w:r>
      <w:proofErr w:type="spellStart"/>
      <w:r w:rsidRPr="00DB04E3">
        <w:rPr>
          <w:sz w:val="20"/>
        </w:rPr>
        <w:t>lenalidomide</w:t>
      </w:r>
      <w:proofErr w:type="spellEnd"/>
      <w:r w:rsidRPr="00DB04E3">
        <w:rPr>
          <w:sz w:val="20"/>
        </w:rPr>
        <w:t>/low-dose dexamethasone combination regimen</w:t>
      </w:r>
    </w:p>
    <w:p w14:paraId="435CC4AF" w14:textId="77777777" w:rsidR="00B16BDD" w:rsidRDefault="00DB04E3" w:rsidP="007561A5">
      <w:pPr>
        <w:pStyle w:val="EMEABodyText"/>
        <w:rPr>
          <w:sz w:val="20"/>
        </w:rPr>
      </w:pPr>
      <w:proofErr w:type="spellStart"/>
      <w:proofErr w:type="gramStart"/>
      <w:r w:rsidRPr="00DB04E3">
        <w:rPr>
          <w:sz w:val="20"/>
        </w:rPr>
        <w:t>Ld</w:t>
      </w:r>
      <w:proofErr w:type="spellEnd"/>
      <w:proofErr w:type="gramEnd"/>
      <w:r w:rsidRPr="00DB04E3">
        <w:rPr>
          <w:sz w:val="20"/>
        </w:rPr>
        <w:t xml:space="preserve"> = </w:t>
      </w:r>
      <w:proofErr w:type="spellStart"/>
      <w:r w:rsidRPr="00DB04E3">
        <w:rPr>
          <w:sz w:val="20"/>
        </w:rPr>
        <w:t>lenalidomide</w:t>
      </w:r>
      <w:proofErr w:type="spellEnd"/>
      <w:r w:rsidRPr="00DB04E3">
        <w:rPr>
          <w:sz w:val="20"/>
        </w:rPr>
        <w:t>/low-dose dexamethasone combination regimen</w:t>
      </w:r>
    </w:p>
    <w:p w14:paraId="3C1852AF" w14:textId="428354E6" w:rsidR="007561A5" w:rsidRPr="009F7250" w:rsidRDefault="00857103" w:rsidP="007561A5">
      <w:pPr>
        <w:pStyle w:val="EMEABodyText"/>
        <w:rPr>
          <w:szCs w:val="24"/>
        </w:rPr>
      </w:pPr>
      <w:r w:rsidRPr="00857103">
        <w:rPr>
          <w:szCs w:val="24"/>
        </w:rPr>
        <w:t>With a minimum follow-up time of 23.4 months, t</w:t>
      </w:r>
      <w:r w:rsidR="007561A5" w:rsidRPr="00857103">
        <w:rPr>
          <w:szCs w:val="24"/>
        </w:rPr>
        <w:t>he</w:t>
      </w:r>
      <w:r w:rsidR="007561A5" w:rsidRPr="009F7250">
        <w:rPr>
          <w:szCs w:val="24"/>
        </w:rPr>
        <w:t xml:space="preserve"> 1- and 2</w:t>
      </w:r>
      <w:r w:rsidR="007561A5" w:rsidRPr="009F7250">
        <w:rPr>
          <w:szCs w:val="24"/>
        </w:rPr>
        <w:noBreakHyphen/>
        <w:t xml:space="preserve">year rates of PFS for EMPLICITI in combination with </w:t>
      </w:r>
      <w:proofErr w:type="spellStart"/>
      <w:r w:rsidR="007561A5" w:rsidRPr="009F7250">
        <w:rPr>
          <w:szCs w:val="24"/>
        </w:rPr>
        <w:t>lenalidomide</w:t>
      </w:r>
      <w:proofErr w:type="spellEnd"/>
      <w:r w:rsidR="007561A5" w:rsidRPr="009F7250">
        <w:rPr>
          <w:szCs w:val="24"/>
        </w:rPr>
        <w:t xml:space="preserve"> and dexamethasone treatment were 68% and 39%, respectively, compared with 56% and 26%, respectively, for </w:t>
      </w:r>
      <w:proofErr w:type="spellStart"/>
      <w:r w:rsidR="007561A5" w:rsidRPr="009F7250">
        <w:rPr>
          <w:szCs w:val="24"/>
        </w:rPr>
        <w:t>lenalidomide</w:t>
      </w:r>
      <w:proofErr w:type="spellEnd"/>
      <w:r w:rsidR="007561A5" w:rsidRPr="009F7250">
        <w:rPr>
          <w:szCs w:val="24"/>
        </w:rPr>
        <w:t xml:space="preserve"> and dexamethasone treatment.</w:t>
      </w:r>
    </w:p>
    <w:p w14:paraId="18BA068D" w14:textId="77777777" w:rsidR="007561A5" w:rsidRPr="00360B42" w:rsidRDefault="00360B42" w:rsidP="007561A5">
      <w:pPr>
        <w:pStyle w:val="EMEABodyText"/>
        <w:rPr>
          <w:szCs w:val="24"/>
        </w:rPr>
      </w:pPr>
      <w:r w:rsidRPr="00360B42">
        <w:rPr>
          <w:szCs w:val="24"/>
        </w:rPr>
        <w:t>Improvements observed in PFS were consistent across subsets regardless of cytogenetic category (presence or absence of cytogenetic categories del</w:t>
      </w:r>
      <w:r w:rsidR="00EF1B88">
        <w:rPr>
          <w:szCs w:val="24"/>
        </w:rPr>
        <w:t xml:space="preserve"> </w:t>
      </w:r>
      <w:r w:rsidRPr="00360B42">
        <w:rPr>
          <w:szCs w:val="24"/>
        </w:rPr>
        <w:t>17p or t</w:t>
      </w:r>
      <w:r w:rsidR="00EF1B88">
        <w:rPr>
          <w:szCs w:val="24"/>
        </w:rPr>
        <w:t xml:space="preserve"> </w:t>
      </w:r>
      <w:r w:rsidRPr="00360B42">
        <w:rPr>
          <w:szCs w:val="24"/>
        </w:rPr>
        <w:t>(4</w:t>
      </w:r>
      <w:proofErr w:type="gramStart"/>
      <w:r w:rsidRPr="00360B42">
        <w:rPr>
          <w:szCs w:val="24"/>
        </w:rPr>
        <w:t>;14</w:t>
      </w:r>
      <w:proofErr w:type="gramEnd"/>
      <w:r w:rsidRPr="00360B42">
        <w:rPr>
          <w:szCs w:val="24"/>
        </w:rPr>
        <w:t xml:space="preserve">)), age (&lt;65 versus ≥65), ISS stage, prior immunomodulatory agent exposure, prior </w:t>
      </w:r>
      <w:proofErr w:type="spellStart"/>
      <w:r w:rsidRPr="00D204E0">
        <w:rPr>
          <w:szCs w:val="24"/>
        </w:rPr>
        <w:t>bortezomib</w:t>
      </w:r>
      <w:proofErr w:type="spellEnd"/>
      <w:r w:rsidRPr="00360B42">
        <w:rPr>
          <w:szCs w:val="24"/>
        </w:rPr>
        <w:t xml:space="preserve"> exposure, relapsed or refractory status, or renal function</w:t>
      </w:r>
      <w:r w:rsidR="00EF1B88">
        <w:rPr>
          <w:szCs w:val="24"/>
        </w:rPr>
        <w:t>.</w:t>
      </w:r>
    </w:p>
    <w:p w14:paraId="5614D19A" w14:textId="37201FA1" w:rsidR="002C2714" w:rsidRPr="002C2714" w:rsidRDefault="002C2714" w:rsidP="002C2714">
      <w:pPr>
        <w:autoSpaceDE w:val="0"/>
        <w:autoSpaceDN w:val="0"/>
        <w:adjustRightInd w:val="0"/>
        <w:rPr>
          <w:rFonts w:ascii="Times New Roman" w:hAnsi="Times New Roman"/>
          <w:szCs w:val="24"/>
          <w:lang w:val="en-GB"/>
        </w:rPr>
      </w:pPr>
      <w:r w:rsidRPr="002C2714">
        <w:rPr>
          <w:rFonts w:ascii="Times New Roman" w:hAnsi="Times New Roman"/>
          <w:szCs w:val="24"/>
          <w:lang w:val="en-GB"/>
        </w:rPr>
        <w:t xml:space="preserve">The 1- and 2-year rates of </w:t>
      </w:r>
      <w:r w:rsidR="0055570E">
        <w:rPr>
          <w:rFonts w:ascii="Times New Roman" w:hAnsi="Times New Roman"/>
          <w:szCs w:val="24"/>
          <w:lang w:val="en-GB"/>
        </w:rPr>
        <w:t>Overall Survival (OS)</w:t>
      </w:r>
      <w:r w:rsidRPr="002C2714">
        <w:rPr>
          <w:rFonts w:ascii="Times New Roman" w:hAnsi="Times New Roman"/>
          <w:szCs w:val="24"/>
          <w:lang w:val="en-GB"/>
        </w:rPr>
        <w:t xml:space="preserve"> for EMPLICITI in combination with </w:t>
      </w:r>
      <w:proofErr w:type="spellStart"/>
      <w:r w:rsidRPr="002C2714">
        <w:rPr>
          <w:rFonts w:ascii="Times New Roman" w:hAnsi="Times New Roman"/>
          <w:szCs w:val="24"/>
          <w:lang w:val="en-GB"/>
        </w:rPr>
        <w:t>lenalidomide</w:t>
      </w:r>
      <w:proofErr w:type="spellEnd"/>
      <w:r w:rsidRPr="002C2714">
        <w:rPr>
          <w:rFonts w:ascii="Times New Roman" w:hAnsi="Times New Roman"/>
          <w:szCs w:val="24"/>
          <w:lang w:val="en-GB"/>
        </w:rPr>
        <w:t xml:space="preserve"> and dexamethasone treatment were 91% and 73%, respectively, compared with 83% and 69%, respectively, for </w:t>
      </w:r>
      <w:proofErr w:type="spellStart"/>
      <w:r w:rsidRPr="002C2714">
        <w:rPr>
          <w:rFonts w:ascii="Times New Roman" w:hAnsi="Times New Roman"/>
          <w:szCs w:val="24"/>
          <w:lang w:val="en-GB"/>
        </w:rPr>
        <w:t>lenalidomide</w:t>
      </w:r>
      <w:proofErr w:type="spellEnd"/>
      <w:r w:rsidRPr="002C2714">
        <w:rPr>
          <w:rFonts w:ascii="Times New Roman" w:hAnsi="Times New Roman"/>
          <w:szCs w:val="24"/>
          <w:lang w:val="en-GB"/>
        </w:rPr>
        <w:t xml:space="preserve"> and dexamethasone treatment.</w:t>
      </w:r>
    </w:p>
    <w:p w14:paraId="63486C8E" w14:textId="77777777" w:rsidR="00B16BDD" w:rsidRDefault="007561A5" w:rsidP="00F5030B">
      <w:pPr>
        <w:pStyle w:val="A-Heading2"/>
      </w:pPr>
      <w:r w:rsidRPr="009F7250">
        <w:t xml:space="preserve">Study </w:t>
      </w:r>
      <w:r w:rsidR="003372BC">
        <w:t>CA204</w:t>
      </w:r>
      <w:r w:rsidR="00737642">
        <w:t>-</w:t>
      </w:r>
      <w:r w:rsidR="003372BC">
        <w:t>009</w:t>
      </w:r>
    </w:p>
    <w:p w14:paraId="46ECA69E" w14:textId="58F25234" w:rsidR="00813BBB" w:rsidRPr="00813BBB" w:rsidRDefault="00A60136" w:rsidP="00813BBB">
      <w:pPr>
        <w:pStyle w:val="EMEABodyText"/>
        <w:rPr>
          <w:bCs/>
          <w:szCs w:val="24"/>
          <w:lang w:val="en-AU"/>
        </w:rPr>
      </w:pPr>
      <w:r w:rsidRPr="00A60136">
        <w:rPr>
          <w:szCs w:val="24"/>
        </w:rPr>
        <w:t>In a Phase 2, randomised open label study in a total of 152 subjects</w:t>
      </w:r>
      <w:r>
        <w:rPr>
          <w:szCs w:val="24"/>
        </w:rPr>
        <w:t>,</w:t>
      </w:r>
      <w:r w:rsidRPr="00A60136">
        <w:rPr>
          <w:szCs w:val="24"/>
        </w:rPr>
        <w:t xml:space="preserve"> </w:t>
      </w:r>
      <w:r w:rsidRPr="00A60136">
        <w:rPr>
          <w:bCs/>
          <w:szCs w:val="24"/>
          <w:lang w:val="en-US"/>
        </w:rPr>
        <w:t>the 1</w:t>
      </w:r>
      <w:r w:rsidRPr="00A60136">
        <w:rPr>
          <w:bCs/>
          <w:szCs w:val="24"/>
          <w:lang w:val="en-US"/>
        </w:rPr>
        <w:noBreakHyphen/>
        <w:t xml:space="preserve">year rate of PFS for EMPLICITI in combination with </w:t>
      </w:r>
      <w:proofErr w:type="spellStart"/>
      <w:r w:rsidRPr="00A60136">
        <w:rPr>
          <w:bCs/>
          <w:szCs w:val="24"/>
          <w:lang w:val="en-US"/>
        </w:rPr>
        <w:t>bortezomib</w:t>
      </w:r>
      <w:proofErr w:type="spellEnd"/>
      <w:r w:rsidRPr="00A60136">
        <w:rPr>
          <w:bCs/>
          <w:szCs w:val="24"/>
          <w:lang w:val="en-US"/>
        </w:rPr>
        <w:t xml:space="preserve"> and dexamethasone treatment was 39% compared with 33% for </w:t>
      </w:r>
      <w:proofErr w:type="spellStart"/>
      <w:r w:rsidRPr="00A60136">
        <w:rPr>
          <w:bCs/>
          <w:szCs w:val="24"/>
          <w:lang w:val="en-US"/>
        </w:rPr>
        <w:t>bortezomib</w:t>
      </w:r>
      <w:proofErr w:type="spellEnd"/>
      <w:r w:rsidRPr="00A60136">
        <w:rPr>
          <w:bCs/>
          <w:szCs w:val="24"/>
          <w:lang w:val="en-US"/>
        </w:rPr>
        <w:t xml:space="preserve"> and dexamethasone treatment</w:t>
      </w:r>
      <w:r w:rsidR="00813BBB">
        <w:rPr>
          <w:bCs/>
          <w:szCs w:val="24"/>
          <w:lang w:val="en-US"/>
        </w:rPr>
        <w:t xml:space="preserve"> (</w:t>
      </w:r>
      <w:r w:rsidR="00813BBB" w:rsidRPr="00813BBB">
        <w:rPr>
          <w:bCs/>
          <w:szCs w:val="24"/>
          <w:lang w:val="en-AU"/>
        </w:rPr>
        <w:t xml:space="preserve">hazard ratio = 0.72 70% CI [0.59, 0.88]; median = 9.7 months 95% CI [7.4, 12.2]) compared to </w:t>
      </w:r>
      <w:proofErr w:type="spellStart"/>
      <w:r w:rsidR="00813BBB" w:rsidRPr="00813BBB">
        <w:rPr>
          <w:bCs/>
          <w:szCs w:val="24"/>
          <w:lang w:val="en-AU"/>
        </w:rPr>
        <w:t>bortezomib</w:t>
      </w:r>
      <w:proofErr w:type="spellEnd"/>
      <w:r w:rsidR="00813BBB" w:rsidRPr="00813BBB">
        <w:rPr>
          <w:bCs/>
          <w:szCs w:val="24"/>
          <w:lang w:val="en-AU"/>
        </w:rPr>
        <w:t xml:space="preserve"> and dexamethasone (median = 6.9 months 95% CI [5.1, 10.2]</w:t>
      </w:r>
      <w:r w:rsidR="00813BBB">
        <w:rPr>
          <w:bCs/>
          <w:szCs w:val="24"/>
          <w:lang w:val="en-AU"/>
        </w:rPr>
        <w:t>).</w:t>
      </w:r>
    </w:p>
    <w:p w14:paraId="06E2553F" w14:textId="5365C58A" w:rsidR="00A60136" w:rsidRDefault="00A60136" w:rsidP="00A60136">
      <w:pPr>
        <w:pStyle w:val="EMEABodyText"/>
        <w:rPr>
          <w:szCs w:val="24"/>
          <w:lang w:val="en-US"/>
        </w:rPr>
      </w:pPr>
      <w:r w:rsidRPr="006F5692">
        <w:rPr>
          <w:szCs w:val="24"/>
          <w:lang w:val="en-US"/>
        </w:rPr>
        <w:t xml:space="preserve">Improvements observed in PFS were consistent across subsets regardless of age (&lt; 65 versus ≥ 65), </w:t>
      </w:r>
      <w:proofErr w:type="spellStart"/>
      <w:r w:rsidRPr="006F5692">
        <w:rPr>
          <w:szCs w:val="24"/>
          <w:lang w:val="en-US"/>
        </w:rPr>
        <w:t>cytogenic</w:t>
      </w:r>
      <w:proofErr w:type="spellEnd"/>
      <w:r w:rsidRPr="006F5692">
        <w:rPr>
          <w:szCs w:val="24"/>
          <w:lang w:val="en-US"/>
        </w:rPr>
        <w:t xml:space="preserve"> categories (presence or absence of del 17p or </w:t>
      </w:r>
      <w:proofErr w:type="gramStart"/>
      <w:r w:rsidRPr="006F5692">
        <w:rPr>
          <w:szCs w:val="24"/>
          <w:lang w:val="en-US"/>
        </w:rPr>
        <w:t>t(</w:t>
      </w:r>
      <w:proofErr w:type="gramEnd"/>
      <w:r w:rsidRPr="006F5692">
        <w:rPr>
          <w:szCs w:val="24"/>
          <w:lang w:val="en-US"/>
        </w:rPr>
        <w:t>4;14)), ISS Stage, prior immunomodulatory exposure, prior proteasome inhibitor exposure, or renal function</w:t>
      </w:r>
      <w:r>
        <w:rPr>
          <w:szCs w:val="24"/>
          <w:lang w:val="en-US"/>
        </w:rPr>
        <w:t>.</w:t>
      </w:r>
    </w:p>
    <w:p w14:paraId="5B2BD496" w14:textId="77777777" w:rsidR="002D7E79" w:rsidRPr="00E61859" w:rsidRDefault="00954716" w:rsidP="00F5030B">
      <w:pPr>
        <w:pStyle w:val="A-Heading1"/>
      </w:pPr>
      <w:r w:rsidRPr="008D28D2">
        <w:lastRenderedPageBreak/>
        <w:t>INDICATIONS</w:t>
      </w:r>
    </w:p>
    <w:p w14:paraId="1374662B" w14:textId="0885E707" w:rsidR="003A7210" w:rsidRDefault="003A7210" w:rsidP="000F57B7">
      <w:pPr>
        <w:spacing w:after="0" w:line="240" w:lineRule="auto"/>
        <w:rPr>
          <w:rFonts w:ascii="Times New Roman" w:hAnsi="Times New Roman"/>
          <w:lang w:val="en-GB"/>
        </w:rPr>
      </w:pPr>
      <w:r>
        <w:rPr>
          <w:rFonts w:ascii="Times New Roman" w:hAnsi="Times New Roman"/>
          <w:lang w:val="en-GB"/>
        </w:rPr>
        <w:t>EMPLICITI (</w:t>
      </w:r>
      <w:proofErr w:type="spellStart"/>
      <w:r>
        <w:rPr>
          <w:rFonts w:ascii="Times New Roman" w:hAnsi="Times New Roman"/>
          <w:lang w:val="en-GB"/>
        </w:rPr>
        <w:t>elotuzumab</w:t>
      </w:r>
      <w:proofErr w:type="spellEnd"/>
      <w:r>
        <w:rPr>
          <w:rFonts w:ascii="Times New Roman" w:hAnsi="Times New Roman"/>
          <w:lang w:val="en-GB"/>
        </w:rPr>
        <w:t xml:space="preserve">) is indicated in combination with </w:t>
      </w:r>
      <w:proofErr w:type="spellStart"/>
      <w:r>
        <w:rPr>
          <w:rFonts w:ascii="Times New Roman" w:hAnsi="Times New Roman"/>
          <w:lang w:val="en-GB"/>
        </w:rPr>
        <w:t>lenalidomide</w:t>
      </w:r>
      <w:proofErr w:type="spellEnd"/>
      <w:r>
        <w:rPr>
          <w:rFonts w:ascii="Times New Roman" w:hAnsi="Times New Roman"/>
          <w:lang w:val="en-GB"/>
        </w:rPr>
        <w:t xml:space="preserve"> and dexamethasone for the treatment of patients with multiple myeloma who have received </w:t>
      </w:r>
      <w:r w:rsidR="003B17D2">
        <w:rPr>
          <w:rFonts w:ascii="Times New Roman" w:hAnsi="Times New Roman"/>
          <w:lang w:val="en-GB"/>
        </w:rPr>
        <w:t xml:space="preserve">at least </w:t>
      </w:r>
      <w:r>
        <w:rPr>
          <w:rFonts w:ascii="Times New Roman" w:hAnsi="Times New Roman"/>
          <w:lang w:val="en-GB"/>
        </w:rPr>
        <w:t xml:space="preserve">one prior </w:t>
      </w:r>
      <w:r w:rsidR="003B17D2">
        <w:rPr>
          <w:rFonts w:ascii="Times New Roman" w:hAnsi="Times New Roman"/>
          <w:lang w:val="en-GB"/>
        </w:rPr>
        <w:t>therapy</w:t>
      </w:r>
      <w:r>
        <w:rPr>
          <w:rFonts w:ascii="Times New Roman" w:hAnsi="Times New Roman"/>
          <w:lang w:val="en-GB"/>
        </w:rPr>
        <w:t>.</w:t>
      </w:r>
    </w:p>
    <w:p w14:paraId="09FE8DDF" w14:textId="77777777" w:rsidR="00B16BDD" w:rsidRDefault="00954716" w:rsidP="00F5030B">
      <w:pPr>
        <w:pStyle w:val="A-Heading1"/>
      </w:pPr>
      <w:r w:rsidRPr="00F5030B">
        <w:t>CONTRAINDICATIONS</w:t>
      </w:r>
    </w:p>
    <w:p w14:paraId="432B7654" w14:textId="6C79715A" w:rsidR="00B17FD3" w:rsidRPr="00B17FD3" w:rsidRDefault="00B17FD3" w:rsidP="00B17FD3">
      <w:pPr>
        <w:pStyle w:val="EMEABodyText"/>
        <w:rPr>
          <w:noProof/>
          <w:szCs w:val="24"/>
        </w:rPr>
      </w:pPr>
      <w:r w:rsidRPr="00B17FD3">
        <w:rPr>
          <w:noProof/>
          <w:szCs w:val="24"/>
        </w:rPr>
        <w:t>EMPLICITI should not be administered to pati</w:t>
      </w:r>
      <w:r w:rsidR="006F5692">
        <w:rPr>
          <w:noProof/>
          <w:szCs w:val="24"/>
        </w:rPr>
        <w:t>ents</w:t>
      </w:r>
      <w:r w:rsidRPr="00B17FD3">
        <w:rPr>
          <w:noProof/>
          <w:szCs w:val="24"/>
        </w:rPr>
        <w:t xml:space="preserve"> with known hypersensitivity to the active substance elo</w:t>
      </w:r>
      <w:r w:rsidR="00F35051">
        <w:rPr>
          <w:noProof/>
          <w:szCs w:val="24"/>
        </w:rPr>
        <w:t>tuzumab</w:t>
      </w:r>
      <w:r w:rsidRPr="00B17FD3">
        <w:rPr>
          <w:noProof/>
          <w:szCs w:val="24"/>
        </w:rPr>
        <w:t xml:space="preserve"> or to any of the excipients</w:t>
      </w:r>
      <w:r w:rsidR="0025414E">
        <w:rPr>
          <w:noProof/>
          <w:szCs w:val="24"/>
        </w:rPr>
        <w:t xml:space="preserve"> </w:t>
      </w:r>
      <w:r w:rsidRPr="00B17FD3">
        <w:rPr>
          <w:noProof/>
          <w:szCs w:val="24"/>
        </w:rPr>
        <w:t>(see PRODUCT DESCRIPTION).</w:t>
      </w:r>
    </w:p>
    <w:p w14:paraId="1486C9A4" w14:textId="77777777" w:rsidR="00B17FD3" w:rsidRDefault="00B17FD3" w:rsidP="00B17FD3">
      <w:pPr>
        <w:pStyle w:val="EMEABodyText"/>
        <w:rPr>
          <w:b/>
          <w:noProof/>
          <w:szCs w:val="24"/>
          <w:lang w:val="en-US"/>
        </w:rPr>
      </w:pPr>
      <w:r w:rsidRPr="00B17FD3">
        <w:rPr>
          <w:noProof/>
          <w:szCs w:val="24"/>
          <w:lang w:val="en-US"/>
        </w:rPr>
        <w:t xml:space="preserve">EMPLICITI is used in combination with other medicinal products; therefore, the contraindications applicable to those medicinal products also apply to EMPLICITI combination therapy. </w:t>
      </w:r>
      <w:r w:rsidRPr="00B17FD3">
        <w:rPr>
          <w:b/>
          <w:noProof/>
          <w:szCs w:val="24"/>
          <w:lang w:val="en-US"/>
        </w:rPr>
        <w:t xml:space="preserve">The </w:t>
      </w:r>
      <w:r w:rsidR="002768C8">
        <w:rPr>
          <w:b/>
          <w:noProof/>
          <w:szCs w:val="24"/>
          <w:lang w:val="en-US"/>
        </w:rPr>
        <w:t>Prod</w:t>
      </w:r>
      <w:r w:rsidR="004A17F3">
        <w:rPr>
          <w:b/>
          <w:noProof/>
          <w:szCs w:val="24"/>
          <w:lang w:val="en-US"/>
        </w:rPr>
        <w:t>uct</w:t>
      </w:r>
      <w:r w:rsidR="002768C8">
        <w:rPr>
          <w:b/>
          <w:noProof/>
          <w:szCs w:val="24"/>
          <w:lang w:val="en-US"/>
        </w:rPr>
        <w:t xml:space="preserve"> information </w:t>
      </w:r>
      <w:r w:rsidRPr="00B17FD3">
        <w:rPr>
          <w:b/>
          <w:noProof/>
          <w:szCs w:val="24"/>
          <w:lang w:val="en-US"/>
        </w:rPr>
        <w:t>for all medicinal products used in combination with EMPLICITI must be consulted before starting therapy.</w:t>
      </w:r>
    </w:p>
    <w:p w14:paraId="63DD18D7" w14:textId="77777777" w:rsidR="00F5030B" w:rsidRDefault="00F5030B" w:rsidP="00F5030B">
      <w:pPr>
        <w:pStyle w:val="A-Heading1"/>
      </w:pPr>
      <w:r>
        <w:t>PRECAUTIONS</w:t>
      </w:r>
    </w:p>
    <w:p w14:paraId="4FAB8CAA" w14:textId="77777777" w:rsidR="00B16BDD" w:rsidRDefault="001514CB" w:rsidP="00474979">
      <w:pPr>
        <w:pStyle w:val="A-Heading1"/>
        <w:rPr>
          <w:noProof/>
        </w:rPr>
      </w:pPr>
      <w:r w:rsidRPr="006C47D6">
        <w:rPr>
          <w:noProof/>
        </w:rPr>
        <w:t>INFUSION REACTION</w:t>
      </w:r>
    </w:p>
    <w:p w14:paraId="45AFCEE6" w14:textId="05956760" w:rsidR="001514CB" w:rsidRPr="00A2311D" w:rsidRDefault="001514CB" w:rsidP="00836D25">
      <w:pPr>
        <w:pStyle w:val="EMEABodyText"/>
        <w:rPr>
          <w:lang w:eastAsia="en-AU"/>
        </w:rPr>
      </w:pPr>
      <w:r w:rsidRPr="00A2311D">
        <w:rPr>
          <w:lang w:eastAsia="en-AU"/>
        </w:rPr>
        <w:t xml:space="preserve">EMPLICITI can cause infusion reactions. Infusion reactions have been reported in patients receiving EMPLICITI (see </w:t>
      </w:r>
      <w:r w:rsidR="00E34754" w:rsidRPr="00A2311D">
        <w:rPr>
          <w:lang w:eastAsia="en-AU"/>
        </w:rPr>
        <w:t>ADVERSE EFFECTS</w:t>
      </w:r>
      <w:r w:rsidRPr="00A2311D">
        <w:rPr>
          <w:lang w:eastAsia="en-AU"/>
        </w:rPr>
        <w:t xml:space="preserve">). For severe infusion reactions, infusion should be stopped and EMPLICITI permanently discontinued (see </w:t>
      </w:r>
      <w:r w:rsidR="00E34754" w:rsidRPr="00A2311D">
        <w:rPr>
          <w:lang w:eastAsia="en-AU"/>
        </w:rPr>
        <w:t>DOSAGE AND ADMINISTRATION</w:t>
      </w:r>
      <w:r w:rsidRPr="00A2311D">
        <w:rPr>
          <w:lang w:eastAsia="en-AU"/>
        </w:rPr>
        <w:t>). Patients with mild or moderate infusion reaction may continue to receive EMPLICITI with close monitoring.</w:t>
      </w:r>
    </w:p>
    <w:p w14:paraId="10DF9B51" w14:textId="214AE554" w:rsidR="001514CB" w:rsidRPr="00DB04E3" w:rsidRDefault="001514CB" w:rsidP="00836D25">
      <w:pPr>
        <w:pStyle w:val="EMEABodyText"/>
        <w:rPr>
          <w:b/>
          <w:lang w:eastAsia="en-AU"/>
        </w:rPr>
      </w:pPr>
      <w:r w:rsidRPr="00A2311D">
        <w:rPr>
          <w:lang w:eastAsia="en-AU"/>
        </w:rPr>
        <w:t xml:space="preserve">Premedication consisting of dexamethasone, H1 blocker, H2 blocker, and paracetamol must be administered prior to EMPLICITI infusion. The </w:t>
      </w:r>
      <w:r w:rsidR="00DB04E3">
        <w:rPr>
          <w:lang w:eastAsia="en-AU"/>
        </w:rPr>
        <w:t>frequency</w:t>
      </w:r>
      <w:r w:rsidRPr="00A2311D">
        <w:rPr>
          <w:lang w:eastAsia="en-AU"/>
        </w:rPr>
        <w:t xml:space="preserve"> of infusion reactions was much higher in patients who</w:t>
      </w:r>
      <w:r w:rsidRPr="00DB04E3">
        <w:rPr>
          <w:lang w:eastAsia="en-AU"/>
        </w:rPr>
        <w:t xml:space="preserve"> were not </w:t>
      </w:r>
      <w:proofErr w:type="spellStart"/>
      <w:r w:rsidRPr="00DB04E3">
        <w:rPr>
          <w:lang w:eastAsia="en-AU"/>
        </w:rPr>
        <w:t>premedicated</w:t>
      </w:r>
      <w:proofErr w:type="spellEnd"/>
      <w:r w:rsidR="00DB04E3" w:rsidRPr="00DB04E3">
        <w:rPr>
          <w:lang w:eastAsia="en-AU"/>
        </w:rPr>
        <w:t xml:space="preserve"> (see DESCRIPTION OF SELECT ADVERSE REACTIONS)</w:t>
      </w:r>
      <w:r w:rsidRPr="00A2311D">
        <w:rPr>
          <w:lang w:eastAsia="en-AU"/>
        </w:rPr>
        <w:t>.</w:t>
      </w:r>
    </w:p>
    <w:p w14:paraId="44B09272" w14:textId="7B102BDD" w:rsidR="001514CB" w:rsidRPr="00A2311D" w:rsidRDefault="001514CB" w:rsidP="00836D25">
      <w:pPr>
        <w:pStyle w:val="EMEABodyText"/>
        <w:rPr>
          <w:lang w:eastAsia="en-AU"/>
        </w:rPr>
      </w:pPr>
      <w:r w:rsidRPr="00A2311D">
        <w:rPr>
          <w:lang w:eastAsia="en-AU"/>
        </w:rPr>
        <w:t>In case of a Grade ≥ 2 infusion reaction, EMPLICITI infusion must be interrupted and appropriate medical and supportive measures instituted. Vital signs should be monitored every 30 minutes for 2 hours after the end of the EMPLICITI infusion. Once the reaction has resolved (≤ Grade 1), EMPLICITI can be restarted at the initial infusion rate of 0.5 mL per minute. If symptoms do not recur, the infusion rate may be gradually escalated every 30 minutes to a maximum of 5 mL per minute.</w:t>
      </w:r>
    </w:p>
    <w:p w14:paraId="63E81BF2" w14:textId="34CA9534" w:rsidR="001514CB" w:rsidRPr="00A2311D" w:rsidRDefault="001514CB" w:rsidP="00836D25">
      <w:pPr>
        <w:pStyle w:val="EMEABodyText"/>
        <w:rPr>
          <w:lang w:eastAsia="en-AU"/>
        </w:rPr>
      </w:pPr>
      <w:r w:rsidRPr="00A2311D">
        <w:rPr>
          <w:lang w:eastAsia="en-AU"/>
        </w:rPr>
        <w:t xml:space="preserve">Very severe infusion reactions may require permanent discontinuation of EMPLICITI therapy and emergency treatment. Patients with mild infusion reactions may receive EMPLICITI with a reduced infusion rate and close monitoring (see </w:t>
      </w:r>
      <w:r w:rsidR="00E34754" w:rsidRPr="00A2311D">
        <w:rPr>
          <w:lang w:eastAsia="en-AU"/>
        </w:rPr>
        <w:t>DOSAGE AND ADMNISTRATION</w:t>
      </w:r>
      <w:r w:rsidRPr="00A2311D">
        <w:rPr>
          <w:lang w:eastAsia="en-AU"/>
        </w:rPr>
        <w:t>).</w:t>
      </w:r>
    </w:p>
    <w:p w14:paraId="6BC1B2A8" w14:textId="10BFF797" w:rsidR="001772E7" w:rsidRPr="00102BA4" w:rsidRDefault="006676A1" w:rsidP="00EE5DAC">
      <w:pPr>
        <w:pStyle w:val="Heading2"/>
      </w:pPr>
      <w:r>
        <w:t>USE OF EMPLICITI WITH LENALIDOMI</w:t>
      </w:r>
      <w:r w:rsidR="00C81ED6">
        <w:t>D</w:t>
      </w:r>
      <w:r>
        <w:t>E AND DEXAMETHASONE</w:t>
      </w:r>
    </w:p>
    <w:p w14:paraId="51AB0407" w14:textId="77777777" w:rsidR="00B16BDD" w:rsidRDefault="001772E7" w:rsidP="001772E7">
      <w:pPr>
        <w:pStyle w:val="EMEABodyText"/>
        <w:rPr>
          <w:b/>
          <w:szCs w:val="24"/>
        </w:rPr>
      </w:pPr>
      <w:r w:rsidRPr="00102BA4">
        <w:rPr>
          <w:noProof/>
          <w:szCs w:val="24"/>
        </w:rPr>
        <w:t>EMPLICITI</w:t>
      </w:r>
      <w:r w:rsidRPr="00102BA4">
        <w:rPr>
          <w:szCs w:val="24"/>
        </w:rPr>
        <w:t xml:space="preserve"> is </w:t>
      </w:r>
      <w:proofErr w:type="spellStart"/>
      <w:r w:rsidR="00BD5B77">
        <w:rPr>
          <w:szCs w:val="24"/>
        </w:rPr>
        <w:t>recomended</w:t>
      </w:r>
      <w:proofErr w:type="spellEnd"/>
      <w:r w:rsidR="00BD5B77">
        <w:rPr>
          <w:szCs w:val="24"/>
        </w:rPr>
        <w:t xml:space="preserve"> for use </w:t>
      </w:r>
      <w:r w:rsidRPr="00102BA4">
        <w:rPr>
          <w:szCs w:val="24"/>
        </w:rPr>
        <w:t xml:space="preserve">in combination with </w:t>
      </w:r>
      <w:proofErr w:type="spellStart"/>
      <w:r w:rsidR="0092788E">
        <w:rPr>
          <w:szCs w:val="24"/>
        </w:rPr>
        <w:t>lenalidomide</w:t>
      </w:r>
      <w:proofErr w:type="spellEnd"/>
      <w:r w:rsidR="0092788E">
        <w:rPr>
          <w:szCs w:val="24"/>
        </w:rPr>
        <w:t xml:space="preserve"> and dexamethasone</w:t>
      </w:r>
      <w:r w:rsidR="00BD5B77">
        <w:rPr>
          <w:szCs w:val="24"/>
        </w:rPr>
        <w:t xml:space="preserve">. </w:t>
      </w:r>
      <w:r w:rsidRPr="00102BA4">
        <w:rPr>
          <w:szCs w:val="24"/>
        </w:rPr>
        <w:t xml:space="preserve"> </w:t>
      </w:r>
      <w:r w:rsidRPr="00102BA4">
        <w:rPr>
          <w:b/>
          <w:szCs w:val="24"/>
        </w:rPr>
        <w:t xml:space="preserve">The </w:t>
      </w:r>
      <w:r>
        <w:rPr>
          <w:b/>
          <w:szCs w:val="24"/>
        </w:rPr>
        <w:t xml:space="preserve">product </w:t>
      </w:r>
      <w:r w:rsidRPr="00102BA4">
        <w:rPr>
          <w:b/>
          <w:szCs w:val="24"/>
        </w:rPr>
        <w:t xml:space="preserve">information for </w:t>
      </w:r>
      <w:proofErr w:type="spellStart"/>
      <w:r w:rsidR="00BD5B77">
        <w:rPr>
          <w:b/>
          <w:szCs w:val="24"/>
        </w:rPr>
        <w:t>lenalidomide</w:t>
      </w:r>
      <w:proofErr w:type="spellEnd"/>
      <w:r w:rsidR="00BD5B77">
        <w:rPr>
          <w:b/>
          <w:szCs w:val="24"/>
        </w:rPr>
        <w:t xml:space="preserve"> and dexamethasone </w:t>
      </w:r>
      <w:r w:rsidRPr="00102BA4">
        <w:rPr>
          <w:b/>
          <w:szCs w:val="24"/>
        </w:rPr>
        <w:t>must be consulted before starting therapy</w:t>
      </w:r>
      <w:r w:rsidR="00BD5B77">
        <w:rPr>
          <w:b/>
          <w:szCs w:val="24"/>
        </w:rPr>
        <w:t xml:space="preserve"> with EMPLICITI.</w:t>
      </w:r>
    </w:p>
    <w:p w14:paraId="00EFBC6A" w14:textId="034037D8" w:rsidR="001772E7" w:rsidRPr="00D85E84" w:rsidRDefault="001772E7" w:rsidP="001772E7">
      <w:pPr>
        <w:pStyle w:val="EMEABodyText"/>
        <w:rPr>
          <w:szCs w:val="24"/>
        </w:rPr>
      </w:pPr>
      <w:r w:rsidRPr="00D85E84">
        <w:rPr>
          <w:b/>
          <w:szCs w:val="24"/>
        </w:rPr>
        <w:t xml:space="preserve">Patients receiving EMPLICITI in combination with </w:t>
      </w:r>
      <w:proofErr w:type="spellStart"/>
      <w:r w:rsidRPr="00D85E84">
        <w:rPr>
          <w:b/>
          <w:szCs w:val="24"/>
        </w:rPr>
        <w:t>lenalidomide</w:t>
      </w:r>
      <w:proofErr w:type="spellEnd"/>
      <w:r w:rsidRPr="00D85E84">
        <w:rPr>
          <w:b/>
          <w:szCs w:val="24"/>
        </w:rPr>
        <w:t xml:space="preserve"> should adhere to the pregnancy prevention programme of </w:t>
      </w:r>
      <w:proofErr w:type="spellStart"/>
      <w:r w:rsidRPr="00D85E84">
        <w:rPr>
          <w:b/>
          <w:szCs w:val="24"/>
        </w:rPr>
        <w:t>lenalidomide</w:t>
      </w:r>
      <w:proofErr w:type="spellEnd"/>
      <w:r w:rsidR="00BD5B77">
        <w:rPr>
          <w:b/>
          <w:szCs w:val="24"/>
        </w:rPr>
        <w:t xml:space="preserve"> (see USE in PREGNANCY)</w:t>
      </w:r>
      <w:r w:rsidRPr="00D85E84">
        <w:rPr>
          <w:b/>
          <w:szCs w:val="24"/>
        </w:rPr>
        <w:t>.</w:t>
      </w:r>
    </w:p>
    <w:p w14:paraId="360C10E6" w14:textId="77777777" w:rsidR="00E77BED" w:rsidRPr="0060038C" w:rsidRDefault="00E77BED" w:rsidP="00EE5DAC">
      <w:pPr>
        <w:pStyle w:val="Heading2"/>
        <w:rPr>
          <w:lang w:eastAsia="en-AU"/>
        </w:rPr>
      </w:pPr>
      <w:r w:rsidRPr="0060038C">
        <w:rPr>
          <w:lang w:eastAsia="en-AU"/>
        </w:rPr>
        <w:lastRenderedPageBreak/>
        <w:t>INFECTIONS</w:t>
      </w:r>
    </w:p>
    <w:p w14:paraId="5D833EE5" w14:textId="77777777" w:rsidR="00B16BDD" w:rsidRDefault="005736A5" w:rsidP="00836D25">
      <w:pPr>
        <w:pStyle w:val="EMEABodyText"/>
        <w:rPr>
          <w:lang w:eastAsia="en-AU"/>
        </w:rPr>
      </w:pPr>
      <w:r w:rsidRPr="005736A5">
        <w:rPr>
          <w:lang w:eastAsia="en-AU"/>
        </w:rPr>
        <w:t xml:space="preserve">The incidence of infections, including pneumonia, was higher with </w:t>
      </w:r>
      <w:r>
        <w:rPr>
          <w:lang w:eastAsia="en-AU"/>
        </w:rPr>
        <w:t>EMPLICITI</w:t>
      </w:r>
      <w:r w:rsidRPr="005736A5">
        <w:rPr>
          <w:lang w:eastAsia="en-AU"/>
        </w:rPr>
        <w:t xml:space="preserve"> treatment than with control. In the largest clinical trial of patients with multiple myeloma (N=635), infections were reported in 81.4% of patients in the </w:t>
      </w:r>
      <w:r>
        <w:rPr>
          <w:lang w:eastAsia="en-AU"/>
        </w:rPr>
        <w:t>EMPLICITI</w:t>
      </w:r>
      <w:r w:rsidRPr="005736A5">
        <w:rPr>
          <w:lang w:eastAsia="en-AU"/>
        </w:rPr>
        <w:t xml:space="preserve"> combined with </w:t>
      </w:r>
      <w:proofErr w:type="spellStart"/>
      <w:r w:rsidRPr="005736A5">
        <w:rPr>
          <w:lang w:eastAsia="en-AU"/>
        </w:rPr>
        <w:t>lenalidomide</w:t>
      </w:r>
      <w:proofErr w:type="spellEnd"/>
      <w:r w:rsidRPr="005736A5">
        <w:rPr>
          <w:lang w:eastAsia="en-AU"/>
        </w:rPr>
        <w:t xml:space="preserve"> and dexamethasone (E-</w:t>
      </w:r>
      <w:proofErr w:type="spellStart"/>
      <w:r w:rsidRPr="005736A5">
        <w:rPr>
          <w:lang w:eastAsia="en-AU"/>
        </w:rPr>
        <w:t>Ld</w:t>
      </w:r>
      <w:proofErr w:type="spellEnd"/>
      <w:r w:rsidRPr="005736A5">
        <w:rPr>
          <w:lang w:eastAsia="en-AU"/>
        </w:rPr>
        <w:t xml:space="preserve">) arm and 74.4% in </w:t>
      </w:r>
      <w:proofErr w:type="spellStart"/>
      <w:r w:rsidRPr="005736A5">
        <w:rPr>
          <w:lang w:eastAsia="en-AU"/>
        </w:rPr>
        <w:t>lenalidomide</w:t>
      </w:r>
      <w:proofErr w:type="spellEnd"/>
      <w:r w:rsidRPr="005736A5">
        <w:rPr>
          <w:lang w:eastAsia="en-AU"/>
        </w:rPr>
        <w:t xml:space="preserve"> and dexamethasone (</w:t>
      </w:r>
      <w:proofErr w:type="spellStart"/>
      <w:proofErr w:type="gramStart"/>
      <w:r w:rsidRPr="005736A5">
        <w:rPr>
          <w:lang w:eastAsia="en-AU"/>
        </w:rPr>
        <w:t>Ld</w:t>
      </w:r>
      <w:proofErr w:type="spellEnd"/>
      <w:proofErr w:type="gramEnd"/>
      <w:r w:rsidRPr="005736A5">
        <w:rPr>
          <w:lang w:eastAsia="en-AU"/>
        </w:rPr>
        <w:t>). Grade 3-4 infections were noted in 28% and 24.3% of E-</w:t>
      </w:r>
      <w:proofErr w:type="spellStart"/>
      <w:r w:rsidRPr="005736A5">
        <w:rPr>
          <w:lang w:eastAsia="en-AU"/>
        </w:rPr>
        <w:t>Ld</w:t>
      </w:r>
      <w:proofErr w:type="spellEnd"/>
      <w:r w:rsidRPr="005736A5">
        <w:rPr>
          <w:lang w:eastAsia="en-AU"/>
        </w:rPr>
        <w:t xml:space="preserve"> and </w:t>
      </w:r>
      <w:proofErr w:type="spellStart"/>
      <w:proofErr w:type="gramStart"/>
      <w:r w:rsidRPr="005736A5">
        <w:rPr>
          <w:lang w:eastAsia="en-AU"/>
        </w:rPr>
        <w:t>Ld</w:t>
      </w:r>
      <w:proofErr w:type="spellEnd"/>
      <w:proofErr w:type="gramEnd"/>
      <w:r w:rsidRPr="005736A5">
        <w:rPr>
          <w:lang w:eastAsia="en-AU"/>
        </w:rPr>
        <w:t xml:space="preserve"> treated patients, respectively. Fatal infections were infrequent and were reported in 2.5% of E-</w:t>
      </w:r>
      <w:proofErr w:type="spellStart"/>
      <w:r w:rsidRPr="005736A5">
        <w:rPr>
          <w:lang w:eastAsia="en-AU"/>
        </w:rPr>
        <w:t>Ld</w:t>
      </w:r>
      <w:proofErr w:type="spellEnd"/>
      <w:r w:rsidRPr="005736A5">
        <w:rPr>
          <w:lang w:eastAsia="en-AU"/>
        </w:rPr>
        <w:t xml:space="preserve"> and 2.2% of </w:t>
      </w:r>
      <w:proofErr w:type="spellStart"/>
      <w:proofErr w:type="gramStart"/>
      <w:r w:rsidRPr="005736A5">
        <w:rPr>
          <w:lang w:eastAsia="en-AU"/>
        </w:rPr>
        <w:t>Ld</w:t>
      </w:r>
      <w:proofErr w:type="spellEnd"/>
      <w:proofErr w:type="gramEnd"/>
      <w:r w:rsidRPr="005736A5">
        <w:rPr>
          <w:lang w:eastAsia="en-AU"/>
        </w:rPr>
        <w:t xml:space="preserve"> treated patients.</w:t>
      </w:r>
    </w:p>
    <w:p w14:paraId="47CBFAAD" w14:textId="28C660FB" w:rsidR="00E77BED" w:rsidRDefault="005736A5" w:rsidP="00836D25">
      <w:pPr>
        <w:pStyle w:val="EMEABodyText"/>
        <w:rPr>
          <w:lang w:eastAsia="en-AU"/>
        </w:rPr>
      </w:pPr>
      <w:r w:rsidRPr="005736A5">
        <w:rPr>
          <w:lang w:eastAsia="en-AU"/>
        </w:rPr>
        <w:t>Monitor patients for development of infections and treat promptly</w:t>
      </w:r>
      <w:r>
        <w:rPr>
          <w:lang w:eastAsia="en-AU"/>
        </w:rPr>
        <w:t>.</w:t>
      </w:r>
    </w:p>
    <w:p w14:paraId="72EB01B0" w14:textId="77777777" w:rsidR="00654A96" w:rsidRPr="00654A96" w:rsidRDefault="00654A96" w:rsidP="00836D25">
      <w:pPr>
        <w:pStyle w:val="EMEABodyText"/>
        <w:rPr>
          <w:lang w:eastAsia="en-AU"/>
        </w:rPr>
      </w:pPr>
      <w:r w:rsidRPr="00654A96">
        <w:rPr>
          <w:lang w:eastAsia="en-AU"/>
        </w:rPr>
        <w:t xml:space="preserve">The need for anti-viral, or pneumocystis </w:t>
      </w:r>
      <w:proofErr w:type="spellStart"/>
      <w:r w:rsidRPr="00654A96">
        <w:rPr>
          <w:lang w:eastAsia="en-AU"/>
        </w:rPr>
        <w:t>jiroveci</w:t>
      </w:r>
      <w:proofErr w:type="spellEnd"/>
      <w:r w:rsidRPr="00654A96">
        <w:rPr>
          <w:lang w:eastAsia="en-AU"/>
        </w:rPr>
        <w:t xml:space="preserve"> pneumonia, prophylaxis should be assessed on a case by case basis by the treating physician in accordance with local treatment policies.</w:t>
      </w:r>
    </w:p>
    <w:p w14:paraId="34C23BFA" w14:textId="77777777" w:rsidR="00E77BED" w:rsidRPr="00E77BED" w:rsidRDefault="00E77BED" w:rsidP="00EE5DAC">
      <w:pPr>
        <w:pStyle w:val="Heading2"/>
        <w:rPr>
          <w:lang w:eastAsia="en-AU"/>
        </w:rPr>
      </w:pPr>
      <w:r w:rsidRPr="00E77BED">
        <w:rPr>
          <w:lang w:eastAsia="en-AU"/>
        </w:rPr>
        <w:t>SECOND PRIMARY MALIGNACIES (SPMs)</w:t>
      </w:r>
    </w:p>
    <w:p w14:paraId="101C1DCB" w14:textId="77777777" w:rsidR="00B16BDD" w:rsidRDefault="005736A5" w:rsidP="00836D25">
      <w:pPr>
        <w:pStyle w:val="EMEABodyText"/>
        <w:rPr>
          <w:lang w:eastAsia="en-AU"/>
        </w:rPr>
      </w:pPr>
      <w:r w:rsidRPr="005736A5">
        <w:rPr>
          <w:lang w:eastAsia="en-AU"/>
        </w:rPr>
        <w:t>In a clinical trial of patients with multiple myeloma (N=635), invasive second primary malignancies (SPM) have been observed in 6.9% of patients treated with E-</w:t>
      </w:r>
      <w:proofErr w:type="spellStart"/>
      <w:r w:rsidRPr="005736A5">
        <w:rPr>
          <w:lang w:eastAsia="en-AU"/>
        </w:rPr>
        <w:t>Ld</w:t>
      </w:r>
      <w:proofErr w:type="spellEnd"/>
      <w:r w:rsidRPr="005736A5">
        <w:rPr>
          <w:lang w:eastAsia="en-AU"/>
        </w:rPr>
        <w:t xml:space="preserve"> and 4.1% of patients treated with Ld. The rate of hematologic malignancies were the same between E-</w:t>
      </w:r>
      <w:proofErr w:type="spellStart"/>
      <w:r w:rsidRPr="005736A5">
        <w:rPr>
          <w:lang w:eastAsia="en-AU"/>
        </w:rPr>
        <w:t>Ld</w:t>
      </w:r>
      <w:proofErr w:type="spellEnd"/>
      <w:r w:rsidRPr="005736A5">
        <w:rPr>
          <w:lang w:eastAsia="en-AU"/>
        </w:rPr>
        <w:t xml:space="preserve"> and </w:t>
      </w:r>
      <w:proofErr w:type="spellStart"/>
      <w:r w:rsidRPr="005736A5">
        <w:rPr>
          <w:lang w:eastAsia="en-AU"/>
        </w:rPr>
        <w:t>Ld</w:t>
      </w:r>
      <w:proofErr w:type="spellEnd"/>
      <w:r w:rsidRPr="005736A5">
        <w:rPr>
          <w:lang w:eastAsia="en-AU"/>
        </w:rPr>
        <w:t xml:space="preserve"> treatment arms (1.6%). Solid </w:t>
      </w:r>
      <w:proofErr w:type="spellStart"/>
      <w:r w:rsidRPr="005736A5">
        <w:rPr>
          <w:lang w:eastAsia="en-AU"/>
        </w:rPr>
        <w:t>tumors</w:t>
      </w:r>
      <w:proofErr w:type="spellEnd"/>
      <w:r w:rsidRPr="005736A5">
        <w:rPr>
          <w:lang w:eastAsia="en-AU"/>
        </w:rPr>
        <w:t xml:space="preserve"> were reported in 2.5% and 1.9% of E-</w:t>
      </w:r>
      <w:proofErr w:type="spellStart"/>
      <w:r w:rsidRPr="005736A5">
        <w:rPr>
          <w:lang w:eastAsia="en-AU"/>
        </w:rPr>
        <w:t>Ld</w:t>
      </w:r>
      <w:proofErr w:type="spellEnd"/>
      <w:r w:rsidRPr="005736A5">
        <w:rPr>
          <w:lang w:eastAsia="en-AU"/>
        </w:rPr>
        <w:t xml:space="preserve">- and </w:t>
      </w:r>
      <w:proofErr w:type="spellStart"/>
      <w:r w:rsidRPr="005736A5">
        <w:rPr>
          <w:lang w:eastAsia="en-AU"/>
        </w:rPr>
        <w:t>Ld</w:t>
      </w:r>
      <w:proofErr w:type="spellEnd"/>
      <w:r w:rsidRPr="005736A5">
        <w:rPr>
          <w:lang w:eastAsia="en-AU"/>
        </w:rPr>
        <w:t>-treated patients, respectively. Non-melanoma skin cancer was reported in 3.1% and 1.6% of patients treated with E-</w:t>
      </w:r>
      <w:proofErr w:type="spellStart"/>
      <w:r w:rsidRPr="005736A5">
        <w:rPr>
          <w:lang w:eastAsia="en-AU"/>
        </w:rPr>
        <w:t>Ld</w:t>
      </w:r>
      <w:proofErr w:type="spellEnd"/>
      <w:r w:rsidRPr="005736A5">
        <w:rPr>
          <w:lang w:eastAsia="en-AU"/>
        </w:rPr>
        <w:t xml:space="preserve"> and </w:t>
      </w:r>
      <w:proofErr w:type="spellStart"/>
      <w:proofErr w:type="gramStart"/>
      <w:r w:rsidRPr="005736A5">
        <w:rPr>
          <w:lang w:eastAsia="en-AU"/>
        </w:rPr>
        <w:t>Ld</w:t>
      </w:r>
      <w:proofErr w:type="spellEnd"/>
      <w:proofErr w:type="gramEnd"/>
      <w:r w:rsidRPr="005736A5">
        <w:rPr>
          <w:lang w:eastAsia="en-AU"/>
        </w:rPr>
        <w:t>, respectively.</w:t>
      </w:r>
    </w:p>
    <w:p w14:paraId="2F0FDA6A" w14:textId="0F10BC7F" w:rsidR="005736A5" w:rsidRDefault="005736A5" w:rsidP="00E77BED">
      <w:pPr>
        <w:autoSpaceDE w:val="0"/>
        <w:autoSpaceDN w:val="0"/>
        <w:adjustRightInd w:val="0"/>
        <w:spacing w:after="0" w:line="240" w:lineRule="auto"/>
        <w:rPr>
          <w:rFonts w:ascii="Times New Roman" w:hAnsi="Times New Roman"/>
          <w:szCs w:val="24"/>
          <w:lang w:eastAsia="en-AU"/>
        </w:rPr>
      </w:pPr>
      <w:r w:rsidRPr="005736A5">
        <w:rPr>
          <w:rFonts w:ascii="Times New Roman" w:hAnsi="Times New Roman"/>
          <w:szCs w:val="24"/>
          <w:lang w:eastAsia="en-AU"/>
        </w:rPr>
        <w:t>Monitor patients for the development of second primary malignancies</w:t>
      </w:r>
      <w:r w:rsidR="00DB04E3">
        <w:rPr>
          <w:rFonts w:ascii="Times New Roman" w:hAnsi="Times New Roman"/>
          <w:szCs w:val="24"/>
          <w:lang w:eastAsia="en-AU"/>
        </w:rPr>
        <w:t>.</w:t>
      </w:r>
    </w:p>
    <w:p w14:paraId="735693E3" w14:textId="1305FE52" w:rsidR="00FE79DF" w:rsidRDefault="00FE79DF" w:rsidP="00EE5DAC">
      <w:pPr>
        <w:pStyle w:val="Heading2"/>
      </w:pPr>
      <w:r w:rsidRPr="00FE79DF">
        <w:t>HEPATOTOXICITY</w:t>
      </w:r>
    </w:p>
    <w:p w14:paraId="75EA0716" w14:textId="7680D909" w:rsidR="001F7056" w:rsidRDefault="00FE79DF" w:rsidP="00836D25">
      <w:pPr>
        <w:pStyle w:val="EMEABodyText"/>
        <w:rPr>
          <w:lang w:eastAsia="en-AU"/>
        </w:rPr>
      </w:pPr>
      <w:r w:rsidRPr="00DB04E3">
        <w:rPr>
          <w:lang w:eastAsia="en-AU"/>
        </w:rPr>
        <w:t>Elevations in liver enzymes (aspartate transaminase/alanine transaminase [AST/ALT] greater than 3 times the upper limit, total bilirubin greater than 2 times the upper limit, and alkaline phosphatase less than 2 times the upper limit) consistent with hepatotoxicity were reported in 2.5% and 0.6% of E-</w:t>
      </w:r>
      <w:proofErr w:type="spellStart"/>
      <w:r w:rsidRPr="00DB04E3">
        <w:rPr>
          <w:lang w:eastAsia="en-AU"/>
        </w:rPr>
        <w:t>Ld</w:t>
      </w:r>
      <w:proofErr w:type="spellEnd"/>
      <w:r w:rsidRPr="00DB04E3">
        <w:rPr>
          <w:lang w:eastAsia="en-AU"/>
        </w:rPr>
        <w:t xml:space="preserve">- and </w:t>
      </w:r>
      <w:proofErr w:type="spellStart"/>
      <w:r w:rsidRPr="00DB04E3">
        <w:rPr>
          <w:lang w:eastAsia="en-AU"/>
        </w:rPr>
        <w:t>Ld</w:t>
      </w:r>
      <w:proofErr w:type="spellEnd"/>
      <w:r w:rsidRPr="00DB04E3">
        <w:rPr>
          <w:lang w:eastAsia="en-AU"/>
        </w:rPr>
        <w:t xml:space="preserve">-treated patients in a clinical trial of patients with multiple myeloma (N=635). Two patients experiencing hepatotoxicity were not able to continue treatment; however, 6 out of 8 patients had resolution and were able to continue treatment. </w:t>
      </w:r>
      <w:r w:rsidR="001F7056" w:rsidRPr="00DB04E3">
        <w:rPr>
          <w:lang w:eastAsia="en-AU"/>
        </w:rPr>
        <w:t xml:space="preserve"> </w:t>
      </w:r>
      <w:r w:rsidRPr="00DB04E3">
        <w:rPr>
          <w:lang w:eastAsia="en-AU"/>
        </w:rPr>
        <w:t xml:space="preserve">In 7 out of the 8 patients, there were confounding </w:t>
      </w:r>
      <w:r w:rsidR="001F7056" w:rsidRPr="00DB04E3">
        <w:rPr>
          <w:lang w:eastAsia="en-AU"/>
        </w:rPr>
        <w:t xml:space="preserve">risk factors such as concurrent </w:t>
      </w:r>
      <w:proofErr w:type="spellStart"/>
      <w:r w:rsidR="001F7056" w:rsidRPr="00DB04E3">
        <w:rPr>
          <w:lang w:eastAsia="en-AU"/>
        </w:rPr>
        <w:t>steatic</w:t>
      </w:r>
      <w:proofErr w:type="spellEnd"/>
      <w:r w:rsidR="001F7056" w:rsidRPr="00DB04E3">
        <w:rPr>
          <w:lang w:eastAsia="en-AU"/>
        </w:rPr>
        <w:t xml:space="preserve"> hepatitis, </w:t>
      </w:r>
      <w:proofErr w:type="spellStart"/>
      <w:r w:rsidR="001F7056" w:rsidRPr="00DB04E3">
        <w:rPr>
          <w:lang w:eastAsia="en-AU"/>
        </w:rPr>
        <w:t>cholelithiasis</w:t>
      </w:r>
      <w:proofErr w:type="spellEnd"/>
      <w:r w:rsidR="001F7056" w:rsidRPr="00DB04E3">
        <w:rPr>
          <w:lang w:eastAsia="en-AU"/>
        </w:rPr>
        <w:t xml:space="preserve"> or infection.</w:t>
      </w:r>
    </w:p>
    <w:p w14:paraId="33598C6E" w14:textId="6044A8A9" w:rsidR="001E364D" w:rsidRPr="00DB04E3" w:rsidRDefault="00FE79DF" w:rsidP="00836D25">
      <w:pPr>
        <w:pStyle w:val="EMEABodyText"/>
        <w:rPr>
          <w:lang w:eastAsia="en-AU"/>
        </w:rPr>
      </w:pPr>
      <w:r w:rsidRPr="00DB04E3">
        <w:rPr>
          <w:lang w:eastAsia="en-AU"/>
        </w:rPr>
        <w:t>Monitor liver enzymes periodically. Stop EMPLICITI upon Grade 3 or higher elevation of liver enzymes. After return to baseline values, continuation of treatment may be considered.</w:t>
      </w:r>
    </w:p>
    <w:p w14:paraId="69DA7580" w14:textId="77777777" w:rsidR="001E364D" w:rsidRPr="001E364D" w:rsidRDefault="001E364D" w:rsidP="00EE5DAC">
      <w:pPr>
        <w:pStyle w:val="Heading2"/>
        <w:rPr>
          <w:lang w:eastAsia="en-AU"/>
        </w:rPr>
      </w:pPr>
      <w:r w:rsidRPr="00EE5DAC">
        <w:t>INTERFERENCE</w:t>
      </w:r>
      <w:r w:rsidRPr="001E364D">
        <w:rPr>
          <w:lang w:eastAsia="en-AU"/>
        </w:rPr>
        <w:t xml:space="preserve"> WITH DETERMINATION OF COMPLETE RESPONSE</w:t>
      </w:r>
    </w:p>
    <w:p w14:paraId="00491593" w14:textId="721F0492" w:rsidR="00FE79DF" w:rsidRPr="0072319D" w:rsidRDefault="006C6ED3" w:rsidP="00836D25">
      <w:pPr>
        <w:pStyle w:val="EMEABodyText"/>
      </w:pPr>
      <w:r w:rsidRPr="00E34754">
        <w:rPr>
          <w:lang w:val="en-AU"/>
        </w:rPr>
        <w:t xml:space="preserve">EMPLICITI is a humanized IgG kappa monoclonal antibody that can be detected on both the serum protein electrophoresis (SPEP) and </w:t>
      </w:r>
      <w:proofErr w:type="spellStart"/>
      <w:r w:rsidRPr="00E34754">
        <w:rPr>
          <w:lang w:val="en-AU"/>
        </w:rPr>
        <w:t>immunofixation</w:t>
      </w:r>
      <w:proofErr w:type="spellEnd"/>
      <w:r w:rsidRPr="00E34754">
        <w:rPr>
          <w:lang w:val="en-AU"/>
        </w:rPr>
        <w:t xml:space="preserve"> (IFE) assays used for the clinical</w:t>
      </w:r>
      <w:r>
        <w:rPr>
          <w:lang w:val="en-AU"/>
        </w:rPr>
        <w:t xml:space="preserve"> </w:t>
      </w:r>
      <w:r w:rsidRPr="00E34754">
        <w:rPr>
          <w:lang w:val="en-AU"/>
        </w:rPr>
        <w:t>moni</w:t>
      </w:r>
      <w:r>
        <w:rPr>
          <w:lang w:val="en-AU"/>
        </w:rPr>
        <w:t>toring of endogenous M-protein (</w:t>
      </w:r>
      <w:r w:rsidRPr="00BD0E4B">
        <w:rPr>
          <w:iCs/>
          <w:lang w:val="en-AU"/>
        </w:rPr>
        <w:t>see INTER</w:t>
      </w:r>
      <w:r>
        <w:rPr>
          <w:iCs/>
          <w:lang w:val="en-AU"/>
        </w:rPr>
        <w:t>ACTIONS</w:t>
      </w:r>
      <w:r w:rsidRPr="00BD0E4B">
        <w:rPr>
          <w:iCs/>
          <w:lang w:val="en-AU"/>
        </w:rPr>
        <w:t xml:space="preserve"> WITH OTHER </w:t>
      </w:r>
      <w:r w:rsidRPr="001E364D">
        <w:rPr>
          <w:iCs/>
          <w:lang w:val="en-AU"/>
        </w:rPr>
        <w:t>MEDICINES)</w:t>
      </w:r>
      <w:r w:rsidRPr="001E364D">
        <w:rPr>
          <w:lang w:val="en-AU"/>
        </w:rPr>
        <w:t>. This interference can impact the determination of complete response and possibly relapse from complete response in patients with IgG kappa myeloma protein.</w:t>
      </w:r>
      <w:r w:rsidRPr="001E364D">
        <w:rPr>
          <w:u w:val="single"/>
          <w:lang w:val="en-AU"/>
        </w:rPr>
        <w:t xml:space="preserve"> </w:t>
      </w:r>
      <w:r w:rsidR="00FE79DF" w:rsidRPr="0072319D">
        <w:rPr>
          <w:lang w:val="en-AU"/>
        </w:rPr>
        <w:t>Therefore, the M-protein assay should not be used in isolation in the clinical assessment of response in patients with IgG kappa disease.</w:t>
      </w:r>
    </w:p>
    <w:p w14:paraId="2A9217D7" w14:textId="77777777" w:rsidR="00576B82" w:rsidRPr="00E5442E" w:rsidRDefault="00576B82" w:rsidP="00EE5DAC">
      <w:pPr>
        <w:pStyle w:val="Heading2"/>
        <w:rPr>
          <w:noProof/>
        </w:rPr>
      </w:pPr>
      <w:bookmarkStart w:id="3" w:name="_Toc375140188"/>
      <w:r>
        <w:rPr>
          <w:noProof/>
        </w:rPr>
        <w:t>EFFECTS ON FERTILITY</w:t>
      </w:r>
    </w:p>
    <w:p w14:paraId="1A4CC288" w14:textId="77777777" w:rsidR="00576B82" w:rsidRPr="00C3165F" w:rsidRDefault="00576B82" w:rsidP="00836D25">
      <w:pPr>
        <w:pStyle w:val="EMEABodyText"/>
      </w:pPr>
      <w:r w:rsidRPr="00C3165F">
        <w:t xml:space="preserve">Studies to evaluate the effect of </w:t>
      </w:r>
      <w:proofErr w:type="spellStart"/>
      <w:r w:rsidRPr="00C3165F">
        <w:t>elotuzumab</w:t>
      </w:r>
      <w:proofErr w:type="spellEnd"/>
      <w:r w:rsidRPr="00C3165F">
        <w:t xml:space="preserve"> on fertility have not been performed. Thus, the effect of </w:t>
      </w:r>
      <w:proofErr w:type="spellStart"/>
      <w:r w:rsidRPr="00C3165F">
        <w:t>elotuzumab</w:t>
      </w:r>
      <w:proofErr w:type="spellEnd"/>
      <w:r w:rsidRPr="00C3165F">
        <w:t xml:space="preserve"> on male and female fertility is unknown.</w:t>
      </w:r>
    </w:p>
    <w:p w14:paraId="2F5AA200" w14:textId="316475E5" w:rsidR="00863E6B" w:rsidRPr="00C3165F" w:rsidRDefault="00BD0E4B" w:rsidP="00EE5DAC">
      <w:pPr>
        <w:pStyle w:val="Heading2"/>
      </w:pPr>
      <w:r>
        <w:lastRenderedPageBreak/>
        <w:t>USE IN PREGNANCY (CATEGORY C)</w:t>
      </w:r>
    </w:p>
    <w:p w14:paraId="6E02DFC7" w14:textId="77777777" w:rsidR="00B16BDD" w:rsidRDefault="00D85E84" w:rsidP="00836D25">
      <w:pPr>
        <w:pStyle w:val="EMEABodyText"/>
      </w:pPr>
      <w:r w:rsidRPr="00D85E84">
        <w:t xml:space="preserve">There are no data from the use of </w:t>
      </w:r>
      <w:proofErr w:type="spellStart"/>
      <w:r w:rsidRPr="00D85E84">
        <w:t>elotuzumab</w:t>
      </w:r>
      <w:proofErr w:type="spellEnd"/>
      <w:r w:rsidRPr="00D85E84">
        <w:t xml:space="preserve"> in pregnant women. Animal reproduction studies have not been conducted with </w:t>
      </w:r>
      <w:proofErr w:type="spellStart"/>
      <w:r w:rsidRPr="00D85E84">
        <w:t>elotuzumab</w:t>
      </w:r>
      <w:proofErr w:type="spellEnd"/>
      <w:r w:rsidRPr="00D85E84">
        <w:t xml:space="preserve">. It is also not known whether </w:t>
      </w:r>
      <w:proofErr w:type="spellStart"/>
      <w:r w:rsidRPr="00D85E84">
        <w:t>elotuzumab</w:t>
      </w:r>
      <w:proofErr w:type="spellEnd"/>
      <w:r w:rsidRPr="00D85E84">
        <w:t xml:space="preserve"> can cause </w:t>
      </w:r>
      <w:proofErr w:type="spellStart"/>
      <w:r w:rsidRPr="00D85E84">
        <w:t>fetal</w:t>
      </w:r>
      <w:proofErr w:type="spellEnd"/>
      <w:r w:rsidRPr="00D85E84">
        <w:t xml:space="preserve"> harm when administered to a pregnant woman or can affect reproduction capacity.</w:t>
      </w:r>
    </w:p>
    <w:p w14:paraId="325FB619" w14:textId="77777777" w:rsidR="00B16BDD" w:rsidRDefault="00D85E84" w:rsidP="00836D25">
      <w:pPr>
        <w:pStyle w:val="EMEABodyText"/>
      </w:pPr>
      <w:r w:rsidRPr="00D85E84">
        <w:rPr>
          <w:lang w:val="en-US"/>
        </w:rPr>
        <w:t>EMPLICITI</w:t>
      </w:r>
      <w:r w:rsidRPr="00D85E84">
        <w:t xml:space="preserve"> should not be used during pregnancy and in women of childbearing potential not using effective contraception, unless the</w:t>
      </w:r>
      <w:r w:rsidR="00576B82">
        <w:t xml:space="preserve"> potential benefit to the patient clearly outweighs the potential risk to the </w:t>
      </w:r>
      <w:proofErr w:type="spellStart"/>
      <w:r w:rsidR="00576B82">
        <w:t>fetus</w:t>
      </w:r>
      <w:proofErr w:type="spellEnd"/>
      <w:r w:rsidRPr="00D85E84">
        <w:t>.</w:t>
      </w:r>
    </w:p>
    <w:p w14:paraId="27EDFFE8" w14:textId="7F4FC5AF" w:rsidR="00927406" w:rsidRPr="00927406" w:rsidRDefault="00BD0E4B" w:rsidP="00EE5DAC">
      <w:pPr>
        <w:pStyle w:val="Heading2"/>
        <w:rPr>
          <w:i/>
        </w:rPr>
      </w:pPr>
      <w:r w:rsidRPr="00BD0E4B">
        <w:t>USE OF EMPLICITI WITH LENALID</w:t>
      </w:r>
      <w:r>
        <w:t>O</w:t>
      </w:r>
      <w:r w:rsidRPr="00BD0E4B">
        <w:t>MIDE</w:t>
      </w:r>
    </w:p>
    <w:p w14:paraId="6551642A" w14:textId="77777777" w:rsidR="00B16BDD" w:rsidRDefault="00927406" w:rsidP="00836D25">
      <w:pPr>
        <w:pStyle w:val="EMEABodyText"/>
      </w:pPr>
      <w:r w:rsidRPr="007E752E">
        <w:t xml:space="preserve">When EMPLICITI is used with </w:t>
      </w:r>
      <w:proofErr w:type="spellStart"/>
      <w:r w:rsidRPr="007E752E">
        <w:t>lenalidomide</w:t>
      </w:r>
      <w:proofErr w:type="spellEnd"/>
      <w:r w:rsidRPr="007E752E">
        <w:t xml:space="preserve"> there is a risk of </w:t>
      </w:r>
      <w:proofErr w:type="spellStart"/>
      <w:r w:rsidRPr="007E752E">
        <w:t>fetal</w:t>
      </w:r>
      <w:proofErr w:type="spellEnd"/>
      <w:r w:rsidRPr="007E752E">
        <w:t xml:space="preserve"> harm, including severe life-threatening human birth defects associated with these agents, and the need to follow requirements regarding pregnancy avoidance, including testing and contraception. </w:t>
      </w:r>
      <w:proofErr w:type="spellStart"/>
      <w:r w:rsidRPr="007E752E">
        <w:t>Lenalidomide</w:t>
      </w:r>
      <w:proofErr w:type="spellEnd"/>
      <w:r w:rsidRPr="007E752E">
        <w:t xml:space="preserve"> is present in the blood and sperm of patients receiving the drug.</w:t>
      </w:r>
    </w:p>
    <w:p w14:paraId="0D630A87" w14:textId="77777777" w:rsidR="00B16BDD" w:rsidRDefault="00BD5B77" w:rsidP="00836D25">
      <w:pPr>
        <w:pStyle w:val="EMEABodyText"/>
      </w:pPr>
      <w:r w:rsidRPr="007E752E">
        <w:t>Please r</w:t>
      </w:r>
      <w:r w:rsidR="00927406" w:rsidRPr="007E752E">
        <w:t>efer to the Product Information for requirements regarding contraception due to presence and transmission in sperm and for additional detail.</w:t>
      </w:r>
      <w:r w:rsidR="00E5442E" w:rsidRPr="007E752E">
        <w:t xml:space="preserve"> Patients receiving EMPLICITI in combination with </w:t>
      </w:r>
      <w:proofErr w:type="spellStart"/>
      <w:r w:rsidR="00E5442E" w:rsidRPr="007E752E">
        <w:t>lenalidomide</w:t>
      </w:r>
      <w:proofErr w:type="spellEnd"/>
      <w:r w:rsidR="00E5442E" w:rsidRPr="007E752E">
        <w:t xml:space="preserve"> should adhere to the pregnancy prevention programme of </w:t>
      </w:r>
      <w:proofErr w:type="spellStart"/>
      <w:r w:rsidR="00E5442E" w:rsidRPr="007E752E">
        <w:t>lenalidomide</w:t>
      </w:r>
      <w:proofErr w:type="spellEnd"/>
      <w:r w:rsidR="00E5442E" w:rsidRPr="007E752E">
        <w:t>.</w:t>
      </w:r>
    </w:p>
    <w:bookmarkEnd w:id="3"/>
    <w:p w14:paraId="3B0C3625" w14:textId="7E7C9B69" w:rsidR="00954716" w:rsidRPr="00C3165F" w:rsidRDefault="00BD0E4B" w:rsidP="00EE5DAC">
      <w:pPr>
        <w:pStyle w:val="Heading2"/>
      </w:pPr>
      <w:r>
        <w:t>USE IN LACTATION</w:t>
      </w:r>
    </w:p>
    <w:p w14:paraId="576F24DC" w14:textId="736422DC" w:rsidR="00C3165F" w:rsidRPr="00C3165F" w:rsidRDefault="00C3165F" w:rsidP="00836D25">
      <w:pPr>
        <w:pStyle w:val="EMEABodyText"/>
      </w:pPr>
      <w:r w:rsidRPr="00C3165F">
        <w:t xml:space="preserve">It is unknown whether </w:t>
      </w:r>
      <w:proofErr w:type="spellStart"/>
      <w:r w:rsidR="00576B82">
        <w:t>elotuzumab</w:t>
      </w:r>
      <w:proofErr w:type="spellEnd"/>
      <w:r w:rsidRPr="00C3165F">
        <w:t xml:space="preserve"> is excreted in human milk. Published data suggest that antibodies in breast milk do not enter the neonatal and infant circulations in substantial amounts. However, because of the potential for adverse reactions in nursing infants, a decision must be mad</w:t>
      </w:r>
      <w:r w:rsidR="00A32D97">
        <w:t>e whether to discontinue breast</w:t>
      </w:r>
      <w:r w:rsidRPr="00C3165F">
        <w:t xml:space="preserve">feeding or to discontinue from </w:t>
      </w:r>
      <w:r w:rsidRPr="00C3165F">
        <w:rPr>
          <w:lang w:val="en-US"/>
        </w:rPr>
        <w:t>EMPLICITI</w:t>
      </w:r>
      <w:r w:rsidRPr="00C3165F">
        <w:t xml:space="preserve"> therapy, taking into account the benefit of breastfeeding for the child and the benefit of EMPLICITI therapy for the woman.</w:t>
      </w:r>
    </w:p>
    <w:p w14:paraId="59E561E7" w14:textId="639A5711" w:rsidR="00A32D97" w:rsidRDefault="00BD0E4B" w:rsidP="00EE5DAC">
      <w:pPr>
        <w:pStyle w:val="Heading2"/>
      </w:pPr>
      <w:r>
        <w:t>PAEDIATRIC USE</w:t>
      </w:r>
    </w:p>
    <w:p w14:paraId="57EA188E" w14:textId="77777777" w:rsidR="00A32D97" w:rsidRPr="00D11390" w:rsidRDefault="00A32D97" w:rsidP="00836D25">
      <w:pPr>
        <w:pStyle w:val="EMEABodyText"/>
      </w:pPr>
      <w:r w:rsidRPr="00D11390">
        <w:t xml:space="preserve">The safety and effectiveness of </w:t>
      </w:r>
      <w:r>
        <w:t>EMPLICITI</w:t>
      </w:r>
      <w:r w:rsidRPr="00D11390">
        <w:t xml:space="preserve"> in p</w:t>
      </w:r>
      <w:r>
        <w:t>a</w:t>
      </w:r>
      <w:r w:rsidRPr="00D11390">
        <w:t>ediatric patients have not been established.</w:t>
      </w:r>
    </w:p>
    <w:p w14:paraId="4C8E9E02" w14:textId="50ACED7F" w:rsidR="00B7018D" w:rsidRDefault="00BD0E4B" w:rsidP="00EE5DAC">
      <w:pPr>
        <w:pStyle w:val="Heading2"/>
      </w:pPr>
      <w:r>
        <w:t>GENOTOXICITY</w:t>
      </w:r>
    </w:p>
    <w:p w14:paraId="3A4E9B25" w14:textId="2E9E82DE" w:rsidR="00930A9B" w:rsidRDefault="00930A9B" w:rsidP="00836D25">
      <w:pPr>
        <w:pStyle w:val="EMEABodyText"/>
      </w:pPr>
      <w:r>
        <w:t xml:space="preserve">No genotoxicity data are available for </w:t>
      </w:r>
      <w:proofErr w:type="spellStart"/>
      <w:r>
        <w:t>elotuzumab</w:t>
      </w:r>
      <w:proofErr w:type="spellEnd"/>
      <w:r>
        <w:t xml:space="preserve">. As a large molecular weight protein, </w:t>
      </w:r>
      <w:proofErr w:type="spellStart"/>
      <w:r>
        <w:t>elotuzumab</w:t>
      </w:r>
      <w:proofErr w:type="spellEnd"/>
      <w:r>
        <w:t xml:space="preserve"> is not expected to interact with DNA or other chromosomal material.</w:t>
      </w:r>
    </w:p>
    <w:p w14:paraId="120F52A5" w14:textId="35040C8C" w:rsidR="00930A9B" w:rsidRPr="00930A9B" w:rsidRDefault="00930A9B" w:rsidP="00EE5DAC">
      <w:pPr>
        <w:pStyle w:val="Heading2"/>
      </w:pPr>
      <w:r w:rsidRPr="00930A9B">
        <w:t>CARCINOGENICITY</w:t>
      </w:r>
    </w:p>
    <w:p w14:paraId="77622E4C" w14:textId="0C9718D7" w:rsidR="00930A9B" w:rsidRDefault="00930A9B" w:rsidP="00836D25">
      <w:pPr>
        <w:pStyle w:val="EMEABodyText"/>
      </w:pPr>
      <w:r>
        <w:t xml:space="preserve">No carcinogenicity data are available for </w:t>
      </w:r>
      <w:proofErr w:type="spellStart"/>
      <w:r>
        <w:t>elotuzumab</w:t>
      </w:r>
      <w:proofErr w:type="spellEnd"/>
      <w:r>
        <w:t>.</w:t>
      </w:r>
    </w:p>
    <w:p w14:paraId="0A5AB65B" w14:textId="47865634" w:rsidR="00A32D97" w:rsidRPr="00A32D97" w:rsidRDefault="00BD0E4B" w:rsidP="00EE5DAC">
      <w:pPr>
        <w:pStyle w:val="Heading2"/>
      </w:pPr>
      <w:r>
        <w:t>USE IN THE ELDERLY</w:t>
      </w:r>
    </w:p>
    <w:p w14:paraId="42C51E25" w14:textId="77777777" w:rsidR="00A32D97" w:rsidRPr="00A32D97" w:rsidRDefault="00A32D97" w:rsidP="00836D25">
      <w:pPr>
        <w:pStyle w:val="EMEABodyText"/>
      </w:pPr>
      <w:r w:rsidRPr="00A32D97">
        <w:t xml:space="preserve">Of the 785 patients across treatment groups in Studies </w:t>
      </w:r>
      <w:r w:rsidR="007A712B">
        <w:t>Eloquent-2 (</w:t>
      </w:r>
      <w:r w:rsidR="00E9242D" w:rsidRPr="00E9242D">
        <w:t>CA204-004</w:t>
      </w:r>
      <w:r w:rsidR="007A712B">
        <w:t>)</w:t>
      </w:r>
      <w:r w:rsidRPr="00E9242D">
        <w:t xml:space="preserve"> and</w:t>
      </w:r>
      <w:r w:rsidR="00E9242D" w:rsidRPr="00E9242D">
        <w:t xml:space="preserve"> CA204-009</w:t>
      </w:r>
      <w:r w:rsidRPr="00E9242D">
        <w:t xml:space="preserve">, 57% were ≥65 years of age; the number of </w:t>
      </w:r>
      <w:r w:rsidR="00256D49" w:rsidRPr="00E9242D">
        <w:t>patient’s</w:t>
      </w:r>
      <w:r w:rsidRPr="00E9242D">
        <w:t xml:space="preserve"> ≥65 years was similar between treatment groups for either study. No overall differences</w:t>
      </w:r>
      <w:r w:rsidRPr="00A32D97">
        <w:t xml:space="preserve"> in safety or efficacy were observed between patients ≥65 years and younger patients (&lt;65 years) in either study.</w:t>
      </w:r>
    </w:p>
    <w:p w14:paraId="01A35B59" w14:textId="07A5EB5A" w:rsidR="00B7018D" w:rsidRDefault="00BD0E4B" w:rsidP="00EE5DAC">
      <w:pPr>
        <w:pStyle w:val="Heading2"/>
      </w:pPr>
      <w:bookmarkStart w:id="4" w:name="_Toc422121339"/>
      <w:r>
        <w:t>RENAL IMPAIRMENT</w:t>
      </w:r>
      <w:bookmarkEnd w:id="4"/>
    </w:p>
    <w:p w14:paraId="6F599DF4" w14:textId="77777777" w:rsidR="00B16BDD" w:rsidRDefault="00B7018D" w:rsidP="00836D25">
      <w:pPr>
        <w:pStyle w:val="EMEABodyText"/>
      </w:pPr>
      <w:r w:rsidRPr="00B7018D">
        <w:t xml:space="preserve">In a study evaluating </w:t>
      </w:r>
      <w:r>
        <w:t xml:space="preserve">EMPLICITI </w:t>
      </w:r>
      <w:r w:rsidRPr="00B7018D">
        <w:t xml:space="preserve">in patients with renal impairment, the pharmacokinetics of </w:t>
      </w:r>
      <w:proofErr w:type="spellStart"/>
      <w:r w:rsidRPr="00B7018D">
        <w:t>elotuzumab</w:t>
      </w:r>
      <w:proofErr w:type="spellEnd"/>
      <w:r w:rsidRPr="00B7018D">
        <w:t xml:space="preserve"> in combination with </w:t>
      </w:r>
      <w:proofErr w:type="spellStart"/>
      <w:r w:rsidRPr="00B7018D">
        <w:t>lenalidomide</w:t>
      </w:r>
      <w:proofErr w:type="spellEnd"/>
      <w:r w:rsidRPr="00B7018D">
        <w:t xml:space="preserve"> and dexamethasone did not significantly differ between patients with normal renal function, severe renal impairment not requiring dialysis, or end-stage renal disease requiring dialysis. Dose adjustments of </w:t>
      </w:r>
      <w:r>
        <w:t>EMPLICITI</w:t>
      </w:r>
      <w:r w:rsidRPr="00B7018D">
        <w:t xml:space="preserve"> are </w:t>
      </w:r>
      <w:r w:rsidRPr="00B7018D">
        <w:lastRenderedPageBreak/>
        <w:t>not needed in patients with mild, moderate, severe renal impairment or end-stage renal disease requiring dialysis (see PHARMACOKINETICS).</w:t>
      </w:r>
    </w:p>
    <w:p w14:paraId="3276271F" w14:textId="2B97886E" w:rsidR="00B7018D" w:rsidRPr="00B7018D" w:rsidRDefault="00BD0E4B" w:rsidP="00EE5DAC">
      <w:pPr>
        <w:pStyle w:val="Heading2"/>
      </w:pPr>
      <w:bookmarkStart w:id="5" w:name="_Toc422121340"/>
      <w:r>
        <w:t>HEPATIC IMPAIRMENT</w:t>
      </w:r>
      <w:bookmarkEnd w:id="5"/>
    </w:p>
    <w:p w14:paraId="79C794D1" w14:textId="77777777" w:rsidR="00A32D97" w:rsidRPr="00B7018D" w:rsidRDefault="00B7018D" w:rsidP="00836D25">
      <w:pPr>
        <w:pStyle w:val="EMEABodyText"/>
        <w:rPr>
          <w:szCs w:val="24"/>
        </w:rPr>
      </w:pPr>
      <w:r w:rsidRPr="00B7018D">
        <w:t>EMPLICITI is an IgG1 monoclonal antibody, which is likely eliminated via several pathways similar to that of other antibodies</w:t>
      </w:r>
      <w:r w:rsidRPr="00B7018D">
        <w:rPr>
          <w:szCs w:val="24"/>
        </w:rPr>
        <w:t xml:space="preserve">. </w:t>
      </w:r>
      <w:r w:rsidRPr="00B7018D">
        <w:t>Hepatic excretion is not expected to play a dominant role in the excretion of EMPLICITI. Based on a population pharmacokinetic analysis, no dose adjustment of EMPLICITI is recommended for patients with mild hepatic impairment. EMPLICITI has not been studied in patients with moderate or severe hepatic impairment (see PHARMACOKINETICS)</w:t>
      </w:r>
      <w:r w:rsidRPr="00B7018D">
        <w:rPr>
          <w:i/>
        </w:rPr>
        <w:t>.</w:t>
      </w:r>
    </w:p>
    <w:p w14:paraId="7176D47D" w14:textId="34F5C893" w:rsidR="004B36CD" w:rsidRPr="004B36CD" w:rsidRDefault="00BD0E4B" w:rsidP="00EE5DAC">
      <w:pPr>
        <w:pStyle w:val="Heading2"/>
        <w:rPr>
          <w:noProof/>
        </w:rPr>
      </w:pPr>
      <w:r>
        <w:rPr>
          <w:noProof/>
        </w:rPr>
        <w:t>EFFECTS ON ABILITY TO DRIVE MACHINES</w:t>
      </w:r>
    </w:p>
    <w:p w14:paraId="24276ADC" w14:textId="77777777" w:rsidR="00C1360B" w:rsidRPr="00C1360B" w:rsidRDefault="00C1360B" w:rsidP="00836D25">
      <w:pPr>
        <w:pStyle w:val="EMEABodyText"/>
      </w:pPr>
      <w:r w:rsidRPr="00C1360B">
        <w:t xml:space="preserve">No studies on the effects on the ability to drive and use machines have been performed. </w:t>
      </w:r>
      <w:r w:rsidRPr="00C1360B">
        <w:rPr>
          <w:noProof/>
        </w:rPr>
        <w:t>On the basis of reported adverse reactions, EMPLICITI is not expected to influence the ability to drive or use machines. Patients experiencing infusion reactions should be advised not to drive and use machines until symptoms abate.</w:t>
      </w:r>
    </w:p>
    <w:p w14:paraId="55DBE19F" w14:textId="5B703FDF" w:rsidR="00954716" w:rsidRPr="00EE5DAC" w:rsidRDefault="00EE5DAC" w:rsidP="00474979">
      <w:pPr>
        <w:pStyle w:val="A-Heading1"/>
      </w:pPr>
      <w:r>
        <w:t>INTERACTIONS WITH OTHER MEDICINES</w:t>
      </w:r>
    </w:p>
    <w:p w14:paraId="0E782061" w14:textId="77777777" w:rsidR="00B16BDD" w:rsidRDefault="00C1360B" w:rsidP="00836D25">
      <w:pPr>
        <w:pStyle w:val="EMEABodyText"/>
        <w:rPr>
          <w:noProof/>
          <w:lang w:val="en-US"/>
        </w:rPr>
      </w:pPr>
      <w:r w:rsidRPr="00C1360B">
        <w:rPr>
          <w:noProof/>
        </w:rPr>
        <w:t xml:space="preserve">Elotuzumab is a humanised monoclonal antibody. Therefore, pharmacokinetic interaction studies have not been conducted. </w:t>
      </w:r>
      <w:r w:rsidRPr="00C1360B">
        <w:rPr>
          <w:noProof/>
          <w:lang w:val="en-US"/>
        </w:rPr>
        <w:t>As monoclonal antibodies are not metabolized by cytochrome P450 (CYP) enzymes or other drug metabolizing enzymes, inhibition or induction of these enzymes by co</w:t>
      </w:r>
      <w:r w:rsidRPr="00C1360B">
        <w:rPr>
          <w:noProof/>
          <w:lang w:val="en-US"/>
        </w:rPr>
        <w:noBreakHyphen/>
        <w:t>administered medicinal products is not anticipated to affect the pharmacokinetics of elotuzumab.</w:t>
      </w:r>
    </w:p>
    <w:p w14:paraId="2DBC7B56" w14:textId="5C0D8A1B" w:rsidR="004A73B7" w:rsidRPr="00BD0E4B" w:rsidRDefault="00954716" w:rsidP="00EE5DAC">
      <w:pPr>
        <w:pStyle w:val="Heading2"/>
      </w:pPr>
      <w:r w:rsidRPr="00BD0E4B">
        <w:t>ADVERSE EFFECTS</w:t>
      </w:r>
    </w:p>
    <w:p w14:paraId="77A2E4A2" w14:textId="417FD1C1" w:rsidR="002C0F95" w:rsidRPr="00A2311D" w:rsidRDefault="002C0F95" w:rsidP="00836D25">
      <w:pPr>
        <w:pStyle w:val="EMEABodyText"/>
      </w:pPr>
      <w:r w:rsidRPr="00A2311D">
        <w:t xml:space="preserve">The safety data of </w:t>
      </w:r>
      <w:proofErr w:type="spellStart"/>
      <w:r w:rsidRPr="00A2311D">
        <w:t>elotuzumab</w:t>
      </w:r>
      <w:proofErr w:type="spellEnd"/>
      <w:r w:rsidRPr="00A2311D">
        <w:t xml:space="preserve"> have been assessed from a total of 554 patients with multiple myeloma treated with </w:t>
      </w:r>
      <w:proofErr w:type="spellStart"/>
      <w:r w:rsidRPr="00A2311D">
        <w:t>elotuzumab</w:t>
      </w:r>
      <w:proofErr w:type="spellEnd"/>
      <w:r w:rsidRPr="00A2311D">
        <w:t xml:space="preserve"> in combination with </w:t>
      </w:r>
      <w:proofErr w:type="spellStart"/>
      <w:r w:rsidRPr="00A2311D">
        <w:t>lenolidomide</w:t>
      </w:r>
      <w:proofErr w:type="spellEnd"/>
      <w:r w:rsidRPr="00A2311D">
        <w:t xml:space="preserve"> and dexamethasone or </w:t>
      </w:r>
      <w:proofErr w:type="spellStart"/>
      <w:r w:rsidRPr="00A2311D">
        <w:t>bortezomib</w:t>
      </w:r>
      <w:proofErr w:type="spellEnd"/>
      <w:r w:rsidRPr="00A2311D">
        <w:t xml:space="preserve"> and dexamethasone pooled across 6 clinical trials. The majority of adverse reactions were mild to moderate (Grade 1 or 2).</w:t>
      </w:r>
    </w:p>
    <w:p w14:paraId="3F2A22D9" w14:textId="77777777" w:rsidR="002C0F95" w:rsidRPr="00A2311D" w:rsidRDefault="002C0F95" w:rsidP="00836D25">
      <w:pPr>
        <w:pStyle w:val="EMEABodyText"/>
        <w:rPr>
          <w:lang w:eastAsia="en-AU"/>
        </w:rPr>
      </w:pPr>
      <w:r w:rsidRPr="00A2311D">
        <w:rPr>
          <w:lang w:eastAsia="en-AU"/>
        </w:rPr>
        <w:t xml:space="preserve">The most serious adverse reaction that may occur during </w:t>
      </w:r>
      <w:proofErr w:type="spellStart"/>
      <w:r w:rsidRPr="00A2311D">
        <w:rPr>
          <w:lang w:eastAsia="en-AU"/>
        </w:rPr>
        <w:t>elotuzumab</w:t>
      </w:r>
      <w:proofErr w:type="spellEnd"/>
      <w:r w:rsidRPr="00A2311D">
        <w:rPr>
          <w:lang w:eastAsia="en-AU"/>
        </w:rPr>
        <w:t xml:space="preserve"> treatment is pneumonia.</w:t>
      </w:r>
    </w:p>
    <w:p w14:paraId="10819A39" w14:textId="2BAEDC33" w:rsidR="002C0F95" w:rsidRPr="00A2311D" w:rsidRDefault="002C0F95" w:rsidP="00836D25">
      <w:pPr>
        <w:pStyle w:val="EMEABodyText"/>
        <w:rPr>
          <w:lang w:eastAsia="en-AU"/>
        </w:rPr>
      </w:pPr>
      <w:r w:rsidRPr="00A2311D">
        <w:rPr>
          <w:lang w:eastAsia="en-AU"/>
        </w:rPr>
        <w:t xml:space="preserve">The most common adverse reactions (occurring in &gt; 10% of patients) with </w:t>
      </w:r>
      <w:proofErr w:type="spellStart"/>
      <w:r w:rsidRPr="00A2311D">
        <w:rPr>
          <w:lang w:eastAsia="en-AU"/>
        </w:rPr>
        <w:t>elotuzumab</w:t>
      </w:r>
      <w:proofErr w:type="spellEnd"/>
      <w:r w:rsidRPr="00A2311D">
        <w:rPr>
          <w:lang w:eastAsia="en-AU"/>
        </w:rPr>
        <w:t xml:space="preserve"> treatment were cough, herpes zoster, </w:t>
      </w:r>
      <w:proofErr w:type="spellStart"/>
      <w:r w:rsidRPr="00A2311D">
        <w:rPr>
          <w:lang w:eastAsia="en-AU"/>
        </w:rPr>
        <w:t>nasopharyngitis</w:t>
      </w:r>
      <w:proofErr w:type="spellEnd"/>
      <w:r w:rsidRPr="00A2311D">
        <w:rPr>
          <w:lang w:eastAsia="en-AU"/>
        </w:rPr>
        <w:t>, pneumonia, upper respiratory tract infection and weight decreased.</w:t>
      </w:r>
    </w:p>
    <w:p w14:paraId="02FAA0B7" w14:textId="7B117EB9" w:rsidR="002C0F95" w:rsidRPr="008327F4" w:rsidRDefault="002C0F95" w:rsidP="00EE5DAC">
      <w:pPr>
        <w:pStyle w:val="Heading2"/>
      </w:pPr>
      <w:r w:rsidRPr="008327F4">
        <w:t xml:space="preserve">ADVERSE EVENTS </w:t>
      </w:r>
      <w:r w:rsidR="008327F4" w:rsidRPr="008327F4">
        <w:t>REPORTED IN STUDY CA204-004</w:t>
      </w:r>
    </w:p>
    <w:p w14:paraId="01A68273" w14:textId="689B24C7" w:rsidR="004A73B7" w:rsidRDefault="00AC1C4C" w:rsidP="00836D25">
      <w:pPr>
        <w:pStyle w:val="EMEABodyText"/>
      </w:pPr>
      <w:r w:rsidRPr="00AC1C4C">
        <w:t xml:space="preserve">Adverse events reported in patients with multiple myeloma </w:t>
      </w:r>
      <w:r w:rsidR="007457A4">
        <w:t xml:space="preserve">at a frequency of 10% or higher in the EMPLICITI arm and 5% or higher than the </w:t>
      </w:r>
      <w:proofErr w:type="spellStart"/>
      <w:r w:rsidR="007457A4">
        <w:t>lenalidomide</w:t>
      </w:r>
      <w:proofErr w:type="spellEnd"/>
      <w:r w:rsidR="007457A4">
        <w:t xml:space="preserve"> and dexamethasone arm </w:t>
      </w:r>
      <w:r w:rsidR="001B2B4B">
        <w:t xml:space="preserve">in </w:t>
      </w:r>
      <w:r w:rsidR="0080438B">
        <w:t>study CA204-004</w:t>
      </w:r>
      <w:r w:rsidRPr="00AC1C4C">
        <w:t xml:space="preserve"> are presented in Table </w:t>
      </w:r>
      <w:r w:rsidR="00FB377E">
        <w:t>2</w:t>
      </w:r>
      <w:r w:rsidRPr="00AC1C4C">
        <w:t>.</w:t>
      </w:r>
    </w:p>
    <w:p w14:paraId="1B749354" w14:textId="68028275" w:rsidR="00E165C1" w:rsidRPr="00796757" w:rsidRDefault="00F5030B" w:rsidP="00F5030B">
      <w:pPr>
        <w:pStyle w:val="Caption"/>
        <w:ind w:left="0" w:firstLine="0"/>
        <w:rPr>
          <w:b/>
        </w:rPr>
      </w:pPr>
      <w:r>
        <w:t xml:space="preserve">Table </w:t>
      </w:r>
      <w:r>
        <w:fldChar w:fldCharType="begin"/>
      </w:r>
      <w:r>
        <w:instrText xml:space="preserve"> SEQ Table \* ARABIC </w:instrText>
      </w:r>
      <w:r>
        <w:fldChar w:fldCharType="separate"/>
      </w:r>
      <w:r w:rsidR="00B06408">
        <w:rPr>
          <w:noProof/>
        </w:rPr>
        <w:t>2</w:t>
      </w:r>
      <w:r>
        <w:fldChar w:fldCharType="end"/>
      </w:r>
      <w:r>
        <w:t xml:space="preserve">: </w:t>
      </w:r>
      <w:r w:rsidR="00E165C1" w:rsidRPr="00F5030B">
        <w:t xml:space="preserve">Adverse Events Reported </w:t>
      </w:r>
      <w:r w:rsidR="00F06AC5" w:rsidRPr="00F5030B">
        <w:t xml:space="preserve">with a 10% or Higher Incidence for EMPLICITI-Treated Patients and a 5% or Higher Incidence than </w:t>
      </w:r>
      <w:proofErr w:type="spellStart"/>
      <w:r w:rsidR="00F06AC5" w:rsidRPr="00F5030B">
        <w:t>Lenalidomide</w:t>
      </w:r>
      <w:proofErr w:type="spellEnd"/>
      <w:r w:rsidR="00F06AC5" w:rsidRPr="00F5030B">
        <w:t xml:space="preserve"> and Dexa</w:t>
      </w:r>
      <w:r w:rsidR="00410732" w:rsidRPr="00F5030B">
        <w:t>m</w:t>
      </w:r>
      <w:r w:rsidR="00F06AC5" w:rsidRPr="00F5030B">
        <w:t>ethasone-Treated Patients (All Grades) in Study CA204-004</w:t>
      </w:r>
      <w:r w:rsidR="00F06AC5">
        <w:rPr>
          <w:b/>
        </w:rPr>
        <w:t xml:space="preserve"> </w:t>
      </w:r>
    </w:p>
    <w:tbl>
      <w:tblPr>
        <w:tblStyle w:val="TableGrid"/>
        <w:tblW w:w="0" w:type="auto"/>
        <w:tblLook w:val="04A0" w:firstRow="1" w:lastRow="0" w:firstColumn="1" w:lastColumn="0" w:noHBand="0" w:noVBand="1"/>
        <w:tblDescription w:val="Table 2: Adverse Events Reported with a 10% or Higher Incidence for EMPLICITI-Treated Patients and a 5% or Higher Incidence than Lenalidomide and Dexamethasone-Treated Patients (All Grades) in Study CA204-004 "/>
      </w:tblPr>
      <w:tblGrid>
        <w:gridCol w:w="1790"/>
        <w:gridCol w:w="1756"/>
        <w:gridCol w:w="1756"/>
        <w:gridCol w:w="1756"/>
        <w:gridCol w:w="1756"/>
      </w:tblGrid>
      <w:tr w:rsidR="00F06AC5" w14:paraId="2EC60720" w14:textId="77777777" w:rsidTr="00836D25">
        <w:trPr>
          <w:tblHeader/>
        </w:trPr>
        <w:tc>
          <w:tcPr>
            <w:tcW w:w="1756" w:type="dxa"/>
          </w:tcPr>
          <w:p w14:paraId="142298A3" w14:textId="297129A9" w:rsidR="00F06AC5" w:rsidRDefault="00F06AC5" w:rsidP="003959CF">
            <w:pPr>
              <w:spacing w:after="0" w:line="240" w:lineRule="auto"/>
              <w:rPr>
                <w:rFonts w:ascii="Times New Roman" w:hAnsi="Times New Roman"/>
                <w:szCs w:val="24"/>
                <w:lang w:val="en-GB"/>
              </w:rPr>
            </w:pPr>
          </w:p>
        </w:tc>
        <w:tc>
          <w:tcPr>
            <w:tcW w:w="3512" w:type="dxa"/>
            <w:gridSpan w:val="2"/>
          </w:tcPr>
          <w:p w14:paraId="642AA862" w14:textId="77777777" w:rsidR="00F06AC5" w:rsidRDefault="00F06AC5" w:rsidP="00F06AC5">
            <w:pPr>
              <w:spacing w:after="0" w:line="240" w:lineRule="auto"/>
              <w:jc w:val="center"/>
              <w:rPr>
                <w:rFonts w:ascii="Times New Roman" w:hAnsi="Times New Roman"/>
                <w:szCs w:val="24"/>
                <w:lang w:val="en-GB"/>
              </w:rPr>
            </w:pPr>
            <w:r>
              <w:rPr>
                <w:rFonts w:ascii="Times New Roman" w:hAnsi="Times New Roman"/>
                <w:szCs w:val="24"/>
                <w:lang w:val="en-GB"/>
              </w:rPr>
              <w:t xml:space="preserve">EMPLICITI + </w:t>
            </w:r>
            <w:proofErr w:type="spellStart"/>
            <w:r>
              <w:rPr>
                <w:rFonts w:ascii="Times New Roman" w:hAnsi="Times New Roman"/>
                <w:szCs w:val="24"/>
                <w:lang w:val="en-GB"/>
              </w:rPr>
              <w:t>Lenalidomide</w:t>
            </w:r>
            <w:proofErr w:type="spellEnd"/>
            <w:r>
              <w:rPr>
                <w:rFonts w:ascii="Times New Roman" w:hAnsi="Times New Roman"/>
                <w:szCs w:val="24"/>
                <w:lang w:val="en-GB"/>
              </w:rPr>
              <w:t xml:space="preserve"> and Dexamethasone</w:t>
            </w:r>
          </w:p>
          <w:p w14:paraId="3D51FE20" w14:textId="0733BFA1" w:rsidR="00F06AC5" w:rsidRDefault="00F06AC5" w:rsidP="00F06AC5">
            <w:pPr>
              <w:spacing w:after="0" w:line="240" w:lineRule="auto"/>
              <w:jc w:val="center"/>
              <w:rPr>
                <w:rFonts w:ascii="Times New Roman" w:hAnsi="Times New Roman"/>
                <w:szCs w:val="24"/>
                <w:lang w:val="en-GB"/>
              </w:rPr>
            </w:pPr>
            <w:r>
              <w:rPr>
                <w:rFonts w:ascii="Times New Roman" w:hAnsi="Times New Roman"/>
                <w:szCs w:val="24"/>
                <w:lang w:val="en-GB"/>
              </w:rPr>
              <w:t>N=318</w:t>
            </w:r>
          </w:p>
        </w:tc>
        <w:tc>
          <w:tcPr>
            <w:tcW w:w="3512" w:type="dxa"/>
            <w:gridSpan w:val="2"/>
          </w:tcPr>
          <w:p w14:paraId="674B41AD" w14:textId="77777777" w:rsidR="00F06AC5" w:rsidRDefault="00F06AC5" w:rsidP="00F06AC5">
            <w:pPr>
              <w:spacing w:after="0" w:line="240" w:lineRule="auto"/>
              <w:jc w:val="center"/>
              <w:rPr>
                <w:rFonts w:ascii="Times New Roman" w:hAnsi="Times New Roman"/>
                <w:szCs w:val="24"/>
                <w:lang w:val="en-GB"/>
              </w:rPr>
            </w:pPr>
            <w:proofErr w:type="spellStart"/>
            <w:r>
              <w:rPr>
                <w:rFonts w:ascii="Times New Roman" w:hAnsi="Times New Roman"/>
                <w:szCs w:val="24"/>
                <w:lang w:val="en-GB"/>
              </w:rPr>
              <w:t>Lenalidomide</w:t>
            </w:r>
            <w:proofErr w:type="spellEnd"/>
            <w:r>
              <w:rPr>
                <w:rFonts w:ascii="Times New Roman" w:hAnsi="Times New Roman"/>
                <w:szCs w:val="24"/>
                <w:lang w:val="en-GB"/>
              </w:rPr>
              <w:t xml:space="preserve"> and Dexamethasone</w:t>
            </w:r>
          </w:p>
          <w:p w14:paraId="3FDD7B0A" w14:textId="4D2380E9" w:rsidR="00F06AC5" w:rsidRDefault="00F06AC5" w:rsidP="00F06AC5">
            <w:pPr>
              <w:spacing w:after="0" w:line="240" w:lineRule="auto"/>
              <w:jc w:val="center"/>
              <w:rPr>
                <w:rFonts w:ascii="Times New Roman" w:hAnsi="Times New Roman"/>
                <w:szCs w:val="24"/>
                <w:lang w:val="en-GB"/>
              </w:rPr>
            </w:pPr>
            <w:r>
              <w:rPr>
                <w:rFonts w:ascii="Times New Roman" w:hAnsi="Times New Roman"/>
                <w:szCs w:val="24"/>
                <w:lang w:val="en-GB"/>
              </w:rPr>
              <w:t>N=317</w:t>
            </w:r>
          </w:p>
        </w:tc>
      </w:tr>
      <w:tr w:rsidR="00F06AC5" w14:paraId="52BFF97C" w14:textId="77777777" w:rsidTr="00F06AC5">
        <w:tc>
          <w:tcPr>
            <w:tcW w:w="1756" w:type="dxa"/>
          </w:tcPr>
          <w:p w14:paraId="7E0C1DF4" w14:textId="538A999B" w:rsidR="00F06AC5" w:rsidRDefault="00F06AC5" w:rsidP="003959CF">
            <w:pPr>
              <w:spacing w:after="0" w:line="240" w:lineRule="auto"/>
              <w:rPr>
                <w:rFonts w:ascii="Times New Roman" w:hAnsi="Times New Roman"/>
                <w:szCs w:val="24"/>
                <w:lang w:val="en-GB"/>
              </w:rPr>
            </w:pPr>
            <w:r>
              <w:rPr>
                <w:rFonts w:ascii="Times New Roman" w:hAnsi="Times New Roman"/>
                <w:szCs w:val="24"/>
                <w:lang w:val="en-GB"/>
              </w:rPr>
              <w:t>Primary Term</w:t>
            </w:r>
          </w:p>
        </w:tc>
        <w:tc>
          <w:tcPr>
            <w:tcW w:w="1756" w:type="dxa"/>
          </w:tcPr>
          <w:p w14:paraId="31E616D9" w14:textId="3DAFEF24" w:rsidR="00F06AC5" w:rsidRDefault="00F06AC5" w:rsidP="003959CF">
            <w:pPr>
              <w:spacing w:after="0" w:line="240" w:lineRule="auto"/>
              <w:rPr>
                <w:rFonts w:ascii="Times New Roman" w:hAnsi="Times New Roman"/>
                <w:szCs w:val="24"/>
                <w:lang w:val="en-GB"/>
              </w:rPr>
            </w:pPr>
            <w:r>
              <w:rPr>
                <w:rFonts w:ascii="Times New Roman" w:hAnsi="Times New Roman"/>
                <w:szCs w:val="24"/>
                <w:lang w:val="en-GB"/>
              </w:rPr>
              <w:t>All Grades</w:t>
            </w:r>
          </w:p>
        </w:tc>
        <w:tc>
          <w:tcPr>
            <w:tcW w:w="1756" w:type="dxa"/>
          </w:tcPr>
          <w:p w14:paraId="63074A63" w14:textId="21760794" w:rsidR="00F06AC5" w:rsidRDefault="00F06AC5" w:rsidP="003959CF">
            <w:pPr>
              <w:spacing w:after="0" w:line="240" w:lineRule="auto"/>
              <w:rPr>
                <w:rFonts w:ascii="Times New Roman" w:hAnsi="Times New Roman"/>
                <w:szCs w:val="24"/>
                <w:lang w:val="en-GB"/>
              </w:rPr>
            </w:pPr>
            <w:r>
              <w:rPr>
                <w:rFonts w:ascii="Times New Roman" w:hAnsi="Times New Roman"/>
                <w:szCs w:val="24"/>
                <w:lang w:val="en-GB"/>
              </w:rPr>
              <w:t>Grade3/4</w:t>
            </w:r>
          </w:p>
        </w:tc>
        <w:tc>
          <w:tcPr>
            <w:tcW w:w="1756" w:type="dxa"/>
          </w:tcPr>
          <w:p w14:paraId="29BDA3B7" w14:textId="480D87E4" w:rsidR="00F06AC5" w:rsidRDefault="00F06AC5" w:rsidP="003959CF">
            <w:pPr>
              <w:spacing w:after="0" w:line="240" w:lineRule="auto"/>
              <w:rPr>
                <w:rFonts w:ascii="Times New Roman" w:hAnsi="Times New Roman"/>
                <w:szCs w:val="24"/>
                <w:lang w:val="en-GB"/>
              </w:rPr>
            </w:pPr>
            <w:r>
              <w:rPr>
                <w:rFonts w:ascii="Times New Roman" w:hAnsi="Times New Roman"/>
                <w:szCs w:val="24"/>
                <w:lang w:val="en-GB"/>
              </w:rPr>
              <w:t>All Grades</w:t>
            </w:r>
          </w:p>
        </w:tc>
        <w:tc>
          <w:tcPr>
            <w:tcW w:w="1756" w:type="dxa"/>
          </w:tcPr>
          <w:p w14:paraId="6B3E5E99" w14:textId="4A230879" w:rsidR="00F06AC5" w:rsidRDefault="00F06AC5" w:rsidP="003959CF">
            <w:pPr>
              <w:spacing w:after="0" w:line="240" w:lineRule="auto"/>
              <w:rPr>
                <w:rFonts w:ascii="Times New Roman" w:hAnsi="Times New Roman"/>
                <w:szCs w:val="24"/>
                <w:lang w:val="en-GB"/>
              </w:rPr>
            </w:pPr>
            <w:r>
              <w:rPr>
                <w:rFonts w:ascii="Times New Roman" w:hAnsi="Times New Roman"/>
                <w:szCs w:val="24"/>
                <w:lang w:val="en-GB"/>
              </w:rPr>
              <w:t>Grade 3/4</w:t>
            </w:r>
          </w:p>
        </w:tc>
      </w:tr>
      <w:tr w:rsidR="00F06AC5" w14:paraId="02A1D0AA" w14:textId="77777777" w:rsidTr="00F06AC5">
        <w:tc>
          <w:tcPr>
            <w:tcW w:w="1756" w:type="dxa"/>
          </w:tcPr>
          <w:p w14:paraId="29D2E516" w14:textId="186698C8" w:rsidR="00F06AC5" w:rsidRDefault="00F06AC5" w:rsidP="003959CF">
            <w:pPr>
              <w:spacing w:after="0" w:line="240" w:lineRule="auto"/>
              <w:rPr>
                <w:rFonts w:ascii="Times New Roman" w:hAnsi="Times New Roman"/>
                <w:szCs w:val="24"/>
                <w:lang w:val="en-GB"/>
              </w:rPr>
            </w:pPr>
            <w:r>
              <w:rPr>
                <w:rFonts w:ascii="Times New Roman" w:hAnsi="Times New Roman"/>
                <w:szCs w:val="24"/>
                <w:lang w:val="en-GB"/>
              </w:rPr>
              <w:t>Fatigue*</w:t>
            </w:r>
          </w:p>
        </w:tc>
        <w:tc>
          <w:tcPr>
            <w:tcW w:w="1756" w:type="dxa"/>
          </w:tcPr>
          <w:p w14:paraId="1AAB4B12" w14:textId="6A2E4D37"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61.6</w:t>
            </w:r>
          </w:p>
        </w:tc>
        <w:tc>
          <w:tcPr>
            <w:tcW w:w="1756" w:type="dxa"/>
          </w:tcPr>
          <w:p w14:paraId="386BAF5B" w14:textId="0D55146B"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12.6</w:t>
            </w:r>
          </w:p>
        </w:tc>
        <w:tc>
          <w:tcPr>
            <w:tcW w:w="1756" w:type="dxa"/>
          </w:tcPr>
          <w:p w14:paraId="16330A48" w14:textId="18BCEE98"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51.7</w:t>
            </w:r>
          </w:p>
        </w:tc>
        <w:tc>
          <w:tcPr>
            <w:tcW w:w="1756" w:type="dxa"/>
          </w:tcPr>
          <w:p w14:paraId="3F1E25ED" w14:textId="231A011B"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11.7</w:t>
            </w:r>
          </w:p>
        </w:tc>
      </w:tr>
      <w:tr w:rsidR="00F06AC5" w14:paraId="2BD4AF7D" w14:textId="77777777" w:rsidTr="00F06AC5">
        <w:tc>
          <w:tcPr>
            <w:tcW w:w="1756" w:type="dxa"/>
          </w:tcPr>
          <w:p w14:paraId="14CEBBE3" w14:textId="32FFF5D1" w:rsidR="00F06AC5" w:rsidRDefault="00F06AC5" w:rsidP="003959CF">
            <w:pPr>
              <w:spacing w:after="0" w:line="240" w:lineRule="auto"/>
              <w:rPr>
                <w:rFonts w:ascii="Times New Roman" w:hAnsi="Times New Roman"/>
                <w:szCs w:val="24"/>
                <w:lang w:val="en-GB"/>
              </w:rPr>
            </w:pPr>
            <w:r>
              <w:rPr>
                <w:rFonts w:ascii="Times New Roman" w:hAnsi="Times New Roman"/>
                <w:szCs w:val="24"/>
                <w:lang w:val="en-GB"/>
              </w:rPr>
              <w:lastRenderedPageBreak/>
              <w:t>Diarrhoea</w:t>
            </w:r>
          </w:p>
        </w:tc>
        <w:tc>
          <w:tcPr>
            <w:tcW w:w="1756" w:type="dxa"/>
          </w:tcPr>
          <w:p w14:paraId="5A0ABACC" w14:textId="13FD13C2"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46.9</w:t>
            </w:r>
          </w:p>
        </w:tc>
        <w:tc>
          <w:tcPr>
            <w:tcW w:w="1756" w:type="dxa"/>
          </w:tcPr>
          <w:p w14:paraId="68AD11F4" w14:textId="6EEBA682"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5.0</w:t>
            </w:r>
          </w:p>
        </w:tc>
        <w:tc>
          <w:tcPr>
            <w:tcW w:w="1756" w:type="dxa"/>
          </w:tcPr>
          <w:p w14:paraId="5296A26B" w14:textId="37A93204"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36.0</w:t>
            </w:r>
          </w:p>
        </w:tc>
        <w:tc>
          <w:tcPr>
            <w:tcW w:w="1756" w:type="dxa"/>
          </w:tcPr>
          <w:p w14:paraId="77E1C879" w14:textId="70F088AF"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4.1</w:t>
            </w:r>
          </w:p>
        </w:tc>
      </w:tr>
      <w:tr w:rsidR="00F06AC5" w14:paraId="2AB4222C" w14:textId="77777777" w:rsidTr="00F06AC5">
        <w:tc>
          <w:tcPr>
            <w:tcW w:w="1756" w:type="dxa"/>
          </w:tcPr>
          <w:p w14:paraId="195D06AF" w14:textId="20861F81" w:rsidR="00F06AC5" w:rsidRDefault="00F06AC5" w:rsidP="003959CF">
            <w:pPr>
              <w:spacing w:after="0" w:line="240" w:lineRule="auto"/>
              <w:rPr>
                <w:rFonts w:ascii="Times New Roman" w:hAnsi="Times New Roman"/>
                <w:szCs w:val="24"/>
                <w:lang w:val="en-GB"/>
              </w:rPr>
            </w:pPr>
            <w:r>
              <w:rPr>
                <w:rFonts w:ascii="Times New Roman" w:hAnsi="Times New Roman"/>
                <w:szCs w:val="24"/>
                <w:lang w:val="en-GB"/>
              </w:rPr>
              <w:t>Pyrexia</w:t>
            </w:r>
          </w:p>
        </w:tc>
        <w:tc>
          <w:tcPr>
            <w:tcW w:w="1756" w:type="dxa"/>
          </w:tcPr>
          <w:p w14:paraId="20D62ADD" w14:textId="615FA96F"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37.4</w:t>
            </w:r>
          </w:p>
        </w:tc>
        <w:tc>
          <w:tcPr>
            <w:tcW w:w="1756" w:type="dxa"/>
          </w:tcPr>
          <w:p w14:paraId="5337181B" w14:textId="2DF3E9DB"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2.5</w:t>
            </w:r>
          </w:p>
        </w:tc>
        <w:tc>
          <w:tcPr>
            <w:tcW w:w="1756" w:type="dxa"/>
          </w:tcPr>
          <w:p w14:paraId="03A4AA04" w14:textId="56B89B7B"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24.6</w:t>
            </w:r>
          </w:p>
        </w:tc>
        <w:tc>
          <w:tcPr>
            <w:tcW w:w="1756" w:type="dxa"/>
          </w:tcPr>
          <w:p w14:paraId="5F1B05A3" w14:textId="0331ABE8"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2.8</w:t>
            </w:r>
          </w:p>
        </w:tc>
      </w:tr>
      <w:tr w:rsidR="00F06AC5" w14:paraId="3A2C1677" w14:textId="77777777" w:rsidTr="00F06AC5">
        <w:tc>
          <w:tcPr>
            <w:tcW w:w="1756" w:type="dxa"/>
          </w:tcPr>
          <w:p w14:paraId="5B8FB14C" w14:textId="547363C4" w:rsidR="00F06AC5" w:rsidRDefault="00F06AC5" w:rsidP="003959CF">
            <w:pPr>
              <w:spacing w:after="0" w:line="240" w:lineRule="auto"/>
              <w:rPr>
                <w:rFonts w:ascii="Times New Roman" w:hAnsi="Times New Roman"/>
                <w:szCs w:val="24"/>
                <w:lang w:val="en-GB"/>
              </w:rPr>
            </w:pPr>
            <w:r>
              <w:rPr>
                <w:rFonts w:ascii="Times New Roman" w:hAnsi="Times New Roman"/>
                <w:szCs w:val="24"/>
                <w:lang w:val="en-GB"/>
              </w:rPr>
              <w:t>Constipation</w:t>
            </w:r>
          </w:p>
        </w:tc>
        <w:tc>
          <w:tcPr>
            <w:tcW w:w="1756" w:type="dxa"/>
          </w:tcPr>
          <w:p w14:paraId="32919D1B" w14:textId="015F4AEF"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35.5</w:t>
            </w:r>
          </w:p>
        </w:tc>
        <w:tc>
          <w:tcPr>
            <w:tcW w:w="1756" w:type="dxa"/>
          </w:tcPr>
          <w:p w14:paraId="1744EF40" w14:textId="3FCA542B"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1.3</w:t>
            </w:r>
          </w:p>
        </w:tc>
        <w:tc>
          <w:tcPr>
            <w:tcW w:w="1756" w:type="dxa"/>
          </w:tcPr>
          <w:p w14:paraId="4A9B26F1" w14:textId="239C9E2D"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27.1</w:t>
            </w:r>
          </w:p>
        </w:tc>
        <w:tc>
          <w:tcPr>
            <w:tcW w:w="1756" w:type="dxa"/>
          </w:tcPr>
          <w:p w14:paraId="3D31CA56" w14:textId="4A6CF559"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0.3</w:t>
            </w:r>
          </w:p>
        </w:tc>
      </w:tr>
      <w:tr w:rsidR="00F06AC5" w14:paraId="4AF9CF89" w14:textId="77777777" w:rsidTr="00F06AC5">
        <w:tc>
          <w:tcPr>
            <w:tcW w:w="1756" w:type="dxa"/>
          </w:tcPr>
          <w:p w14:paraId="4866A92C" w14:textId="198DC78B" w:rsidR="00F06AC5" w:rsidRDefault="00F06AC5" w:rsidP="003959CF">
            <w:pPr>
              <w:spacing w:after="0" w:line="240" w:lineRule="auto"/>
              <w:rPr>
                <w:rFonts w:ascii="Times New Roman" w:hAnsi="Times New Roman"/>
                <w:szCs w:val="24"/>
                <w:lang w:val="en-GB"/>
              </w:rPr>
            </w:pPr>
            <w:r>
              <w:rPr>
                <w:rFonts w:ascii="Times New Roman" w:hAnsi="Times New Roman"/>
                <w:szCs w:val="24"/>
                <w:lang w:val="en-GB"/>
              </w:rPr>
              <w:t>Cough</w:t>
            </w:r>
            <w:r w:rsidRPr="00F06AC5">
              <w:rPr>
                <w:rFonts w:ascii="Times New Roman" w:hAnsi="Times New Roman"/>
                <w:szCs w:val="24"/>
                <w:vertAlign w:val="superscript"/>
                <w:lang w:val="en-GB"/>
              </w:rPr>
              <w:t>†</w:t>
            </w:r>
          </w:p>
        </w:tc>
        <w:tc>
          <w:tcPr>
            <w:tcW w:w="1756" w:type="dxa"/>
          </w:tcPr>
          <w:p w14:paraId="2574E3F0" w14:textId="500BC8F1"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34.3</w:t>
            </w:r>
          </w:p>
        </w:tc>
        <w:tc>
          <w:tcPr>
            <w:tcW w:w="1756" w:type="dxa"/>
          </w:tcPr>
          <w:p w14:paraId="105937B2" w14:textId="6F28AA40"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0.3</w:t>
            </w:r>
          </w:p>
        </w:tc>
        <w:tc>
          <w:tcPr>
            <w:tcW w:w="1756" w:type="dxa"/>
          </w:tcPr>
          <w:p w14:paraId="49BA6268" w14:textId="510D2F5F"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18.9</w:t>
            </w:r>
          </w:p>
        </w:tc>
        <w:tc>
          <w:tcPr>
            <w:tcW w:w="1756" w:type="dxa"/>
          </w:tcPr>
          <w:p w14:paraId="0E5E1935" w14:textId="01DF39C4"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0</w:t>
            </w:r>
          </w:p>
        </w:tc>
      </w:tr>
      <w:tr w:rsidR="00F06AC5" w14:paraId="4FE14845" w14:textId="77777777" w:rsidTr="00F06AC5">
        <w:tc>
          <w:tcPr>
            <w:tcW w:w="1756" w:type="dxa"/>
          </w:tcPr>
          <w:p w14:paraId="6C9B86F8" w14:textId="1DF0ACF2"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Peripheral Neuropathy</w:t>
            </w:r>
            <w:r w:rsidRPr="00A977AF">
              <w:rPr>
                <w:rFonts w:ascii="Times New Roman" w:hAnsi="Times New Roman"/>
                <w:szCs w:val="24"/>
                <w:vertAlign w:val="superscript"/>
                <w:lang w:val="en-GB"/>
              </w:rPr>
              <w:t>‡</w:t>
            </w:r>
          </w:p>
        </w:tc>
        <w:tc>
          <w:tcPr>
            <w:tcW w:w="1756" w:type="dxa"/>
          </w:tcPr>
          <w:p w14:paraId="2595CDE2" w14:textId="06185E40"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26.7</w:t>
            </w:r>
          </w:p>
        </w:tc>
        <w:tc>
          <w:tcPr>
            <w:tcW w:w="1756" w:type="dxa"/>
          </w:tcPr>
          <w:p w14:paraId="7F081F41" w14:textId="6FE4809C"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3.8</w:t>
            </w:r>
          </w:p>
        </w:tc>
        <w:tc>
          <w:tcPr>
            <w:tcW w:w="1756" w:type="dxa"/>
          </w:tcPr>
          <w:p w14:paraId="75A3FDBE" w14:textId="6BB7B70B"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20.8</w:t>
            </w:r>
          </w:p>
        </w:tc>
        <w:tc>
          <w:tcPr>
            <w:tcW w:w="1756" w:type="dxa"/>
          </w:tcPr>
          <w:p w14:paraId="2F4A490D" w14:textId="01F60C99"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2.2</w:t>
            </w:r>
          </w:p>
        </w:tc>
      </w:tr>
      <w:tr w:rsidR="00F06AC5" w14:paraId="1EDB2A1B" w14:textId="77777777" w:rsidTr="00F06AC5">
        <w:tc>
          <w:tcPr>
            <w:tcW w:w="1756" w:type="dxa"/>
          </w:tcPr>
          <w:p w14:paraId="1D8DCA79" w14:textId="35277C9B" w:rsidR="00F06AC5" w:rsidRDefault="00A977AF" w:rsidP="003959CF">
            <w:pPr>
              <w:spacing w:after="0" w:line="240" w:lineRule="auto"/>
              <w:rPr>
                <w:rFonts w:ascii="Times New Roman" w:hAnsi="Times New Roman"/>
                <w:szCs w:val="24"/>
                <w:lang w:val="en-GB"/>
              </w:rPr>
            </w:pPr>
            <w:proofErr w:type="spellStart"/>
            <w:r>
              <w:rPr>
                <w:rFonts w:ascii="Times New Roman" w:hAnsi="Times New Roman"/>
                <w:szCs w:val="24"/>
                <w:lang w:val="en-GB"/>
              </w:rPr>
              <w:t>Nasopharyngitis</w:t>
            </w:r>
            <w:proofErr w:type="spellEnd"/>
          </w:p>
        </w:tc>
        <w:tc>
          <w:tcPr>
            <w:tcW w:w="1756" w:type="dxa"/>
          </w:tcPr>
          <w:p w14:paraId="639D4B49" w14:textId="2C26C5D4"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24.5</w:t>
            </w:r>
          </w:p>
        </w:tc>
        <w:tc>
          <w:tcPr>
            <w:tcW w:w="1756" w:type="dxa"/>
          </w:tcPr>
          <w:p w14:paraId="245E2CBA" w14:textId="668011E2"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0</w:t>
            </w:r>
          </w:p>
        </w:tc>
        <w:tc>
          <w:tcPr>
            <w:tcW w:w="1756" w:type="dxa"/>
          </w:tcPr>
          <w:p w14:paraId="4BE6A30D" w14:textId="574E0DD7"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19.2</w:t>
            </w:r>
          </w:p>
        </w:tc>
        <w:tc>
          <w:tcPr>
            <w:tcW w:w="1756" w:type="dxa"/>
          </w:tcPr>
          <w:p w14:paraId="6A0A0E80" w14:textId="6875DD27"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0</w:t>
            </w:r>
          </w:p>
        </w:tc>
      </w:tr>
      <w:tr w:rsidR="00F06AC5" w14:paraId="71BCA946" w14:textId="77777777" w:rsidTr="00F06AC5">
        <w:tc>
          <w:tcPr>
            <w:tcW w:w="1756" w:type="dxa"/>
          </w:tcPr>
          <w:p w14:paraId="0932958B" w14:textId="46E42518"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Upper Respiratory Tract Infection</w:t>
            </w:r>
          </w:p>
        </w:tc>
        <w:tc>
          <w:tcPr>
            <w:tcW w:w="1756" w:type="dxa"/>
          </w:tcPr>
          <w:p w14:paraId="749F9902" w14:textId="5A3AE9F6"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22.6</w:t>
            </w:r>
          </w:p>
        </w:tc>
        <w:tc>
          <w:tcPr>
            <w:tcW w:w="1756" w:type="dxa"/>
          </w:tcPr>
          <w:p w14:paraId="29BDE5AD" w14:textId="212E5A8F"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0.6</w:t>
            </w:r>
          </w:p>
        </w:tc>
        <w:tc>
          <w:tcPr>
            <w:tcW w:w="1756" w:type="dxa"/>
          </w:tcPr>
          <w:p w14:paraId="7520F2BD" w14:textId="0CB20F2B"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17.4</w:t>
            </w:r>
          </w:p>
        </w:tc>
        <w:tc>
          <w:tcPr>
            <w:tcW w:w="1756" w:type="dxa"/>
          </w:tcPr>
          <w:p w14:paraId="0C0D3526" w14:textId="25FC8A9D"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1.3</w:t>
            </w:r>
          </w:p>
        </w:tc>
      </w:tr>
      <w:tr w:rsidR="00F06AC5" w14:paraId="2B0529C1" w14:textId="77777777" w:rsidTr="00F06AC5">
        <w:tc>
          <w:tcPr>
            <w:tcW w:w="1756" w:type="dxa"/>
          </w:tcPr>
          <w:p w14:paraId="1AD332D1" w14:textId="396FDAF1"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 xml:space="preserve">Decreased </w:t>
            </w:r>
            <w:proofErr w:type="spellStart"/>
            <w:r>
              <w:rPr>
                <w:rFonts w:ascii="Times New Roman" w:hAnsi="Times New Roman"/>
                <w:szCs w:val="24"/>
                <w:lang w:val="en-GB"/>
              </w:rPr>
              <w:t>Appeitite</w:t>
            </w:r>
            <w:proofErr w:type="spellEnd"/>
          </w:p>
        </w:tc>
        <w:tc>
          <w:tcPr>
            <w:tcW w:w="1756" w:type="dxa"/>
          </w:tcPr>
          <w:p w14:paraId="3351316D" w14:textId="0A54F1C6"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20.8</w:t>
            </w:r>
          </w:p>
        </w:tc>
        <w:tc>
          <w:tcPr>
            <w:tcW w:w="1756" w:type="dxa"/>
          </w:tcPr>
          <w:p w14:paraId="4CE1F099" w14:textId="77CBF9E4"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1.6</w:t>
            </w:r>
          </w:p>
        </w:tc>
        <w:tc>
          <w:tcPr>
            <w:tcW w:w="1756" w:type="dxa"/>
          </w:tcPr>
          <w:p w14:paraId="12D7FACC" w14:textId="645E6008"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12.6</w:t>
            </w:r>
          </w:p>
        </w:tc>
        <w:tc>
          <w:tcPr>
            <w:tcW w:w="1756" w:type="dxa"/>
          </w:tcPr>
          <w:p w14:paraId="02BD1617" w14:textId="1396F930"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1.3</w:t>
            </w:r>
          </w:p>
        </w:tc>
      </w:tr>
      <w:tr w:rsidR="00F06AC5" w14:paraId="132A318D" w14:textId="77777777" w:rsidTr="00F06AC5">
        <w:tc>
          <w:tcPr>
            <w:tcW w:w="1756" w:type="dxa"/>
          </w:tcPr>
          <w:p w14:paraId="74793767" w14:textId="12BE39BA"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Pneumonia</w:t>
            </w:r>
            <w:r w:rsidRPr="00A977AF">
              <w:rPr>
                <w:rFonts w:ascii="Times New Roman" w:hAnsi="Times New Roman"/>
                <w:szCs w:val="24"/>
                <w:vertAlign w:val="superscript"/>
                <w:lang w:val="en-GB"/>
              </w:rPr>
              <w:t>§</w:t>
            </w:r>
          </w:p>
        </w:tc>
        <w:tc>
          <w:tcPr>
            <w:tcW w:w="1756" w:type="dxa"/>
          </w:tcPr>
          <w:p w14:paraId="694F6346" w14:textId="673E8C2C"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20.1</w:t>
            </w:r>
          </w:p>
        </w:tc>
        <w:tc>
          <w:tcPr>
            <w:tcW w:w="1756" w:type="dxa"/>
          </w:tcPr>
          <w:p w14:paraId="25A0742F" w14:textId="659466FF"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14.2</w:t>
            </w:r>
          </w:p>
        </w:tc>
        <w:tc>
          <w:tcPr>
            <w:tcW w:w="1756" w:type="dxa"/>
          </w:tcPr>
          <w:p w14:paraId="1795FD4D" w14:textId="21E25798"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14.2</w:t>
            </w:r>
          </w:p>
        </w:tc>
        <w:tc>
          <w:tcPr>
            <w:tcW w:w="1756" w:type="dxa"/>
          </w:tcPr>
          <w:p w14:paraId="70233EB9" w14:textId="03471BB1"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9.5</w:t>
            </w:r>
          </w:p>
        </w:tc>
      </w:tr>
      <w:tr w:rsidR="00F06AC5" w14:paraId="1E1AB1F0" w14:textId="77777777" w:rsidTr="00F06AC5">
        <w:tc>
          <w:tcPr>
            <w:tcW w:w="1756" w:type="dxa"/>
          </w:tcPr>
          <w:p w14:paraId="0DEE797B" w14:textId="26B95E14"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 xml:space="preserve">Pain in </w:t>
            </w:r>
            <w:proofErr w:type="spellStart"/>
            <w:r>
              <w:rPr>
                <w:rFonts w:ascii="Times New Roman" w:hAnsi="Times New Roman"/>
                <w:szCs w:val="24"/>
                <w:lang w:val="en-GB"/>
              </w:rPr>
              <w:t>Extemities</w:t>
            </w:r>
            <w:proofErr w:type="spellEnd"/>
          </w:p>
        </w:tc>
        <w:tc>
          <w:tcPr>
            <w:tcW w:w="1756" w:type="dxa"/>
          </w:tcPr>
          <w:p w14:paraId="10B713DE" w14:textId="09403DE0"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16.4</w:t>
            </w:r>
          </w:p>
        </w:tc>
        <w:tc>
          <w:tcPr>
            <w:tcW w:w="1756" w:type="dxa"/>
          </w:tcPr>
          <w:p w14:paraId="5A81D741" w14:textId="009269CF"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0.9</w:t>
            </w:r>
          </w:p>
        </w:tc>
        <w:tc>
          <w:tcPr>
            <w:tcW w:w="1756" w:type="dxa"/>
          </w:tcPr>
          <w:p w14:paraId="422BCDE0" w14:textId="59FE14FD"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10.1</w:t>
            </w:r>
          </w:p>
        </w:tc>
        <w:tc>
          <w:tcPr>
            <w:tcW w:w="1756" w:type="dxa"/>
          </w:tcPr>
          <w:p w14:paraId="2585EE7B" w14:textId="037816E4"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0.3</w:t>
            </w:r>
          </w:p>
        </w:tc>
      </w:tr>
      <w:tr w:rsidR="00F06AC5" w14:paraId="3CA533D7" w14:textId="77777777" w:rsidTr="00F06AC5">
        <w:tc>
          <w:tcPr>
            <w:tcW w:w="1756" w:type="dxa"/>
          </w:tcPr>
          <w:p w14:paraId="50CF4938" w14:textId="305AE003"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Headache</w:t>
            </w:r>
          </w:p>
        </w:tc>
        <w:tc>
          <w:tcPr>
            <w:tcW w:w="1756" w:type="dxa"/>
          </w:tcPr>
          <w:p w14:paraId="3B38C79B" w14:textId="0BF1DCDB"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15.4</w:t>
            </w:r>
          </w:p>
        </w:tc>
        <w:tc>
          <w:tcPr>
            <w:tcW w:w="1756" w:type="dxa"/>
          </w:tcPr>
          <w:p w14:paraId="0C4E4C1F" w14:textId="58B268F1"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0.3</w:t>
            </w:r>
          </w:p>
        </w:tc>
        <w:tc>
          <w:tcPr>
            <w:tcW w:w="1756" w:type="dxa"/>
          </w:tcPr>
          <w:p w14:paraId="32CAE754" w14:textId="3112DF4D"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7.6</w:t>
            </w:r>
          </w:p>
        </w:tc>
        <w:tc>
          <w:tcPr>
            <w:tcW w:w="1756" w:type="dxa"/>
          </w:tcPr>
          <w:p w14:paraId="2D193F7C" w14:textId="3C0D68D6"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0.3</w:t>
            </w:r>
          </w:p>
        </w:tc>
      </w:tr>
      <w:tr w:rsidR="00F06AC5" w14:paraId="43EB1B77" w14:textId="77777777" w:rsidTr="00F06AC5">
        <w:tc>
          <w:tcPr>
            <w:tcW w:w="1756" w:type="dxa"/>
          </w:tcPr>
          <w:p w14:paraId="21B491A6" w14:textId="29509627"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Vomiting</w:t>
            </w:r>
          </w:p>
        </w:tc>
        <w:tc>
          <w:tcPr>
            <w:tcW w:w="1756" w:type="dxa"/>
          </w:tcPr>
          <w:p w14:paraId="274447AD" w14:textId="4F70D169"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14.5</w:t>
            </w:r>
          </w:p>
        </w:tc>
        <w:tc>
          <w:tcPr>
            <w:tcW w:w="1756" w:type="dxa"/>
          </w:tcPr>
          <w:p w14:paraId="017E7E6F" w14:textId="361E81DC"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0.3</w:t>
            </w:r>
          </w:p>
        </w:tc>
        <w:tc>
          <w:tcPr>
            <w:tcW w:w="1756" w:type="dxa"/>
          </w:tcPr>
          <w:p w14:paraId="6CC51FD8" w14:textId="697BA7BE"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8.8</w:t>
            </w:r>
          </w:p>
        </w:tc>
        <w:tc>
          <w:tcPr>
            <w:tcW w:w="1756" w:type="dxa"/>
          </w:tcPr>
          <w:p w14:paraId="61639229" w14:textId="47DF013C"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0.9</w:t>
            </w:r>
          </w:p>
        </w:tc>
      </w:tr>
      <w:tr w:rsidR="00F06AC5" w14:paraId="76E4E86E" w14:textId="77777777" w:rsidTr="00F06AC5">
        <w:tc>
          <w:tcPr>
            <w:tcW w:w="1756" w:type="dxa"/>
          </w:tcPr>
          <w:p w14:paraId="434D8D19" w14:textId="1143453A"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Weight Decreased</w:t>
            </w:r>
          </w:p>
        </w:tc>
        <w:tc>
          <w:tcPr>
            <w:tcW w:w="1756" w:type="dxa"/>
          </w:tcPr>
          <w:p w14:paraId="112ABE71" w14:textId="4B68B129"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13.8</w:t>
            </w:r>
          </w:p>
        </w:tc>
        <w:tc>
          <w:tcPr>
            <w:tcW w:w="1756" w:type="dxa"/>
          </w:tcPr>
          <w:p w14:paraId="2FD8BE08" w14:textId="0A613C60"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1.3</w:t>
            </w:r>
          </w:p>
        </w:tc>
        <w:tc>
          <w:tcPr>
            <w:tcW w:w="1756" w:type="dxa"/>
          </w:tcPr>
          <w:p w14:paraId="28FF0F9A" w14:textId="513F3323"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6.0</w:t>
            </w:r>
          </w:p>
        </w:tc>
        <w:tc>
          <w:tcPr>
            <w:tcW w:w="1756" w:type="dxa"/>
          </w:tcPr>
          <w:p w14:paraId="5C06407D" w14:textId="0099A57A"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0</w:t>
            </w:r>
          </w:p>
        </w:tc>
      </w:tr>
      <w:tr w:rsidR="00F06AC5" w14:paraId="381453B7" w14:textId="77777777" w:rsidTr="00F06AC5">
        <w:tc>
          <w:tcPr>
            <w:tcW w:w="1756" w:type="dxa"/>
          </w:tcPr>
          <w:p w14:paraId="0CDBEC29" w14:textId="5CC37DB6"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Lymphopenia</w:t>
            </w:r>
          </w:p>
        </w:tc>
        <w:tc>
          <w:tcPr>
            <w:tcW w:w="1756" w:type="dxa"/>
          </w:tcPr>
          <w:p w14:paraId="6BFF8BC0" w14:textId="4F55F77B"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13.2</w:t>
            </w:r>
          </w:p>
        </w:tc>
        <w:tc>
          <w:tcPr>
            <w:tcW w:w="1756" w:type="dxa"/>
          </w:tcPr>
          <w:p w14:paraId="45A1410E" w14:textId="300403E6"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8.8</w:t>
            </w:r>
          </w:p>
        </w:tc>
        <w:tc>
          <w:tcPr>
            <w:tcW w:w="1756" w:type="dxa"/>
          </w:tcPr>
          <w:p w14:paraId="56499D1C" w14:textId="216DF20B"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6.9</w:t>
            </w:r>
          </w:p>
        </w:tc>
        <w:tc>
          <w:tcPr>
            <w:tcW w:w="1756" w:type="dxa"/>
          </w:tcPr>
          <w:p w14:paraId="611D3202" w14:textId="11EB56BC" w:rsidR="00F06AC5" w:rsidRDefault="00A977AF" w:rsidP="003959CF">
            <w:pPr>
              <w:spacing w:after="0" w:line="240" w:lineRule="auto"/>
              <w:rPr>
                <w:rFonts w:ascii="Times New Roman" w:hAnsi="Times New Roman"/>
                <w:szCs w:val="24"/>
                <w:lang w:val="en-GB"/>
              </w:rPr>
            </w:pPr>
            <w:r>
              <w:rPr>
                <w:rFonts w:ascii="Times New Roman" w:hAnsi="Times New Roman"/>
                <w:szCs w:val="24"/>
                <w:lang w:val="en-GB"/>
              </w:rPr>
              <w:t>3.2</w:t>
            </w:r>
          </w:p>
        </w:tc>
      </w:tr>
      <w:tr w:rsidR="00A977AF" w14:paraId="35A18A4C" w14:textId="77777777" w:rsidTr="00F06AC5">
        <w:tc>
          <w:tcPr>
            <w:tcW w:w="1756" w:type="dxa"/>
          </w:tcPr>
          <w:p w14:paraId="58A7938B" w14:textId="52BA9F6F" w:rsidR="00A977AF" w:rsidRDefault="00A977AF" w:rsidP="003959CF">
            <w:pPr>
              <w:spacing w:after="0" w:line="240" w:lineRule="auto"/>
              <w:rPr>
                <w:rFonts w:ascii="Times New Roman" w:hAnsi="Times New Roman"/>
                <w:szCs w:val="24"/>
                <w:lang w:val="en-GB"/>
              </w:rPr>
            </w:pPr>
            <w:proofErr w:type="spellStart"/>
            <w:r>
              <w:rPr>
                <w:rFonts w:ascii="Times New Roman" w:hAnsi="Times New Roman"/>
                <w:szCs w:val="24"/>
                <w:lang w:val="en-GB"/>
              </w:rPr>
              <w:t>Catarcts</w:t>
            </w:r>
            <w:proofErr w:type="spellEnd"/>
          </w:p>
        </w:tc>
        <w:tc>
          <w:tcPr>
            <w:tcW w:w="1756" w:type="dxa"/>
          </w:tcPr>
          <w:p w14:paraId="2FD424B2" w14:textId="25165CB5" w:rsidR="00A977AF" w:rsidRDefault="00A977AF" w:rsidP="003959CF">
            <w:pPr>
              <w:spacing w:after="0" w:line="240" w:lineRule="auto"/>
              <w:rPr>
                <w:rFonts w:ascii="Times New Roman" w:hAnsi="Times New Roman"/>
                <w:szCs w:val="24"/>
                <w:lang w:val="en-GB"/>
              </w:rPr>
            </w:pPr>
            <w:r>
              <w:rPr>
                <w:rFonts w:ascii="Times New Roman" w:hAnsi="Times New Roman"/>
                <w:szCs w:val="24"/>
                <w:lang w:val="en-GB"/>
              </w:rPr>
              <w:t>11.9</w:t>
            </w:r>
          </w:p>
        </w:tc>
        <w:tc>
          <w:tcPr>
            <w:tcW w:w="1756" w:type="dxa"/>
          </w:tcPr>
          <w:p w14:paraId="78909B66" w14:textId="65EF5089" w:rsidR="00A977AF" w:rsidRDefault="00A977AF" w:rsidP="003959CF">
            <w:pPr>
              <w:spacing w:after="0" w:line="240" w:lineRule="auto"/>
              <w:rPr>
                <w:rFonts w:ascii="Times New Roman" w:hAnsi="Times New Roman"/>
                <w:szCs w:val="24"/>
                <w:lang w:val="en-GB"/>
              </w:rPr>
            </w:pPr>
            <w:r>
              <w:rPr>
                <w:rFonts w:ascii="Times New Roman" w:hAnsi="Times New Roman"/>
                <w:szCs w:val="24"/>
                <w:lang w:val="en-GB"/>
              </w:rPr>
              <w:t>6.3</w:t>
            </w:r>
          </w:p>
        </w:tc>
        <w:tc>
          <w:tcPr>
            <w:tcW w:w="1756" w:type="dxa"/>
          </w:tcPr>
          <w:p w14:paraId="5EA696FB" w14:textId="0C6B14E6" w:rsidR="00A977AF" w:rsidRDefault="00A977AF" w:rsidP="003959CF">
            <w:pPr>
              <w:spacing w:after="0" w:line="240" w:lineRule="auto"/>
              <w:rPr>
                <w:rFonts w:ascii="Times New Roman" w:hAnsi="Times New Roman"/>
                <w:szCs w:val="24"/>
                <w:lang w:val="en-GB"/>
              </w:rPr>
            </w:pPr>
            <w:r>
              <w:rPr>
                <w:rFonts w:ascii="Times New Roman" w:hAnsi="Times New Roman"/>
                <w:szCs w:val="24"/>
                <w:lang w:val="en-GB"/>
              </w:rPr>
              <w:t>6.3</w:t>
            </w:r>
          </w:p>
        </w:tc>
        <w:tc>
          <w:tcPr>
            <w:tcW w:w="1756" w:type="dxa"/>
          </w:tcPr>
          <w:p w14:paraId="37FB0FFF" w14:textId="030D65EE" w:rsidR="00A977AF" w:rsidRDefault="00A977AF" w:rsidP="003959CF">
            <w:pPr>
              <w:spacing w:after="0" w:line="240" w:lineRule="auto"/>
              <w:rPr>
                <w:rFonts w:ascii="Times New Roman" w:hAnsi="Times New Roman"/>
                <w:szCs w:val="24"/>
                <w:lang w:val="en-GB"/>
              </w:rPr>
            </w:pPr>
            <w:r>
              <w:rPr>
                <w:rFonts w:ascii="Times New Roman" w:hAnsi="Times New Roman"/>
                <w:szCs w:val="24"/>
                <w:lang w:val="en-GB"/>
              </w:rPr>
              <w:t>2.8</w:t>
            </w:r>
          </w:p>
        </w:tc>
      </w:tr>
      <w:tr w:rsidR="00A977AF" w14:paraId="2F9ED6EB" w14:textId="77777777" w:rsidTr="00F06AC5">
        <w:tc>
          <w:tcPr>
            <w:tcW w:w="1756" w:type="dxa"/>
          </w:tcPr>
          <w:p w14:paraId="1839FC68" w14:textId="33B60D70" w:rsidR="00A977AF" w:rsidRDefault="00A977AF" w:rsidP="003959CF">
            <w:pPr>
              <w:spacing w:after="0" w:line="240" w:lineRule="auto"/>
              <w:rPr>
                <w:rFonts w:ascii="Times New Roman" w:hAnsi="Times New Roman"/>
                <w:szCs w:val="24"/>
                <w:lang w:val="en-GB"/>
              </w:rPr>
            </w:pPr>
            <w:r>
              <w:rPr>
                <w:rFonts w:ascii="Times New Roman" w:hAnsi="Times New Roman"/>
                <w:szCs w:val="24"/>
                <w:lang w:val="en-GB"/>
              </w:rPr>
              <w:t>Oropharyngeal Pain</w:t>
            </w:r>
          </w:p>
        </w:tc>
        <w:tc>
          <w:tcPr>
            <w:tcW w:w="1756" w:type="dxa"/>
          </w:tcPr>
          <w:p w14:paraId="0394E033" w14:textId="28F18E3C" w:rsidR="00A977AF" w:rsidRDefault="00A977AF" w:rsidP="003959CF">
            <w:pPr>
              <w:spacing w:after="0" w:line="240" w:lineRule="auto"/>
              <w:rPr>
                <w:rFonts w:ascii="Times New Roman" w:hAnsi="Times New Roman"/>
                <w:szCs w:val="24"/>
                <w:lang w:val="en-GB"/>
              </w:rPr>
            </w:pPr>
            <w:r>
              <w:rPr>
                <w:rFonts w:ascii="Times New Roman" w:hAnsi="Times New Roman"/>
                <w:szCs w:val="24"/>
                <w:lang w:val="en-GB"/>
              </w:rPr>
              <w:t>10.1</w:t>
            </w:r>
          </w:p>
        </w:tc>
        <w:tc>
          <w:tcPr>
            <w:tcW w:w="1756" w:type="dxa"/>
          </w:tcPr>
          <w:p w14:paraId="0169C3C5" w14:textId="55EA4DF1" w:rsidR="00A977AF" w:rsidRDefault="00A977AF" w:rsidP="003959CF">
            <w:pPr>
              <w:spacing w:after="0" w:line="240" w:lineRule="auto"/>
              <w:rPr>
                <w:rFonts w:ascii="Times New Roman" w:hAnsi="Times New Roman"/>
                <w:szCs w:val="24"/>
                <w:lang w:val="en-GB"/>
              </w:rPr>
            </w:pPr>
            <w:r>
              <w:rPr>
                <w:rFonts w:ascii="Times New Roman" w:hAnsi="Times New Roman"/>
                <w:szCs w:val="24"/>
                <w:lang w:val="en-GB"/>
              </w:rPr>
              <w:t>0</w:t>
            </w:r>
          </w:p>
        </w:tc>
        <w:tc>
          <w:tcPr>
            <w:tcW w:w="1756" w:type="dxa"/>
          </w:tcPr>
          <w:p w14:paraId="51881BBB" w14:textId="340C174B" w:rsidR="00A977AF" w:rsidRDefault="00A977AF" w:rsidP="003959CF">
            <w:pPr>
              <w:spacing w:after="0" w:line="240" w:lineRule="auto"/>
              <w:rPr>
                <w:rFonts w:ascii="Times New Roman" w:hAnsi="Times New Roman"/>
                <w:szCs w:val="24"/>
                <w:lang w:val="en-GB"/>
              </w:rPr>
            </w:pPr>
            <w:r>
              <w:rPr>
                <w:rFonts w:ascii="Times New Roman" w:hAnsi="Times New Roman"/>
                <w:szCs w:val="24"/>
                <w:lang w:val="en-GB"/>
              </w:rPr>
              <w:t>4.4</w:t>
            </w:r>
          </w:p>
        </w:tc>
        <w:tc>
          <w:tcPr>
            <w:tcW w:w="1756" w:type="dxa"/>
          </w:tcPr>
          <w:p w14:paraId="6D9CB37E" w14:textId="4EE66071" w:rsidR="00A977AF" w:rsidRDefault="00A977AF" w:rsidP="003959CF">
            <w:pPr>
              <w:spacing w:after="0" w:line="240" w:lineRule="auto"/>
              <w:rPr>
                <w:rFonts w:ascii="Times New Roman" w:hAnsi="Times New Roman"/>
                <w:szCs w:val="24"/>
                <w:lang w:val="en-GB"/>
              </w:rPr>
            </w:pPr>
            <w:r>
              <w:rPr>
                <w:rFonts w:ascii="Times New Roman" w:hAnsi="Times New Roman"/>
                <w:szCs w:val="24"/>
                <w:lang w:val="en-GB"/>
              </w:rPr>
              <w:t>0</w:t>
            </w:r>
          </w:p>
        </w:tc>
      </w:tr>
    </w:tbl>
    <w:p w14:paraId="7142867A" w14:textId="09146D29" w:rsidR="0092788E" w:rsidRPr="00364FB3" w:rsidRDefault="00A977AF" w:rsidP="003959CF">
      <w:pPr>
        <w:spacing w:after="0" w:line="240" w:lineRule="auto"/>
        <w:rPr>
          <w:rFonts w:ascii="Times New Roman" w:hAnsi="Times New Roman"/>
          <w:sz w:val="20"/>
          <w:lang w:val="en-GB"/>
        </w:rPr>
      </w:pPr>
      <w:r w:rsidRPr="00364FB3">
        <w:rPr>
          <w:rFonts w:ascii="Times New Roman" w:hAnsi="Times New Roman"/>
          <w:sz w:val="20"/>
          <w:lang w:val="en-GB"/>
        </w:rPr>
        <w:t>* The term fatigue is a grouping of the following terms: fatigue and asthenia.</w:t>
      </w:r>
    </w:p>
    <w:p w14:paraId="770EAD1F" w14:textId="34464E98" w:rsidR="00A977AF" w:rsidRPr="00364FB3" w:rsidRDefault="00A977AF" w:rsidP="003959CF">
      <w:pPr>
        <w:spacing w:after="0" w:line="240" w:lineRule="auto"/>
        <w:rPr>
          <w:rFonts w:ascii="Times New Roman" w:hAnsi="Times New Roman"/>
          <w:sz w:val="20"/>
          <w:lang w:val="en-GB"/>
        </w:rPr>
      </w:pPr>
      <w:r w:rsidRPr="00364FB3">
        <w:rPr>
          <w:rFonts w:ascii="Times New Roman" w:hAnsi="Times New Roman"/>
          <w:sz w:val="20"/>
          <w:vertAlign w:val="superscript"/>
          <w:lang w:val="en-GB"/>
        </w:rPr>
        <w:t xml:space="preserve">† </w:t>
      </w:r>
      <w:r w:rsidRPr="00364FB3">
        <w:rPr>
          <w:rFonts w:ascii="Times New Roman" w:hAnsi="Times New Roman"/>
          <w:sz w:val="20"/>
          <w:lang w:val="en-GB"/>
        </w:rPr>
        <w:t>The term cough is a grouping of the following terms: cough, productive cough, and upper airway cough.</w:t>
      </w:r>
    </w:p>
    <w:p w14:paraId="065CE192" w14:textId="326ED514" w:rsidR="00A977AF" w:rsidRPr="00364FB3" w:rsidRDefault="00364FB3" w:rsidP="003959CF">
      <w:pPr>
        <w:spacing w:after="0" w:line="240" w:lineRule="auto"/>
        <w:rPr>
          <w:rFonts w:ascii="Times New Roman" w:hAnsi="Times New Roman"/>
          <w:sz w:val="20"/>
          <w:lang w:val="en-GB"/>
        </w:rPr>
      </w:pPr>
      <w:r w:rsidRPr="00364FB3">
        <w:rPr>
          <w:rFonts w:ascii="Times New Roman" w:hAnsi="Times New Roman"/>
          <w:sz w:val="20"/>
          <w:vertAlign w:val="superscript"/>
          <w:lang w:val="en-GB"/>
        </w:rPr>
        <w:t xml:space="preserve">‡ </w:t>
      </w:r>
      <w:r w:rsidRPr="00364FB3">
        <w:rPr>
          <w:rFonts w:ascii="Times New Roman" w:hAnsi="Times New Roman"/>
          <w:sz w:val="20"/>
          <w:lang w:val="en-GB"/>
        </w:rPr>
        <w:t>T</w:t>
      </w:r>
      <w:r w:rsidR="00A977AF" w:rsidRPr="00364FB3">
        <w:rPr>
          <w:rFonts w:ascii="Times New Roman" w:hAnsi="Times New Roman"/>
          <w:sz w:val="20"/>
          <w:lang w:val="en-GB"/>
        </w:rPr>
        <w:t xml:space="preserve">he term peripheral neuropathy is a grouping of the following terms: peripheral neuropathy, axonal neuropathy, peripheral </w:t>
      </w:r>
      <w:r w:rsidRPr="00364FB3">
        <w:rPr>
          <w:rFonts w:ascii="Times New Roman" w:hAnsi="Times New Roman"/>
          <w:sz w:val="20"/>
          <w:lang w:val="en-GB"/>
        </w:rPr>
        <w:t xml:space="preserve">motor </w:t>
      </w:r>
      <w:r w:rsidR="00A977AF" w:rsidRPr="00364FB3">
        <w:rPr>
          <w:rFonts w:ascii="Times New Roman" w:hAnsi="Times New Roman"/>
          <w:sz w:val="20"/>
          <w:lang w:val="en-GB"/>
        </w:rPr>
        <w:t xml:space="preserve">neuropathy, peripheral </w:t>
      </w:r>
      <w:proofErr w:type="spellStart"/>
      <w:r w:rsidRPr="00364FB3">
        <w:rPr>
          <w:rFonts w:ascii="Times New Roman" w:hAnsi="Times New Roman"/>
          <w:sz w:val="20"/>
          <w:lang w:val="en-GB"/>
        </w:rPr>
        <w:t>senosry</w:t>
      </w:r>
      <w:proofErr w:type="spellEnd"/>
      <w:r w:rsidRPr="00364FB3">
        <w:rPr>
          <w:rFonts w:ascii="Times New Roman" w:hAnsi="Times New Roman"/>
          <w:sz w:val="20"/>
          <w:lang w:val="en-GB"/>
        </w:rPr>
        <w:t xml:space="preserve"> neuropathy, and polyneuropathy.</w:t>
      </w:r>
    </w:p>
    <w:p w14:paraId="202DE750" w14:textId="3E522D2B" w:rsidR="0092788E" w:rsidRPr="00364FB3" w:rsidRDefault="00364FB3" w:rsidP="003959CF">
      <w:pPr>
        <w:spacing w:after="0" w:line="240" w:lineRule="auto"/>
        <w:rPr>
          <w:rFonts w:ascii="Times New Roman" w:hAnsi="Times New Roman"/>
          <w:sz w:val="20"/>
          <w:lang w:val="en-GB"/>
        </w:rPr>
      </w:pPr>
      <w:r w:rsidRPr="00364FB3">
        <w:rPr>
          <w:rFonts w:ascii="Times New Roman" w:hAnsi="Times New Roman"/>
          <w:sz w:val="20"/>
          <w:vertAlign w:val="superscript"/>
          <w:lang w:val="en-GB"/>
        </w:rPr>
        <w:t>§</w:t>
      </w:r>
      <w:r w:rsidRPr="00364FB3">
        <w:rPr>
          <w:rFonts w:ascii="Times New Roman" w:hAnsi="Times New Roman"/>
          <w:sz w:val="20"/>
          <w:lang w:val="en-GB"/>
        </w:rPr>
        <w:t>The term pneumonia is a grouping of the following terms: pneumonia, atypical pneumonia, bronchopneumonia, lobar pneumonia, bacterial pneumonia, fungal pneumonia, pneumonia influenza, and pneumococcal pneumonia.</w:t>
      </w:r>
    </w:p>
    <w:p w14:paraId="78CBFC24" w14:textId="59844534" w:rsidR="009E7400" w:rsidRPr="00FB377E" w:rsidRDefault="00F5030B" w:rsidP="00F5030B">
      <w:pPr>
        <w:pStyle w:val="Caption"/>
        <w:ind w:left="0" w:firstLine="0"/>
        <w:rPr>
          <w:lang w:val="en-CA"/>
        </w:rPr>
      </w:pPr>
      <w:r>
        <w:t xml:space="preserve">Table </w:t>
      </w:r>
      <w:r>
        <w:fldChar w:fldCharType="begin"/>
      </w:r>
      <w:r>
        <w:instrText xml:space="preserve"> SEQ Table \* ARABIC </w:instrText>
      </w:r>
      <w:r>
        <w:fldChar w:fldCharType="separate"/>
      </w:r>
      <w:r w:rsidR="00B06408">
        <w:rPr>
          <w:noProof/>
        </w:rPr>
        <w:t>3</w:t>
      </w:r>
      <w:r>
        <w:fldChar w:fldCharType="end"/>
      </w:r>
      <w:r>
        <w:t>:</w:t>
      </w:r>
      <w:r w:rsidR="009E7400" w:rsidRPr="00FB377E">
        <w:rPr>
          <w:lang w:val="en-CA"/>
        </w:rPr>
        <w:t xml:space="preserve"> Laboratory Abnormalities Wors</w:t>
      </w:r>
      <w:r w:rsidR="008327F4" w:rsidRPr="00FB377E">
        <w:rPr>
          <w:lang w:val="en-CA"/>
        </w:rPr>
        <w:t>ening</w:t>
      </w:r>
      <w:r w:rsidR="009E7400" w:rsidRPr="00FB377E">
        <w:rPr>
          <w:lang w:val="en-CA"/>
        </w:rPr>
        <w:t xml:space="preserve"> from Baseline and with a 10% or Higher</w:t>
      </w:r>
      <w:r w:rsidR="008327F4" w:rsidRPr="00FB377E">
        <w:rPr>
          <w:lang w:val="en-CA"/>
        </w:rPr>
        <w:t xml:space="preserve"> Incidence for EMPLICITI-T</w:t>
      </w:r>
      <w:r w:rsidR="009E7400" w:rsidRPr="00FB377E">
        <w:rPr>
          <w:lang w:val="en-CA"/>
        </w:rPr>
        <w:t>r</w:t>
      </w:r>
      <w:r w:rsidR="008327F4" w:rsidRPr="00FB377E">
        <w:rPr>
          <w:lang w:val="en-CA"/>
        </w:rPr>
        <w:t>eated Patients and a 5% Higher I</w:t>
      </w:r>
      <w:r w:rsidR="009E7400" w:rsidRPr="00FB377E">
        <w:rPr>
          <w:lang w:val="en-CA"/>
        </w:rPr>
        <w:t xml:space="preserve">ncidence than </w:t>
      </w:r>
      <w:proofErr w:type="spellStart"/>
      <w:r w:rsidR="009E7400" w:rsidRPr="00FB377E">
        <w:rPr>
          <w:lang w:val="en-CA"/>
        </w:rPr>
        <w:t>Lenalidomide</w:t>
      </w:r>
      <w:proofErr w:type="spellEnd"/>
      <w:r w:rsidR="009E7400" w:rsidRPr="00FB377E">
        <w:rPr>
          <w:lang w:val="en-CA"/>
        </w:rPr>
        <w:t xml:space="preserve"> and Dexamethasone-Treated Patients.</w:t>
      </w:r>
    </w:p>
    <w:tbl>
      <w:tblPr>
        <w:tblStyle w:val="TableGrid"/>
        <w:tblW w:w="0" w:type="auto"/>
        <w:tblLook w:val="04A0" w:firstRow="1" w:lastRow="0" w:firstColumn="1" w:lastColumn="0" w:noHBand="0" w:noVBand="1"/>
        <w:tblDescription w:val="Table 3: Laboratory Abnormalities Worsening from Baseline and with a 10% or Higher Incidence for EMPLICITI-Treated Patients and a 5% Higher Incidence than Lenalidomide and Dexamethasone-Treated Patients."/>
      </w:tblPr>
      <w:tblGrid>
        <w:gridCol w:w="2109"/>
        <w:gridCol w:w="1663"/>
        <w:gridCol w:w="1686"/>
        <w:gridCol w:w="1667"/>
        <w:gridCol w:w="1655"/>
      </w:tblGrid>
      <w:tr w:rsidR="009E7400" w14:paraId="42947E28" w14:textId="77777777" w:rsidTr="00836D25">
        <w:trPr>
          <w:tblHeader/>
        </w:trPr>
        <w:tc>
          <w:tcPr>
            <w:tcW w:w="2109" w:type="dxa"/>
          </w:tcPr>
          <w:p w14:paraId="651317B0" w14:textId="77777777" w:rsidR="009E7400" w:rsidRDefault="009E7400" w:rsidP="00AB41E7">
            <w:pPr>
              <w:spacing w:after="0" w:line="240" w:lineRule="auto"/>
              <w:rPr>
                <w:rFonts w:ascii="Times New Roman" w:hAnsi="Times New Roman"/>
                <w:szCs w:val="24"/>
                <w:lang w:val="en-GB"/>
              </w:rPr>
            </w:pPr>
          </w:p>
        </w:tc>
        <w:tc>
          <w:tcPr>
            <w:tcW w:w="3349" w:type="dxa"/>
            <w:gridSpan w:val="2"/>
          </w:tcPr>
          <w:p w14:paraId="2880AF61" w14:textId="77777777" w:rsidR="009E7400" w:rsidRDefault="009E7400" w:rsidP="00AB41E7">
            <w:pPr>
              <w:spacing w:after="0" w:line="240" w:lineRule="auto"/>
              <w:jc w:val="center"/>
              <w:rPr>
                <w:rFonts w:ascii="Times New Roman" w:hAnsi="Times New Roman"/>
                <w:szCs w:val="24"/>
                <w:lang w:val="en-GB"/>
              </w:rPr>
            </w:pPr>
            <w:r>
              <w:rPr>
                <w:rFonts w:ascii="Times New Roman" w:hAnsi="Times New Roman"/>
                <w:szCs w:val="24"/>
                <w:lang w:val="en-GB"/>
              </w:rPr>
              <w:t xml:space="preserve">EMPLICITI + </w:t>
            </w:r>
            <w:proofErr w:type="spellStart"/>
            <w:r>
              <w:rPr>
                <w:rFonts w:ascii="Times New Roman" w:hAnsi="Times New Roman"/>
                <w:szCs w:val="24"/>
                <w:lang w:val="en-GB"/>
              </w:rPr>
              <w:t>Lenalidomide</w:t>
            </w:r>
            <w:proofErr w:type="spellEnd"/>
            <w:r>
              <w:rPr>
                <w:rFonts w:ascii="Times New Roman" w:hAnsi="Times New Roman"/>
                <w:szCs w:val="24"/>
                <w:lang w:val="en-GB"/>
              </w:rPr>
              <w:t xml:space="preserve"> and Dexamethasone</w:t>
            </w:r>
          </w:p>
          <w:p w14:paraId="6BD4DA0D" w14:textId="77777777" w:rsidR="009E7400" w:rsidRDefault="009E7400" w:rsidP="00AB41E7">
            <w:pPr>
              <w:spacing w:after="0" w:line="240" w:lineRule="auto"/>
              <w:jc w:val="center"/>
              <w:rPr>
                <w:rFonts w:ascii="Times New Roman" w:hAnsi="Times New Roman"/>
                <w:szCs w:val="24"/>
                <w:lang w:val="en-GB"/>
              </w:rPr>
            </w:pPr>
            <w:r>
              <w:rPr>
                <w:rFonts w:ascii="Times New Roman" w:hAnsi="Times New Roman"/>
                <w:szCs w:val="24"/>
                <w:lang w:val="en-GB"/>
              </w:rPr>
              <w:t>N=318</w:t>
            </w:r>
          </w:p>
        </w:tc>
        <w:tc>
          <w:tcPr>
            <w:tcW w:w="3322" w:type="dxa"/>
            <w:gridSpan w:val="2"/>
          </w:tcPr>
          <w:p w14:paraId="5FBE1F4E" w14:textId="77777777" w:rsidR="009E7400" w:rsidRDefault="009E7400" w:rsidP="00AB41E7">
            <w:pPr>
              <w:spacing w:after="0" w:line="240" w:lineRule="auto"/>
              <w:jc w:val="center"/>
              <w:rPr>
                <w:rFonts w:ascii="Times New Roman" w:hAnsi="Times New Roman"/>
                <w:szCs w:val="24"/>
                <w:lang w:val="en-GB"/>
              </w:rPr>
            </w:pPr>
            <w:proofErr w:type="spellStart"/>
            <w:r>
              <w:rPr>
                <w:rFonts w:ascii="Times New Roman" w:hAnsi="Times New Roman"/>
                <w:szCs w:val="24"/>
                <w:lang w:val="en-GB"/>
              </w:rPr>
              <w:t>Lenalidomide</w:t>
            </w:r>
            <w:proofErr w:type="spellEnd"/>
            <w:r>
              <w:rPr>
                <w:rFonts w:ascii="Times New Roman" w:hAnsi="Times New Roman"/>
                <w:szCs w:val="24"/>
                <w:lang w:val="en-GB"/>
              </w:rPr>
              <w:t xml:space="preserve"> and Dexamethasone</w:t>
            </w:r>
          </w:p>
          <w:p w14:paraId="1BC3D379" w14:textId="77777777" w:rsidR="009E7400" w:rsidRDefault="009E7400" w:rsidP="00AB41E7">
            <w:pPr>
              <w:spacing w:after="0" w:line="240" w:lineRule="auto"/>
              <w:jc w:val="center"/>
              <w:rPr>
                <w:rFonts w:ascii="Times New Roman" w:hAnsi="Times New Roman"/>
                <w:szCs w:val="24"/>
                <w:lang w:val="en-GB"/>
              </w:rPr>
            </w:pPr>
            <w:r>
              <w:rPr>
                <w:rFonts w:ascii="Times New Roman" w:hAnsi="Times New Roman"/>
                <w:szCs w:val="24"/>
                <w:lang w:val="en-GB"/>
              </w:rPr>
              <w:t>N=317</w:t>
            </w:r>
          </w:p>
        </w:tc>
      </w:tr>
      <w:tr w:rsidR="009E7400" w14:paraId="79F5A2B6" w14:textId="77777777" w:rsidTr="00AB41E7">
        <w:tc>
          <w:tcPr>
            <w:tcW w:w="2109" w:type="dxa"/>
          </w:tcPr>
          <w:p w14:paraId="55B89D05"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Laboratory Parameter</w:t>
            </w:r>
          </w:p>
        </w:tc>
        <w:tc>
          <w:tcPr>
            <w:tcW w:w="1663" w:type="dxa"/>
          </w:tcPr>
          <w:p w14:paraId="266CB683"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All Grades</w:t>
            </w:r>
          </w:p>
        </w:tc>
        <w:tc>
          <w:tcPr>
            <w:tcW w:w="1686" w:type="dxa"/>
          </w:tcPr>
          <w:p w14:paraId="33A2966F"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Grade3/4</w:t>
            </w:r>
          </w:p>
        </w:tc>
        <w:tc>
          <w:tcPr>
            <w:tcW w:w="1667" w:type="dxa"/>
          </w:tcPr>
          <w:p w14:paraId="7F71E7CD"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All Grades</w:t>
            </w:r>
          </w:p>
        </w:tc>
        <w:tc>
          <w:tcPr>
            <w:tcW w:w="1655" w:type="dxa"/>
          </w:tcPr>
          <w:p w14:paraId="4FD6AE9D"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Grade 3/4</w:t>
            </w:r>
          </w:p>
        </w:tc>
      </w:tr>
      <w:tr w:rsidR="009E7400" w14:paraId="78963C64" w14:textId="77777777" w:rsidTr="00AB41E7">
        <w:tc>
          <w:tcPr>
            <w:tcW w:w="2109" w:type="dxa"/>
          </w:tcPr>
          <w:p w14:paraId="5F700C9D"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Haematology</w:t>
            </w:r>
          </w:p>
        </w:tc>
        <w:tc>
          <w:tcPr>
            <w:tcW w:w="1663" w:type="dxa"/>
          </w:tcPr>
          <w:p w14:paraId="68A0BD79" w14:textId="77777777" w:rsidR="009E7400" w:rsidRDefault="009E7400" w:rsidP="00AB41E7">
            <w:pPr>
              <w:spacing w:after="0" w:line="240" w:lineRule="auto"/>
              <w:rPr>
                <w:rFonts w:ascii="Times New Roman" w:hAnsi="Times New Roman"/>
                <w:szCs w:val="24"/>
                <w:lang w:val="en-GB"/>
              </w:rPr>
            </w:pPr>
          </w:p>
        </w:tc>
        <w:tc>
          <w:tcPr>
            <w:tcW w:w="1686" w:type="dxa"/>
          </w:tcPr>
          <w:p w14:paraId="7991AE02" w14:textId="77777777" w:rsidR="009E7400" w:rsidRDefault="009E7400" w:rsidP="00AB41E7">
            <w:pPr>
              <w:spacing w:after="0" w:line="240" w:lineRule="auto"/>
              <w:rPr>
                <w:rFonts w:ascii="Times New Roman" w:hAnsi="Times New Roman"/>
                <w:szCs w:val="24"/>
                <w:lang w:val="en-GB"/>
              </w:rPr>
            </w:pPr>
          </w:p>
        </w:tc>
        <w:tc>
          <w:tcPr>
            <w:tcW w:w="1667" w:type="dxa"/>
          </w:tcPr>
          <w:p w14:paraId="64CD87DF" w14:textId="77777777" w:rsidR="009E7400" w:rsidRDefault="009E7400" w:rsidP="00AB41E7">
            <w:pPr>
              <w:spacing w:after="0" w:line="240" w:lineRule="auto"/>
              <w:rPr>
                <w:rFonts w:ascii="Times New Roman" w:hAnsi="Times New Roman"/>
                <w:szCs w:val="24"/>
                <w:lang w:val="en-GB"/>
              </w:rPr>
            </w:pPr>
          </w:p>
        </w:tc>
        <w:tc>
          <w:tcPr>
            <w:tcW w:w="1655" w:type="dxa"/>
          </w:tcPr>
          <w:p w14:paraId="3BE26DAC" w14:textId="77777777" w:rsidR="009E7400" w:rsidRDefault="009E7400" w:rsidP="00AB41E7">
            <w:pPr>
              <w:spacing w:after="0" w:line="240" w:lineRule="auto"/>
              <w:rPr>
                <w:rFonts w:ascii="Times New Roman" w:hAnsi="Times New Roman"/>
                <w:szCs w:val="24"/>
                <w:lang w:val="en-GB"/>
              </w:rPr>
            </w:pPr>
          </w:p>
        </w:tc>
      </w:tr>
      <w:tr w:rsidR="009E7400" w14:paraId="06B182D7" w14:textId="77777777" w:rsidTr="00AB41E7">
        <w:tc>
          <w:tcPr>
            <w:tcW w:w="2109" w:type="dxa"/>
          </w:tcPr>
          <w:p w14:paraId="3697D186"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Lymphopenia</w:t>
            </w:r>
          </w:p>
        </w:tc>
        <w:tc>
          <w:tcPr>
            <w:tcW w:w="1663" w:type="dxa"/>
          </w:tcPr>
          <w:p w14:paraId="794DCBA1"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99.4</w:t>
            </w:r>
          </w:p>
        </w:tc>
        <w:tc>
          <w:tcPr>
            <w:tcW w:w="1686" w:type="dxa"/>
          </w:tcPr>
          <w:p w14:paraId="3889EA68"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76.7</w:t>
            </w:r>
          </w:p>
        </w:tc>
        <w:tc>
          <w:tcPr>
            <w:tcW w:w="1667" w:type="dxa"/>
          </w:tcPr>
          <w:p w14:paraId="1DF268A2"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98.4</w:t>
            </w:r>
          </w:p>
        </w:tc>
        <w:tc>
          <w:tcPr>
            <w:tcW w:w="1655" w:type="dxa"/>
          </w:tcPr>
          <w:p w14:paraId="77A4C1F3"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48.7</w:t>
            </w:r>
          </w:p>
        </w:tc>
      </w:tr>
      <w:tr w:rsidR="009E7400" w14:paraId="5FCA567A" w14:textId="77777777" w:rsidTr="00AB41E7">
        <w:tc>
          <w:tcPr>
            <w:tcW w:w="2109" w:type="dxa"/>
          </w:tcPr>
          <w:p w14:paraId="62F51372"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Leukopenia</w:t>
            </w:r>
          </w:p>
        </w:tc>
        <w:tc>
          <w:tcPr>
            <w:tcW w:w="1663" w:type="dxa"/>
          </w:tcPr>
          <w:p w14:paraId="6EF7F618"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90.6</w:t>
            </w:r>
          </w:p>
        </w:tc>
        <w:tc>
          <w:tcPr>
            <w:tcW w:w="1686" w:type="dxa"/>
          </w:tcPr>
          <w:p w14:paraId="39A8F653"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32.4</w:t>
            </w:r>
          </w:p>
        </w:tc>
        <w:tc>
          <w:tcPr>
            <w:tcW w:w="1667" w:type="dxa"/>
          </w:tcPr>
          <w:p w14:paraId="21FE8E85"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88.3</w:t>
            </w:r>
          </w:p>
        </w:tc>
        <w:tc>
          <w:tcPr>
            <w:tcW w:w="1655" w:type="dxa"/>
          </w:tcPr>
          <w:p w14:paraId="3DAE38EB"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25.6</w:t>
            </w:r>
          </w:p>
        </w:tc>
      </w:tr>
      <w:tr w:rsidR="009E7400" w14:paraId="7E29D81B" w14:textId="77777777" w:rsidTr="00AB41E7">
        <w:tc>
          <w:tcPr>
            <w:tcW w:w="2109" w:type="dxa"/>
          </w:tcPr>
          <w:p w14:paraId="70646E9E"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Thrombocytopenia</w:t>
            </w:r>
          </w:p>
        </w:tc>
        <w:tc>
          <w:tcPr>
            <w:tcW w:w="1663" w:type="dxa"/>
          </w:tcPr>
          <w:p w14:paraId="57F49D9B"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83.6</w:t>
            </w:r>
          </w:p>
        </w:tc>
        <w:tc>
          <w:tcPr>
            <w:tcW w:w="1686" w:type="dxa"/>
          </w:tcPr>
          <w:p w14:paraId="5E4F2709"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19.2</w:t>
            </w:r>
          </w:p>
        </w:tc>
        <w:tc>
          <w:tcPr>
            <w:tcW w:w="1667" w:type="dxa"/>
          </w:tcPr>
          <w:p w14:paraId="1D997B68"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77.8</w:t>
            </w:r>
          </w:p>
        </w:tc>
        <w:tc>
          <w:tcPr>
            <w:tcW w:w="1655" w:type="dxa"/>
          </w:tcPr>
          <w:p w14:paraId="24201748"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20.3</w:t>
            </w:r>
          </w:p>
        </w:tc>
      </w:tr>
      <w:tr w:rsidR="009E7400" w14:paraId="4B26665A" w14:textId="77777777" w:rsidTr="00AB41E7">
        <w:tc>
          <w:tcPr>
            <w:tcW w:w="2109" w:type="dxa"/>
          </w:tcPr>
          <w:p w14:paraId="2654716E"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Liver and Renal Function Tests</w:t>
            </w:r>
          </w:p>
        </w:tc>
        <w:tc>
          <w:tcPr>
            <w:tcW w:w="1663" w:type="dxa"/>
          </w:tcPr>
          <w:p w14:paraId="109058EA" w14:textId="77777777" w:rsidR="009E7400" w:rsidRDefault="009E7400" w:rsidP="00AB41E7">
            <w:pPr>
              <w:spacing w:after="0" w:line="240" w:lineRule="auto"/>
              <w:rPr>
                <w:rFonts w:ascii="Times New Roman" w:hAnsi="Times New Roman"/>
                <w:szCs w:val="24"/>
                <w:lang w:val="en-GB"/>
              </w:rPr>
            </w:pPr>
          </w:p>
        </w:tc>
        <w:tc>
          <w:tcPr>
            <w:tcW w:w="1686" w:type="dxa"/>
          </w:tcPr>
          <w:p w14:paraId="0CAFB538" w14:textId="77777777" w:rsidR="009E7400" w:rsidRDefault="009E7400" w:rsidP="00AB41E7">
            <w:pPr>
              <w:spacing w:after="0" w:line="240" w:lineRule="auto"/>
              <w:rPr>
                <w:rFonts w:ascii="Times New Roman" w:hAnsi="Times New Roman"/>
                <w:szCs w:val="24"/>
                <w:lang w:val="en-GB"/>
              </w:rPr>
            </w:pPr>
          </w:p>
        </w:tc>
        <w:tc>
          <w:tcPr>
            <w:tcW w:w="1667" w:type="dxa"/>
          </w:tcPr>
          <w:p w14:paraId="4BC7DF43" w14:textId="77777777" w:rsidR="009E7400" w:rsidRDefault="009E7400" w:rsidP="00AB41E7">
            <w:pPr>
              <w:spacing w:after="0" w:line="240" w:lineRule="auto"/>
              <w:rPr>
                <w:rFonts w:ascii="Times New Roman" w:hAnsi="Times New Roman"/>
                <w:szCs w:val="24"/>
                <w:lang w:val="en-GB"/>
              </w:rPr>
            </w:pPr>
          </w:p>
        </w:tc>
        <w:tc>
          <w:tcPr>
            <w:tcW w:w="1655" w:type="dxa"/>
          </w:tcPr>
          <w:p w14:paraId="4DCCF6D7" w14:textId="77777777" w:rsidR="009E7400" w:rsidRDefault="009E7400" w:rsidP="00AB41E7">
            <w:pPr>
              <w:spacing w:after="0" w:line="240" w:lineRule="auto"/>
              <w:rPr>
                <w:rFonts w:ascii="Times New Roman" w:hAnsi="Times New Roman"/>
                <w:szCs w:val="24"/>
                <w:lang w:val="en-GB"/>
              </w:rPr>
            </w:pPr>
          </w:p>
        </w:tc>
      </w:tr>
      <w:tr w:rsidR="009E7400" w14:paraId="33E2831C" w14:textId="77777777" w:rsidTr="00AB41E7">
        <w:tc>
          <w:tcPr>
            <w:tcW w:w="2109" w:type="dxa"/>
          </w:tcPr>
          <w:p w14:paraId="1B317924" w14:textId="77777777" w:rsidR="009E7400" w:rsidRDefault="009E7400" w:rsidP="00AB41E7">
            <w:pPr>
              <w:spacing w:after="0" w:line="240" w:lineRule="auto"/>
              <w:rPr>
                <w:rFonts w:ascii="Times New Roman" w:hAnsi="Times New Roman"/>
                <w:szCs w:val="24"/>
                <w:lang w:val="en-GB"/>
              </w:rPr>
            </w:pPr>
            <w:proofErr w:type="spellStart"/>
            <w:r>
              <w:rPr>
                <w:rFonts w:ascii="Times New Roman" w:hAnsi="Times New Roman"/>
                <w:szCs w:val="24"/>
                <w:lang w:val="en-GB"/>
              </w:rPr>
              <w:t>Hypoalbuminaemia</w:t>
            </w:r>
            <w:proofErr w:type="spellEnd"/>
          </w:p>
        </w:tc>
        <w:tc>
          <w:tcPr>
            <w:tcW w:w="1663" w:type="dxa"/>
          </w:tcPr>
          <w:p w14:paraId="540129E0"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73.3</w:t>
            </w:r>
          </w:p>
        </w:tc>
        <w:tc>
          <w:tcPr>
            <w:tcW w:w="1686" w:type="dxa"/>
          </w:tcPr>
          <w:p w14:paraId="4BB0615F"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3.9</w:t>
            </w:r>
          </w:p>
        </w:tc>
        <w:tc>
          <w:tcPr>
            <w:tcW w:w="1667" w:type="dxa"/>
          </w:tcPr>
          <w:p w14:paraId="48946209"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65.6</w:t>
            </w:r>
          </w:p>
        </w:tc>
        <w:tc>
          <w:tcPr>
            <w:tcW w:w="1655" w:type="dxa"/>
          </w:tcPr>
          <w:p w14:paraId="7F81DC04"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2.3</w:t>
            </w:r>
          </w:p>
        </w:tc>
      </w:tr>
      <w:tr w:rsidR="009E7400" w14:paraId="0977534F" w14:textId="77777777" w:rsidTr="00AB41E7">
        <w:tc>
          <w:tcPr>
            <w:tcW w:w="2109" w:type="dxa"/>
          </w:tcPr>
          <w:p w14:paraId="13CC942E"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 xml:space="preserve">Elevated Alkaline </w:t>
            </w:r>
            <w:r>
              <w:rPr>
                <w:rFonts w:ascii="Times New Roman" w:hAnsi="Times New Roman"/>
                <w:szCs w:val="24"/>
                <w:lang w:val="en-GB"/>
              </w:rPr>
              <w:lastRenderedPageBreak/>
              <w:t>Phosphatase</w:t>
            </w:r>
          </w:p>
        </w:tc>
        <w:tc>
          <w:tcPr>
            <w:tcW w:w="1663" w:type="dxa"/>
          </w:tcPr>
          <w:p w14:paraId="2A5D555F"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lastRenderedPageBreak/>
              <w:t>38.7</w:t>
            </w:r>
          </w:p>
        </w:tc>
        <w:tc>
          <w:tcPr>
            <w:tcW w:w="1686" w:type="dxa"/>
          </w:tcPr>
          <w:p w14:paraId="59A0DAE0"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1.3</w:t>
            </w:r>
          </w:p>
        </w:tc>
        <w:tc>
          <w:tcPr>
            <w:tcW w:w="1667" w:type="dxa"/>
          </w:tcPr>
          <w:p w14:paraId="0AF9BA84"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29.8</w:t>
            </w:r>
          </w:p>
        </w:tc>
        <w:tc>
          <w:tcPr>
            <w:tcW w:w="1655" w:type="dxa"/>
          </w:tcPr>
          <w:p w14:paraId="29750616"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0</w:t>
            </w:r>
          </w:p>
        </w:tc>
      </w:tr>
      <w:tr w:rsidR="009E7400" w14:paraId="78AF06F6" w14:textId="77777777" w:rsidTr="00AB41E7">
        <w:tc>
          <w:tcPr>
            <w:tcW w:w="2109" w:type="dxa"/>
          </w:tcPr>
          <w:p w14:paraId="41C3C4F5"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lastRenderedPageBreak/>
              <w:t>Chemistry</w:t>
            </w:r>
          </w:p>
        </w:tc>
        <w:tc>
          <w:tcPr>
            <w:tcW w:w="1663" w:type="dxa"/>
          </w:tcPr>
          <w:p w14:paraId="0E67BAE1" w14:textId="77777777" w:rsidR="009E7400" w:rsidRDefault="009E7400" w:rsidP="00AB41E7">
            <w:pPr>
              <w:spacing w:after="0" w:line="240" w:lineRule="auto"/>
              <w:rPr>
                <w:rFonts w:ascii="Times New Roman" w:hAnsi="Times New Roman"/>
                <w:szCs w:val="24"/>
                <w:lang w:val="en-GB"/>
              </w:rPr>
            </w:pPr>
          </w:p>
        </w:tc>
        <w:tc>
          <w:tcPr>
            <w:tcW w:w="1686" w:type="dxa"/>
          </w:tcPr>
          <w:p w14:paraId="3C791557" w14:textId="77777777" w:rsidR="009E7400" w:rsidRDefault="009E7400" w:rsidP="00AB41E7">
            <w:pPr>
              <w:spacing w:after="0" w:line="240" w:lineRule="auto"/>
              <w:rPr>
                <w:rFonts w:ascii="Times New Roman" w:hAnsi="Times New Roman"/>
                <w:szCs w:val="24"/>
                <w:lang w:val="en-GB"/>
              </w:rPr>
            </w:pPr>
          </w:p>
        </w:tc>
        <w:tc>
          <w:tcPr>
            <w:tcW w:w="1667" w:type="dxa"/>
          </w:tcPr>
          <w:p w14:paraId="0C348F03" w14:textId="77777777" w:rsidR="009E7400" w:rsidRDefault="009E7400" w:rsidP="00AB41E7">
            <w:pPr>
              <w:spacing w:after="0" w:line="240" w:lineRule="auto"/>
              <w:rPr>
                <w:rFonts w:ascii="Times New Roman" w:hAnsi="Times New Roman"/>
                <w:szCs w:val="24"/>
                <w:lang w:val="en-GB"/>
              </w:rPr>
            </w:pPr>
          </w:p>
        </w:tc>
        <w:tc>
          <w:tcPr>
            <w:tcW w:w="1655" w:type="dxa"/>
          </w:tcPr>
          <w:p w14:paraId="575F28DA" w14:textId="77777777" w:rsidR="009E7400" w:rsidRDefault="009E7400" w:rsidP="00AB41E7">
            <w:pPr>
              <w:spacing w:after="0" w:line="240" w:lineRule="auto"/>
              <w:rPr>
                <w:rFonts w:ascii="Times New Roman" w:hAnsi="Times New Roman"/>
                <w:szCs w:val="24"/>
                <w:lang w:val="en-GB"/>
              </w:rPr>
            </w:pPr>
          </w:p>
        </w:tc>
      </w:tr>
      <w:tr w:rsidR="009E7400" w14:paraId="398BF930" w14:textId="77777777" w:rsidTr="00AB41E7">
        <w:tc>
          <w:tcPr>
            <w:tcW w:w="2109" w:type="dxa"/>
          </w:tcPr>
          <w:p w14:paraId="6DAB0E6A"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Hyperglycaemia</w:t>
            </w:r>
          </w:p>
        </w:tc>
        <w:tc>
          <w:tcPr>
            <w:tcW w:w="1663" w:type="dxa"/>
          </w:tcPr>
          <w:p w14:paraId="5654ECDF"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89.3</w:t>
            </w:r>
          </w:p>
        </w:tc>
        <w:tc>
          <w:tcPr>
            <w:tcW w:w="1686" w:type="dxa"/>
          </w:tcPr>
          <w:p w14:paraId="1310044D"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17.0</w:t>
            </w:r>
          </w:p>
        </w:tc>
        <w:tc>
          <w:tcPr>
            <w:tcW w:w="1667" w:type="dxa"/>
          </w:tcPr>
          <w:p w14:paraId="6881B6EA"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85.4</w:t>
            </w:r>
          </w:p>
        </w:tc>
        <w:tc>
          <w:tcPr>
            <w:tcW w:w="1655" w:type="dxa"/>
          </w:tcPr>
          <w:p w14:paraId="53533102"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10.2</w:t>
            </w:r>
          </w:p>
        </w:tc>
      </w:tr>
      <w:tr w:rsidR="009E7400" w14:paraId="25CCECFE" w14:textId="77777777" w:rsidTr="00AB41E7">
        <w:tc>
          <w:tcPr>
            <w:tcW w:w="2109" w:type="dxa"/>
          </w:tcPr>
          <w:p w14:paraId="49E369A6"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Hypocalcaemia</w:t>
            </w:r>
          </w:p>
        </w:tc>
        <w:tc>
          <w:tcPr>
            <w:tcW w:w="1663" w:type="dxa"/>
          </w:tcPr>
          <w:p w14:paraId="3458DC86"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78.0</w:t>
            </w:r>
          </w:p>
        </w:tc>
        <w:tc>
          <w:tcPr>
            <w:tcW w:w="1686" w:type="dxa"/>
          </w:tcPr>
          <w:p w14:paraId="5010C4A4"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11.3</w:t>
            </w:r>
          </w:p>
        </w:tc>
        <w:tc>
          <w:tcPr>
            <w:tcW w:w="1667" w:type="dxa"/>
          </w:tcPr>
          <w:p w14:paraId="2E5497C1"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76.7</w:t>
            </w:r>
          </w:p>
        </w:tc>
        <w:tc>
          <w:tcPr>
            <w:tcW w:w="1655" w:type="dxa"/>
          </w:tcPr>
          <w:p w14:paraId="7E4E8839"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4.7</w:t>
            </w:r>
          </w:p>
        </w:tc>
      </w:tr>
      <w:tr w:rsidR="009E7400" w14:paraId="45D9C4CC" w14:textId="77777777" w:rsidTr="00AB41E7">
        <w:tc>
          <w:tcPr>
            <w:tcW w:w="2109" w:type="dxa"/>
          </w:tcPr>
          <w:p w14:paraId="41AC9089"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Low Bicarbonate</w:t>
            </w:r>
          </w:p>
        </w:tc>
        <w:tc>
          <w:tcPr>
            <w:tcW w:w="1663" w:type="dxa"/>
          </w:tcPr>
          <w:p w14:paraId="14319D75"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62.9</w:t>
            </w:r>
          </w:p>
        </w:tc>
        <w:tc>
          <w:tcPr>
            <w:tcW w:w="1686" w:type="dxa"/>
          </w:tcPr>
          <w:p w14:paraId="4E724222"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0.4</w:t>
            </w:r>
          </w:p>
        </w:tc>
        <w:tc>
          <w:tcPr>
            <w:tcW w:w="1667" w:type="dxa"/>
          </w:tcPr>
          <w:p w14:paraId="105FE7C6"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45.1</w:t>
            </w:r>
          </w:p>
        </w:tc>
        <w:tc>
          <w:tcPr>
            <w:tcW w:w="1655" w:type="dxa"/>
          </w:tcPr>
          <w:p w14:paraId="4A4B4D1A"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0</w:t>
            </w:r>
          </w:p>
        </w:tc>
      </w:tr>
      <w:tr w:rsidR="009E7400" w14:paraId="1847B12C" w14:textId="77777777" w:rsidTr="00AB41E7">
        <w:tc>
          <w:tcPr>
            <w:tcW w:w="2109" w:type="dxa"/>
          </w:tcPr>
          <w:p w14:paraId="4E5FA498"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Hyperkalaemia</w:t>
            </w:r>
          </w:p>
        </w:tc>
        <w:tc>
          <w:tcPr>
            <w:tcW w:w="1663" w:type="dxa"/>
          </w:tcPr>
          <w:p w14:paraId="463A36EE"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32.1</w:t>
            </w:r>
          </w:p>
        </w:tc>
        <w:tc>
          <w:tcPr>
            <w:tcW w:w="1686" w:type="dxa"/>
          </w:tcPr>
          <w:p w14:paraId="425A2EE3"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6.6</w:t>
            </w:r>
          </w:p>
        </w:tc>
        <w:tc>
          <w:tcPr>
            <w:tcW w:w="1667" w:type="dxa"/>
          </w:tcPr>
          <w:p w14:paraId="18C59FEC"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22.2</w:t>
            </w:r>
          </w:p>
        </w:tc>
        <w:tc>
          <w:tcPr>
            <w:tcW w:w="1655" w:type="dxa"/>
          </w:tcPr>
          <w:p w14:paraId="7094D1F6" w14:textId="77777777" w:rsidR="009E7400" w:rsidRDefault="009E7400" w:rsidP="00AB41E7">
            <w:pPr>
              <w:spacing w:after="0" w:line="240" w:lineRule="auto"/>
              <w:rPr>
                <w:rFonts w:ascii="Times New Roman" w:hAnsi="Times New Roman"/>
                <w:szCs w:val="24"/>
                <w:lang w:val="en-GB"/>
              </w:rPr>
            </w:pPr>
            <w:r>
              <w:rPr>
                <w:rFonts w:ascii="Times New Roman" w:hAnsi="Times New Roman"/>
                <w:szCs w:val="24"/>
                <w:lang w:val="en-GB"/>
              </w:rPr>
              <w:t>1.6</w:t>
            </w:r>
          </w:p>
        </w:tc>
      </w:tr>
    </w:tbl>
    <w:p w14:paraId="07A3C024" w14:textId="25CC7276" w:rsidR="00BD0E4B" w:rsidRPr="00A2311D" w:rsidRDefault="00BD0E4B" w:rsidP="00DD57E0">
      <w:pPr>
        <w:pStyle w:val="A-Heading1"/>
        <w:rPr>
          <w:lang w:eastAsia="en-AU"/>
        </w:rPr>
      </w:pPr>
      <w:r w:rsidRPr="00A2311D">
        <w:rPr>
          <w:lang w:eastAsia="en-AU"/>
        </w:rPr>
        <w:t>DESCRIPTION OF SELECT ADVERSE REACTIONS</w:t>
      </w:r>
    </w:p>
    <w:p w14:paraId="1371A3D5" w14:textId="77777777" w:rsidR="00BD0E4B" w:rsidRPr="00474979" w:rsidRDefault="00BD0E4B" w:rsidP="00DD57E0">
      <w:pPr>
        <w:pStyle w:val="A-Heading2"/>
        <w:rPr>
          <w:i w:val="0"/>
          <w:lang w:eastAsia="en-AU"/>
        </w:rPr>
      </w:pPr>
      <w:r w:rsidRPr="00474979">
        <w:rPr>
          <w:i w:val="0"/>
          <w:lang w:eastAsia="en-AU"/>
        </w:rPr>
        <w:t>Infusion reactions</w:t>
      </w:r>
    </w:p>
    <w:p w14:paraId="2F4FE36C" w14:textId="5928100C" w:rsidR="00BD0E4B" w:rsidRPr="00A2311D" w:rsidRDefault="00BD0E4B" w:rsidP="00836D25">
      <w:pPr>
        <w:pStyle w:val="EMEABodyText"/>
        <w:rPr>
          <w:lang w:eastAsia="en-AU"/>
        </w:rPr>
      </w:pPr>
      <w:r w:rsidRPr="00A2311D">
        <w:rPr>
          <w:lang w:eastAsia="en-AU"/>
        </w:rPr>
        <w:t xml:space="preserve">In a clinical trial of patients with multiple myeloma (Study CA204-004), infusion reactions were reported in approximately 10% of </w:t>
      </w:r>
      <w:proofErr w:type="spellStart"/>
      <w:r w:rsidRPr="00A2311D">
        <w:rPr>
          <w:lang w:eastAsia="en-AU"/>
        </w:rPr>
        <w:t>premedicated</w:t>
      </w:r>
      <w:proofErr w:type="spellEnd"/>
      <w:r w:rsidRPr="00A2311D">
        <w:rPr>
          <w:lang w:eastAsia="en-AU"/>
        </w:rPr>
        <w:t xml:space="preserve"> patients treated with </w:t>
      </w:r>
      <w:proofErr w:type="spellStart"/>
      <w:r w:rsidRPr="00A2311D">
        <w:rPr>
          <w:lang w:eastAsia="en-AU"/>
        </w:rPr>
        <w:t>Empliciti</w:t>
      </w:r>
      <w:proofErr w:type="spellEnd"/>
      <w:r w:rsidRPr="00A2311D">
        <w:rPr>
          <w:lang w:eastAsia="en-AU"/>
        </w:rPr>
        <w:t xml:space="preserve"> combined with </w:t>
      </w:r>
      <w:proofErr w:type="spellStart"/>
      <w:r w:rsidRPr="00A2311D">
        <w:rPr>
          <w:lang w:eastAsia="en-AU"/>
        </w:rPr>
        <w:t>lenalidomide</w:t>
      </w:r>
      <w:proofErr w:type="spellEnd"/>
      <w:r w:rsidRPr="00A2311D">
        <w:rPr>
          <w:lang w:eastAsia="en-AU"/>
        </w:rPr>
        <w:t xml:space="preserve"> and dexamethasone (N = 318) (see PRECAUTIONS). The </w:t>
      </w:r>
      <w:r w:rsidR="00805794">
        <w:rPr>
          <w:lang w:eastAsia="en-AU"/>
        </w:rPr>
        <w:t>frequency</w:t>
      </w:r>
      <w:r w:rsidRPr="00A2311D">
        <w:rPr>
          <w:lang w:eastAsia="en-AU"/>
        </w:rPr>
        <w:t xml:space="preserve"> of infusion reactions was much higher in patients who were not </w:t>
      </w:r>
      <w:proofErr w:type="spellStart"/>
      <w:r w:rsidRPr="00A2311D">
        <w:rPr>
          <w:lang w:eastAsia="en-AU"/>
        </w:rPr>
        <w:t>premedicated</w:t>
      </w:r>
      <w:proofErr w:type="spellEnd"/>
      <w:r w:rsidRPr="00A2311D">
        <w:rPr>
          <w:lang w:eastAsia="en-AU"/>
        </w:rPr>
        <w:t>. All reports of infusion reaction were ≤ Grade 3. Grade 3 infusion reactions occurred in 1% of patients. The most common symptoms of an infusion reaction included fever, chills, and hypertension. Five percent (5%) of patients required interruption of the administration of EMPLICITI for a median of 25 minutes due to infusion reaction, and 1% of patients discontinued due to infusion reactions. Of the patients who experienced an infusion reaction, 70% (23/33) had the reaction during the first dose.</w:t>
      </w:r>
    </w:p>
    <w:p w14:paraId="0D0533AC" w14:textId="77777777" w:rsidR="003F5261" w:rsidRPr="00474979" w:rsidRDefault="003F5261" w:rsidP="00DD57E0">
      <w:pPr>
        <w:pStyle w:val="A-Heading2"/>
        <w:rPr>
          <w:i w:val="0"/>
          <w:lang w:eastAsia="en-AU"/>
        </w:rPr>
      </w:pPr>
      <w:r w:rsidRPr="00474979">
        <w:rPr>
          <w:i w:val="0"/>
          <w:lang w:eastAsia="en-AU"/>
        </w:rPr>
        <w:t>Infections</w:t>
      </w:r>
    </w:p>
    <w:p w14:paraId="47795005" w14:textId="1A5A0223" w:rsidR="00BD0E4B" w:rsidRPr="00A2311D" w:rsidRDefault="003F5261" w:rsidP="00836D25">
      <w:pPr>
        <w:pStyle w:val="EMEABodyText"/>
        <w:rPr>
          <w:lang w:eastAsia="en-AU"/>
        </w:rPr>
      </w:pPr>
      <w:r w:rsidRPr="00A2311D">
        <w:rPr>
          <w:lang w:eastAsia="en-AU"/>
        </w:rPr>
        <w:t xml:space="preserve">The incidence of infections, including pneumonia, was higher with </w:t>
      </w:r>
      <w:proofErr w:type="spellStart"/>
      <w:r w:rsidRPr="00A2311D">
        <w:rPr>
          <w:lang w:eastAsia="en-AU"/>
        </w:rPr>
        <w:t>Empliciti</w:t>
      </w:r>
      <w:proofErr w:type="spellEnd"/>
      <w:r w:rsidRPr="00A2311D">
        <w:rPr>
          <w:lang w:eastAsia="en-AU"/>
        </w:rPr>
        <w:t xml:space="preserve"> treatment than with control (see PRECAUTIONS). In a clinical trial of patients with multiple myeloma (Study CA204-004), infections were reported in 81.4% of patients in the EMPLICITI combined with </w:t>
      </w:r>
      <w:proofErr w:type="spellStart"/>
      <w:r w:rsidRPr="00A2311D">
        <w:rPr>
          <w:lang w:eastAsia="en-AU"/>
        </w:rPr>
        <w:t>lenalidomide</w:t>
      </w:r>
      <w:proofErr w:type="spellEnd"/>
      <w:r w:rsidRPr="00A2311D">
        <w:rPr>
          <w:lang w:eastAsia="en-AU"/>
        </w:rPr>
        <w:t xml:space="preserve"> and dexamethasone arm (N=318) and 74.4% in </w:t>
      </w:r>
      <w:proofErr w:type="spellStart"/>
      <w:r w:rsidRPr="00A2311D">
        <w:rPr>
          <w:lang w:eastAsia="en-AU"/>
        </w:rPr>
        <w:t>lenalidomide</w:t>
      </w:r>
      <w:proofErr w:type="spellEnd"/>
      <w:r w:rsidRPr="00A2311D">
        <w:rPr>
          <w:lang w:eastAsia="en-AU"/>
        </w:rPr>
        <w:t xml:space="preserve"> and dexamethasone arm (N = 317). Grade 3-4 infections were noted in 28% and 24.3% of EMPLICITI combined with </w:t>
      </w:r>
      <w:proofErr w:type="spellStart"/>
      <w:r w:rsidRPr="00A2311D">
        <w:rPr>
          <w:lang w:eastAsia="en-AU"/>
        </w:rPr>
        <w:t>lenalidomide</w:t>
      </w:r>
      <w:proofErr w:type="spellEnd"/>
      <w:r w:rsidRPr="00A2311D">
        <w:rPr>
          <w:lang w:eastAsia="en-AU"/>
        </w:rPr>
        <w:t xml:space="preserve"> and dexamethasone and </w:t>
      </w:r>
      <w:proofErr w:type="spellStart"/>
      <w:r w:rsidRPr="00A2311D">
        <w:rPr>
          <w:lang w:eastAsia="en-AU"/>
        </w:rPr>
        <w:t>lenalidomide</w:t>
      </w:r>
      <w:proofErr w:type="spellEnd"/>
      <w:r w:rsidRPr="00A2311D">
        <w:rPr>
          <w:lang w:eastAsia="en-AU"/>
        </w:rPr>
        <w:t xml:space="preserve"> and dexamethasone treated patients, respectively. Fatal infections were infrequent and were reported in 2.5% of EMPLICITI combined with </w:t>
      </w:r>
      <w:proofErr w:type="spellStart"/>
      <w:r w:rsidRPr="00A2311D">
        <w:rPr>
          <w:lang w:eastAsia="en-AU"/>
        </w:rPr>
        <w:t>lenalidomide</w:t>
      </w:r>
      <w:proofErr w:type="spellEnd"/>
      <w:r w:rsidRPr="00A2311D">
        <w:rPr>
          <w:lang w:eastAsia="en-AU"/>
        </w:rPr>
        <w:t xml:space="preserve"> and dexamethasone and 2.2% of </w:t>
      </w:r>
      <w:proofErr w:type="spellStart"/>
      <w:r w:rsidRPr="00A2311D">
        <w:rPr>
          <w:lang w:eastAsia="en-AU"/>
        </w:rPr>
        <w:t>lenalidomide</w:t>
      </w:r>
      <w:proofErr w:type="spellEnd"/>
      <w:r w:rsidRPr="00A2311D">
        <w:rPr>
          <w:lang w:eastAsia="en-AU"/>
        </w:rPr>
        <w:t xml:space="preserve"> and dexamethasone treated patients. The incidence of pneumonia was higher in the EMPLICITI combined with </w:t>
      </w:r>
      <w:proofErr w:type="spellStart"/>
      <w:r w:rsidRPr="00A2311D">
        <w:rPr>
          <w:lang w:eastAsia="en-AU"/>
        </w:rPr>
        <w:t>lenalidomide</w:t>
      </w:r>
      <w:proofErr w:type="spellEnd"/>
      <w:r w:rsidRPr="00A2311D">
        <w:rPr>
          <w:lang w:eastAsia="en-AU"/>
        </w:rPr>
        <w:t xml:space="preserve"> and dexamethasone arm compared to </w:t>
      </w:r>
      <w:proofErr w:type="spellStart"/>
      <w:r w:rsidRPr="00A2311D">
        <w:rPr>
          <w:lang w:eastAsia="en-AU"/>
        </w:rPr>
        <w:t>lenalidomide</w:t>
      </w:r>
      <w:proofErr w:type="spellEnd"/>
      <w:r w:rsidRPr="00A2311D">
        <w:rPr>
          <w:lang w:eastAsia="en-AU"/>
        </w:rPr>
        <w:t xml:space="preserve"> and dexamethasone arm reported at 15.1% vs. 11.7% with a fatal outcome at 0.6% vs. 0%, respectively.</w:t>
      </w:r>
    </w:p>
    <w:p w14:paraId="6F7B45D3" w14:textId="63736AD2" w:rsidR="003F5261" w:rsidRPr="00474979" w:rsidRDefault="003F5261" w:rsidP="00DD57E0">
      <w:pPr>
        <w:pStyle w:val="A-Heading2"/>
        <w:rPr>
          <w:i w:val="0"/>
          <w:lang w:eastAsia="en-AU"/>
        </w:rPr>
      </w:pPr>
      <w:r w:rsidRPr="00474979">
        <w:rPr>
          <w:i w:val="0"/>
          <w:lang w:eastAsia="en-AU"/>
        </w:rPr>
        <w:t>Second Primary Malignancies (SPMs)</w:t>
      </w:r>
    </w:p>
    <w:p w14:paraId="69569C20" w14:textId="77777777" w:rsidR="00B16BDD" w:rsidRDefault="003F5261" w:rsidP="00836D25">
      <w:pPr>
        <w:pStyle w:val="EMEABodyText"/>
        <w:rPr>
          <w:lang w:eastAsia="en-AU"/>
        </w:rPr>
      </w:pPr>
      <w:r w:rsidRPr="00A2311D">
        <w:rPr>
          <w:lang w:eastAsia="en-AU"/>
        </w:rPr>
        <w:t xml:space="preserve">The incidence of SPMs was higher with </w:t>
      </w:r>
      <w:proofErr w:type="spellStart"/>
      <w:r w:rsidRPr="00A2311D">
        <w:rPr>
          <w:lang w:eastAsia="en-AU"/>
        </w:rPr>
        <w:t>Empliciti</w:t>
      </w:r>
      <w:proofErr w:type="spellEnd"/>
      <w:r w:rsidRPr="00A2311D">
        <w:rPr>
          <w:lang w:eastAsia="en-AU"/>
        </w:rPr>
        <w:t xml:space="preserve"> treatment than with control (see PRECAUTIONS). In a clinical trial of patients with multiple myeloma (Study CA204-004), invasive SPMs have been observed in 6.9% of patients treated with EMPLICITI combined with </w:t>
      </w:r>
      <w:proofErr w:type="spellStart"/>
      <w:r w:rsidRPr="00A2311D">
        <w:rPr>
          <w:lang w:eastAsia="en-AU"/>
        </w:rPr>
        <w:t>lenalidomide</w:t>
      </w:r>
      <w:proofErr w:type="spellEnd"/>
      <w:r w:rsidRPr="00A2311D">
        <w:rPr>
          <w:lang w:eastAsia="en-AU"/>
        </w:rPr>
        <w:t xml:space="preserve"> and dexamethasone (N = 318) and 4.1% of patients treated with </w:t>
      </w:r>
      <w:proofErr w:type="spellStart"/>
      <w:r w:rsidRPr="00A2311D">
        <w:rPr>
          <w:lang w:eastAsia="en-AU"/>
        </w:rPr>
        <w:t>lenalidomide</w:t>
      </w:r>
      <w:proofErr w:type="spellEnd"/>
      <w:r w:rsidRPr="00A2311D">
        <w:rPr>
          <w:lang w:eastAsia="en-AU"/>
        </w:rPr>
        <w:t xml:space="preserve"> and dexamethasone (N = 317).</w:t>
      </w:r>
    </w:p>
    <w:p w14:paraId="32A14CC7" w14:textId="317ED24D" w:rsidR="003F5261" w:rsidRPr="00A2311D" w:rsidRDefault="003F5261" w:rsidP="00836D25">
      <w:pPr>
        <w:pStyle w:val="EMEABodyText"/>
        <w:rPr>
          <w:lang w:eastAsia="en-AU"/>
        </w:rPr>
      </w:pPr>
      <w:r w:rsidRPr="00A2311D">
        <w:rPr>
          <w:lang w:eastAsia="en-AU"/>
        </w:rPr>
        <w:t xml:space="preserve">Second Primary Malignancies are known to be associated with </w:t>
      </w:r>
      <w:proofErr w:type="spellStart"/>
      <w:r w:rsidRPr="00A2311D">
        <w:rPr>
          <w:lang w:eastAsia="en-AU"/>
        </w:rPr>
        <w:t>lenalidomide</w:t>
      </w:r>
      <w:proofErr w:type="spellEnd"/>
      <w:r w:rsidRPr="00A2311D">
        <w:rPr>
          <w:lang w:eastAsia="en-AU"/>
        </w:rPr>
        <w:t xml:space="preserve"> exposure which was extended in patients treated with EMPLICITI combined with </w:t>
      </w:r>
      <w:proofErr w:type="spellStart"/>
      <w:r w:rsidRPr="00A2311D">
        <w:rPr>
          <w:lang w:eastAsia="en-AU"/>
        </w:rPr>
        <w:t>lenalidomide</w:t>
      </w:r>
      <w:proofErr w:type="spellEnd"/>
      <w:r w:rsidRPr="00A2311D">
        <w:rPr>
          <w:lang w:eastAsia="en-AU"/>
        </w:rPr>
        <w:t xml:space="preserve"> and dexamethasone vs. </w:t>
      </w:r>
      <w:proofErr w:type="spellStart"/>
      <w:r w:rsidRPr="00A2311D">
        <w:rPr>
          <w:lang w:eastAsia="en-AU"/>
        </w:rPr>
        <w:t>lenalidomide</w:t>
      </w:r>
      <w:proofErr w:type="spellEnd"/>
      <w:r w:rsidRPr="00A2311D">
        <w:rPr>
          <w:lang w:eastAsia="en-AU"/>
        </w:rPr>
        <w:t xml:space="preserve"> and dexamethasone. The rate of </w:t>
      </w:r>
      <w:proofErr w:type="spellStart"/>
      <w:r w:rsidRPr="00A2311D">
        <w:rPr>
          <w:lang w:eastAsia="en-AU"/>
        </w:rPr>
        <w:t>haematologic</w:t>
      </w:r>
      <w:proofErr w:type="spellEnd"/>
      <w:r w:rsidRPr="00A2311D">
        <w:rPr>
          <w:lang w:eastAsia="en-AU"/>
        </w:rPr>
        <w:t xml:space="preserve"> malignancies were the same between the two treatment arms (1.6%). Solid tumours were </w:t>
      </w:r>
      <w:r w:rsidRPr="00A2311D">
        <w:rPr>
          <w:lang w:eastAsia="en-AU"/>
        </w:rPr>
        <w:lastRenderedPageBreak/>
        <w:t xml:space="preserve">reported in 2.5% and 1.9% of EMPLICITI combined with </w:t>
      </w:r>
      <w:proofErr w:type="spellStart"/>
      <w:r w:rsidRPr="00A2311D">
        <w:rPr>
          <w:lang w:eastAsia="en-AU"/>
        </w:rPr>
        <w:t>lenalidomide</w:t>
      </w:r>
      <w:proofErr w:type="spellEnd"/>
      <w:r w:rsidRPr="00A2311D">
        <w:rPr>
          <w:lang w:eastAsia="en-AU"/>
        </w:rPr>
        <w:t xml:space="preserve"> and dexamethasone and </w:t>
      </w:r>
      <w:proofErr w:type="spellStart"/>
      <w:r w:rsidRPr="00A2311D">
        <w:rPr>
          <w:lang w:eastAsia="en-AU"/>
        </w:rPr>
        <w:t>lenalidomide</w:t>
      </w:r>
      <w:proofErr w:type="spellEnd"/>
      <w:r w:rsidRPr="00A2311D">
        <w:rPr>
          <w:lang w:eastAsia="en-AU"/>
        </w:rPr>
        <w:t xml:space="preserve"> and dexamethasone treated patients, respectively. Non-melanoma skin cancer was reported in 3.1% and 1.6% of patients treated with EMPLICITI combined with </w:t>
      </w:r>
      <w:proofErr w:type="spellStart"/>
      <w:r w:rsidRPr="00A2311D">
        <w:rPr>
          <w:lang w:eastAsia="en-AU"/>
        </w:rPr>
        <w:t>lenalidomide</w:t>
      </w:r>
      <w:proofErr w:type="spellEnd"/>
      <w:r w:rsidRPr="00A2311D">
        <w:rPr>
          <w:lang w:eastAsia="en-AU"/>
        </w:rPr>
        <w:t xml:space="preserve"> and dexamethasone and </w:t>
      </w:r>
      <w:proofErr w:type="spellStart"/>
      <w:r w:rsidRPr="00A2311D">
        <w:rPr>
          <w:lang w:eastAsia="en-AU"/>
        </w:rPr>
        <w:t>lenalidomide</w:t>
      </w:r>
      <w:proofErr w:type="spellEnd"/>
      <w:r w:rsidRPr="00A2311D">
        <w:rPr>
          <w:lang w:eastAsia="en-AU"/>
        </w:rPr>
        <w:t xml:space="preserve"> and dexamethasone, respectively.</w:t>
      </w:r>
    </w:p>
    <w:p w14:paraId="54B9419D" w14:textId="22EDAA07" w:rsidR="003F5261" w:rsidRPr="00A2311D" w:rsidRDefault="003F5261" w:rsidP="00DD57E0">
      <w:pPr>
        <w:pStyle w:val="A-Heading1"/>
        <w:rPr>
          <w:lang w:eastAsia="en-AU"/>
        </w:rPr>
      </w:pPr>
      <w:r w:rsidRPr="00A2311D">
        <w:rPr>
          <w:lang w:eastAsia="en-AU"/>
        </w:rPr>
        <w:t>ADVERSE REACTIONS REPORTED ACROSS CLINICAL TRIALS</w:t>
      </w:r>
    </w:p>
    <w:p w14:paraId="16A38112" w14:textId="3BB7B7D1" w:rsidR="006736D2" w:rsidRPr="00A2311D" w:rsidRDefault="006736D2" w:rsidP="00836D25">
      <w:pPr>
        <w:pStyle w:val="EMEABodyText"/>
        <w:rPr>
          <w:lang w:eastAsia="en-AU"/>
        </w:rPr>
      </w:pPr>
      <w:r w:rsidRPr="00A2311D">
        <w:rPr>
          <w:lang w:eastAsia="en-AU"/>
        </w:rPr>
        <w:t xml:space="preserve">The safety data of </w:t>
      </w:r>
      <w:proofErr w:type="spellStart"/>
      <w:r w:rsidRPr="00A2311D">
        <w:rPr>
          <w:lang w:eastAsia="en-AU"/>
        </w:rPr>
        <w:t>elotuzumab</w:t>
      </w:r>
      <w:proofErr w:type="spellEnd"/>
      <w:r w:rsidRPr="00A2311D">
        <w:rPr>
          <w:lang w:eastAsia="en-AU"/>
        </w:rPr>
        <w:t xml:space="preserve"> have been assessed from a total of 554 patients with multiple myeloma treated with </w:t>
      </w:r>
      <w:proofErr w:type="spellStart"/>
      <w:r w:rsidRPr="00A2311D">
        <w:rPr>
          <w:lang w:eastAsia="en-AU"/>
        </w:rPr>
        <w:t>elotuzumab</w:t>
      </w:r>
      <w:proofErr w:type="spellEnd"/>
      <w:r w:rsidRPr="00A2311D">
        <w:rPr>
          <w:lang w:eastAsia="en-AU"/>
        </w:rPr>
        <w:t xml:space="preserve"> in combination with </w:t>
      </w:r>
      <w:proofErr w:type="spellStart"/>
      <w:r w:rsidRPr="00A2311D">
        <w:rPr>
          <w:lang w:eastAsia="en-AU"/>
        </w:rPr>
        <w:t>lenolidomide</w:t>
      </w:r>
      <w:proofErr w:type="spellEnd"/>
      <w:r w:rsidRPr="00A2311D">
        <w:rPr>
          <w:lang w:eastAsia="en-AU"/>
        </w:rPr>
        <w:t xml:space="preserve"> and dexamethasone or </w:t>
      </w:r>
      <w:proofErr w:type="spellStart"/>
      <w:r w:rsidRPr="00A2311D">
        <w:rPr>
          <w:lang w:eastAsia="en-AU"/>
        </w:rPr>
        <w:t>bortezomib</w:t>
      </w:r>
      <w:proofErr w:type="spellEnd"/>
      <w:r w:rsidRPr="00A2311D">
        <w:rPr>
          <w:lang w:eastAsia="en-AU"/>
        </w:rPr>
        <w:t xml:space="preserve"> and dexamethasone pooled across 6 clinical trials. The majority of adverse reactions were mild to moderate (Grade 1 or 2).</w:t>
      </w:r>
    </w:p>
    <w:p w14:paraId="339E855B" w14:textId="3B42EB39" w:rsidR="00E90808" w:rsidRDefault="00E90808" w:rsidP="00836D25">
      <w:pPr>
        <w:pStyle w:val="EMEABodyText"/>
      </w:pPr>
      <w:r>
        <w:t>Across</w:t>
      </w:r>
      <w:proofErr w:type="gramStart"/>
      <w:r>
        <w:rPr>
          <w:rStyle w:val="CommentReference"/>
          <w:lang w:val="en-US"/>
        </w:rPr>
        <w:t> </w:t>
      </w:r>
      <w:r>
        <w:t xml:space="preserve"> the</w:t>
      </w:r>
      <w:proofErr w:type="gramEnd"/>
      <w:r>
        <w:t xml:space="preserve"> clinical studies adverse reactions reported in patients treated with EMPLICITI with at a cut off ≥ 10% included:</w:t>
      </w:r>
    </w:p>
    <w:p w14:paraId="1E7BF6FE" w14:textId="77777777" w:rsidR="00B16BDD" w:rsidRDefault="00E90808" w:rsidP="00E90808">
      <w:pPr>
        <w:spacing w:after="0" w:line="240" w:lineRule="auto"/>
        <w:rPr>
          <w:rFonts w:ascii="Times New Roman" w:hAnsi="Times New Roman"/>
          <w:i/>
          <w:iCs/>
          <w:color w:val="000000"/>
          <w:szCs w:val="24"/>
        </w:rPr>
      </w:pPr>
      <w:r>
        <w:rPr>
          <w:rFonts w:ascii="Times New Roman" w:hAnsi="Times New Roman"/>
          <w:i/>
          <w:iCs/>
          <w:color w:val="000000"/>
          <w:szCs w:val="24"/>
        </w:rPr>
        <w:t xml:space="preserve">Investigations: </w:t>
      </w:r>
      <w:r>
        <w:rPr>
          <w:rFonts w:ascii="Times New Roman" w:hAnsi="Times New Roman"/>
          <w:color w:val="000000"/>
          <w:szCs w:val="24"/>
        </w:rPr>
        <w:t>weight decreased</w:t>
      </w:r>
    </w:p>
    <w:p w14:paraId="00023689" w14:textId="3AB074C2" w:rsidR="00E90808" w:rsidRPr="00BF4934" w:rsidRDefault="00E90808" w:rsidP="00BF4934">
      <w:pPr>
        <w:autoSpaceDE w:val="0"/>
        <w:autoSpaceDN w:val="0"/>
        <w:adjustRightInd w:val="0"/>
        <w:spacing w:after="0" w:line="240" w:lineRule="auto"/>
        <w:rPr>
          <w:rFonts w:ascii="Times New Roman" w:hAnsi="Times New Roman"/>
          <w:szCs w:val="24"/>
        </w:rPr>
      </w:pPr>
      <w:r w:rsidRPr="003959CF">
        <w:rPr>
          <w:rFonts w:ascii="Times New Roman" w:hAnsi="Times New Roman"/>
          <w:i/>
          <w:iCs/>
          <w:szCs w:val="24"/>
        </w:rPr>
        <w:t xml:space="preserve">Respiratory, thoracic, and mediastinal disorders: </w:t>
      </w:r>
      <w:r w:rsidR="00BF4934" w:rsidRPr="00BF4934">
        <w:rPr>
          <w:rFonts w:ascii="Times New Roman" w:hAnsi="Times New Roman"/>
          <w:szCs w:val="24"/>
          <w:lang w:eastAsia="en-AU"/>
        </w:rPr>
        <w:t>Cough (including productive cough, and upper-airway cough syndrome)</w:t>
      </w:r>
    </w:p>
    <w:p w14:paraId="6FF2E348" w14:textId="77777777" w:rsidR="00E90808" w:rsidRPr="003959CF" w:rsidRDefault="00E90808" w:rsidP="00E90808">
      <w:pPr>
        <w:autoSpaceDE w:val="0"/>
        <w:autoSpaceDN w:val="0"/>
        <w:spacing w:after="0" w:line="240" w:lineRule="auto"/>
        <w:rPr>
          <w:rFonts w:ascii="Times New Roman" w:hAnsi="Times New Roman"/>
          <w:szCs w:val="24"/>
        </w:rPr>
      </w:pPr>
      <w:r w:rsidRPr="003959CF">
        <w:rPr>
          <w:rFonts w:ascii="Times New Roman" w:hAnsi="Times New Roman"/>
          <w:i/>
          <w:iCs/>
          <w:szCs w:val="24"/>
        </w:rPr>
        <w:t xml:space="preserve">Blood and lymphatic system disorders: </w:t>
      </w:r>
      <w:r w:rsidRPr="003959CF">
        <w:rPr>
          <w:rFonts w:ascii="Times New Roman" w:hAnsi="Times New Roman"/>
          <w:szCs w:val="24"/>
        </w:rPr>
        <w:t>lymphopenia (including lymphocyte count decreased)</w:t>
      </w:r>
    </w:p>
    <w:p w14:paraId="0FC11DA1" w14:textId="77777777" w:rsidR="00E90808" w:rsidRPr="003959CF" w:rsidRDefault="00E90808" w:rsidP="00836D25">
      <w:pPr>
        <w:pStyle w:val="EMEABodyText"/>
      </w:pPr>
      <w:r w:rsidRPr="003959CF">
        <w:t xml:space="preserve">Other clinically important adverse reactions reported in patients treated with EMPLICITI with a cut-off of </w:t>
      </w:r>
      <w:r w:rsidR="00BF4934">
        <w:t>≤</w:t>
      </w:r>
      <w:r w:rsidRPr="003959CF">
        <w:t xml:space="preserve"> 10%) were:</w:t>
      </w:r>
    </w:p>
    <w:p w14:paraId="01B9AF3F" w14:textId="77777777" w:rsidR="00E90808" w:rsidRDefault="00E90808" w:rsidP="00E90808">
      <w:pPr>
        <w:autoSpaceDE w:val="0"/>
        <w:autoSpaceDN w:val="0"/>
        <w:spacing w:after="0" w:line="240" w:lineRule="auto"/>
        <w:rPr>
          <w:rFonts w:ascii="Times New Roman" w:hAnsi="Times New Roman"/>
          <w:color w:val="000000"/>
          <w:szCs w:val="24"/>
        </w:rPr>
      </w:pPr>
      <w:r>
        <w:rPr>
          <w:rFonts w:ascii="Times New Roman" w:hAnsi="Times New Roman"/>
          <w:i/>
          <w:iCs/>
          <w:color w:val="000000"/>
          <w:szCs w:val="24"/>
        </w:rPr>
        <w:t>Musculoskeletal</w:t>
      </w:r>
      <w:proofErr w:type="gramStart"/>
      <w:r>
        <w:rPr>
          <w:rStyle w:val="CommentReference"/>
          <w:lang w:val="en-US"/>
        </w:rPr>
        <w:t> </w:t>
      </w:r>
      <w:r>
        <w:rPr>
          <w:rFonts w:ascii="Times New Roman" w:hAnsi="Times New Roman"/>
          <w:i/>
          <w:iCs/>
          <w:color w:val="000000"/>
          <w:szCs w:val="24"/>
        </w:rPr>
        <w:t xml:space="preserve"> and</w:t>
      </w:r>
      <w:proofErr w:type="gramEnd"/>
      <w:r>
        <w:rPr>
          <w:rFonts w:ascii="Times New Roman" w:hAnsi="Times New Roman"/>
          <w:i/>
          <w:iCs/>
          <w:color w:val="000000"/>
          <w:szCs w:val="24"/>
        </w:rPr>
        <w:t xml:space="preserve"> connective tissue disorders</w:t>
      </w:r>
      <w:r>
        <w:rPr>
          <w:rFonts w:ascii="Times New Roman" w:hAnsi="Times New Roman"/>
          <w:color w:val="000000"/>
          <w:szCs w:val="24"/>
        </w:rPr>
        <w:t>: chest pain</w:t>
      </w:r>
    </w:p>
    <w:p w14:paraId="4B84A395" w14:textId="77777777" w:rsidR="00E90808" w:rsidRDefault="00E90808" w:rsidP="00E90808">
      <w:pPr>
        <w:autoSpaceDE w:val="0"/>
        <w:autoSpaceDN w:val="0"/>
        <w:spacing w:after="0" w:line="240" w:lineRule="auto"/>
        <w:rPr>
          <w:rFonts w:ascii="Times New Roman" w:hAnsi="Times New Roman"/>
          <w:color w:val="000000"/>
          <w:szCs w:val="24"/>
        </w:rPr>
      </w:pPr>
      <w:r>
        <w:rPr>
          <w:rFonts w:ascii="Times New Roman" w:hAnsi="Times New Roman"/>
          <w:i/>
          <w:iCs/>
          <w:color w:val="000000"/>
          <w:szCs w:val="24"/>
        </w:rPr>
        <w:t>Nervous system disorders</w:t>
      </w:r>
      <w:r>
        <w:rPr>
          <w:rFonts w:ascii="Times New Roman" w:hAnsi="Times New Roman"/>
          <w:color w:val="000000"/>
          <w:szCs w:val="24"/>
        </w:rPr>
        <w:t>: hypoesthesia</w:t>
      </w:r>
    </w:p>
    <w:p w14:paraId="3A845E9A" w14:textId="77777777" w:rsidR="00E90808" w:rsidRDefault="00E90808" w:rsidP="00E90808">
      <w:pPr>
        <w:autoSpaceDE w:val="0"/>
        <w:autoSpaceDN w:val="0"/>
        <w:spacing w:after="0" w:line="240" w:lineRule="auto"/>
        <w:rPr>
          <w:rFonts w:ascii="Times New Roman" w:hAnsi="Times New Roman"/>
          <w:color w:val="000000"/>
          <w:szCs w:val="24"/>
        </w:rPr>
      </w:pPr>
      <w:r>
        <w:rPr>
          <w:rFonts w:ascii="Times New Roman" w:hAnsi="Times New Roman"/>
          <w:i/>
          <w:iCs/>
          <w:color w:val="000000"/>
          <w:szCs w:val="24"/>
        </w:rPr>
        <w:t>Psychiatric disorders</w:t>
      </w:r>
      <w:r>
        <w:rPr>
          <w:rFonts w:ascii="Times New Roman" w:hAnsi="Times New Roman"/>
          <w:color w:val="000000"/>
          <w:szCs w:val="24"/>
        </w:rPr>
        <w:t>: mood altered</w:t>
      </w:r>
    </w:p>
    <w:p w14:paraId="032E11C4" w14:textId="77777777" w:rsidR="00E90808" w:rsidRDefault="00E90808" w:rsidP="00E90808">
      <w:pPr>
        <w:autoSpaceDE w:val="0"/>
        <w:autoSpaceDN w:val="0"/>
        <w:spacing w:after="0" w:line="240" w:lineRule="auto"/>
        <w:rPr>
          <w:rFonts w:ascii="Times New Roman" w:hAnsi="Times New Roman"/>
          <w:color w:val="000000"/>
          <w:szCs w:val="24"/>
        </w:rPr>
      </w:pPr>
      <w:r>
        <w:rPr>
          <w:rFonts w:ascii="Times New Roman" w:hAnsi="Times New Roman"/>
          <w:i/>
          <w:iCs/>
          <w:color w:val="000000"/>
          <w:szCs w:val="24"/>
        </w:rPr>
        <w:t>Skin and subcutaneous tissue disorders</w:t>
      </w:r>
      <w:r>
        <w:rPr>
          <w:rFonts w:ascii="Times New Roman" w:hAnsi="Times New Roman"/>
          <w:color w:val="000000"/>
          <w:szCs w:val="24"/>
        </w:rPr>
        <w:t>: night sweats</w:t>
      </w:r>
    </w:p>
    <w:p w14:paraId="196C3B30" w14:textId="77777777" w:rsidR="00E90808" w:rsidRDefault="00E90808" w:rsidP="00E90808">
      <w:pPr>
        <w:autoSpaceDE w:val="0"/>
        <w:autoSpaceDN w:val="0"/>
        <w:spacing w:after="0" w:line="240" w:lineRule="auto"/>
        <w:rPr>
          <w:rFonts w:ascii="Times New Roman" w:hAnsi="Times New Roman"/>
          <w:szCs w:val="24"/>
        </w:rPr>
      </w:pPr>
      <w:r>
        <w:rPr>
          <w:rFonts w:ascii="Times New Roman" w:hAnsi="Times New Roman"/>
          <w:i/>
          <w:iCs/>
          <w:szCs w:val="24"/>
        </w:rPr>
        <w:t xml:space="preserve">Immune system disorders: </w:t>
      </w:r>
      <w:r>
        <w:rPr>
          <w:rFonts w:ascii="Times New Roman" w:hAnsi="Times New Roman"/>
          <w:szCs w:val="24"/>
        </w:rPr>
        <w:t>hypersensitivity</w:t>
      </w:r>
    </w:p>
    <w:p w14:paraId="68274FA4" w14:textId="77777777" w:rsidR="00E90808" w:rsidRDefault="00E90808" w:rsidP="00E90808">
      <w:pPr>
        <w:autoSpaceDE w:val="0"/>
        <w:autoSpaceDN w:val="0"/>
        <w:spacing w:after="0" w:line="240" w:lineRule="auto"/>
        <w:rPr>
          <w:rFonts w:ascii="Times New Roman" w:hAnsi="Times New Roman"/>
          <w:szCs w:val="24"/>
        </w:rPr>
      </w:pPr>
      <w:r>
        <w:rPr>
          <w:rFonts w:ascii="Times New Roman" w:hAnsi="Times New Roman"/>
          <w:i/>
          <w:iCs/>
          <w:szCs w:val="24"/>
        </w:rPr>
        <w:t xml:space="preserve">Infections and infestations: </w:t>
      </w:r>
      <w:r>
        <w:rPr>
          <w:rFonts w:ascii="Times New Roman" w:hAnsi="Times New Roman"/>
          <w:szCs w:val="24"/>
        </w:rPr>
        <w:t>herpes zoster</w:t>
      </w:r>
    </w:p>
    <w:p w14:paraId="4727480E" w14:textId="77777777" w:rsidR="00E90808" w:rsidRDefault="00E90808" w:rsidP="00E90808">
      <w:pPr>
        <w:autoSpaceDE w:val="0"/>
        <w:autoSpaceDN w:val="0"/>
        <w:spacing w:after="0" w:line="240" w:lineRule="auto"/>
        <w:rPr>
          <w:rFonts w:ascii="Times New Roman" w:hAnsi="Times New Roman"/>
          <w:szCs w:val="24"/>
        </w:rPr>
      </w:pPr>
      <w:r>
        <w:rPr>
          <w:rFonts w:ascii="Times New Roman" w:hAnsi="Times New Roman"/>
          <w:i/>
          <w:iCs/>
          <w:szCs w:val="24"/>
        </w:rPr>
        <w:t xml:space="preserve">Injury, poisoning, and procedural complications: </w:t>
      </w:r>
      <w:r>
        <w:rPr>
          <w:rFonts w:ascii="Times New Roman" w:hAnsi="Times New Roman"/>
          <w:szCs w:val="24"/>
        </w:rPr>
        <w:t>infusion-related reaction</w:t>
      </w:r>
    </w:p>
    <w:p w14:paraId="0AF04481" w14:textId="77777777" w:rsidR="00954716" w:rsidRPr="00A623E3" w:rsidRDefault="00954716" w:rsidP="00DD57E0">
      <w:pPr>
        <w:pStyle w:val="A-Heading1"/>
      </w:pPr>
      <w:bookmarkStart w:id="6" w:name="Table_MISC3"/>
      <w:bookmarkStart w:id="7" w:name="Table_MISC"/>
      <w:bookmarkStart w:id="8" w:name="BKMKTEMP"/>
      <w:bookmarkEnd w:id="6"/>
      <w:bookmarkEnd w:id="7"/>
      <w:bookmarkEnd w:id="8"/>
      <w:r w:rsidRPr="00A623E3">
        <w:t>DOSAGE AND ADMINISTRATION</w:t>
      </w:r>
    </w:p>
    <w:p w14:paraId="6DA071F0" w14:textId="77777777" w:rsidR="00B143AC" w:rsidRPr="003008D9" w:rsidRDefault="00A23D70" w:rsidP="00836D25">
      <w:pPr>
        <w:pStyle w:val="EMEABodyText"/>
      </w:pPr>
      <w:r>
        <w:rPr>
          <w:lang w:val="en-US"/>
        </w:rPr>
        <w:t xml:space="preserve">EMPLICITI </w:t>
      </w:r>
      <w:r w:rsidR="00B143AC" w:rsidRPr="003008D9">
        <w:rPr>
          <w:lang w:val="en-US"/>
        </w:rPr>
        <w:t>therapy</w:t>
      </w:r>
      <w:r w:rsidR="00B143AC" w:rsidRPr="003008D9">
        <w:rPr>
          <w:noProof/>
        </w:rPr>
        <w:t xml:space="preserve"> </w:t>
      </w:r>
      <w:r w:rsidR="00B143AC" w:rsidRPr="003008D9">
        <w:t>should be initiated and supervised by physicians experienced in the treatment of multiple myeloma.</w:t>
      </w:r>
    </w:p>
    <w:p w14:paraId="11B992E9" w14:textId="77777777" w:rsidR="00B143AC" w:rsidRPr="003008D9" w:rsidRDefault="00B143AC" w:rsidP="00B143AC">
      <w:pPr>
        <w:pStyle w:val="EMEABodyText"/>
        <w:rPr>
          <w:szCs w:val="24"/>
        </w:rPr>
      </w:pPr>
      <w:r w:rsidRPr="003008D9">
        <w:rPr>
          <w:szCs w:val="24"/>
        </w:rPr>
        <w:t xml:space="preserve">Patients must receive premedication before each dose of </w:t>
      </w:r>
      <w:r w:rsidR="003008D9">
        <w:rPr>
          <w:szCs w:val="24"/>
          <w:lang w:val="en-US"/>
        </w:rPr>
        <w:t>EMPLICITI. (</w:t>
      </w:r>
      <w:proofErr w:type="gramStart"/>
      <w:r w:rsidR="003008D9">
        <w:rPr>
          <w:szCs w:val="24"/>
          <w:lang w:val="en-US"/>
        </w:rPr>
        <w:t>see</w:t>
      </w:r>
      <w:proofErr w:type="gramEnd"/>
      <w:r w:rsidRPr="003008D9">
        <w:rPr>
          <w:szCs w:val="24"/>
          <w:lang w:val="en-US"/>
        </w:rPr>
        <w:t xml:space="preserve"> </w:t>
      </w:r>
      <w:r w:rsidR="004B36CD" w:rsidRPr="003008D9">
        <w:rPr>
          <w:szCs w:val="24"/>
          <w:lang w:val="en-US"/>
        </w:rPr>
        <w:t>PREMEDICATION</w:t>
      </w:r>
      <w:r w:rsidR="003008D9">
        <w:rPr>
          <w:szCs w:val="24"/>
          <w:lang w:val="en-US"/>
        </w:rPr>
        <w:t>)</w:t>
      </w:r>
      <w:r w:rsidRPr="003008D9">
        <w:rPr>
          <w:szCs w:val="24"/>
        </w:rPr>
        <w:t>.</w:t>
      </w:r>
    </w:p>
    <w:p w14:paraId="657228E4" w14:textId="77777777" w:rsidR="00DC0B66" w:rsidRPr="00474979" w:rsidRDefault="004B36CD" w:rsidP="00DD57E0">
      <w:pPr>
        <w:pStyle w:val="A-Heading2"/>
        <w:rPr>
          <w:i w:val="0"/>
        </w:rPr>
      </w:pPr>
      <w:r w:rsidRPr="00474979">
        <w:rPr>
          <w:i w:val="0"/>
          <w:noProof/>
        </w:rPr>
        <w:t xml:space="preserve">Adminstration </w:t>
      </w:r>
      <w:r w:rsidR="00DC0B66" w:rsidRPr="00474979">
        <w:rPr>
          <w:i w:val="0"/>
          <w:noProof/>
        </w:rPr>
        <w:t xml:space="preserve">with </w:t>
      </w:r>
      <w:proofErr w:type="spellStart"/>
      <w:r w:rsidR="00DC0B66" w:rsidRPr="00474979">
        <w:rPr>
          <w:i w:val="0"/>
        </w:rPr>
        <w:t>lenalidomide</w:t>
      </w:r>
      <w:proofErr w:type="spellEnd"/>
      <w:r w:rsidR="00DC0B66" w:rsidRPr="00474979">
        <w:rPr>
          <w:i w:val="0"/>
        </w:rPr>
        <w:t xml:space="preserve"> and dexamethasone</w:t>
      </w:r>
    </w:p>
    <w:p w14:paraId="3D7A9C98" w14:textId="77777777" w:rsidR="00A23D70" w:rsidRPr="00A23D70" w:rsidRDefault="00A23D70" w:rsidP="00A23D70">
      <w:pPr>
        <w:pStyle w:val="EMEABodyText"/>
        <w:rPr>
          <w:szCs w:val="24"/>
          <w:lang w:val="en-US"/>
        </w:rPr>
      </w:pPr>
      <w:r w:rsidRPr="00A23D70">
        <w:rPr>
          <w:szCs w:val="24"/>
          <w:lang w:val="en-US"/>
        </w:rPr>
        <w:t>The recommended dose of EMPLICITI</w:t>
      </w:r>
      <w:r w:rsidRPr="00A23D70">
        <w:rPr>
          <w:noProof/>
          <w:szCs w:val="24"/>
          <w:lang w:val="en-US"/>
        </w:rPr>
        <w:t xml:space="preserve"> </w:t>
      </w:r>
      <w:r w:rsidRPr="00A23D70">
        <w:rPr>
          <w:szCs w:val="24"/>
          <w:lang w:val="en-US"/>
        </w:rPr>
        <w:t>is 10 mg/kg administered intravenously every week (28</w:t>
      </w:r>
      <w:r w:rsidRPr="00A23D70">
        <w:rPr>
          <w:szCs w:val="24"/>
          <w:lang w:val="en-US"/>
        </w:rPr>
        <w:noBreakHyphen/>
        <w:t xml:space="preserve">day cycle), on days 1, 8, 15, and 22 for the first two cycles and every 2 weeks thereafter on days 1 and 15 when administered with </w:t>
      </w:r>
      <w:proofErr w:type="spellStart"/>
      <w:r w:rsidRPr="00A23D70">
        <w:rPr>
          <w:szCs w:val="24"/>
          <w:lang w:val="en-US"/>
        </w:rPr>
        <w:t>lenalidomide</w:t>
      </w:r>
      <w:proofErr w:type="spellEnd"/>
      <w:r w:rsidRPr="00A23D70">
        <w:rPr>
          <w:szCs w:val="24"/>
          <w:lang w:val="en-US"/>
        </w:rPr>
        <w:t xml:space="preserve"> and dexamethasone. </w:t>
      </w:r>
      <w:r w:rsidRPr="00A23D70">
        <w:rPr>
          <w:bCs/>
          <w:szCs w:val="24"/>
          <w:lang w:val="en-US"/>
        </w:rPr>
        <w:t>Treatment should continue until disease progression or unacceptable toxicity.</w:t>
      </w:r>
    </w:p>
    <w:p w14:paraId="6D9F3DE8" w14:textId="4B3F5A0E" w:rsidR="00A23D70" w:rsidRPr="00A23D70" w:rsidRDefault="00A23D70" w:rsidP="00836D25">
      <w:pPr>
        <w:pStyle w:val="EMEABodyText"/>
        <w:rPr>
          <w:lang w:val="en-US"/>
        </w:rPr>
      </w:pPr>
      <w:r w:rsidRPr="00A23D70">
        <w:rPr>
          <w:lang w:val="en-US"/>
        </w:rPr>
        <w:t xml:space="preserve">The dosing schedule is presented in Table </w:t>
      </w:r>
      <w:r w:rsidR="00FB377E">
        <w:rPr>
          <w:lang w:val="en-US"/>
        </w:rPr>
        <w:t>4</w:t>
      </w:r>
      <w:r>
        <w:rPr>
          <w:lang w:val="en-US"/>
        </w:rPr>
        <w:t>.</w:t>
      </w:r>
    </w:p>
    <w:p w14:paraId="345185DF" w14:textId="724C2A5E" w:rsidR="00A23D70" w:rsidRDefault="00DD57E0" w:rsidP="00474979">
      <w:pPr>
        <w:pStyle w:val="Caption"/>
        <w:ind w:left="0" w:firstLine="0"/>
        <w:rPr>
          <w:bCs/>
          <w:sz w:val="24"/>
          <w:szCs w:val="24"/>
          <w:lang w:val="en-US"/>
        </w:rPr>
      </w:pPr>
      <w:r>
        <w:t xml:space="preserve">Table </w:t>
      </w:r>
      <w:r>
        <w:fldChar w:fldCharType="begin"/>
      </w:r>
      <w:r>
        <w:instrText xml:space="preserve"> SEQ Table \* ARABIC </w:instrText>
      </w:r>
      <w:r>
        <w:fldChar w:fldCharType="separate"/>
      </w:r>
      <w:r w:rsidR="00B06408">
        <w:rPr>
          <w:noProof/>
        </w:rPr>
        <w:t>4</w:t>
      </w:r>
      <w:r>
        <w:fldChar w:fldCharType="end"/>
      </w:r>
      <w:r w:rsidR="00A23D70">
        <w:t xml:space="preserve">: </w:t>
      </w:r>
      <w:r w:rsidR="00A23D70" w:rsidRPr="001B60B7">
        <w:t xml:space="preserve">Recommended Dosing Schedule of EMPLICITI in Combination with </w:t>
      </w:r>
      <w:proofErr w:type="spellStart"/>
      <w:r w:rsidR="00A23D70" w:rsidRPr="001B60B7">
        <w:t>Lenalidomide</w:t>
      </w:r>
      <w:proofErr w:type="spellEnd"/>
      <w:r w:rsidR="00A23D70" w:rsidRPr="001B60B7">
        <w:t xml:space="preserve"> and Dexamethasone</w:t>
      </w:r>
    </w:p>
    <w:tbl>
      <w:tblPr>
        <w:tblW w:w="5000" w:type="pct"/>
        <w:jc w:val="center"/>
        <w:tblLook w:val="04A0" w:firstRow="1" w:lastRow="0" w:firstColumn="1" w:lastColumn="0" w:noHBand="0" w:noVBand="1"/>
      </w:tblPr>
      <w:tblGrid>
        <w:gridCol w:w="3430"/>
        <w:gridCol w:w="744"/>
        <w:gridCol w:w="746"/>
        <w:gridCol w:w="746"/>
        <w:gridCol w:w="747"/>
        <w:gridCol w:w="650"/>
        <w:gridCol w:w="648"/>
        <w:gridCol w:w="648"/>
        <w:gridCol w:w="647"/>
      </w:tblGrid>
      <w:tr w:rsidR="00A23D70" w:rsidRPr="00432E54" w14:paraId="54878BCA" w14:textId="77777777" w:rsidTr="00836D25">
        <w:trPr>
          <w:trHeight w:val="324"/>
          <w:tblHeader/>
          <w:jc w:val="center"/>
        </w:trPr>
        <w:tc>
          <w:tcPr>
            <w:tcW w:w="1904" w:type="pct"/>
            <w:tcBorders>
              <w:top w:val="single" w:sz="4" w:space="0" w:color="auto"/>
              <w:left w:val="nil"/>
              <w:bottom w:val="single" w:sz="8" w:space="0" w:color="000000"/>
              <w:right w:val="single" w:sz="4" w:space="0" w:color="auto"/>
            </w:tcBorders>
            <w:shd w:val="clear" w:color="auto" w:fill="FFFFFF" w:themeFill="background1"/>
            <w:vAlign w:val="center"/>
            <w:hideMark/>
          </w:tcPr>
          <w:p w14:paraId="556C5334" w14:textId="77777777" w:rsidR="00A23D70" w:rsidRPr="003C6653" w:rsidRDefault="00A23D70" w:rsidP="00A23D70">
            <w:pPr>
              <w:jc w:val="right"/>
              <w:rPr>
                <w:rFonts w:ascii="Times New Roman" w:hAnsi="Times New Roman"/>
                <w:b/>
                <w:color w:val="000000"/>
                <w:sz w:val="20"/>
              </w:rPr>
            </w:pPr>
            <w:r w:rsidRPr="003C6653">
              <w:rPr>
                <w:rFonts w:ascii="Times New Roman" w:hAnsi="Times New Roman"/>
                <w:b/>
                <w:color w:val="000000"/>
                <w:sz w:val="20"/>
              </w:rPr>
              <w:t>Cycle</w:t>
            </w:r>
          </w:p>
        </w:tc>
        <w:tc>
          <w:tcPr>
            <w:tcW w:w="1656" w:type="pct"/>
            <w:gridSpan w:val="4"/>
            <w:tcBorders>
              <w:top w:val="single" w:sz="4" w:space="0" w:color="auto"/>
              <w:left w:val="nil"/>
              <w:bottom w:val="dotted" w:sz="4" w:space="0" w:color="auto"/>
              <w:right w:val="single" w:sz="4" w:space="0" w:color="000000"/>
            </w:tcBorders>
            <w:shd w:val="clear" w:color="auto" w:fill="FFFFFF" w:themeFill="background1"/>
            <w:vAlign w:val="center"/>
            <w:hideMark/>
          </w:tcPr>
          <w:p w14:paraId="37C0E714" w14:textId="77777777" w:rsidR="00A23D70" w:rsidRPr="003C6653" w:rsidRDefault="00A23D70" w:rsidP="00A23D70">
            <w:pPr>
              <w:jc w:val="center"/>
              <w:rPr>
                <w:rFonts w:ascii="Times New Roman" w:hAnsi="Times New Roman"/>
                <w:b/>
                <w:color w:val="000000"/>
                <w:sz w:val="20"/>
              </w:rPr>
            </w:pPr>
            <w:r w:rsidRPr="003C6653">
              <w:rPr>
                <w:rFonts w:ascii="Times New Roman" w:hAnsi="Times New Roman"/>
                <w:b/>
                <w:color w:val="000000"/>
                <w:sz w:val="20"/>
              </w:rPr>
              <w:t>28</w:t>
            </w:r>
            <w:r w:rsidRPr="003C6653">
              <w:rPr>
                <w:rFonts w:ascii="Times New Roman" w:hAnsi="Times New Roman"/>
                <w:b/>
                <w:color w:val="000000"/>
                <w:sz w:val="20"/>
              </w:rPr>
              <w:noBreakHyphen/>
              <w:t>Day Cycles 1 &amp; 2</w:t>
            </w:r>
          </w:p>
        </w:tc>
        <w:tc>
          <w:tcPr>
            <w:tcW w:w="1440" w:type="pct"/>
            <w:gridSpan w:val="4"/>
            <w:tcBorders>
              <w:top w:val="single" w:sz="4" w:space="0" w:color="auto"/>
              <w:left w:val="nil"/>
              <w:bottom w:val="single" w:sz="8" w:space="0" w:color="auto"/>
              <w:right w:val="nil"/>
            </w:tcBorders>
            <w:shd w:val="clear" w:color="auto" w:fill="FFFFFF" w:themeFill="background1"/>
            <w:vAlign w:val="center"/>
            <w:hideMark/>
          </w:tcPr>
          <w:p w14:paraId="7E6DC766" w14:textId="77777777" w:rsidR="00A23D70" w:rsidRPr="003C6653" w:rsidRDefault="00A23D70" w:rsidP="00A23D70">
            <w:pPr>
              <w:jc w:val="center"/>
              <w:rPr>
                <w:rFonts w:ascii="Times New Roman" w:hAnsi="Times New Roman"/>
                <w:b/>
                <w:color w:val="000000"/>
                <w:sz w:val="20"/>
              </w:rPr>
            </w:pPr>
            <w:r w:rsidRPr="003C6653">
              <w:rPr>
                <w:rFonts w:ascii="Times New Roman" w:hAnsi="Times New Roman"/>
                <w:b/>
                <w:color w:val="000000"/>
                <w:sz w:val="20"/>
              </w:rPr>
              <w:t>28</w:t>
            </w:r>
            <w:r w:rsidRPr="003C6653">
              <w:rPr>
                <w:rFonts w:ascii="Times New Roman" w:hAnsi="Times New Roman"/>
                <w:b/>
                <w:color w:val="000000"/>
                <w:sz w:val="20"/>
              </w:rPr>
              <w:noBreakHyphen/>
              <w:t>Day Cycles 3+</w:t>
            </w:r>
          </w:p>
        </w:tc>
      </w:tr>
      <w:tr w:rsidR="00A23D70" w:rsidRPr="00432E54" w14:paraId="6D9CD30C" w14:textId="77777777" w:rsidTr="00836D25">
        <w:trPr>
          <w:trHeight w:val="324"/>
          <w:tblHeader/>
          <w:jc w:val="center"/>
        </w:trPr>
        <w:tc>
          <w:tcPr>
            <w:tcW w:w="1904" w:type="pct"/>
            <w:tcBorders>
              <w:top w:val="single" w:sz="4" w:space="0" w:color="auto"/>
              <w:left w:val="nil"/>
              <w:bottom w:val="single" w:sz="18" w:space="0" w:color="auto"/>
              <w:right w:val="single" w:sz="4" w:space="0" w:color="auto"/>
            </w:tcBorders>
            <w:shd w:val="clear" w:color="auto" w:fill="FFFFFF" w:themeFill="background1"/>
            <w:vAlign w:val="center"/>
            <w:hideMark/>
          </w:tcPr>
          <w:p w14:paraId="6F0AA869" w14:textId="77777777" w:rsidR="00A23D70" w:rsidRPr="003C6653" w:rsidRDefault="00A23D70" w:rsidP="00A23D70">
            <w:pPr>
              <w:jc w:val="right"/>
              <w:rPr>
                <w:rFonts w:ascii="Times New Roman" w:hAnsi="Times New Roman"/>
                <w:b/>
                <w:color w:val="000000"/>
                <w:sz w:val="20"/>
              </w:rPr>
            </w:pPr>
            <w:r w:rsidRPr="003C6653">
              <w:rPr>
                <w:rFonts w:ascii="Times New Roman" w:hAnsi="Times New Roman"/>
                <w:b/>
                <w:color w:val="000000"/>
                <w:sz w:val="20"/>
              </w:rPr>
              <w:lastRenderedPageBreak/>
              <w:t>Day of Cycle</w:t>
            </w:r>
          </w:p>
        </w:tc>
        <w:tc>
          <w:tcPr>
            <w:tcW w:w="413" w:type="pct"/>
            <w:tcBorders>
              <w:top w:val="single" w:sz="8" w:space="0" w:color="auto"/>
              <w:left w:val="nil"/>
              <w:bottom w:val="single" w:sz="18" w:space="0" w:color="auto"/>
              <w:right w:val="dotted" w:sz="4" w:space="0" w:color="auto"/>
            </w:tcBorders>
            <w:shd w:val="clear" w:color="auto" w:fill="FFFFFF" w:themeFill="background1"/>
            <w:vAlign w:val="center"/>
            <w:hideMark/>
          </w:tcPr>
          <w:p w14:paraId="06EBB0CB"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1</w:t>
            </w:r>
          </w:p>
        </w:tc>
        <w:tc>
          <w:tcPr>
            <w:tcW w:w="414" w:type="pct"/>
            <w:tcBorders>
              <w:top w:val="single" w:sz="8" w:space="0" w:color="auto"/>
              <w:left w:val="dotted" w:sz="4" w:space="0" w:color="auto"/>
              <w:bottom w:val="single" w:sz="18" w:space="0" w:color="auto"/>
              <w:right w:val="dotted" w:sz="4" w:space="0" w:color="auto"/>
            </w:tcBorders>
            <w:shd w:val="clear" w:color="auto" w:fill="FFFFFF" w:themeFill="background1"/>
            <w:vAlign w:val="center"/>
            <w:hideMark/>
          </w:tcPr>
          <w:p w14:paraId="1AEA1DE9"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8</w:t>
            </w:r>
          </w:p>
        </w:tc>
        <w:tc>
          <w:tcPr>
            <w:tcW w:w="414" w:type="pct"/>
            <w:tcBorders>
              <w:top w:val="single" w:sz="8" w:space="0" w:color="auto"/>
              <w:left w:val="dotted" w:sz="4" w:space="0" w:color="auto"/>
              <w:bottom w:val="single" w:sz="18" w:space="0" w:color="auto"/>
              <w:right w:val="dotted" w:sz="4" w:space="0" w:color="auto"/>
            </w:tcBorders>
            <w:shd w:val="clear" w:color="auto" w:fill="FFFFFF" w:themeFill="background1"/>
            <w:vAlign w:val="center"/>
            <w:hideMark/>
          </w:tcPr>
          <w:p w14:paraId="228A3608"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15</w:t>
            </w:r>
          </w:p>
        </w:tc>
        <w:tc>
          <w:tcPr>
            <w:tcW w:w="415" w:type="pct"/>
            <w:tcBorders>
              <w:top w:val="single" w:sz="8" w:space="0" w:color="auto"/>
              <w:left w:val="dotted" w:sz="4" w:space="0" w:color="auto"/>
              <w:bottom w:val="single" w:sz="18" w:space="0" w:color="auto"/>
              <w:right w:val="single" w:sz="4" w:space="0" w:color="auto"/>
            </w:tcBorders>
            <w:shd w:val="clear" w:color="auto" w:fill="FFFFFF" w:themeFill="background1"/>
            <w:vAlign w:val="center"/>
            <w:hideMark/>
          </w:tcPr>
          <w:p w14:paraId="2B47A833"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22</w:t>
            </w:r>
          </w:p>
        </w:tc>
        <w:tc>
          <w:tcPr>
            <w:tcW w:w="361" w:type="pct"/>
            <w:tcBorders>
              <w:top w:val="single" w:sz="8" w:space="0" w:color="auto"/>
              <w:left w:val="nil"/>
              <w:bottom w:val="single" w:sz="18" w:space="0" w:color="auto"/>
              <w:right w:val="dotted" w:sz="4" w:space="0" w:color="auto"/>
            </w:tcBorders>
            <w:shd w:val="clear" w:color="auto" w:fill="FFFFFF" w:themeFill="background1"/>
            <w:vAlign w:val="center"/>
            <w:hideMark/>
          </w:tcPr>
          <w:p w14:paraId="770C7774"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1</w:t>
            </w:r>
          </w:p>
        </w:tc>
        <w:tc>
          <w:tcPr>
            <w:tcW w:w="360" w:type="pct"/>
            <w:tcBorders>
              <w:top w:val="single" w:sz="8" w:space="0" w:color="auto"/>
              <w:left w:val="dotted" w:sz="4" w:space="0" w:color="auto"/>
              <w:bottom w:val="single" w:sz="18" w:space="0" w:color="auto"/>
              <w:right w:val="dotted" w:sz="4" w:space="0" w:color="auto"/>
            </w:tcBorders>
            <w:shd w:val="clear" w:color="auto" w:fill="FFFFFF" w:themeFill="background1"/>
            <w:vAlign w:val="center"/>
            <w:hideMark/>
          </w:tcPr>
          <w:p w14:paraId="344F8F8F"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8</w:t>
            </w:r>
          </w:p>
        </w:tc>
        <w:tc>
          <w:tcPr>
            <w:tcW w:w="360" w:type="pct"/>
            <w:tcBorders>
              <w:top w:val="single" w:sz="8" w:space="0" w:color="auto"/>
              <w:left w:val="dotted" w:sz="4" w:space="0" w:color="auto"/>
              <w:bottom w:val="single" w:sz="18" w:space="0" w:color="auto"/>
              <w:right w:val="dotted" w:sz="4" w:space="0" w:color="auto"/>
            </w:tcBorders>
            <w:shd w:val="clear" w:color="auto" w:fill="FFFFFF" w:themeFill="background1"/>
            <w:vAlign w:val="center"/>
            <w:hideMark/>
          </w:tcPr>
          <w:p w14:paraId="6B432282"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15</w:t>
            </w:r>
          </w:p>
        </w:tc>
        <w:tc>
          <w:tcPr>
            <w:tcW w:w="359" w:type="pct"/>
            <w:tcBorders>
              <w:top w:val="single" w:sz="8" w:space="0" w:color="auto"/>
              <w:left w:val="dotted" w:sz="4" w:space="0" w:color="auto"/>
              <w:bottom w:val="single" w:sz="18" w:space="0" w:color="auto"/>
              <w:right w:val="nil"/>
            </w:tcBorders>
            <w:shd w:val="clear" w:color="auto" w:fill="FFFFFF" w:themeFill="background1"/>
            <w:vAlign w:val="center"/>
            <w:hideMark/>
          </w:tcPr>
          <w:p w14:paraId="098FD2F6"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22</w:t>
            </w:r>
          </w:p>
        </w:tc>
      </w:tr>
      <w:tr w:rsidR="00A23D70" w:rsidRPr="00432E54" w14:paraId="51D1B863" w14:textId="77777777" w:rsidTr="00836D25">
        <w:trPr>
          <w:trHeight w:val="324"/>
          <w:jc w:val="center"/>
        </w:trPr>
        <w:tc>
          <w:tcPr>
            <w:tcW w:w="1904" w:type="pct"/>
            <w:tcBorders>
              <w:top w:val="single" w:sz="18" w:space="0" w:color="auto"/>
              <w:left w:val="nil"/>
              <w:bottom w:val="single" w:sz="8" w:space="0" w:color="auto"/>
              <w:right w:val="single" w:sz="4" w:space="0" w:color="auto"/>
            </w:tcBorders>
            <w:shd w:val="clear" w:color="auto" w:fill="FFFFFF" w:themeFill="background1"/>
            <w:vAlign w:val="center"/>
            <w:hideMark/>
          </w:tcPr>
          <w:p w14:paraId="34596F97" w14:textId="77777777" w:rsidR="00A23D70" w:rsidRPr="003C6653" w:rsidRDefault="00A23D70" w:rsidP="00C41C13">
            <w:pPr>
              <w:spacing w:after="0" w:line="240" w:lineRule="auto"/>
              <w:jc w:val="center"/>
              <w:rPr>
                <w:rFonts w:ascii="Times New Roman" w:hAnsi="Times New Roman"/>
                <w:b/>
                <w:bCs/>
                <w:color w:val="000000"/>
                <w:sz w:val="20"/>
              </w:rPr>
            </w:pPr>
            <w:r w:rsidRPr="003C6653">
              <w:rPr>
                <w:rFonts w:ascii="Times New Roman" w:hAnsi="Times New Roman"/>
                <w:b/>
                <w:bCs/>
                <w:color w:val="000000"/>
                <w:sz w:val="20"/>
              </w:rPr>
              <w:t>Premedication*</w:t>
            </w:r>
          </w:p>
        </w:tc>
        <w:tc>
          <w:tcPr>
            <w:tcW w:w="413" w:type="pct"/>
            <w:tcBorders>
              <w:top w:val="single" w:sz="18" w:space="0" w:color="auto"/>
              <w:left w:val="nil"/>
              <w:bottom w:val="single" w:sz="8" w:space="0" w:color="auto"/>
              <w:right w:val="dotted" w:sz="4" w:space="0" w:color="auto"/>
            </w:tcBorders>
            <w:shd w:val="clear" w:color="auto" w:fill="FFFFFF" w:themeFill="background1"/>
            <w:vAlign w:val="center"/>
            <w:hideMark/>
          </w:tcPr>
          <w:p w14:paraId="661AD3FD"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sym w:font="Wingdings" w:char="F0FC"/>
            </w:r>
          </w:p>
        </w:tc>
        <w:tc>
          <w:tcPr>
            <w:tcW w:w="414" w:type="pct"/>
            <w:tcBorders>
              <w:top w:val="single" w:sz="18" w:space="0" w:color="auto"/>
              <w:left w:val="dotted" w:sz="4" w:space="0" w:color="auto"/>
              <w:bottom w:val="single" w:sz="8" w:space="0" w:color="auto"/>
              <w:right w:val="dotted" w:sz="4" w:space="0" w:color="auto"/>
            </w:tcBorders>
            <w:shd w:val="clear" w:color="auto" w:fill="FFFFFF" w:themeFill="background1"/>
            <w:vAlign w:val="center"/>
            <w:hideMark/>
          </w:tcPr>
          <w:p w14:paraId="2E436C79"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sym w:font="Wingdings" w:char="F0FC"/>
            </w:r>
          </w:p>
        </w:tc>
        <w:tc>
          <w:tcPr>
            <w:tcW w:w="414" w:type="pct"/>
            <w:tcBorders>
              <w:top w:val="single" w:sz="18" w:space="0" w:color="auto"/>
              <w:left w:val="dotted" w:sz="4" w:space="0" w:color="auto"/>
              <w:bottom w:val="single" w:sz="8" w:space="0" w:color="auto"/>
              <w:right w:val="dotted" w:sz="4" w:space="0" w:color="auto"/>
            </w:tcBorders>
            <w:shd w:val="clear" w:color="auto" w:fill="FFFFFF" w:themeFill="background1"/>
            <w:vAlign w:val="center"/>
            <w:hideMark/>
          </w:tcPr>
          <w:p w14:paraId="6BA53672"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sym w:font="Wingdings" w:char="F0FC"/>
            </w:r>
          </w:p>
        </w:tc>
        <w:tc>
          <w:tcPr>
            <w:tcW w:w="415" w:type="pct"/>
            <w:tcBorders>
              <w:top w:val="single" w:sz="18" w:space="0" w:color="auto"/>
              <w:left w:val="dotted" w:sz="4" w:space="0" w:color="auto"/>
              <w:bottom w:val="single" w:sz="8" w:space="0" w:color="auto"/>
              <w:right w:val="single" w:sz="4" w:space="0" w:color="auto"/>
            </w:tcBorders>
            <w:shd w:val="clear" w:color="auto" w:fill="FFFFFF" w:themeFill="background1"/>
            <w:vAlign w:val="center"/>
            <w:hideMark/>
          </w:tcPr>
          <w:p w14:paraId="3C26A11C"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sym w:font="Wingdings" w:char="F0FC"/>
            </w:r>
          </w:p>
        </w:tc>
        <w:tc>
          <w:tcPr>
            <w:tcW w:w="361" w:type="pct"/>
            <w:tcBorders>
              <w:top w:val="single" w:sz="18" w:space="0" w:color="auto"/>
              <w:left w:val="nil"/>
              <w:bottom w:val="single" w:sz="8" w:space="0" w:color="auto"/>
              <w:right w:val="dotted" w:sz="4" w:space="0" w:color="auto"/>
            </w:tcBorders>
            <w:shd w:val="clear" w:color="auto" w:fill="FFFFFF" w:themeFill="background1"/>
            <w:vAlign w:val="center"/>
            <w:hideMark/>
          </w:tcPr>
          <w:p w14:paraId="30FF8604"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sym w:font="Wingdings" w:char="F0FC"/>
            </w:r>
          </w:p>
        </w:tc>
        <w:tc>
          <w:tcPr>
            <w:tcW w:w="360" w:type="pct"/>
            <w:tcBorders>
              <w:top w:val="single" w:sz="18" w:space="0" w:color="auto"/>
              <w:left w:val="dotted" w:sz="4" w:space="0" w:color="auto"/>
              <w:bottom w:val="single" w:sz="8" w:space="0" w:color="auto"/>
              <w:right w:val="dotted" w:sz="4" w:space="0" w:color="auto"/>
            </w:tcBorders>
            <w:shd w:val="clear" w:color="auto" w:fill="FFFFFF" w:themeFill="background1"/>
            <w:vAlign w:val="center"/>
            <w:hideMark/>
          </w:tcPr>
          <w:p w14:paraId="55C50EEF" w14:textId="77777777" w:rsidR="00A23D70" w:rsidRPr="003C6653" w:rsidRDefault="00A23D70" w:rsidP="00A23D70">
            <w:pPr>
              <w:jc w:val="center"/>
              <w:rPr>
                <w:rFonts w:ascii="Times New Roman" w:hAnsi="Times New Roman"/>
                <w:color w:val="000000"/>
                <w:sz w:val="20"/>
              </w:rPr>
            </w:pPr>
          </w:p>
        </w:tc>
        <w:tc>
          <w:tcPr>
            <w:tcW w:w="360" w:type="pct"/>
            <w:tcBorders>
              <w:top w:val="single" w:sz="18" w:space="0" w:color="auto"/>
              <w:left w:val="dotted" w:sz="4" w:space="0" w:color="auto"/>
              <w:bottom w:val="single" w:sz="8" w:space="0" w:color="auto"/>
              <w:right w:val="dotted" w:sz="4" w:space="0" w:color="auto"/>
            </w:tcBorders>
            <w:shd w:val="clear" w:color="auto" w:fill="FFFFFF" w:themeFill="background1"/>
            <w:vAlign w:val="center"/>
            <w:hideMark/>
          </w:tcPr>
          <w:p w14:paraId="03DACB9B"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sym w:font="Wingdings" w:char="F0FC"/>
            </w:r>
          </w:p>
        </w:tc>
        <w:tc>
          <w:tcPr>
            <w:tcW w:w="359" w:type="pct"/>
            <w:tcBorders>
              <w:top w:val="single" w:sz="18" w:space="0" w:color="auto"/>
              <w:left w:val="dotted" w:sz="4" w:space="0" w:color="auto"/>
              <w:bottom w:val="single" w:sz="8" w:space="0" w:color="auto"/>
              <w:right w:val="nil"/>
            </w:tcBorders>
            <w:shd w:val="clear" w:color="auto" w:fill="FFFFFF" w:themeFill="background1"/>
            <w:vAlign w:val="center"/>
            <w:hideMark/>
          </w:tcPr>
          <w:p w14:paraId="7BC1B88B"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 </w:t>
            </w:r>
          </w:p>
        </w:tc>
      </w:tr>
      <w:tr w:rsidR="00A23D70" w:rsidRPr="00432E54" w14:paraId="0D7F7CE5" w14:textId="77777777" w:rsidTr="00836D25">
        <w:trPr>
          <w:trHeight w:val="682"/>
          <w:jc w:val="center"/>
        </w:trPr>
        <w:tc>
          <w:tcPr>
            <w:tcW w:w="1904" w:type="pct"/>
            <w:tcBorders>
              <w:top w:val="single" w:sz="8" w:space="0" w:color="auto"/>
              <w:left w:val="nil"/>
              <w:bottom w:val="single" w:sz="8" w:space="0" w:color="auto"/>
              <w:right w:val="single" w:sz="4" w:space="0" w:color="auto"/>
            </w:tcBorders>
            <w:shd w:val="clear" w:color="auto" w:fill="FFFFFF" w:themeFill="background1"/>
            <w:vAlign w:val="center"/>
            <w:hideMark/>
          </w:tcPr>
          <w:p w14:paraId="759B8C99" w14:textId="77777777" w:rsidR="00A23D70" w:rsidRPr="003C6653" w:rsidRDefault="00A23D70" w:rsidP="00C41C13">
            <w:pPr>
              <w:spacing w:after="0" w:line="240" w:lineRule="auto"/>
              <w:jc w:val="center"/>
              <w:rPr>
                <w:rFonts w:ascii="Times New Roman" w:hAnsi="Times New Roman"/>
                <w:b/>
                <w:bCs/>
                <w:color w:val="000000"/>
                <w:sz w:val="20"/>
              </w:rPr>
            </w:pPr>
            <w:r w:rsidRPr="003C6653">
              <w:rPr>
                <w:rFonts w:ascii="Times New Roman" w:hAnsi="Times New Roman"/>
                <w:b/>
                <w:bCs/>
                <w:color w:val="000000"/>
                <w:sz w:val="20"/>
              </w:rPr>
              <w:t xml:space="preserve">EMPLICITI (mg/kg) Intravenous </w:t>
            </w:r>
          </w:p>
        </w:tc>
        <w:tc>
          <w:tcPr>
            <w:tcW w:w="413" w:type="pct"/>
            <w:tcBorders>
              <w:top w:val="single" w:sz="8" w:space="0" w:color="auto"/>
              <w:left w:val="nil"/>
              <w:bottom w:val="single" w:sz="8" w:space="0" w:color="auto"/>
              <w:right w:val="dotted" w:sz="4" w:space="0" w:color="auto"/>
            </w:tcBorders>
            <w:shd w:val="clear" w:color="auto" w:fill="FFFFFF" w:themeFill="background1"/>
            <w:vAlign w:val="center"/>
            <w:hideMark/>
          </w:tcPr>
          <w:p w14:paraId="6B6DB33B"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10</w:t>
            </w:r>
          </w:p>
        </w:tc>
        <w:tc>
          <w:tcPr>
            <w:tcW w:w="414" w:type="pct"/>
            <w:tcBorders>
              <w:top w:val="single" w:sz="8" w:space="0" w:color="auto"/>
              <w:left w:val="dotted" w:sz="4" w:space="0" w:color="auto"/>
              <w:bottom w:val="single" w:sz="8" w:space="0" w:color="auto"/>
              <w:right w:val="dotted" w:sz="4" w:space="0" w:color="auto"/>
            </w:tcBorders>
            <w:shd w:val="clear" w:color="auto" w:fill="FFFFFF" w:themeFill="background1"/>
            <w:vAlign w:val="center"/>
            <w:hideMark/>
          </w:tcPr>
          <w:p w14:paraId="6A81BCC4"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10</w:t>
            </w:r>
          </w:p>
        </w:tc>
        <w:tc>
          <w:tcPr>
            <w:tcW w:w="414" w:type="pct"/>
            <w:tcBorders>
              <w:top w:val="single" w:sz="8" w:space="0" w:color="auto"/>
              <w:left w:val="dotted" w:sz="4" w:space="0" w:color="auto"/>
              <w:bottom w:val="single" w:sz="8" w:space="0" w:color="auto"/>
              <w:right w:val="dotted" w:sz="4" w:space="0" w:color="auto"/>
            </w:tcBorders>
            <w:shd w:val="clear" w:color="auto" w:fill="FFFFFF" w:themeFill="background1"/>
            <w:vAlign w:val="center"/>
            <w:hideMark/>
          </w:tcPr>
          <w:p w14:paraId="0E339F6C"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10</w:t>
            </w:r>
          </w:p>
        </w:tc>
        <w:tc>
          <w:tcPr>
            <w:tcW w:w="415" w:type="pct"/>
            <w:tcBorders>
              <w:top w:val="single" w:sz="8" w:space="0" w:color="auto"/>
              <w:left w:val="dotted" w:sz="4" w:space="0" w:color="auto"/>
              <w:bottom w:val="single" w:sz="8" w:space="0" w:color="auto"/>
              <w:right w:val="single" w:sz="4" w:space="0" w:color="auto"/>
            </w:tcBorders>
            <w:shd w:val="clear" w:color="auto" w:fill="FFFFFF" w:themeFill="background1"/>
            <w:vAlign w:val="center"/>
            <w:hideMark/>
          </w:tcPr>
          <w:p w14:paraId="6D779B25"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10</w:t>
            </w:r>
          </w:p>
        </w:tc>
        <w:tc>
          <w:tcPr>
            <w:tcW w:w="361" w:type="pct"/>
            <w:tcBorders>
              <w:top w:val="single" w:sz="8" w:space="0" w:color="auto"/>
              <w:left w:val="nil"/>
              <w:bottom w:val="single" w:sz="8" w:space="0" w:color="auto"/>
              <w:right w:val="dotted" w:sz="4" w:space="0" w:color="auto"/>
            </w:tcBorders>
            <w:shd w:val="clear" w:color="auto" w:fill="FFFFFF" w:themeFill="background1"/>
            <w:vAlign w:val="center"/>
            <w:hideMark/>
          </w:tcPr>
          <w:p w14:paraId="2087BB07"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10</w:t>
            </w:r>
          </w:p>
        </w:tc>
        <w:tc>
          <w:tcPr>
            <w:tcW w:w="360" w:type="pct"/>
            <w:tcBorders>
              <w:top w:val="single" w:sz="8" w:space="0" w:color="auto"/>
              <w:left w:val="dotted" w:sz="4" w:space="0" w:color="auto"/>
              <w:bottom w:val="single" w:sz="8" w:space="0" w:color="auto"/>
              <w:right w:val="dotted" w:sz="4" w:space="0" w:color="auto"/>
            </w:tcBorders>
            <w:shd w:val="clear" w:color="auto" w:fill="FFFFFF" w:themeFill="background1"/>
            <w:vAlign w:val="center"/>
            <w:hideMark/>
          </w:tcPr>
          <w:p w14:paraId="121EB444" w14:textId="77777777" w:rsidR="00A23D70" w:rsidRPr="003C6653" w:rsidRDefault="00A23D70" w:rsidP="00A23D70">
            <w:pPr>
              <w:jc w:val="center"/>
              <w:rPr>
                <w:rFonts w:ascii="Times New Roman" w:hAnsi="Times New Roman"/>
                <w:color w:val="000000"/>
                <w:sz w:val="20"/>
              </w:rPr>
            </w:pPr>
          </w:p>
        </w:tc>
        <w:tc>
          <w:tcPr>
            <w:tcW w:w="360" w:type="pct"/>
            <w:tcBorders>
              <w:top w:val="single" w:sz="8" w:space="0" w:color="auto"/>
              <w:left w:val="dotted" w:sz="4" w:space="0" w:color="auto"/>
              <w:bottom w:val="single" w:sz="8" w:space="0" w:color="auto"/>
              <w:right w:val="dotted" w:sz="4" w:space="0" w:color="auto"/>
            </w:tcBorders>
            <w:shd w:val="clear" w:color="auto" w:fill="FFFFFF" w:themeFill="background1"/>
            <w:vAlign w:val="center"/>
            <w:hideMark/>
          </w:tcPr>
          <w:p w14:paraId="3EF65B70"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10</w:t>
            </w:r>
          </w:p>
        </w:tc>
        <w:tc>
          <w:tcPr>
            <w:tcW w:w="359" w:type="pct"/>
            <w:tcBorders>
              <w:top w:val="single" w:sz="8" w:space="0" w:color="auto"/>
              <w:left w:val="dotted" w:sz="4" w:space="0" w:color="auto"/>
              <w:bottom w:val="single" w:sz="8" w:space="0" w:color="auto"/>
              <w:right w:val="nil"/>
            </w:tcBorders>
            <w:shd w:val="clear" w:color="auto" w:fill="FFFFFF" w:themeFill="background1"/>
            <w:vAlign w:val="center"/>
            <w:hideMark/>
          </w:tcPr>
          <w:p w14:paraId="0C1E9D26" w14:textId="77777777" w:rsidR="00A23D70" w:rsidRPr="003C6653" w:rsidRDefault="00A23D70" w:rsidP="00A23D70">
            <w:pPr>
              <w:jc w:val="center"/>
              <w:rPr>
                <w:rFonts w:ascii="Times New Roman" w:hAnsi="Times New Roman"/>
                <w:color w:val="000000"/>
                <w:sz w:val="20"/>
              </w:rPr>
            </w:pPr>
          </w:p>
        </w:tc>
      </w:tr>
      <w:tr w:rsidR="00A23D70" w:rsidRPr="00432E54" w14:paraId="24405C6F" w14:textId="77777777" w:rsidTr="002115AC">
        <w:trPr>
          <w:trHeight w:val="655"/>
          <w:jc w:val="center"/>
        </w:trPr>
        <w:tc>
          <w:tcPr>
            <w:tcW w:w="1904" w:type="pct"/>
            <w:tcBorders>
              <w:top w:val="single" w:sz="8" w:space="0" w:color="auto"/>
              <w:left w:val="nil"/>
              <w:bottom w:val="single" w:sz="8" w:space="0" w:color="auto"/>
              <w:right w:val="single" w:sz="4" w:space="0" w:color="auto"/>
            </w:tcBorders>
            <w:shd w:val="clear" w:color="auto" w:fill="FFFFFF" w:themeFill="background1"/>
            <w:vAlign w:val="center"/>
            <w:hideMark/>
          </w:tcPr>
          <w:p w14:paraId="6EE7189B" w14:textId="77777777" w:rsidR="00A23D70" w:rsidRPr="003C6653" w:rsidRDefault="00A23D70" w:rsidP="00C41C13">
            <w:pPr>
              <w:spacing w:after="0" w:line="240" w:lineRule="auto"/>
              <w:jc w:val="center"/>
              <w:rPr>
                <w:rFonts w:ascii="Times New Roman" w:hAnsi="Times New Roman"/>
                <w:b/>
                <w:bCs/>
                <w:color w:val="000000"/>
                <w:sz w:val="20"/>
              </w:rPr>
            </w:pPr>
            <w:proofErr w:type="spellStart"/>
            <w:r w:rsidRPr="003C6653">
              <w:rPr>
                <w:rFonts w:ascii="Times New Roman" w:eastAsiaTheme="minorHAnsi" w:hAnsi="Times New Roman"/>
                <w:b/>
                <w:sz w:val="20"/>
              </w:rPr>
              <w:t>Lenalidomide</w:t>
            </w:r>
            <w:proofErr w:type="spellEnd"/>
            <w:r w:rsidRPr="003C6653">
              <w:rPr>
                <w:rStyle w:val="BMSSuperscript"/>
                <w:rFonts w:ascii="Times New Roman" w:eastAsiaTheme="minorHAnsi" w:hAnsi="Times New Roman"/>
                <w:sz w:val="20"/>
              </w:rPr>
              <w:t>†</w:t>
            </w:r>
            <w:r w:rsidRPr="003C6653">
              <w:rPr>
                <w:rFonts w:ascii="Times New Roman" w:hAnsi="Times New Roman"/>
                <w:b/>
                <w:bCs/>
                <w:color w:val="000000"/>
                <w:sz w:val="20"/>
              </w:rPr>
              <w:t xml:space="preserve"> (25 mg) Oral </w:t>
            </w:r>
          </w:p>
        </w:tc>
        <w:tc>
          <w:tcPr>
            <w:tcW w:w="1656" w:type="pct"/>
            <w:gridSpan w:val="4"/>
            <w:tcBorders>
              <w:top w:val="single" w:sz="8" w:space="0" w:color="auto"/>
              <w:left w:val="nil"/>
              <w:bottom w:val="single" w:sz="8" w:space="0" w:color="auto"/>
              <w:right w:val="single" w:sz="4" w:space="0" w:color="000000"/>
            </w:tcBorders>
            <w:shd w:val="clear" w:color="auto" w:fill="FFFFFF" w:themeFill="background1"/>
            <w:vAlign w:val="center"/>
            <w:hideMark/>
          </w:tcPr>
          <w:p w14:paraId="32A7F416"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Days 1</w:t>
            </w:r>
            <w:r w:rsidRPr="003C6653">
              <w:rPr>
                <w:rFonts w:ascii="Times New Roman" w:hAnsi="Times New Roman"/>
                <w:color w:val="000000"/>
                <w:sz w:val="20"/>
              </w:rPr>
              <w:noBreakHyphen/>
              <w:t>21</w:t>
            </w:r>
          </w:p>
        </w:tc>
        <w:tc>
          <w:tcPr>
            <w:tcW w:w="1440" w:type="pct"/>
            <w:gridSpan w:val="4"/>
            <w:tcBorders>
              <w:top w:val="single" w:sz="8" w:space="0" w:color="auto"/>
              <w:left w:val="nil"/>
              <w:bottom w:val="single" w:sz="8" w:space="0" w:color="auto"/>
              <w:right w:val="nil"/>
            </w:tcBorders>
            <w:shd w:val="clear" w:color="auto" w:fill="FFFFFF" w:themeFill="background1"/>
            <w:vAlign w:val="center"/>
            <w:hideMark/>
          </w:tcPr>
          <w:p w14:paraId="704BBA8B"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Days 1</w:t>
            </w:r>
            <w:r w:rsidRPr="003C6653">
              <w:rPr>
                <w:rFonts w:ascii="Times New Roman" w:hAnsi="Times New Roman"/>
                <w:color w:val="000000"/>
                <w:sz w:val="20"/>
              </w:rPr>
              <w:noBreakHyphen/>
              <w:t>21</w:t>
            </w:r>
          </w:p>
        </w:tc>
      </w:tr>
      <w:tr w:rsidR="00A23D70" w:rsidRPr="00432E54" w14:paraId="5C8F0D2A" w14:textId="77777777" w:rsidTr="00836D25">
        <w:trPr>
          <w:trHeight w:val="655"/>
          <w:jc w:val="center"/>
        </w:trPr>
        <w:tc>
          <w:tcPr>
            <w:tcW w:w="1904" w:type="pct"/>
            <w:tcBorders>
              <w:top w:val="single" w:sz="8" w:space="0" w:color="auto"/>
              <w:left w:val="nil"/>
              <w:bottom w:val="single" w:sz="18" w:space="0" w:color="auto"/>
              <w:right w:val="single" w:sz="4" w:space="0" w:color="auto"/>
            </w:tcBorders>
            <w:shd w:val="clear" w:color="auto" w:fill="FFFFFF" w:themeFill="background1"/>
            <w:vAlign w:val="center"/>
            <w:hideMark/>
          </w:tcPr>
          <w:p w14:paraId="5426E491" w14:textId="77777777" w:rsidR="00A23D70" w:rsidRPr="003C6653" w:rsidRDefault="00A23D70" w:rsidP="00C41C13">
            <w:pPr>
              <w:spacing w:after="0" w:line="240" w:lineRule="auto"/>
              <w:jc w:val="center"/>
              <w:rPr>
                <w:rFonts w:ascii="Times New Roman" w:hAnsi="Times New Roman"/>
                <w:b/>
                <w:bCs/>
                <w:color w:val="000000"/>
                <w:sz w:val="20"/>
              </w:rPr>
            </w:pPr>
            <w:r w:rsidRPr="003C6653">
              <w:rPr>
                <w:rFonts w:ascii="Times New Roman" w:hAnsi="Times New Roman"/>
                <w:b/>
                <w:bCs/>
                <w:color w:val="000000"/>
                <w:sz w:val="20"/>
              </w:rPr>
              <w:t>Dexamethasone</w:t>
            </w:r>
            <w:r w:rsidR="002115AC" w:rsidRPr="002115AC">
              <w:rPr>
                <w:rFonts w:ascii="Times New Roman" w:hAnsi="Times New Roman"/>
                <w:sz w:val="20"/>
                <w:vertAlign w:val="superscript"/>
                <w:lang w:val="en-GB"/>
              </w:rPr>
              <w:t>‡</w:t>
            </w:r>
            <w:r w:rsidRPr="003C6653">
              <w:rPr>
                <w:rFonts w:ascii="Times New Roman" w:hAnsi="Times New Roman"/>
                <w:b/>
                <w:bCs/>
                <w:color w:val="000000"/>
                <w:sz w:val="20"/>
              </w:rPr>
              <w:t xml:space="preserve"> (mg) Oral</w:t>
            </w:r>
          </w:p>
        </w:tc>
        <w:tc>
          <w:tcPr>
            <w:tcW w:w="413" w:type="pct"/>
            <w:tcBorders>
              <w:top w:val="single" w:sz="8" w:space="0" w:color="auto"/>
              <w:left w:val="nil"/>
              <w:bottom w:val="single" w:sz="18" w:space="0" w:color="auto"/>
              <w:right w:val="dotted" w:sz="4" w:space="0" w:color="auto"/>
            </w:tcBorders>
            <w:shd w:val="clear" w:color="auto" w:fill="FFFFFF" w:themeFill="background1"/>
            <w:vAlign w:val="center"/>
            <w:hideMark/>
          </w:tcPr>
          <w:p w14:paraId="731B6B22"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28</w:t>
            </w:r>
          </w:p>
        </w:tc>
        <w:tc>
          <w:tcPr>
            <w:tcW w:w="414" w:type="pct"/>
            <w:tcBorders>
              <w:top w:val="single" w:sz="8" w:space="0" w:color="auto"/>
              <w:left w:val="dotted" w:sz="4" w:space="0" w:color="auto"/>
              <w:bottom w:val="single" w:sz="18" w:space="0" w:color="auto"/>
              <w:right w:val="dotted" w:sz="4" w:space="0" w:color="auto"/>
            </w:tcBorders>
            <w:shd w:val="clear" w:color="auto" w:fill="FFFFFF" w:themeFill="background1"/>
            <w:vAlign w:val="center"/>
            <w:hideMark/>
          </w:tcPr>
          <w:p w14:paraId="7DE9FD18"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28</w:t>
            </w:r>
          </w:p>
        </w:tc>
        <w:tc>
          <w:tcPr>
            <w:tcW w:w="414" w:type="pct"/>
            <w:tcBorders>
              <w:top w:val="single" w:sz="8" w:space="0" w:color="auto"/>
              <w:left w:val="dotted" w:sz="4" w:space="0" w:color="auto"/>
              <w:bottom w:val="single" w:sz="18" w:space="0" w:color="auto"/>
              <w:right w:val="dotted" w:sz="4" w:space="0" w:color="auto"/>
            </w:tcBorders>
            <w:shd w:val="clear" w:color="auto" w:fill="FFFFFF" w:themeFill="background1"/>
            <w:vAlign w:val="center"/>
            <w:hideMark/>
          </w:tcPr>
          <w:p w14:paraId="149F8AC4"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28</w:t>
            </w:r>
          </w:p>
        </w:tc>
        <w:tc>
          <w:tcPr>
            <w:tcW w:w="415" w:type="pct"/>
            <w:tcBorders>
              <w:top w:val="single" w:sz="8" w:space="0" w:color="auto"/>
              <w:left w:val="dotted" w:sz="4" w:space="0" w:color="auto"/>
              <w:bottom w:val="single" w:sz="18" w:space="0" w:color="auto"/>
              <w:right w:val="single" w:sz="4" w:space="0" w:color="auto"/>
            </w:tcBorders>
            <w:shd w:val="clear" w:color="auto" w:fill="FFFFFF" w:themeFill="background1"/>
            <w:vAlign w:val="center"/>
            <w:hideMark/>
          </w:tcPr>
          <w:p w14:paraId="479B3D38"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28</w:t>
            </w:r>
          </w:p>
        </w:tc>
        <w:tc>
          <w:tcPr>
            <w:tcW w:w="361" w:type="pct"/>
            <w:tcBorders>
              <w:top w:val="single" w:sz="8" w:space="0" w:color="auto"/>
              <w:left w:val="nil"/>
              <w:bottom w:val="single" w:sz="18" w:space="0" w:color="auto"/>
              <w:right w:val="dotted" w:sz="4" w:space="0" w:color="auto"/>
            </w:tcBorders>
            <w:shd w:val="clear" w:color="auto" w:fill="FFFFFF" w:themeFill="background1"/>
            <w:vAlign w:val="center"/>
            <w:hideMark/>
          </w:tcPr>
          <w:p w14:paraId="29887A24"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28</w:t>
            </w:r>
          </w:p>
        </w:tc>
        <w:tc>
          <w:tcPr>
            <w:tcW w:w="360" w:type="pct"/>
            <w:tcBorders>
              <w:top w:val="single" w:sz="8" w:space="0" w:color="auto"/>
              <w:left w:val="dotted" w:sz="4" w:space="0" w:color="auto"/>
              <w:bottom w:val="single" w:sz="18" w:space="0" w:color="auto"/>
              <w:right w:val="dotted" w:sz="4" w:space="0" w:color="auto"/>
            </w:tcBorders>
            <w:shd w:val="clear" w:color="auto" w:fill="FFFFFF" w:themeFill="background1"/>
            <w:vAlign w:val="center"/>
            <w:hideMark/>
          </w:tcPr>
          <w:p w14:paraId="73C28706"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40</w:t>
            </w:r>
          </w:p>
        </w:tc>
        <w:tc>
          <w:tcPr>
            <w:tcW w:w="360" w:type="pct"/>
            <w:tcBorders>
              <w:top w:val="single" w:sz="8" w:space="0" w:color="auto"/>
              <w:left w:val="dotted" w:sz="4" w:space="0" w:color="auto"/>
              <w:bottom w:val="single" w:sz="18" w:space="0" w:color="auto"/>
              <w:right w:val="dotted" w:sz="4" w:space="0" w:color="auto"/>
            </w:tcBorders>
            <w:shd w:val="clear" w:color="auto" w:fill="FFFFFF" w:themeFill="background1"/>
            <w:vAlign w:val="center"/>
            <w:hideMark/>
          </w:tcPr>
          <w:p w14:paraId="08C2EA1E"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28</w:t>
            </w:r>
          </w:p>
        </w:tc>
        <w:tc>
          <w:tcPr>
            <w:tcW w:w="359" w:type="pct"/>
            <w:tcBorders>
              <w:top w:val="single" w:sz="8" w:space="0" w:color="auto"/>
              <w:left w:val="dotted" w:sz="4" w:space="0" w:color="auto"/>
              <w:bottom w:val="single" w:sz="18" w:space="0" w:color="auto"/>
              <w:right w:val="nil"/>
            </w:tcBorders>
            <w:shd w:val="clear" w:color="auto" w:fill="FFFFFF" w:themeFill="background1"/>
            <w:vAlign w:val="center"/>
            <w:hideMark/>
          </w:tcPr>
          <w:p w14:paraId="389C3AF8"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40</w:t>
            </w:r>
          </w:p>
        </w:tc>
      </w:tr>
      <w:tr w:rsidR="00A23D70" w:rsidRPr="00432E54" w14:paraId="19957926" w14:textId="77777777" w:rsidTr="00836D25">
        <w:trPr>
          <w:trHeight w:val="300"/>
          <w:jc w:val="center"/>
        </w:trPr>
        <w:tc>
          <w:tcPr>
            <w:tcW w:w="1904" w:type="pct"/>
            <w:tcBorders>
              <w:top w:val="single" w:sz="18" w:space="0" w:color="auto"/>
              <w:left w:val="nil"/>
              <w:bottom w:val="single" w:sz="4" w:space="0" w:color="auto"/>
              <w:right w:val="single" w:sz="4" w:space="0" w:color="auto"/>
            </w:tcBorders>
            <w:shd w:val="clear" w:color="auto" w:fill="FFFFFF" w:themeFill="background1"/>
            <w:vAlign w:val="center"/>
            <w:hideMark/>
          </w:tcPr>
          <w:p w14:paraId="76F8F2A0" w14:textId="77777777" w:rsidR="00A23D70" w:rsidRPr="003C6653" w:rsidRDefault="00A23D70" w:rsidP="00C41C13">
            <w:pPr>
              <w:spacing w:after="0" w:line="240" w:lineRule="auto"/>
              <w:jc w:val="right"/>
              <w:rPr>
                <w:rFonts w:ascii="Times New Roman" w:hAnsi="Times New Roman"/>
                <w:b/>
                <w:color w:val="000000"/>
                <w:sz w:val="20"/>
              </w:rPr>
            </w:pPr>
            <w:r w:rsidRPr="003C6653">
              <w:rPr>
                <w:rFonts w:ascii="Times New Roman" w:hAnsi="Times New Roman"/>
                <w:b/>
                <w:color w:val="000000"/>
                <w:sz w:val="20"/>
              </w:rPr>
              <w:t>Day of Cycle</w:t>
            </w:r>
          </w:p>
        </w:tc>
        <w:tc>
          <w:tcPr>
            <w:tcW w:w="413" w:type="pct"/>
            <w:tcBorders>
              <w:top w:val="single" w:sz="18" w:space="0" w:color="auto"/>
              <w:left w:val="nil"/>
              <w:bottom w:val="single" w:sz="4" w:space="0" w:color="auto"/>
              <w:right w:val="dotted" w:sz="4" w:space="0" w:color="auto"/>
            </w:tcBorders>
            <w:shd w:val="clear" w:color="auto" w:fill="FFFFFF" w:themeFill="background1"/>
            <w:vAlign w:val="center"/>
            <w:hideMark/>
          </w:tcPr>
          <w:p w14:paraId="4780D352"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1</w:t>
            </w:r>
          </w:p>
        </w:tc>
        <w:tc>
          <w:tcPr>
            <w:tcW w:w="414" w:type="pct"/>
            <w:tcBorders>
              <w:top w:val="single" w:sz="18" w:space="0" w:color="auto"/>
              <w:left w:val="dotted" w:sz="4" w:space="0" w:color="auto"/>
              <w:bottom w:val="single" w:sz="4" w:space="0" w:color="auto"/>
              <w:right w:val="dotted" w:sz="4" w:space="0" w:color="auto"/>
            </w:tcBorders>
            <w:shd w:val="clear" w:color="auto" w:fill="FFFFFF" w:themeFill="background1"/>
            <w:vAlign w:val="center"/>
            <w:hideMark/>
          </w:tcPr>
          <w:p w14:paraId="3437B98C"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8</w:t>
            </w:r>
          </w:p>
        </w:tc>
        <w:tc>
          <w:tcPr>
            <w:tcW w:w="414" w:type="pct"/>
            <w:tcBorders>
              <w:top w:val="single" w:sz="18" w:space="0" w:color="auto"/>
              <w:left w:val="dotted" w:sz="4" w:space="0" w:color="auto"/>
              <w:bottom w:val="single" w:sz="4" w:space="0" w:color="auto"/>
              <w:right w:val="dotted" w:sz="4" w:space="0" w:color="auto"/>
            </w:tcBorders>
            <w:shd w:val="clear" w:color="auto" w:fill="FFFFFF" w:themeFill="background1"/>
            <w:vAlign w:val="center"/>
            <w:hideMark/>
          </w:tcPr>
          <w:p w14:paraId="58D5F1A5"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15</w:t>
            </w:r>
          </w:p>
        </w:tc>
        <w:tc>
          <w:tcPr>
            <w:tcW w:w="415" w:type="pct"/>
            <w:tcBorders>
              <w:top w:val="single" w:sz="18" w:space="0" w:color="auto"/>
              <w:left w:val="dotted" w:sz="4" w:space="0" w:color="auto"/>
              <w:bottom w:val="single" w:sz="4" w:space="0" w:color="auto"/>
              <w:right w:val="single" w:sz="4" w:space="0" w:color="auto"/>
            </w:tcBorders>
            <w:shd w:val="clear" w:color="auto" w:fill="FFFFFF" w:themeFill="background1"/>
            <w:vAlign w:val="center"/>
            <w:hideMark/>
          </w:tcPr>
          <w:p w14:paraId="22A43337"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22</w:t>
            </w:r>
          </w:p>
        </w:tc>
        <w:tc>
          <w:tcPr>
            <w:tcW w:w="361" w:type="pct"/>
            <w:tcBorders>
              <w:top w:val="single" w:sz="18" w:space="0" w:color="auto"/>
              <w:left w:val="nil"/>
              <w:bottom w:val="single" w:sz="4" w:space="0" w:color="auto"/>
              <w:right w:val="dotted" w:sz="4" w:space="0" w:color="auto"/>
            </w:tcBorders>
            <w:shd w:val="clear" w:color="auto" w:fill="FFFFFF" w:themeFill="background1"/>
            <w:vAlign w:val="center"/>
            <w:hideMark/>
          </w:tcPr>
          <w:p w14:paraId="104D8A84"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1</w:t>
            </w:r>
          </w:p>
        </w:tc>
        <w:tc>
          <w:tcPr>
            <w:tcW w:w="360" w:type="pct"/>
            <w:tcBorders>
              <w:top w:val="single" w:sz="18" w:space="0" w:color="auto"/>
              <w:left w:val="dotted" w:sz="4" w:space="0" w:color="auto"/>
              <w:bottom w:val="single" w:sz="4" w:space="0" w:color="auto"/>
              <w:right w:val="dotted" w:sz="4" w:space="0" w:color="auto"/>
            </w:tcBorders>
            <w:shd w:val="clear" w:color="auto" w:fill="FFFFFF" w:themeFill="background1"/>
            <w:vAlign w:val="center"/>
            <w:hideMark/>
          </w:tcPr>
          <w:p w14:paraId="09C7B303"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8</w:t>
            </w:r>
          </w:p>
        </w:tc>
        <w:tc>
          <w:tcPr>
            <w:tcW w:w="360" w:type="pct"/>
            <w:tcBorders>
              <w:top w:val="single" w:sz="18" w:space="0" w:color="auto"/>
              <w:left w:val="dotted" w:sz="4" w:space="0" w:color="auto"/>
              <w:bottom w:val="single" w:sz="4" w:space="0" w:color="auto"/>
              <w:right w:val="dotted" w:sz="4" w:space="0" w:color="auto"/>
            </w:tcBorders>
            <w:shd w:val="clear" w:color="auto" w:fill="FFFFFF" w:themeFill="background1"/>
            <w:vAlign w:val="center"/>
            <w:hideMark/>
          </w:tcPr>
          <w:p w14:paraId="4D2B3163"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15</w:t>
            </w:r>
          </w:p>
        </w:tc>
        <w:tc>
          <w:tcPr>
            <w:tcW w:w="359" w:type="pct"/>
            <w:tcBorders>
              <w:top w:val="single" w:sz="18" w:space="0" w:color="auto"/>
              <w:left w:val="dotted" w:sz="4" w:space="0" w:color="auto"/>
              <w:bottom w:val="single" w:sz="4" w:space="0" w:color="auto"/>
              <w:right w:val="nil"/>
            </w:tcBorders>
            <w:shd w:val="clear" w:color="auto" w:fill="FFFFFF" w:themeFill="background1"/>
            <w:vAlign w:val="center"/>
            <w:hideMark/>
          </w:tcPr>
          <w:p w14:paraId="0D127EC1" w14:textId="77777777" w:rsidR="00A23D70" w:rsidRPr="003C6653" w:rsidRDefault="00A23D70" w:rsidP="00A23D70">
            <w:pPr>
              <w:jc w:val="center"/>
              <w:rPr>
                <w:rFonts w:ascii="Times New Roman" w:hAnsi="Times New Roman"/>
                <w:color w:val="000000"/>
                <w:sz w:val="20"/>
              </w:rPr>
            </w:pPr>
            <w:r w:rsidRPr="003C6653">
              <w:rPr>
                <w:rFonts w:ascii="Times New Roman" w:hAnsi="Times New Roman"/>
                <w:color w:val="000000"/>
                <w:sz w:val="20"/>
              </w:rPr>
              <w:t>22</w:t>
            </w:r>
          </w:p>
        </w:tc>
      </w:tr>
    </w:tbl>
    <w:p w14:paraId="165561C7" w14:textId="2649FA53" w:rsidR="002115AC" w:rsidRPr="002115AC" w:rsidRDefault="002115AC" w:rsidP="002115AC">
      <w:pPr>
        <w:pStyle w:val="BMSBodyText"/>
        <w:tabs>
          <w:tab w:val="left" w:pos="567"/>
        </w:tabs>
        <w:spacing w:before="0" w:after="0" w:line="240" w:lineRule="auto"/>
        <w:ind w:left="567" w:hanging="567"/>
        <w:jc w:val="left"/>
        <w:rPr>
          <w:sz w:val="20"/>
          <w:vertAlign w:val="superscript"/>
          <w:lang w:val="en-GB"/>
        </w:rPr>
      </w:pPr>
      <w:r w:rsidRPr="002115AC">
        <w:rPr>
          <w:i/>
          <w:sz w:val="20"/>
          <w:vertAlign w:val="superscript"/>
          <w:lang w:val="en-GB"/>
        </w:rPr>
        <w:t>*</w:t>
      </w:r>
      <w:r w:rsidRPr="002115AC">
        <w:rPr>
          <w:i/>
          <w:sz w:val="20"/>
          <w:vertAlign w:val="superscript"/>
          <w:lang w:val="en-GB"/>
        </w:rPr>
        <w:tab/>
      </w:r>
      <w:proofErr w:type="spellStart"/>
      <w:r w:rsidRPr="002115AC">
        <w:rPr>
          <w:sz w:val="20"/>
          <w:vertAlign w:val="superscript"/>
          <w:lang w:val="en-GB"/>
        </w:rPr>
        <w:t>Premedicate</w:t>
      </w:r>
      <w:proofErr w:type="spellEnd"/>
      <w:r w:rsidRPr="002115AC">
        <w:rPr>
          <w:sz w:val="20"/>
          <w:vertAlign w:val="superscript"/>
          <w:lang w:val="en-GB"/>
        </w:rPr>
        <w:t xml:space="preserve"> with the following 45</w:t>
      </w:r>
      <w:r w:rsidRPr="002115AC">
        <w:rPr>
          <w:sz w:val="20"/>
          <w:vertAlign w:val="superscript"/>
          <w:lang w:val="en-GB"/>
        </w:rPr>
        <w:noBreakHyphen/>
        <w:t>90 minutes prior to EMPLICITI infusion: 8 mg intravenous dexamethasone‡, H1 blocker: diphenhydramine (25</w:t>
      </w:r>
      <w:r w:rsidRPr="002115AC">
        <w:rPr>
          <w:sz w:val="20"/>
          <w:vertAlign w:val="superscript"/>
          <w:lang w:val="en-GB"/>
        </w:rPr>
        <w:noBreakHyphen/>
        <w:t>50 mg orally) or equivalent; H2 blocker: ranitidine (50 mg intravenous or 150 mg oral) or equivalent; paracetamol (650</w:t>
      </w:r>
      <w:r w:rsidRPr="002115AC">
        <w:rPr>
          <w:sz w:val="20"/>
          <w:vertAlign w:val="superscript"/>
          <w:lang w:val="en-GB"/>
        </w:rPr>
        <w:noBreakHyphen/>
        <w:t>1000 mg orally).</w:t>
      </w:r>
    </w:p>
    <w:p w14:paraId="05C05A6E" w14:textId="77777777" w:rsidR="00B16BDD" w:rsidRDefault="002115AC" w:rsidP="002115AC">
      <w:pPr>
        <w:pStyle w:val="BMSBodyText"/>
        <w:spacing w:before="0" w:after="0" w:line="240" w:lineRule="auto"/>
        <w:ind w:left="567" w:hanging="567"/>
        <w:jc w:val="left"/>
        <w:rPr>
          <w:sz w:val="20"/>
          <w:vertAlign w:val="superscript"/>
          <w:lang w:val="en-GB"/>
        </w:rPr>
      </w:pPr>
      <w:r w:rsidRPr="002115AC">
        <w:rPr>
          <w:sz w:val="20"/>
          <w:vertAlign w:val="superscript"/>
          <w:lang w:val="en-GB"/>
        </w:rPr>
        <w:t xml:space="preserve">† </w:t>
      </w:r>
      <w:r w:rsidRPr="002115AC">
        <w:rPr>
          <w:sz w:val="20"/>
          <w:vertAlign w:val="superscript"/>
          <w:lang w:val="en-GB"/>
        </w:rPr>
        <w:tab/>
        <w:t xml:space="preserve">The recommended dose of </w:t>
      </w:r>
      <w:proofErr w:type="spellStart"/>
      <w:r w:rsidRPr="002115AC">
        <w:rPr>
          <w:sz w:val="20"/>
          <w:vertAlign w:val="superscript"/>
          <w:lang w:val="en-GB"/>
        </w:rPr>
        <w:t>lenalidomide</w:t>
      </w:r>
      <w:proofErr w:type="spellEnd"/>
      <w:r w:rsidRPr="002115AC">
        <w:rPr>
          <w:sz w:val="20"/>
          <w:vertAlign w:val="superscript"/>
          <w:lang w:val="en-GB"/>
        </w:rPr>
        <w:t xml:space="preserve"> is 25 mg orally once daily on days 1</w:t>
      </w:r>
      <w:r w:rsidRPr="002115AC">
        <w:rPr>
          <w:sz w:val="20"/>
          <w:vertAlign w:val="superscript"/>
          <w:lang w:val="en-GB"/>
        </w:rPr>
        <w:noBreakHyphen/>
        <w:t>21 of repeated 28</w:t>
      </w:r>
      <w:r w:rsidRPr="002115AC">
        <w:rPr>
          <w:sz w:val="20"/>
          <w:vertAlign w:val="superscript"/>
          <w:lang w:val="en-GB"/>
        </w:rPr>
        <w:noBreakHyphen/>
        <w:t>day cycles, and at least 2 hours after EMPLICITI administration when on the same day.</w:t>
      </w:r>
    </w:p>
    <w:p w14:paraId="39B8F479" w14:textId="14BF30D0" w:rsidR="002115AC" w:rsidRPr="002115AC" w:rsidRDefault="002115AC" w:rsidP="002115AC">
      <w:pPr>
        <w:pStyle w:val="BMSBodyText"/>
        <w:tabs>
          <w:tab w:val="left" w:pos="567"/>
        </w:tabs>
        <w:spacing w:before="0" w:after="0" w:line="240" w:lineRule="auto"/>
        <w:ind w:left="567" w:hanging="567"/>
        <w:jc w:val="left"/>
        <w:rPr>
          <w:bCs/>
          <w:sz w:val="20"/>
          <w:vertAlign w:val="superscript"/>
          <w:lang w:val="en-GB"/>
        </w:rPr>
      </w:pPr>
      <w:r w:rsidRPr="002115AC">
        <w:rPr>
          <w:sz w:val="20"/>
          <w:vertAlign w:val="superscript"/>
          <w:lang w:val="en-GB"/>
        </w:rPr>
        <w:t>‡</w:t>
      </w:r>
      <w:r w:rsidRPr="002115AC">
        <w:rPr>
          <w:sz w:val="20"/>
          <w:vertAlign w:val="superscript"/>
          <w:lang w:val="en-GB"/>
        </w:rPr>
        <w:tab/>
        <w:t xml:space="preserve">Dexamethasone should be administered as follows: On days that EMPLICITI is administered, dexamethasone should be given as 28 mg orally once daily between 3 and 24 hours before EMPLICITI plus 8 mg intravenously between 45 and 90 minutes before EMPLICITI; </w:t>
      </w:r>
      <w:proofErr w:type="gramStart"/>
      <w:r w:rsidRPr="002115AC">
        <w:rPr>
          <w:sz w:val="20"/>
          <w:vertAlign w:val="superscript"/>
          <w:lang w:val="en-GB"/>
        </w:rPr>
        <w:t>On</w:t>
      </w:r>
      <w:proofErr w:type="gramEnd"/>
      <w:r w:rsidRPr="002115AC">
        <w:rPr>
          <w:sz w:val="20"/>
          <w:vertAlign w:val="superscript"/>
          <w:lang w:val="en-GB"/>
        </w:rPr>
        <w:t xml:space="preserve"> days that EMPLICITI is not administered, it should be given as 40 mg orally once daily.</w:t>
      </w:r>
    </w:p>
    <w:p w14:paraId="772A1C60" w14:textId="77777777" w:rsidR="002115AC" w:rsidRPr="00446110" w:rsidRDefault="002115AC" w:rsidP="00B143AC">
      <w:pPr>
        <w:pStyle w:val="EMEABodyText"/>
        <w:rPr>
          <w:b/>
          <w:noProof/>
          <w:szCs w:val="24"/>
        </w:rPr>
      </w:pPr>
      <w:r w:rsidRPr="00446110">
        <w:rPr>
          <w:szCs w:val="24"/>
        </w:rPr>
        <w:t xml:space="preserve">For additional information concerning </w:t>
      </w:r>
      <w:proofErr w:type="spellStart"/>
      <w:r w:rsidRPr="00446110">
        <w:rPr>
          <w:szCs w:val="24"/>
        </w:rPr>
        <w:t>lenalidomide</w:t>
      </w:r>
      <w:proofErr w:type="spellEnd"/>
      <w:r w:rsidRPr="00446110">
        <w:rPr>
          <w:szCs w:val="24"/>
        </w:rPr>
        <w:t xml:space="preserve"> and dexamethasone, see the corresponding Product Information.</w:t>
      </w:r>
    </w:p>
    <w:p w14:paraId="3D52214F" w14:textId="20D7F287" w:rsidR="003B27D4" w:rsidRPr="00231232" w:rsidRDefault="003B27D4" w:rsidP="007E752E">
      <w:pPr>
        <w:pStyle w:val="EMEABodyText"/>
        <w:keepNext/>
        <w:rPr>
          <w:szCs w:val="24"/>
          <w:u w:val="single"/>
        </w:rPr>
      </w:pPr>
      <w:r w:rsidRPr="00231232">
        <w:rPr>
          <w:szCs w:val="24"/>
          <w:u w:val="single"/>
        </w:rPr>
        <w:t>Premedication</w:t>
      </w:r>
    </w:p>
    <w:p w14:paraId="008041EF" w14:textId="77777777" w:rsidR="003B27D4" w:rsidRPr="00231232" w:rsidRDefault="003B27D4" w:rsidP="007E752E">
      <w:pPr>
        <w:pStyle w:val="EMEABodyText"/>
        <w:keepNext/>
        <w:rPr>
          <w:szCs w:val="24"/>
        </w:rPr>
      </w:pPr>
      <w:r w:rsidRPr="00231232">
        <w:rPr>
          <w:szCs w:val="24"/>
        </w:rPr>
        <w:t xml:space="preserve">Premedication consisting of dexamethasone, H1 blocker, H2 blocker, and paracetamol should be administered prior to </w:t>
      </w:r>
      <w:proofErr w:type="spellStart"/>
      <w:r w:rsidRPr="00231232">
        <w:rPr>
          <w:szCs w:val="24"/>
        </w:rPr>
        <w:t>elotuzumab</w:t>
      </w:r>
      <w:proofErr w:type="spellEnd"/>
      <w:r w:rsidRPr="00231232">
        <w:rPr>
          <w:szCs w:val="24"/>
        </w:rPr>
        <w:t xml:space="preserve"> infusion.</w:t>
      </w:r>
    </w:p>
    <w:p w14:paraId="43DACED1" w14:textId="77777777" w:rsidR="003B27D4" w:rsidRPr="00231232" w:rsidRDefault="003B27D4" w:rsidP="003B27D4">
      <w:pPr>
        <w:pStyle w:val="EMEABodyText"/>
        <w:rPr>
          <w:szCs w:val="24"/>
        </w:rPr>
      </w:pPr>
      <w:r w:rsidRPr="00231232">
        <w:rPr>
          <w:szCs w:val="24"/>
        </w:rPr>
        <w:t xml:space="preserve">When </w:t>
      </w:r>
      <w:proofErr w:type="spellStart"/>
      <w:r w:rsidRPr="00231232">
        <w:rPr>
          <w:szCs w:val="24"/>
        </w:rPr>
        <w:t>elotuzumab</w:t>
      </w:r>
      <w:proofErr w:type="spellEnd"/>
      <w:r w:rsidRPr="00231232">
        <w:rPr>
          <w:szCs w:val="24"/>
        </w:rPr>
        <w:t xml:space="preserve"> is used in combination with </w:t>
      </w:r>
      <w:proofErr w:type="spellStart"/>
      <w:r w:rsidRPr="00231232">
        <w:rPr>
          <w:szCs w:val="24"/>
        </w:rPr>
        <w:t>lenalidomide</w:t>
      </w:r>
      <w:proofErr w:type="spellEnd"/>
      <w:r w:rsidRPr="00231232">
        <w:rPr>
          <w:szCs w:val="24"/>
        </w:rPr>
        <w:t>, dexamethasone 40 mg should be divided into an oral and intravenous dose and</w:t>
      </w:r>
      <w:r>
        <w:rPr>
          <w:szCs w:val="24"/>
        </w:rPr>
        <w:t xml:space="preserve"> administered as shown in Table 4</w:t>
      </w:r>
      <w:r w:rsidRPr="00231232">
        <w:rPr>
          <w:szCs w:val="24"/>
        </w:rPr>
        <w:t>.</w:t>
      </w:r>
    </w:p>
    <w:p w14:paraId="21132134" w14:textId="77777777" w:rsidR="003B27D4" w:rsidRDefault="003B27D4" w:rsidP="003B27D4">
      <w:pPr>
        <w:pStyle w:val="EMEABodyText"/>
        <w:rPr>
          <w:szCs w:val="24"/>
        </w:rPr>
      </w:pPr>
      <w:r w:rsidRPr="00231232">
        <w:rPr>
          <w:szCs w:val="24"/>
        </w:rPr>
        <w:t>In addition, the following premedication must be administered 45</w:t>
      </w:r>
      <w:r w:rsidRPr="00231232">
        <w:rPr>
          <w:szCs w:val="24"/>
        </w:rPr>
        <w:noBreakHyphen/>
        <w:t xml:space="preserve">90 minutes prior to </w:t>
      </w:r>
      <w:r w:rsidRPr="00231232">
        <w:rPr>
          <w:szCs w:val="24"/>
          <w:lang w:val="en-US"/>
        </w:rPr>
        <w:t xml:space="preserve">EMPLICITI </w:t>
      </w:r>
      <w:r w:rsidRPr="00231232">
        <w:rPr>
          <w:szCs w:val="24"/>
        </w:rPr>
        <w:t>infusion:</w:t>
      </w:r>
    </w:p>
    <w:p w14:paraId="75ED9C08" w14:textId="5F30771B" w:rsidR="003B27D4" w:rsidRDefault="003B27D4" w:rsidP="00BD0E4B">
      <w:pPr>
        <w:pStyle w:val="EMEABodyText"/>
        <w:ind w:left="720"/>
        <w:rPr>
          <w:szCs w:val="24"/>
        </w:rPr>
      </w:pPr>
      <w:r w:rsidRPr="00231232">
        <w:rPr>
          <w:szCs w:val="24"/>
        </w:rPr>
        <w:t>H1 blocker: diphenhydramine (25</w:t>
      </w:r>
      <w:r w:rsidRPr="00231232">
        <w:rPr>
          <w:szCs w:val="24"/>
        </w:rPr>
        <w:noBreakHyphen/>
        <w:t>50 mg orally once daily) or equivalent H1 blocker.</w:t>
      </w:r>
    </w:p>
    <w:p w14:paraId="3787DE6F" w14:textId="3202F246" w:rsidR="003B27D4" w:rsidRDefault="003B27D4" w:rsidP="00BD0E4B">
      <w:pPr>
        <w:pStyle w:val="EMEABodyText"/>
        <w:ind w:left="720"/>
        <w:rPr>
          <w:szCs w:val="24"/>
        </w:rPr>
      </w:pPr>
      <w:r w:rsidRPr="00231232">
        <w:rPr>
          <w:szCs w:val="24"/>
        </w:rPr>
        <w:t>H2 blocker: ranitidine (50 mg intravenous or 150 mg orally</w:t>
      </w:r>
      <w:r w:rsidR="00ED3C9E">
        <w:rPr>
          <w:szCs w:val="24"/>
        </w:rPr>
        <w:t xml:space="preserve"> once daily</w:t>
      </w:r>
      <w:r w:rsidRPr="00231232">
        <w:rPr>
          <w:szCs w:val="24"/>
        </w:rPr>
        <w:t>) or equivalent H2 blocker.</w:t>
      </w:r>
    </w:p>
    <w:p w14:paraId="726D2828" w14:textId="3615344F" w:rsidR="003B27D4" w:rsidRDefault="003B27D4" w:rsidP="00BD0E4B">
      <w:pPr>
        <w:pStyle w:val="EMEABodyText"/>
        <w:ind w:firstLine="720"/>
        <w:rPr>
          <w:szCs w:val="24"/>
        </w:rPr>
      </w:pPr>
      <w:proofErr w:type="gramStart"/>
      <w:r w:rsidRPr="00231232">
        <w:rPr>
          <w:szCs w:val="24"/>
        </w:rPr>
        <w:t>Paracetamol (650</w:t>
      </w:r>
      <w:r w:rsidRPr="00231232">
        <w:rPr>
          <w:szCs w:val="24"/>
        </w:rPr>
        <w:noBreakHyphen/>
        <w:t>1000 mg orally</w:t>
      </w:r>
      <w:r w:rsidR="00ED3C9E">
        <w:rPr>
          <w:szCs w:val="24"/>
        </w:rPr>
        <w:t xml:space="preserve"> once daily</w:t>
      </w:r>
      <w:r w:rsidRPr="00231232">
        <w:rPr>
          <w:szCs w:val="24"/>
        </w:rPr>
        <w:t>).</w:t>
      </w:r>
      <w:proofErr w:type="gramEnd"/>
    </w:p>
    <w:p w14:paraId="60AA6C95" w14:textId="77777777" w:rsidR="003B27D4" w:rsidRPr="00231232" w:rsidRDefault="003B27D4" w:rsidP="003B27D4">
      <w:pPr>
        <w:pStyle w:val="EMEABodyText"/>
        <w:keepNext/>
        <w:rPr>
          <w:szCs w:val="24"/>
          <w:u w:val="single"/>
        </w:rPr>
      </w:pPr>
      <w:r w:rsidRPr="00231232">
        <w:rPr>
          <w:szCs w:val="24"/>
          <w:u w:val="single"/>
        </w:rPr>
        <w:t>Dose delay, interruption, or discontinuation</w:t>
      </w:r>
    </w:p>
    <w:p w14:paraId="7D7C8661" w14:textId="77777777" w:rsidR="003B27D4" w:rsidRPr="00231232" w:rsidRDefault="003B27D4" w:rsidP="003B27D4">
      <w:pPr>
        <w:pStyle w:val="EMEABodyText"/>
        <w:rPr>
          <w:szCs w:val="24"/>
          <w:lang w:val="en-US"/>
        </w:rPr>
      </w:pPr>
      <w:r w:rsidRPr="00231232">
        <w:rPr>
          <w:szCs w:val="24"/>
          <w:lang w:val="en-US"/>
        </w:rPr>
        <w:t>If the dose of one medicine in the regimen is delayed, interrupted, or discontinued, the treatment with the other medicines may continue as scheduled. However, if dexamethasone is delayed or discontinued, the administration of EMPLICITI should be based on clinical judgment (based on risk of hypersensitivity</w:t>
      </w:r>
      <w:r w:rsidR="00E87DE6" w:rsidRPr="00231232">
        <w:rPr>
          <w:szCs w:val="24"/>
          <w:lang w:val="en-US"/>
        </w:rPr>
        <w:t>).</w:t>
      </w:r>
    </w:p>
    <w:p w14:paraId="7A94F6E1" w14:textId="77777777" w:rsidR="003B27D4" w:rsidRPr="00231232" w:rsidRDefault="003B27D4" w:rsidP="003B27D4">
      <w:pPr>
        <w:pStyle w:val="BMSBodyText"/>
        <w:spacing w:before="0" w:after="0" w:line="240" w:lineRule="auto"/>
        <w:rPr>
          <w:szCs w:val="24"/>
        </w:rPr>
      </w:pPr>
      <w:r w:rsidRPr="00231232">
        <w:rPr>
          <w:szCs w:val="24"/>
        </w:rPr>
        <w:t>Infusion rate should be modified following a ≥ Grade 2 infusion reaction (see Method of administration).</w:t>
      </w:r>
    </w:p>
    <w:p w14:paraId="2D67EA68" w14:textId="6156333A" w:rsidR="00265B6F" w:rsidRPr="00B61C4D" w:rsidRDefault="00A2311D" w:rsidP="00B06408">
      <w:pPr>
        <w:pStyle w:val="A-Heading1"/>
        <w:rPr>
          <w:noProof/>
        </w:rPr>
      </w:pPr>
      <w:r>
        <w:rPr>
          <w:noProof/>
        </w:rPr>
        <w:lastRenderedPageBreak/>
        <w:t>SPECIAL POPULATIONS</w:t>
      </w:r>
    </w:p>
    <w:p w14:paraId="1C6F0A6F" w14:textId="77777777" w:rsidR="00265B6F" w:rsidRPr="003B27D4" w:rsidRDefault="00265B6F" w:rsidP="00B06408">
      <w:pPr>
        <w:pStyle w:val="A-Heading2"/>
        <w:rPr>
          <w:noProof/>
        </w:rPr>
      </w:pPr>
      <w:r w:rsidRPr="003B27D4">
        <w:rPr>
          <w:noProof/>
        </w:rPr>
        <w:t>Paediatric population</w:t>
      </w:r>
    </w:p>
    <w:p w14:paraId="15E503E9" w14:textId="77777777" w:rsidR="00265B6F" w:rsidRPr="002A0D63" w:rsidRDefault="00265B6F" w:rsidP="00265B6F">
      <w:pPr>
        <w:pStyle w:val="EMEABodyText"/>
        <w:rPr>
          <w:szCs w:val="24"/>
          <w:lang w:val="en-US"/>
        </w:rPr>
      </w:pPr>
      <w:r w:rsidRPr="002A0D63">
        <w:rPr>
          <w:szCs w:val="24"/>
          <w:lang w:val="en-US"/>
        </w:rPr>
        <w:t xml:space="preserve">There is no relevant use of EMPLICITI in the </w:t>
      </w:r>
      <w:proofErr w:type="spellStart"/>
      <w:r w:rsidRPr="002A0D63">
        <w:rPr>
          <w:szCs w:val="24"/>
          <w:lang w:val="en-US"/>
        </w:rPr>
        <w:t>paediatric</w:t>
      </w:r>
      <w:proofErr w:type="spellEnd"/>
      <w:r w:rsidRPr="002A0D63">
        <w:rPr>
          <w:szCs w:val="24"/>
          <w:lang w:val="en-US"/>
        </w:rPr>
        <w:t xml:space="preserve"> population in the indication of multiple myeloma.</w:t>
      </w:r>
    </w:p>
    <w:p w14:paraId="100B9E97" w14:textId="77777777" w:rsidR="00265B6F" w:rsidRPr="003B27D4" w:rsidRDefault="00265B6F" w:rsidP="00B06408">
      <w:pPr>
        <w:pStyle w:val="A-Heading2"/>
        <w:rPr>
          <w:noProof/>
        </w:rPr>
      </w:pPr>
      <w:r w:rsidRPr="003B27D4">
        <w:rPr>
          <w:noProof/>
        </w:rPr>
        <w:t>Elderly patients</w:t>
      </w:r>
    </w:p>
    <w:p w14:paraId="7871DD1A" w14:textId="77777777" w:rsidR="00B16BDD" w:rsidRDefault="00265B6F" w:rsidP="00265B6F">
      <w:pPr>
        <w:pStyle w:val="EMEABodyText"/>
        <w:rPr>
          <w:noProof/>
          <w:szCs w:val="24"/>
        </w:rPr>
      </w:pPr>
      <w:r w:rsidRPr="002A0D63">
        <w:rPr>
          <w:noProof/>
          <w:szCs w:val="24"/>
        </w:rPr>
        <w:t xml:space="preserve">No dose adjustment is required for elotuzumab in patients over 65 years of age (see </w:t>
      </w:r>
      <w:r>
        <w:rPr>
          <w:noProof/>
          <w:szCs w:val="24"/>
        </w:rPr>
        <w:t>PHARMACOKINETICS</w:t>
      </w:r>
      <w:r w:rsidRPr="002A0D63">
        <w:rPr>
          <w:noProof/>
          <w:szCs w:val="24"/>
        </w:rPr>
        <w:t>).</w:t>
      </w:r>
    </w:p>
    <w:p w14:paraId="0BBAA05F" w14:textId="3F59F0A6" w:rsidR="00265B6F" w:rsidRPr="003B27D4" w:rsidRDefault="00265B6F" w:rsidP="00B06408">
      <w:pPr>
        <w:pStyle w:val="A-Heading2"/>
      </w:pPr>
      <w:r w:rsidRPr="003B27D4">
        <w:t>Patients with renal impairment</w:t>
      </w:r>
    </w:p>
    <w:p w14:paraId="4FB2FEE0" w14:textId="77777777" w:rsidR="00265B6F" w:rsidRPr="009D2A39" w:rsidRDefault="00265B6F" w:rsidP="00265B6F">
      <w:pPr>
        <w:pStyle w:val="EMEABodyText"/>
        <w:rPr>
          <w:noProof/>
          <w:szCs w:val="24"/>
        </w:rPr>
      </w:pPr>
      <w:r w:rsidRPr="009D2A39">
        <w:rPr>
          <w:noProof/>
          <w:szCs w:val="24"/>
          <w:lang w:val="en-US"/>
        </w:rPr>
        <w:t>In a study evaluating EMPLICITI in patients with renal impairment, the pharmacokinetics of elotuzumab in combination with lenalidomide and dexamethasone did not significantly differ between patients with normal renal function, severe renal impairment not requiring dialysis, or end</w:t>
      </w:r>
      <w:r w:rsidRPr="009D2A39">
        <w:rPr>
          <w:noProof/>
          <w:szCs w:val="24"/>
          <w:lang w:val="en-US"/>
        </w:rPr>
        <w:noBreakHyphen/>
        <w:t xml:space="preserve">stage renal disease requiring dialysis. </w:t>
      </w:r>
      <w:r w:rsidRPr="009D2A39">
        <w:rPr>
          <w:noProof/>
          <w:szCs w:val="24"/>
        </w:rPr>
        <w:t xml:space="preserve">No dose adjustment of EMPLICITI is required for patients </w:t>
      </w:r>
      <w:r w:rsidRPr="009D2A39">
        <w:rPr>
          <w:szCs w:val="24"/>
        </w:rPr>
        <w:t>with mild, moderate, severe renal impairment or end stage renal disease requiring dialysis (</w:t>
      </w:r>
      <w:r w:rsidRPr="009D2A39">
        <w:rPr>
          <w:szCs w:val="24"/>
          <w:lang w:val="en-US"/>
        </w:rPr>
        <w:t xml:space="preserve">see </w:t>
      </w:r>
      <w:r>
        <w:rPr>
          <w:szCs w:val="24"/>
          <w:lang w:val="en-US"/>
        </w:rPr>
        <w:t>PRECAUTIONS</w:t>
      </w:r>
      <w:r w:rsidRPr="009D2A39">
        <w:rPr>
          <w:szCs w:val="24"/>
        </w:rPr>
        <w:t>)</w:t>
      </w:r>
      <w:r w:rsidRPr="009D2A39">
        <w:rPr>
          <w:noProof/>
          <w:szCs w:val="24"/>
        </w:rPr>
        <w:t>.</w:t>
      </w:r>
    </w:p>
    <w:p w14:paraId="1CE5B9FF" w14:textId="77777777" w:rsidR="00265B6F" w:rsidRPr="003B27D4" w:rsidRDefault="00265B6F" w:rsidP="00B06408">
      <w:pPr>
        <w:pStyle w:val="A-Heading2"/>
      </w:pPr>
      <w:r w:rsidRPr="003B27D4">
        <w:t>Patients with hepatic impairment</w:t>
      </w:r>
    </w:p>
    <w:p w14:paraId="5D64A004" w14:textId="77777777" w:rsidR="00265B6F" w:rsidRPr="009D2A39" w:rsidRDefault="00265B6F" w:rsidP="007E752E">
      <w:pPr>
        <w:pStyle w:val="EMEABodyText"/>
        <w:keepNext/>
        <w:rPr>
          <w:szCs w:val="24"/>
          <w:lang w:val="en-US"/>
        </w:rPr>
      </w:pPr>
      <w:r w:rsidRPr="009D2A39">
        <w:rPr>
          <w:szCs w:val="24"/>
        </w:rPr>
        <w:t xml:space="preserve">EMPLICITI is an IgG1 monoclonal antibody, which is likely eliminated via several pathways similar to that of other antibodies. Hepatic excretion is not expected to play a dominant role in the excretion of EMPLICITI. </w:t>
      </w:r>
      <w:r w:rsidRPr="009D2A39">
        <w:rPr>
          <w:szCs w:val="24"/>
          <w:lang w:val="en-US"/>
        </w:rPr>
        <w:t xml:space="preserve">Based on a population pharmacokinetic analysis, no dose adjustment for EMPLICITI is recommended for patients with mild hepatic impairment. EMPLICITI has not been studied in patients with moderate or severe hepatic impairment (see </w:t>
      </w:r>
      <w:r>
        <w:rPr>
          <w:szCs w:val="24"/>
          <w:lang w:val="en-US"/>
        </w:rPr>
        <w:t>PRECAUTIONS</w:t>
      </w:r>
      <w:r w:rsidRPr="009D2A39">
        <w:rPr>
          <w:szCs w:val="24"/>
          <w:lang w:val="en-US"/>
        </w:rPr>
        <w:t>).</w:t>
      </w:r>
    </w:p>
    <w:p w14:paraId="77E1BBF2" w14:textId="77777777" w:rsidR="00B16BDD" w:rsidRDefault="00A2311D" w:rsidP="00B06408">
      <w:pPr>
        <w:pStyle w:val="A-Heading1"/>
        <w:rPr>
          <w:noProof/>
        </w:rPr>
      </w:pPr>
      <w:r>
        <w:rPr>
          <w:noProof/>
        </w:rPr>
        <w:t>METHOD OF ADMINISTRATION INFUSION RATES</w:t>
      </w:r>
    </w:p>
    <w:p w14:paraId="5AA57720" w14:textId="433C359E" w:rsidR="001C5CDE" w:rsidRDefault="001C5CDE" w:rsidP="001C5CDE">
      <w:pPr>
        <w:pStyle w:val="EMEABodyText"/>
        <w:rPr>
          <w:szCs w:val="24"/>
        </w:rPr>
      </w:pPr>
      <w:r w:rsidRPr="00CE4E0B">
        <w:rPr>
          <w:szCs w:val="24"/>
          <w:lang w:val="en-US"/>
        </w:rPr>
        <w:t xml:space="preserve">EMPLICITI </w:t>
      </w:r>
      <w:r w:rsidRPr="00CE4E0B">
        <w:rPr>
          <w:szCs w:val="24"/>
        </w:rPr>
        <w:t>is for intravenous use only.</w:t>
      </w:r>
    </w:p>
    <w:p w14:paraId="18D7E57D" w14:textId="33F6E77C" w:rsidR="001C5CDE" w:rsidRPr="00CE4E0B" w:rsidRDefault="001C5CDE" w:rsidP="001C5CDE">
      <w:pPr>
        <w:pStyle w:val="EMEABodyText"/>
        <w:rPr>
          <w:szCs w:val="24"/>
        </w:rPr>
      </w:pPr>
      <w:r w:rsidRPr="00CE4E0B">
        <w:rPr>
          <w:szCs w:val="24"/>
        </w:rPr>
        <w:t>The administration of the diluted reconstituted solution must be initiated at an infusion rate of 0.5 mL per minute. If the infusion is well tolerated the infusion rate may be increased in a stepwise fashion as described in Table</w:t>
      </w:r>
      <w:r w:rsidR="003355B3">
        <w:rPr>
          <w:szCs w:val="24"/>
        </w:rPr>
        <w:t xml:space="preserve"> </w:t>
      </w:r>
      <w:r w:rsidR="00FB377E">
        <w:rPr>
          <w:szCs w:val="24"/>
        </w:rPr>
        <w:t>5</w:t>
      </w:r>
      <w:r w:rsidRPr="00CE4E0B">
        <w:rPr>
          <w:szCs w:val="24"/>
        </w:rPr>
        <w:t>. The maximum infusion rate should not exceed 5 mL per minute.</w:t>
      </w:r>
    </w:p>
    <w:p w14:paraId="60425BFB" w14:textId="78D1B5F3" w:rsidR="007C0F2C" w:rsidRPr="00231232" w:rsidRDefault="00B06408" w:rsidP="00B06408">
      <w:pPr>
        <w:pStyle w:val="Caption"/>
      </w:pPr>
      <w:r>
        <w:t xml:space="preserve">Table </w:t>
      </w:r>
      <w:r>
        <w:fldChar w:fldCharType="begin"/>
      </w:r>
      <w:r>
        <w:instrText xml:space="preserve"> SEQ Table \* ARABIC </w:instrText>
      </w:r>
      <w:r>
        <w:fldChar w:fldCharType="separate"/>
      </w:r>
      <w:r>
        <w:rPr>
          <w:noProof/>
        </w:rPr>
        <w:t>5</w:t>
      </w:r>
      <w:r>
        <w:fldChar w:fldCharType="end"/>
      </w:r>
      <w:r w:rsidR="007C0F2C" w:rsidRPr="00231232">
        <w:t>: Infusion Rate for EMPLICITI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45"/>
        <w:gridCol w:w="1425"/>
        <w:gridCol w:w="1443"/>
        <w:gridCol w:w="3273"/>
      </w:tblGrid>
      <w:tr w:rsidR="007C0F2C" w:rsidRPr="007C0F2C" w14:paraId="4E1445AB" w14:textId="77777777" w:rsidTr="00B06408">
        <w:trPr>
          <w:tblHeader/>
        </w:trPr>
        <w:tc>
          <w:tcPr>
            <w:tcW w:w="1591" w:type="pct"/>
            <w:gridSpan w:val="2"/>
            <w:tcBorders>
              <w:top w:val="single" w:sz="4" w:space="0" w:color="auto"/>
              <w:bottom w:val="single" w:sz="4" w:space="0" w:color="auto"/>
              <w:right w:val="single" w:sz="4" w:space="0" w:color="auto"/>
            </w:tcBorders>
          </w:tcPr>
          <w:p w14:paraId="6CCF9382" w14:textId="77777777" w:rsidR="007C0F2C" w:rsidRPr="007C0F2C" w:rsidRDefault="007C0F2C" w:rsidP="007C0F2C">
            <w:pPr>
              <w:pStyle w:val="BMSBodyText"/>
              <w:keepNext/>
              <w:spacing w:after="0" w:line="240" w:lineRule="auto"/>
              <w:jc w:val="center"/>
              <w:rPr>
                <w:b/>
                <w:sz w:val="20"/>
                <w:lang w:val="en-GB"/>
              </w:rPr>
            </w:pPr>
            <w:r w:rsidRPr="007C0F2C">
              <w:rPr>
                <w:b/>
                <w:sz w:val="20"/>
              </w:rPr>
              <w:t>Cycle 1, Dose 1</w:t>
            </w:r>
          </w:p>
        </w:tc>
        <w:tc>
          <w:tcPr>
            <w:tcW w:w="1592" w:type="pct"/>
            <w:gridSpan w:val="2"/>
            <w:tcBorders>
              <w:top w:val="single" w:sz="4" w:space="0" w:color="auto"/>
              <w:left w:val="single" w:sz="4" w:space="0" w:color="auto"/>
              <w:bottom w:val="single" w:sz="4" w:space="0" w:color="auto"/>
              <w:right w:val="single" w:sz="4" w:space="0" w:color="auto"/>
            </w:tcBorders>
          </w:tcPr>
          <w:p w14:paraId="725ACE92" w14:textId="77777777" w:rsidR="007C0F2C" w:rsidRPr="007C0F2C" w:rsidRDefault="007C0F2C" w:rsidP="007C0F2C">
            <w:pPr>
              <w:pStyle w:val="BMSBodyText"/>
              <w:keepNext/>
              <w:spacing w:after="0" w:line="240" w:lineRule="auto"/>
              <w:jc w:val="center"/>
              <w:rPr>
                <w:b/>
                <w:sz w:val="20"/>
                <w:lang w:val="en-GB"/>
              </w:rPr>
            </w:pPr>
            <w:r w:rsidRPr="007C0F2C">
              <w:rPr>
                <w:b/>
                <w:sz w:val="20"/>
              </w:rPr>
              <w:t>Cycle 1, Dose 2</w:t>
            </w:r>
          </w:p>
        </w:tc>
        <w:tc>
          <w:tcPr>
            <w:tcW w:w="1817" w:type="pct"/>
            <w:tcBorders>
              <w:top w:val="single" w:sz="4" w:space="0" w:color="auto"/>
              <w:left w:val="single" w:sz="4" w:space="0" w:color="auto"/>
              <w:bottom w:val="single" w:sz="4" w:space="0" w:color="auto"/>
            </w:tcBorders>
          </w:tcPr>
          <w:p w14:paraId="1856F7B4" w14:textId="77777777" w:rsidR="00B16BDD" w:rsidRDefault="007C0F2C" w:rsidP="007C0F2C">
            <w:pPr>
              <w:pStyle w:val="BMSBodyText"/>
              <w:keepNext/>
              <w:spacing w:after="0" w:line="240" w:lineRule="auto"/>
              <w:jc w:val="center"/>
              <w:rPr>
                <w:b/>
                <w:sz w:val="20"/>
              </w:rPr>
            </w:pPr>
            <w:r w:rsidRPr="007C0F2C">
              <w:rPr>
                <w:b/>
                <w:sz w:val="20"/>
              </w:rPr>
              <w:t>Cycle 1, Dose 3 and 4</w:t>
            </w:r>
          </w:p>
          <w:p w14:paraId="278FAE09" w14:textId="29F4330B" w:rsidR="007C0F2C" w:rsidRPr="007C0F2C" w:rsidRDefault="007C0F2C" w:rsidP="007C0F2C">
            <w:pPr>
              <w:pStyle w:val="BMSBodyText"/>
              <w:keepNext/>
              <w:spacing w:after="0" w:line="240" w:lineRule="auto"/>
              <w:jc w:val="center"/>
              <w:rPr>
                <w:b/>
                <w:sz w:val="20"/>
                <w:lang w:val="en-GB"/>
              </w:rPr>
            </w:pPr>
            <w:r w:rsidRPr="007C0F2C">
              <w:rPr>
                <w:b/>
                <w:sz w:val="20"/>
              </w:rPr>
              <w:t>And all subsequent Cycles</w:t>
            </w:r>
          </w:p>
        </w:tc>
      </w:tr>
      <w:tr w:rsidR="007C0F2C" w:rsidRPr="007C0F2C" w14:paraId="6B62405A" w14:textId="77777777" w:rsidTr="007C0F2C">
        <w:tc>
          <w:tcPr>
            <w:tcW w:w="789" w:type="pct"/>
            <w:tcBorders>
              <w:top w:val="single" w:sz="4" w:space="0" w:color="auto"/>
              <w:bottom w:val="single" w:sz="4" w:space="0" w:color="auto"/>
              <w:right w:val="single" w:sz="4" w:space="0" w:color="auto"/>
            </w:tcBorders>
          </w:tcPr>
          <w:p w14:paraId="7AC18603" w14:textId="77777777" w:rsidR="007C0F2C" w:rsidRPr="007C0F2C" w:rsidRDefault="007C0F2C" w:rsidP="007C0F2C">
            <w:pPr>
              <w:pStyle w:val="BMSBodyText"/>
              <w:spacing w:after="0" w:line="240" w:lineRule="auto"/>
              <w:jc w:val="center"/>
              <w:rPr>
                <w:b/>
                <w:sz w:val="20"/>
              </w:rPr>
            </w:pPr>
            <w:r w:rsidRPr="007C0F2C">
              <w:rPr>
                <w:b/>
                <w:sz w:val="20"/>
              </w:rPr>
              <w:t>Time Interval</w:t>
            </w:r>
          </w:p>
        </w:tc>
        <w:tc>
          <w:tcPr>
            <w:tcW w:w="801" w:type="pct"/>
            <w:tcBorders>
              <w:top w:val="single" w:sz="4" w:space="0" w:color="auto"/>
              <w:left w:val="single" w:sz="4" w:space="0" w:color="auto"/>
              <w:bottom w:val="single" w:sz="4" w:space="0" w:color="auto"/>
              <w:right w:val="single" w:sz="4" w:space="0" w:color="auto"/>
            </w:tcBorders>
          </w:tcPr>
          <w:p w14:paraId="6D3F1992" w14:textId="77777777" w:rsidR="007C0F2C" w:rsidRPr="007C0F2C" w:rsidRDefault="007C0F2C" w:rsidP="007C0F2C">
            <w:pPr>
              <w:pStyle w:val="BMSBodyText"/>
              <w:spacing w:after="0" w:line="240" w:lineRule="auto"/>
              <w:jc w:val="center"/>
              <w:rPr>
                <w:b/>
                <w:sz w:val="20"/>
              </w:rPr>
            </w:pPr>
            <w:r w:rsidRPr="007C0F2C">
              <w:rPr>
                <w:b/>
                <w:sz w:val="20"/>
              </w:rPr>
              <w:t>Rate</w:t>
            </w:r>
          </w:p>
        </w:tc>
        <w:tc>
          <w:tcPr>
            <w:tcW w:w="791" w:type="pct"/>
            <w:tcBorders>
              <w:top w:val="single" w:sz="4" w:space="0" w:color="auto"/>
              <w:left w:val="single" w:sz="4" w:space="0" w:color="auto"/>
              <w:bottom w:val="single" w:sz="4" w:space="0" w:color="auto"/>
              <w:right w:val="single" w:sz="4" w:space="0" w:color="auto"/>
            </w:tcBorders>
          </w:tcPr>
          <w:p w14:paraId="28C4F93E" w14:textId="77777777" w:rsidR="007C0F2C" w:rsidRPr="007C0F2C" w:rsidRDefault="007C0F2C" w:rsidP="007C0F2C">
            <w:pPr>
              <w:pStyle w:val="BMSBodyText"/>
              <w:spacing w:after="0" w:line="240" w:lineRule="auto"/>
              <w:jc w:val="center"/>
              <w:rPr>
                <w:b/>
                <w:sz w:val="20"/>
              </w:rPr>
            </w:pPr>
            <w:r w:rsidRPr="007C0F2C">
              <w:rPr>
                <w:b/>
                <w:sz w:val="20"/>
              </w:rPr>
              <w:t>Time</w:t>
            </w:r>
          </w:p>
          <w:p w14:paraId="279A7519" w14:textId="77777777" w:rsidR="007C0F2C" w:rsidRPr="007C0F2C" w:rsidRDefault="007C0F2C" w:rsidP="007C0F2C">
            <w:pPr>
              <w:pStyle w:val="BMSBodyText"/>
              <w:spacing w:after="0" w:line="240" w:lineRule="auto"/>
              <w:jc w:val="center"/>
              <w:rPr>
                <w:b/>
                <w:sz w:val="20"/>
              </w:rPr>
            </w:pPr>
            <w:r w:rsidRPr="007C0F2C">
              <w:rPr>
                <w:b/>
                <w:sz w:val="20"/>
              </w:rPr>
              <w:t>Interval</w:t>
            </w:r>
          </w:p>
        </w:tc>
        <w:tc>
          <w:tcPr>
            <w:tcW w:w="801" w:type="pct"/>
            <w:tcBorders>
              <w:top w:val="single" w:sz="4" w:space="0" w:color="auto"/>
              <w:left w:val="single" w:sz="4" w:space="0" w:color="auto"/>
              <w:bottom w:val="single" w:sz="4" w:space="0" w:color="auto"/>
              <w:right w:val="single" w:sz="4" w:space="0" w:color="auto"/>
            </w:tcBorders>
          </w:tcPr>
          <w:p w14:paraId="6B8B150C" w14:textId="77777777" w:rsidR="007C0F2C" w:rsidRPr="007C0F2C" w:rsidRDefault="007C0F2C" w:rsidP="007C0F2C">
            <w:pPr>
              <w:pStyle w:val="BMSBodyText"/>
              <w:spacing w:after="0" w:line="240" w:lineRule="auto"/>
              <w:jc w:val="center"/>
              <w:rPr>
                <w:b/>
                <w:sz w:val="20"/>
              </w:rPr>
            </w:pPr>
            <w:r w:rsidRPr="007C0F2C">
              <w:rPr>
                <w:b/>
                <w:sz w:val="20"/>
              </w:rPr>
              <w:t>Rate</w:t>
            </w:r>
          </w:p>
        </w:tc>
        <w:tc>
          <w:tcPr>
            <w:tcW w:w="1817" w:type="pct"/>
            <w:tcBorders>
              <w:top w:val="single" w:sz="4" w:space="0" w:color="auto"/>
              <w:left w:val="single" w:sz="4" w:space="0" w:color="auto"/>
              <w:bottom w:val="nil"/>
              <w:right w:val="single" w:sz="4" w:space="0" w:color="auto"/>
            </w:tcBorders>
          </w:tcPr>
          <w:p w14:paraId="51B36CD0" w14:textId="77777777" w:rsidR="007C0F2C" w:rsidRPr="007C0F2C" w:rsidRDefault="007C0F2C" w:rsidP="007C0F2C">
            <w:pPr>
              <w:pStyle w:val="BMSBodyText"/>
              <w:spacing w:after="0" w:line="240" w:lineRule="auto"/>
              <w:jc w:val="center"/>
              <w:rPr>
                <w:b/>
                <w:sz w:val="20"/>
              </w:rPr>
            </w:pPr>
            <w:r w:rsidRPr="007C0F2C">
              <w:rPr>
                <w:b/>
                <w:sz w:val="20"/>
              </w:rPr>
              <w:t>Rate</w:t>
            </w:r>
          </w:p>
        </w:tc>
      </w:tr>
      <w:tr w:rsidR="007C0F2C" w:rsidRPr="007C0F2C" w14:paraId="288DBF8E" w14:textId="77777777" w:rsidTr="007C0F2C">
        <w:tc>
          <w:tcPr>
            <w:tcW w:w="789" w:type="pct"/>
            <w:tcBorders>
              <w:top w:val="single" w:sz="4" w:space="0" w:color="auto"/>
              <w:left w:val="single" w:sz="4" w:space="0" w:color="auto"/>
              <w:bottom w:val="nil"/>
              <w:right w:val="nil"/>
            </w:tcBorders>
          </w:tcPr>
          <w:p w14:paraId="334B9FE7" w14:textId="77777777" w:rsidR="007C0F2C" w:rsidRPr="007C0F2C" w:rsidRDefault="007C0F2C" w:rsidP="007C0F2C">
            <w:pPr>
              <w:pStyle w:val="BMSBodyText"/>
              <w:spacing w:after="0" w:line="240" w:lineRule="auto"/>
              <w:jc w:val="center"/>
              <w:rPr>
                <w:sz w:val="20"/>
              </w:rPr>
            </w:pPr>
            <w:r w:rsidRPr="007C0F2C">
              <w:rPr>
                <w:sz w:val="20"/>
              </w:rPr>
              <w:t>0</w:t>
            </w:r>
            <w:r w:rsidRPr="007C0F2C">
              <w:rPr>
                <w:sz w:val="20"/>
              </w:rPr>
              <w:noBreakHyphen/>
              <w:t>30 min</w:t>
            </w:r>
          </w:p>
        </w:tc>
        <w:tc>
          <w:tcPr>
            <w:tcW w:w="801" w:type="pct"/>
            <w:tcBorders>
              <w:top w:val="single" w:sz="4" w:space="0" w:color="auto"/>
              <w:left w:val="nil"/>
              <w:bottom w:val="nil"/>
              <w:right w:val="single" w:sz="4" w:space="0" w:color="auto"/>
            </w:tcBorders>
          </w:tcPr>
          <w:p w14:paraId="77422746" w14:textId="77777777" w:rsidR="007C0F2C" w:rsidRPr="007C0F2C" w:rsidRDefault="007C0F2C" w:rsidP="007C0F2C">
            <w:pPr>
              <w:pStyle w:val="BMSBodyText"/>
              <w:spacing w:after="0" w:line="240" w:lineRule="auto"/>
              <w:jc w:val="center"/>
              <w:rPr>
                <w:sz w:val="20"/>
              </w:rPr>
            </w:pPr>
            <w:r w:rsidRPr="007C0F2C">
              <w:rPr>
                <w:sz w:val="20"/>
              </w:rPr>
              <w:t>0.5 mL/min</w:t>
            </w:r>
          </w:p>
        </w:tc>
        <w:tc>
          <w:tcPr>
            <w:tcW w:w="791" w:type="pct"/>
            <w:tcBorders>
              <w:top w:val="single" w:sz="4" w:space="0" w:color="auto"/>
              <w:left w:val="single" w:sz="4" w:space="0" w:color="auto"/>
              <w:bottom w:val="nil"/>
              <w:right w:val="nil"/>
            </w:tcBorders>
          </w:tcPr>
          <w:p w14:paraId="3FE997C6" w14:textId="77777777" w:rsidR="007C0F2C" w:rsidRPr="007C0F2C" w:rsidRDefault="007C0F2C" w:rsidP="007C0F2C">
            <w:pPr>
              <w:pStyle w:val="BMSBodyText"/>
              <w:spacing w:after="0" w:line="240" w:lineRule="auto"/>
              <w:jc w:val="center"/>
              <w:rPr>
                <w:sz w:val="20"/>
              </w:rPr>
            </w:pPr>
            <w:r w:rsidRPr="007C0F2C">
              <w:rPr>
                <w:sz w:val="20"/>
              </w:rPr>
              <w:t>0</w:t>
            </w:r>
            <w:r w:rsidRPr="007C0F2C">
              <w:rPr>
                <w:sz w:val="20"/>
              </w:rPr>
              <w:noBreakHyphen/>
              <w:t>30 min</w:t>
            </w:r>
          </w:p>
        </w:tc>
        <w:tc>
          <w:tcPr>
            <w:tcW w:w="801" w:type="pct"/>
            <w:tcBorders>
              <w:top w:val="single" w:sz="4" w:space="0" w:color="auto"/>
              <w:left w:val="nil"/>
              <w:bottom w:val="nil"/>
              <w:right w:val="single" w:sz="4" w:space="0" w:color="auto"/>
            </w:tcBorders>
          </w:tcPr>
          <w:p w14:paraId="7F705DC5" w14:textId="77777777" w:rsidR="007C0F2C" w:rsidRPr="007C0F2C" w:rsidRDefault="007C0F2C" w:rsidP="007C0F2C">
            <w:pPr>
              <w:pStyle w:val="BMSBodyText"/>
              <w:spacing w:after="0" w:line="240" w:lineRule="auto"/>
              <w:jc w:val="center"/>
              <w:rPr>
                <w:sz w:val="20"/>
              </w:rPr>
            </w:pPr>
            <w:r w:rsidRPr="007C0F2C">
              <w:rPr>
                <w:sz w:val="20"/>
              </w:rPr>
              <w:t>3 mL/min</w:t>
            </w:r>
          </w:p>
        </w:tc>
        <w:tc>
          <w:tcPr>
            <w:tcW w:w="1817" w:type="pct"/>
            <w:vMerge w:val="restart"/>
            <w:tcBorders>
              <w:top w:val="nil"/>
              <w:left w:val="single" w:sz="4" w:space="0" w:color="auto"/>
              <w:bottom w:val="single" w:sz="4" w:space="0" w:color="auto"/>
              <w:right w:val="single" w:sz="4" w:space="0" w:color="auto"/>
            </w:tcBorders>
          </w:tcPr>
          <w:p w14:paraId="14CA3C6A" w14:textId="77777777" w:rsidR="007C0F2C" w:rsidRPr="007C0F2C" w:rsidRDefault="007C0F2C" w:rsidP="007C0F2C">
            <w:pPr>
              <w:pStyle w:val="BMSBodyText"/>
              <w:spacing w:after="0" w:line="240" w:lineRule="auto"/>
              <w:jc w:val="center"/>
              <w:rPr>
                <w:sz w:val="20"/>
              </w:rPr>
            </w:pPr>
          </w:p>
          <w:p w14:paraId="2D7C6D13" w14:textId="77777777" w:rsidR="007C0F2C" w:rsidRPr="007C0F2C" w:rsidRDefault="007C0F2C" w:rsidP="007C0F2C">
            <w:pPr>
              <w:pStyle w:val="BMSBodyText"/>
              <w:spacing w:after="0" w:line="240" w:lineRule="auto"/>
              <w:jc w:val="center"/>
              <w:rPr>
                <w:sz w:val="20"/>
              </w:rPr>
            </w:pPr>
            <w:r w:rsidRPr="007C0F2C">
              <w:rPr>
                <w:sz w:val="20"/>
              </w:rPr>
              <w:t>5 mL/min*</w:t>
            </w:r>
          </w:p>
          <w:p w14:paraId="19713F15" w14:textId="77777777" w:rsidR="007C0F2C" w:rsidRPr="007C0F2C" w:rsidRDefault="007C0F2C" w:rsidP="007C0F2C">
            <w:pPr>
              <w:pStyle w:val="BMSBodyText"/>
              <w:spacing w:after="0" w:line="240" w:lineRule="auto"/>
              <w:jc w:val="center"/>
              <w:rPr>
                <w:sz w:val="20"/>
              </w:rPr>
            </w:pPr>
          </w:p>
        </w:tc>
      </w:tr>
      <w:tr w:rsidR="007C0F2C" w:rsidRPr="007C0F2C" w14:paraId="27F9AA34" w14:textId="77777777" w:rsidTr="007C0F2C">
        <w:tc>
          <w:tcPr>
            <w:tcW w:w="789" w:type="pct"/>
            <w:tcBorders>
              <w:top w:val="nil"/>
              <w:left w:val="single" w:sz="4" w:space="0" w:color="auto"/>
              <w:bottom w:val="nil"/>
              <w:right w:val="nil"/>
            </w:tcBorders>
          </w:tcPr>
          <w:p w14:paraId="60FA6388" w14:textId="77777777" w:rsidR="007C0F2C" w:rsidRPr="007C0F2C" w:rsidRDefault="007C0F2C" w:rsidP="007C0F2C">
            <w:pPr>
              <w:pStyle w:val="BMSBodyText"/>
              <w:spacing w:after="0" w:line="240" w:lineRule="auto"/>
              <w:jc w:val="center"/>
              <w:rPr>
                <w:sz w:val="20"/>
              </w:rPr>
            </w:pPr>
            <w:r w:rsidRPr="007C0F2C">
              <w:rPr>
                <w:sz w:val="20"/>
              </w:rPr>
              <w:t>30</w:t>
            </w:r>
            <w:r w:rsidRPr="007C0F2C">
              <w:rPr>
                <w:sz w:val="20"/>
              </w:rPr>
              <w:noBreakHyphen/>
              <w:t>60 min</w:t>
            </w:r>
          </w:p>
        </w:tc>
        <w:tc>
          <w:tcPr>
            <w:tcW w:w="801" w:type="pct"/>
            <w:tcBorders>
              <w:top w:val="nil"/>
              <w:left w:val="nil"/>
              <w:bottom w:val="nil"/>
              <w:right w:val="single" w:sz="4" w:space="0" w:color="auto"/>
            </w:tcBorders>
          </w:tcPr>
          <w:p w14:paraId="00C9340C" w14:textId="77777777" w:rsidR="007C0F2C" w:rsidRPr="007C0F2C" w:rsidRDefault="007C0F2C" w:rsidP="007C0F2C">
            <w:pPr>
              <w:pStyle w:val="BMSBodyText"/>
              <w:spacing w:after="0" w:line="240" w:lineRule="auto"/>
              <w:jc w:val="center"/>
              <w:rPr>
                <w:sz w:val="20"/>
              </w:rPr>
            </w:pPr>
            <w:r w:rsidRPr="007C0F2C">
              <w:rPr>
                <w:sz w:val="20"/>
              </w:rPr>
              <w:t>1 mL/min</w:t>
            </w:r>
          </w:p>
        </w:tc>
        <w:tc>
          <w:tcPr>
            <w:tcW w:w="791" w:type="pct"/>
            <w:tcBorders>
              <w:top w:val="nil"/>
              <w:left w:val="single" w:sz="4" w:space="0" w:color="auto"/>
              <w:bottom w:val="nil"/>
              <w:right w:val="nil"/>
            </w:tcBorders>
          </w:tcPr>
          <w:p w14:paraId="41DE6974" w14:textId="77777777" w:rsidR="007C0F2C" w:rsidRPr="007C0F2C" w:rsidRDefault="007C0F2C" w:rsidP="007C0F2C">
            <w:pPr>
              <w:pStyle w:val="BMSBodyText"/>
              <w:spacing w:after="0" w:line="240" w:lineRule="auto"/>
              <w:jc w:val="center"/>
              <w:rPr>
                <w:sz w:val="20"/>
              </w:rPr>
            </w:pPr>
            <w:r w:rsidRPr="007C0F2C">
              <w:rPr>
                <w:sz w:val="20"/>
              </w:rPr>
              <w:t>≥ 30 min</w:t>
            </w:r>
          </w:p>
        </w:tc>
        <w:tc>
          <w:tcPr>
            <w:tcW w:w="801" w:type="pct"/>
            <w:tcBorders>
              <w:top w:val="nil"/>
              <w:left w:val="nil"/>
              <w:bottom w:val="nil"/>
              <w:right w:val="single" w:sz="4" w:space="0" w:color="auto"/>
            </w:tcBorders>
          </w:tcPr>
          <w:p w14:paraId="0C8070B8" w14:textId="77777777" w:rsidR="007C0F2C" w:rsidRPr="007C0F2C" w:rsidRDefault="007C0F2C" w:rsidP="007C0F2C">
            <w:pPr>
              <w:pStyle w:val="BMSBodyText"/>
              <w:spacing w:after="0" w:line="240" w:lineRule="auto"/>
              <w:jc w:val="center"/>
              <w:rPr>
                <w:sz w:val="20"/>
              </w:rPr>
            </w:pPr>
            <w:r w:rsidRPr="007C0F2C">
              <w:rPr>
                <w:sz w:val="20"/>
              </w:rPr>
              <w:t>4 mL/min*</w:t>
            </w:r>
          </w:p>
        </w:tc>
        <w:tc>
          <w:tcPr>
            <w:tcW w:w="1817" w:type="pct"/>
            <w:vMerge/>
            <w:tcBorders>
              <w:top w:val="single" w:sz="4" w:space="0" w:color="auto"/>
              <w:left w:val="single" w:sz="4" w:space="0" w:color="auto"/>
              <w:right w:val="single" w:sz="4" w:space="0" w:color="auto"/>
            </w:tcBorders>
            <w:shd w:val="pct15" w:color="auto" w:fill="auto"/>
          </w:tcPr>
          <w:p w14:paraId="3670FF29" w14:textId="77777777" w:rsidR="007C0F2C" w:rsidRPr="007C0F2C" w:rsidRDefault="007C0F2C" w:rsidP="007C0F2C">
            <w:pPr>
              <w:pStyle w:val="BMSBodyText"/>
              <w:spacing w:after="0" w:line="240" w:lineRule="auto"/>
              <w:jc w:val="center"/>
              <w:rPr>
                <w:sz w:val="20"/>
              </w:rPr>
            </w:pPr>
          </w:p>
        </w:tc>
      </w:tr>
      <w:tr w:rsidR="007C0F2C" w:rsidRPr="007C0F2C" w14:paraId="11716510" w14:textId="77777777" w:rsidTr="007C0F2C">
        <w:tc>
          <w:tcPr>
            <w:tcW w:w="789" w:type="pct"/>
            <w:tcBorders>
              <w:top w:val="nil"/>
              <w:left w:val="single" w:sz="4" w:space="0" w:color="auto"/>
              <w:bottom w:val="single" w:sz="4" w:space="0" w:color="auto"/>
              <w:right w:val="nil"/>
            </w:tcBorders>
          </w:tcPr>
          <w:p w14:paraId="30034C5B" w14:textId="77777777" w:rsidR="007C0F2C" w:rsidRPr="007C0F2C" w:rsidRDefault="007C0F2C" w:rsidP="007C0F2C">
            <w:pPr>
              <w:pStyle w:val="BMSBodyText"/>
              <w:spacing w:after="0" w:line="240" w:lineRule="auto"/>
              <w:jc w:val="center"/>
              <w:rPr>
                <w:sz w:val="20"/>
              </w:rPr>
            </w:pPr>
            <w:r w:rsidRPr="007C0F2C">
              <w:rPr>
                <w:sz w:val="20"/>
              </w:rPr>
              <w:t>≥ 60 min</w:t>
            </w:r>
          </w:p>
        </w:tc>
        <w:tc>
          <w:tcPr>
            <w:tcW w:w="801" w:type="pct"/>
            <w:tcBorders>
              <w:top w:val="nil"/>
              <w:left w:val="nil"/>
              <w:bottom w:val="single" w:sz="4" w:space="0" w:color="auto"/>
              <w:right w:val="single" w:sz="4" w:space="0" w:color="auto"/>
            </w:tcBorders>
          </w:tcPr>
          <w:p w14:paraId="09951322" w14:textId="77777777" w:rsidR="007C0F2C" w:rsidRPr="007C0F2C" w:rsidRDefault="007C0F2C" w:rsidP="007C0F2C">
            <w:pPr>
              <w:pStyle w:val="BMSBodyText"/>
              <w:spacing w:after="0" w:line="240" w:lineRule="auto"/>
              <w:jc w:val="center"/>
              <w:rPr>
                <w:sz w:val="20"/>
              </w:rPr>
            </w:pPr>
            <w:r w:rsidRPr="007C0F2C">
              <w:rPr>
                <w:sz w:val="20"/>
              </w:rPr>
              <w:t>2 mL/min*</w:t>
            </w:r>
          </w:p>
        </w:tc>
        <w:tc>
          <w:tcPr>
            <w:tcW w:w="791" w:type="pct"/>
            <w:tcBorders>
              <w:top w:val="nil"/>
              <w:left w:val="single" w:sz="4" w:space="0" w:color="auto"/>
              <w:bottom w:val="single" w:sz="4" w:space="0" w:color="auto"/>
              <w:right w:val="nil"/>
            </w:tcBorders>
            <w:shd w:val="clear" w:color="auto" w:fill="auto"/>
          </w:tcPr>
          <w:p w14:paraId="370BAB2F" w14:textId="77777777" w:rsidR="007C0F2C" w:rsidRPr="007C0F2C" w:rsidRDefault="007C0F2C" w:rsidP="007C0F2C">
            <w:pPr>
              <w:pStyle w:val="BMSBodyText"/>
              <w:spacing w:after="0" w:line="240" w:lineRule="auto"/>
              <w:jc w:val="center"/>
              <w:rPr>
                <w:sz w:val="20"/>
              </w:rPr>
            </w:pPr>
            <w:r w:rsidRPr="007C0F2C">
              <w:rPr>
                <w:sz w:val="20"/>
              </w:rPr>
              <w:t>-</w:t>
            </w:r>
          </w:p>
        </w:tc>
        <w:tc>
          <w:tcPr>
            <w:tcW w:w="801" w:type="pct"/>
            <w:tcBorders>
              <w:top w:val="nil"/>
              <w:left w:val="nil"/>
              <w:bottom w:val="single" w:sz="4" w:space="0" w:color="auto"/>
              <w:right w:val="single" w:sz="4" w:space="0" w:color="auto"/>
            </w:tcBorders>
            <w:shd w:val="clear" w:color="auto" w:fill="auto"/>
          </w:tcPr>
          <w:p w14:paraId="55B30DE1" w14:textId="77777777" w:rsidR="007C0F2C" w:rsidRPr="007C0F2C" w:rsidRDefault="007C0F2C" w:rsidP="007C0F2C">
            <w:pPr>
              <w:pStyle w:val="BMSBodyText"/>
              <w:spacing w:after="0" w:line="240" w:lineRule="auto"/>
              <w:jc w:val="center"/>
              <w:rPr>
                <w:sz w:val="20"/>
              </w:rPr>
            </w:pPr>
            <w:r w:rsidRPr="007C0F2C">
              <w:rPr>
                <w:sz w:val="20"/>
              </w:rPr>
              <w:t>-</w:t>
            </w:r>
          </w:p>
        </w:tc>
        <w:tc>
          <w:tcPr>
            <w:tcW w:w="1817" w:type="pct"/>
            <w:vMerge/>
            <w:tcBorders>
              <w:left w:val="single" w:sz="4" w:space="0" w:color="auto"/>
              <w:bottom w:val="single" w:sz="4" w:space="0" w:color="auto"/>
              <w:right w:val="single" w:sz="4" w:space="0" w:color="auto"/>
            </w:tcBorders>
            <w:shd w:val="pct15" w:color="auto" w:fill="auto"/>
          </w:tcPr>
          <w:p w14:paraId="5128487B" w14:textId="77777777" w:rsidR="007C0F2C" w:rsidRPr="007C0F2C" w:rsidRDefault="007C0F2C" w:rsidP="007C0F2C">
            <w:pPr>
              <w:pStyle w:val="BMSBodyText"/>
              <w:spacing w:after="0" w:line="240" w:lineRule="auto"/>
              <w:jc w:val="center"/>
              <w:rPr>
                <w:sz w:val="20"/>
              </w:rPr>
            </w:pPr>
          </w:p>
        </w:tc>
      </w:tr>
    </w:tbl>
    <w:p w14:paraId="463ECA23" w14:textId="77777777" w:rsidR="007C0F2C" w:rsidRPr="00231232" w:rsidRDefault="007C0F2C" w:rsidP="007C0F2C">
      <w:pPr>
        <w:pStyle w:val="EMEAComment"/>
      </w:pPr>
      <w:r w:rsidRPr="00231232">
        <w:t>*</w:t>
      </w:r>
      <w:r w:rsidRPr="00231232">
        <w:tab/>
        <w:t>Continue this rate until infusion is completed, approximately 1 hour based on patient weight.</w:t>
      </w:r>
    </w:p>
    <w:p w14:paraId="5B232F31" w14:textId="0A4399F5" w:rsidR="00943B3D" w:rsidRPr="00FA5D77" w:rsidRDefault="00943B3D" w:rsidP="00943B3D">
      <w:pPr>
        <w:pStyle w:val="EMEABodyText"/>
        <w:rPr>
          <w:szCs w:val="24"/>
          <w:lang w:val="en-US"/>
        </w:rPr>
      </w:pPr>
      <w:r w:rsidRPr="00FA5D77">
        <w:rPr>
          <w:szCs w:val="24"/>
          <w:lang w:val="en-US"/>
        </w:rPr>
        <w:t xml:space="preserve">If a ≥ Grade 2 infusion reaction occurs during EMPLICITI administration, the infusion must be interrupted. Upon resolution to ≤ Grade 1, EMPLICITI should be restarted at </w:t>
      </w:r>
      <w:r w:rsidRPr="00FA5D77">
        <w:rPr>
          <w:szCs w:val="24"/>
          <w:lang w:val="en-US"/>
        </w:rPr>
        <w:lastRenderedPageBreak/>
        <w:t>0.5 mL/min and may be gradually increased at a rate of 0.5 mL/min every 30 minutes as tolerated to the rate at which the infusion reaction occurred. If there is no recurrence of the infusion reaction, the escala</w:t>
      </w:r>
      <w:r>
        <w:rPr>
          <w:szCs w:val="24"/>
          <w:lang w:val="en-US"/>
        </w:rPr>
        <w:t>tion can be resumed (see Table </w:t>
      </w:r>
      <w:r w:rsidR="00FB377E">
        <w:rPr>
          <w:szCs w:val="24"/>
          <w:lang w:val="en-US"/>
        </w:rPr>
        <w:t>5</w:t>
      </w:r>
      <w:r w:rsidRPr="00FA5D77">
        <w:rPr>
          <w:szCs w:val="24"/>
          <w:lang w:val="en-US"/>
        </w:rPr>
        <w:t>).</w:t>
      </w:r>
    </w:p>
    <w:p w14:paraId="0DFC6C3F" w14:textId="77777777" w:rsidR="00943B3D" w:rsidRPr="00FA5D77" w:rsidRDefault="00943B3D" w:rsidP="00943B3D">
      <w:pPr>
        <w:pStyle w:val="EMEABodyText"/>
        <w:rPr>
          <w:szCs w:val="24"/>
          <w:lang w:val="en-US"/>
        </w:rPr>
      </w:pPr>
      <w:r w:rsidRPr="00FA5D77">
        <w:rPr>
          <w:szCs w:val="24"/>
        </w:rPr>
        <w:t xml:space="preserve">In patients who experience an infusion reaction vital signs should be monitored every 30 minutes for 2 hours after the end of the </w:t>
      </w:r>
      <w:r w:rsidRPr="00FA5D77">
        <w:rPr>
          <w:szCs w:val="24"/>
          <w:lang w:val="en-US"/>
        </w:rPr>
        <w:t>EMPLICITI</w:t>
      </w:r>
      <w:r w:rsidRPr="00FA5D77">
        <w:rPr>
          <w:szCs w:val="24"/>
        </w:rPr>
        <w:t xml:space="preserve"> infusion. If the infusion reaction recurs, the </w:t>
      </w:r>
      <w:r w:rsidRPr="00FA5D77">
        <w:rPr>
          <w:szCs w:val="24"/>
          <w:lang w:val="en-US"/>
        </w:rPr>
        <w:t>EMPLICITI</w:t>
      </w:r>
      <w:r w:rsidRPr="00FA5D77">
        <w:rPr>
          <w:szCs w:val="24"/>
        </w:rPr>
        <w:t xml:space="preserve"> infusion must be stopped and not restarted on that day (see</w:t>
      </w:r>
      <w:r>
        <w:rPr>
          <w:szCs w:val="24"/>
        </w:rPr>
        <w:t xml:space="preserve"> </w:t>
      </w:r>
      <w:r w:rsidR="00F84E6B">
        <w:rPr>
          <w:szCs w:val="24"/>
        </w:rPr>
        <w:t>PRECAUTIONS</w:t>
      </w:r>
      <w:r w:rsidR="00F84E6B" w:rsidRPr="00FA5D77">
        <w:rPr>
          <w:szCs w:val="24"/>
        </w:rPr>
        <w:t>)</w:t>
      </w:r>
      <w:r w:rsidRPr="00FA5D77">
        <w:rPr>
          <w:szCs w:val="24"/>
        </w:rPr>
        <w:t xml:space="preserve">. </w:t>
      </w:r>
      <w:r w:rsidRPr="00FA5D77">
        <w:rPr>
          <w:szCs w:val="24"/>
          <w:lang w:val="en-US"/>
        </w:rPr>
        <w:t>Very severe infusion reactions may require permanent discontinuation of EMPLICITI therapy and emergency treatment.</w:t>
      </w:r>
    </w:p>
    <w:p w14:paraId="29EB791C" w14:textId="77777777" w:rsidR="00943B3D" w:rsidRPr="00FA5D77" w:rsidRDefault="00943B3D" w:rsidP="00943B3D">
      <w:pPr>
        <w:pStyle w:val="EMEABodyText"/>
        <w:rPr>
          <w:szCs w:val="24"/>
        </w:rPr>
      </w:pPr>
      <w:r w:rsidRPr="00FA5D77">
        <w:rPr>
          <w:szCs w:val="24"/>
          <w:lang w:val="en-US"/>
        </w:rPr>
        <w:t xml:space="preserve">Dose delay and modification for dexamethasone and </w:t>
      </w:r>
      <w:proofErr w:type="spellStart"/>
      <w:r w:rsidRPr="00FA5D77">
        <w:rPr>
          <w:szCs w:val="24"/>
          <w:lang w:val="en-US"/>
        </w:rPr>
        <w:t>lenalidomide</w:t>
      </w:r>
      <w:proofErr w:type="spellEnd"/>
      <w:r w:rsidRPr="00FA5D77">
        <w:rPr>
          <w:szCs w:val="24"/>
          <w:lang w:val="en-US"/>
        </w:rPr>
        <w:t xml:space="preserve"> or </w:t>
      </w:r>
      <w:proofErr w:type="spellStart"/>
      <w:r w:rsidRPr="00FA5D77">
        <w:rPr>
          <w:szCs w:val="24"/>
          <w:lang w:val="en-US"/>
        </w:rPr>
        <w:t>bortezomib</w:t>
      </w:r>
      <w:proofErr w:type="spellEnd"/>
      <w:r w:rsidRPr="00FA5D77">
        <w:rPr>
          <w:szCs w:val="24"/>
          <w:lang w:val="en-US"/>
        </w:rPr>
        <w:t xml:space="preserve"> should be performed as clinically indicated.</w:t>
      </w:r>
    </w:p>
    <w:p w14:paraId="764F5AFB" w14:textId="77777777" w:rsidR="00B16BDD" w:rsidRDefault="00F84E6B" w:rsidP="00C85319">
      <w:pPr>
        <w:pStyle w:val="EMEABodyText"/>
        <w:rPr>
          <w:noProof/>
        </w:rPr>
      </w:pPr>
      <w:r w:rsidRPr="00F84E6B">
        <w:rPr>
          <w:noProof/>
          <w:szCs w:val="24"/>
        </w:rPr>
        <w:t>For instructions on reconstitution and dilution of EMPLICITI before administration</w:t>
      </w:r>
      <w:r>
        <w:rPr>
          <w:noProof/>
          <w:szCs w:val="24"/>
        </w:rPr>
        <w:t xml:space="preserve">. (see </w:t>
      </w:r>
      <w:r w:rsidRPr="00F84E6B">
        <w:rPr>
          <w:szCs w:val="24"/>
        </w:rPr>
        <w:t>PREPARATION OF THE INTRAVENOUS INFUSION</w:t>
      </w:r>
      <w:r>
        <w:rPr>
          <w:noProof/>
          <w:szCs w:val="24"/>
        </w:rPr>
        <w:t>)</w:t>
      </w:r>
    </w:p>
    <w:p w14:paraId="55CE01FC" w14:textId="5B696B89" w:rsidR="00C85319" w:rsidRPr="00474979" w:rsidRDefault="00C85319" w:rsidP="00B06408">
      <w:pPr>
        <w:pStyle w:val="A-Heading2"/>
        <w:rPr>
          <w:i w:val="0"/>
        </w:rPr>
      </w:pPr>
      <w:r w:rsidRPr="00474979">
        <w:rPr>
          <w:i w:val="0"/>
        </w:rPr>
        <w:t>Calculating the dose</w:t>
      </w:r>
    </w:p>
    <w:p w14:paraId="37BAF1EF" w14:textId="77777777" w:rsidR="00C85319" w:rsidRPr="009D2A39" w:rsidRDefault="00C85319" w:rsidP="007E752E">
      <w:pPr>
        <w:pStyle w:val="EMEABodyText"/>
        <w:keepNext/>
        <w:rPr>
          <w:szCs w:val="24"/>
        </w:rPr>
      </w:pPr>
      <w:r w:rsidRPr="009D2A39">
        <w:rPr>
          <w:szCs w:val="24"/>
        </w:rPr>
        <w:t>Calculate the dose (mg) and determine the number of vials needed for the 10 mg/kg dose based on patient weight.</w:t>
      </w:r>
      <w:r w:rsidRPr="009D2A39" w:rsidDel="004D6934">
        <w:rPr>
          <w:szCs w:val="24"/>
        </w:rPr>
        <w:t xml:space="preserve"> </w:t>
      </w:r>
      <w:r w:rsidRPr="009D2A39">
        <w:rPr>
          <w:szCs w:val="24"/>
        </w:rPr>
        <w:t>More than one vial of EMPLICITI may be needed to give the total dose for the patient.</w:t>
      </w:r>
    </w:p>
    <w:p w14:paraId="49D2A5C8" w14:textId="77777777" w:rsidR="00C85319" w:rsidRPr="009D2A39" w:rsidRDefault="00C85319" w:rsidP="00C85319">
      <w:pPr>
        <w:pStyle w:val="EMEABodyTextIndent"/>
        <w:tabs>
          <w:tab w:val="clear" w:pos="360"/>
          <w:tab w:val="num" w:pos="567"/>
        </w:tabs>
        <w:ind w:left="567" w:hanging="567"/>
        <w:rPr>
          <w:szCs w:val="24"/>
        </w:rPr>
      </w:pPr>
      <w:r w:rsidRPr="009D2A39">
        <w:rPr>
          <w:szCs w:val="24"/>
        </w:rPr>
        <w:t xml:space="preserve">The total </w:t>
      </w:r>
      <w:proofErr w:type="spellStart"/>
      <w:r w:rsidRPr="009D2A39">
        <w:rPr>
          <w:szCs w:val="24"/>
        </w:rPr>
        <w:t>elotuzumab</w:t>
      </w:r>
      <w:proofErr w:type="spellEnd"/>
      <w:r w:rsidRPr="009D2A39">
        <w:rPr>
          <w:szCs w:val="24"/>
        </w:rPr>
        <w:t xml:space="preserve"> dose in mg = the patient’s weight in kg x 10.</w:t>
      </w:r>
    </w:p>
    <w:p w14:paraId="6CA6B2EF" w14:textId="77777777" w:rsidR="00C85319" w:rsidRPr="00474979" w:rsidRDefault="0056477C" w:rsidP="00B06408">
      <w:pPr>
        <w:pStyle w:val="A-Heading2"/>
        <w:rPr>
          <w:i w:val="0"/>
        </w:rPr>
      </w:pPr>
      <w:proofErr w:type="gramStart"/>
      <w:r w:rsidRPr="00474979">
        <w:rPr>
          <w:i w:val="0"/>
        </w:rPr>
        <w:t>Preparation</w:t>
      </w:r>
      <w:r w:rsidR="002D634F" w:rsidRPr="00474979">
        <w:rPr>
          <w:i w:val="0"/>
        </w:rPr>
        <w:t xml:space="preserve"> of the </w:t>
      </w:r>
      <w:r w:rsidR="00B20CEB" w:rsidRPr="00474979">
        <w:rPr>
          <w:i w:val="0"/>
        </w:rPr>
        <w:t>Intravenous Infusion.</w:t>
      </w:r>
      <w:proofErr w:type="gramEnd"/>
    </w:p>
    <w:p w14:paraId="645BA3EB" w14:textId="77777777" w:rsidR="0056477C" w:rsidRPr="00474979" w:rsidRDefault="0056477C" w:rsidP="00B06408">
      <w:pPr>
        <w:pStyle w:val="A-Heading3"/>
        <w:rPr>
          <w:i w:val="0"/>
        </w:rPr>
      </w:pPr>
      <w:r w:rsidRPr="00474979">
        <w:rPr>
          <w:i w:val="0"/>
        </w:rPr>
        <w:t>Use Aseptic technique</w:t>
      </w:r>
    </w:p>
    <w:p w14:paraId="2AAC589F" w14:textId="5E75FAAF" w:rsidR="00C85319" w:rsidRPr="009D2A39" w:rsidRDefault="00C85319" w:rsidP="008914BC">
      <w:pPr>
        <w:pStyle w:val="BMSBodyText"/>
        <w:keepNext/>
        <w:spacing w:after="0" w:line="240" w:lineRule="auto"/>
        <w:rPr>
          <w:szCs w:val="24"/>
        </w:rPr>
      </w:pPr>
      <w:r w:rsidRPr="009D2A39">
        <w:rPr>
          <w:szCs w:val="24"/>
        </w:rPr>
        <w:t>Aseptically reconstitute each EMPLICITI vial with a syringe of adequate size and an 18 </w:t>
      </w:r>
      <w:proofErr w:type="gramStart"/>
      <w:r w:rsidRPr="009D2A39">
        <w:rPr>
          <w:szCs w:val="24"/>
        </w:rPr>
        <w:t>gauge</w:t>
      </w:r>
      <w:proofErr w:type="gramEnd"/>
      <w:r w:rsidRPr="009D2A39">
        <w:rPr>
          <w:szCs w:val="24"/>
        </w:rPr>
        <w:t xml:space="preserve"> or smaller needle as shown in Table</w:t>
      </w:r>
      <w:r w:rsidR="003355B3">
        <w:rPr>
          <w:szCs w:val="24"/>
        </w:rPr>
        <w:t xml:space="preserve"> </w:t>
      </w:r>
      <w:r w:rsidR="00FB377E">
        <w:rPr>
          <w:szCs w:val="24"/>
        </w:rPr>
        <w:t>6</w:t>
      </w:r>
      <w:r w:rsidRPr="009D2A39">
        <w:rPr>
          <w:szCs w:val="24"/>
        </w:rPr>
        <w:t xml:space="preserve">. A slight back pressure may be experienced during administration of the </w:t>
      </w:r>
      <w:proofErr w:type="spellStart"/>
      <w:r w:rsidRPr="009D2A39">
        <w:rPr>
          <w:szCs w:val="24"/>
        </w:rPr>
        <w:t>sterilised</w:t>
      </w:r>
      <w:proofErr w:type="spellEnd"/>
      <w:r w:rsidRPr="009D2A39">
        <w:rPr>
          <w:szCs w:val="24"/>
        </w:rPr>
        <w:t xml:space="preserve"> water for injections, which is considered normal.</w:t>
      </w:r>
    </w:p>
    <w:p w14:paraId="4CEFB354" w14:textId="363617CC" w:rsidR="00C85319" w:rsidRPr="00A623E3" w:rsidRDefault="00B06408" w:rsidP="00B06408">
      <w:pPr>
        <w:pStyle w:val="Caption"/>
        <w:rPr>
          <w:szCs w:val="22"/>
        </w:rPr>
      </w:pPr>
      <w:r>
        <w:t xml:space="preserve">Table </w:t>
      </w:r>
      <w:r>
        <w:fldChar w:fldCharType="begin"/>
      </w:r>
      <w:r>
        <w:instrText xml:space="preserve"> SEQ Table \* ARABIC </w:instrText>
      </w:r>
      <w:r>
        <w:fldChar w:fldCharType="separate"/>
      </w:r>
      <w:r>
        <w:rPr>
          <w:noProof/>
        </w:rPr>
        <w:t>6</w:t>
      </w:r>
      <w:r>
        <w:fldChar w:fldCharType="end"/>
      </w:r>
      <w:r w:rsidR="00C85319" w:rsidRPr="00A623E3">
        <w:t>:</w:t>
      </w:r>
      <w:r>
        <w:t xml:space="preserve"> </w:t>
      </w:r>
      <w:r w:rsidR="00C85319" w:rsidRPr="00A623E3">
        <w:t>Reconstitution Instructions</w:t>
      </w:r>
    </w:p>
    <w:tbl>
      <w:tblPr>
        <w:tblStyle w:val="TableGrid"/>
        <w:tblW w:w="5000" w:type="pct"/>
        <w:tblLook w:val="04A0" w:firstRow="1" w:lastRow="0" w:firstColumn="1" w:lastColumn="0" w:noHBand="0" w:noVBand="1"/>
        <w:tblDescription w:val="Table 6 is a list of reconstitution instructions"/>
      </w:tblPr>
      <w:tblGrid>
        <w:gridCol w:w="1897"/>
        <w:gridCol w:w="2601"/>
        <w:gridCol w:w="2583"/>
        <w:gridCol w:w="1925"/>
      </w:tblGrid>
      <w:tr w:rsidR="00C85319" w:rsidRPr="00C85319" w14:paraId="44F7934F" w14:textId="77777777" w:rsidTr="00B06408">
        <w:trPr>
          <w:tblHeader/>
        </w:trPr>
        <w:tc>
          <w:tcPr>
            <w:tcW w:w="1053" w:type="pct"/>
          </w:tcPr>
          <w:p w14:paraId="1E11B382" w14:textId="77777777" w:rsidR="00C85319" w:rsidRPr="00C85319" w:rsidRDefault="00C85319" w:rsidP="00735892">
            <w:pPr>
              <w:spacing w:after="0" w:line="240" w:lineRule="auto"/>
              <w:rPr>
                <w:rFonts w:ascii="Times New Roman" w:hAnsi="Times New Roman"/>
                <w:b/>
                <w:sz w:val="22"/>
                <w:szCs w:val="22"/>
              </w:rPr>
            </w:pPr>
            <w:r w:rsidRPr="00C85319">
              <w:rPr>
                <w:rFonts w:ascii="Times New Roman" w:hAnsi="Times New Roman"/>
                <w:b/>
                <w:sz w:val="22"/>
                <w:szCs w:val="22"/>
              </w:rPr>
              <w:t>Strength</w:t>
            </w:r>
          </w:p>
        </w:tc>
        <w:tc>
          <w:tcPr>
            <w:tcW w:w="1444" w:type="pct"/>
          </w:tcPr>
          <w:p w14:paraId="28205759" w14:textId="77777777" w:rsidR="00C85319" w:rsidRPr="00C85319" w:rsidRDefault="00C85319" w:rsidP="00735892">
            <w:pPr>
              <w:spacing w:after="0" w:line="240" w:lineRule="auto"/>
              <w:rPr>
                <w:rFonts w:ascii="Times New Roman" w:hAnsi="Times New Roman"/>
                <w:b/>
                <w:sz w:val="22"/>
                <w:szCs w:val="22"/>
              </w:rPr>
            </w:pPr>
            <w:r w:rsidRPr="00C85319">
              <w:rPr>
                <w:rFonts w:ascii="Times New Roman" w:hAnsi="Times New Roman"/>
                <w:b/>
                <w:sz w:val="22"/>
                <w:szCs w:val="22"/>
              </w:rPr>
              <w:t xml:space="preserve">Amount of </w:t>
            </w:r>
            <w:r w:rsidR="00735892">
              <w:rPr>
                <w:rFonts w:ascii="Times New Roman" w:hAnsi="Times New Roman"/>
                <w:b/>
                <w:sz w:val="22"/>
                <w:szCs w:val="22"/>
              </w:rPr>
              <w:t>Sterile W</w:t>
            </w:r>
            <w:r w:rsidRPr="00C85319">
              <w:rPr>
                <w:rFonts w:ascii="Times New Roman" w:hAnsi="Times New Roman"/>
                <w:b/>
                <w:sz w:val="22"/>
                <w:szCs w:val="22"/>
              </w:rPr>
              <w:t xml:space="preserve">ater </w:t>
            </w:r>
            <w:proofErr w:type="spellStart"/>
            <w:r w:rsidRPr="00C85319">
              <w:rPr>
                <w:rFonts w:ascii="Times New Roman" w:hAnsi="Times New Roman"/>
                <w:b/>
                <w:sz w:val="22"/>
                <w:szCs w:val="22"/>
              </w:rPr>
              <w:t>for</w:t>
            </w:r>
            <w:r w:rsidR="00735892">
              <w:rPr>
                <w:rFonts w:ascii="Times New Roman" w:hAnsi="Times New Roman"/>
                <w:b/>
                <w:sz w:val="22"/>
                <w:szCs w:val="22"/>
              </w:rPr>
              <w:t>I</w:t>
            </w:r>
            <w:r w:rsidRPr="00C85319">
              <w:rPr>
                <w:rFonts w:ascii="Times New Roman" w:hAnsi="Times New Roman"/>
                <w:b/>
                <w:sz w:val="22"/>
                <w:szCs w:val="22"/>
              </w:rPr>
              <w:t>njections</w:t>
            </w:r>
            <w:proofErr w:type="spellEnd"/>
            <w:r w:rsidRPr="00C85319">
              <w:rPr>
                <w:rFonts w:ascii="Times New Roman" w:hAnsi="Times New Roman"/>
                <w:b/>
                <w:sz w:val="22"/>
                <w:szCs w:val="22"/>
              </w:rPr>
              <w:t xml:space="preserve"> </w:t>
            </w:r>
            <w:r w:rsidR="00735892">
              <w:rPr>
                <w:rFonts w:ascii="Times New Roman" w:hAnsi="Times New Roman"/>
                <w:b/>
                <w:sz w:val="22"/>
                <w:szCs w:val="22"/>
              </w:rPr>
              <w:t>BP</w:t>
            </w:r>
            <w:r w:rsidRPr="00C85319">
              <w:rPr>
                <w:rFonts w:ascii="Times New Roman" w:hAnsi="Times New Roman"/>
                <w:b/>
                <w:sz w:val="22"/>
                <w:szCs w:val="22"/>
              </w:rPr>
              <w:t xml:space="preserve">, required for reconstitution </w:t>
            </w:r>
          </w:p>
        </w:tc>
        <w:tc>
          <w:tcPr>
            <w:tcW w:w="1434" w:type="pct"/>
          </w:tcPr>
          <w:p w14:paraId="7BC3B1FE" w14:textId="77777777" w:rsidR="00C85319" w:rsidRPr="00C85319" w:rsidRDefault="00C85319" w:rsidP="00735892">
            <w:pPr>
              <w:spacing w:after="0" w:line="240" w:lineRule="auto"/>
              <w:rPr>
                <w:rFonts w:ascii="Times New Roman" w:hAnsi="Times New Roman"/>
                <w:b/>
                <w:sz w:val="22"/>
                <w:szCs w:val="22"/>
              </w:rPr>
            </w:pPr>
            <w:r w:rsidRPr="00C85319">
              <w:rPr>
                <w:rFonts w:ascii="Times New Roman" w:hAnsi="Times New Roman"/>
                <w:b/>
                <w:sz w:val="22"/>
                <w:szCs w:val="22"/>
              </w:rPr>
              <w:t>Final volume of reconstituted EMPLICITI in the vial (including volume displaced by the solid cake)</w:t>
            </w:r>
          </w:p>
        </w:tc>
        <w:tc>
          <w:tcPr>
            <w:tcW w:w="1069" w:type="pct"/>
          </w:tcPr>
          <w:p w14:paraId="1D90541D" w14:textId="77777777" w:rsidR="00C85319" w:rsidRPr="00C85319" w:rsidRDefault="00C85319" w:rsidP="00735892">
            <w:pPr>
              <w:spacing w:after="0" w:line="240" w:lineRule="auto"/>
              <w:rPr>
                <w:rFonts w:ascii="Times New Roman" w:hAnsi="Times New Roman"/>
                <w:b/>
                <w:sz w:val="22"/>
                <w:szCs w:val="22"/>
              </w:rPr>
            </w:pPr>
            <w:r w:rsidRPr="00C85319">
              <w:rPr>
                <w:rFonts w:ascii="Times New Roman" w:hAnsi="Times New Roman"/>
                <w:b/>
                <w:sz w:val="22"/>
                <w:szCs w:val="22"/>
              </w:rPr>
              <w:t>Post-reconstitution concentration</w:t>
            </w:r>
          </w:p>
        </w:tc>
      </w:tr>
      <w:tr w:rsidR="00C85319" w:rsidRPr="00C85319" w14:paraId="1AEBFBBE" w14:textId="77777777" w:rsidTr="00C85319">
        <w:tc>
          <w:tcPr>
            <w:tcW w:w="1053" w:type="pct"/>
          </w:tcPr>
          <w:p w14:paraId="68DB0F12" w14:textId="77777777" w:rsidR="00C85319" w:rsidRPr="00C85319" w:rsidRDefault="00C85319" w:rsidP="00735892">
            <w:pPr>
              <w:spacing w:after="0" w:line="240" w:lineRule="auto"/>
              <w:jc w:val="center"/>
              <w:rPr>
                <w:rFonts w:ascii="Times New Roman" w:hAnsi="Times New Roman"/>
                <w:sz w:val="22"/>
                <w:szCs w:val="22"/>
              </w:rPr>
            </w:pPr>
            <w:r w:rsidRPr="00C85319">
              <w:rPr>
                <w:rFonts w:ascii="Times New Roman" w:hAnsi="Times New Roman"/>
                <w:sz w:val="22"/>
                <w:szCs w:val="22"/>
              </w:rPr>
              <w:t>300 mg vial</w:t>
            </w:r>
          </w:p>
        </w:tc>
        <w:tc>
          <w:tcPr>
            <w:tcW w:w="1444" w:type="pct"/>
          </w:tcPr>
          <w:p w14:paraId="36DE096B" w14:textId="77777777" w:rsidR="00C85319" w:rsidRPr="00C85319" w:rsidRDefault="00C85319" w:rsidP="00735892">
            <w:pPr>
              <w:spacing w:after="0" w:line="240" w:lineRule="auto"/>
              <w:jc w:val="center"/>
              <w:rPr>
                <w:rFonts w:ascii="Times New Roman" w:hAnsi="Times New Roman"/>
                <w:sz w:val="22"/>
                <w:szCs w:val="22"/>
              </w:rPr>
            </w:pPr>
            <w:r w:rsidRPr="00C85319">
              <w:rPr>
                <w:rFonts w:ascii="Times New Roman" w:hAnsi="Times New Roman"/>
                <w:sz w:val="22"/>
                <w:szCs w:val="22"/>
              </w:rPr>
              <w:t>13.0 mL</w:t>
            </w:r>
          </w:p>
        </w:tc>
        <w:tc>
          <w:tcPr>
            <w:tcW w:w="1434" w:type="pct"/>
          </w:tcPr>
          <w:p w14:paraId="7F1C2C94" w14:textId="77777777" w:rsidR="00C85319" w:rsidRPr="00C85319" w:rsidRDefault="00C85319" w:rsidP="00735892">
            <w:pPr>
              <w:spacing w:after="0" w:line="240" w:lineRule="auto"/>
              <w:jc w:val="center"/>
              <w:rPr>
                <w:rFonts w:ascii="Times New Roman" w:hAnsi="Times New Roman"/>
                <w:sz w:val="22"/>
                <w:szCs w:val="22"/>
              </w:rPr>
            </w:pPr>
            <w:r w:rsidRPr="00C85319">
              <w:rPr>
                <w:rFonts w:ascii="Times New Roman" w:hAnsi="Times New Roman"/>
                <w:sz w:val="22"/>
                <w:szCs w:val="22"/>
              </w:rPr>
              <w:t>13.6 mL</w:t>
            </w:r>
          </w:p>
        </w:tc>
        <w:tc>
          <w:tcPr>
            <w:tcW w:w="1069" w:type="pct"/>
          </w:tcPr>
          <w:p w14:paraId="76E71A61" w14:textId="77777777" w:rsidR="00C85319" w:rsidRPr="00C85319" w:rsidRDefault="00C85319" w:rsidP="00735892">
            <w:pPr>
              <w:spacing w:after="0" w:line="240" w:lineRule="auto"/>
              <w:jc w:val="center"/>
              <w:rPr>
                <w:rFonts w:ascii="Times New Roman" w:hAnsi="Times New Roman"/>
                <w:sz w:val="22"/>
                <w:szCs w:val="22"/>
              </w:rPr>
            </w:pPr>
            <w:r w:rsidRPr="00C85319">
              <w:rPr>
                <w:rFonts w:ascii="Times New Roman" w:hAnsi="Times New Roman"/>
                <w:sz w:val="22"/>
                <w:szCs w:val="22"/>
              </w:rPr>
              <w:t>25 mg/mL</w:t>
            </w:r>
          </w:p>
        </w:tc>
      </w:tr>
      <w:tr w:rsidR="00C85319" w:rsidRPr="00C85319" w14:paraId="56829B9D" w14:textId="77777777" w:rsidTr="00C85319">
        <w:tc>
          <w:tcPr>
            <w:tcW w:w="1053" w:type="pct"/>
          </w:tcPr>
          <w:p w14:paraId="6A256F47" w14:textId="77777777" w:rsidR="00C85319" w:rsidRPr="00C85319" w:rsidRDefault="00C85319" w:rsidP="00735892">
            <w:pPr>
              <w:spacing w:after="0" w:line="240" w:lineRule="auto"/>
              <w:jc w:val="center"/>
              <w:rPr>
                <w:rFonts w:ascii="Times New Roman" w:hAnsi="Times New Roman"/>
                <w:sz w:val="22"/>
                <w:szCs w:val="22"/>
              </w:rPr>
            </w:pPr>
            <w:r w:rsidRPr="00C85319">
              <w:rPr>
                <w:rFonts w:ascii="Times New Roman" w:hAnsi="Times New Roman"/>
                <w:sz w:val="22"/>
                <w:szCs w:val="22"/>
              </w:rPr>
              <w:t>400 mg vial</w:t>
            </w:r>
          </w:p>
        </w:tc>
        <w:tc>
          <w:tcPr>
            <w:tcW w:w="1444" w:type="pct"/>
          </w:tcPr>
          <w:p w14:paraId="392AED08" w14:textId="77777777" w:rsidR="00C85319" w:rsidRPr="00C85319" w:rsidRDefault="00C85319" w:rsidP="00735892">
            <w:pPr>
              <w:spacing w:after="0" w:line="240" w:lineRule="auto"/>
              <w:jc w:val="center"/>
              <w:rPr>
                <w:rFonts w:ascii="Times New Roman" w:hAnsi="Times New Roman"/>
                <w:sz w:val="22"/>
                <w:szCs w:val="22"/>
              </w:rPr>
            </w:pPr>
            <w:r w:rsidRPr="00C85319">
              <w:rPr>
                <w:rFonts w:ascii="Times New Roman" w:hAnsi="Times New Roman"/>
                <w:sz w:val="22"/>
                <w:szCs w:val="22"/>
              </w:rPr>
              <w:t>17.0 mL</w:t>
            </w:r>
          </w:p>
        </w:tc>
        <w:tc>
          <w:tcPr>
            <w:tcW w:w="1434" w:type="pct"/>
          </w:tcPr>
          <w:p w14:paraId="3ED41782" w14:textId="77777777" w:rsidR="00C85319" w:rsidRPr="00C85319" w:rsidRDefault="00C85319" w:rsidP="00735892">
            <w:pPr>
              <w:spacing w:after="0" w:line="240" w:lineRule="auto"/>
              <w:jc w:val="center"/>
              <w:rPr>
                <w:rFonts w:ascii="Times New Roman" w:hAnsi="Times New Roman"/>
                <w:sz w:val="22"/>
                <w:szCs w:val="22"/>
              </w:rPr>
            </w:pPr>
            <w:r w:rsidRPr="00C85319">
              <w:rPr>
                <w:rFonts w:ascii="Times New Roman" w:hAnsi="Times New Roman"/>
                <w:sz w:val="22"/>
                <w:szCs w:val="22"/>
              </w:rPr>
              <w:t>17.6 mL</w:t>
            </w:r>
          </w:p>
        </w:tc>
        <w:tc>
          <w:tcPr>
            <w:tcW w:w="1069" w:type="pct"/>
          </w:tcPr>
          <w:p w14:paraId="6996BAA1" w14:textId="77777777" w:rsidR="00C85319" w:rsidRPr="00C85319" w:rsidRDefault="00C85319" w:rsidP="00735892">
            <w:pPr>
              <w:spacing w:after="0" w:line="240" w:lineRule="auto"/>
              <w:jc w:val="center"/>
              <w:rPr>
                <w:rFonts w:ascii="Times New Roman" w:hAnsi="Times New Roman"/>
                <w:sz w:val="22"/>
                <w:szCs w:val="22"/>
              </w:rPr>
            </w:pPr>
            <w:r w:rsidRPr="00C85319">
              <w:rPr>
                <w:rFonts w:ascii="Times New Roman" w:hAnsi="Times New Roman"/>
                <w:sz w:val="22"/>
                <w:szCs w:val="22"/>
              </w:rPr>
              <w:t>25 mg/mL</w:t>
            </w:r>
          </w:p>
        </w:tc>
      </w:tr>
    </w:tbl>
    <w:p w14:paraId="1DF70CE0" w14:textId="77777777" w:rsidR="00B16BDD" w:rsidRDefault="00C85319" w:rsidP="00735892">
      <w:pPr>
        <w:pStyle w:val="EMEABodyTextIndent"/>
        <w:numPr>
          <w:ilvl w:val="0"/>
          <w:numId w:val="33"/>
        </w:numPr>
        <w:rPr>
          <w:szCs w:val="24"/>
        </w:rPr>
      </w:pPr>
      <w:r w:rsidRPr="00FC1CE5">
        <w:rPr>
          <w:szCs w:val="24"/>
        </w:rPr>
        <w:t>Hold the vial upright and swirl the solution by rotating the vial t</w:t>
      </w:r>
      <w:r w:rsidR="0056477C" w:rsidRPr="00FC1CE5">
        <w:rPr>
          <w:szCs w:val="24"/>
        </w:rPr>
        <w:t>o dissolve the lyophilized</w:t>
      </w:r>
      <w:r w:rsidR="00735892">
        <w:rPr>
          <w:szCs w:val="24"/>
        </w:rPr>
        <w:t xml:space="preserve"> </w:t>
      </w:r>
      <w:r w:rsidR="00E87DE6" w:rsidRPr="00FC1CE5">
        <w:rPr>
          <w:szCs w:val="24"/>
        </w:rPr>
        <w:t>cake. Then</w:t>
      </w:r>
      <w:r w:rsidRPr="00FC1CE5">
        <w:rPr>
          <w:szCs w:val="24"/>
        </w:rPr>
        <w:t xml:space="preserve"> invert the vial a few times in order to dissolve any powder that may be present on top of the vial or the stopper. Avoid vigorous agitation, DO NOT SHAKE. The lyophilized powder should dissolve in less than 10 minutes.</w:t>
      </w:r>
    </w:p>
    <w:p w14:paraId="38AEF3F2" w14:textId="77777777" w:rsidR="00B16BDD" w:rsidRDefault="00C85319" w:rsidP="00735892">
      <w:pPr>
        <w:pStyle w:val="EMEABodyTextIndent"/>
        <w:numPr>
          <w:ilvl w:val="0"/>
          <w:numId w:val="33"/>
        </w:numPr>
        <w:rPr>
          <w:szCs w:val="24"/>
        </w:rPr>
      </w:pPr>
      <w:r w:rsidRPr="007F5D4C">
        <w:rPr>
          <w:szCs w:val="24"/>
        </w:rPr>
        <w:t xml:space="preserve">After the remaining solids are completely dissolved, allow the reconstituted solution to stand for 5 to 10 minutes. The reconstituted preparation results in a </w:t>
      </w:r>
      <w:r w:rsidR="00E87DE6" w:rsidRPr="007F5D4C">
        <w:rPr>
          <w:szCs w:val="24"/>
        </w:rPr>
        <w:t>colourless</w:t>
      </w:r>
      <w:r w:rsidRPr="007F5D4C">
        <w:rPr>
          <w:szCs w:val="24"/>
        </w:rPr>
        <w:t xml:space="preserve"> to slightly yellow, clear to very opalescent solution. EMPLICITI should be inspected visually for particulate matter and discolouration prior to administration. Discard the solution if any particulate matter or discolouration is observed.</w:t>
      </w:r>
    </w:p>
    <w:p w14:paraId="20106C2A" w14:textId="29B5A606" w:rsidR="00C85319" w:rsidRPr="004929F6" w:rsidRDefault="00735892" w:rsidP="00C85319">
      <w:pPr>
        <w:pStyle w:val="EMEABodyText"/>
        <w:rPr>
          <w:szCs w:val="24"/>
        </w:rPr>
      </w:pPr>
      <w:r>
        <w:rPr>
          <w:szCs w:val="24"/>
        </w:rPr>
        <w:t xml:space="preserve">Dilute the </w:t>
      </w:r>
      <w:r w:rsidR="004929F6" w:rsidRPr="004929F6">
        <w:rPr>
          <w:szCs w:val="24"/>
        </w:rPr>
        <w:t>reconstituted E</w:t>
      </w:r>
      <w:r w:rsidR="00C85319" w:rsidRPr="004929F6">
        <w:rPr>
          <w:szCs w:val="24"/>
          <w:lang w:val="en-US"/>
        </w:rPr>
        <w:t xml:space="preserve">MPLICITI </w:t>
      </w:r>
      <w:r w:rsidR="004929F6" w:rsidRPr="004929F6">
        <w:rPr>
          <w:szCs w:val="24"/>
          <w:lang w:val="en-US"/>
        </w:rPr>
        <w:t xml:space="preserve">solution </w:t>
      </w:r>
      <w:r w:rsidR="00C85319" w:rsidRPr="004929F6">
        <w:rPr>
          <w:szCs w:val="24"/>
        </w:rPr>
        <w:t>as described below:</w:t>
      </w:r>
    </w:p>
    <w:p w14:paraId="3BA34DD9" w14:textId="77777777" w:rsidR="00B16BDD" w:rsidRDefault="00C85319" w:rsidP="00B11F57">
      <w:pPr>
        <w:pStyle w:val="EMEABodyTextIndent"/>
        <w:numPr>
          <w:ilvl w:val="0"/>
          <w:numId w:val="0"/>
        </w:numPr>
      </w:pPr>
      <w:r w:rsidRPr="00B11F57">
        <w:rPr>
          <w:szCs w:val="24"/>
        </w:rPr>
        <w:lastRenderedPageBreak/>
        <w:t xml:space="preserve">Once the reconstitution is </w:t>
      </w:r>
      <w:proofErr w:type="spellStart"/>
      <w:r w:rsidRPr="00B11F57">
        <w:rPr>
          <w:szCs w:val="24"/>
        </w:rPr>
        <w:t>completed</w:t>
      </w:r>
      <w:proofErr w:type="gramStart"/>
      <w:r w:rsidRPr="00B11F57">
        <w:rPr>
          <w:szCs w:val="24"/>
        </w:rPr>
        <w:t>,</w:t>
      </w:r>
      <w:r w:rsidR="00AE188C" w:rsidRPr="00B11F57">
        <w:rPr>
          <w:szCs w:val="24"/>
        </w:rPr>
        <w:t>withdraw</w:t>
      </w:r>
      <w:proofErr w:type="spellEnd"/>
      <w:proofErr w:type="gramEnd"/>
      <w:r w:rsidR="00AE188C" w:rsidRPr="00B11F57">
        <w:rPr>
          <w:szCs w:val="24"/>
        </w:rPr>
        <w:t xml:space="preserve"> the necessary volume for the c</w:t>
      </w:r>
      <w:r w:rsidR="00025D26" w:rsidRPr="00B11F57">
        <w:rPr>
          <w:szCs w:val="24"/>
        </w:rPr>
        <w:t>alculated</w:t>
      </w:r>
      <w:r w:rsidR="00AE188C" w:rsidRPr="00B11F57">
        <w:rPr>
          <w:szCs w:val="24"/>
        </w:rPr>
        <w:t xml:space="preserve"> dose from e</w:t>
      </w:r>
      <w:r w:rsidR="00025D26" w:rsidRPr="00B11F57">
        <w:rPr>
          <w:szCs w:val="24"/>
        </w:rPr>
        <w:t xml:space="preserve">ach </w:t>
      </w:r>
      <w:proofErr w:type="spellStart"/>
      <w:r w:rsidR="00AE188C" w:rsidRPr="00B11F57">
        <w:rPr>
          <w:szCs w:val="24"/>
        </w:rPr>
        <w:t>vial,</w:t>
      </w:r>
      <w:r w:rsidR="00B11F57" w:rsidRPr="00B11F57">
        <w:rPr>
          <w:szCs w:val="24"/>
        </w:rPr>
        <w:t>up</w:t>
      </w:r>
      <w:proofErr w:type="spellEnd"/>
      <w:r w:rsidR="00B11F57" w:rsidRPr="00B11F57">
        <w:rPr>
          <w:szCs w:val="24"/>
        </w:rPr>
        <w:t xml:space="preserve"> to a maximum of 16mL from 400</w:t>
      </w:r>
      <w:r w:rsidR="008D5EDE">
        <w:rPr>
          <w:szCs w:val="24"/>
        </w:rPr>
        <w:t xml:space="preserve"> </w:t>
      </w:r>
      <w:r w:rsidR="00B11F57" w:rsidRPr="00B11F57">
        <w:rPr>
          <w:szCs w:val="24"/>
        </w:rPr>
        <w:t>mg vial and 12mL from 300</w:t>
      </w:r>
      <w:r w:rsidR="008D5EDE">
        <w:rPr>
          <w:szCs w:val="24"/>
        </w:rPr>
        <w:t xml:space="preserve"> </w:t>
      </w:r>
      <w:r w:rsidR="00B11F57" w:rsidRPr="00B11F57">
        <w:rPr>
          <w:szCs w:val="24"/>
        </w:rPr>
        <w:t>mg vial.</w:t>
      </w:r>
    </w:p>
    <w:p w14:paraId="0E5DFF5F" w14:textId="77777777" w:rsidR="00B16BDD" w:rsidRDefault="00B11F57" w:rsidP="00B11F57">
      <w:pPr>
        <w:pStyle w:val="EMEABodyTextIndent"/>
        <w:tabs>
          <w:tab w:val="clear" w:pos="360"/>
          <w:tab w:val="num" w:pos="567"/>
        </w:tabs>
        <w:ind w:left="567" w:hanging="567"/>
        <w:rPr>
          <w:szCs w:val="24"/>
        </w:rPr>
      </w:pPr>
      <w:r w:rsidRPr="00B11F57">
        <w:rPr>
          <w:szCs w:val="24"/>
        </w:rPr>
        <w:t xml:space="preserve">Dilute the reconstituted solution with 230 mL of either </w:t>
      </w:r>
      <w:r w:rsidRPr="00B11F57">
        <w:rPr>
          <w:rFonts w:eastAsia="TimesNewRoman"/>
          <w:szCs w:val="24"/>
          <w:lang w:val="en-US"/>
        </w:rPr>
        <w:t>sodium chloride 9 mg/mL (0.9%) solution for injection or 5% glucose injection</w:t>
      </w:r>
      <w:r w:rsidRPr="00B11F57">
        <w:rPr>
          <w:szCs w:val="24"/>
        </w:rPr>
        <w:t>, into an infusion bag made of polyvinyl chloride or polyolefin.</w:t>
      </w:r>
    </w:p>
    <w:p w14:paraId="2222703F" w14:textId="02EE6324" w:rsidR="00C85319" w:rsidRDefault="00C85319" w:rsidP="00C85319">
      <w:pPr>
        <w:pStyle w:val="EMEABodyTextIndent"/>
        <w:tabs>
          <w:tab w:val="clear" w:pos="360"/>
          <w:tab w:val="num" w:pos="567"/>
        </w:tabs>
        <w:ind w:left="567" w:hanging="567"/>
        <w:rPr>
          <w:szCs w:val="24"/>
        </w:rPr>
      </w:pPr>
      <w:r w:rsidRPr="004929F6">
        <w:rPr>
          <w:szCs w:val="24"/>
        </w:rPr>
        <w:t xml:space="preserve">The volume of </w:t>
      </w:r>
      <w:r w:rsidR="000C431C">
        <w:rPr>
          <w:szCs w:val="24"/>
        </w:rPr>
        <w:t xml:space="preserve">0.9% </w:t>
      </w:r>
      <w:r w:rsidR="000C431C" w:rsidRPr="004929F6">
        <w:rPr>
          <w:rFonts w:eastAsia="TimesNewRoman"/>
          <w:szCs w:val="24"/>
          <w:lang w:val="en-US"/>
        </w:rPr>
        <w:t>sodium chloride</w:t>
      </w:r>
      <w:r w:rsidR="000C431C">
        <w:rPr>
          <w:rFonts w:eastAsia="TimesNewRoman"/>
          <w:szCs w:val="24"/>
          <w:lang w:val="en-US"/>
        </w:rPr>
        <w:t xml:space="preserve"> injection BP </w:t>
      </w:r>
      <w:r w:rsidR="000C431C" w:rsidRPr="004929F6">
        <w:rPr>
          <w:rFonts w:eastAsia="TimesNewRoman"/>
          <w:szCs w:val="24"/>
          <w:lang w:val="en-US"/>
        </w:rPr>
        <w:t>or 5% </w:t>
      </w:r>
      <w:r w:rsidR="000C431C">
        <w:rPr>
          <w:rFonts w:eastAsia="TimesNewRoman"/>
          <w:szCs w:val="24"/>
          <w:lang w:val="en-US"/>
        </w:rPr>
        <w:t xml:space="preserve">glucose </w:t>
      </w:r>
      <w:r w:rsidR="000C431C" w:rsidRPr="004929F6">
        <w:rPr>
          <w:rFonts w:eastAsia="TimesNewRoman"/>
          <w:szCs w:val="24"/>
          <w:lang w:val="en-US"/>
        </w:rPr>
        <w:t xml:space="preserve">injection </w:t>
      </w:r>
      <w:r w:rsidR="000C431C">
        <w:rPr>
          <w:rFonts w:eastAsia="TimesNewRoman"/>
          <w:szCs w:val="24"/>
          <w:lang w:val="en-US"/>
        </w:rPr>
        <w:t>BP</w:t>
      </w:r>
      <w:r w:rsidRPr="004929F6">
        <w:rPr>
          <w:szCs w:val="24"/>
        </w:rPr>
        <w:t xml:space="preserve"> should be adjusted so as not to exceed 5 mL/kg of patient weight at any given dose of EMPLICITI.</w:t>
      </w:r>
    </w:p>
    <w:p w14:paraId="0770EBDB" w14:textId="77777777" w:rsidR="00C20288" w:rsidRPr="00C20288" w:rsidRDefault="00C20288" w:rsidP="00FB3156">
      <w:pPr>
        <w:pStyle w:val="EMEABodyText"/>
        <w:numPr>
          <w:ilvl w:val="0"/>
          <w:numId w:val="34"/>
        </w:numPr>
      </w:pPr>
      <w:r>
        <w:t>EACH VIAL OF EMPLICITI IS FOR SINGLE USE IN ONE PATI</w:t>
      </w:r>
      <w:r w:rsidR="00640E6C">
        <w:t>ENT</w:t>
      </w:r>
      <w:r>
        <w:t xml:space="preserve"> ONLY. DISCARD ANY RESIDUE</w:t>
      </w:r>
    </w:p>
    <w:p w14:paraId="44DF1190" w14:textId="2289E305" w:rsidR="00C85319" w:rsidRPr="000C431C" w:rsidRDefault="00A2311D" w:rsidP="00B06408">
      <w:pPr>
        <w:pStyle w:val="A-Heading1"/>
      </w:pPr>
      <w:r>
        <w:t>ADMINISTRATION</w:t>
      </w:r>
    </w:p>
    <w:p w14:paraId="073A9A95" w14:textId="1ED7039F" w:rsidR="00C85319" w:rsidRPr="000C431C" w:rsidRDefault="00C85319" w:rsidP="00C85319">
      <w:pPr>
        <w:pStyle w:val="EMEABodyText"/>
        <w:rPr>
          <w:szCs w:val="24"/>
        </w:rPr>
      </w:pPr>
      <w:r w:rsidRPr="000C431C">
        <w:rPr>
          <w:szCs w:val="24"/>
        </w:rPr>
        <w:t xml:space="preserve">The entire </w:t>
      </w:r>
      <w:r w:rsidRPr="000C431C">
        <w:rPr>
          <w:szCs w:val="24"/>
          <w:lang w:val="en-US"/>
        </w:rPr>
        <w:t>EMPLICITI</w:t>
      </w:r>
      <w:r w:rsidRPr="000C431C">
        <w:rPr>
          <w:szCs w:val="24"/>
        </w:rPr>
        <w:t xml:space="preserve"> infusion should be administered with an infusion set and a sterile, non</w:t>
      </w:r>
      <w:r w:rsidRPr="000C431C">
        <w:rPr>
          <w:szCs w:val="24"/>
        </w:rPr>
        <w:noBreakHyphen/>
        <w:t>pyrogenic, low</w:t>
      </w:r>
      <w:r w:rsidRPr="000C431C">
        <w:rPr>
          <w:szCs w:val="24"/>
        </w:rPr>
        <w:noBreakHyphen/>
        <w:t>protein</w:t>
      </w:r>
      <w:r w:rsidRPr="000C431C">
        <w:rPr>
          <w:szCs w:val="24"/>
        </w:rPr>
        <w:noBreakHyphen/>
        <w:t>binding filter (with a pore size of 0.2</w:t>
      </w:r>
      <w:r w:rsidRPr="000C431C">
        <w:rPr>
          <w:szCs w:val="24"/>
        </w:rPr>
        <w:noBreakHyphen/>
        <w:t xml:space="preserve">1.2 µm) using an automated infusion pump. </w:t>
      </w:r>
      <w:r w:rsidRPr="000C431C">
        <w:rPr>
          <w:szCs w:val="24"/>
          <w:lang w:val="en-US"/>
        </w:rPr>
        <w:t>EMPLICITI should be initiated at an infusion rate of 0.5 mL per minute. If well tolerated, the infusion rate may be increased in a stepwise fashion as described in Table</w:t>
      </w:r>
      <w:r w:rsidR="008640E1">
        <w:rPr>
          <w:szCs w:val="24"/>
          <w:lang w:val="en-US"/>
        </w:rPr>
        <w:t xml:space="preserve"> </w:t>
      </w:r>
      <w:r w:rsidR="00FB377E">
        <w:rPr>
          <w:szCs w:val="24"/>
          <w:lang w:val="en-US"/>
        </w:rPr>
        <w:t>5</w:t>
      </w:r>
      <w:r w:rsidRPr="000C431C">
        <w:rPr>
          <w:szCs w:val="24"/>
          <w:lang w:val="en-US"/>
        </w:rPr>
        <w:t xml:space="preserve">. The maximum infusion rate should not exceed 5 mL </w:t>
      </w:r>
      <w:r w:rsidR="00E87DE6" w:rsidRPr="000C431C">
        <w:rPr>
          <w:szCs w:val="24"/>
          <w:lang w:val="en-US"/>
        </w:rPr>
        <w:t xml:space="preserve">per </w:t>
      </w:r>
      <w:r w:rsidR="00E87DE6">
        <w:rPr>
          <w:szCs w:val="24"/>
          <w:lang w:val="en-US"/>
        </w:rPr>
        <w:t>minute</w:t>
      </w:r>
      <w:r w:rsidRPr="000C431C">
        <w:rPr>
          <w:szCs w:val="24"/>
          <w:lang w:val="en-US"/>
        </w:rPr>
        <w:t>.</w:t>
      </w:r>
    </w:p>
    <w:p w14:paraId="7FC20ACE" w14:textId="77777777" w:rsidR="00C85319" w:rsidRPr="000C431C" w:rsidRDefault="00C85319" w:rsidP="00C85319">
      <w:pPr>
        <w:pStyle w:val="EMEABodyText"/>
        <w:rPr>
          <w:szCs w:val="24"/>
        </w:rPr>
      </w:pPr>
      <w:r w:rsidRPr="000C431C">
        <w:rPr>
          <w:szCs w:val="24"/>
        </w:rPr>
        <w:t xml:space="preserve">The </w:t>
      </w:r>
      <w:r w:rsidRPr="000C431C">
        <w:rPr>
          <w:szCs w:val="24"/>
          <w:lang w:val="en-US"/>
        </w:rPr>
        <w:t>EMPLICITI</w:t>
      </w:r>
      <w:r w:rsidRPr="000C431C">
        <w:rPr>
          <w:szCs w:val="24"/>
        </w:rPr>
        <w:t xml:space="preserve"> infusion must be completed within 24 hours of preparation of the infusion solution. If not used immediately, the infusion solution may be stored under refrigeration conditions: 2</w:t>
      </w:r>
      <w:r w:rsidR="00C649EB">
        <w:rPr>
          <w:szCs w:val="24"/>
        </w:rPr>
        <w:t>°</w:t>
      </w:r>
      <w:r w:rsidRPr="000C431C">
        <w:rPr>
          <w:szCs w:val="24"/>
        </w:rPr>
        <w:t>C</w:t>
      </w:r>
      <w:r w:rsidRPr="000C431C">
        <w:rPr>
          <w:szCs w:val="24"/>
        </w:rPr>
        <w:noBreakHyphen/>
        <w:t>8</w:t>
      </w:r>
      <w:r w:rsidR="00C649EB">
        <w:rPr>
          <w:szCs w:val="24"/>
        </w:rPr>
        <w:t>°</w:t>
      </w:r>
      <w:r w:rsidRPr="000C431C">
        <w:rPr>
          <w:szCs w:val="24"/>
        </w:rPr>
        <w:t>C and protected from light for up to 24 hours (a maximum of 8 hours of the total 24 hours can be at room temperature: 20</w:t>
      </w:r>
      <w:r w:rsidRPr="000C431C">
        <w:rPr>
          <w:szCs w:val="24"/>
        </w:rPr>
        <w:sym w:font="Symbol" w:char="F0B0"/>
      </w:r>
      <w:r w:rsidRPr="000C431C">
        <w:rPr>
          <w:szCs w:val="24"/>
        </w:rPr>
        <w:t>C</w:t>
      </w:r>
      <w:r w:rsidRPr="000C431C">
        <w:rPr>
          <w:szCs w:val="24"/>
        </w:rPr>
        <w:noBreakHyphen/>
        <w:t>25</w:t>
      </w:r>
      <w:r w:rsidRPr="000C431C">
        <w:rPr>
          <w:szCs w:val="24"/>
        </w:rPr>
        <w:sym w:font="Symbol" w:char="F0B0"/>
      </w:r>
      <w:r w:rsidRPr="000C431C">
        <w:rPr>
          <w:szCs w:val="24"/>
        </w:rPr>
        <w:t>C and room light).</w:t>
      </w:r>
    </w:p>
    <w:p w14:paraId="04BA240A" w14:textId="77777777" w:rsidR="00C85319" w:rsidRPr="00474979" w:rsidRDefault="00C85319" w:rsidP="00B06408">
      <w:pPr>
        <w:pStyle w:val="A-Heading2"/>
        <w:rPr>
          <w:i w:val="0"/>
        </w:rPr>
      </w:pPr>
      <w:r w:rsidRPr="00474979">
        <w:rPr>
          <w:i w:val="0"/>
        </w:rPr>
        <w:t>Disposal</w:t>
      </w:r>
    </w:p>
    <w:p w14:paraId="64B357FC" w14:textId="77777777" w:rsidR="00B16BDD" w:rsidRDefault="00C85319" w:rsidP="00C85319">
      <w:pPr>
        <w:pStyle w:val="EMEABodyText"/>
        <w:rPr>
          <w:szCs w:val="24"/>
        </w:rPr>
      </w:pPr>
      <w:r w:rsidRPr="00C20288">
        <w:rPr>
          <w:szCs w:val="24"/>
        </w:rPr>
        <w:t>Do not store any unused portion of the infusion solution for reuse. Any unused medicinal product or waste material should be disposed of in accordance with local requirements.</w:t>
      </w:r>
    </w:p>
    <w:p w14:paraId="5A3C6304" w14:textId="471AA832" w:rsidR="00954716" w:rsidRDefault="00954716" w:rsidP="00B06408">
      <w:pPr>
        <w:pStyle w:val="A-Heading1"/>
      </w:pPr>
      <w:r w:rsidRPr="00B06408">
        <w:t>OVERDOSAGE</w:t>
      </w:r>
    </w:p>
    <w:p w14:paraId="3C1CF36F" w14:textId="77777777" w:rsidR="00C85319" w:rsidRPr="00C20288" w:rsidRDefault="00C85319" w:rsidP="00C85319">
      <w:pPr>
        <w:pStyle w:val="EMEABodyText"/>
        <w:rPr>
          <w:szCs w:val="24"/>
        </w:rPr>
      </w:pPr>
      <w:r w:rsidRPr="00C20288">
        <w:rPr>
          <w:szCs w:val="24"/>
          <w:lang w:val="en-US"/>
        </w:rPr>
        <w:t xml:space="preserve">One patient was reported to be overdosed with 23.3 mg/kg of </w:t>
      </w:r>
      <w:proofErr w:type="spellStart"/>
      <w:r w:rsidRPr="00C20288">
        <w:rPr>
          <w:szCs w:val="24"/>
          <w:lang w:val="en-US"/>
        </w:rPr>
        <w:t>elotuzumab</w:t>
      </w:r>
      <w:proofErr w:type="spellEnd"/>
      <w:r w:rsidRPr="00C20288">
        <w:rPr>
          <w:szCs w:val="24"/>
          <w:lang w:val="en-US"/>
        </w:rPr>
        <w:t xml:space="preserve"> in combination with </w:t>
      </w:r>
      <w:proofErr w:type="spellStart"/>
      <w:r w:rsidRPr="00C20288">
        <w:rPr>
          <w:szCs w:val="24"/>
          <w:lang w:val="en-US"/>
        </w:rPr>
        <w:t>lenalidomide</w:t>
      </w:r>
      <w:proofErr w:type="spellEnd"/>
      <w:r w:rsidRPr="00C20288">
        <w:rPr>
          <w:szCs w:val="24"/>
          <w:lang w:val="en-US"/>
        </w:rPr>
        <w:t xml:space="preserve"> and dexamethasone. The patient had no infusion reaction, no symptoms, did not require any treatment for the overdose, and was able to continue on </w:t>
      </w:r>
      <w:proofErr w:type="spellStart"/>
      <w:r w:rsidRPr="00C20288">
        <w:rPr>
          <w:szCs w:val="24"/>
          <w:lang w:val="en-US"/>
        </w:rPr>
        <w:t>elotuzumab</w:t>
      </w:r>
      <w:proofErr w:type="spellEnd"/>
      <w:r w:rsidRPr="00C20288">
        <w:rPr>
          <w:szCs w:val="24"/>
          <w:lang w:val="en-US"/>
        </w:rPr>
        <w:t xml:space="preserve"> therapy.</w:t>
      </w:r>
    </w:p>
    <w:p w14:paraId="316D554C" w14:textId="77777777" w:rsidR="00C85319" w:rsidRPr="00C20288" w:rsidRDefault="00C85319" w:rsidP="00C85319">
      <w:pPr>
        <w:pStyle w:val="EMEABodyText"/>
        <w:rPr>
          <w:szCs w:val="24"/>
        </w:rPr>
      </w:pPr>
      <w:r w:rsidRPr="00C20288">
        <w:rPr>
          <w:szCs w:val="24"/>
        </w:rPr>
        <w:t xml:space="preserve">The maximum tolerated dose has not been determined. In clinical studies, approximately 78 patients were evaluated with </w:t>
      </w:r>
      <w:proofErr w:type="spellStart"/>
      <w:r w:rsidRPr="00C20288">
        <w:rPr>
          <w:szCs w:val="24"/>
          <w:lang w:val="en-US"/>
        </w:rPr>
        <w:t>elotuzumab</w:t>
      </w:r>
      <w:proofErr w:type="spellEnd"/>
      <w:r w:rsidRPr="00C20288">
        <w:rPr>
          <w:szCs w:val="24"/>
        </w:rPr>
        <w:t xml:space="preserve"> at 20 mg/kg without apparent toxic effects.</w:t>
      </w:r>
    </w:p>
    <w:p w14:paraId="7BDE071A" w14:textId="77777777" w:rsidR="00C85319" w:rsidRPr="00C20288" w:rsidRDefault="00C85319" w:rsidP="00C17F8D">
      <w:pPr>
        <w:pStyle w:val="EMEABodyText"/>
        <w:rPr>
          <w:noProof/>
          <w:szCs w:val="24"/>
        </w:rPr>
      </w:pPr>
      <w:r w:rsidRPr="00C20288">
        <w:rPr>
          <w:szCs w:val="24"/>
        </w:rPr>
        <w:t>In case of overdose, patients should be closely monitored for signs or symptoms of adverse reactions, and appropriate symptomatic treatment instituted.</w:t>
      </w:r>
    </w:p>
    <w:p w14:paraId="62DC685B" w14:textId="77777777" w:rsidR="00B16BDD" w:rsidRDefault="00240220" w:rsidP="0006031A">
      <w:pPr>
        <w:spacing w:after="0" w:line="240" w:lineRule="auto"/>
        <w:jc w:val="both"/>
        <w:rPr>
          <w:rFonts w:ascii="Times New Roman" w:hAnsi="Times New Roman"/>
          <w:i/>
          <w:iCs/>
        </w:rPr>
      </w:pPr>
      <w:r w:rsidRPr="00240220">
        <w:rPr>
          <w:rFonts w:ascii="Times New Roman" w:hAnsi="Times New Roman"/>
          <w:i/>
          <w:iCs/>
        </w:rPr>
        <w:t>For information on the management of overdose, contact the Poison Information Centre on 131126 (Australia).</w:t>
      </w:r>
    </w:p>
    <w:p w14:paraId="7A634994" w14:textId="4F4345DF" w:rsidR="00954716" w:rsidRDefault="00954716" w:rsidP="00B06408">
      <w:pPr>
        <w:pStyle w:val="A-Heading1"/>
      </w:pPr>
      <w:r w:rsidRPr="00B06408">
        <w:t>PRESENTATION</w:t>
      </w:r>
      <w:r w:rsidRPr="008D28D2">
        <w:t xml:space="preserve"> AND STORAGE CONDITIONS</w:t>
      </w:r>
    </w:p>
    <w:p w14:paraId="0A30550D" w14:textId="77777777" w:rsidR="00C20288" w:rsidRPr="00C20288" w:rsidRDefault="00C20288" w:rsidP="00C20288">
      <w:pPr>
        <w:pStyle w:val="EMEABodyText"/>
        <w:rPr>
          <w:noProof/>
          <w:szCs w:val="24"/>
        </w:rPr>
      </w:pPr>
      <w:r w:rsidRPr="00C20288">
        <w:rPr>
          <w:szCs w:val="24"/>
        </w:rPr>
        <w:t xml:space="preserve">EMPLICITI is </w:t>
      </w:r>
      <w:r>
        <w:rPr>
          <w:szCs w:val="24"/>
        </w:rPr>
        <w:t xml:space="preserve">a lyophilized powder for </w:t>
      </w:r>
      <w:r w:rsidR="00E87DE6">
        <w:rPr>
          <w:szCs w:val="24"/>
        </w:rPr>
        <w:t>intravenous</w:t>
      </w:r>
      <w:r>
        <w:rPr>
          <w:szCs w:val="24"/>
        </w:rPr>
        <w:t xml:space="preserve"> infusion; it is </w:t>
      </w:r>
      <w:r w:rsidRPr="00C20288">
        <w:rPr>
          <w:szCs w:val="24"/>
        </w:rPr>
        <w:t xml:space="preserve">supplied </w:t>
      </w:r>
      <w:r w:rsidR="004A778B">
        <w:rPr>
          <w:szCs w:val="24"/>
        </w:rPr>
        <w:t xml:space="preserve">as a single-use vial </w:t>
      </w:r>
      <w:r w:rsidRPr="00C20288">
        <w:rPr>
          <w:szCs w:val="24"/>
        </w:rPr>
        <w:t xml:space="preserve">in a 20 ml Type I glass vials, closed with 20 mm stoppers and sealed with </w:t>
      </w:r>
      <w:r w:rsidR="00E87DE6" w:rsidRPr="00C20288">
        <w:rPr>
          <w:szCs w:val="24"/>
        </w:rPr>
        <w:t>aluminium</w:t>
      </w:r>
      <w:r w:rsidRPr="00C20288">
        <w:rPr>
          <w:szCs w:val="24"/>
        </w:rPr>
        <w:t xml:space="preserve"> flip off seals. Each vial contains either 300 mg or 400 mg </w:t>
      </w:r>
      <w:proofErr w:type="spellStart"/>
      <w:r w:rsidRPr="00C20288">
        <w:rPr>
          <w:szCs w:val="24"/>
        </w:rPr>
        <w:t>elotuzumab</w:t>
      </w:r>
      <w:proofErr w:type="spellEnd"/>
      <w:r w:rsidRPr="00C20288">
        <w:rPr>
          <w:szCs w:val="24"/>
        </w:rPr>
        <w:t xml:space="preserve">. </w:t>
      </w:r>
      <w:r w:rsidRPr="00C20288">
        <w:rPr>
          <w:noProof/>
          <w:szCs w:val="24"/>
        </w:rPr>
        <w:t>After reconstitution, each mL of concentrate contains 25 mg elotuzumab.</w:t>
      </w:r>
    </w:p>
    <w:p w14:paraId="3548A681" w14:textId="77777777" w:rsidR="004A778B" w:rsidRPr="00474979" w:rsidRDefault="004A778B" w:rsidP="00B06408">
      <w:pPr>
        <w:pStyle w:val="A-Heading2"/>
        <w:rPr>
          <w:i w:val="0"/>
        </w:rPr>
      </w:pPr>
      <w:r w:rsidRPr="00474979">
        <w:rPr>
          <w:i w:val="0"/>
        </w:rPr>
        <w:lastRenderedPageBreak/>
        <w:t>Stor</w:t>
      </w:r>
      <w:r w:rsidR="00C012F6" w:rsidRPr="00474979">
        <w:rPr>
          <w:i w:val="0"/>
        </w:rPr>
        <w:t>age</w:t>
      </w:r>
      <w:r w:rsidRPr="00474979">
        <w:rPr>
          <w:i w:val="0"/>
        </w:rPr>
        <w:t xml:space="preserve"> and Stability conditions</w:t>
      </w:r>
    </w:p>
    <w:p w14:paraId="0BC9BF28" w14:textId="39B2A535" w:rsidR="004A778B" w:rsidRPr="001D11FA" w:rsidRDefault="008132D1" w:rsidP="004A778B">
      <w:pPr>
        <w:pStyle w:val="EMEABodyText"/>
        <w:rPr>
          <w:noProof/>
          <w:szCs w:val="24"/>
        </w:rPr>
      </w:pPr>
      <w:r w:rsidRPr="001D11FA">
        <w:rPr>
          <w:noProof/>
          <w:szCs w:val="24"/>
        </w:rPr>
        <w:t>EMPLICITI lyophilized powder must be re</w:t>
      </w:r>
      <w:r w:rsidR="001A1CBF">
        <w:rPr>
          <w:noProof/>
          <w:szCs w:val="24"/>
        </w:rPr>
        <w:t>f</w:t>
      </w:r>
      <w:r w:rsidRPr="001D11FA">
        <w:rPr>
          <w:noProof/>
          <w:szCs w:val="24"/>
        </w:rPr>
        <w:t xml:space="preserve">rigerated at </w:t>
      </w:r>
      <w:r w:rsidR="004A778B" w:rsidRPr="001D11FA">
        <w:rPr>
          <w:noProof/>
          <w:szCs w:val="24"/>
        </w:rPr>
        <w:t>2°C</w:t>
      </w:r>
      <w:r w:rsidR="004A778B" w:rsidRPr="001D11FA">
        <w:rPr>
          <w:noProof/>
          <w:szCs w:val="24"/>
        </w:rPr>
        <w:noBreakHyphen/>
        <w:t>8°C. Do not freeze or shake.</w:t>
      </w:r>
    </w:p>
    <w:p w14:paraId="55B72018" w14:textId="77777777" w:rsidR="004A778B" w:rsidRPr="001D11FA" w:rsidRDefault="004A778B" w:rsidP="004A778B">
      <w:pPr>
        <w:pStyle w:val="EMEABodyText"/>
        <w:rPr>
          <w:noProof/>
          <w:szCs w:val="24"/>
        </w:rPr>
      </w:pPr>
      <w:r w:rsidRPr="001D11FA">
        <w:rPr>
          <w:noProof/>
          <w:szCs w:val="24"/>
        </w:rPr>
        <w:t>Store in the original package in order to protect from light.</w:t>
      </w:r>
    </w:p>
    <w:p w14:paraId="4449BD43" w14:textId="77777777" w:rsidR="001D11FA" w:rsidRPr="001D11FA" w:rsidRDefault="001D11FA" w:rsidP="001D11FA">
      <w:pPr>
        <w:pStyle w:val="EMEABodyText"/>
        <w:rPr>
          <w:noProof/>
          <w:szCs w:val="24"/>
        </w:rPr>
      </w:pPr>
      <w:r w:rsidRPr="001D11FA">
        <w:rPr>
          <w:noProof/>
          <w:szCs w:val="24"/>
        </w:rPr>
        <w:t xml:space="preserve">For storage conditions after reconstitution </w:t>
      </w:r>
      <w:r>
        <w:rPr>
          <w:noProof/>
          <w:szCs w:val="24"/>
        </w:rPr>
        <w:t>for the fully diluted product(see ADMINSTRATION)</w:t>
      </w:r>
      <w:r w:rsidRPr="001D11FA">
        <w:rPr>
          <w:noProof/>
          <w:szCs w:val="24"/>
        </w:rPr>
        <w:t>.</w:t>
      </w:r>
    </w:p>
    <w:p w14:paraId="6A7FA5CF" w14:textId="77777777" w:rsidR="00C85319" w:rsidRPr="001D11FA" w:rsidRDefault="00C85319" w:rsidP="00C85319">
      <w:pPr>
        <w:pStyle w:val="EMEABodyText"/>
        <w:rPr>
          <w:noProof/>
          <w:szCs w:val="24"/>
        </w:rPr>
      </w:pPr>
      <w:r w:rsidRPr="001D11FA">
        <w:rPr>
          <w:noProof/>
          <w:szCs w:val="24"/>
        </w:rPr>
        <w:t>After reconstitution: chemical and physical in use stability of the reconstituted solution has been demonstrated for 24 hours, under refrigerated conditions (2°C</w:t>
      </w:r>
      <w:r w:rsidRPr="001D11FA">
        <w:rPr>
          <w:noProof/>
          <w:szCs w:val="24"/>
        </w:rPr>
        <w:noBreakHyphen/>
        <w:t>8°C) and protected from light.</w:t>
      </w:r>
    </w:p>
    <w:p w14:paraId="791B1C80" w14:textId="77777777" w:rsidR="00C85319" w:rsidRPr="001D11FA" w:rsidRDefault="00C85319" w:rsidP="00C85319">
      <w:pPr>
        <w:pStyle w:val="EMEABodyText"/>
        <w:rPr>
          <w:noProof/>
          <w:szCs w:val="24"/>
        </w:rPr>
      </w:pPr>
      <w:r w:rsidRPr="001D11FA">
        <w:rPr>
          <w:noProof/>
          <w:szCs w:val="24"/>
        </w:rPr>
        <w:t>From a microbiological point of view, the product should be used as soon as possible, but within 8 hours if stored at room temperature.</w:t>
      </w:r>
      <w:r w:rsidR="00C012F6">
        <w:rPr>
          <w:noProof/>
          <w:szCs w:val="24"/>
        </w:rPr>
        <w:t xml:space="preserve"> (see ADMINSTRATION)</w:t>
      </w:r>
    </w:p>
    <w:p w14:paraId="39B5C7BE" w14:textId="77777777" w:rsidR="00954716" w:rsidRPr="00ED2048" w:rsidRDefault="00954716" w:rsidP="00B06408">
      <w:pPr>
        <w:pStyle w:val="A-Heading1"/>
      </w:pPr>
      <w:r w:rsidRPr="00ED2048">
        <w:t>NAME AND ADDRESS OF SPONSOR</w:t>
      </w:r>
    </w:p>
    <w:p w14:paraId="17E15A62" w14:textId="77777777" w:rsidR="00954716" w:rsidRDefault="00954716" w:rsidP="00836D25">
      <w:pPr>
        <w:pStyle w:val="EMEABodyText"/>
      </w:pPr>
      <w:r w:rsidRPr="008D28D2">
        <w:t>Bristol-Myers Squibb Australia Pty Ltd</w:t>
      </w:r>
      <w:r w:rsidRPr="008D28D2">
        <w:br/>
      </w:r>
      <w:r w:rsidR="005679DA">
        <w:t xml:space="preserve">Level 2, </w:t>
      </w:r>
      <w:r w:rsidRPr="008D28D2">
        <w:t>4 Nexus Court</w:t>
      </w:r>
      <w:r w:rsidRPr="008D28D2">
        <w:br/>
        <w:t>MULGRAVE VIC 3170</w:t>
      </w:r>
    </w:p>
    <w:p w14:paraId="4B1086B0" w14:textId="77777777" w:rsidR="00954716" w:rsidRPr="008D28D2" w:rsidRDefault="00954716" w:rsidP="00B06408">
      <w:pPr>
        <w:pStyle w:val="A-Heading1"/>
      </w:pPr>
      <w:r w:rsidRPr="00B06408">
        <w:t>POISON</w:t>
      </w:r>
      <w:r w:rsidRPr="008D28D2">
        <w:t xml:space="preserve"> SCHEDULE OF THE MEDICINE</w:t>
      </w:r>
    </w:p>
    <w:p w14:paraId="65B986A1" w14:textId="77777777" w:rsidR="00954716" w:rsidRDefault="00954716" w:rsidP="00836D25">
      <w:pPr>
        <w:pStyle w:val="EMEABodyText"/>
      </w:pPr>
      <w:r w:rsidRPr="008D28D2">
        <w:t>Schedule 4</w:t>
      </w:r>
    </w:p>
    <w:p w14:paraId="48F3E561" w14:textId="77777777" w:rsidR="00954716" w:rsidRPr="008D28D2" w:rsidRDefault="00954716" w:rsidP="00B06408">
      <w:pPr>
        <w:pStyle w:val="A-Heading1"/>
      </w:pPr>
      <w:r w:rsidRPr="008D28D2">
        <w:t xml:space="preserve">DATE OF </w:t>
      </w:r>
      <w:r w:rsidR="00542E8F" w:rsidRPr="00B06408">
        <w:t>INCLUSION</w:t>
      </w:r>
      <w:r w:rsidR="00542E8F">
        <w:t xml:space="preserve"> IN THE artg</w:t>
      </w:r>
    </w:p>
    <w:p w14:paraId="39BFD85B" w14:textId="251D932F" w:rsidR="00265B6F" w:rsidRPr="006C47D6" w:rsidRDefault="006C47D6" w:rsidP="0006031A">
      <w:pPr>
        <w:pStyle w:val="A-Guided"/>
        <w:spacing w:before="0" w:after="0" w:line="240" w:lineRule="auto"/>
        <w:rPr>
          <w:rFonts w:ascii="Times New Roman" w:hAnsi="Times New Roman"/>
        </w:rPr>
      </w:pPr>
      <w:r w:rsidRPr="006C47D6">
        <w:rPr>
          <w:rFonts w:ascii="Times New Roman" w:hAnsi="Times New Roman"/>
        </w:rPr>
        <w:t>22 September 2016</w:t>
      </w:r>
    </w:p>
    <w:p w14:paraId="17DE2B94" w14:textId="77777777" w:rsidR="007D3E7D" w:rsidRPr="00827BB9" w:rsidRDefault="00741161" w:rsidP="0006031A">
      <w:pPr>
        <w:pStyle w:val="A-Guided"/>
        <w:spacing w:before="0" w:after="0" w:line="240" w:lineRule="auto"/>
        <w:rPr>
          <w:rFonts w:ascii="Times New Roman" w:hAnsi="Times New Roman"/>
          <w:sz w:val="12"/>
          <w:szCs w:val="12"/>
        </w:rPr>
      </w:pPr>
      <w:r w:rsidRPr="00827BB9">
        <w:rPr>
          <w:rFonts w:ascii="Times New Roman" w:hAnsi="Times New Roman"/>
          <w:sz w:val="12"/>
          <w:szCs w:val="12"/>
        </w:rPr>
        <w:t>EMPLICITI</w:t>
      </w:r>
      <w:r w:rsidR="00644782" w:rsidRPr="00827BB9">
        <w:rPr>
          <w:rFonts w:ascii="Times New Roman" w:hAnsi="Times New Roman"/>
          <w:sz w:val="12"/>
          <w:szCs w:val="12"/>
          <w:vertAlign w:val="superscript"/>
        </w:rPr>
        <w:t xml:space="preserve">® </w:t>
      </w:r>
      <w:r w:rsidRPr="00827BB9">
        <w:rPr>
          <w:rFonts w:ascii="Times New Roman" w:hAnsi="Times New Roman"/>
          <w:sz w:val="12"/>
          <w:szCs w:val="12"/>
        </w:rPr>
        <w:t>is a</w:t>
      </w:r>
      <w:r w:rsidRPr="00827BB9">
        <w:rPr>
          <w:rFonts w:ascii="Times New Roman" w:hAnsi="Times New Roman"/>
          <w:sz w:val="12"/>
          <w:szCs w:val="12"/>
          <w:vertAlign w:val="superscript"/>
        </w:rPr>
        <w:t xml:space="preserve"> </w:t>
      </w:r>
      <w:r w:rsidR="007D3E7D" w:rsidRPr="00827BB9">
        <w:rPr>
          <w:rFonts w:ascii="Times New Roman" w:hAnsi="Times New Roman"/>
          <w:sz w:val="12"/>
          <w:szCs w:val="12"/>
        </w:rPr>
        <w:t xml:space="preserve">registered </w:t>
      </w:r>
      <w:proofErr w:type="gramStart"/>
      <w:r w:rsidR="007D3E7D" w:rsidRPr="00827BB9">
        <w:rPr>
          <w:rFonts w:ascii="Times New Roman" w:hAnsi="Times New Roman"/>
          <w:sz w:val="12"/>
          <w:szCs w:val="12"/>
        </w:rPr>
        <w:t>trademark</w:t>
      </w:r>
      <w:r w:rsidR="00644782" w:rsidRPr="00827BB9">
        <w:rPr>
          <w:rFonts w:ascii="Times New Roman" w:hAnsi="Times New Roman"/>
          <w:sz w:val="12"/>
          <w:szCs w:val="12"/>
        </w:rPr>
        <w:t>s</w:t>
      </w:r>
      <w:proofErr w:type="gramEnd"/>
      <w:r w:rsidR="007D3E7D" w:rsidRPr="00827BB9">
        <w:rPr>
          <w:rFonts w:ascii="Times New Roman" w:hAnsi="Times New Roman"/>
          <w:sz w:val="12"/>
          <w:szCs w:val="12"/>
        </w:rPr>
        <w:t xml:space="preserve"> of Bristol-Myers Squibb</w:t>
      </w:r>
    </w:p>
    <w:sectPr w:rsidR="007D3E7D" w:rsidRPr="00827BB9" w:rsidSect="00474979">
      <w:headerReference w:type="default" r:id="rId14"/>
      <w:footerReference w:type="default" r:id="rId15"/>
      <w:pgSz w:w="11909" w:h="16834" w:code="9"/>
      <w:pgMar w:top="993" w:right="1418" w:bottom="1134" w:left="1701" w:header="731"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E26B0" w14:textId="77777777" w:rsidR="00B16BDD" w:rsidRDefault="00B16BDD">
      <w:pPr>
        <w:spacing w:after="0" w:line="240" w:lineRule="auto"/>
      </w:pPr>
      <w:r>
        <w:separator/>
      </w:r>
    </w:p>
  </w:endnote>
  <w:endnote w:type="continuationSeparator" w:id="0">
    <w:p w14:paraId="08B41E5C" w14:textId="77777777" w:rsidR="00B16BDD" w:rsidRDefault="00B16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1DD5F" w14:textId="77777777" w:rsidR="00B16BDD" w:rsidRPr="00EC30AD" w:rsidRDefault="00B16BDD" w:rsidP="002C32B0">
    <w:pPr>
      <w:pStyle w:val="Footer"/>
      <w:tabs>
        <w:tab w:val="center" w:pos="4680"/>
      </w:tabs>
      <w:rPr>
        <w:rStyle w:val="PageNumber"/>
        <w:rFonts w:ascii="Times New Roman" w:hAnsi="Times New Roman"/>
        <w:sz w:val="16"/>
        <w:szCs w:val="16"/>
      </w:rPr>
    </w:pPr>
    <w:r>
      <w:rPr>
        <w:rStyle w:val="PageNumber"/>
        <w:rFonts w:ascii="Times New Roman" w:hAnsi="Times New Roman"/>
        <w:sz w:val="16"/>
        <w:szCs w:val="16"/>
      </w:rPr>
      <w:t>_____________________________________________________________________________________________________________</w:t>
    </w:r>
  </w:p>
  <w:p w14:paraId="25564AD3" w14:textId="596B613C" w:rsidR="00B16BDD" w:rsidRPr="00327276" w:rsidRDefault="00B16BDD" w:rsidP="00037079">
    <w:pPr>
      <w:pStyle w:val="Footer"/>
      <w:tabs>
        <w:tab w:val="center" w:pos="8647"/>
      </w:tabs>
      <w:rPr>
        <w:rStyle w:val="PageNumber"/>
        <w:rFonts w:ascii="Times New Roman" w:hAnsi="Times New Roman"/>
      </w:rPr>
    </w:pPr>
    <w:r>
      <w:rPr>
        <w:rStyle w:val="PageNumber"/>
        <w:rFonts w:ascii="Times New Roman" w:hAnsi="Times New Roman"/>
      </w:rPr>
      <w:t>AU_PI_</w:t>
    </w:r>
    <w:r w:rsidRPr="00327276">
      <w:rPr>
        <w:rStyle w:val="PageNumber"/>
        <w:rFonts w:ascii="Times New Roman" w:hAnsi="Times New Roman"/>
      </w:rPr>
      <w:t>EMPLICITI_</w:t>
    </w:r>
    <w:r>
      <w:rPr>
        <w:rStyle w:val="PageNumber"/>
        <w:rFonts w:ascii="Times New Roman" w:hAnsi="Times New Roman"/>
      </w:rPr>
      <w:t>V1.0</w:t>
    </w:r>
    <w:r>
      <w:rPr>
        <w:rStyle w:val="PageNumber"/>
        <w:rFonts w:ascii="Times New Roman" w:hAnsi="Times New Roman"/>
      </w:rPr>
      <w:tab/>
    </w:r>
    <w:r w:rsidRPr="00327276">
      <w:rPr>
        <w:rStyle w:val="PageNumber"/>
        <w:rFonts w:ascii="Times New Roman" w:hAnsi="Times New Roman"/>
      </w:rPr>
      <w:fldChar w:fldCharType="begin"/>
    </w:r>
    <w:r w:rsidRPr="00327276">
      <w:rPr>
        <w:rStyle w:val="PageNumber"/>
        <w:rFonts w:ascii="Times New Roman" w:hAnsi="Times New Roman"/>
      </w:rPr>
      <w:instrText xml:space="preserve"> PAGE </w:instrText>
    </w:r>
    <w:r w:rsidRPr="00327276">
      <w:rPr>
        <w:rStyle w:val="PageNumber"/>
        <w:rFonts w:ascii="Times New Roman" w:hAnsi="Times New Roman"/>
      </w:rPr>
      <w:fldChar w:fldCharType="separate"/>
    </w:r>
    <w:r w:rsidR="00E82DD2">
      <w:rPr>
        <w:rStyle w:val="PageNumber"/>
        <w:rFonts w:ascii="Times New Roman" w:hAnsi="Times New Roman"/>
        <w:noProof/>
      </w:rPr>
      <w:t>1</w:t>
    </w:r>
    <w:r w:rsidRPr="00327276">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DF005" w14:textId="77777777" w:rsidR="00B16BDD" w:rsidRDefault="00B16BDD">
      <w:pPr>
        <w:spacing w:after="0" w:line="240" w:lineRule="auto"/>
      </w:pPr>
      <w:r>
        <w:separator/>
      </w:r>
    </w:p>
  </w:footnote>
  <w:footnote w:type="continuationSeparator" w:id="0">
    <w:p w14:paraId="342557F1" w14:textId="77777777" w:rsidR="00B16BDD" w:rsidRDefault="00B16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187BC" w14:textId="2CC9E21E" w:rsidR="00B16BDD" w:rsidRPr="00D361CA" w:rsidRDefault="00B16BDD" w:rsidP="00842661">
    <w:pPr>
      <w:pBdr>
        <w:top w:val="single" w:sz="4" w:space="1" w:color="auto"/>
        <w:left w:val="single" w:sz="4" w:space="4" w:color="auto"/>
        <w:bottom w:val="single" w:sz="4" w:space="1" w:color="auto"/>
        <w:right w:val="single" w:sz="4" w:space="4" w:color="auto"/>
      </w:pBdr>
      <w:shd w:val="clear" w:color="auto" w:fill="E4F2E0"/>
      <w:spacing w:before="40" w:after="40"/>
      <w:rPr>
        <w:b/>
        <w:sz w:val="20"/>
      </w:rPr>
    </w:pPr>
    <w:r w:rsidRPr="00D361CA">
      <w:rPr>
        <w:b/>
        <w:sz w:val="20"/>
      </w:rPr>
      <w:t xml:space="preserve">Attachment 1: Product information for </w:t>
    </w:r>
    <w:proofErr w:type="spellStart"/>
    <w:r w:rsidRPr="00A521F0">
      <w:rPr>
        <w:b/>
        <w:sz w:val="20"/>
      </w:rPr>
      <w:t>AusPAR</w:t>
    </w:r>
    <w:proofErr w:type="spellEnd"/>
    <w:r w:rsidRPr="00A521F0">
      <w:rPr>
        <w:b/>
        <w:sz w:val="20"/>
      </w:rPr>
      <w:t xml:space="preserve"> </w:t>
    </w:r>
    <w:proofErr w:type="spellStart"/>
    <w:r w:rsidRPr="00A521F0">
      <w:rPr>
        <w:b/>
        <w:sz w:val="20"/>
      </w:rPr>
      <w:t>Empliciti</w:t>
    </w:r>
    <w:proofErr w:type="spellEnd"/>
    <w:r w:rsidRPr="00A521F0">
      <w:rPr>
        <w:b/>
        <w:sz w:val="20"/>
      </w:rPr>
      <w:t xml:space="preserve"> Bristol-Myers Squibb Australia Pty Ltd PM-2015-02402-1-4</w:t>
    </w:r>
    <w:r>
      <w:t xml:space="preserve"> </w:t>
    </w:r>
    <w:r>
      <w:rPr>
        <w:b/>
        <w:sz w:val="20"/>
      </w:rPr>
      <w:t>Final 9</w:t>
    </w:r>
    <w:r w:rsidRPr="001069AE">
      <w:rPr>
        <w:b/>
        <w:sz w:val="20"/>
      </w:rPr>
      <w:t xml:space="preserve"> October 2017</w:t>
    </w:r>
    <w:r>
      <w:rPr>
        <w:b/>
        <w:sz w:val="20"/>
      </w:rPr>
      <w:t xml:space="preserve">. </w:t>
    </w:r>
    <w:r w:rsidRPr="00D361CA">
      <w:rPr>
        <w:b/>
        <w:sz w:val="20"/>
      </w:rPr>
      <w:t xml:space="preserve">This Product Information was approved at the time this </w:t>
    </w:r>
    <w:proofErr w:type="spellStart"/>
    <w:r w:rsidRPr="00D361CA">
      <w:rPr>
        <w:b/>
        <w:sz w:val="20"/>
      </w:rPr>
      <w:t>AusPAR</w:t>
    </w:r>
    <w:proofErr w:type="spellEnd"/>
    <w:r w:rsidRPr="00D361CA">
      <w:rPr>
        <w:b/>
        <w:sz w:val="20"/>
      </w:rPr>
      <w:t xml:space="preserve"> was published.</w:t>
    </w:r>
  </w:p>
  <w:p w14:paraId="76C69311" w14:textId="77777777" w:rsidR="00B16BDD" w:rsidRDefault="00B16B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lvlText w:val="%1.%2"/>
      <w:lvlJc w:val="left"/>
      <w:pPr>
        <w:tabs>
          <w:tab w:val="num" w:pos="992"/>
        </w:tabs>
        <w:ind w:left="992" w:hanging="992"/>
      </w:pPr>
    </w:lvl>
    <w:lvl w:ilvl="2">
      <w:start w:val="1"/>
      <w:numFmt w:val="decimal"/>
      <w:pStyle w:val="Heading3"/>
      <w:lvlText w:val="%1.%2.%3"/>
      <w:lvlJc w:val="left"/>
      <w:pPr>
        <w:tabs>
          <w:tab w:val="num" w:pos="992"/>
        </w:tabs>
        <w:ind w:left="992" w:hanging="992"/>
      </w:pPr>
    </w:lvl>
    <w:lvl w:ilvl="3">
      <w:start w:val="1"/>
      <w:numFmt w:val="decimal"/>
      <w:pStyle w:val="Heading4"/>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519516D"/>
    <w:multiLevelType w:val="hybridMultilevel"/>
    <w:tmpl w:val="DA9E695E"/>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C61AC1"/>
    <w:multiLevelType w:val="hybridMultilevel"/>
    <w:tmpl w:val="39FABA7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0430FED"/>
    <w:multiLevelType w:val="hybridMultilevel"/>
    <w:tmpl w:val="3C9469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9A62659"/>
    <w:multiLevelType w:val="singleLevel"/>
    <w:tmpl w:val="030A11AC"/>
    <w:lvl w:ilvl="0">
      <w:start w:val="1"/>
      <w:numFmt w:val="bullet"/>
      <w:pStyle w:val="A-ListSubsidiary"/>
      <w:lvlText w:val=""/>
      <w:lvlJc w:val="left"/>
      <w:pPr>
        <w:tabs>
          <w:tab w:val="num" w:pos="1987"/>
        </w:tabs>
        <w:ind w:left="1987" w:hanging="993"/>
      </w:pPr>
      <w:rPr>
        <w:rFonts w:ascii="Symbol" w:hAnsi="Symbol" w:hint="default"/>
      </w:rPr>
    </w:lvl>
  </w:abstractNum>
  <w:abstractNum w:abstractNumId="5">
    <w:nsid w:val="1B0E1E0C"/>
    <w:multiLevelType w:val="hybridMultilevel"/>
    <w:tmpl w:val="D646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C16D3"/>
    <w:multiLevelType w:val="hybridMultilevel"/>
    <w:tmpl w:val="BAA0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5046B8"/>
    <w:multiLevelType w:val="hybridMultilevel"/>
    <w:tmpl w:val="709E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380838"/>
    <w:multiLevelType w:val="hybridMultilevel"/>
    <w:tmpl w:val="58F0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976621"/>
    <w:multiLevelType w:val="hybridMultilevel"/>
    <w:tmpl w:val="B12A378C"/>
    <w:lvl w:ilvl="0" w:tplc="0B0C3ED8">
      <w:start w:val="1"/>
      <w:numFmt w:val="lowerRoman"/>
      <w:pStyle w:val="A-Listi"/>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161CD9"/>
    <w:multiLevelType w:val="singleLevel"/>
    <w:tmpl w:val="1BBC6388"/>
    <w:lvl w:ilvl="0">
      <w:start w:val="1"/>
      <w:numFmt w:val="decimal"/>
      <w:pStyle w:val="TableList"/>
      <w:lvlText w:val="%1."/>
      <w:lvlJc w:val="left"/>
      <w:pPr>
        <w:tabs>
          <w:tab w:val="num" w:pos="360"/>
        </w:tabs>
        <w:ind w:left="360" w:hanging="360"/>
      </w:pPr>
    </w:lvl>
  </w:abstractNum>
  <w:abstractNum w:abstractNumId="11">
    <w:nsid w:val="27203307"/>
    <w:multiLevelType w:val="multilevel"/>
    <w:tmpl w:val="144866AE"/>
    <w:lvl w:ilvl="0">
      <w:start w:val="1"/>
      <w:numFmt w:val="decimal"/>
      <w:pStyle w:val="BMSHeading1"/>
      <w:lvlText w:val="%1"/>
      <w:lvlJc w:val="left"/>
      <w:pPr>
        <w:tabs>
          <w:tab w:val="num" w:pos="1152"/>
        </w:tabs>
        <w:ind w:left="1152" w:hanging="1152"/>
      </w:pPr>
      <w:rPr>
        <w:rFonts w:hint="default"/>
      </w:rPr>
    </w:lvl>
    <w:lvl w:ilvl="1">
      <w:start w:val="1"/>
      <w:numFmt w:val="decimal"/>
      <w:pStyle w:val="BMSHeading2"/>
      <w:lvlText w:val="%1.%2"/>
      <w:lvlJc w:val="left"/>
      <w:pPr>
        <w:tabs>
          <w:tab w:val="num" w:pos="1152"/>
        </w:tabs>
        <w:ind w:left="1152" w:hanging="1152"/>
      </w:pPr>
      <w:rPr>
        <w:rFonts w:hint="default"/>
      </w:rPr>
    </w:lvl>
    <w:lvl w:ilvl="2">
      <w:start w:val="1"/>
      <w:numFmt w:val="decimal"/>
      <w:pStyle w:val="BMSHeading3"/>
      <w:lvlText w:val="%1.%2.%3"/>
      <w:lvlJc w:val="left"/>
      <w:pPr>
        <w:tabs>
          <w:tab w:val="num" w:pos="1152"/>
        </w:tabs>
        <w:ind w:left="1152" w:hanging="1152"/>
      </w:pPr>
      <w:rPr>
        <w:rFonts w:hint="default"/>
      </w:rPr>
    </w:lvl>
    <w:lvl w:ilvl="3">
      <w:start w:val="1"/>
      <w:numFmt w:val="decimal"/>
      <w:pStyle w:val="BMSHeading4"/>
      <w:lvlText w:val="%1.%2.%3.%4"/>
      <w:lvlJc w:val="left"/>
      <w:pPr>
        <w:tabs>
          <w:tab w:val="num" w:pos="1152"/>
        </w:tabs>
        <w:ind w:left="1152" w:hanging="115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C42267C"/>
    <w:multiLevelType w:val="multilevel"/>
    <w:tmpl w:val="E3B64890"/>
    <w:lvl w:ilvl="0">
      <w:start w:val="1"/>
      <w:numFmt w:val="decimal"/>
      <w:pStyle w:val="BMSHeadingAppendix"/>
      <w:lvlText w:val="APPENDIX %1"/>
      <w:lvlJc w:val="left"/>
      <w:pPr>
        <w:tabs>
          <w:tab w:val="num" w:pos="180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30C361FD"/>
    <w:multiLevelType w:val="hybridMultilevel"/>
    <w:tmpl w:val="00168412"/>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2842E48"/>
    <w:multiLevelType w:val="hybridMultilevel"/>
    <w:tmpl w:val="2C32DB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4445FAF"/>
    <w:multiLevelType w:val="singleLevel"/>
    <w:tmpl w:val="DB2A6048"/>
    <w:lvl w:ilvl="0">
      <w:start w:val="1"/>
      <w:numFmt w:val="bullet"/>
      <w:pStyle w:val="A-ListBullet"/>
      <w:lvlText w:val=""/>
      <w:lvlJc w:val="left"/>
      <w:pPr>
        <w:tabs>
          <w:tab w:val="num" w:pos="994"/>
        </w:tabs>
        <w:ind w:left="994" w:hanging="994"/>
      </w:pPr>
      <w:rPr>
        <w:rFonts w:ascii="Symbol" w:hAnsi="Symbol" w:hint="default"/>
      </w:rPr>
    </w:lvl>
  </w:abstractNum>
  <w:abstractNum w:abstractNumId="16">
    <w:nsid w:val="357B6118"/>
    <w:multiLevelType w:val="hybridMultilevel"/>
    <w:tmpl w:val="48E8741C"/>
    <w:lvl w:ilvl="0" w:tplc="C0B0BF5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1B60DE"/>
    <w:multiLevelType w:val="hybridMultilevel"/>
    <w:tmpl w:val="F3EAF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FA50E5"/>
    <w:multiLevelType w:val="hybridMultilevel"/>
    <w:tmpl w:val="61209D58"/>
    <w:lvl w:ilvl="0" w:tplc="C0B0BF5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0">
    <w:nsid w:val="49C84D6C"/>
    <w:multiLevelType w:val="hybridMultilevel"/>
    <w:tmpl w:val="AE8E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EA298B"/>
    <w:multiLevelType w:val="hybridMultilevel"/>
    <w:tmpl w:val="DBAA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B8216A"/>
    <w:multiLevelType w:val="hybridMultilevel"/>
    <w:tmpl w:val="D14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733CBC"/>
    <w:multiLevelType w:val="hybridMultilevel"/>
    <w:tmpl w:val="F104A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C916CEE"/>
    <w:multiLevelType w:val="hybridMultilevel"/>
    <w:tmpl w:val="7E0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2D7DAE"/>
    <w:multiLevelType w:val="hybridMultilevel"/>
    <w:tmpl w:val="A1AE2FF2"/>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6">
    <w:nsid w:val="633B1E6B"/>
    <w:multiLevelType w:val="hybridMultilevel"/>
    <w:tmpl w:val="4C085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1F63607"/>
    <w:multiLevelType w:val="hybridMultilevel"/>
    <w:tmpl w:val="F250A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3D349AD"/>
    <w:multiLevelType w:val="multilevel"/>
    <w:tmpl w:val="45FC4FC0"/>
    <w:lvl w:ilvl="0">
      <w:start w:val="1"/>
      <w:numFmt w:val="bullet"/>
      <w:pStyle w:val="BMSBullets"/>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743E4299"/>
    <w:multiLevelType w:val="hybridMultilevel"/>
    <w:tmpl w:val="402EA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74566F1"/>
    <w:multiLevelType w:val="hybridMultilevel"/>
    <w:tmpl w:val="11F074AA"/>
    <w:lvl w:ilvl="0" w:tplc="7534C8FC">
      <w:start w:val="1"/>
      <w:numFmt w:val="lowerLetter"/>
      <w:pStyle w:val="A-Lista"/>
      <w:lvlText w:val="(%1)"/>
      <w:lvlJc w:val="left"/>
      <w:pPr>
        <w:tabs>
          <w:tab w:val="num" w:pos="994"/>
        </w:tabs>
        <w:ind w:left="994" w:hanging="994"/>
      </w:pPr>
      <w:rPr>
        <w:rFonts w:hint="default"/>
      </w:rPr>
    </w:lvl>
    <w:lvl w:ilvl="1" w:tplc="10ECAFCC" w:tentative="1">
      <w:start w:val="1"/>
      <w:numFmt w:val="lowerLetter"/>
      <w:lvlText w:val="%2."/>
      <w:lvlJc w:val="left"/>
      <w:pPr>
        <w:tabs>
          <w:tab w:val="num" w:pos="1440"/>
        </w:tabs>
        <w:ind w:left="1440" w:hanging="360"/>
      </w:pPr>
    </w:lvl>
    <w:lvl w:ilvl="2" w:tplc="B58EB012" w:tentative="1">
      <w:start w:val="1"/>
      <w:numFmt w:val="lowerRoman"/>
      <w:lvlText w:val="%3."/>
      <w:lvlJc w:val="right"/>
      <w:pPr>
        <w:tabs>
          <w:tab w:val="num" w:pos="2160"/>
        </w:tabs>
        <w:ind w:left="2160" w:hanging="180"/>
      </w:pPr>
    </w:lvl>
    <w:lvl w:ilvl="3" w:tplc="27740DA6" w:tentative="1">
      <w:start w:val="1"/>
      <w:numFmt w:val="decimal"/>
      <w:lvlText w:val="%4."/>
      <w:lvlJc w:val="left"/>
      <w:pPr>
        <w:tabs>
          <w:tab w:val="num" w:pos="2880"/>
        </w:tabs>
        <w:ind w:left="2880" w:hanging="360"/>
      </w:pPr>
    </w:lvl>
    <w:lvl w:ilvl="4" w:tplc="E0884BC0" w:tentative="1">
      <w:start w:val="1"/>
      <w:numFmt w:val="lowerLetter"/>
      <w:lvlText w:val="%5."/>
      <w:lvlJc w:val="left"/>
      <w:pPr>
        <w:tabs>
          <w:tab w:val="num" w:pos="3600"/>
        </w:tabs>
        <w:ind w:left="3600" w:hanging="360"/>
      </w:pPr>
    </w:lvl>
    <w:lvl w:ilvl="5" w:tplc="97C02C74" w:tentative="1">
      <w:start w:val="1"/>
      <w:numFmt w:val="lowerRoman"/>
      <w:lvlText w:val="%6."/>
      <w:lvlJc w:val="right"/>
      <w:pPr>
        <w:tabs>
          <w:tab w:val="num" w:pos="4320"/>
        </w:tabs>
        <w:ind w:left="4320" w:hanging="180"/>
      </w:pPr>
    </w:lvl>
    <w:lvl w:ilvl="6" w:tplc="B1269CFE" w:tentative="1">
      <w:start w:val="1"/>
      <w:numFmt w:val="decimal"/>
      <w:lvlText w:val="%7."/>
      <w:lvlJc w:val="left"/>
      <w:pPr>
        <w:tabs>
          <w:tab w:val="num" w:pos="5040"/>
        </w:tabs>
        <w:ind w:left="5040" w:hanging="360"/>
      </w:pPr>
    </w:lvl>
    <w:lvl w:ilvl="7" w:tplc="59127690" w:tentative="1">
      <w:start w:val="1"/>
      <w:numFmt w:val="lowerLetter"/>
      <w:lvlText w:val="%8."/>
      <w:lvlJc w:val="left"/>
      <w:pPr>
        <w:tabs>
          <w:tab w:val="num" w:pos="5760"/>
        </w:tabs>
        <w:ind w:left="5760" w:hanging="360"/>
      </w:pPr>
    </w:lvl>
    <w:lvl w:ilvl="8" w:tplc="FEA0F860" w:tentative="1">
      <w:start w:val="1"/>
      <w:numFmt w:val="lowerRoman"/>
      <w:lvlText w:val="%9."/>
      <w:lvlJc w:val="right"/>
      <w:pPr>
        <w:tabs>
          <w:tab w:val="num" w:pos="6480"/>
        </w:tabs>
        <w:ind w:left="6480" w:hanging="180"/>
      </w:pPr>
    </w:lvl>
  </w:abstractNum>
  <w:abstractNum w:abstractNumId="31">
    <w:nsid w:val="7B8914BF"/>
    <w:multiLevelType w:val="hybridMultilevel"/>
    <w:tmpl w:val="437E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5"/>
  </w:num>
  <w:num w:numId="4">
    <w:abstractNumId w:val="4"/>
  </w:num>
  <w:num w:numId="5">
    <w:abstractNumId w:val="30"/>
  </w:num>
  <w:num w:numId="6">
    <w:abstractNumId w:val="9"/>
  </w:num>
  <w:num w:numId="7">
    <w:abstractNumId w:val="18"/>
  </w:num>
  <w:num w:numId="8">
    <w:abstractNumId w:val="16"/>
  </w:num>
  <w:num w:numId="9">
    <w:abstractNumId w:val="2"/>
  </w:num>
  <w:num w:numId="10">
    <w:abstractNumId w:val="26"/>
  </w:num>
  <w:num w:numId="11">
    <w:abstractNumId w:val="6"/>
  </w:num>
  <w:num w:numId="12">
    <w:abstractNumId w:val="7"/>
  </w:num>
  <w:num w:numId="13">
    <w:abstractNumId w:val="10"/>
  </w:num>
  <w:num w:numId="14">
    <w:abstractNumId w:val="11"/>
  </w:num>
  <w:num w:numId="1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8"/>
  </w:num>
  <w:num w:numId="19">
    <w:abstractNumId w:val="20"/>
  </w:num>
  <w:num w:numId="20">
    <w:abstractNumId w:val="27"/>
  </w:num>
  <w:num w:numId="21">
    <w:abstractNumId w:val="23"/>
  </w:num>
  <w:num w:numId="22">
    <w:abstractNumId w:val="14"/>
  </w:num>
  <w:num w:numId="23">
    <w:abstractNumId w:val="22"/>
  </w:num>
  <w:num w:numId="24">
    <w:abstractNumId w:val="31"/>
  </w:num>
  <w:num w:numId="25">
    <w:abstractNumId w:val="21"/>
  </w:num>
  <w:num w:numId="26">
    <w:abstractNumId w:val="5"/>
  </w:num>
  <w:num w:numId="27">
    <w:abstractNumId w:val="3"/>
  </w:num>
  <w:num w:numId="28">
    <w:abstractNumId w:val="17"/>
  </w:num>
  <w:num w:numId="29">
    <w:abstractNumId w:val="19"/>
  </w:num>
  <w:num w:numId="30">
    <w:abstractNumId w:val="28"/>
  </w:num>
  <w:num w:numId="31">
    <w:abstractNumId w:val="25"/>
  </w:num>
  <w:num w:numId="32">
    <w:abstractNumId w:val="29"/>
  </w:num>
  <w:num w:numId="33">
    <w:abstractNumId w:val="1"/>
  </w:num>
  <w:num w:numId="34">
    <w:abstractNumId w:val="13"/>
  </w:num>
  <w:num w:numId="3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PERA" w:val="1"/>
    <w:docVar w:name="CMC" w:val=" "/>
    <w:docVar w:name="CurrentCoreTemplateVersion" w:val="4.01"/>
    <w:docVar w:name="Date" w:val="2000-05-09"/>
    <w:docVar w:name="dlgTitle" w:val="Blanc with TOC"/>
    <w:docVar w:name="dlgTitleFirst" w:val="Aspera "/>
    <w:docVar w:name="InitialCoreTemplateVersion" w:val="4.01"/>
    <w:docVar w:name="TOCLevels" w:val="4"/>
    <w:docVar w:name="Type" w:val="CLIN"/>
    <w:docVar w:name="Version" w:val="97.02.00"/>
  </w:docVars>
  <w:rsids>
    <w:rsidRoot w:val="00877690"/>
    <w:rsid w:val="0000104D"/>
    <w:rsid w:val="000029B3"/>
    <w:rsid w:val="0000345E"/>
    <w:rsid w:val="00004990"/>
    <w:rsid w:val="00007A11"/>
    <w:rsid w:val="000100D0"/>
    <w:rsid w:val="0001480B"/>
    <w:rsid w:val="000226F2"/>
    <w:rsid w:val="00025D26"/>
    <w:rsid w:val="000320C0"/>
    <w:rsid w:val="0003344B"/>
    <w:rsid w:val="000336D3"/>
    <w:rsid w:val="00033D1E"/>
    <w:rsid w:val="000365FD"/>
    <w:rsid w:val="00037079"/>
    <w:rsid w:val="000426FC"/>
    <w:rsid w:val="000465D2"/>
    <w:rsid w:val="00057E1C"/>
    <w:rsid w:val="0006031A"/>
    <w:rsid w:val="00061CD5"/>
    <w:rsid w:val="0006264B"/>
    <w:rsid w:val="00064908"/>
    <w:rsid w:val="00066DF9"/>
    <w:rsid w:val="000703D9"/>
    <w:rsid w:val="00071C50"/>
    <w:rsid w:val="00075EAB"/>
    <w:rsid w:val="000772D7"/>
    <w:rsid w:val="00077339"/>
    <w:rsid w:val="00077385"/>
    <w:rsid w:val="000774C9"/>
    <w:rsid w:val="00077743"/>
    <w:rsid w:val="00080C61"/>
    <w:rsid w:val="00081B7D"/>
    <w:rsid w:val="000842D7"/>
    <w:rsid w:val="00096993"/>
    <w:rsid w:val="000A0B0D"/>
    <w:rsid w:val="000A245D"/>
    <w:rsid w:val="000A3F9D"/>
    <w:rsid w:val="000A48B1"/>
    <w:rsid w:val="000A590D"/>
    <w:rsid w:val="000B1DA8"/>
    <w:rsid w:val="000B2BF3"/>
    <w:rsid w:val="000B4998"/>
    <w:rsid w:val="000C431C"/>
    <w:rsid w:val="000C5F3D"/>
    <w:rsid w:val="000C6A11"/>
    <w:rsid w:val="000D15D7"/>
    <w:rsid w:val="000E19C6"/>
    <w:rsid w:val="000E2DC4"/>
    <w:rsid w:val="000E495E"/>
    <w:rsid w:val="000E520E"/>
    <w:rsid w:val="000E6257"/>
    <w:rsid w:val="000E6535"/>
    <w:rsid w:val="000E6F43"/>
    <w:rsid w:val="000E73BE"/>
    <w:rsid w:val="000E7DB5"/>
    <w:rsid w:val="000F1D80"/>
    <w:rsid w:val="000F3B6E"/>
    <w:rsid w:val="000F57B7"/>
    <w:rsid w:val="000F5D7F"/>
    <w:rsid w:val="000F630B"/>
    <w:rsid w:val="000F7C6B"/>
    <w:rsid w:val="00100190"/>
    <w:rsid w:val="00101575"/>
    <w:rsid w:val="00102BA4"/>
    <w:rsid w:val="00102E5D"/>
    <w:rsid w:val="00104256"/>
    <w:rsid w:val="00104AC9"/>
    <w:rsid w:val="00105E4A"/>
    <w:rsid w:val="001064CE"/>
    <w:rsid w:val="00106751"/>
    <w:rsid w:val="001136F6"/>
    <w:rsid w:val="0011536A"/>
    <w:rsid w:val="00115402"/>
    <w:rsid w:val="00121F02"/>
    <w:rsid w:val="00123144"/>
    <w:rsid w:val="001265DD"/>
    <w:rsid w:val="00127F61"/>
    <w:rsid w:val="0013061B"/>
    <w:rsid w:val="00131267"/>
    <w:rsid w:val="00132286"/>
    <w:rsid w:val="0013611B"/>
    <w:rsid w:val="001365CA"/>
    <w:rsid w:val="00137808"/>
    <w:rsid w:val="00140EDE"/>
    <w:rsid w:val="0014307C"/>
    <w:rsid w:val="001439D4"/>
    <w:rsid w:val="001447DC"/>
    <w:rsid w:val="001514CB"/>
    <w:rsid w:val="00153B12"/>
    <w:rsid w:val="001576B6"/>
    <w:rsid w:val="001620E5"/>
    <w:rsid w:val="00165827"/>
    <w:rsid w:val="0016785D"/>
    <w:rsid w:val="00167BB8"/>
    <w:rsid w:val="001726A3"/>
    <w:rsid w:val="001772E7"/>
    <w:rsid w:val="00185B3B"/>
    <w:rsid w:val="00195BE4"/>
    <w:rsid w:val="001968A2"/>
    <w:rsid w:val="001972D2"/>
    <w:rsid w:val="001A1CBF"/>
    <w:rsid w:val="001A1D9A"/>
    <w:rsid w:val="001A1E9B"/>
    <w:rsid w:val="001A3A20"/>
    <w:rsid w:val="001A4B2F"/>
    <w:rsid w:val="001B00EA"/>
    <w:rsid w:val="001B1C97"/>
    <w:rsid w:val="001B2B4B"/>
    <w:rsid w:val="001B2F1B"/>
    <w:rsid w:val="001B5CEE"/>
    <w:rsid w:val="001C0C50"/>
    <w:rsid w:val="001C12DA"/>
    <w:rsid w:val="001C23CE"/>
    <w:rsid w:val="001C5CDE"/>
    <w:rsid w:val="001D11FA"/>
    <w:rsid w:val="001D16CE"/>
    <w:rsid w:val="001E20CB"/>
    <w:rsid w:val="001E2DE6"/>
    <w:rsid w:val="001E364D"/>
    <w:rsid w:val="001E7781"/>
    <w:rsid w:val="001F48D6"/>
    <w:rsid w:val="001F5ABC"/>
    <w:rsid w:val="001F7056"/>
    <w:rsid w:val="002009C9"/>
    <w:rsid w:val="00200D2D"/>
    <w:rsid w:val="00204DCC"/>
    <w:rsid w:val="00205F10"/>
    <w:rsid w:val="00210302"/>
    <w:rsid w:val="00210DBA"/>
    <w:rsid w:val="00210EF7"/>
    <w:rsid w:val="00211237"/>
    <w:rsid w:val="002115AC"/>
    <w:rsid w:val="0021366A"/>
    <w:rsid w:val="00216636"/>
    <w:rsid w:val="00220DD4"/>
    <w:rsid w:val="00221A0F"/>
    <w:rsid w:val="00221A5D"/>
    <w:rsid w:val="002246D0"/>
    <w:rsid w:val="002311FE"/>
    <w:rsid w:val="002324D7"/>
    <w:rsid w:val="002340AA"/>
    <w:rsid w:val="00236A02"/>
    <w:rsid w:val="00237B63"/>
    <w:rsid w:val="002400AF"/>
    <w:rsid w:val="00240220"/>
    <w:rsid w:val="002423F0"/>
    <w:rsid w:val="00242523"/>
    <w:rsid w:val="00243236"/>
    <w:rsid w:val="00243930"/>
    <w:rsid w:val="00246F66"/>
    <w:rsid w:val="0025014C"/>
    <w:rsid w:val="00250685"/>
    <w:rsid w:val="00251935"/>
    <w:rsid w:val="002525F6"/>
    <w:rsid w:val="0025414E"/>
    <w:rsid w:val="002557E6"/>
    <w:rsid w:val="00256D49"/>
    <w:rsid w:val="002627AF"/>
    <w:rsid w:val="00265B6F"/>
    <w:rsid w:val="00271635"/>
    <w:rsid w:val="00272C6E"/>
    <w:rsid w:val="0027321F"/>
    <w:rsid w:val="00273296"/>
    <w:rsid w:val="00273468"/>
    <w:rsid w:val="00273FA0"/>
    <w:rsid w:val="002748D4"/>
    <w:rsid w:val="00274ED7"/>
    <w:rsid w:val="002768C8"/>
    <w:rsid w:val="00286756"/>
    <w:rsid w:val="00287D0E"/>
    <w:rsid w:val="00291220"/>
    <w:rsid w:val="00295CB3"/>
    <w:rsid w:val="002963B4"/>
    <w:rsid w:val="00296EC1"/>
    <w:rsid w:val="002A03E3"/>
    <w:rsid w:val="002A0D63"/>
    <w:rsid w:val="002A191C"/>
    <w:rsid w:val="002A1924"/>
    <w:rsid w:val="002A5868"/>
    <w:rsid w:val="002A7340"/>
    <w:rsid w:val="002A7A62"/>
    <w:rsid w:val="002B36D7"/>
    <w:rsid w:val="002B40E1"/>
    <w:rsid w:val="002B4E08"/>
    <w:rsid w:val="002B6ABD"/>
    <w:rsid w:val="002C0F95"/>
    <w:rsid w:val="002C1FE9"/>
    <w:rsid w:val="002C2714"/>
    <w:rsid w:val="002C32B0"/>
    <w:rsid w:val="002C5B40"/>
    <w:rsid w:val="002C5CCB"/>
    <w:rsid w:val="002C65E1"/>
    <w:rsid w:val="002D2670"/>
    <w:rsid w:val="002D634F"/>
    <w:rsid w:val="002D7C72"/>
    <w:rsid w:val="002D7E79"/>
    <w:rsid w:val="002E5436"/>
    <w:rsid w:val="002E6C5E"/>
    <w:rsid w:val="002F0B0F"/>
    <w:rsid w:val="002F5314"/>
    <w:rsid w:val="002F67DB"/>
    <w:rsid w:val="003008D9"/>
    <w:rsid w:val="00301BBA"/>
    <w:rsid w:val="0030273A"/>
    <w:rsid w:val="0030288C"/>
    <w:rsid w:val="00302E6C"/>
    <w:rsid w:val="0030305D"/>
    <w:rsid w:val="00303708"/>
    <w:rsid w:val="0030790C"/>
    <w:rsid w:val="00307CB1"/>
    <w:rsid w:val="0031045A"/>
    <w:rsid w:val="0031105D"/>
    <w:rsid w:val="00311101"/>
    <w:rsid w:val="00323442"/>
    <w:rsid w:val="003243BA"/>
    <w:rsid w:val="00327276"/>
    <w:rsid w:val="00327548"/>
    <w:rsid w:val="003275FF"/>
    <w:rsid w:val="00333ABD"/>
    <w:rsid w:val="003355B3"/>
    <w:rsid w:val="003372BC"/>
    <w:rsid w:val="003455AA"/>
    <w:rsid w:val="003467A9"/>
    <w:rsid w:val="003517ED"/>
    <w:rsid w:val="00352029"/>
    <w:rsid w:val="003557A7"/>
    <w:rsid w:val="00360B42"/>
    <w:rsid w:val="00361062"/>
    <w:rsid w:val="00361651"/>
    <w:rsid w:val="00363858"/>
    <w:rsid w:val="00363FE0"/>
    <w:rsid w:val="00364FB3"/>
    <w:rsid w:val="003668A9"/>
    <w:rsid w:val="00371A79"/>
    <w:rsid w:val="003750CD"/>
    <w:rsid w:val="0037559D"/>
    <w:rsid w:val="00376E13"/>
    <w:rsid w:val="00381790"/>
    <w:rsid w:val="00383FDD"/>
    <w:rsid w:val="003846E0"/>
    <w:rsid w:val="0039294C"/>
    <w:rsid w:val="003959CF"/>
    <w:rsid w:val="00396CD0"/>
    <w:rsid w:val="003A07F2"/>
    <w:rsid w:val="003A45CB"/>
    <w:rsid w:val="003A56AB"/>
    <w:rsid w:val="003A57AC"/>
    <w:rsid w:val="003A60BB"/>
    <w:rsid w:val="003A613E"/>
    <w:rsid w:val="003A6200"/>
    <w:rsid w:val="003A7210"/>
    <w:rsid w:val="003A73FB"/>
    <w:rsid w:val="003A751E"/>
    <w:rsid w:val="003A7BDC"/>
    <w:rsid w:val="003B17D2"/>
    <w:rsid w:val="003B2103"/>
    <w:rsid w:val="003B27D4"/>
    <w:rsid w:val="003B3405"/>
    <w:rsid w:val="003B59ED"/>
    <w:rsid w:val="003B648A"/>
    <w:rsid w:val="003C23A7"/>
    <w:rsid w:val="003C3BA8"/>
    <w:rsid w:val="003C3E4F"/>
    <w:rsid w:val="003C54D7"/>
    <w:rsid w:val="003C6653"/>
    <w:rsid w:val="003C7024"/>
    <w:rsid w:val="003D1EE4"/>
    <w:rsid w:val="003D5FEB"/>
    <w:rsid w:val="003E57AF"/>
    <w:rsid w:val="003E77C3"/>
    <w:rsid w:val="003F1796"/>
    <w:rsid w:val="003F5261"/>
    <w:rsid w:val="00402CB8"/>
    <w:rsid w:val="00405312"/>
    <w:rsid w:val="00410732"/>
    <w:rsid w:val="00410820"/>
    <w:rsid w:val="004126A7"/>
    <w:rsid w:val="00412DEA"/>
    <w:rsid w:val="004144AA"/>
    <w:rsid w:val="00414823"/>
    <w:rsid w:val="00414892"/>
    <w:rsid w:val="004234C9"/>
    <w:rsid w:val="00423F07"/>
    <w:rsid w:val="00427183"/>
    <w:rsid w:val="00427406"/>
    <w:rsid w:val="004306A1"/>
    <w:rsid w:val="00436DD9"/>
    <w:rsid w:val="00437620"/>
    <w:rsid w:val="00437E26"/>
    <w:rsid w:val="00441DBE"/>
    <w:rsid w:val="00446110"/>
    <w:rsid w:val="00450FF6"/>
    <w:rsid w:val="00451854"/>
    <w:rsid w:val="00453C3A"/>
    <w:rsid w:val="004550D1"/>
    <w:rsid w:val="004558D3"/>
    <w:rsid w:val="00474345"/>
    <w:rsid w:val="004748DC"/>
    <w:rsid w:val="00474979"/>
    <w:rsid w:val="004763F1"/>
    <w:rsid w:val="004800C4"/>
    <w:rsid w:val="00482CF9"/>
    <w:rsid w:val="004836CC"/>
    <w:rsid w:val="0048618E"/>
    <w:rsid w:val="00487C70"/>
    <w:rsid w:val="00490005"/>
    <w:rsid w:val="00490812"/>
    <w:rsid w:val="00491EA1"/>
    <w:rsid w:val="0049256B"/>
    <w:rsid w:val="004929F6"/>
    <w:rsid w:val="004A17F3"/>
    <w:rsid w:val="004A4E90"/>
    <w:rsid w:val="004A73B7"/>
    <w:rsid w:val="004A778B"/>
    <w:rsid w:val="004B0B12"/>
    <w:rsid w:val="004B13F9"/>
    <w:rsid w:val="004B36CD"/>
    <w:rsid w:val="004B3E7F"/>
    <w:rsid w:val="004B5DF6"/>
    <w:rsid w:val="004B7762"/>
    <w:rsid w:val="004D32FA"/>
    <w:rsid w:val="004D5A3A"/>
    <w:rsid w:val="004D79F4"/>
    <w:rsid w:val="004E089C"/>
    <w:rsid w:val="004E3036"/>
    <w:rsid w:val="004E305A"/>
    <w:rsid w:val="004E4EFD"/>
    <w:rsid w:val="004E7E34"/>
    <w:rsid w:val="004E7F7C"/>
    <w:rsid w:val="004F2D7A"/>
    <w:rsid w:val="004F5210"/>
    <w:rsid w:val="004F54EA"/>
    <w:rsid w:val="0050736C"/>
    <w:rsid w:val="005077D5"/>
    <w:rsid w:val="00507A38"/>
    <w:rsid w:val="00514B03"/>
    <w:rsid w:val="00514EA9"/>
    <w:rsid w:val="00517F86"/>
    <w:rsid w:val="00530FFE"/>
    <w:rsid w:val="0053228B"/>
    <w:rsid w:val="00534083"/>
    <w:rsid w:val="00534124"/>
    <w:rsid w:val="005345DB"/>
    <w:rsid w:val="00540514"/>
    <w:rsid w:val="00540EEC"/>
    <w:rsid w:val="00542E8F"/>
    <w:rsid w:val="00545475"/>
    <w:rsid w:val="00547CA8"/>
    <w:rsid w:val="00550B81"/>
    <w:rsid w:val="00550F32"/>
    <w:rsid w:val="00551EA9"/>
    <w:rsid w:val="00552BA2"/>
    <w:rsid w:val="00554037"/>
    <w:rsid w:val="0055570E"/>
    <w:rsid w:val="005578CD"/>
    <w:rsid w:val="00560A83"/>
    <w:rsid w:val="0056419E"/>
    <w:rsid w:val="0056477C"/>
    <w:rsid w:val="005679DA"/>
    <w:rsid w:val="00571A3A"/>
    <w:rsid w:val="005736A5"/>
    <w:rsid w:val="00574AC4"/>
    <w:rsid w:val="00575068"/>
    <w:rsid w:val="00576B82"/>
    <w:rsid w:val="00580CDE"/>
    <w:rsid w:val="00581498"/>
    <w:rsid w:val="00581D1F"/>
    <w:rsid w:val="00584A00"/>
    <w:rsid w:val="0058512C"/>
    <w:rsid w:val="005922F1"/>
    <w:rsid w:val="00592DE8"/>
    <w:rsid w:val="00595C74"/>
    <w:rsid w:val="005962D7"/>
    <w:rsid w:val="00597A01"/>
    <w:rsid w:val="005A08AF"/>
    <w:rsid w:val="005A38E3"/>
    <w:rsid w:val="005A5651"/>
    <w:rsid w:val="005B2333"/>
    <w:rsid w:val="005B2BEE"/>
    <w:rsid w:val="005B31DB"/>
    <w:rsid w:val="005B65F9"/>
    <w:rsid w:val="005B6D10"/>
    <w:rsid w:val="005C4FB3"/>
    <w:rsid w:val="005C4FCA"/>
    <w:rsid w:val="005D279D"/>
    <w:rsid w:val="005D41B1"/>
    <w:rsid w:val="005D4D85"/>
    <w:rsid w:val="005D526C"/>
    <w:rsid w:val="005D667C"/>
    <w:rsid w:val="005D73AC"/>
    <w:rsid w:val="005E1E1A"/>
    <w:rsid w:val="005E3DF8"/>
    <w:rsid w:val="005E562D"/>
    <w:rsid w:val="005E7766"/>
    <w:rsid w:val="005F4C73"/>
    <w:rsid w:val="00603C75"/>
    <w:rsid w:val="006042C7"/>
    <w:rsid w:val="00605ACC"/>
    <w:rsid w:val="00607681"/>
    <w:rsid w:val="006114DB"/>
    <w:rsid w:val="006136E8"/>
    <w:rsid w:val="00614B1E"/>
    <w:rsid w:val="006163D9"/>
    <w:rsid w:val="00621A5B"/>
    <w:rsid w:val="006306B0"/>
    <w:rsid w:val="00630AFB"/>
    <w:rsid w:val="006329D6"/>
    <w:rsid w:val="006335AE"/>
    <w:rsid w:val="00633D46"/>
    <w:rsid w:val="0063512C"/>
    <w:rsid w:val="006352E8"/>
    <w:rsid w:val="00635740"/>
    <w:rsid w:val="00636B35"/>
    <w:rsid w:val="00636D31"/>
    <w:rsid w:val="00640E6C"/>
    <w:rsid w:val="00643AAE"/>
    <w:rsid w:val="006445CE"/>
    <w:rsid w:val="00644782"/>
    <w:rsid w:val="00645C96"/>
    <w:rsid w:val="00654A96"/>
    <w:rsid w:val="006555A6"/>
    <w:rsid w:val="006630FF"/>
    <w:rsid w:val="00663527"/>
    <w:rsid w:val="00665DAE"/>
    <w:rsid w:val="00667483"/>
    <w:rsid w:val="006676A1"/>
    <w:rsid w:val="00672681"/>
    <w:rsid w:val="006731AA"/>
    <w:rsid w:val="006736D2"/>
    <w:rsid w:val="00674DD2"/>
    <w:rsid w:val="006801D2"/>
    <w:rsid w:val="006808F8"/>
    <w:rsid w:val="00681A20"/>
    <w:rsid w:val="00687140"/>
    <w:rsid w:val="006A1FC3"/>
    <w:rsid w:val="006A5AE7"/>
    <w:rsid w:val="006B46F4"/>
    <w:rsid w:val="006B6F10"/>
    <w:rsid w:val="006C031E"/>
    <w:rsid w:val="006C47D6"/>
    <w:rsid w:val="006C6ED3"/>
    <w:rsid w:val="006C70C6"/>
    <w:rsid w:val="006C755B"/>
    <w:rsid w:val="006E2326"/>
    <w:rsid w:val="006E2C80"/>
    <w:rsid w:val="006E4B15"/>
    <w:rsid w:val="006E4CBC"/>
    <w:rsid w:val="006E65B7"/>
    <w:rsid w:val="006F09F2"/>
    <w:rsid w:val="006F1B16"/>
    <w:rsid w:val="006F3C2F"/>
    <w:rsid w:val="006F528E"/>
    <w:rsid w:val="006F5692"/>
    <w:rsid w:val="006F5A42"/>
    <w:rsid w:val="006F750F"/>
    <w:rsid w:val="006F78CC"/>
    <w:rsid w:val="007006D4"/>
    <w:rsid w:val="00702BA1"/>
    <w:rsid w:val="00705E44"/>
    <w:rsid w:val="00706301"/>
    <w:rsid w:val="00710070"/>
    <w:rsid w:val="007104CD"/>
    <w:rsid w:val="007120B6"/>
    <w:rsid w:val="00715822"/>
    <w:rsid w:val="00716D44"/>
    <w:rsid w:val="00717200"/>
    <w:rsid w:val="00720F6B"/>
    <w:rsid w:val="00721BD1"/>
    <w:rsid w:val="0072319D"/>
    <w:rsid w:val="00732701"/>
    <w:rsid w:val="00735892"/>
    <w:rsid w:val="007360C4"/>
    <w:rsid w:val="00737642"/>
    <w:rsid w:val="00737ED1"/>
    <w:rsid w:val="00741161"/>
    <w:rsid w:val="007411C6"/>
    <w:rsid w:val="00743B35"/>
    <w:rsid w:val="007457A4"/>
    <w:rsid w:val="00745F15"/>
    <w:rsid w:val="0075206C"/>
    <w:rsid w:val="00752F9D"/>
    <w:rsid w:val="00754CCE"/>
    <w:rsid w:val="007561A5"/>
    <w:rsid w:val="0076042B"/>
    <w:rsid w:val="00763FB8"/>
    <w:rsid w:val="00766AB7"/>
    <w:rsid w:val="007671BF"/>
    <w:rsid w:val="00767264"/>
    <w:rsid w:val="007708BC"/>
    <w:rsid w:val="00773F43"/>
    <w:rsid w:val="0077428C"/>
    <w:rsid w:val="00774FC2"/>
    <w:rsid w:val="0077649C"/>
    <w:rsid w:val="00777415"/>
    <w:rsid w:val="007778BD"/>
    <w:rsid w:val="00780FC1"/>
    <w:rsid w:val="00786DCD"/>
    <w:rsid w:val="00790B57"/>
    <w:rsid w:val="0079580A"/>
    <w:rsid w:val="00795D69"/>
    <w:rsid w:val="00797AEE"/>
    <w:rsid w:val="007A0331"/>
    <w:rsid w:val="007A0F05"/>
    <w:rsid w:val="007A712B"/>
    <w:rsid w:val="007B285B"/>
    <w:rsid w:val="007B3CF4"/>
    <w:rsid w:val="007B4B0B"/>
    <w:rsid w:val="007B5CDB"/>
    <w:rsid w:val="007B7B3A"/>
    <w:rsid w:val="007C0CAB"/>
    <w:rsid w:val="007C0F2C"/>
    <w:rsid w:val="007C23D5"/>
    <w:rsid w:val="007C32E3"/>
    <w:rsid w:val="007C53B8"/>
    <w:rsid w:val="007D1A28"/>
    <w:rsid w:val="007D3E7D"/>
    <w:rsid w:val="007D5F9E"/>
    <w:rsid w:val="007D6CA9"/>
    <w:rsid w:val="007D7971"/>
    <w:rsid w:val="007E0D0F"/>
    <w:rsid w:val="007E16F0"/>
    <w:rsid w:val="007E28E2"/>
    <w:rsid w:val="007E2D49"/>
    <w:rsid w:val="007E34C6"/>
    <w:rsid w:val="007E752E"/>
    <w:rsid w:val="007F0C6D"/>
    <w:rsid w:val="007F5D4C"/>
    <w:rsid w:val="00800065"/>
    <w:rsid w:val="008024A6"/>
    <w:rsid w:val="008033BE"/>
    <w:rsid w:val="00803854"/>
    <w:rsid w:val="0080438B"/>
    <w:rsid w:val="008047B9"/>
    <w:rsid w:val="00804932"/>
    <w:rsid w:val="00805794"/>
    <w:rsid w:val="00805C99"/>
    <w:rsid w:val="008076AB"/>
    <w:rsid w:val="008130EC"/>
    <w:rsid w:val="008132D1"/>
    <w:rsid w:val="00813BBB"/>
    <w:rsid w:val="008156CE"/>
    <w:rsid w:val="008162DE"/>
    <w:rsid w:val="00816401"/>
    <w:rsid w:val="00820AB7"/>
    <w:rsid w:val="00820F36"/>
    <w:rsid w:val="00821FDD"/>
    <w:rsid w:val="00823FC8"/>
    <w:rsid w:val="008248DE"/>
    <w:rsid w:val="00825235"/>
    <w:rsid w:val="00827BB9"/>
    <w:rsid w:val="008327F4"/>
    <w:rsid w:val="00832CD0"/>
    <w:rsid w:val="00835D65"/>
    <w:rsid w:val="008365C7"/>
    <w:rsid w:val="00836D25"/>
    <w:rsid w:val="00842661"/>
    <w:rsid w:val="00842D6E"/>
    <w:rsid w:val="00843712"/>
    <w:rsid w:val="00844140"/>
    <w:rsid w:val="00845CA9"/>
    <w:rsid w:val="00846DCA"/>
    <w:rsid w:val="00847979"/>
    <w:rsid w:val="0085193E"/>
    <w:rsid w:val="00853CFB"/>
    <w:rsid w:val="00853E53"/>
    <w:rsid w:val="00855B00"/>
    <w:rsid w:val="00857103"/>
    <w:rsid w:val="008608F8"/>
    <w:rsid w:val="00863602"/>
    <w:rsid w:val="00863E6B"/>
    <w:rsid w:val="008640E1"/>
    <w:rsid w:val="008642FC"/>
    <w:rsid w:val="008679E8"/>
    <w:rsid w:val="00870BA8"/>
    <w:rsid w:val="008721F3"/>
    <w:rsid w:val="00872F7F"/>
    <w:rsid w:val="00877690"/>
    <w:rsid w:val="00877F96"/>
    <w:rsid w:val="00881CA7"/>
    <w:rsid w:val="0088341C"/>
    <w:rsid w:val="008843A5"/>
    <w:rsid w:val="00884418"/>
    <w:rsid w:val="00890A7A"/>
    <w:rsid w:val="008914BC"/>
    <w:rsid w:val="008917C7"/>
    <w:rsid w:val="008925E3"/>
    <w:rsid w:val="00893BA8"/>
    <w:rsid w:val="008967CB"/>
    <w:rsid w:val="008A03FA"/>
    <w:rsid w:val="008A0767"/>
    <w:rsid w:val="008A28B2"/>
    <w:rsid w:val="008A3558"/>
    <w:rsid w:val="008A4FD9"/>
    <w:rsid w:val="008A5662"/>
    <w:rsid w:val="008A73F7"/>
    <w:rsid w:val="008B2B60"/>
    <w:rsid w:val="008B3D95"/>
    <w:rsid w:val="008B4CC4"/>
    <w:rsid w:val="008B6725"/>
    <w:rsid w:val="008B6778"/>
    <w:rsid w:val="008C1A2E"/>
    <w:rsid w:val="008C1FAC"/>
    <w:rsid w:val="008C3B60"/>
    <w:rsid w:val="008C456D"/>
    <w:rsid w:val="008C6A98"/>
    <w:rsid w:val="008D28D2"/>
    <w:rsid w:val="008D3007"/>
    <w:rsid w:val="008D47F4"/>
    <w:rsid w:val="008D481A"/>
    <w:rsid w:val="008D5EDE"/>
    <w:rsid w:val="008D606C"/>
    <w:rsid w:val="008E0055"/>
    <w:rsid w:val="008E21A6"/>
    <w:rsid w:val="008E31EE"/>
    <w:rsid w:val="008E4444"/>
    <w:rsid w:val="008E45D3"/>
    <w:rsid w:val="008F0F18"/>
    <w:rsid w:val="008F3EE8"/>
    <w:rsid w:val="008F5AE3"/>
    <w:rsid w:val="008F6E66"/>
    <w:rsid w:val="008F73FA"/>
    <w:rsid w:val="009038E2"/>
    <w:rsid w:val="009079A3"/>
    <w:rsid w:val="00911A1B"/>
    <w:rsid w:val="00912CD9"/>
    <w:rsid w:val="009143F2"/>
    <w:rsid w:val="0091537D"/>
    <w:rsid w:val="00917CDE"/>
    <w:rsid w:val="00925F41"/>
    <w:rsid w:val="00927406"/>
    <w:rsid w:val="0092788E"/>
    <w:rsid w:val="009306C7"/>
    <w:rsid w:val="00930A9B"/>
    <w:rsid w:val="00932E15"/>
    <w:rsid w:val="0093440F"/>
    <w:rsid w:val="00936940"/>
    <w:rsid w:val="00937C28"/>
    <w:rsid w:val="0094084D"/>
    <w:rsid w:val="009429DC"/>
    <w:rsid w:val="00943A5F"/>
    <w:rsid w:val="00943B3D"/>
    <w:rsid w:val="00944EB1"/>
    <w:rsid w:val="00945A3E"/>
    <w:rsid w:val="00950A46"/>
    <w:rsid w:val="00954716"/>
    <w:rsid w:val="00954FB5"/>
    <w:rsid w:val="0095515F"/>
    <w:rsid w:val="00963214"/>
    <w:rsid w:val="009637C0"/>
    <w:rsid w:val="009675B5"/>
    <w:rsid w:val="00970097"/>
    <w:rsid w:val="00972132"/>
    <w:rsid w:val="00973470"/>
    <w:rsid w:val="00973F95"/>
    <w:rsid w:val="0097400D"/>
    <w:rsid w:val="00977B78"/>
    <w:rsid w:val="00991C82"/>
    <w:rsid w:val="00997F36"/>
    <w:rsid w:val="009A16B9"/>
    <w:rsid w:val="009A1BAF"/>
    <w:rsid w:val="009A3B02"/>
    <w:rsid w:val="009A5932"/>
    <w:rsid w:val="009A6764"/>
    <w:rsid w:val="009A6FC2"/>
    <w:rsid w:val="009B1C28"/>
    <w:rsid w:val="009B732B"/>
    <w:rsid w:val="009C0055"/>
    <w:rsid w:val="009C4E12"/>
    <w:rsid w:val="009C6A9D"/>
    <w:rsid w:val="009D2A39"/>
    <w:rsid w:val="009D761B"/>
    <w:rsid w:val="009E18C0"/>
    <w:rsid w:val="009E4211"/>
    <w:rsid w:val="009E5133"/>
    <w:rsid w:val="009E5D97"/>
    <w:rsid w:val="009E7130"/>
    <w:rsid w:val="009E7400"/>
    <w:rsid w:val="009E7AF1"/>
    <w:rsid w:val="009E7F41"/>
    <w:rsid w:val="009F1E29"/>
    <w:rsid w:val="009F2862"/>
    <w:rsid w:val="009F7250"/>
    <w:rsid w:val="00A007D2"/>
    <w:rsid w:val="00A0468D"/>
    <w:rsid w:val="00A06DBF"/>
    <w:rsid w:val="00A11149"/>
    <w:rsid w:val="00A11CFB"/>
    <w:rsid w:val="00A1424C"/>
    <w:rsid w:val="00A21EFF"/>
    <w:rsid w:val="00A220C6"/>
    <w:rsid w:val="00A2311D"/>
    <w:rsid w:val="00A23D70"/>
    <w:rsid w:val="00A245B8"/>
    <w:rsid w:val="00A25543"/>
    <w:rsid w:val="00A25FC4"/>
    <w:rsid w:val="00A27F25"/>
    <w:rsid w:val="00A32D97"/>
    <w:rsid w:val="00A34F45"/>
    <w:rsid w:val="00A3583E"/>
    <w:rsid w:val="00A41D81"/>
    <w:rsid w:val="00A43C73"/>
    <w:rsid w:val="00A521F0"/>
    <w:rsid w:val="00A5312F"/>
    <w:rsid w:val="00A53BF0"/>
    <w:rsid w:val="00A53FB1"/>
    <w:rsid w:val="00A57C5F"/>
    <w:rsid w:val="00A60136"/>
    <w:rsid w:val="00A60581"/>
    <w:rsid w:val="00A608CC"/>
    <w:rsid w:val="00A61652"/>
    <w:rsid w:val="00A623E3"/>
    <w:rsid w:val="00A63035"/>
    <w:rsid w:val="00A64CE6"/>
    <w:rsid w:val="00A6515B"/>
    <w:rsid w:val="00A65862"/>
    <w:rsid w:val="00A66DCA"/>
    <w:rsid w:val="00A71272"/>
    <w:rsid w:val="00A81123"/>
    <w:rsid w:val="00A828C0"/>
    <w:rsid w:val="00A84151"/>
    <w:rsid w:val="00A84FDC"/>
    <w:rsid w:val="00A86AF1"/>
    <w:rsid w:val="00A90635"/>
    <w:rsid w:val="00A95DA2"/>
    <w:rsid w:val="00A977AF"/>
    <w:rsid w:val="00A97B06"/>
    <w:rsid w:val="00A97CD7"/>
    <w:rsid w:val="00AA0BC1"/>
    <w:rsid w:val="00AA2B4A"/>
    <w:rsid w:val="00AA463A"/>
    <w:rsid w:val="00AA4AE6"/>
    <w:rsid w:val="00AA6764"/>
    <w:rsid w:val="00AA7510"/>
    <w:rsid w:val="00AB17A2"/>
    <w:rsid w:val="00AB3BBD"/>
    <w:rsid w:val="00AB41E7"/>
    <w:rsid w:val="00AB4ED6"/>
    <w:rsid w:val="00AB5B47"/>
    <w:rsid w:val="00AC0340"/>
    <w:rsid w:val="00AC136F"/>
    <w:rsid w:val="00AC15E4"/>
    <w:rsid w:val="00AC1C4C"/>
    <w:rsid w:val="00AC373E"/>
    <w:rsid w:val="00AD01DB"/>
    <w:rsid w:val="00AD61F9"/>
    <w:rsid w:val="00AE0378"/>
    <w:rsid w:val="00AE188C"/>
    <w:rsid w:val="00AE602F"/>
    <w:rsid w:val="00AF00B5"/>
    <w:rsid w:val="00AF3208"/>
    <w:rsid w:val="00AF57F6"/>
    <w:rsid w:val="00AF5A8D"/>
    <w:rsid w:val="00AF64B8"/>
    <w:rsid w:val="00AF655B"/>
    <w:rsid w:val="00AF705C"/>
    <w:rsid w:val="00B01276"/>
    <w:rsid w:val="00B06408"/>
    <w:rsid w:val="00B11F57"/>
    <w:rsid w:val="00B11FA1"/>
    <w:rsid w:val="00B143AC"/>
    <w:rsid w:val="00B14876"/>
    <w:rsid w:val="00B15189"/>
    <w:rsid w:val="00B16BDD"/>
    <w:rsid w:val="00B17FD3"/>
    <w:rsid w:val="00B2096D"/>
    <w:rsid w:val="00B20CEB"/>
    <w:rsid w:val="00B22B82"/>
    <w:rsid w:val="00B25132"/>
    <w:rsid w:val="00B27C86"/>
    <w:rsid w:val="00B34DFF"/>
    <w:rsid w:val="00B35468"/>
    <w:rsid w:val="00B36DFE"/>
    <w:rsid w:val="00B410BA"/>
    <w:rsid w:val="00B41961"/>
    <w:rsid w:val="00B45280"/>
    <w:rsid w:val="00B52017"/>
    <w:rsid w:val="00B52833"/>
    <w:rsid w:val="00B54F12"/>
    <w:rsid w:val="00B61C4D"/>
    <w:rsid w:val="00B65045"/>
    <w:rsid w:val="00B662B0"/>
    <w:rsid w:val="00B662E7"/>
    <w:rsid w:val="00B7018D"/>
    <w:rsid w:val="00B75F84"/>
    <w:rsid w:val="00B77FE5"/>
    <w:rsid w:val="00B81246"/>
    <w:rsid w:val="00B81841"/>
    <w:rsid w:val="00B827ED"/>
    <w:rsid w:val="00B8283A"/>
    <w:rsid w:val="00B85A12"/>
    <w:rsid w:val="00B86450"/>
    <w:rsid w:val="00BA3517"/>
    <w:rsid w:val="00BA429F"/>
    <w:rsid w:val="00BB31AA"/>
    <w:rsid w:val="00BB5CEE"/>
    <w:rsid w:val="00BB6289"/>
    <w:rsid w:val="00BC0F48"/>
    <w:rsid w:val="00BC14CF"/>
    <w:rsid w:val="00BC57D1"/>
    <w:rsid w:val="00BD0E4B"/>
    <w:rsid w:val="00BD53E3"/>
    <w:rsid w:val="00BD5B04"/>
    <w:rsid w:val="00BD5B77"/>
    <w:rsid w:val="00BD7F13"/>
    <w:rsid w:val="00BE24AB"/>
    <w:rsid w:val="00BE6F21"/>
    <w:rsid w:val="00BE7957"/>
    <w:rsid w:val="00BF0067"/>
    <w:rsid w:val="00BF129B"/>
    <w:rsid w:val="00BF26A9"/>
    <w:rsid w:val="00BF4934"/>
    <w:rsid w:val="00BF796D"/>
    <w:rsid w:val="00BF7DFF"/>
    <w:rsid w:val="00C012F6"/>
    <w:rsid w:val="00C02BD7"/>
    <w:rsid w:val="00C11267"/>
    <w:rsid w:val="00C11B0D"/>
    <w:rsid w:val="00C1360B"/>
    <w:rsid w:val="00C15CEF"/>
    <w:rsid w:val="00C17046"/>
    <w:rsid w:val="00C17F8D"/>
    <w:rsid w:val="00C20288"/>
    <w:rsid w:val="00C207BD"/>
    <w:rsid w:val="00C238DC"/>
    <w:rsid w:val="00C271E9"/>
    <w:rsid w:val="00C3165F"/>
    <w:rsid w:val="00C337B5"/>
    <w:rsid w:val="00C338F3"/>
    <w:rsid w:val="00C41224"/>
    <w:rsid w:val="00C41C13"/>
    <w:rsid w:val="00C461BB"/>
    <w:rsid w:val="00C47C6F"/>
    <w:rsid w:val="00C50EAF"/>
    <w:rsid w:val="00C53C32"/>
    <w:rsid w:val="00C55873"/>
    <w:rsid w:val="00C57DDF"/>
    <w:rsid w:val="00C61C2D"/>
    <w:rsid w:val="00C63D49"/>
    <w:rsid w:val="00C649EB"/>
    <w:rsid w:val="00C70C3A"/>
    <w:rsid w:val="00C70EB1"/>
    <w:rsid w:val="00C718CF"/>
    <w:rsid w:val="00C71DB4"/>
    <w:rsid w:val="00C8019C"/>
    <w:rsid w:val="00C81996"/>
    <w:rsid w:val="00C81ED6"/>
    <w:rsid w:val="00C81F76"/>
    <w:rsid w:val="00C83070"/>
    <w:rsid w:val="00C83392"/>
    <w:rsid w:val="00C83C8A"/>
    <w:rsid w:val="00C85319"/>
    <w:rsid w:val="00C9268D"/>
    <w:rsid w:val="00C92C22"/>
    <w:rsid w:val="00C92E4E"/>
    <w:rsid w:val="00C93B80"/>
    <w:rsid w:val="00C94584"/>
    <w:rsid w:val="00C96A0B"/>
    <w:rsid w:val="00C96A66"/>
    <w:rsid w:val="00CA1779"/>
    <w:rsid w:val="00CA3DB1"/>
    <w:rsid w:val="00CA4303"/>
    <w:rsid w:val="00CB1254"/>
    <w:rsid w:val="00CB43D7"/>
    <w:rsid w:val="00CB5FFE"/>
    <w:rsid w:val="00CB77AC"/>
    <w:rsid w:val="00CC09DA"/>
    <w:rsid w:val="00CC13B0"/>
    <w:rsid w:val="00CC51E4"/>
    <w:rsid w:val="00CC5FFA"/>
    <w:rsid w:val="00CC6DDF"/>
    <w:rsid w:val="00CC7333"/>
    <w:rsid w:val="00CD2000"/>
    <w:rsid w:val="00CD2742"/>
    <w:rsid w:val="00CD691F"/>
    <w:rsid w:val="00CD7461"/>
    <w:rsid w:val="00CD7716"/>
    <w:rsid w:val="00CE1CEB"/>
    <w:rsid w:val="00CE46BE"/>
    <w:rsid w:val="00CF3E17"/>
    <w:rsid w:val="00CF4A6C"/>
    <w:rsid w:val="00CF4D64"/>
    <w:rsid w:val="00D012A5"/>
    <w:rsid w:val="00D02AAD"/>
    <w:rsid w:val="00D06C61"/>
    <w:rsid w:val="00D14B55"/>
    <w:rsid w:val="00D177FA"/>
    <w:rsid w:val="00D204E0"/>
    <w:rsid w:val="00D317A4"/>
    <w:rsid w:val="00D33E11"/>
    <w:rsid w:val="00D4209A"/>
    <w:rsid w:val="00D426E7"/>
    <w:rsid w:val="00D436FF"/>
    <w:rsid w:val="00D43DE3"/>
    <w:rsid w:val="00D44047"/>
    <w:rsid w:val="00D46BC1"/>
    <w:rsid w:val="00D46DF5"/>
    <w:rsid w:val="00D5241B"/>
    <w:rsid w:val="00D5563C"/>
    <w:rsid w:val="00D55889"/>
    <w:rsid w:val="00D570E7"/>
    <w:rsid w:val="00D57338"/>
    <w:rsid w:val="00D60E20"/>
    <w:rsid w:val="00D60F9A"/>
    <w:rsid w:val="00D61C48"/>
    <w:rsid w:val="00D62F15"/>
    <w:rsid w:val="00D64D21"/>
    <w:rsid w:val="00D66D0F"/>
    <w:rsid w:val="00D70AE5"/>
    <w:rsid w:val="00D71943"/>
    <w:rsid w:val="00D71C8E"/>
    <w:rsid w:val="00D73AAC"/>
    <w:rsid w:val="00D75018"/>
    <w:rsid w:val="00D75471"/>
    <w:rsid w:val="00D756A4"/>
    <w:rsid w:val="00D83799"/>
    <w:rsid w:val="00D83FCB"/>
    <w:rsid w:val="00D85E84"/>
    <w:rsid w:val="00D8621B"/>
    <w:rsid w:val="00D9201E"/>
    <w:rsid w:val="00DA59B6"/>
    <w:rsid w:val="00DA7D8A"/>
    <w:rsid w:val="00DB0332"/>
    <w:rsid w:val="00DB04E3"/>
    <w:rsid w:val="00DB14B9"/>
    <w:rsid w:val="00DB2C76"/>
    <w:rsid w:val="00DC0B66"/>
    <w:rsid w:val="00DC19CB"/>
    <w:rsid w:val="00DC2B3D"/>
    <w:rsid w:val="00DC407A"/>
    <w:rsid w:val="00DD4DED"/>
    <w:rsid w:val="00DD4FA2"/>
    <w:rsid w:val="00DD57E0"/>
    <w:rsid w:val="00DD58C4"/>
    <w:rsid w:val="00DE2D69"/>
    <w:rsid w:val="00DE347B"/>
    <w:rsid w:val="00DE3D09"/>
    <w:rsid w:val="00DF2398"/>
    <w:rsid w:val="00DF265B"/>
    <w:rsid w:val="00DF475F"/>
    <w:rsid w:val="00DF75CC"/>
    <w:rsid w:val="00E02662"/>
    <w:rsid w:val="00E11130"/>
    <w:rsid w:val="00E162C0"/>
    <w:rsid w:val="00E165C1"/>
    <w:rsid w:val="00E17E49"/>
    <w:rsid w:val="00E2146D"/>
    <w:rsid w:val="00E21556"/>
    <w:rsid w:val="00E21914"/>
    <w:rsid w:val="00E23A4D"/>
    <w:rsid w:val="00E24FB4"/>
    <w:rsid w:val="00E2724C"/>
    <w:rsid w:val="00E30A3D"/>
    <w:rsid w:val="00E310BC"/>
    <w:rsid w:val="00E313A5"/>
    <w:rsid w:val="00E3149A"/>
    <w:rsid w:val="00E31E86"/>
    <w:rsid w:val="00E331C7"/>
    <w:rsid w:val="00E33C05"/>
    <w:rsid w:val="00E34754"/>
    <w:rsid w:val="00E34A61"/>
    <w:rsid w:val="00E3516D"/>
    <w:rsid w:val="00E37810"/>
    <w:rsid w:val="00E40B3A"/>
    <w:rsid w:val="00E411F4"/>
    <w:rsid w:val="00E44954"/>
    <w:rsid w:val="00E45A65"/>
    <w:rsid w:val="00E5442E"/>
    <w:rsid w:val="00E560C5"/>
    <w:rsid w:val="00E60F24"/>
    <w:rsid w:val="00E61859"/>
    <w:rsid w:val="00E63CCA"/>
    <w:rsid w:val="00E66BBA"/>
    <w:rsid w:val="00E76256"/>
    <w:rsid w:val="00E76EA4"/>
    <w:rsid w:val="00E77BED"/>
    <w:rsid w:val="00E82905"/>
    <w:rsid w:val="00E82DD2"/>
    <w:rsid w:val="00E8357B"/>
    <w:rsid w:val="00E84AC7"/>
    <w:rsid w:val="00E85808"/>
    <w:rsid w:val="00E86837"/>
    <w:rsid w:val="00E87579"/>
    <w:rsid w:val="00E878F1"/>
    <w:rsid w:val="00E87A29"/>
    <w:rsid w:val="00E87DE6"/>
    <w:rsid w:val="00E90480"/>
    <w:rsid w:val="00E90808"/>
    <w:rsid w:val="00E9242D"/>
    <w:rsid w:val="00E93802"/>
    <w:rsid w:val="00E96056"/>
    <w:rsid w:val="00EA08D7"/>
    <w:rsid w:val="00EA0DCB"/>
    <w:rsid w:val="00EA40CA"/>
    <w:rsid w:val="00EB07A1"/>
    <w:rsid w:val="00EB2B09"/>
    <w:rsid w:val="00EB2DCD"/>
    <w:rsid w:val="00EB2ED7"/>
    <w:rsid w:val="00EB4117"/>
    <w:rsid w:val="00EB62ED"/>
    <w:rsid w:val="00EB71DF"/>
    <w:rsid w:val="00EC01D7"/>
    <w:rsid w:val="00EC19DB"/>
    <w:rsid w:val="00EC2400"/>
    <w:rsid w:val="00EC30AD"/>
    <w:rsid w:val="00EC4F60"/>
    <w:rsid w:val="00EC71FD"/>
    <w:rsid w:val="00ED2048"/>
    <w:rsid w:val="00ED38E2"/>
    <w:rsid w:val="00ED3C9E"/>
    <w:rsid w:val="00ED5B4E"/>
    <w:rsid w:val="00ED6211"/>
    <w:rsid w:val="00ED7702"/>
    <w:rsid w:val="00EE13B9"/>
    <w:rsid w:val="00EE2938"/>
    <w:rsid w:val="00EE2E40"/>
    <w:rsid w:val="00EE30DD"/>
    <w:rsid w:val="00EE3F3F"/>
    <w:rsid w:val="00EE5DAC"/>
    <w:rsid w:val="00EE7484"/>
    <w:rsid w:val="00EE7719"/>
    <w:rsid w:val="00EF1B88"/>
    <w:rsid w:val="00EF34C7"/>
    <w:rsid w:val="00EF37BB"/>
    <w:rsid w:val="00EF48A1"/>
    <w:rsid w:val="00EF63C2"/>
    <w:rsid w:val="00EF766F"/>
    <w:rsid w:val="00F05326"/>
    <w:rsid w:val="00F05847"/>
    <w:rsid w:val="00F06AC5"/>
    <w:rsid w:val="00F11776"/>
    <w:rsid w:val="00F23C8F"/>
    <w:rsid w:val="00F35051"/>
    <w:rsid w:val="00F40637"/>
    <w:rsid w:val="00F4171A"/>
    <w:rsid w:val="00F45FCB"/>
    <w:rsid w:val="00F47DBD"/>
    <w:rsid w:val="00F5030B"/>
    <w:rsid w:val="00F567CD"/>
    <w:rsid w:val="00F61B8E"/>
    <w:rsid w:val="00F6304F"/>
    <w:rsid w:val="00F73D05"/>
    <w:rsid w:val="00F816AD"/>
    <w:rsid w:val="00F82A03"/>
    <w:rsid w:val="00F84E6B"/>
    <w:rsid w:val="00F87384"/>
    <w:rsid w:val="00F90697"/>
    <w:rsid w:val="00F90B0C"/>
    <w:rsid w:val="00F9148D"/>
    <w:rsid w:val="00F93B01"/>
    <w:rsid w:val="00F95B5A"/>
    <w:rsid w:val="00F96CD9"/>
    <w:rsid w:val="00F96D29"/>
    <w:rsid w:val="00F97748"/>
    <w:rsid w:val="00FA0D44"/>
    <w:rsid w:val="00FA3F77"/>
    <w:rsid w:val="00FA58ED"/>
    <w:rsid w:val="00FA5BA0"/>
    <w:rsid w:val="00FB3156"/>
    <w:rsid w:val="00FB3317"/>
    <w:rsid w:val="00FB377E"/>
    <w:rsid w:val="00FB7AA5"/>
    <w:rsid w:val="00FC1878"/>
    <w:rsid w:val="00FC1CE5"/>
    <w:rsid w:val="00FC41C7"/>
    <w:rsid w:val="00FD0651"/>
    <w:rsid w:val="00FD0784"/>
    <w:rsid w:val="00FD4C18"/>
    <w:rsid w:val="00FD6553"/>
    <w:rsid w:val="00FD69B3"/>
    <w:rsid w:val="00FD6E13"/>
    <w:rsid w:val="00FD7D9D"/>
    <w:rsid w:val="00FE3193"/>
    <w:rsid w:val="00FE3E75"/>
    <w:rsid w:val="00FE4968"/>
    <w:rsid w:val="00FE79DF"/>
    <w:rsid w:val="00FF3001"/>
    <w:rsid w:val="00FF3051"/>
    <w:rsid w:val="00FF43C6"/>
    <w:rsid w:val="00FF700A"/>
    <w:rsid w:val="00FF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C51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3"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31E"/>
    <w:pPr>
      <w:spacing w:after="240" w:line="280" w:lineRule="atLeast"/>
    </w:pPr>
    <w:rPr>
      <w:rFonts w:ascii="Arial" w:hAnsi="Arial"/>
      <w:sz w:val="24"/>
      <w:lang w:eastAsia="en-US"/>
    </w:rPr>
  </w:style>
  <w:style w:type="paragraph" w:styleId="Heading1">
    <w:name w:val="heading 1"/>
    <w:next w:val="Normal"/>
    <w:qFormat/>
    <w:rsid w:val="006C031E"/>
    <w:pPr>
      <w:keepNext/>
      <w:numPr>
        <w:numId w:val="2"/>
      </w:numPr>
      <w:spacing w:before="480" w:after="240"/>
      <w:outlineLvl w:val="0"/>
    </w:pPr>
    <w:rPr>
      <w:b/>
      <w:caps/>
      <w:sz w:val="28"/>
      <w:lang w:val="en-GB" w:eastAsia="en-US"/>
    </w:rPr>
  </w:style>
  <w:style w:type="paragraph" w:styleId="Heading2">
    <w:name w:val="heading 2"/>
    <w:next w:val="Normal"/>
    <w:qFormat/>
    <w:rsid w:val="00EE5DAC"/>
    <w:pPr>
      <w:keepNext/>
      <w:spacing w:before="120" w:after="120" w:line="280" w:lineRule="atLeast"/>
      <w:outlineLvl w:val="1"/>
    </w:pPr>
    <w:rPr>
      <w:rFonts w:ascii="Times New Roman Bold" w:hAnsi="Times New Roman Bold"/>
      <w:b/>
      <w:caps/>
      <w:sz w:val="24"/>
      <w:lang w:val="en-GB" w:eastAsia="en-US"/>
    </w:rPr>
  </w:style>
  <w:style w:type="paragraph" w:styleId="Heading3">
    <w:name w:val="heading 3"/>
    <w:next w:val="Normal"/>
    <w:qFormat/>
    <w:rsid w:val="006C031E"/>
    <w:pPr>
      <w:keepNext/>
      <w:numPr>
        <w:ilvl w:val="2"/>
        <w:numId w:val="2"/>
      </w:numPr>
      <w:spacing w:after="120"/>
      <w:outlineLvl w:val="2"/>
    </w:pPr>
    <w:rPr>
      <w:i/>
      <w:sz w:val="24"/>
      <w:lang w:val="en-GB" w:eastAsia="en-US"/>
    </w:rPr>
  </w:style>
  <w:style w:type="paragraph" w:styleId="Heading4">
    <w:name w:val="heading 4"/>
    <w:next w:val="Normal"/>
    <w:qFormat/>
    <w:rsid w:val="006C031E"/>
    <w:pPr>
      <w:keepNext/>
      <w:numPr>
        <w:ilvl w:val="3"/>
        <w:numId w:val="2"/>
      </w:numPr>
      <w:spacing w:after="120"/>
      <w:outlineLvl w:val="3"/>
    </w:pPr>
    <w:rPr>
      <w:i/>
      <w:sz w:val="24"/>
      <w:lang w:val="en-GB" w:eastAsia="en-US"/>
    </w:rPr>
  </w:style>
  <w:style w:type="paragraph" w:styleId="Heading5">
    <w:name w:val="heading 5"/>
    <w:basedOn w:val="Normal"/>
    <w:next w:val="Normal"/>
    <w:qFormat/>
    <w:rsid w:val="006C031E"/>
    <w:pPr>
      <w:keepNext/>
      <w:spacing w:after="120"/>
      <w:outlineLvl w:val="4"/>
    </w:pPr>
    <w:rPr>
      <w:u w:val="single"/>
      <w:lang w:val="en-GB"/>
    </w:rPr>
  </w:style>
  <w:style w:type="paragraph" w:styleId="Heading6">
    <w:name w:val="heading 6"/>
    <w:next w:val="Normal"/>
    <w:qFormat/>
    <w:rsid w:val="006C031E"/>
    <w:pPr>
      <w:keepNext/>
      <w:spacing w:after="120"/>
      <w:outlineLvl w:val="5"/>
    </w:pPr>
    <w:rPr>
      <w:b/>
      <w:sz w:val="24"/>
      <w:lang w:val="en-GB" w:eastAsia="en-US"/>
    </w:rPr>
  </w:style>
  <w:style w:type="paragraph" w:styleId="Heading7">
    <w:name w:val="heading 7"/>
    <w:aliases w:val="Appendix Heading"/>
    <w:next w:val="Normal"/>
    <w:qFormat/>
    <w:rsid w:val="006C031E"/>
    <w:pPr>
      <w:keepNext/>
      <w:spacing w:after="120"/>
      <w:outlineLvl w:val="6"/>
    </w:pPr>
    <w:rPr>
      <w:b/>
      <w:sz w:val="24"/>
      <w:lang w:val="en-GB" w:eastAsia="en-US"/>
    </w:rPr>
  </w:style>
  <w:style w:type="paragraph" w:styleId="Heading8">
    <w:name w:val="heading 8"/>
    <w:next w:val="Normal"/>
    <w:qFormat/>
    <w:rsid w:val="006C031E"/>
    <w:pPr>
      <w:keepNext/>
      <w:spacing w:after="120"/>
      <w:outlineLvl w:val="7"/>
    </w:pPr>
    <w:rPr>
      <w:b/>
      <w:sz w:val="24"/>
      <w:lang w:val="en-GB" w:eastAsia="en-US"/>
    </w:rPr>
  </w:style>
  <w:style w:type="paragraph" w:styleId="Heading9">
    <w:name w:val="heading 9"/>
    <w:next w:val="Normal"/>
    <w:qFormat/>
    <w:rsid w:val="006C031E"/>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sid w:val="006C031E"/>
    <w:rPr>
      <w:rFonts w:ascii="Arial" w:hAnsi="Arial"/>
      <w:sz w:val="16"/>
      <w:lang w:val="en-GB" w:eastAsia="en-US"/>
    </w:rPr>
  </w:style>
  <w:style w:type="paragraph" w:styleId="Footer">
    <w:name w:val="footer"/>
    <w:link w:val="FooterChar"/>
    <w:uiPriority w:val="99"/>
    <w:rsid w:val="006C031E"/>
    <w:rPr>
      <w:rFonts w:ascii="Arial" w:hAnsi="Arial"/>
      <w:sz w:val="16"/>
      <w:lang w:val="en-GB" w:eastAsia="en-US"/>
    </w:rPr>
  </w:style>
  <w:style w:type="paragraph" w:customStyle="1" w:styleId="A-Guided">
    <w:name w:val="A-Guided"/>
    <w:basedOn w:val="Normal"/>
    <w:rsid w:val="006C031E"/>
    <w:pPr>
      <w:spacing w:before="60"/>
    </w:pPr>
    <w:rPr>
      <w:lang w:val="en-GB"/>
    </w:rPr>
  </w:style>
  <w:style w:type="paragraph" w:customStyle="1" w:styleId="A-GuidedBold">
    <w:name w:val="A-Guided Bold"/>
    <w:basedOn w:val="Normal"/>
    <w:rsid w:val="006C031E"/>
    <w:pPr>
      <w:spacing w:before="60" w:after="120"/>
    </w:pPr>
    <w:rPr>
      <w:b/>
      <w:lang w:val="en-GB"/>
    </w:rPr>
  </w:style>
  <w:style w:type="character" w:customStyle="1" w:styleId="Z-RedHidden">
    <w:name w:val="Z-Red Hidden"/>
    <w:basedOn w:val="DefaultParagraphFont"/>
    <w:rsid w:val="006C031E"/>
    <w:rPr>
      <w:rFonts w:ascii="Arial" w:hAnsi="Arial"/>
      <w:vanish/>
      <w:color w:val="FF0000"/>
      <w:sz w:val="16"/>
    </w:rPr>
  </w:style>
  <w:style w:type="paragraph" w:customStyle="1" w:styleId="A-StudyTitle">
    <w:name w:val="A-Study Title"/>
    <w:basedOn w:val="Normal"/>
    <w:rsid w:val="006C031E"/>
    <w:pPr>
      <w:spacing w:after="120"/>
      <w:jc w:val="center"/>
    </w:pPr>
    <w:rPr>
      <w:b/>
      <w:sz w:val="32"/>
      <w:lang w:val="en-GB"/>
    </w:rPr>
  </w:style>
  <w:style w:type="paragraph" w:styleId="TOC1">
    <w:name w:val="toc 1"/>
    <w:next w:val="TOC2"/>
    <w:semiHidden/>
    <w:rsid w:val="006C031E"/>
    <w:pPr>
      <w:tabs>
        <w:tab w:val="right" w:leader="dot" w:pos="8931"/>
      </w:tabs>
      <w:spacing w:before="120"/>
      <w:ind w:left="994" w:right="864" w:hanging="994"/>
    </w:pPr>
    <w:rPr>
      <w:caps/>
      <w:sz w:val="24"/>
      <w:lang w:val="en-GB" w:eastAsia="en-US"/>
    </w:rPr>
  </w:style>
  <w:style w:type="paragraph" w:styleId="TOC2">
    <w:name w:val="toc 2"/>
    <w:basedOn w:val="TOC1"/>
    <w:next w:val="TOC3"/>
    <w:semiHidden/>
    <w:rsid w:val="006C031E"/>
    <w:rPr>
      <w:caps w:val="0"/>
    </w:rPr>
  </w:style>
  <w:style w:type="paragraph" w:styleId="TOC3">
    <w:name w:val="toc 3"/>
    <w:basedOn w:val="TOC1"/>
    <w:next w:val="TOC4"/>
    <w:semiHidden/>
    <w:rsid w:val="006C031E"/>
    <w:pPr>
      <w:spacing w:before="0"/>
    </w:pPr>
    <w:rPr>
      <w:caps w:val="0"/>
    </w:rPr>
  </w:style>
  <w:style w:type="paragraph" w:styleId="TOC4">
    <w:name w:val="toc 4"/>
    <w:basedOn w:val="TOC1"/>
    <w:semiHidden/>
    <w:rsid w:val="006C031E"/>
    <w:pPr>
      <w:spacing w:before="0"/>
    </w:pPr>
    <w:rPr>
      <w:caps w:val="0"/>
    </w:rPr>
  </w:style>
  <w:style w:type="character" w:styleId="PageNumber">
    <w:name w:val="page number"/>
    <w:basedOn w:val="DefaultParagraphFont"/>
    <w:semiHidden/>
    <w:rsid w:val="006C031E"/>
    <w:rPr>
      <w:rFonts w:ascii="Arial" w:hAnsi="Arial"/>
      <w:sz w:val="20"/>
    </w:rPr>
  </w:style>
  <w:style w:type="paragraph" w:customStyle="1" w:styleId="A-TableText">
    <w:name w:val="A-Table Text"/>
    <w:basedOn w:val="Normal"/>
    <w:rsid w:val="006C031E"/>
    <w:pPr>
      <w:spacing w:before="60" w:after="60"/>
    </w:pPr>
    <w:rPr>
      <w:sz w:val="22"/>
      <w:lang w:val="en-GB"/>
    </w:rPr>
  </w:style>
  <w:style w:type="paragraph" w:styleId="Caption">
    <w:name w:val="caption"/>
    <w:next w:val="Normal"/>
    <w:qFormat/>
    <w:rsid w:val="00F5030B"/>
    <w:pPr>
      <w:keepNext/>
      <w:spacing w:before="120" w:after="120" w:line="280" w:lineRule="atLeast"/>
      <w:ind w:left="1418" w:hanging="1418"/>
    </w:pPr>
    <w:rPr>
      <w:sz w:val="22"/>
      <w:lang w:val="en-GB" w:eastAsia="en-US"/>
    </w:rPr>
  </w:style>
  <w:style w:type="paragraph" w:styleId="TOC5">
    <w:name w:val="toc 5"/>
    <w:basedOn w:val="TOC1"/>
    <w:next w:val="Normal"/>
    <w:semiHidden/>
    <w:rsid w:val="006C031E"/>
    <w:pPr>
      <w:ind w:firstLine="0"/>
    </w:pPr>
  </w:style>
  <w:style w:type="paragraph" w:styleId="TOC6">
    <w:name w:val="toc 6"/>
    <w:basedOn w:val="TOC2"/>
    <w:next w:val="Normal"/>
    <w:semiHidden/>
    <w:rsid w:val="006C031E"/>
    <w:pPr>
      <w:ind w:firstLine="0"/>
    </w:pPr>
  </w:style>
  <w:style w:type="paragraph" w:styleId="TOC7">
    <w:name w:val="toc 7"/>
    <w:basedOn w:val="TOC3"/>
    <w:next w:val="Normal"/>
    <w:semiHidden/>
    <w:rsid w:val="006C031E"/>
    <w:pPr>
      <w:ind w:firstLine="0"/>
    </w:pPr>
  </w:style>
  <w:style w:type="paragraph" w:styleId="TOC8">
    <w:name w:val="toc 8"/>
    <w:basedOn w:val="TOC4"/>
    <w:next w:val="Normal"/>
    <w:semiHidden/>
    <w:rsid w:val="006C031E"/>
    <w:pPr>
      <w:ind w:firstLine="0"/>
    </w:pPr>
  </w:style>
  <w:style w:type="paragraph" w:styleId="TOC9">
    <w:name w:val="toc 9"/>
    <w:basedOn w:val="TOC1"/>
    <w:next w:val="Normal"/>
    <w:semiHidden/>
    <w:rsid w:val="006C031E"/>
    <w:pPr>
      <w:ind w:firstLine="0"/>
    </w:pPr>
  </w:style>
  <w:style w:type="paragraph" w:customStyle="1" w:styleId="A-LandscapeFont">
    <w:name w:val="A-Landscape Font"/>
    <w:rsid w:val="006C031E"/>
    <w:pPr>
      <w:spacing w:line="280" w:lineRule="atLeast"/>
    </w:pPr>
    <w:rPr>
      <w:rFonts w:ascii="Courier" w:hAnsi="Courier"/>
      <w:sz w:val="16"/>
      <w:lang w:val="en-GB" w:eastAsia="en-US"/>
    </w:rPr>
  </w:style>
  <w:style w:type="paragraph" w:customStyle="1" w:styleId="A-TableHeader">
    <w:name w:val="A-Table Header"/>
    <w:basedOn w:val="Normal"/>
    <w:next w:val="A-TableText"/>
    <w:rsid w:val="006C031E"/>
    <w:pPr>
      <w:keepNext/>
      <w:spacing w:before="60" w:after="60"/>
    </w:pPr>
    <w:rPr>
      <w:b/>
      <w:sz w:val="20"/>
      <w:lang w:val="en-GB"/>
    </w:rPr>
  </w:style>
  <w:style w:type="paragraph" w:styleId="TableofFigures">
    <w:name w:val="table of figures"/>
    <w:next w:val="Normal"/>
    <w:semiHidden/>
    <w:rsid w:val="006C031E"/>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rsid w:val="006C031E"/>
    <w:pPr>
      <w:tabs>
        <w:tab w:val="left" w:pos="1800"/>
      </w:tabs>
      <w:spacing w:after="120"/>
      <w:ind w:left="1800" w:hanging="1800"/>
    </w:pPr>
    <w:rPr>
      <w:b/>
      <w:sz w:val="28"/>
      <w:lang w:val="en-GB"/>
    </w:rPr>
  </w:style>
  <w:style w:type="paragraph" w:customStyle="1" w:styleId="Z-Box">
    <w:name w:val="Z-Box"/>
    <w:basedOn w:val="Normal"/>
    <w:rsid w:val="006C031E"/>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sid w:val="006C031E"/>
    <w:rPr>
      <w:lang w:val="en-GB"/>
    </w:rPr>
  </w:style>
  <w:style w:type="paragraph" w:customStyle="1" w:styleId="A-Unnumbered">
    <w:name w:val="A-Unnumbered"/>
    <w:basedOn w:val="Normal"/>
    <w:next w:val="Normal"/>
    <w:rsid w:val="006C031E"/>
    <w:pPr>
      <w:keepNext/>
      <w:spacing w:before="480"/>
    </w:pPr>
    <w:rPr>
      <w:b/>
      <w:caps/>
      <w:sz w:val="28"/>
      <w:lang w:val="en-GB"/>
    </w:rPr>
  </w:style>
  <w:style w:type="paragraph" w:customStyle="1" w:styleId="A-Unassigned">
    <w:name w:val="A-Unassigned"/>
    <w:basedOn w:val="Normal"/>
    <w:next w:val="Normal"/>
    <w:rsid w:val="006C031E"/>
    <w:pPr>
      <w:keepNext/>
      <w:spacing w:before="120" w:after="120"/>
    </w:pPr>
    <w:rPr>
      <w:b/>
      <w:lang w:val="en-GB"/>
    </w:rPr>
  </w:style>
  <w:style w:type="paragraph" w:customStyle="1" w:styleId="A-ListBullet">
    <w:name w:val="A-List Bullet"/>
    <w:basedOn w:val="Normal"/>
    <w:rsid w:val="006C031E"/>
    <w:pPr>
      <w:numPr>
        <w:numId w:val="3"/>
      </w:numPr>
    </w:pPr>
    <w:rPr>
      <w:lang w:val="en-GB"/>
    </w:rPr>
  </w:style>
  <w:style w:type="paragraph" w:customStyle="1" w:styleId="A-ListNumber">
    <w:name w:val="A-List Number"/>
    <w:basedOn w:val="Normal"/>
    <w:rsid w:val="006C031E"/>
    <w:pPr>
      <w:tabs>
        <w:tab w:val="left" w:pos="994"/>
      </w:tabs>
      <w:ind w:left="994" w:hanging="994"/>
    </w:pPr>
    <w:rPr>
      <w:lang w:val="en-GB"/>
    </w:rPr>
  </w:style>
  <w:style w:type="paragraph" w:customStyle="1" w:styleId="A-ListSubsidiary">
    <w:name w:val="A-List Subsidiary"/>
    <w:basedOn w:val="Normal"/>
    <w:rsid w:val="006C031E"/>
    <w:pPr>
      <w:numPr>
        <w:numId w:val="4"/>
      </w:numPr>
      <w:tabs>
        <w:tab w:val="clear" w:pos="1987"/>
        <w:tab w:val="left" w:pos="1440"/>
      </w:tabs>
      <w:ind w:left="1440" w:hanging="446"/>
    </w:pPr>
    <w:rPr>
      <w:lang w:val="en-GB"/>
    </w:rPr>
  </w:style>
  <w:style w:type="paragraph" w:customStyle="1" w:styleId="A-NormalIndent">
    <w:name w:val="A-Normal Indent"/>
    <w:basedOn w:val="Normal"/>
    <w:next w:val="Normal"/>
    <w:rsid w:val="006C031E"/>
    <w:pPr>
      <w:ind w:left="992"/>
    </w:pPr>
    <w:rPr>
      <w:lang w:val="en-GB"/>
    </w:rPr>
  </w:style>
  <w:style w:type="paragraph" w:customStyle="1" w:styleId="A-Lista">
    <w:name w:val="A-List (a)"/>
    <w:basedOn w:val="Normal"/>
    <w:next w:val="Normal"/>
    <w:rsid w:val="006C031E"/>
    <w:pPr>
      <w:numPr>
        <w:numId w:val="5"/>
      </w:numPr>
    </w:pPr>
    <w:rPr>
      <w:lang w:val="en-GB"/>
    </w:rPr>
  </w:style>
  <w:style w:type="paragraph" w:customStyle="1" w:styleId="A-Listi">
    <w:name w:val="A-List (i)"/>
    <w:basedOn w:val="Normal"/>
    <w:next w:val="Normal"/>
    <w:rsid w:val="006C031E"/>
    <w:pPr>
      <w:numPr>
        <w:numId w:val="6"/>
      </w:numPr>
    </w:pPr>
    <w:rPr>
      <w:lang w:val="en-GB"/>
    </w:rPr>
  </w:style>
  <w:style w:type="paragraph" w:customStyle="1" w:styleId="A-TableTitle">
    <w:name w:val="A-Table Title"/>
    <w:basedOn w:val="Normal"/>
    <w:next w:val="Normal"/>
    <w:rsid w:val="006C031E"/>
    <w:pPr>
      <w:keepNext/>
      <w:tabs>
        <w:tab w:val="left" w:pos="1800"/>
      </w:tabs>
      <w:spacing w:after="120"/>
      <w:ind w:left="1800" w:hanging="1800"/>
    </w:pPr>
    <w:rPr>
      <w:b/>
      <w:lang w:val="en-GB"/>
    </w:rPr>
  </w:style>
  <w:style w:type="paragraph" w:customStyle="1" w:styleId="A-FigureTitle">
    <w:name w:val="A-Figure Title"/>
    <w:basedOn w:val="Normal"/>
    <w:next w:val="Normal"/>
    <w:rsid w:val="006C031E"/>
    <w:pPr>
      <w:keepNext/>
      <w:tabs>
        <w:tab w:val="left" w:pos="1800"/>
      </w:tabs>
      <w:spacing w:after="120"/>
      <w:ind w:left="1800" w:hanging="1800"/>
    </w:pPr>
    <w:rPr>
      <w:b/>
      <w:lang w:val="en-GB"/>
    </w:rPr>
  </w:style>
  <w:style w:type="paragraph" w:customStyle="1" w:styleId="A-TableFootnoteText">
    <w:name w:val="A-Table Footnote Text"/>
    <w:basedOn w:val="Normal"/>
    <w:next w:val="Normal"/>
    <w:rsid w:val="006C031E"/>
    <w:pPr>
      <w:tabs>
        <w:tab w:val="left" w:pos="432"/>
      </w:tabs>
      <w:ind w:left="432" w:hanging="432"/>
    </w:pPr>
    <w:rPr>
      <w:sz w:val="18"/>
      <w:lang w:val="en-GB"/>
    </w:rPr>
  </w:style>
  <w:style w:type="paragraph" w:customStyle="1" w:styleId="Z-LogoHeader">
    <w:name w:val="Z-Logo Header"/>
    <w:basedOn w:val="Header"/>
    <w:rsid w:val="006C031E"/>
    <w:pPr>
      <w:spacing w:before="240"/>
    </w:pPr>
  </w:style>
  <w:style w:type="paragraph" w:customStyle="1" w:styleId="Z-Signature">
    <w:name w:val="Z-Signature"/>
    <w:next w:val="Normal"/>
    <w:rsid w:val="006C031E"/>
    <w:pPr>
      <w:spacing w:before="360" w:line="280" w:lineRule="atLeast"/>
    </w:pPr>
    <w:rPr>
      <w:sz w:val="24"/>
      <w:lang w:val="en-GB" w:eastAsia="en-US"/>
    </w:rPr>
  </w:style>
  <w:style w:type="paragraph" w:customStyle="1" w:styleId="TocHeaders">
    <w:name w:val="TocHeaders"/>
    <w:next w:val="Normal"/>
    <w:rsid w:val="006C031E"/>
    <w:pPr>
      <w:keepNext/>
      <w:spacing w:before="480" w:after="240"/>
      <w:outlineLvl w:val="0"/>
    </w:pPr>
    <w:rPr>
      <w:b/>
      <w:caps/>
      <w:sz w:val="28"/>
      <w:lang w:val="en-GB" w:eastAsia="en-US"/>
    </w:rPr>
  </w:style>
  <w:style w:type="character" w:styleId="Hyperlink">
    <w:name w:val="Hyperlink"/>
    <w:basedOn w:val="DefaultParagraphFont"/>
    <w:semiHidden/>
    <w:rsid w:val="006C031E"/>
    <w:rPr>
      <w:color w:val="auto"/>
      <w:u w:val="none"/>
    </w:rPr>
  </w:style>
  <w:style w:type="character" w:styleId="FollowedHyperlink">
    <w:name w:val="FollowedHyperlink"/>
    <w:basedOn w:val="DefaultParagraphFont"/>
    <w:semiHidden/>
    <w:rsid w:val="006C031E"/>
    <w:rPr>
      <w:color w:val="auto"/>
      <w:u w:val="none"/>
    </w:rPr>
  </w:style>
  <w:style w:type="paragraph" w:customStyle="1" w:styleId="A-Heading1">
    <w:name w:val="A-Heading 1"/>
    <w:basedOn w:val="Normal"/>
    <w:next w:val="Normal"/>
    <w:rsid w:val="00F5030B"/>
    <w:pPr>
      <w:keepNext/>
      <w:spacing w:before="240"/>
      <w:outlineLvl w:val="0"/>
    </w:pPr>
    <w:rPr>
      <w:rFonts w:ascii="Times New Roman" w:hAnsi="Times New Roman"/>
      <w:b/>
      <w:caps/>
      <w:lang w:val="en-GB"/>
    </w:rPr>
  </w:style>
  <w:style w:type="paragraph" w:customStyle="1" w:styleId="A-Heading2">
    <w:name w:val="A-Heading 2"/>
    <w:basedOn w:val="A-Heading1"/>
    <w:next w:val="Normal"/>
    <w:rsid w:val="00E560C5"/>
    <w:pPr>
      <w:spacing w:after="120"/>
      <w:outlineLvl w:val="1"/>
    </w:pPr>
    <w:rPr>
      <w:i/>
      <w:caps w:val="0"/>
    </w:rPr>
  </w:style>
  <w:style w:type="paragraph" w:customStyle="1" w:styleId="A-Heading3">
    <w:name w:val="A-Heading 3"/>
    <w:basedOn w:val="A-Heading2"/>
    <w:next w:val="Normal"/>
    <w:rsid w:val="005B2BEE"/>
    <w:pPr>
      <w:spacing w:before="120"/>
      <w:outlineLvl w:val="2"/>
    </w:pPr>
  </w:style>
  <w:style w:type="paragraph" w:customStyle="1" w:styleId="A-Heading4">
    <w:name w:val="A-Heading 4"/>
    <w:basedOn w:val="A-Heading3"/>
    <w:next w:val="Normal"/>
    <w:rsid w:val="005B2BEE"/>
    <w:pPr>
      <w:outlineLvl w:val="3"/>
    </w:pPr>
    <w:rPr>
      <w:b w:val="0"/>
    </w:rPr>
  </w:style>
  <w:style w:type="paragraph" w:customStyle="1" w:styleId="Tableheading">
    <w:name w:val="Table heading"/>
    <w:basedOn w:val="Normal"/>
    <w:rsid w:val="006C031E"/>
    <w:pPr>
      <w:spacing w:line="240" w:lineRule="auto"/>
    </w:pPr>
    <w:rPr>
      <w:b/>
      <w:sz w:val="20"/>
      <w:szCs w:val="24"/>
    </w:rPr>
  </w:style>
  <w:style w:type="paragraph" w:styleId="FootnoteText">
    <w:name w:val="footnote text"/>
    <w:next w:val="Normal"/>
    <w:semiHidden/>
    <w:rsid w:val="006C031E"/>
    <w:pPr>
      <w:tabs>
        <w:tab w:val="left" w:pos="431"/>
      </w:tabs>
      <w:ind w:left="431" w:hanging="431"/>
    </w:pPr>
    <w:rPr>
      <w:rFonts w:ascii="Arial" w:hAnsi="Arial"/>
      <w:lang w:val="en-GB" w:eastAsia="en-US"/>
    </w:rPr>
  </w:style>
  <w:style w:type="paragraph" w:customStyle="1" w:styleId="Tabletext">
    <w:name w:val="Table text"/>
    <w:basedOn w:val="Normal"/>
    <w:rsid w:val="006C031E"/>
    <w:pPr>
      <w:spacing w:line="240" w:lineRule="auto"/>
    </w:pPr>
    <w:rPr>
      <w:sz w:val="20"/>
      <w:szCs w:val="24"/>
    </w:rPr>
  </w:style>
  <w:style w:type="paragraph" w:styleId="DocumentMap">
    <w:name w:val="Document Map"/>
    <w:basedOn w:val="Normal"/>
    <w:semiHidden/>
    <w:rsid w:val="006C031E"/>
    <w:pPr>
      <w:shd w:val="clear" w:color="auto" w:fill="000080"/>
    </w:pPr>
    <w:rPr>
      <w:rFonts w:ascii="Tahoma" w:hAnsi="Tahoma" w:cs="Tahoma"/>
    </w:rPr>
  </w:style>
  <w:style w:type="character" w:customStyle="1" w:styleId="BMSTableNote">
    <w:name w:val="BMS Table Note"/>
    <w:basedOn w:val="DefaultParagraphFont"/>
    <w:rsid w:val="006C031E"/>
    <w:rPr>
      <w:rFonts w:ascii="Times New Roman" w:hAnsi="Times New Roman" w:cs="Times New Roman"/>
      <w:color w:val="auto"/>
      <w:sz w:val="28"/>
      <w:szCs w:val="28"/>
      <w:vertAlign w:val="superscript"/>
    </w:rPr>
  </w:style>
  <w:style w:type="paragraph" w:customStyle="1" w:styleId="A-studytitle2">
    <w:name w:val="A-study title 2"/>
    <w:basedOn w:val="A-StudyTitle"/>
    <w:rsid w:val="006C031E"/>
    <w:rPr>
      <w:b w:val="0"/>
      <w:sz w:val="24"/>
    </w:rPr>
  </w:style>
  <w:style w:type="paragraph" w:customStyle="1" w:styleId="A-studytitle3">
    <w:name w:val="A-study title 3"/>
    <w:basedOn w:val="A-StudyTitle"/>
    <w:rsid w:val="006C031E"/>
    <w:rPr>
      <w:caps/>
      <w:sz w:val="24"/>
    </w:rPr>
  </w:style>
  <w:style w:type="paragraph" w:customStyle="1" w:styleId="A-Heading5">
    <w:name w:val="A-Heading 5"/>
    <w:basedOn w:val="A-Heading4"/>
    <w:rsid w:val="006C031E"/>
    <w:rPr>
      <w:i w:val="0"/>
      <w:u w:val="single"/>
    </w:rPr>
  </w:style>
  <w:style w:type="character" w:customStyle="1" w:styleId="BMSSuperscript">
    <w:name w:val="BMS Superscript"/>
    <w:rsid w:val="006C031E"/>
    <w:rPr>
      <w:sz w:val="28"/>
      <w:vertAlign w:val="superscript"/>
    </w:rPr>
  </w:style>
  <w:style w:type="character" w:styleId="CommentReference">
    <w:name w:val="annotation reference"/>
    <w:basedOn w:val="DefaultParagraphFont"/>
    <w:uiPriority w:val="99"/>
    <w:rsid w:val="006C031E"/>
    <w:rPr>
      <w:rFonts w:ascii="Times New Roman" w:hAnsi="Times New Roman" w:cs="Times New Roman"/>
      <w:sz w:val="16"/>
      <w:szCs w:val="16"/>
    </w:rPr>
  </w:style>
  <w:style w:type="paragraph" w:styleId="CommentText">
    <w:name w:val="annotation text"/>
    <w:aliases w:val="Annotationtext"/>
    <w:basedOn w:val="Normal"/>
    <w:link w:val="CommentTextChar"/>
    <w:uiPriority w:val="99"/>
    <w:rsid w:val="006C031E"/>
    <w:rPr>
      <w:rFonts w:cs="Arial"/>
      <w:sz w:val="20"/>
    </w:rPr>
  </w:style>
  <w:style w:type="character" w:customStyle="1" w:styleId="BMSSubscript">
    <w:name w:val="BMS Subscript"/>
    <w:rsid w:val="006C031E"/>
    <w:rPr>
      <w:sz w:val="28"/>
      <w:vertAlign w:val="subscript"/>
    </w:rPr>
  </w:style>
  <w:style w:type="paragraph" w:styleId="BodyText">
    <w:name w:val="Body Text"/>
    <w:basedOn w:val="Normal"/>
    <w:semiHidden/>
    <w:rsid w:val="006C031E"/>
    <w:pPr>
      <w:pBdr>
        <w:top w:val="single" w:sz="4" w:space="1" w:color="auto"/>
        <w:left w:val="single" w:sz="4" w:space="4" w:color="auto"/>
        <w:bottom w:val="single" w:sz="4" w:space="1" w:color="auto"/>
        <w:right w:val="single" w:sz="4" w:space="4" w:color="auto"/>
      </w:pBdr>
    </w:pPr>
    <w:rPr>
      <w:rFonts w:cs="Arial"/>
      <w:b/>
    </w:rPr>
  </w:style>
  <w:style w:type="character" w:styleId="FootnoteReference">
    <w:name w:val="footnote reference"/>
    <w:basedOn w:val="DefaultParagraphFont"/>
    <w:semiHidden/>
    <w:rsid w:val="006C031E"/>
    <w:rPr>
      <w:vertAlign w:val="superscript"/>
    </w:rPr>
  </w:style>
  <w:style w:type="paragraph" w:customStyle="1" w:styleId="BMSTableNoteInfo">
    <w:name w:val="BMS Table Note Info"/>
    <w:basedOn w:val="Normal"/>
    <w:next w:val="Normal"/>
    <w:link w:val="BMSTableNoteInfoChar"/>
    <w:rsid w:val="006C031E"/>
    <w:pPr>
      <w:tabs>
        <w:tab w:val="left" w:pos="216"/>
      </w:tabs>
      <w:spacing w:before="40" w:after="0" w:line="240" w:lineRule="auto"/>
      <w:ind w:left="216" w:hanging="216"/>
      <w:jc w:val="both"/>
    </w:pPr>
    <w:rPr>
      <w:rFonts w:ascii="Times New Roman" w:hAnsi="Times New Roman"/>
      <w:color w:val="000000"/>
      <w:sz w:val="20"/>
      <w:lang w:val="en-US" w:eastAsia="ja-JP"/>
    </w:rPr>
  </w:style>
  <w:style w:type="paragraph" w:customStyle="1" w:styleId="BMSBodyText">
    <w:name w:val="BMS Body Text"/>
    <w:link w:val="BMSBodyTextChar"/>
    <w:qFormat/>
    <w:rsid w:val="006C031E"/>
    <w:pPr>
      <w:spacing w:before="120" w:after="120" w:line="300" w:lineRule="auto"/>
      <w:jc w:val="both"/>
    </w:pPr>
    <w:rPr>
      <w:color w:val="000000"/>
      <w:sz w:val="24"/>
      <w:lang w:val="en-US" w:eastAsia="ja-JP"/>
    </w:rPr>
  </w:style>
  <w:style w:type="paragraph" w:customStyle="1" w:styleId="BMSTableHeader">
    <w:name w:val="BMS Table Header"/>
    <w:basedOn w:val="BMSTableText"/>
    <w:link w:val="BMSTableHeaderChar"/>
    <w:rsid w:val="006C031E"/>
    <w:rPr>
      <w:b/>
    </w:rPr>
  </w:style>
  <w:style w:type="paragraph" w:customStyle="1" w:styleId="BMSTableText">
    <w:name w:val="BMS Table Text"/>
    <w:link w:val="BMSTableTextChar"/>
    <w:rsid w:val="006C031E"/>
    <w:pPr>
      <w:tabs>
        <w:tab w:val="left" w:pos="360"/>
      </w:tabs>
      <w:spacing w:before="60" w:after="60"/>
      <w:jc w:val="center"/>
    </w:pPr>
    <w:rPr>
      <w:lang w:val="en-US" w:eastAsia="ja-JP"/>
    </w:rPr>
  </w:style>
  <w:style w:type="paragraph" w:styleId="ListBullet2">
    <w:name w:val="List Bullet 2"/>
    <w:basedOn w:val="Normal"/>
    <w:autoRedefine/>
    <w:semiHidden/>
    <w:rsid w:val="006C031E"/>
    <w:pPr>
      <w:widowControl w:val="0"/>
      <w:tabs>
        <w:tab w:val="num" w:pos="992"/>
      </w:tabs>
      <w:spacing w:after="0" w:line="240" w:lineRule="auto"/>
      <w:ind w:left="992" w:hanging="992"/>
    </w:pPr>
    <w:rPr>
      <w:rFonts w:ascii="Times New Roman" w:hAnsi="Times New Roman"/>
      <w:snapToGrid w:val="0"/>
      <w:lang w:val="en-US"/>
    </w:rPr>
  </w:style>
  <w:style w:type="paragraph" w:styleId="BlockText">
    <w:name w:val="Block Text"/>
    <w:basedOn w:val="Normal"/>
    <w:rsid w:val="006C031E"/>
    <w:pPr>
      <w:spacing w:after="120" w:line="240" w:lineRule="auto"/>
      <w:ind w:left="1440" w:right="1440"/>
    </w:pPr>
    <w:rPr>
      <w:rFonts w:ascii="Times New Roman" w:hAnsi="Times New Roman"/>
      <w:sz w:val="20"/>
      <w:lang w:val="en-US" w:eastAsia="ja-JP"/>
    </w:rPr>
  </w:style>
  <w:style w:type="paragraph" w:styleId="BodyText3">
    <w:name w:val="Body Text 3"/>
    <w:basedOn w:val="Normal"/>
    <w:semiHidden/>
    <w:rsid w:val="006C031E"/>
    <w:pPr>
      <w:spacing w:after="120" w:line="240" w:lineRule="auto"/>
    </w:pPr>
    <w:rPr>
      <w:rFonts w:ascii="Times New Roman" w:hAnsi="Times New Roman"/>
      <w:sz w:val="16"/>
      <w:lang w:val="en-US" w:eastAsia="ja-JP"/>
    </w:rPr>
  </w:style>
  <w:style w:type="paragraph" w:styleId="CommentSubject">
    <w:name w:val="annotation subject"/>
    <w:basedOn w:val="CommentText"/>
    <w:next w:val="CommentText"/>
    <w:link w:val="CommentSubjectChar"/>
    <w:uiPriority w:val="99"/>
    <w:semiHidden/>
    <w:unhideWhenUsed/>
    <w:rsid w:val="00547CA8"/>
    <w:rPr>
      <w:rFonts w:cs="Times New Roman"/>
      <w:b/>
      <w:bCs/>
    </w:rPr>
  </w:style>
  <w:style w:type="character" w:customStyle="1" w:styleId="CommentTextChar">
    <w:name w:val="Comment Text Char"/>
    <w:aliases w:val="Annotationtext Char"/>
    <w:basedOn w:val="DefaultParagraphFont"/>
    <w:link w:val="CommentText"/>
    <w:uiPriority w:val="99"/>
    <w:rsid w:val="00547CA8"/>
    <w:rPr>
      <w:rFonts w:ascii="Arial" w:hAnsi="Arial" w:cs="Arial"/>
      <w:lang w:eastAsia="en-US"/>
    </w:rPr>
  </w:style>
  <w:style w:type="character" w:customStyle="1" w:styleId="CommentSubjectChar">
    <w:name w:val="Comment Subject Char"/>
    <w:basedOn w:val="CommentTextChar"/>
    <w:link w:val="CommentSubject"/>
    <w:rsid w:val="00547CA8"/>
    <w:rPr>
      <w:rFonts w:ascii="Arial" w:hAnsi="Arial" w:cs="Arial"/>
      <w:lang w:eastAsia="en-US"/>
    </w:rPr>
  </w:style>
  <w:style w:type="paragraph" w:styleId="BalloonText">
    <w:name w:val="Balloon Text"/>
    <w:basedOn w:val="Normal"/>
    <w:link w:val="BalloonTextChar"/>
    <w:uiPriority w:val="99"/>
    <w:semiHidden/>
    <w:unhideWhenUsed/>
    <w:rsid w:val="00547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CA8"/>
    <w:rPr>
      <w:rFonts w:ascii="Tahoma" w:hAnsi="Tahoma" w:cs="Tahoma"/>
      <w:sz w:val="16"/>
      <w:szCs w:val="16"/>
      <w:lang w:eastAsia="en-US"/>
    </w:rPr>
  </w:style>
  <w:style w:type="paragraph" w:styleId="Revision">
    <w:name w:val="Revision"/>
    <w:hidden/>
    <w:uiPriority w:val="99"/>
    <w:semiHidden/>
    <w:rsid w:val="00A3583E"/>
    <w:rPr>
      <w:rFonts w:ascii="Arial" w:hAnsi="Arial"/>
      <w:sz w:val="24"/>
      <w:lang w:eastAsia="en-US"/>
    </w:rPr>
  </w:style>
  <w:style w:type="paragraph" w:customStyle="1" w:styleId="BMSTableTitle">
    <w:name w:val="BMS Table Title"/>
    <w:next w:val="BMSBodyText"/>
    <w:link w:val="BMSTableTitleChar"/>
    <w:rsid w:val="008721F3"/>
    <w:pPr>
      <w:keepNext/>
      <w:keepLines/>
      <w:tabs>
        <w:tab w:val="left" w:pos="2160"/>
      </w:tabs>
      <w:spacing w:before="120" w:after="120"/>
      <w:ind w:left="2160" w:hanging="2160"/>
    </w:pPr>
    <w:rPr>
      <w:b/>
      <w:sz w:val="24"/>
    </w:rPr>
  </w:style>
  <w:style w:type="character" w:customStyle="1" w:styleId="BMSBodyTextChar">
    <w:name w:val="BMS Body Text Char"/>
    <w:link w:val="BMSBodyText"/>
    <w:rsid w:val="008721F3"/>
    <w:rPr>
      <w:color w:val="000000"/>
      <w:sz w:val="24"/>
      <w:lang w:val="en-US" w:eastAsia="ja-JP" w:bidi="ar-SA"/>
    </w:rPr>
  </w:style>
  <w:style w:type="character" w:customStyle="1" w:styleId="BMSTableTextChar">
    <w:name w:val="BMS Table Text Char"/>
    <w:link w:val="BMSTableText"/>
    <w:rsid w:val="008721F3"/>
    <w:rPr>
      <w:lang w:val="en-US" w:eastAsia="ja-JP" w:bidi="ar-SA"/>
    </w:rPr>
  </w:style>
  <w:style w:type="character" w:customStyle="1" w:styleId="BMSTableHeaderChar">
    <w:name w:val="BMS Table Header Char"/>
    <w:link w:val="BMSTableHeader"/>
    <w:rsid w:val="008721F3"/>
    <w:rPr>
      <w:b/>
      <w:lang w:val="en-US" w:eastAsia="ja-JP"/>
    </w:rPr>
  </w:style>
  <w:style w:type="character" w:customStyle="1" w:styleId="BMSTableTitleChar">
    <w:name w:val="BMS Table Title Char"/>
    <w:link w:val="BMSTableTitle"/>
    <w:rsid w:val="008721F3"/>
    <w:rPr>
      <w:b/>
      <w:sz w:val="24"/>
      <w:lang w:bidi="ar-SA"/>
    </w:rPr>
  </w:style>
  <w:style w:type="paragraph" w:customStyle="1" w:styleId="EMEABodyText">
    <w:name w:val="EMEA Body Text"/>
    <w:basedOn w:val="Normal"/>
    <w:link w:val="EMEABodyTextChar"/>
    <w:rsid w:val="00836D25"/>
    <w:pPr>
      <w:spacing w:before="120" w:after="120" w:line="240" w:lineRule="auto"/>
    </w:pPr>
    <w:rPr>
      <w:rFonts w:ascii="Times New Roman" w:hAnsi="Times New Roman"/>
      <w:lang w:val="en-GB"/>
    </w:rPr>
  </w:style>
  <w:style w:type="character" w:customStyle="1" w:styleId="EMEABodyTextChar">
    <w:name w:val="EMEA Body Text Char"/>
    <w:basedOn w:val="DefaultParagraphFont"/>
    <w:link w:val="EMEABodyText"/>
    <w:rsid w:val="00836D25"/>
    <w:rPr>
      <w:sz w:val="24"/>
      <w:lang w:val="en-GB" w:eastAsia="en-US"/>
    </w:rPr>
  </w:style>
  <w:style w:type="paragraph" w:customStyle="1" w:styleId="TableList">
    <w:name w:val="Table List"/>
    <w:basedOn w:val="Normal"/>
    <w:uiPriority w:val="99"/>
    <w:rsid w:val="00F40637"/>
    <w:pPr>
      <w:numPr>
        <w:numId w:val="13"/>
      </w:numPr>
      <w:overflowPunct w:val="0"/>
      <w:autoSpaceDE w:val="0"/>
      <w:autoSpaceDN w:val="0"/>
      <w:adjustRightInd w:val="0"/>
      <w:spacing w:before="120" w:after="120" w:line="240" w:lineRule="auto"/>
      <w:textAlignment w:val="baseline"/>
    </w:pPr>
    <w:rPr>
      <w:rFonts w:ascii="Times New Roman" w:hAnsi="Times New Roman"/>
      <w:sz w:val="22"/>
      <w:lang w:val="en-US"/>
    </w:rPr>
  </w:style>
  <w:style w:type="paragraph" w:customStyle="1" w:styleId="BMSHeading1">
    <w:name w:val="BMS Heading 1"/>
    <w:next w:val="BMSBodyText"/>
    <w:rsid w:val="006E2326"/>
    <w:pPr>
      <w:keepNext/>
      <w:keepLines/>
      <w:numPr>
        <w:numId w:val="14"/>
      </w:numPr>
      <w:spacing w:before="120" w:after="120"/>
      <w:outlineLvl w:val="0"/>
    </w:pPr>
    <w:rPr>
      <w:rFonts w:ascii="Arial" w:hAnsi="Arial"/>
      <w:b/>
      <w:caps/>
      <w:color w:val="000000"/>
      <w:sz w:val="24"/>
      <w:lang w:val="en-US" w:eastAsia="en-US"/>
    </w:rPr>
  </w:style>
  <w:style w:type="paragraph" w:customStyle="1" w:styleId="BMSHeading2">
    <w:name w:val="BMS Heading 2"/>
    <w:next w:val="BMSBodyText"/>
    <w:qFormat/>
    <w:rsid w:val="006E2326"/>
    <w:pPr>
      <w:keepNext/>
      <w:keepLines/>
      <w:numPr>
        <w:ilvl w:val="1"/>
        <w:numId w:val="14"/>
      </w:numPr>
      <w:spacing w:before="120" w:after="120"/>
      <w:outlineLvl w:val="1"/>
    </w:pPr>
    <w:rPr>
      <w:rFonts w:ascii="Arial" w:hAnsi="Arial"/>
      <w:b/>
      <w:color w:val="000000"/>
      <w:sz w:val="24"/>
      <w:lang w:val="en-US" w:eastAsia="en-US"/>
    </w:rPr>
  </w:style>
  <w:style w:type="paragraph" w:customStyle="1" w:styleId="BMSHeading3">
    <w:name w:val="BMS Heading 3"/>
    <w:next w:val="BMSBodyText"/>
    <w:link w:val="BMSHeading3Char"/>
    <w:rsid w:val="006E2326"/>
    <w:pPr>
      <w:keepNext/>
      <w:keepLines/>
      <w:numPr>
        <w:ilvl w:val="2"/>
        <w:numId w:val="14"/>
      </w:numPr>
      <w:spacing w:before="120" w:after="120"/>
      <w:outlineLvl w:val="2"/>
    </w:pPr>
    <w:rPr>
      <w:rFonts w:ascii="Arial" w:hAnsi="Arial"/>
      <w:b/>
      <w:i/>
      <w:color w:val="000000"/>
      <w:sz w:val="24"/>
      <w:lang w:val="en-US" w:eastAsia="en-US"/>
    </w:rPr>
  </w:style>
  <w:style w:type="paragraph" w:customStyle="1" w:styleId="BMSHeading4">
    <w:name w:val="BMS Heading 4"/>
    <w:next w:val="BMSBodyText"/>
    <w:rsid w:val="006E2326"/>
    <w:pPr>
      <w:keepNext/>
      <w:keepLines/>
      <w:numPr>
        <w:ilvl w:val="3"/>
        <w:numId w:val="14"/>
      </w:numPr>
      <w:spacing w:before="120" w:after="120"/>
      <w:outlineLvl w:val="3"/>
    </w:pPr>
    <w:rPr>
      <w:rFonts w:ascii="Arial" w:hAnsi="Arial"/>
      <w:b/>
      <w:i/>
      <w:color w:val="000000"/>
      <w:sz w:val="24"/>
      <w:lang w:val="en-US" w:eastAsia="en-US"/>
    </w:rPr>
  </w:style>
  <w:style w:type="character" w:customStyle="1" w:styleId="BMSHeading3Char">
    <w:name w:val="BMS Heading 3 Char"/>
    <w:basedOn w:val="DefaultParagraphFont"/>
    <w:link w:val="BMSHeading3"/>
    <w:rsid w:val="00AF64B8"/>
    <w:rPr>
      <w:rFonts w:ascii="Arial" w:hAnsi="Arial"/>
      <w:b/>
      <w:i/>
      <w:color w:val="000000"/>
      <w:sz w:val="24"/>
      <w:lang w:val="en-US" w:eastAsia="en-US" w:bidi="ar-SA"/>
    </w:rPr>
  </w:style>
  <w:style w:type="character" w:customStyle="1" w:styleId="BMSInstructionText">
    <w:name w:val="BMS Instruction Text"/>
    <w:rsid w:val="00AF64B8"/>
    <w:rPr>
      <w:rFonts w:ascii="Times New Roman" w:hAnsi="Times New Roman"/>
      <w:i/>
      <w:dstrike w:val="0"/>
      <w:vanish/>
      <w:color w:val="FF0000"/>
      <w:sz w:val="24"/>
      <w:u w:val="none"/>
      <w:vertAlign w:val="baseline"/>
    </w:rPr>
  </w:style>
  <w:style w:type="character" w:customStyle="1" w:styleId="BMSTableNoteInfoChar">
    <w:name w:val="BMS Table Note Info Char"/>
    <w:basedOn w:val="DefaultParagraphFont"/>
    <w:link w:val="BMSTableNoteInfo"/>
    <w:locked/>
    <w:rsid w:val="000B4998"/>
    <w:rPr>
      <w:color w:val="000000"/>
      <w:lang w:val="en-US" w:eastAsia="ja-JP"/>
    </w:rPr>
  </w:style>
  <w:style w:type="paragraph" w:customStyle="1" w:styleId="Default">
    <w:name w:val="Default"/>
    <w:rsid w:val="00E37810"/>
    <w:pPr>
      <w:autoSpaceDE w:val="0"/>
      <w:autoSpaceDN w:val="0"/>
      <w:adjustRightInd w:val="0"/>
    </w:pPr>
    <w:rPr>
      <w:color w:val="000000"/>
      <w:sz w:val="24"/>
      <w:szCs w:val="24"/>
    </w:rPr>
  </w:style>
  <w:style w:type="character" w:styleId="EndnoteReference">
    <w:name w:val="endnote reference"/>
    <w:rsid w:val="00C93B80"/>
    <w:rPr>
      <w:sz w:val="28"/>
      <w:vertAlign w:val="superscript"/>
    </w:rPr>
  </w:style>
  <w:style w:type="paragraph" w:styleId="EndnoteText">
    <w:name w:val="endnote text"/>
    <w:basedOn w:val="BMSBodyText"/>
    <w:link w:val="EndnoteTextChar"/>
    <w:rsid w:val="00BE24AB"/>
    <w:pPr>
      <w:tabs>
        <w:tab w:val="left" w:pos="360"/>
      </w:tabs>
      <w:spacing w:before="0" w:line="240" w:lineRule="auto"/>
      <w:ind w:left="360" w:hanging="360"/>
    </w:pPr>
  </w:style>
  <w:style w:type="character" w:customStyle="1" w:styleId="EndnoteTextChar">
    <w:name w:val="Endnote Text Char"/>
    <w:basedOn w:val="DefaultParagraphFont"/>
    <w:link w:val="EndnoteText"/>
    <w:rsid w:val="00BE24AB"/>
    <w:rPr>
      <w:color w:val="000000"/>
      <w:sz w:val="24"/>
    </w:rPr>
  </w:style>
  <w:style w:type="character" w:customStyle="1" w:styleId="bumpedfont15">
    <w:name w:val="bumpedfont15"/>
    <w:basedOn w:val="DefaultParagraphFont"/>
    <w:rsid w:val="00847979"/>
  </w:style>
  <w:style w:type="paragraph" w:customStyle="1" w:styleId="EMEATableLeft">
    <w:name w:val="EMEA Table Left"/>
    <w:basedOn w:val="EMEABodyText"/>
    <w:rsid w:val="007561A5"/>
    <w:pPr>
      <w:keepNext/>
      <w:keepLines/>
    </w:pPr>
  </w:style>
  <w:style w:type="character" w:customStyle="1" w:styleId="EMEASuperscript">
    <w:name w:val="EMEA Superscript"/>
    <w:rsid w:val="007561A5"/>
    <w:rPr>
      <w:sz w:val="22"/>
      <w:vertAlign w:val="superscript"/>
    </w:rPr>
  </w:style>
  <w:style w:type="table" w:styleId="TableGrid">
    <w:name w:val="Table Grid"/>
    <w:basedOn w:val="TableNormal"/>
    <w:uiPriority w:val="59"/>
    <w:rsid w:val="007561A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Heading2">
    <w:name w:val="EMEA Heading 2"/>
    <w:basedOn w:val="EMEABodyText"/>
    <w:next w:val="EMEABodyText"/>
    <w:rsid w:val="00C85319"/>
    <w:pPr>
      <w:keepNext/>
      <w:keepLines/>
      <w:ind w:left="567" w:hanging="567"/>
      <w:outlineLvl w:val="1"/>
    </w:pPr>
    <w:rPr>
      <w:b/>
    </w:rPr>
  </w:style>
  <w:style w:type="paragraph" w:customStyle="1" w:styleId="EMEABodyTextIndent">
    <w:name w:val="EMEA Body Text Indent"/>
    <w:basedOn w:val="EMEABodyText"/>
    <w:next w:val="EMEABodyText"/>
    <w:rsid w:val="00C85319"/>
    <w:pPr>
      <w:numPr>
        <w:numId w:val="29"/>
      </w:numPr>
    </w:pPr>
  </w:style>
  <w:style w:type="paragraph" w:customStyle="1" w:styleId="EMEAComment">
    <w:name w:val="EMEA Comment"/>
    <w:basedOn w:val="EMEABodyText"/>
    <w:rsid w:val="00C649EB"/>
    <w:pPr>
      <w:suppressLineNumbers/>
    </w:pPr>
    <w:rPr>
      <w:i/>
      <w:sz w:val="20"/>
    </w:rPr>
  </w:style>
  <w:style w:type="paragraph" w:customStyle="1" w:styleId="EMEATableHeader">
    <w:name w:val="EMEA Table Header"/>
    <w:basedOn w:val="Normal"/>
    <w:rsid w:val="00C649EB"/>
    <w:pPr>
      <w:keepNext/>
      <w:keepLines/>
      <w:spacing w:after="0" w:line="240" w:lineRule="auto"/>
      <w:jc w:val="center"/>
    </w:pPr>
    <w:rPr>
      <w:rFonts w:ascii="Times New Roman" w:hAnsi="Times New Roman"/>
      <w:b/>
      <w:sz w:val="22"/>
      <w:lang w:val="en-GB"/>
    </w:rPr>
  </w:style>
  <w:style w:type="paragraph" w:styleId="Index3">
    <w:name w:val="index 3"/>
    <w:basedOn w:val="Normal"/>
    <w:next w:val="Normal"/>
    <w:autoRedefine/>
    <w:semiHidden/>
    <w:rsid w:val="00360B42"/>
    <w:pPr>
      <w:spacing w:after="0" w:line="240" w:lineRule="auto"/>
      <w:ind w:left="600" w:hanging="200"/>
    </w:pPr>
    <w:rPr>
      <w:rFonts w:ascii="Times New Roman" w:eastAsia="MS Mincho" w:hAnsi="Times New Roman"/>
      <w:szCs w:val="24"/>
      <w:lang w:val="en-US" w:eastAsia="ja-JP"/>
    </w:rPr>
  </w:style>
  <w:style w:type="paragraph" w:customStyle="1" w:styleId="BMSBullets">
    <w:name w:val="BMS Bullets"/>
    <w:basedOn w:val="BMSBodyText"/>
    <w:link w:val="BMSBulletsChar"/>
    <w:rsid w:val="00CC5FFA"/>
    <w:pPr>
      <w:numPr>
        <w:numId w:val="30"/>
      </w:numPr>
      <w:spacing w:before="0" w:after="60" w:line="240" w:lineRule="auto"/>
    </w:pPr>
    <w:rPr>
      <w:lang w:eastAsia="en-US"/>
    </w:rPr>
  </w:style>
  <w:style w:type="character" w:customStyle="1" w:styleId="BMSBulletsChar">
    <w:name w:val="BMS Bullets Char"/>
    <w:basedOn w:val="DefaultParagraphFont"/>
    <w:link w:val="BMSBullets"/>
    <w:rsid w:val="00CC5FFA"/>
    <w:rPr>
      <w:color w:val="000000"/>
      <w:sz w:val="24"/>
      <w:lang w:val="en-US" w:eastAsia="en-US"/>
    </w:rPr>
  </w:style>
  <w:style w:type="paragraph" w:customStyle="1" w:styleId="BMSHeader">
    <w:name w:val="BMS Header"/>
    <w:next w:val="BMSBodyText"/>
    <w:rsid w:val="00D012A5"/>
    <w:pPr>
      <w:pBdr>
        <w:bottom w:val="single" w:sz="4" w:space="1" w:color="auto"/>
      </w:pBdr>
      <w:tabs>
        <w:tab w:val="right" w:pos="9360"/>
        <w:tab w:val="right" w:pos="12960"/>
      </w:tabs>
      <w:spacing w:after="120"/>
    </w:pPr>
    <w:rPr>
      <w:lang w:val="en-US" w:eastAsia="en-US"/>
    </w:rPr>
  </w:style>
  <w:style w:type="paragraph" w:customStyle="1" w:styleId="BMSHeadingAppendix">
    <w:name w:val="BMS Heading Appendix"/>
    <w:rsid w:val="00D012A5"/>
    <w:pPr>
      <w:keepNext/>
      <w:keepLines/>
      <w:numPr>
        <w:numId w:val="35"/>
      </w:numPr>
      <w:tabs>
        <w:tab w:val="clear" w:pos="1800"/>
        <w:tab w:val="left" w:pos="2160"/>
      </w:tabs>
      <w:spacing w:before="120" w:after="120"/>
      <w:ind w:left="2160" w:hanging="2160"/>
      <w:outlineLvl w:val="0"/>
    </w:pPr>
    <w:rPr>
      <w:rFonts w:ascii="Arial" w:hAnsi="Arial"/>
      <w:b/>
      <w:caps/>
      <w:sz w:val="24"/>
      <w:lang w:val="en-US" w:eastAsia="en-US"/>
    </w:rPr>
  </w:style>
  <w:style w:type="character" w:customStyle="1" w:styleId="FooterChar">
    <w:name w:val="Footer Char"/>
    <w:basedOn w:val="DefaultParagraphFont"/>
    <w:link w:val="Footer"/>
    <w:uiPriority w:val="99"/>
    <w:rsid w:val="004B0B12"/>
    <w:rPr>
      <w:rFonts w:ascii="Arial" w:hAnsi="Arial"/>
      <w:sz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3"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31E"/>
    <w:pPr>
      <w:spacing w:after="240" w:line="280" w:lineRule="atLeast"/>
    </w:pPr>
    <w:rPr>
      <w:rFonts w:ascii="Arial" w:hAnsi="Arial"/>
      <w:sz w:val="24"/>
      <w:lang w:eastAsia="en-US"/>
    </w:rPr>
  </w:style>
  <w:style w:type="paragraph" w:styleId="Heading1">
    <w:name w:val="heading 1"/>
    <w:next w:val="Normal"/>
    <w:qFormat/>
    <w:rsid w:val="006C031E"/>
    <w:pPr>
      <w:keepNext/>
      <w:numPr>
        <w:numId w:val="2"/>
      </w:numPr>
      <w:spacing w:before="480" w:after="240"/>
      <w:outlineLvl w:val="0"/>
    </w:pPr>
    <w:rPr>
      <w:b/>
      <w:caps/>
      <w:sz w:val="28"/>
      <w:lang w:val="en-GB" w:eastAsia="en-US"/>
    </w:rPr>
  </w:style>
  <w:style w:type="paragraph" w:styleId="Heading2">
    <w:name w:val="heading 2"/>
    <w:next w:val="Normal"/>
    <w:qFormat/>
    <w:rsid w:val="00EE5DAC"/>
    <w:pPr>
      <w:keepNext/>
      <w:spacing w:before="120" w:after="120" w:line="280" w:lineRule="atLeast"/>
      <w:outlineLvl w:val="1"/>
    </w:pPr>
    <w:rPr>
      <w:rFonts w:ascii="Times New Roman Bold" w:hAnsi="Times New Roman Bold"/>
      <w:b/>
      <w:caps/>
      <w:sz w:val="24"/>
      <w:lang w:val="en-GB" w:eastAsia="en-US"/>
    </w:rPr>
  </w:style>
  <w:style w:type="paragraph" w:styleId="Heading3">
    <w:name w:val="heading 3"/>
    <w:next w:val="Normal"/>
    <w:qFormat/>
    <w:rsid w:val="006C031E"/>
    <w:pPr>
      <w:keepNext/>
      <w:numPr>
        <w:ilvl w:val="2"/>
        <w:numId w:val="2"/>
      </w:numPr>
      <w:spacing w:after="120"/>
      <w:outlineLvl w:val="2"/>
    </w:pPr>
    <w:rPr>
      <w:i/>
      <w:sz w:val="24"/>
      <w:lang w:val="en-GB" w:eastAsia="en-US"/>
    </w:rPr>
  </w:style>
  <w:style w:type="paragraph" w:styleId="Heading4">
    <w:name w:val="heading 4"/>
    <w:next w:val="Normal"/>
    <w:qFormat/>
    <w:rsid w:val="006C031E"/>
    <w:pPr>
      <w:keepNext/>
      <w:numPr>
        <w:ilvl w:val="3"/>
        <w:numId w:val="2"/>
      </w:numPr>
      <w:spacing w:after="120"/>
      <w:outlineLvl w:val="3"/>
    </w:pPr>
    <w:rPr>
      <w:i/>
      <w:sz w:val="24"/>
      <w:lang w:val="en-GB" w:eastAsia="en-US"/>
    </w:rPr>
  </w:style>
  <w:style w:type="paragraph" w:styleId="Heading5">
    <w:name w:val="heading 5"/>
    <w:basedOn w:val="Normal"/>
    <w:next w:val="Normal"/>
    <w:qFormat/>
    <w:rsid w:val="006C031E"/>
    <w:pPr>
      <w:keepNext/>
      <w:spacing w:after="120"/>
      <w:outlineLvl w:val="4"/>
    </w:pPr>
    <w:rPr>
      <w:u w:val="single"/>
      <w:lang w:val="en-GB"/>
    </w:rPr>
  </w:style>
  <w:style w:type="paragraph" w:styleId="Heading6">
    <w:name w:val="heading 6"/>
    <w:next w:val="Normal"/>
    <w:qFormat/>
    <w:rsid w:val="006C031E"/>
    <w:pPr>
      <w:keepNext/>
      <w:spacing w:after="120"/>
      <w:outlineLvl w:val="5"/>
    </w:pPr>
    <w:rPr>
      <w:b/>
      <w:sz w:val="24"/>
      <w:lang w:val="en-GB" w:eastAsia="en-US"/>
    </w:rPr>
  </w:style>
  <w:style w:type="paragraph" w:styleId="Heading7">
    <w:name w:val="heading 7"/>
    <w:aliases w:val="Appendix Heading"/>
    <w:next w:val="Normal"/>
    <w:qFormat/>
    <w:rsid w:val="006C031E"/>
    <w:pPr>
      <w:keepNext/>
      <w:spacing w:after="120"/>
      <w:outlineLvl w:val="6"/>
    </w:pPr>
    <w:rPr>
      <w:b/>
      <w:sz w:val="24"/>
      <w:lang w:val="en-GB" w:eastAsia="en-US"/>
    </w:rPr>
  </w:style>
  <w:style w:type="paragraph" w:styleId="Heading8">
    <w:name w:val="heading 8"/>
    <w:next w:val="Normal"/>
    <w:qFormat/>
    <w:rsid w:val="006C031E"/>
    <w:pPr>
      <w:keepNext/>
      <w:spacing w:after="120"/>
      <w:outlineLvl w:val="7"/>
    </w:pPr>
    <w:rPr>
      <w:b/>
      <w:sz w:val="24"/>
      <w:lang w:val="en-GB" w:eastAsia="en-US"/>
    </w:rPr>
  </w:style>
  <w:style w:type="paragraph" w:styleId="Heading9">
    <w:name w:val="heading 9"/>
    <w:next w:val="Normal"/>
    <w:qFormat/>
    <w:rsid w:val="006C031E"/>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sid w:val="006C031E"/>
    <w:rPr>
      <w:rFonts w:ascii="Arial" w:hAnsi="Arial"/>
      <w:sz w:val="16"/>
      <w:lang w:val="en-GB" w:eastAsia="en-US"/>
    </w:rPr>
  </w:style>
  <w:style w:type="paragraph" w:styleId="Footer">
    <w:name w:val="footer"/>
    <w:link w:val="FooterChar"/>
    <w:uiPriority w:val="99"/>
    <w:rsid w:val="006C031E"/>
    <w:rPr>
      <w:rFonts w:ascii="Arial" w:hAnsi="Arial"/>
      <w:sz w:val="16"/>
      <w:lang w:val="en-GB" w:eastAsia="en-US"/>
    </w:rPr>
  </w:style>
  <w:style w:type="paragraph" w:customStyle="1" w:styleId="A-Guided">
    <w:name w:val="A-Guided"/>
    <w:basedOn w:val="Normal"/>
    <w:rsid w:val="006C031E"/>
    <w:pPr>
      <w:spacing w:before="60"/>
    </w:pPr>
    <w:rPr>
      <w:lang w:val="en-GB"/>
    </w:rPr>
  </w:style>
  <w:style w:type="paragraph" w:customStyle="1" w:styleId="A-GuidedBold">
    <w:name w:val="A-Guided Bold"/>
    <w:basedOn w:val="Normal"/>
    <w:rsid w:val="006C031E"/>
    <w:pPr>
      <w:spacing w:before="60" w:after="120"/>
    </w:pPr>
    <w:rPr>
      <w:b/>
      <w:lang w:val="en-GB"/>
    </w:rPr>
  </w:style>
  <w:style w:type="character" w:customStyle="1" w:styleId="Z-RedHidden">
    <w:name w:val="Z-Red Hidden"/>
    <w:basedOn w:val="DefaultParagraphFont"/>
    <w:rsid w:val="006C031E"/>
    <w:rPr>
      <w:rFonts w:ascii="Arial" w:hAnsi="Arial"/>
      <w:vanish/>
      <w:color w:val="FF0000"/>
      <w:sz w:val="16"/>
    </w:rPr>
  </w:style>
  <w:style w:type="paragraph" w:customStyle="1" w:styleId="A-StudyTitle">
    <w:name w:val="A-Study Title"/>
    <w:basedOn w:val="Normal"/>
    <w:rsid w:val="006C031E"/>
    <w:pPr>
      <w:spacing w:after="120"/>
      <w:jc w:val="center"/>
    </w:pPr>
    <w:rPr>
      <w:b/>
      <w:sz w:val="32"/>
      <w:lang w:val="en-GB"/>
    </w:rPr>
  </w:style>
  <w:style w:type="paragraph" w:styleId="TOC1">
    <w:name w:val="toc 1"/>
    <w:next w:val="TOC2"/>
    <w:semiHidden/>
    <w:rsid w:val="006C031E"/>
    <w:pPr>
      <w:tabs>
        <w:tab w:val="right" w:leader="dot" w:pos="8931"/>
      </w:tabs>
      <w:spacing w:before="120"/>
      <w:ind w:left="994" w:right="864" w:hanging="994"/>
    </w:pPr>
    <w:rPr>
      <w:caps/>
      <w:sz w:val="24"/>
      <w:lang w:val="en-GB" w:eastAsia="en-US"/>
    </w:rPr>
  </w:style>
  <w:style w:type="paragraph" w:styleId="TOC2">
    <w:name w:val="toc 2"/>
    <w:basedOn w:val="TOC1"/>
    <w:next w:val="TOC3"/>
    <w:semiHidden/>
    <w:rsid w:val="006C031E"/>
    <w:rPr>
      <w:caps w:val="0"/>
    </w:rPr>
  </w:style>
  <w:style w:type="paragraph" w:styleId="TOC3">
    <w:name w:val="toc 3"/>
    <w:basedOn w:val="TOC1"/>
    <w:next w:val="TOC4"/>
    <w:semiHidden/>
    <w:rsid w:val="006C031E"/>
    <w:pPr>
      <w:spacing w:before="0"/>
    </w:pPr>
    <w:rPr>
      <w:caps w:val="0"/>
    </w:rPr>
  </w:style>
  <w:style w:type="paragraph" w:styleId="TOC4">
    <w:name w:val="toc 4"/>
    <w:basedOn w:val="TOC1"/>
    <w:semiHidden/>
    <w:rsid w:val="006C031E"/>
    <w:pPr>
      <w:spacing w:before="0"/>
    </w:pPr>
    <w:rPr>
      <w:caps w:val="0"/>
    </w:rPr>
  </w:style>
  <w:style w:type="character" w:styleId="PageNumber">
    <w:name w:val="page number"/>
    <w:basedOn w:val="DefaultParagraphFont"/>
    <w:semiHidden/>
    <w:rsid w:val="006C031E"/>
    <w:rPr>
      <w:rFonts w:ascii="Arial" w:hAnsi="Arial"/>
      <w:sz w:val="20"/>
    </w:rPr>
  </w:style>
  <w:style w:type="paragraph" w:customStyle="1" w:styleId="A-TableText">
    <w:name w:val="A-Table Text"/>
    <w:basedOn w:val="Normal"/>
    <w:rsid w:val="006C031E"/>
    <w:pPr>
      <w:spacing w:before="60" w:after="60"/>
    </w:pPr>
    <w:rPr>
      <w:sz w:val="22"/>
      <w:lang w:val="en-GB"/>
    </w:rPr>
  </w:style>
  <w:style w:type="paragraph" w:styleId="Caption">
    <w:name w:val="caption"/>
    <w:next w:val="Normal"/>
    <w:qFormat/>
    <w:rsid w:val="00F5030B"/>
    <w:pPr>
      <w:keepNext/>
      <w:spacing w:before="120" w:after="120" w:line="280" w:lineRule="atLeast"/>
      <w:ind w:left="1418" w:hanging="1418"/>
    </w:pPr>
    <w:rPr>
      <w:sz w:val="22"/>
      <w:lang w:val="en-GB" w:eastAsia="en-US"/>
    </w:rPr>
  </w:style>
  <w:style w:type="paragraph" w:styleId="TOC5">
    <w:name w:val="toc 5"/>
    <w:basedOn w:val="TOC1"/>
    <w:next w:val="Normal"/>
    <w:semiHidden/>
    <w:rsid w:val="006C031E"/>
    <w:pPr>
      <w:ind w:firstLine="0"/>
    </w:pPr>
  </w:style>
  <w:style w:type="paragraph" w:styleId="TOC6">
    <w:name w:val="toc 6"/>
    <w:basedOn w:val="TOC2"/>
    <w:next w:val="Normal"/>
    <w:semiHidden/>
    <w:rsid w:val="006C031E"/>
    <w:pPr>
      <w:ind w:firstLine="0"/>
    </w:pPr>
  </w:style>
  <w:style w:type="paragraph" w:styleId="TOC7">
    <w:name w:val="toc 7"/>
    <w:basedOn w:val="TOC3"/>
    <w:next w:val="Normal"/>
    <w:semiHidden/>
    <w:rsid w:val="006C031E"/>
    <w:pPr>
      <w:ind w:firstLine="0"/>
    </w:pPr>
  </w:style>
  <w:style w:type="paragraph" w:styleId="TOC8">
    <w:name w:val="toc 8"/>
    <w:basedOn w:val="TOC4"/>
    <w:next w:val="Normal"/>
    <w:semiHidden/>
    <w:rsid w:val="006C031E"/>
    <w:pPr>
      <w:ind w:firstLine="0"/>
    </w:pPr>
  </w:style>
  <w:style w:type="paragraph" w:styleId="TOC9">
    <w:name w:val="toc 9"/>
    <w:basedOn w:val="TOC1"/>
    <w:next w:val="Normal"/>
    <w:semiHidden/>
    <w:rsid w:val="006C031E"/>
    <w:pPr>
      <w:ind w:firstLine="0"/>
    </w:pPr>
  </w:style>
  <w:style w:type="paragraph" w:customStyle="1" w:styleId="A-LandscapeFont">
    <w:name w:val="A-Landscape Font"/>
    <w:rsid w:val="006C031E"/>
    <w:pPr>
      <w:spacing w:line="280" w:lineRule="atLeast"/>
    </w:pPr>
    <w:rPr>
      <w:rFonts w:ascii="Courier" w:hAnsi="Courier"/>
      <w:sz w:val="16"/>
      <w:lang w:val="en-GB" w:eastAsia="en-US"/>
    </w:rPr>
  </w:style>
  <w:style w:type="paragraph" w:customStyle="1" w:styleId="A-TableHeader">
    <w:name w:val="A-Table Header"/>
    <w:basedOn w:val="Normal"/>
    <w:next w:val="A-TableText"/>
    <w:rsid w:val="006C031E"/>
    <w:pPr>
      <w:keepNext/>
      <w:spacing w:before="60" w:after="60"/>
    </w:pPr>
    <w:rPr>
      <w:b/>
      <w:sz w:val="20"/>
      <w:lang w:val="en-GB"/>
    </w:rPr>
  </w:style>
  <w:style w:type="paragraph" w:styleId="TableofFigures">
    <w:name w:val="table of figures"/>
    <w:next w:val="Normal"/>
    <w:semiHidden/>
    <w:rsid w:val="006C031E"/>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rsid w:val="006C031E"/>
    <w:pPr>
      <w:tabs>
        <w:tab w:val="left" w:pos="1800"/>
      </w:tabs>
      <w:spacing w:after="120"/>
      <w:ind w:left="1800" w:hanging="1800"/>
    </w:pPr>
    <w:rPr>
      <w:b/>
      <w:sz w:val="28"/>
      <w:lang w:val="en-GB"/>
    </w:rPr>
  </w:style>
  <w:style w:type="paragraph" w:customStyle="1" w:styleId="Z-Box">
    <w:name w:val="Z-Box"/>
    <w:basedOn w:val="Normal"/>
    <w:rsid w:val="006C031E"/>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sid w:val="006C031E"/>
    <w:rPr>
      <w:lang w:val="en-GB"/>
    </w:rPr>
  </w:style>
  <w:style w:type="paragraph" w:customStyle="1" w:styleId="A-Unnumbered">
    <w:name w:val="A-Unnumbered"/>
    <w:basedOn w:val="Normal"/>
    <w:next w:val="Normal"/>
    <w:rsid w:val="006C031E"/>
    <w:pPr>
      <w:keepNext/>
      <w:spacing w:before="480"/>
    </w:pPr>
    <w:rPr>
      <w:b/>
      <w:caps/>
      <w:sz w:val="28"/>
      <w:lang w:val="en-GB"/>
    </w:rPr>
  </w:style>
  <w:style w:type="paragraph" w:customStyle="1" w:styleId="A-Unassigned">
    <w:name w:val="A-Unassigned"/>
    <w:basedOn w:val="Normal"/>
    <w:next w:val="Normal"/>
    <w:rsid w:val="006C031E"/>
    <w:pPr>
      <w:keepNext/>
      <w:spacing w:before="120" w:after="120"/>
    </w:pPr>
    <w:rPr>
      <w:b/>
      <w:lang w:val="en-GB"/>
    </w:rPr>
  </w:style>
  <w:style w:type="paragraph" w:customStyle="1" w:styleId="A-ListBullet">
    <w:name w:val="A-List Bullet"/>
    <w:basedOn w:val="Normal"/>
    <w:rsid w:val="006C031E"/>
    <w:pPr>
      <w:numPr>
        <w:numId w:val="3"/>
      </w:numPr>
    </w:pPr>
    <w:rPr>
      <w:lang w:val="en-GB"/>
    </w:rPr>
  </w:style>
  <w:style w:type="paragraph" w:customStyle="1" w:styleId="A-ListNumber">
    <w:name w:val="A-List Number"/>
    <w:basedOn w:val="Normal"/>
    <w:rsid w:val="006C031E"/>
    <w:pPr>
      <w:tabs>
        <w:tab w:val="left" w:pos="994"/>
      </w:tabs>
      <w:ind w:left="994" w:hanging="994"/>
    </w:pPr>
    <w:rPr>
      <w:lang w:val="en-GB"/>
    </w:rPr>
  </w:style>
  <w:style w:type="paragraph" w:customStyle="1" w:styleId="A-ListSubsidiary">
    <w:name w:val="A-List Subsidiary"/>
    <w:basedOn w:val="Normal"/>
    <w:rsid w:val="006C031E"/>
    <w:pPr>
      <w:numPr>
        <w:numId w:val="4"/>
      </w:numPr>
      <w:tabs>
        <w:tab w:val="clear" w:pos="1987"/>
        <w:tab w:val="left" w:pos="1440"/>
      </w:tabs>
      <w:ind w:left="1440" w:hanging="446"/>
    </w:pPr>
    <w:rPr>
      <w:lang w:val="en-GB"/>
    </w:rPr>
  </w:style>
  <w:style w:type="paragraph" w:customStyle="1" w:styleId="A-NormalIndent">
    <w:name w:val="A-Normal Indent"/>
    <w:basedOn w:val="Normal"/>
    <w:next w:val="Normal"/>
    <w:rsid w:val="006C031E"/>
    <w:pPr>
      <w:ind w:left="992"/>
    </w:pPr>
    <w:rPr>
      <w:lang w:val="en-GB"/>
    </w:rPr>
  </w:style>
  <w:style w:type="paragraph" w:customStyle="1" w:styleId="A-Lista">
    <w:name w:val="A-List (a)"/>
    <w:basedOn w:val="Normal"/>
    <w:next w:val="Normal"/>
    <w:rsid w:val="006C031E"/>
    <w:pPr>
      <w:numPr>
        <w:numId w:val="5"/>
      </w:numPr>
    </w:pPr>
    <w:rPr>
      <w:lang w:val="en-GB"/>
    </w:rPr>
  </w:style>
  <w:style w:type="paragraph" w:customStyle="1" w:styleId="A-Listi">
    <w:name w:val="A-List (i)"/>
    <w:basedOn w:val="Normal"/>
    <w:next w:val="Normal"/>
    <w:rsid w:val="006C031E"/>
    <w:pPr>
      <w:numPr>
        <w:numId w:val="6"/>
      </w:numPr>
    </w:pPr>
    <w:rPr>
      <w:lang w:val="en-GB"/>
    </w:rPr>
  </w:style>
  <w:style w:type="paragraph" w:customStyle="1" w:styleId="A-TableTitle">
    <w:name w:val="A-Table Title"/>
    <w:basedOn w:val="Normal"/>
    <w:next w:val="Normal"/>
    <w:rsid w:val="006C031E"/>
    <w:pPr>
      <w:keepNext/>
      <w:tabs>
        <w:tab w:val="left" w:pos="1800"/>
      </w:tabs>
      <w:spacing w:after="120"/>
      <w:ind w:left="1800" w:hanging="1800"/>
    </w:pPr>
    <w:rPr>
      <w:b/>
      <w:lang w:val="en-GB"/>
    </w:rPr>
  </w:style>
  <w:style w:type="paragraph" w:customStyle="1" w:styleId="A-FigureTitle">
    <w:name w:val="A-Figure Title"/>
    <w:basedOn w:val="Normal"/>
    <w:next w:val="Normal"/>
    <w:rsid w:val="006C031E"/>
    <w:pPr>
      <w:keepNext/>
      <w:tabs>
        <w:tab w:val="left" w:pos="1800"/>
      </w:tabs>
      <w:spacing w:after="120"/>
      <w:ind w:left="1800" w:hanging="1800"/>
    </w:pPr>
    <w:rPr>
      <w:b/>
      <w:lang w:val="en-GB"/>
    </w:rPr>
  </w:style>
  <w:style w:type="paragraph" w:customStyle="1" w:styleId="A-TableFootnoteText">
    <w:name w:val="A-Table Footnote Text"/>
    <w:basedOn w:val="Normal"/>
    <w:next w:val="Normal"/>
    <w:rsid w:val="006C031E"/>
    <w:pPr>
      <w:tabs>
        <w:tab w:val="left" w:pos="432"/>
      </w:tabs>
      <w:ind w:left="432" w:hanging="432"/>
    </w:pPr>
    <w:rPr>
      <w:sz w:val="18"/>
      <w:lang w:val="en-GB"/>
    </w:rPr>
  </w:style>
  <w:style w:type="paragraph" w:customStyle="1" w:styleId="Z-LogoHeader">
    <w:name w:val="Z-Logo Header"/>
    <w:basedOn w:val="Header"/>
    <w:rsid w:val="006C031E"/>
    <w:pPr>
      <w:spacing w:before="240"/>
    </w:pPr>
  </w:style>
  <w:style w:type="paragraph" w:customStyle="1" w:styleId="Z-Signature">
    <w:name w:val="Z-Signature"/>
    <w:next w:val="Normal"/>
    <w:rsid w:val="006C031E"/>
    <w:pPr>
      <w:spacing w:before="360" w:line="280" w:lineRule="atLeast"/>
    </w:pPr>
    <w:rPr>
      <w:sz w:val="24"/>
      <w:lang w:val="en-GB" w:eastAsia="en-US"/>
    </w:rPr>
  </w:style>
  <w:style w:type="paragraph" w:customStyle="1" w:styleId="TocHeaders">
    <w:name w:val="TocHeaders"/>
    <w:next w:val="Normal"/>
    <w:rsid w:val="006C031E"/>
    <w:pPr>
      <w:keepNext/>
      <w:spacing w:before="480" w:after="240"/>
      <w:outlineLvl w:val="0"/>
    </w:pPr>
    <w:rPr>
      <w:b/>
      <w:caps/>
      <w:sz w:val="28"/>
      <w:lang w:val="en-GB" w:eastAsia="en-US"/>
    </w:rPr>
  </w:style>
  <w:style w:type="character" w:styleId="Hyperlink">
    <w:name w:val="Hyperlink"/>
    <w:basedOn w:val="DefaultParagraphFont"/>
    <w:semiHidden/>
    <w:rsid w:val="006C031E"/>
    <w:rPr>
      <w:color w:val="auto"/>
      <w:u w:val="none"/>
    </w:rPr>
  </w:style>
  <w:style w:type="character" w:styleId="FollowedHyperlink">
    <w:name w:val="FollowedHyperlink"/>
    <w:basedOn w:val="DefaultParagraphFont"/>
    <w:semiHidden/>
    <w:rsid w:val="006C031E"/>
    <w:rPr>
      <w:color w:val="auto"/>
      <w:u w:val="none"/>
    </w:rPr>
  </w:style>
  <w:style w:type="paragraph" w:customStyle="1" w:styleId="A-Heading1">
    <w:name w:val="A-Heading 1"/>
    <w:basedOn w:val="Normal"/>
    <w:next w:val="Normal"/>
    <w:rsid w:val="00F5030B"/>
    <w:pPr>
      <w:keepNext/>
      <w:spacing w:before="240"/>
      <w:outlineLvl w:val="0"/>
    </w:pPr>
    <w:rPr>
      <w:rFonts w:ascii="Times New Roman" w:hAnsi="Times New Roman"/>
      <w:b/>
      <w:caps/>
      <w:lang w:val="en-GB"/>
    </w:rPr>
  </w:style>
  <w:style w:type="paragraph" w:customStyle="1" w:styleId="A-Heading2">
    <w:name w:val="A-Heading 2"/>
    <w:basedOn w:val="A-Heading1"/>
    <w:next w:val="Normal"/>
    <w:rsid w:val="00E560C5"/>
    <w:pPr>
      <w:spacing w:after="120"/>
      <w:outlineLvl w:val="1"/>
    </w:pPr>
    <w:rPr>
      <w:i/>
      <w:caps w:val="0"/>
    </w:rPr>
  </w:style>
  <w:style w:type="paragraph" w:customStyle="1" w:styleId="A-Heading3">
    <w:name w:val="A-Heading 3"/>
    <w:basedOn w:val="A-Heading2"/>
    <w:next w:val="Normal"/>
    <w:rsid w:val="005B2BEE"/>
    <w:pPr>
      <w:spacing w:before="120"/>
      <w:outlineLvl w:val="2"/>
    </w:pPr>
  </w:style>
  <w:style w:type="paragraph" w:customStyle="1" w:styleId="A-Heading4">
    <w:name w:val="A-Heading 4"/>
    <w:basedOn w:val="A-Heading3"/>
    <w:next w:val="Normal"/>
    <w:rsid w:val="005B2BEE"/>
    <w:pPr>
      <w:outlineLvl w:val="3"/>
    </w:pPr>
    <w:rPr>
      <w:b w:val="0"/>
    </w:rPr>
  </w:style>
  <w:style w:type="paragraph" w:customStyle="1" w:styleId="Tableheading">
    <w:name w:val="Table heading"/>
    <w:basedOn w:val="Normal"/>
    <w:rsid w:val="006C031E"/>
    <w:pPr>
      <w:spacing w:line="240" w:lineRule="auto"/>
    </w:pPr>
    <w:rPr>
      <w:b/>
      <w:sz w:val="20"/>
      <w:szCs w:val="24"/>
    </w:rPr>
  </w:style>
  <w:style w:type="paragraph" w:styleId="FootnoteText">
    <w:name w:val="footnote text"/>
    <w:next w:val="Normal"/>
    <w:semiHidden/>
    <w:rsid w:val="006C031E"/>
    <w:pPr>
      <w:tabs>
        <w:tab w:val="left" w:pos="431"/>
      </w:tabs>
      <w:ind w:left="431" w:hanging="431"/>
    </w:pPr>
    <w:rPr>
      <w:rFonts w:ascii="Arial" w:hAnsi="Arial"/>
      <w:lang w:val="en-GB" w:eastAsia="en-US"/>
    </w:rPr>
  </w:style>
  <w:style w:type="paragraph" w:customStyle="1" w:styleId="Tabletext">
    <w:name w:val="Table text"/>
    <w:basedOn w:val="Normal"/>
    <w:rsid w:val="006C031E"/>
    <w:pPr>
      <w:spacing w:line="240" w:lineRule="auto"/>
    </w:pPr>
    <w:rPr>
      <w:sz w:val="20"/>
      <w:szCs w:val="24"/>
    </w:rPr>
  </w:style>
  <w:style w:type="paragraph" w:styleId="DocumentMap">
    <w:name w:val="Document Map"/>
    <w:basedOn w:val="Normal"/>
    <w:semiHidden/>
    <w:rsid w:val="006C031E"/>
    <w:pPr>
      <w:shd w:val="clear" w:color="auto" w:fill="000080"/>
    </w:pPr>
    <w:rPr>
      <w:rFonts w:ascii="Tahoma" w:hAnsi="Tahoma" w:cs="Tahoma"/>
    </w:rPr>
  </w:style>
  <w:style w:type="character" w:customStyle="1" w:styleId="BMSTableNote">
    <w:name w:val="BMS Table Note"/>
    <w:basedOn w:val="DefaultParagraphFont"/>
    <w:rsid w:val="006C031E"/>
    <w:rPr>
      <w:rFonts w:ascii="Times New Roman" w:hAnsi="Times New Roman" w:cs="Times New Roman"/>
      <w:color w:val="auto"/>
      <w:sz w:val="28"/>
      <w:szCs w:val="28"/>
      <w:vertAlign w:val="superscript"/>
    </w:rPr>
  </w:style>
  <w:style w:type="paragraph" w:customStyle="1" w:styleId="A-studytitle2">
    <w:name w:val="A-study title 2"/>
    <w:basedOn w:val="A-StudyTitle"/>
    <w:rsid w:val="006C031E"/>
    <w:rPr>
      <w:b w:val="0"/>
      <w:sz w:val="24"/>
    </w:rPr>
  </w:style>
  <w:style w:type="paragraph" w:customStyle="1" w:styleId="A-studytitle3">
    <w:name w:val="A-study title 3"/>
    <w:basedOn w:val="A-StudyTitle"/>
    <w:rsid w:val="006C031E"/>
    <w:rPr>
      <w:caps/>
      <w:sz w:val="24"/>
    </w:rPr>
  </w:style>
  <w:style w:type="paragraph" w:customStyle="1" w:styleId="A-Heading5">
    <w:name w:val="A-Heading 5"/>
    <w:basedOn w:val="A-Heading4"/>
    <w:rsid w:val="006C031E"/>
    <w:rPr>
      <w:i w:val="0"/>
      <w:u w:val="single"/>
    </w:rPr>
  </w:style>
  <w:style w:type="character" w:customStyle="1" w:styleId="BMSSuperscript">
    <w:name w:val="BMS Superscript"/>
    <w:rsid w:val="006C031E"/>
    <w:rPr>
      <w:sz w:val="28"/>
      <w:vertAlign w:val="superscript"/>
    </w:rPr>
  </w:style>
  <w:style w:type="character" w:styleId="CommentReference">
    <w:name w:val="annotation reference"/>
    <w:basedOn w:val="DefaultParagraphFont"/>
    <w:uiPriority w:val="99"/>
    <w:rsid w:val="006C031E"/>
    <w:rPr>
      <w:rFonts w:ascii="Times New Roman" w:hAnsi="Times New Roman" w:cs="Times New Roman"/>
      <w:sz w:val="16"/>
      <w:szCs w:val="16"/>
    </w:rPr>
  </w:style>
  <w:style w:type="paragraph" w:styleId="CommentText">
    <w:name w:val="annotation text"/>
    <w:aliases w:val="Annotationtext"/>
    <w:basedOn w:val="Normal"/>
    <w:link w:val="CommentTextChar"/>
    <w:uiPriority w:val="99"/>
    <w:rsid w:val="006C031E"/>
    <w:rPr>
      <w:rFonts w:cs="Arial"/>
      <w:sz w:val="20"/>
    </w:rPr>
  </w:style>
  <w:style w:type="character" w:customStyle="1" w:styleId="BMSSubscript">
    <w:name w:val="BMS Subscript"/>
    <w:rsid w:val="006C031E"/>
    <w:rPr>
      <w:sz w:val="28"/>
      <w:vertAlign w:val="subscript"/>
    </w:rPr>
  </w:style>
  <w:style w:type="paragraph" w:styleId="BodyText">
    <w:name w:val="Body Text"/>
    <w:basedOn w:val="Normal"/>
    <w:semiHidden/>
    <w:rsid w:val="006C031E"/>
    <w:pPr>
      <w:pBdr>
        <w:top w:val="single" w:sz="4" w:space="1" w:color="auto"/>
        <w:left w:val="single" w:sz="4" w:space="4" w:color="auto"/>
        <w:bottom w:val="single" w:sz="4" w:space="1" w:color="auto"/>
        <w:right w:val="single" w:sz="4" w:space="4" w:color="auto"/>
      </w:pBdr>
    </w:pPr>
    <w:rPr>
      <w:rFonts w:cs="Arial"/>
      <w:b/>
    </w:rPr>
  </w:style>
  <w:style w:type="character" w:styleId="FootnoteReference">
    <w:name w:val="footnote reference"/>
    <w:basedOn w:val="DefaultParagraphFont"/>
    <w:semiHidden/>
    <w:rsid w:val="006C031E"/>
    <w:rPr>
      <w:vertAlign w:val="superscript"/>
    </w:rPr>
  </w:style>
  <w:style w:type="paragraph" w:customStyle="1" w:styleId="BMSTableNoteInfo">
    <w:name w:val="BMS Table Note Info"/>
    <w:basedOn w:val="Normal"/>
    <w:next w:val="Normal"/>
    <w:link w:val="BMSTableNoteInfoChar"/>
    <w:rsid w:val="006C031E"/>
    <w:pPr>
      <w:tabs>
        <w:tab w:val="left" w:pos="216"/>
      </w:tabs>
      <w:spacing w:before="40" w:after="0" w:line="240" w:lineRule="auto"/>
      <w:ind w:left="216" w:hanging="216"/>
      <w:jc w:val="both"/>
    </w:pPr>
    <w:rPr>
      <w:rFonts w:ascii="Times New Roman" w:hAnsi="Times New Roman"/>
      <w:color w:val="000000"/>
      <w:sz w:val="20"/>
      <w:lang w:val="en-US" w:eastAsia="ja-JP"/>
    </w:rPr>
  </w:style>
  <w:style w:type="paragraph" w:customStyle="1" w:styleId="BMSBodyText">
    <w:name w:val="BMS Body Text"/>
    <w:link w:val="BMSBodyTextChar"/>
    <w:qFormat/>
    <w:rsid w:val="006C031E"/>
    <w:pPr>
      <w:spacing w:before="120" w:after="120" w:line="300" w:lineRule="auto"/>
      <w:jc w:val="both"/>
    </w:pPr>
    <w:rPr>
      <w:color w:val="000000"/>
      <w:sz w:val="24"/>
      <w:lang w:val="en-US" w:eastAsia="ja-JP"/>
    </w:rPr>
  </w:style>
  <w:style w:type="paragraph" w:customStyle="1" w:styleId="BMSTableHeader">
    <w:name w:val="BMS Table Header"/>
    <w:basedOn w:val="BMSTableText"/>
    <w:link w:val="BMSTableHeaderChar"/>
    <w:rsid w:val="006C031E"/>
    <w:rPr>
      <w:b/>
    </w:rPr>
  </w:style>
  <w:style w:type="paragraph" w:customStyle="1" w:styleId="BMSTableText">
    <w:name w:val="BMS Table Text"/>
    <w:link w:val="BMSTableTextChar"/>
    <w:rsid w:val="006C031E"/>
    <w:pPr>
      <w:tabs>
        <w:tab w:val="left" w:pos="360"/>
      </w:tabs>
      <w:spacing w:before="60" w:after="60"/>
      <w:jc w:val="center"/>
    </w:pPr>
    <w:rPr>
      <w:lang w:val="en-US" w:eastAsia="ja-JP"/>
    </w:rPr>
  </w:style>
  <w:style w:type="paragraph" w:styleId="ListBullet2">
    <w:name w:val="List Bullet 2"/>
    <w:basedOn w:val="Normal"/>
    <w:autoRedefine/>
    <w:semiHidden/>
    <w:rsid w:val="006C031E"/>
    <w:pPr>
      <w:widowControl w:val="0"/>
      <w:tabs>
        <w:tab w:val="num" w:pos="992"/>
      </w:tabs>
      <w:spacing w:after="0" w:line="240" w:lineRule="auto"/>
      <w:ind w:left="992" w:hanging="992"/>
    </w:pPr>
    <w:rPr>
      <w:rFonts w:ascii="Times New Roman" w:hAnsi="Times New Roman"/>
      <w:snapToGrid w:val="0"/>
      <w:lang w:val="en-US"/>
    </w:rPr>
  </w:style>
  <w:style w:type="paragraph" w:styleId="BlockText">
    <w:name w:val="Block Text"/>
    <w:basedOn w:val="Normal"/>
    <w:rsid w:val="006C031E"/>
    <w:pPr>
      <w:spacing w:after="120" w:line="240" w:lineRule="auto"/>
      <w:ind w:left="1440" w:right="1440"/>
    </w:pPr>
    <w:rPr>
      <w:rFonts w:ascii="Times New Roman" w:hAnsi="Times New Roman"/>
      <w:sz w:val="20"/>
      <w:lang w:val="en-US" w:eastAsia="ja-JP"/>
    </w:rPr>
  </w:style>
  <w:style w:type="paragraph" w:styleId="BodyText3">
    <w:name w:val="Body Text 3"/>
    <w:basedOn w:val="Normal"/>
    <w:semiHidden/>
    <w:rsid w:val="006C031E"/>
    <w:pPr>
      <w:spacing w:after="120" w:line="240" w:lineRule="auto"/>
    </w:pPr>
    <w:rPr>
      <w:rFonts w:ascii="Times New Roman" w:hAnsi="Times New Roman"/>
      <w:sz w:val="16"/>
      <w:lang w:val="en-US" w:eastAsia="ja-JP"/>
    </w:rPr>
  </w:style>
  <w:style w:type="paragraph" w:styleId="CommentSubject">
    <w:name w:val="annotation subject"/>
    <w:basedOn w:val="CommentText"/>
    <w:next w:val="CommentText"/>
    <w:link w:val="CommentSubjectChar"/>
    <w:uiPriority w:val="99"/>
    <w:semiHidden/>
    <w:unhideWhenUsed/>
    <w:rsid w:val="00547CA8"/>
    <w:rPr>
      <w:rFonts w:cs="Times New Roman"/>
      <w:b/>
      <w:bCs/>
    </w:rPr>
  </w:style>
  <w:style w:type="character" w:customStyle="1" w:styleId="CommentTextChar">
    <w:name w:val="Comment Text Char"/>
    <w:aliases w:val="Annotationtext Char"/>
    <w:basedOn w:val="DefaultParagraphFont"/>
    <w:link w:val="CommentText"/>
    <w:uiPriority w:val="99"/>
    <w:rsid w:val="00547CA8"/>
    <w:rPr>
      <w:rFonts w:ascii="Arial" w:hAnsi="Arial" w:cs="Arial"/>
      <w:lang w:eastAsia="en-US"/>
    </w:rPr>
  </w:style>
  <w:style w:type="character" w:customStyle="1" w:styleId="CommentSubjectChar">
    <w:name w:val="Comment Subject Char"/>
    <w:basedOn w:val="CommentTextChar"/>
    <w:link w:val="CommentSubject"/>
    <w:rsid w:val="00547CA8"/>
    <w:rPr>
      <w:rFonts w:ascii="Arial" w:hAnsi="Arial" w:cs="Arial"/>
      <w:lang w:eastAsia="en-US"/>
    </w:rPr>
  </w:style>
  <w:style w:type="paragraph" w:styleId="BalloonText">
    <w:name w:val="Balloon Text"/>
    <w:basedOn w:val="Normal"/>
    <w:link w:val="BalloonTextChar"/>
    <w:uiPriority w:val="99"/>
    <w:semiHidden/>
    <w:unhideWhenUsed/>
    <w:rsid w:val="00547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CA8"/>
    <w:rPr>
      <w:rFonts w:ascii="Tahoma" w:hAnsi="Tahoma" w:cs="Tahoma"/>
      <w:sz w:val="16"/>
      <w:szCs w:val="16"/>
      <w:lang w:eastAsia="en-US"/>
    </w:rPr>
  </w:style>
  <w:style w:type="paragraph" w:styleId="Revision">
    <w:name w:val="Revision"/>
    <w:hidden/>
    <w:uiPriority w:val="99"/>
    <w:semiHidden/>
    <w:rsid w:val="00A3583E"/>
    <w:rPr>
      <w:rFonts w:ascii="Arial" w:hAnsi="Arial"/>
      <w:sz w:val="24"/>
      <w:lang w:eastAsia="en-US"/>
    </w:rPr>
  </w:style>
  <w:style w:type="paragraph" w:customStyle="1" w:styleId="BMSTableTitle">
    <w:name w:val="BMS Table Title"/>
    <w:next w:val="BMSBodyText"/>
    <w:link w:val="BMSTableTitleChar"/>
    <w:rsid w:val="008721F3"/>
    <w:pPr>
      <w:keepNext/>
      <w:keepLines/>
      <w:tabs>
        <w:tab w:val="left" w:pos="2160"/>
      </w:tabs>
      <w:spacing w:before="120" w:after="120"/>
      <w:ind w:left="2160" w:hanging="2160"/>
    </w:pPr>
    <w:rPr>
      <w:b/>
      <w:sz w:val="24"/>
    </w:rPr>
  </w:style>
  <w:style w:type="character" w:customStyle="1" w:styleId="BMSBodyTextChar">
    <w:name w:val="BMS Body Text Char"/>
    <w:link w:val="BMSBodyText"/>
    <w:rsid w:val="008721F3"/>
    <w:rPr>
      <w:color w:val="000000"/>
      <w:sz w:val="24"/>
      <w:lang w:val="en-US" w:eastAsia="ja-JP" w:bidi="ar-SA"/>
    </w:rPr>
  </w:style>
  <w:style w:type="character" w:customStyle="1" w:styleId="BMSTableTextChar">
    <w:name w:val="BMS Table Text Char"/>
    <w:link w:val="BMSTableText"/>
    <w:rsid w:val="008721F3"/>
    <w:rPr>
      <w:lang w:val="en-US" w:eastAsia="ja-JP" w:bidi="ar-SA"/>
    </w:rPr>
  </w:style>
  <w:style w:type="character" w:customStyle="1" w:styleId="BMSTableHeaderChar">
    <w:name w:val="BMS Table Header Char"/>
    <w:link w:val="BMSTableHeader"/>
    <w:rsid w:val="008721F3"/>
    <w:rPr>
      <w:b/>
      <w:lang w:val="en-US" w:eastAsia="ja-JP"/>
    </w:rPr>
  </w:style>
  <w:style w:type="character" w:customStyle="1" w:styleId="BMSTableTitleChar">
    <w:name w:val="BMS Table Title Char"/>
    <w:link w:val="BMSTableTitle"/>
    <w:rsid w:val="008721F3"/>
    <w:rPr>
      <w:b/>
      <w:sz w:val="24"/>
      <w:lang w:bidi="ar-SA"/>
    </w:rPr>
  </w:style>
  <w:style w:type="paragraph" w:customStyle="1" w:styleId="EMEABodyText">
    <w:name w:val="EMEA Body Text"/>
    <w:basedOn w:val="Normal"/>
    <w:link w:val="EMEABodyTextChar"/>
    <w:rsid w:val="00836D25"/>
    <w:pPr>
      <w:spacing w:before="120" w:after="120" w:line="240" w:lineRule="auto"/>
    </w:pPr>
    <w:rPr>
      <w:rFonts w:ascii="Times New Roman" w:hAnsi="Times New Roman"/>
      <w:lang w:val="en-GB"/>
    </w:rPr>
  </w:style>
  <w:style w:type="character" w:customStyle="1" w:styleId="EMEABodyTextChar">
    <w:name w:val="EMEA Body Text Char"/>
    <w:basedOn w:val="DefaultParagraphFont"/>
    <w:link w:val="EMEABodyText"/>
    <w:rsid w:val="00836D25"/>
    <w:rPr>
      <w:sz w:val="24"/>
      <w:lang w:val="en-GB" w:eastAsia="en-US"/>
    </w:rPr>
  </w:style>
  <w:style w:type="paragraph" w:customStyle="1" w:styleId="TableList">
    <w:name w:val="Table List"/>
    <w:basedOn w:val="Normal"/>
    <w:uiPriority w:val="99"/>
    <w:rsid w:val="00F40637"/>
    <w:pPr>
      <w:numPr>
        <w:numId w:val="13"/>
      </w:numPr>
      <w:overflowPunct w:val="0"/>
      <w:autoSpaceDE w:val="0"/>
      <w:autoSpaceDN w:val="0"/>
      <w:adjustRightInd w:val="0"/>
      <w:spacing w:before="120" w:after="120" w:line="240" w:lineRule="auto"/>
      <w:textAlignment w:val="baseline"/>
    </w:pPr>
    <w:rPr>
      <w:rFonts w:ascii="Times New Roman" w:hAnsi="Times New Roman"/>
      <w:sz w:val="22"/>
      <w:lang w:val="en-US"/>
    </w:rPr>
  </w:style>
  <w:style w:type="paragraph" w:customStyle="1" w:styleId="BMSHeading1">
    <w:name w:val="BMS Heading 1"/>
    <w:next w:val="BMSBodyText"/>
    <w:rsid w:val="006E2326"/>
    <w:pPr>
      <w:keepNext/>
      <w:keepLines/>
      <w:numPr>
        <w:numId w:val="14"/>
      </w:numPr>
      <w:spacing w:before="120" w:after="120"/>
      <w:outlineLvl w:val="0"/>
    </w:pPr>
    <w:rPr>
      <w:rFonts w:ascii="Arial" w:hAnsi="Arial"/>
      <w:b/>
      <w:caps/>
      <w:color w:val="000000"/>
      <w:sz w:val="24"/>
      <w:lang w:val="en-US" w:eastAsia="en-US"/>
    </w:rPr>
  </w:style>
  <w:style w:type="paragraph" w:customStyle="1" w:styleId="BMSHeading2">
    <w:name w:val="BMS Heading 2"/>
    <w:next w:val="BMSBodyText"/>
    <w:qFormat/>
    <w:rsid w:val="006E2326"/>
    <w:pPr>
      <w:keepNext/>
      <w:keepLines/>
      <w:numPr>
        <w:ilvl w:val="1"/>
        <w:numId w:val="14"/>
      </w:numPr>
      <w:spacing w:before="120" w:after="120"/>
      <w:outlineLvl w:val="1"/>
    </w:pPr>
    <w:rPr>
      <w:rFonts w:ascii="Arial" w:hAnsi="Arial"/>
      <w:b/>
      <w:color w:val="000000"/>
      <w:sz w:val="24"/>
      <w:lang w:val="en-US" w:eastAsia="en-US"/>
    </w:rPr>
  </w:style>
  <w:style w:type="paragraph" w:customStyle="1" w:styleId="BMSHeading3">
    <w:name w:val="BMS Heading 3"/>
    <w:next w:val="BMSBodyText"/>
    <w:link w:val="BMSHeading3Char"/>
    <w:rsid w:val="006E2326"/>
    <w:pPr>
      <w:keepNext/>
      <w:keepLines/>
      <w:numPr>
        <w:ilvl w:val="2"/>
        <w:numId w:val="14"/>
      </w:numPr>
      <w:spacing w:before="120" w:after="120"/>
      <w:outlineLvl w:val="2"/>
    </w:pPr>
    <w:rPr>
      <w:rFonts w:ascii="Arial" w:hAnsi="Arial"/>
      <w:b/>
      <w:i/>
      <w:color w:val="000000"/>
      <w:sz w:val="24"/>
      <w:lang w:val="en-US" w:eastAsia="en-US"/>
    </w:rPr>
  </w:style>
  <w:style w:type="paragraph" w:customStyle="1" w:styleId="BMSHeading4">
    <w:name w:val="BMS Heading 4"/>
    <w:next w:val="BMSBodyText"/>
    <w:rsid w:val="006E2326"/>
    <w:pPr>
      <w:keepNext/>
      <w:keepLines/>
      <w:numPr>
        <w:ilvl w:val="3"/>
        <w:numId w:val="14"/>
      </w:numPr>
      <w:spacing w:before="120" w:after="120"/>
      <w:outlineLvl w:val="3"/>
    </w:pPr>
    <w:rPr>
      <w:rFonts w:ascii="Arial" w:hAnsi="Arial"/>
      <w:b/>
      <w:i/>
      <w:color w:val="000000"/>
      <w:sz w:val="24"/>
      <w:lang w:val="en-US" w:eastAsia="en-US"/>
    </w:rPr>
  </w:style>
  <w:style w:type="character" w:customStyle="1" w:styleId="BMSHeading3Char">
    <w:name w:val="BMS Heading 3 Char"/>
    <w:basedOn w:val="DefaultParagraphFont"/>
    <w:link w:val="BMSHeading3"/>
    <w:rsid w:val="00AF64B8"/>
    <w:rPr>
      <w:rFonts w:ascii="Arial" w:hAnsi="Arial"/>
      <w:b/>
      <w:i/>
      <w:color w:val="000000"/>
      <w:sz w:val="24"/>
      <w:lang w:val="en-US" w:eastAsia="en-US" w:bidi="ar-SA"/>
    </w:rPr>
  </w:style>
  <w:style w:type="character" w:customStyle="1" w:styleId="BMSInstructionText">
    <w:name w:val="BMS Instruction Text"/>
    <w:rsid w:val="00AF64B8"/>
    <w:rPr>
      <w:rFonts w:ascii="Times New Roman" w:hAnsi="Times New Roman"/>
      <w:i/>
      <w:dstrike w:val="0"/>
      <w:vanish/>
      <w:color w:val="FF0000"/>
      <w:sz w:val="24"/>
      <w:u w:val="none"/>
      <w:vertAlign w:val="baseline"/>
    </w:rPr>
  </w:style>
  <w:style w:type="character" w:customStyle="1" w:styleId="BMSTableNoteInfoChar">
    <w:name w:val="BMS Table Note Info Char"/>
    <w:basedOn w:val="DefaultParagraphFont"/>
    <w:link w:val="BMSTableNoteInfo"/>
    <w:locked/>
    <w:rsid w:val="000B4998"/>
    <w:rPr>
      <w:color w:val="000000"/>
      <w:lang w:val="en-US" w:eastAsia="ja-JP"/>
    </w:rPr>
  </w:style>
  <w:style w:type="paragraph" w:customStyle="1" w:styleId="Default">
    <w:name w:val="Default"/>
    <w:rsid w:val="00E37810"/>
    <w:pPr>
      <w:autoSpaceDE w:val="0"/>
      <w:autoSpaceDN w:val="0"/>
      <w:adjustRightInd w:val="0"/>
    </w:pPr>
    <w:rPr>
      <w:color w:val="000000"/>
      <w:sz w:val="24"/>
      <w:szCs w:val="24"/>
    </w:rPr>
  </w:style>
  <w:style w:type="character" w:styleId="EndnoteReference">
    <w:name w:val="endnote reference"/>
    <w:rsid w:val="00C93B80"/>
    <w:rPr>
      <w:sz w:val="28"/>
      <w:vertAlign w:val="superscript"/>
    </w:rPr>
  </w:style>
  <w:style w:type="paragraph" w:styleId="EndnoteText">
    <w:name w:val="endnote text"/>
    <w:basedOn w:val="BMSBodyText"/>
    <w:link w:val="EndnoteTextChar"/>
    <w:rsid w:val="00BE24AB"/>
    <w:pPr>
      <w:tabs>
        <w:tab w:val="left" w:pos="360"/>
      </w:tabs>
      <w:spacing w:before="0" w:line="240" w:lineRule="auto"/>
      <w:ind w:left="360" w:hanging="360"/>
    </w:pPr>
  </w:style>
  <w:style w:type="character" w:customStyle="1" w:styleId="EndnoteTextChar">
    <w:name w:val="Endnote Text Char"/>
    <w:basedOn w:val="DefaultParagraphFont"/>
    <w:link w:val="EndnoteText"/>
    <w:rsid w:val="00BE24AB"/>
    <w:rPr>
      <w:color w:val="000000"/>
      <w:sz w:val="24"/>
    </w:rPr>
  </w:style>
  <w:style w:type="character" w:customStyle="1" w:styleId="bumpedfont15">
    <w:name w:val="bumpedfont15"/>
    <w:basedOn w:val="DefaultParagraphFont"/>
    <w:rsid w:val="00847979"/>
  </w:style>
  <w:style w:type="paragraph" w:customStyle="1" w:styleId="EMEATableLeft">
    <w:name w:val="EMEA Table Left"/>
    <w:basedOn w:val="EMEABodyText"/>
    <w:rsid w:val="007561A5"/>
    <w:pPr>
      <w:keepNext/>
      <w:keepLines/>
    </w:pPr>
  </w:style>
  <w:style w:type="character" w:customStyle="1" w:styleId="EMEASuperscript">
    <w:name w:val="EMEA Superscript"/>
    <w:rsid w:val="007561A5"/>
    <w:rPr>
      <w:sz w:val="22"/>
      <w:vertAlign w:val="superscript"/>
    </w:rPr>
  </w:style>
  <w:style w:type="table" w:styleId="TableGrid">
    <w:name w:val="Table Grid"/>
    <w:basedOn w:val="TableNormal"/>
    <w:uiPriority w:val="59"/>
    <w:rsid w:val="007561A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Heading2">
    <w:name w:val="EMEA Heading 2"/>
    <w:basedOn w:val="EMEABodyText"/>
    <w:next w:val="EMEABodyText"/>
    <w:rsid w:val="00C85319"/>
    <w:pPr>
      <w:keepNext/>
      <w:keepLines/>
      <w:ind w:left="567" w:hanging="567"/>
      <w:outlineLvl w:val="1"/>
    </w:pPr>
    <w:rPr>
      <w:b/>
    </w:rPr>
  </w:style>
  <w:style w:type="paragraph" w:customStyle="1" w:styleId="EMEABodyTextIndent">
    <w:name w:val="EMEA Body Text Indent"/>
    <w:basedOn w:val="EMEABodyText"/>
    <w:next w:val="EMEABodyText"/>
    <w:rsid w:val="00C85319"/>
    <w:pPr>
      <w:numPr>
        <w:numId w:val="29"/>
      </w:numPr>
    </w:pPr>
  </w:style>
  <w:style w:type="paragraph" w:customStyle="1" w:styleId="EMEAComment">
    <w:name w:val="EMEA Comment"/>
    <w:basedOn w:val="EMEABodyText"/>
    <w:rsid w:val="00C649EB"/>
    <w:pPr>
      <w:suppressLineNumbers/>
    </w:pPr>
    <w:rPr>
      <w:i/>
      <w:sz w:val="20"/>
    </w:rPr>
  </w:style>
  <w:style w:type="paragraph" w:customStyle="1" w:styleId="EMEATableHeader">
    <w:name w:val="EMEA Table Header"/>
    <w:basedOn w:val="Normal"/>
    <w:rsid w:val="00C649EB"/>
    <w:pPr>
      <w:keepNext/>
      <w:keepLines/>
      <w:spacing w:after="0" w:line="240" w:lineRule="auto"/>
      <w:jc w:val="center"/>
    </w:pPr>
    <w:rPr>
      <w:rFonts w:ascii="Times New Roman" w:hAnsi="Times New Roman"/>
      <w:b/>
      <w:sz w:val="22"/>
      <w:lang w:val="en-GB"/>
    </w:rPr>
  </w:style>
  <w:style w:type="paragraph" w:styleId="Index3">
    <w:name w:val="index 3"/>
    <w:basedOn w:val="Normal"/>
    <w:next w:val="Normal"/>
    <w:autoRedefine/>
    <w:semiHidden/>
    <w:rsid w:val="00360B42"/>
    <w:pPr>
      <w:spacing w:after="0" w:line="240" w:lineRule="auto"/>
      <w:ind w:left="600" w:hanging="200"/>
    </w:pPr>
    <w:rPr>
      <w:rFonts w:ascii="Times New Roman" w:eastAsia="MS Mincho" w:hAnsi="Times New Roman"/>
      <w:szCs w:val="24"/>
      <w:lang w:val="en-US" w:eastAsia="ja-JP"/>
    </w:rPr>
  </w:style>
  <w:style w:type="paragraph" w:customStyle="1" w:styleId="BMSBullets">
    <w:name w:val="BMS Bullets"/>
    <w:basedOn w:val="BMSBodyText"/>
    <w:link w:val="BMSBulletsChar"/>
    <w:rsid w:val="00CC5FFA"/>
    <w:pPr>
      <w:numPr>
        <w:numId w:val="30"/>
      </w:numPr>
      <w:spacing w:before="0" w:after="60" w:line="240" w:lineRule="auto"/>
    </w:pPr>
    <w:rPr>
      <w:lang w:eastAsia="en-US"/>
    </w:rPr>
  </w:style>
  <w:style w:type="character" w:customStyle="1" w:styleId="BMSBulletsChar">
    <w:name w:val="BMS Bullets Char"/>
    <w:basedOn w:val="DefaultParagraphFont"/>
    <w:link w:val="BMSBullets"/>
    <w:rsid w:val="00CC5FFA"/>
    <w:rPr>
      <w:color w:val="000000"/>
      <w:sz w:val="24"/>
      <w:lang w:val="en-US" w:eastAsia="en-US"/>
    </w:rPr>
  </w:style>
  <w:style w:type="paragraph" w:customStyle="1" w:styleId="BMSHeader">
    <w:name w:val="BMS Header"/>
    <w:next w:val="BMSBodyText"/>
    <w:rsid w:val="00D012A5"/>
    <w:pPr>
      <w:pBdr>
        <w:bottom w:val="single" w:sz="4" w:space="1" w:color="auto"/>
      </w:pBdr>
      <w:tabs>
        <w:tab w:val="right" w:pos="9360"/>
        <w:tab w:val="right" w:pos="12960"/>
      </w:tabs>
      <w:spacing w:after="120"/>
    </w:pPr>
    <w:rPr>
      <w:lang w:val="en-US" w:eastAsia="en-US"/>
    </w:rPr>
  </w:style>
  <w:style w:type="paragraph" w:customStyle="1" w:styleId="BMSHeadingAppendix">
    <w:name w:val="BMS Heading Appendix"/>
    <w:rsid w:val="00D012A5"/>
    <w:pPr>
      <w:keepNext/>
      <w:keepLines/>
      <w:numPr>
        <w:numId w:val="35"/>
      </w:numPr>
      <w:tabs>
        <w:tab w:val="clear" w:pos="1800"/>
        <w:tab w:val="left" w:pos="2160"/>
      </w:tabs>
      <w:spacing w:before="120" w:after="120"/>
      <w:ind w:left="2160" w:hanging="2160"/>
      <w:outlineLvl w:val="0"/>
    </w:pPr>
    <w:rPr>
      <w:rFonts w:ascii="Arial" w:hAnsi="Arial"/>
      <w:b/>
      <w:caps/>
      <w:sz w:val="24"/>
      <w:lang w:val="en-US" w:eastAsia="en-US"/>
    </w:rPr>
  </w:style>
  <w:style w:type="character" w:customStyle="1" w:styleId="FooterChar">
    <w:name w:val="Footer Char"/>
    <w:basedOn w:val="DefaultParagraphFont"/>
    <w:link w:val="Footer"/>
    <w:uiPriority w:val="99"/>
    <w:rsid w:val="004B0B12"/>
    <w:rPr>
      <w:rFonts w:ascii="Arial" w:hAnsi="Arial"/>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77253">
      <w:bodyDiv w:val="1"/>
      <w:marLeft w:val="0"/>
      <w:marRight w:val="0"/>
      <w:marTop w:val="0"/>
      <w:marBottom w:val="0"/>
      <w:divBdr>
        <w:top w:val="none" w:sz="0" w:space="0" w:color="auto"/>
        <w:left w:val="none" w:sz="0" w:space="0" w:color="auto"/>
        <w:bottom w:val="none" w:sz="0" w:space="0" w:color="auto"/>
        <w:right w:val="none" w:sz="0" w:space="0" w:color="auto"/>
      </w:divBdr>
    </w:div>
    <w:div w:id="412169860">
      <w:bodyDiv w:val="1"/>
      <w:marLeft w:val="0"/>
      <w:marRight w:val="0"/>
      <w:marTop w:val="0"/>
      <w:marBottom w:val="0"/>
      <w:divBdr>
        <w:top w:val="none" w:sz="0" w:space="0" w:color="auto"/>
        <w:left w:val="none" w:sz="0" w:space="0" w:color="auto"/>
        <w:bottom w:val="none" w:sz="0" w:space="0" w:color="auto"/>
        <w:right w:val="none" w:sz="0" w:space="0" w:color="auto"/>
      </w:divBdr>
    </w:div>
    <w:div w:id="715735425">
      <w:bodyDiv w:val="1"/>
      <w:marLeft w:val="0"/>
      <w:marRight w:val="0"/>
      <w:marTop w:val="0"/>
      <w:marBottom w:val="0"/>
      <w:divBdr>
        <w:top w:val="none" w:sz="0" w:space="0" w:color="auto"/>
        <w:left w:val="none" w:sz="0" w:space="0" w:color="auto"/>
        <w:bottom w:val="none" w:sz="0" w:space="0" w:color="auto"/>
        <w:right w:val="none" w:sz="0" w:space="0" w:color="auto"/>
      </w:divBdr>
    </w:div>
    <w:div w:id="956333344">
      <w:bodyDiv w:val="1"/>
      <w:marLeft w:val="0"/>
      <w:marRight w:val="0"/>
      <w:marTop w:val="0"/>
      <w:marBottom w:val="0"/>
      <w:divBdr>
        <w:top w:val="none" w:sz="0" w:space="0" w:color="auto"/>
        <w:left w:val="none" w:sz="0" w:space="0" w:color="auto"/>
        <w:bottom w:val="none" w:sz="0" w:space="0" w:color="auto"/>
        <w:right w:val="none" w:sz="0" w:space="0" w:color="auto"/>
      </w:divBdr>
    </w:div>
    <w:div w:id="1281497933">
      <w:bodyDiv w:val="1"/>
      <w:marLeft w:val="0"/>
      <w:marRight w:val="0"/>
      <w:marTop w:val="0"/>
      <w:marBottom w:val="0"/>
      <w:divBdr>
        <w:top w:val="none" w:sz="0" w:space="0" w:color="auto"/>
        <w:left w:val="none" w:sz="0" w:space="0" w:color="auto"/>
        <w:bottom w:val="none" w:sz="0" w:space="0" w:color="auto"/>
        <w:right w:val="none" w:sz="0" w:space="0" w:color="auto"/>
      </w:divBdr>
    </w:div>
    <w:div w:id="1887834816">
      <w:bodyDiv w:val="1"/>
      <w:marLeft w:val="0"/>
      <w:marRight w:val="0"/>
      <w:marTop w:val="0"/>
      <w:marBottom w:val="0"/>
      <w:divBdr>
        <w:top w:val="none" w:sz="0" w:space="0" w:color="auto"/>
        <w:left w:val="none" w:sz="0" w:space="0" w:color="auto"/>
        <w:bottom w:val="none" w:sz="0" w:space="0" w:color="auto"/>
        <w:right w:val="none" w:sz="0" w:space="0" w:color="auto"/>
      </w:divBdr>
    </w:div>
    <w:div w:id="1914848678">
      <w:bodyDiv w:val="1"/>
      <w:marLeft w:val="0"/>
      <w:marRight w:val="0"/>
      <w:marTop w:val="0"/>
      <w:marBottom w:val="0"/>
      <w:divBdr>
        <w:top w:val="none" w:sz="0" w:space="0" w:color="auto"/>
        <w:left w:val="none" w:sz="0" w:space="0" w:color="auto"/>
        <w:bottom w:val="none" w:sz="0" w:space="0" w:color="auto"/>
        <w:right w:val="none" w:sz="0" w:space="0" w:color="auto"/>
      </w:divBdr>
    </w:div>
    <w:div w:id="1989480371">
      <w:bodyDiv w:val="1"/>
      <w:marLeft w:val="0"/>
      <w:marRight w:val="0"/>
      <w:marTop w:val="0"/>
      <w:marBottom w:val="0"/>
      <w:divBdr>
        <w:top w:val="none" w:sz="0" w:space="0" w:color="auto"/>
        <w:left w:val="none" w:sz="0" w:space="0" w:color="auto"/>
        <w:bottom w:val="none" w:sz="0" w:space="0" w:color="auto"/>
        <w:right w:val="none" w:sz="0" w:space="0" w:color="auto"/>
      </w:divBdr>
    </w:div>
    <w:div w:id="2012641954">
      <w:bodyDiv w:val="1"/>
      <w:marLeft w:val="0"/>
      <w:marRight w:val="0"/>
      <w:marTop w:val="0"/>
      <w:marBottom w:val="0"/>
      <w:divBdr>
        <w:top w:val="none" w:sz="0" w:space="0" w:color="auto"/>
        <w:left w:val="none" w:sz="0" w:space="0" w:color="auto"/>
        <w:bottom w:val="none" w:sz="0" w:space="0" w:color="auto"/>
        <w:right w:val="none" w:sz="0" w:space="0" w:color="auto"/>
      </w:divBdr>
    </w:div>
    <w:div w:id="2021615481">
      <w:bodyDiv w:val="1"/>
      <w:marLeft w:val="0"/>
      <w:marRight w:val="0"/>
      <w:marTop w:val="0"/>
      <w:marBottom w:val="0"/>
      <w:divBdr>
        <w:top w:val="none" w:sz="0" w:space="0" w:color="auto"/>
        <w:left w:val="none" w:sz="0" w:space="0" w:color="auto"/>
        <w:bottom w:val="none" w:sz="0" w:space="0" w:color="auto"/>
        <w:right w:val="none" w:sz="0" w:space="0" w:color="auto"/>
      </w:divBdr>
    </w:div>
    <w:div w:id="2022932342">
      <w:bodyDiv w:val="1"/>
      <w:marLeft w:val="0"/>
      <w:marRight w:val="0"/>
      <w:marTop w:val="0"/>
      <w:marBottom w:val="0"/>
      <w:divBdr>
        <w:top w:val="none" w:sz="0" w:space="0" w:color="auto"/>
        <w:left w:val="none" w:sz="0" w:space="0" w:color="auto"/>
        <w:bottom w:val="none" w:sz="0" w:space="0" w:color="auto"/>
        <w:right w:val="none" w:sz="0" w:space="0" w:color="auto"/>
      </w:divBdr>
    </w:div>
    <w:div w:id="20300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680E56C3280947B8509C3AD6160FF1" ma:contentTypeVersion="0" ma:contentTypeDescription="Create a new document." ma:contentTypeScope="" ma:versionID="1722d38771870a4421944fae90447368">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3AD5C-79B7-468C-8A46-279651873CEE}">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893540E8-49E9-419E-AD9D-3705DD78210B}">
  <ds:schemaRefs>
    <ds:schemaRef ds:uri="http://schemas.microsoft.com/sharepoint/v3/contenttype/forms"/>
  </ds:schemaRefs>
</ds:datastoreItem>
</file>

<file path=customXml/itemProps3.xml><?xml version="1.0" encoding="utf-8"?>
<ds:datastoreItem xmlns:ds="http://schemas.openxmlformats.org/officeDocument/2006/customXml" ds:itemID="{02D010C1-267B-4904-BCA2-0B9025476661}">
  <ds:schemaRefs>
    <ds:schemaRef ds:uri="http://schemas.microsoft.com/office/2006/metadata/longProperties"/>
  </ds:schemaRefs>
</ds:datastoreItem>
</file>

<file path=customXml/itemProps4.xml><?xml version="1.0" encoding="utf-8"?>
<ds:datastoreItem xmlns:ds="http://schemas.openxmlformats.org/officeDocument/2006/customXml" ds:itemID="{99506552-1407-461F-9772-795206016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8CD92CC-7CEC-4844-806D-4DA94EC5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17</Pages>
  <Words>6191</Words>
  <Characters>35272</Characters>
  <Application>Microsoft Office Word</Application>
  <DocSecurity>0</DocSecurity>
  <Lines>903</Lines>
  <Paragraphs>493</Paragraphs>
  <ScaleCrop>false</ScaleCrop>
  <HeadingPairs>
    <vt:vector size="2" baseType="variant">
      <vt:variant>
        <vt:lpstr>Title</vt:lpstr>
      </vt:variant>
      <vt:variant>
        <vt:i4>1</vt:i4>
      </vt:variant>
    </vt:vector>
  </HeadingPairs>
  <TitlesOfParts>
    <vt:vector size="1" baseType="lpstr">
      <vt:lpstr>AusPAR Attachment 1: Product Information for EMPLICITI®</vt:lpstr>
    </vt:vector>
  </TitlesOfParts>
  <Company>AstraZeneca</Company>
  <LinksUpToDate>false</LinksUpToDate>
  <CharactersWithSpaces>41008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EMPLICITI®</dc:title>
  <dc:subject>Prescription medicines</dc:subject>
  <dc:creator>Therapeutic Goods Administration</dc:creator>
  <cp:keywords>AusPARs</cp:keywords>
  <dc:description/>
  <cp:lastModifiedBy>Therapeutic Goods Administration (TGA) </cp:lastModifiedBy>
  <cp:revision>22</cp:revision>
  <cp:lastPrinted>2016-03-18T05:57:00Z</cp:lastPrinted>
  <dcterms:created xsi:type="dcterms:W3CDTF">2016-09-07T06:50:00Z</dcterms:created>
  <dcterms:modified xsi:type="dcterms:W3CDTF">2017-10-31T03:58:00Z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Version">
    <vt:lpwstr>4.0</vt:lpwstr>
  </property>
  <property fmtid="{D5CDD505-2E9C-101B-9397-08002B2CF9AE}" pid="3" name="prpGSDName">
    <vt:lpwstr>GEL Core</vt:lpwstr>
  </property>
  <property fmtid="{D5CDD505-2E9C-101B-9397-08002B2CF9AE}" pid="4" name="prpGSDNo">
    <vt:lpwstr>AstraZeneca</vt:lpwstr>
  </property>
  <property fmtid="{D5CDD505-2E9C-101B-9397-08002B2CF9AE}" pid="5" name="ContentType">
    <vt:lpwstr>Document</vt:lpwstr>
  </property>
  <property fmtid="{D5CDD505-2E9C-101B-9397-08002B2CF9AE}" pid="6" name="_NewReviewCycle">
    <vt:lpwstr/>
  </property>
</Properties>
</file>