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94F75F" w14:textId="77777777" w:rsidR="00A512CD" w:rsidRPr="00626E47" w:rsidRDefault="00A512CD" w:rsidP="00A512CD">
      <w:pPr>
        <w:pStyle w:val="NoSpacing"/>
        <w:rPr>
          <w:b/>
          <w:sz w:val="28"/>
          <w:szCs w:val="28"/>
        </w:rPr>
      </w:pPr>
      <w:bookmarkStart w:id="0" w:name="_GoBack"/>
      <w:bookmarkEnd w:id="0"/>
      <w:r w:rsidRPr="00626E47">
        <w:rPr>
          <w:b/>
          <w:sz w:val="28"/>
          <w:szCs w:val="28"/>
        </w:rPr>
        <w:t>PRODUCT INFORMATION</w:t>
      </w:r>
    </w:p>
    <w:p w14:paraId="5D29E87C" w14:textId="77777777" w:rsidR="00A512CD" w:rsidRPr="00626E47" w:rsidRDefault="00A512CD" w:rsidP="00A512CD">
      <w:pPr>
        <w:pStyle w:val="NoSpacing"/>
      </w:pPr>
    </w:p>
    <w:p w14:paraId="2BC8C294" w14:textId="77777777" w:rsidR="00A512CD" w:rsidRPr="00626E47" w:rsidRDefault="00A512CD" w:rsidP="00A512CD">
      <w:pPr>
        <w:pStyle w:val="Heading1"/>
      </w:pPr>
      <w:r w:rsidRPr="00626E47">
        <w:t>NAME OF THE MEDICINE</w:t>
      </w:r>
    </w:p>
    <w:p w14:paraId="4FDD5FF6" w14:textId="77777777" w:rsidR="00A512CD" w:rsidRPr="00626E47" w:rsidRDefault="00A512CD" w:rsidP="00A512CD"/>
    <w:p w14:paraId="7AB7430B" w14:textId="77777777" w:rsidR="00A512CD" w:rsidRPr="00626E47" w:rsidRDefault="00A512CD" w:rsidP="00A512CD">
      <w:pPr>
        <w:pStyle w:val="NoSpacing"/>
      </w:pPr>
      <w:r w:rsidRPr="00626E47">
        <w:t>VIMIZIM</w:t>
      </w:r>
      <w:r w:rsidRPr="00626E47">
        <w:rPr>
          <w:rFonts w:ascii="Verdana" w:hAnsi="Verdana"/>
          <w:sz w:val="16"/>
          <w:szCs w:val="16"/>
          <w:shd w:val="clear" w:color="auto" w:fill="FFFFFF"/>
          <w:vertAlign w:val="superscript"/>
        </w:rPr>
        <w:t xml:space="preserve">® </w:t>
      </w:r>
      <w:proofErr w:type="spellStart"/>
      <w:r w:rsidRPr="00151E25">
        <w:t>elosulfase</w:t>
      </w:r>
      <w:proofErr w:type="spellEnd"/>
      <w:r w:rsidRPr="00151E25">
        <w:t xml:space="preserve"> </w:t>
      </w:r>
      <w:proofErr w:type="spellStart"/>
      <w:r w:rsidRPr="00151E25">
        <w:t>alfa</w:t>
      </w:r>
      <w:proofErr w:type="spellEnd"/>
      <w:r w:rsidRPr="00151E25">
        <w:t xml:space="preserve"> (</w:t>
      </w:r>
      <w:proofErr w:type="spellStart"/>
      <w:r w:rsidRPr="00151E25">
        <w:t>rch</w:t>
      </w:r>
      <w:proofErr w:type="spellEnd"/>
      <w:r w:rsidRPr="00151E25">
        <w:t>) 1</w:t>
      </w:r>
      <w:r w:rsidRPr="00626E47">
        <w:t xml:space="preserve"> mg/mL</w:t>
      </w:r>
    </w:p>
    <w:p w14:paraId="639405AA" w14:textId="77777777" w:rsidR="00A512CD" w:rsidRPr="00626E47" w:rsidRDefault="00A512CD" w:rsidP="00A512CD">
      <w:pPr>
        <w:pStyle w:val="NoSpacing"/>
      </w:pPr>
      <w:r w:rsidRPr="00626E47">
        <w:t>Concentrate for solution for Infusion</w:t>
      </w:r>
    </w:p>
    <w:p w14:paraId="40AA3096" w14:textId="77777777" w:rsidR="00A512CD" w:rsidRPr="00626E47" w:rsidRDefault="00A512CD" w:rsidP="00A512CD">
      <w:pPr>
        <w:pStyle w:val="NoSpacing"/>
      </w:pPr>
    </w:p>
    <w:p w14:paraId="5C16BE8F" w14:textId="77777777" w:rsidR="00A512CD" w:rsidRPr="004771A3" w:rsidRDefault="00A512CD" w:rsidP="00A512CD">
      <w:pPr>
        <w:pStyle w:val="Caption"/>
        <w:spacing w:before="0" w:after="0" w:line="240" w:lineRule="auto"/>
        <w:jc w:val="left"/>
        <w:outlineLvl w:val="5"/>
        <w:rPr>
          <w:rFonts w:asciiTheme="minorHAnsi" w:eastAsiaTheme="minorHAnsi" w:hAnsiTheme="minorHAnsi" w:cstheme="minorBidi"/>
          <w:bCs w:val="0"/>
          <w:sz w:val="22"/>
          <w:szCs w:val="22"/>
          <w:lang w:val="en-AU"/>
        </w:rPr>
      </w:pPr>
      <w:bookmarkStart w:id="1" w:name="_Ref342899805"/>
      <w:r w:rsidRPr="00626E47">
        <w:rPr>
          <w:rFonts w:asciiTheme="minorHAnsi" w:eastAsiaTheme="minorHAnsi" w:hAnsiTheme="minorHAnsi" w:cstheme="minorBidi"/>
          <w:bCs w:val="0"/>
          <w:sz w:val="22"/>
          <w:szCs w:val="22"/>
          <w:lang w:val="en-AU"/>
        </w:rPr>
        <w:t>Figure </w:t>
      </w:r>
      <w:bookmarkEnd w:id="1"/>
      <w:r w:rsidRPr="00626E47">
        <w:rPr>
          <w:rFonts w:asciiTheme="minorHAnsi" w:eastAsiaTheme="minorHAnsi" w:hAnsiTheme="minorHAnsi" w:cstheme="minorBidi"/>
          <w:bCs w:val="0"/>
          <w:sz w:val="22"/>
          <w:szCs w:val="22"/>
          <w:lang w:val="en-AU"/>
        </w:rPr>
        <w:t>1:  Schematic Diagram of N-acetylgalactosamine-6</w:t>
      </w:r>
      <w:r w:rsidRPr="00626E47">
        <w:rPr>
          <w:rFonts w:asciiTheme="minorHAnsi" w:eastAsiaTheme="minorHAnsi" w:hAnsiTheme="minorHAnsi" w:cstheme="minorBidi"/>
          <w:bCs w:val="0"/>
          <w:sz w:val="22"/>
          <w:szCs w:val="22"/>
          <w:lang w:val="en-AU"/>
        </w:rPr>
        <w:noBreakHyphen/>
        <w:t>sulfatase Primary Sequence and Amino Acid Residues of Interest</w:t>
      </w:r>
    </w:p>
    <w:p w14:paraId="6F996C82" w14:textId="77777777" w:rsidR="00A512CD" w:rsidRDefault="00A512CD" w:rsidP="00A512CD">
      <w:pPr>
        <w:autoSpaceDE w:val="0"/>
        <w:autoSpaceDN w:val="0"/>
        <w:adjustRightInd w:val="0"/>
        <w:jc w:val="center"/>
      </w:pPr>
      <w:r>
        <w:rPr>
          <w:noProof/>
          <w:lang w:eastAsia="en-AU"/>
        </w:rPr>
        <w:drawing>
          <wp:inline distT="0" distB="0" distL="0" distR="0" wp14:anchorId="238A0C92" wp14:editId="021109EB">
            <wp:extent cx="4056239" cy="5756323"/>
            <wp:effectExtent l="19050" t="0" r="1411"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4053840" cy="5752918"/>
                    </a:xfrm>
                    <a:prstGeom prst="rect">
                      <a:avLst/>
                    </a:prstGeom>
                    <a:noFill/>
                    <a:ln w="9525">
                      <a:noFill/>
                      <a:miter lim="800000"/>
                      <a:headEnd/>
                      <a:tailEnd/>
                    </a:ln>
                  </pic:spPr>
                </pic:pic>
              </a:graphicData>
            </a:graphic>
          </wp:inline>
        </w:drawing>
      </w: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7"/>
        <w:gridCol w:w="5423"/>
      </w:tblGrid>
      <w:tr w:rsidR="00A512CD" w14:paraId="26A803C2" w14:textId="77777777" w:rsidTr="004771A3">
        <w:trPr>
          <w:trHeight w:val="47"/>
        </w:trPr>
        <w:tc>
          <w:tcPr>
            <w:tcW w:w="787" w:type="dxa"/>
          </w:tcPr>
          <w:p w14:paraId="6BE49B07" w14:textId="77777777" w:rsidR="00A512CD" w:rsidRDefault="00A512CD" w:rsidP="00502188">
            <w:pPr>
              <w:keepNext/>
              <w:autoSpaceDE w:val="0"/>
              <w:autoSpaceDN w:val="0"/>
              <w:adjustRightInd w:val="0"/>
              <w:rPr>
                <w:noProof/>
                <w:lang w:val="en-US"/>
              </w:rPr>
            </w:pPr>
            <w:r>
              <w:rPr>
                <w:noProof/>
                <w:lang w:eastAsia="en-AU"/>
              </w:rPr>
              <w:lastRenderedPageBreak/>
              <w:drawing>
                <wp:inline distT="0" distB="0" distL="0" distR="0" wp14:anchorId="62B63DC8" wp14:editId="046D1175">
                  <wp:extent cx="302895" cy="273685"/>
                  <wp:effectExtent l="19050" t="0" r="1905" b="0"/>
                  <wp:docPr id="1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srcRect/>
                          <a:stretch>
                            <a:fillRect/>
                          </a:stretch>
                        </pic:blipFill>
                        <pic:spPr bwMode="auto">
                          <a:xfrm>
                            <a:off x="0" y="0"/>
                            <a:ext cx="302895" cy="273685"/>
                          </a:xfrm>
                          <a:prstGeom prst="rect">
                            <a:avLst/>
                          </a:prstGeom>
                          <a:noFill/>
                          <a:ln w="9525">
                            <a:noFill/>
                            <a:miter lim="800000"/>
                            <a:headEnd/>
                            <a:tailEnd/>
                          </a:ln>
                        </pic:spPr>
                      </pic:pic>
                    </a:graphicData>
                  </a:graphic>
                </wp:inline>
              </w:drawing>
            </w:r>
          </w:p>
        </w:tc>
        <w:tc>
          <w:tcPr>
            <w:tcW w:w="5423" w:type="dxa"/>
          </w:tcPr>
          <w:p w14:paraId="3C1C59A6" w14:textId="77777777" w:rsidR="00A512CD" w:rsidRDefault="00A512CD" w:rsidP="00502188">
            <w:pPr>
              <w:keepNext/>
              <w:autoSpaceDE w:val="0"/>
              <w:autoSpaceDN w:val="0"/>
              <w:adjustRightInd w:val="0"/>
            </w:pPr>
            <w:r>
              <w:t xml:space="preserve">cysteine in </w:t>
            </w:r>
            <w:proofErr w:type="spellStart"/>
            <w:r>
              <w:t>disulfide</w:t>
            </w:r>
            <w:proofErr w:type="spellEnd"/>
            <w:r>
              <w:t xml:space="preserve"> bond</w:t>
            </w:r>
          </w:p>
        </w:tc>
      </w:tr>
      <w:tr w:rsidR="00A512CD" w14:paraId="2579D081" w14:textId="77777777" w:rsidTr="004771A3">
        <w:trPr>
          <w:trHeight w:val="293"/>
        </w:trPr>
        <w:tc>
          <w:tcPr>
            <w:tcW w:w="787" w:type="dxa"/>
          </w:tcPr>
          <w:p w14:paraId="16A4E3C6" w14:textId="77777777" w:rsidR="00A512CD" w:rsidRDefault="00A512CD" w:rsidP="00502188">
            <w:pPr>
              <w:keepNext/>
              <w:autoSpaceDE w:val="0"/>
              <w:autoSpaceDN w:val="0"/>
              <w:adjustRightInd w:val="0"/>
            </w:pPr>
            <w:r>
              <w:rPr>
                <w:noProof/>
                <w:lang w:eastAsia="en-AU"/>
              </w:rPr>
              <w:drawing>
                <wp:inline distT="0" distB="0" distL="0" distR="0" wp14:anchorId="674359EB" wp14:editId="1DDD70DA">
                  <wp:extent cx="314325" cy="273685"/>
                  <wp:effectExtent l="19050" t="0" r="9525" b="0"/>
                  <wp:docPr id="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a:stretch>
                            <a:fillRect/>
                          </a:stretch>
                        </pic:blipFill>
                        <pic:spPr bwMode="auto">
                          <a:xfrm>
                            <a:off x="0" y="0"/>
                            <a:ext cx="314325" cy="273685"/>
                          </a:xfrm>
                          <a:prstGeom prst="rect">
                            <a:avLst/>
                          </a:prstGeom>
                          <a:noFill/>
                          <a:ln w="9525">
                            <a:noFill/>
                            <a:miter lim="800000"/>
                            <a:headEnd/>
                            <a:tailEnd/>
                          </a:ln>
                        </pic:spPr>
                      </pic:pic>
                    </a:graphicData>
                  </a:graphic>
                </wp:inline>
              </w:drawing>
            </w:r>
          </w:p>
        </w:tc>
        <w:tc>
          <w:tcPr>
            <w:tcW w:w="5423" w:type="dxa"/>
          </w:tcPr>
          <w:p w14:paraId="4EC2E28B" w14:textId="77777777" w:rsidR="00A512CD" w:rsidRDefault="00A512CD" w:rsidP="00502188">
            <w:pPr>
              <w:keepNext/>
              <w:autoSpaceDE w:val="0"/>
              <w:autoSpaceDN w:val="0"/>
              <w:adjustRightInd w:val="0"/>
            </w:pPr>
            <w:r>
              <w:t>free cysteine</w:t>
            </w:r>
          </w:p>
        </w:tc>
      </w:tr>
      <w:tr w:rsidR="00A512CD" w14:paraId="44717B62" w14:textId="77777777" w:rsidTr="004771A3">
        <w:tc>
          <w:tcPr>
            <w:tcW w:w="787" w:type="dxa"/>
          </w:tcPr>
          <w:p w14:paraId="4D40AED1" w14:textId="77777777" w:rsidR="00A512CD" w:rsidRDefault="00A512CD" w:rsidP="00502188">
            <w:pPr>
              <w:keepNext/>
              <w:autoSpaceDE w:val="0"/>
              <w:autoSpaceDN w:val="0"/>
              <w:adjustRightInd w:val="0"/>
              <w:rPr>
                <w:noProof/>
                <w:lang w:val="en-US"/>
              </w:rPr>
            </w:pPr>
            <w:r>
              <w:rPr>
                <w:noProof/>
                <w:lang w:eastAsia="en-AU"/>
              </w:rPr>
              <w:drawing>
                <wp:inline distT="0" distB="0" distL="0" distR="0" wp14:anchorId="533F24ED" wp14:editId="387867BF">
                  <wp:extent cx="314325" cy="302895"/>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srcRect/>
                          <a:stretch>
                            <a:fillRect/>
                          </a:stretch>
                        </pic:blipFill>
                        <pic:spPr bwMode="auto">
                          <a:xfrm>
                            <a:off x="0" y="0"/>
                            <a:ext cx="314325" cy="302895"/>
                          </a:xfrm>
                          <a:prstGeom prst="rect">
                            <a:avLst/>
                          </a:prstGeom>
                          <a:noFill/>
                          <a:ln w="9525">
                            <a:noFill/>
                            <a:miter lim="800000"/>
                            <a:headEnd/>
                            <a:tailEnd/>
                          </a:ln>
                        </pic:spPr>
                      </pic:pic>
                    </a:graphicData>
                  </a:graphic>
                </wp:inline>
              </w:drawing>
            </w:r>
          </w:p>
        </w:tc>
        <w:tc>
          <w:tcPr>
            <w:tcW w:w="5423" w:type="dxa"/>
          </w:tcPr>
          <w:p w14:paraId="457F6C7B" w14:textId="77777777" w:rsidR="00A512CD" w:rsidRDefault="00A512CD" w:rsidP="00502188">
            <w:pPr>
              <w:keepNext/>
              <w:autoSpaceDE w:val="0"/>
              <w:autoSpaceDN w:val="0"/>
              <w:adjustRightInd w:val="0"/>
            </w:pPr>
            <w:proofErr w:type="spellStart"/>
            <w:r>
              <w:t>formylglycine</w:t>
            </w:r>
            <w:proofErr w:type="spellEnd"/>
          </w:p>
        </w:tc>
      </w:tr>
      <w:tr w:rsidR="00A512CD" w14:paraId="4C01497B" w14:textId="77777777" w:rsidTr="004771A3">
        <w:tc>
          <w:tcPr>
            <w:tcW w:w="787" w:type="dxa"/>
          </w:tcPr>
          <w:p w14:paraId="50972A21" w14:textId="77777777" w:rsidR="00A512CD" w:rsidRDefault="00A512CD" w:rsidP="00502188">
            <w:pPr>
              <w:keepNext/>
              <w:autoSpaceDE w:val="0"/>
              <w:autoSpaceDN w:val="0"/>
              <w:adjustRightInd w:val="0"/>
              <w:rPr>
                <w:noProof/>
                <w:lang w:val="en-US"/>
              </w:rPr>
            </w:pPr>
            <w:r>
              <w:rPr>
                <w:noProof/>
                <w:lang w:eastAsia="en-AU"/>
              </w:rPr>
              <w:drawing>
                <wp:inline distT="0" distB="0" distL="0" distR="0" wp14:anchorId="7E30E772" wp14:editId="352BF12F">
                  <wp:extent cx="343535" cy="256540"/>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343535" cy="256540"/>
                          </a:xfrm>
                          <a:prstGeom prst="rect">
                            <a:avLst/>
                          </a:prstGeom>
                          <a:noFill/>
                          <a:ln w="9525">
                            <a:noFill/>
                            <a:miter lim="800000"/>
                            <a:headEnd/>
                            <a:tailEnd/>
                          </a:ln>
                        </pic:spPr>
                      </pic:pic>
                    </a:graphicData>
                  </a:graphic>
                </wp:inline>
              </w:drawing>
            </w:r>
          </w:p>
        </w:tc>
        <w:tc>
          <w:tcPr>
            <w:tcW w:w="5423" w:type="dxa"/>
          </w:tcPr>
          <w:p w14:paraId="5238116C" w14:textId="77777777" w:rsidR="00A512CD" w:rsidRDefault="00A512CD" w:rsidP="00502188">
            <w:pPr>
              <w:keepNext/>
              <w:autoSpaceDE w:val="0"/>
              <w:autoSpaceDN w:val="0"/>
              <w:adjustRightInd w:val="0"/>
            </w:pPr>
            <w:r>
              <w:t>N-glycosylation site</w:t>
            </w:r>
          </w:p>
        </w:tc>
      </w:tr>
    </w:tbl>
    <w:p w14:paraId="0082AFFE" w14:textId="77777777" w:rsidR="00502188" w:rsidRDefault="00502188" w:rsidP="00502188">
      <w:pPr>
        <w:autoSpaceDE w:val="0"/>
        <w:autoSpaceDN w:val="0"/>
        <w:adjustRightInd w:val="0"/>
        <w:spacing w:after="0" w:line="240" w:lineRule="auto"/>
      </w:pPr>
    </w:p>
    <w:p w14:paraId="686CC714" w14:textId="77777777" w:rsidR="00A512CD" w:rsidRPr="00626E47" w:rsidRDefault="00A512CD" w:rsidP="00502188">
      <w:pPr>
        <w:autoSpaceDE w:val="0"/>
        <w:autoSpaceDN w:val="0"/>
        <w:adjustRightInd w:val="0"/>
        <w:spacing w:after="0" w:line="240" w:lineRule="auto"/>
      </w:pPr>
      <w:r w:rsidRPr="00626E47">
        <w:t>CAS Registry Number: 9025-60-9</w:t>
      </w:r>
    </w:p>
    <w:p w14:paraId="301E2A7A" w14:textId="77777777" w:rsidR="00A512CD" w:rsidRDefault="00A512CD" w:rsidP="00502188">
      <w:pPr>
        <w:autoSpaceDE w:val="0"/>
        <w:autoSpaceDN w:val="0"/>
        <w:adjustRightInd w:val="0"/>
        <w:spacing w:after="0" w:line="240" w:lineRule="auto"/>
      </w:pPr>
    </w:p>
    <w:p w14:paraId="79F6E013" w14:textId="77777777" w:rsidR="00502188" w:rsidRPr="00626E47" w:rsidRDefault="00502188" w:rsidP="00502188">
      <w:pPr>
        <w:autoSpaceDE w:val="0"/>
        <w:autoSpaceDN w:val="0"/>
        <w:adjustRightInd w:val="0"/>
        <w:spacing w:after="0" w:line="240" w:lineRule="auto"/>
      </w:pPr>
    </w:p>
    <w:p w14:paraId="1050467E" w14:textId="77777777" w:rsidR="00A512CD" w:rsidRPr="00626E47" w:rsidRDefault="00A512CD" w:rsidP="00502188">
      <w:pPr>
        <w:pStyle w:val="Heading1"/>
        <w:adjustRightInd w:val="0"/>
      </w:pPr>
      <w:r w:rsidRPr="00626E47">
        <w:t>DESCRIPTION</w:t>
      </w:r>
    </w:p>
    <w:p w14:paraId="72ACFDC7" w14:textId="77777777" w:rsidR="00A512CD" w:rsidRPr="00626E47" w:rsidRDefault="00A512CD" w:rsidP="00502188">
      <w:pPr>
        <w:pStyle w:val="NoSpacing"/>
        <w:adjustRightInd w:val="0"/>
      </w:pPr>
    </w:p>
    <w:p w14:paraId="7190A95C" w14:textId="77777777" w:rsidR="00A512CD" w:rsidRPr="00626E47" w:rsidRDefault="00A512CD" w:rsidP="00502188">
      <w:pPr>
        <w:autoSpaceDE w:val="0"/>
        <w:autoSpaceDN w:val="0"/>
        <w:adjustRightInd w:val="0"/>
        <w:spacing w:after="0" w:line="240" w:lineRule="auto"/>
      </w:pPr>
      <w:proofErr w:type="spellStart"/>
      <w:r w:rsidRPr="00626E47">
        <w:t>Vimizim</w:t>
      </w:r>
      <w:proofErr w:type="spellEnd"/>
      <w:r w:rsidRPr="00626E47">
        <w:t xml:space="preserve"> is a formulation of </w:t>
      </w:r>
      <w:proofErr w:type="spellStart"/>
      <w:r w:rsidRPr="00626E47">
        <w:t>elosulfase</w:t>
      </w:r>
      <w:proofErr w:type="spellEnd"/>
      <w:r w:rsidRPr="00626E47">
        <w:t xml:space="preserve"> </w:t>
      </w:r>
      <w:proofErr w:type="spellStart"/>
      <w:r w:rsidRPr="00626E47">
        <w:t>alfa</w:t>
      </w:r>
      <w:proofErr w:type="spellEnd"/>
      <w:r w:rsidRPr="00626E47">
        <w:t xml:space="preserve">, which is a purified human enzyme produced by recombinant DNA technology in a Chinese hamster ovary cell line. Human N-acetylgalactosamine-6-sulfatase (EC 3.1.6.4) is a lysosomal enzyme that hydrolyses </w:t>
      </w:r>
      <w:proofErr w:type="spellStart"/>
      <w:r w:rsidRPr="00626E47">
        <w:t>sulfate</w:t>
      </w:r>
      <w:proofErr w:type="spellEnd"/>
      <w:r w:rsidRPr="00626E47">
        <w:t xml:space="preserve"> from either galactose-6-sulfate or N-acetyl-galactosamine-6-sulfate on the non-reducing ends of the </w:t>
      </w:r>
      <w:proofErr w:type="spellStart"/>
      <w:r w:rsidRPr="00626E47">
        <w:t>glycosaminoglycans</w:t>
      </w:r>
      <w:proofErr w:type="spellEnd"/>
      <w:r w:rsidRPr="00626E47">
        <w:t xml:space="preserve"> </w:t>
      </w:r>
      <w:proofErr w:type="spellStart"/>
      <w:r w:rsidRPr="00626E47">
        <w:t>keratan</w:t>
      </w:r>
      <w:proofErr w:type="spellEnd"/>
      <w:r w:rsidRPr="00626E47">
        <w:t xml:space="preserve"> </w:t>
      </w:r>
      <w:proofErr w:type="spellStart"/>
      <w:r w:rsidRPr="00626E47">
        <w:t>sulfate</w:t>
      </w:r>
      <w:proofErr w:type="spellEnd"/>
      <w:r w:rsidRPr="00626E47">
        <w:t xml:space="preserve"> (KS) and chondroitin </w:t>
      </w:r>
      <w:proofErr w:type="spellStart"/>
      <w:r w:rsidRPr="00626E47">
        <w:t>sulfate</w:t>
      </w:r>
      <w:proofErr w:type="spellEnd"/>
      <w:r w:rsidRPr="00626E47">
        <w:t>.</w:t>
      </w:r>
    </w:p>
    <w:p w14:paraId="55BE282E" w14:textId="77777777" w:rsidR="00A512CD" w:rsidRPr="00626E47" w:rsidRDefault="00A512CD" w:rsidP="00502188">
      <w:pPr>
        <w:pStyle w:val="NoSpacing"/>
        <w:adjustRightInd w:val="0"/>
      </w:pPr>
    </w:p>
    <w:p w14:paraId="7B184CFE" w14:textId="77777777" w:rsidR="00A512CD" w:rsidRPr="00626E47" w:rsidRDefault="00A512CD" w:rsidP="00502188">
      <w:pPr>
        <w:autoSpaceDE w:val="0"/>
        <w:autoSpaceDN w:val="0"/>
        <w:adjustRightInd w:val="0"/>
        <w:spacing w:after="0" w:line="240" w:lineRule="auto"/>
      </w:pPr>
      <w:proofErr w:type="spellStart"/>
      <w:r w:rsidRPr="00626E47">
        <w:t>Elosulfase</w:t>
      </w:r>
      <w:proofErr w:type="spellEnd"/>
      <w:r w:rsidRPr="00626E47">
        <w:t xml:space="preserve"> </w:t>
      </w:r>
      <w:proofErr w:type="spellStart"/>
      <w:r w:rsidRPr="00626E47">
        <w:t>alfa</w:t>
      </w:r>
      <w:proofErr w:type="spellEnd"/>
      <w:r w:rsidRPr="00626E47">
        <w:t xml:space="preserve"> is a soluble dimeric protein, and each monomer contains 496 amino acids with an approximate molecular mass of 55 </w:t>
      </w:r>
      <w:proofErr w:type="spellStart"/>
      <w:r w:rsidRPr="00626E47">
        <w:t>kDa</w:t>
      </w:r>
      <w:proofErr w:type="spellEnd"/>
      <w:r w:rsidRPr="00626E47">
        <w:t xml:space="preserve"> for the peptide chain. The oligosaccharides present at the two consensus N-linked glycosylation sites contain mannose-6-phosphate (M6P). M6P is recognised by a receptor at the cell surface and is crucial for efficient cellular uptake of the protein to the lysosome. </w:t>
      </w:r>
      <w:proofErr w:type="spellStart"/>
      <w:r w:rsidRPr="00626E47">
        <w:t>Elosulfase</w:t>
      </w:r>
      <w:proofErr w:type="spellEnd"/>
      <w:r w:rsidRPr="00626E47">
        <w:t xml:space="preserve"> </w:t>
      </w:r>
      <w:proofErr w:type="spellStart"/>
      <w:r w:rsidRPr="00626E47">
        <w:t>alfa</w:t>
      </w:r>
      <w:proofErr w:type="spellEnd"/>
      <w:r w:rsidRPr="00626E47">
        <w:t xml:space="preserve"> has a specific activity </w:t>
      </w:r>
      <w:proofErr w:type="gramStart"/>
      <w:r w:rsidRPr="00626E47">
        <w:t>of 2.5 to 6.0 units/mg</w:t>
      </w:r>
      <w:proofErr w:type="gramEnd"/>
      <w:r w:rsidRPr="00626E47">
        <w:t xml:space="preserve">. One activity unit is defined as the amount of the enzyme required to convert 1 micromole of </w:t>
      </w:r>
      <w:proofErr w:type="spellStart"/>
      <w:r w:rsidRPr="00626E47">
        <w:t>sulfated</w:t>
      </w:r>
      <w:proofErr w:type="spellEnd"/>
      <w:r w:rsidRPr="00626E47">
        <w:t xml:space="preserve"> monosaccharide substrate D-galactopyranoside-6-sulfate (Gal-6S) to de-</w:t>
      </w:r>
      <w:proofErr w:type="spellStart"/>
      <w:r w:rsidRPr="00626E47">
        <w:t>sulfated</w:t>
      </w:r>
      <w:proofErr w:type="spellEnd"/>
      <w:r w:rsidRPr="00626E47">
        <w:t xml:space="preserve">-galactose (Gal) and free </w:t>
      </w:r>
      <w:proofErr w:type="spellStart"/>
      <w:r w:rsidRPr="00626E47">
        <w:t>sulfate</w:t>
      </w:r>
      <w:proofErr w:type="spellEnd"/>
      <w:r w:rsidRPr="00626E47">
        <w:t xml:space="preserve"> per minute at 37°C.</w:t>
      </w:r>
    </w:p>
    <w:p w14:paraId="6E4E95C5" w14:textId="77777777" w:rsidR="00A512CD" w:rsidRPr="00626E47" w:rsidRDefault="00A512CD" w:rsidP="00502188">
      <w:pPr>
        <w:autoSpaceDE w:val="0"/>
        <w:autoSpaceDN w:val="0"/>
        <w:adjustRightInd w:val="0"/>
        <w:spacing w:after="0" w:line="240" w:lineRule="auto"/>
      </w:pPr>
    </w:p>
    <w:p w14:paraId="57D49D2D" w14:textId="77777777" w:rsidR="00A512CD" w:rsidRPr="00234AA8" w:rsidRDefault="00A512CD" w:rsidP="00502188">
      <w:pPr>
        <w:autoSpaceDE w:val="0"/>
        <w:autoSpaceDN w:val="0"/>
        <w:adjustRightInd w:val="0"/>
        <w:spacing w:after="0" w:line="240" w:lineRule="auto"/>
        <w:rPr>
          <w:bCs/>
        </w:rPr>
      </w:pPr>
      <w:proofErr w:type="spellStart"/>
      <w:r w:rsidRPr="00FA32E7">
        <w:t>Vimizim</w:t>
      </w:r>
      <w:proofErr w:type="spellEnd"/>
      <w:r w:rsidRPr="00FA32E7">
        <w:t xml:space="preserve"> is intended for intravenous infusion and is supplied as a sterile, </w:t>
      </w:r>
      <w:proofErr w:type="spellStart"/>
      <w:r w:rsidRPr="00FA32E7">
        <w:t>nonpyrogenic</w:t>
      </w:r>
      <w:proofErr w:type="spellEnd"/>
      <w:r w:rsidRPr="00FA32E7">
        <w:t xml:space="preserve">, preservative-free, colourless to pale yellow and clear to slightly opalescent solution that must be diluted with </w:t>
      </w:r>
      <w:r w:rsidRPr="00FA32E7">
        <w:rPr>
          <w:bCs/>
        </w:rPr>
        <w:t>sodium chloride 9 mg/mL (0.9%) solution for injection</w:t>
      </w:r>
      <w:r>
        <w:rPr>
          <w:bCs/>
        </w:rPr>
        <w:t xml:space="preserve"> </w:t>
      </w:r>
      <w:r w:rsidRPr="00FA32E7">
        <w:t xml:space="preserve">prior to administration. </w:t>
      </w:r>
    </w:p>
    <w:p w14:paraId="129EB5DF" w14:textId="77777777" w:rsidR="00A512CD" w:rsidRPr="00FA32E7" w:rsidRDefault="00A512CD" w:rsidP="00502188">
      <w:pPr>
        <w:autoSpaceDE w:val="0"/>
        <w:autoSpaceDN w:val="0"/>
        <w:adjustRightInd w:val="0"/>
        <w:spacing w:after="0" w:line="240" w:lineRule="auto"/>
      </w:pPr>
    </w:p>
    <w:p w14:paraId="6DB3DC6A" w14:textId="77777777" w:rsidR="00A512CD" w:rsidRPr="00FA32E7" w:rsidRDefault="00A512CD" w:rsidP="00502188">
      <w:pPr>
        <w:autoSpaceDE w:val="0"/>
        <w:autoSpaceDN w:val="0"/>
        <w:adjustRightInd w:val="0"/>
        <w:spacing w:after="0" w:line="240" w:lineRule="auto"/>
      </w:pPr>
      <w:proofErr w:type="spellStart"/>
      <w:r w:rsidRPr="00FA32E7">
        <w:t>Vimizim</w:t>
      </w:r>
      <w:proofErr w:type="spellEnd"/>
      <w:r w:rsidRPr="00FA32E7">
        <w:t xml:space="preserve"> is supplied in 5 mL vials providing 5 mg </w:t>
      </w:r>
      <w:proofErr w:type="spellStart"/>
      <w:r w:rsidRPr="00FA32E7">
        <w:t>elosulfase</w:t>
      </w:r>
      <w:proofErr w:type="spellEnd"/>
      <w:r w:rsidRPr="00FA32E7">
        <w:t xml:space="preserve"> </w:t>
      </w:r>
      <w:proofErr w:type="spellStart"/>
      <w:r w:rsidRPr="00FA32E7">
        <w:t>alfa</w:t>
      </w:r>
      <w:proofErr w:type="spellEnd"/>
      <w:r w:rsidRPr="00FA32E7">
        <w:t xml:space="preserve"> in a 5 mL extractable solution with a pH </w:t>
      </w:r>
      <w:proofErr w:type="gramStart"/>
      <w:r w:rsidRPr="00FA32E7">
        <w:t>between 5.0 to 5.8</w:t>
      </w:r>
      <w:proofErr w:type="gramEnd"/>
      <w:r w:rsidRPr="00FA32E7">
        <w:t xml:space="preserve">. Each vial also contains 13.6 mg sodium acetate </w:t>
      </w:r>
      <w:proofErr w:type="spellStart"/>
      <w:r w:rsidRPr="00FA32E7">
        <w:t>trihydrate</w:t>
      </w:r>
      <w:proofErr w:type="spellEnd"/>
      <w:r w:rsidRPr="00FA32E7">
        <w:t xml:space="preserve">, 34.5 mg sodium phosphate - monobasic monohydrate, 31.6 mg arginine hydrochloride, 100 mg sorbitol, 0.5 mg </w:t>
      </w:r>
      <w:proofErr w:type="spellStart"/>
      <w:r w:rsidRPr="00FA32E7">
        <w:t>polysorbate</w:t>
      </w:r>
      <w:proofErr w:type="spellEnd"/>
      <w:r w:rsidRPr="00FA32E7">
        <w:t xml:space="preserve"> 20 and 5 mL water for injections. </w:t>
      </w:r>
    </w:p>
    <w:p w14:paraId="281BB563" w14:textId="77777777" w:rsidR="00A512CD" w:rsidRDefault="00A512CD" w:rsidP="00502188">
      <w:pPr>
        <w:autoSpaceDE w:val="0"/>
        <w:autoSpaceDN w:val="0"/>
        <w:adjustRightInd w:val="0"/>
        <w:spacing w:after="0" w:line="240" w:lineRule="auto"/>
      </w:pPr>
    </w:p>
    <w:p w14:paraId="1F16D7A3" w14:textId="77777777" w:rsidR="00AA1A00" w:rsidRPr="00FA32E7" w:rsidRDefault="00AA1A00" w:rsidP="00502188">
      <w:pPr>
        <w:autoSpaceDE w:val="0"/>
        <w:autoSpaceDN w:val="0"/>
        <w:adjustRightInd w:val="0"/>
        <w:spacing w:after="0" w:line="240" w:lineRule="auto"/>
      </w:pPr>
    </w:p>
    <w:p w14:paraId="4A0A5993" w14:textId="77777777" w:rsidR="00A512CD" w:rsidRPr="00626E47" w:rsidRDefault="00A512CD" w:rsidP="00AA1A00">
      <w:pPr>
        <w:pStyle w:val="Heading1"/>
        <w:adjustRightInd w:val="0"/>
      </w:pPr>
      <w:r w:rsidRPr="00626E47">
        <w:t>PHARMACOLOGY</w:t>
      </w:r>
    </w:p>
    <w:p w14:paraId="0A1B489A" w14:textId="77777777" w:rsidR="00A512CD" w:rsidRPr="00626E47" w:rsidRDefault="00A512CD" w:rsidP="00AA1A00">
      <w:pPr>
        <w:pStyle w:val="NoSpacing"/>
        <w:adjustRightInd w:val="0"/>
      </w:pPr>
    </w:p>
    <w:p w14:paraId="53BCFA82" w14:textId="77777777" w:rsidR="00A512CD" w:rsidRPr="00626E47" w:rsidRDefault="00A512CD" w:rsidP="00AA1A00">
      <w:pPr>
        <w:pStyle w:val="Heading2"/>
        <w:adjustRightInd w:val="0"/>
      </w:pPr>
      <w:r w:rsidRPr="00626E47">
        <w:t>Mechanism of Action</w:t>
      </w:r>
    </w:p>
    <w:p w14:paraId="13E340C5" w14:textId="77777777" w:rsidR="00A512CD" w:rsidRPr="00626E47" w:rsidRDefault="00A512CD" w:rsidP="00AA1A00">
      <w:pPr>
        <w:pStyle w:val="NoSpacing"/>
        <w:adjustRightInd w:val="0"/>
      </w:pPr>
    </w:p>
    <w:p w14:paraId="10387C7E" w14:textId="77777777" w:rsidR="00A512CD" w:rsidRPr="00626E47" w:rsidRDefault="00A512CD" w:rsidP="00AA1A00">
      <w:pPr>
        <w:pStyle w:val="BodyText"/>
        <w:shd w:val="clear" w:color="auto" w:fill="FFFFFF"/>
        <w:adjustRightInd w:val="0"/>
        <w:spacing w:after="0" w:line="240" w:lineRule="auto"/>
        <w:rPr>
          <w:bCs/>
        </w:rPr>
      </w:pPr>
      <w:proofErr w:type="spellStart"/>
      <w:r w:rsidRPr="00626E47">
        <w:rPr>
          <w:bCs/>
          <w:highlight w:val="white"/>
        </w:rPr>
        <w:t>Mucopolysaccharidoses</w:t>
      </w:r>
      <w:proofErr w:type="spellEnd"/>
      <w:r w:rsidRPr="00626E47">
        <w:rPr>
          <w:bCs/>
          <w:highlight w:val="white"/>
        </w:rPr>
        <w:t xml:space="preserve"> </w:t>
      </w:r>
      <w:r>
        <w:rPr>
          <w:bCs/>
          <w:highlight w:val="white"/>
        </w:rPr>
        <w:t xml:space="preserve">(MPS) </w:t>
      </w:r>
      <w:r w:rsidRPr="00626E47">
        <w:rPr>
          <w:bCs/>
          <w:highlight w:val="white"/>
        </w:rPr>
        <w:t xml:space="preserve">comprise a group of lysosomal storage disorders caused by the deficiency of specific lysosomal enzymes required for the catabolism of </w:t>
      </w:r>
      <w:proofErr w:type="spellStart"/>
      <w:r w:rsidRPr="00626E47">
        <w:rPr>
          <w:bCs/>
          <w:highlight w:val="white"/>
        </w:rPr>
        <w:t>glycosaminoglycans</w:t>
      </w:r>
      <w:proofErr w:type="spellEnd"/>
      <w:r w:rsidRPr="00626E47">
        <w:rPr>
          <w:bCs/>
          <w:highlight w:val="white"/>
        </w:rPr>
        <w:t xml:space="preserve"> (GAG). MPS IVA is characterised by the absence or marked reduction in </w:t>
      </w:r>
      <w:r w:rsidRPr="00987F6C">
        <w:rPr>
          <w:bCs/>
          <w:highlight w:val="white"/>
        </w:rPr>
        <w:t>N</w:t>
      </w:r>
      <w:r w:rsidRPr="00B5039E">
        <w:rPr>
          <w:bCs/>
          <w:highlight w:val="white"/>
        </w:rPr>
        <w:t>-</w:t>
      </w:r>
      <w:r w:rsidRPr="00626E47">
        <w:rPr>
          <w:bCs/>
          <w:highlight w:val="white"/>
        </w:rPr>
        <w:t xml:space="preserve">acetylgalactosamine-6-sulfatase activity. The sulfatase activity deficiency results in the accumulation of the GAG substrates, KS and chondroitin 6 </w:t>
      </w:r>
      <w:proofErr w:type="spellStart"/>
      <w:r w:rsidRPr="00626E47">
        <w:rPr>
          <w:bCs/>
          <w:highlight w:val="white"/>
        </w:rPr>
        <w:t>sulfate</w:t>
      </w:r>
      <w:proofErr w:type="spellEnd"/>
      <w:r w:rsidRPr="00626E47">
        <w:rPr>
          <w:bCs/>
          <w:highlight w:val="white"/>
        </w:rPr>
        <w:t xml:space="preserve"> (C6S), in the lysosomal compartment of cells throughout the body. The accumulation leads to widespread cellular, tissue, and organ dysfunction. </w:t>
      </w:r>
      <w:proofErr w:type="spellStart"/>
      <w:r w:rsidRPr="00626E47">
        <w:rPr>
          <w:bCs/>
          <w:highlight w:val="white"/>
        </w:rPr>
        <w:t>Vimizim</w:t>
      </w:r>
      <w:proofErr w:type="spellEnd"/>
      <w:r w:rsidRPr="00626E47">
        <w:rPr>
          <w:bCs/>
          <w:highlight w:val="white"/>
        </w:rPr>
        <w:t xml:space="preserve"> is intended to provide the exogenous enzyme N-acetylgalactosamine-6-sulfatase that will be taken up into the lysosomes and increase the catabolism of the GAGs KS and C6S. </w:t>
      </w:r>
      <w:r>
        <w:rPr>
          <w:bCs/>
        </w:rPr>
        <w:t xml:space="preserve"> Cell uptake of </w:t>
      </w:r>
      <w:proofErr w:type="spellStart"/>
      <w:r>
        <w:rPr>
          <w:bCs/>
        </w:rPr>
        <w:t>Vimizim</w:t>
      </w:r>
      <w:proofErr w:type="spellEnd"/>
      <w:r w:rsidRPr="00CD4DED">
        <w:rPr>
          <w:bCs/>
        </w:rPr>
        <w:t xml:space="preserve"> into </w:t>
      </w:r>
      <w:r w:rsidRPr="00CD4DED">
        <w:rPr>
          <w:bCs/>
        </w:rPr>
        <w:lastRenderedPageBreak/>
        <w:t xml:space="preserve">lysosomes </w:t>
      </w:r>
      <w:r>
        <w:rPr>
          <w:bCs/>
        </w:rPr>
        <w:t xml:space="preserve">is </w:t>
      </w:r>
      <w:r w:rsidRPr="00CD4DED">
        <w:rPr>
          <w:bCs/>
        </w:rPr>
        <w:t xml:space="preserve">through </w:t>
      </w:r>
      <w:proofErr w:type="spellStart"/>
      <w:r w:rsidRPr="00CD4DED">
        <w:rPr>
          <w:bCs/>
        </w:rPr>
        <w:t>cation</w:t>
      </w:r>
      <w:proofErr w:type="spellEnd"/>
      <w:r w:rsidRPr="00CD4DED">
        <w:rPr>
          <w:bCs/>
        </w:rPr>
        <w:t xml:space="preserve"> independent mannose-6-phospha</w:t>
      </w:r>
      <w:r>
        <w:rPr>
          <w:bCs/>
        </w:rPr>
        <w:t>te receptors mediated internalis</w:t>
      </w:r>
      <w:r w:rsidRPr="00CD4DED">
        <w:rPr>
          <w:bCs/>
        </w:rPr>
        <w:t xml:space="preserve">ation leading to restored GALNS activity and clearance of KS. </w:t>
      </w:r>
      <w:r w:rsidRPr="00181B3C">
        <w:rPr>
          <w:bCs/>
        </w:rPr>
        <w:t xml:space="preserve"> </w:t>
      </w:r>
      <w:r w:rsidRPr="00FA32E7">
        <w:rPr>
          <w:bCs/>
        </w:rPr>
        <w:t xml:space="preserve">Extracellular KS was not affected by </w:t>
      </w:r>
      <w:proofErr w:type="spellStart"/>
      <w:r w:rsidRPr="00FA32E7">
        <w:rPr>
          <w:bCs/>
        </w:rPr>
        <w:t>Vimizim</w:t>
      </w:r>
      <w:proofErr w:type="spellEnd"/>
      <w:r w:rsidRPr="00FA32E7">
        <w:rPr>
          <w:bCs/>
        </w:rPr>
        <w:t xml:space="preserve"> treatment, verifying that </w:t>
      </w:r>
      <w:proofErr w:type="spellStart"/>
      <w:r w:rsidRPr="00FA32E7">
        <w:rPr>
          <w:bCs/>
        </w:rPr>
        <w:t>Vimizim</w:t>
      </w:r>
      <w:proofErr w:type="spellEnd"/>
      <w:r w:rsidRPr="00FA32E7">
        <w:rPr>
          <w:bCs/>
        </w:rPr>
        <w:t xml:space="preserve"> activity was restricted to the lysosome.</w:t>
      </w:r>
    </w:p>
    <w:p w14:paraId="1A64BC7C" w14:textId="77777777" w:rsidR="00A512CD" w:rsidRPr="00626E47" w:rsidRDefault="00A512CD" w:rsidP="00AA1A00">
      <w:pPr>
        <w:pStyle w:val="BodyText"/>
        <w:shd w:val="clear" w:color="auto" w:fill="FFFFFF"/>
        <w:adjustRightInd w:val="0"/>
        <w:spacing w:after="0" w:line="240" w:lineRule="auto"/>
        <w:rPr>
          <w:bCs/>
        </w:rPr>
      </w:pPr>
    </w:p>
    <w:p w14:paraId="259F9A25" w14:textId="77777777" w:rsidR="00A512CD" w:rsidRPr="00626E47" w:rsidRDefault="00A512CD" w:rsidP="00AA1A00">
      <w:pPr>
        <w:pStyle w:val="Heading2"/>
        <w:adjustRightInd w:val="0"/>
      </w:pPr>
      <w:r w:rsidRPr="00626E47">
        <w:t>Pharmacodynamics</w:t>
      </w:r>
    </w:p>
    <w:p w14:paraId="76E940A6" w14:textId="77777777" w:rsidR="00A512CD" w:rsidRPr="00626E47" w:rsidRDefault="00A512CD" w:rsidP="00AA1A00">
      <w:pPr>
        <w:pStyle w:val="NoSpacing"/>
        <w:adjustRightInd w:val="0"/>
      </w:pPr>
    </w:p>
    <w:p w14:paraId="6D621DE2" w14:textId="77777777" w:rsidR="00A512CD" w:rsidRPr="00626E47" w:rsidRDefault="00A512CD" w:rsidP="00AA1A00">
      <w:pPr>
        <w:pStyle w:val="BodyText"/>
        <w:shd w:val="clear" w:color="auto" w:fill="FFFFFF"/>
        <w:adjustRightInd w:val="0"/>
        <w:spacing w:after="0" w:line="240" w:lineRule="auto"/>
        <w:rPr>
          <w:bCs/>
        </w:rPr>
      </w:pPr>
      <w:r w:rsidRPr="00626E47">
        <w:rPr>
          <w:bCs/>
        </w:rPr>
        <w:t xml:space="preserve">The </w:t>
      </w:r>
      <w:proofErr w:type="spellStart"/>
      <w:r w:rsidRPr="00626E47">
        <w:rPr>
          <w:bCs/>
        </w:rPr>
        <w:t>pharmacodynamic</w:t>
      </w:r>
      <w:proofErr w:type="spellEnd"/>
      <w:r w:rsidRPr="00626E47">
        <w:rPr>
          <w:bCs/>
        </w:rPr>
        <w:t xml:space="preserve"> effect of </w:t>
      </w:r>
      <w:proofErr w:type="spellStart"/>
      <w:r w:rsidRPr="00626E47">
        <w:rPr>
          <w:bCs/>
        </w:rPr>
        <w:t>Vimizim</w:t>
      </w:r>
      <w:proofErr w:type="spellEnd"/>
      <w:r w:rsidRPr="00626E47">
        <w:rPr>
          <w:bCs/>
        </w:rPr>
        <w:t xml:space="preserve"> was assessed by reductions in urinary KS levels. The relationship of urinary KS to other measures of clinical response has not been established (see CLINICAL TRIALS). No association was observed between antibody development and urinary KS levels.</w:t>
      </w:r>
    </w:p>
    <w:p w14:paraId="6821516C" w14:textId="77777777" w:rsidR="00A512CD" w:rsidRPr="00626E47" w:rsidRDefault="00A512CD" w:rsidP="00AA1A00">
      <w:pPr>
        <w:pStyle w:val="BodyText"/>
        <w:shd w:val="clear" w:color="auto" w:fill="FFFFFF"/>
        <w:adjustRightInd w:val="0"/>
        <w:spacing w:after="0" w:line="240" w:lineRule="auto"/>
        <w:rPr>
          <w:bCs/>
        </w:rPr>
      </w:pPr>
    </w:p>
    <w:p w14:paraId="613D92D8" w14:textId="77777777" w:rsidR="00A512CD" w:rsidRPr="00626E47" w:rsidRDefault="00A512CD" w:rsidP="00AA1A00">
      <w:pPr>
        <w:pStyle w:val="Heading2"/>
        <w:adjustRightInd w:val="0"/>
      </w:pPr>
      <w:r w:rsidRPr="00626E47">
        <w:t>Pharmacokinetics</w:t>
      </w:r>
    </w:p>
    <w:p w14:paraId="123756EB" w14:textId="77777777" w:rsidR="00A512CD" w:rsidRPr="00626E47" w:rsidRDefault="00A512CD" w:rsidP="00AA1A00">
      <w:pPr>
        <w:pStyle w:val="NoSpacing"/>
        <w:adjustRightInd w:val="0"/>
      </w:pPr>
    </w:p>
    <w:p w14:paraId="700E1ECE" w14:textId="77777777" w:rsidR="00A512CD" w:rsidRPr="00626E47" w:rsidRDefault="00A512CD" w:rsidP="00AA1A00">
      <w:pPr>
        <w:pStyle w:val="Heading3"/>
        <w:adjustRightInd w:val="0"/>
        <w:rPr>
          <w:bCs/>
          <w:u w:val="none"/>
        </w:rPr>
      </w:pPr>
      <w:r w:rsidRPr="00626E47">
        <w:rPr>
          <w:bCs/>
          <w:u w:val="none"/>
        </w:rPr>
        <w:t xml:space="preserve">The pharmacokinetic parameters of </w:t>
      </w:r>
      <w:proofErr w:type="spellStart"/>
      <w:r w:rsidRPr="00626E47">
        <w:rPr>
          <w:bCs/>
          <w:u w:val="none"/>
        </w:rPr>
        <w:t>Vimizim</w:t>
      </w:r>
      <w:proofErr w:type="spellEnd"/>
      <w:r w:rsidRPr="00626E47">
        <w:rPr>
          <w:bCs/>
          <w:u w:val="none"/>
        </w:rPr>
        <w:t xml:space="preserve"> were evaluated in 23 patients with MPS IVA </w:t>
      </w:r>
      <w:r w:rsidRPr="00FA32E7">
        <w:rPr>
          <w:bCs/>
          <w:u w:val="none"/>
        </w:rPr>
        <w:t>ranging in age from 5 to 42 years,</w:t>
      </w:r>
      <w:r>
        <w:rPr>
          <w:bCs/>
          <w:u w:val="none"/>
        </w:rPr>
        <w:t xml:space="preserve"> </w:t>
      </w:r>
      <w:r w:rsidRPr="00626E47">
        <w:rPr>
          <w:bCs/>
          <w:u w:val="none"/>
        </w:rPr>
        <w:t xml:space="preserve">who received weekly intravenous infusions of 2 mg/kg of </w:t>
      </w:r>
      <w:proofErr w:type="spellStart"/>
      <w:r w:rsidRPr="00626E47">
        <w:rPr>
          <w:bCs/>
          <w:u w:val="none"/>
        </w:rPr>
        <w:t>Vimizim</w:t>
      </w:r>
      <w:proofErr w:type="spellEnd"/>
      <w:r w:rsidRPr="00626E47">
        <w:rPr>
          <w:bCs/>
          <w:u w:val="none"/>
        </w:rPr>
        <w:t xml:space="preserve"> over approximately 4 hours for 22 weeks and the parameters at Week 0 and Week 22 were compared</w:t>
      </w:r>
      <w:r>
        <w:rPr>
          <w:bCs/>
          <w:u w:val="none"/>
        </w:rPr>
        <w:t xml:space="preserve"> (see Table 1)</w:t>
      </w:r>
      <w:r w:rsidRPr="00626E47">
        <w:rPr>
          <w:bCs/>
          <w:u w:val="none"/>
        </w:rPr>
        <w:t>.</w:t>
      </w:r>
    </w:p>
    <w:p w14:paraId="68C0AFD5" w14:textId="77777777" w:rsidR="00A512CD" w:rsidRPr="00626E47" w:rsidRDefault="00A512CD" w:rsidP="00AA1A00">
      <w:pPr>
        <w:adjustRightInd w:val="0"/>
        <w:spacing w:after="0" w:line="240" w:lineRule="auto"/>
      </w:pPr>
    </w:p>
    <w:p w14:paraId="432666E7" w14:textId="77777777" w:rsidR="00A512CD" w:rsidRPr="00626E47" w:rsidRDefault="00A512CD" w:rsidP="00AA1A00">
      <w:pPr>
        <w:pStyle w:val="Heading3"/>
        <w:adjustRightInd w:val="0"/>
      </w:pPr>
      <w:r w:rsidRPr="00626E47">
        <w:t>Absorption/Distribution</w:t>
      </w:r>
    </w:p>
    <w:p w14:paraId="334694AB" w14:textId="77777777" w:rsidR="00A512CD" w:rsidRPr="00626E47" w:rsidRDefault="00A512CD" w:rsidP="00AA1A00">
      <w:pPr>
        <w:adjustRightInd w:val="0"/>
        <w:spacing w:after="0" w:line="240" w:lineRule="auto"/>
      </w:pPr>
    </w:p>
    <w:p w14:paraId="35C23B6A" w14:textId="77777777" w:rsidR="00A512CD" w:rsidRPr="00626E47" w:rsidRDefault="00A512CD" w:rsidP="00AA1A00">
      <w:pPr>
        <w:pStyle w:val="NoSpacing"/>
        <w:adjustRightInd w:val="0"/>
        <w:rPr>
          <w:bCs/>
        </w:rPr>
      </w:pPr>
      <w:r w:rsidRPr="00626E47">
        <w:rPr>
          <w:bCs/>
        </w:rPr>
        <w:t>Mean AUC</w:t>
      </w:r>
      <w:r w:rsidRPr="00626E47">
        <w:rPr>
          <w:bCs/>
          <w:vertAlign w:val="subscript"/>
        </w:rPr>
        <w:t>0</w:t>
      </w:r>
      <w:r w:rsidRPr="00626E47">
        <w:rPr>
          <w:vertAlign w:val="subscript"/>
        </w:rPr>
        <w:noBreakHyphen/>
      </w:r>
      <w:r w:rsidRPr="00626E47">
        <w:rPr>
          <w:bCs/>
          <w:vertAlign w:val="subscript"/>
        </w:rPr>
        <w:t>t</w:t>
      </w:r>
      <w:r w:rsidRPr="00626E47">
        <w:rPr>
          <w:bCs/>
        </w:rPr>
        <w:t xml:space="preserve"> and </w:t>
      </w:r>
      <w:proofErr w:type="spellStart"/>
      <w:r w:rsidRPr="00626E47">
        <w:rPr>
          <w:bCs/>
        </w:rPr>
        <w:t>C</w:t>
      </w:r>
      <w:r w:rsidRPr="00626E47">
        <w:rPr>
          <w:bCs/>
          <w:vertAlign w:val="subscript"/>
        </w:rPr>
        <w:t>max</w:t>
      </w:r>
      <w:proofErr w:type="spellEnd"/>
      <w:r w:rsidRPr="00626E47">
        <w:rPr>
          <w:bCs/>
        </w:rPr>
        <w:t xml:space="preserve"> increased by 181% to 192% at Week 22 compared to Week 0. Mean </w:t>
      </w:r>
      <w:proofErr w:type="spellStart"/>
      <w:r w:rsidRPr="00626E47">
        <w:rPr>
          <w:bCs/>
        </w:rPr>
        <w:t>half life</w:t>
      </w:r>
      <w:proofErr w:type="spellEnd"/>
      <w:r w:rsidRPr="00626E47">
        <w:rPr>
          <w:bCs/>
        </w:rPr>
        <w:t xml:space="preserve"> (t</w:t>
      </w:r>
      <w:r w:rsidRPr="00626E47">
        <w:rPr>
          <w:bCs/>
          <w:vertAlign w:val="subscript"/>
        </w:rPr>
        <w:t>1/2</w:t>
      </w:r>
      <w:r w:rsidRPr="00626E47">
        <w:rPr>
          <w:bCs/>
        </w:rPr>
        <w:t xml:space="preserve">) increased from 7.52 minutes at Week 0 to 35.9 minutes at Week 22. Male and female patients had comparable </w:t>
      </w:r>
      <w:proofErr w:type="spellStart"/>
      <w:r w:rsidRPr="00626E47">
        <w:rPr>
          <w:bCs/>
        </w:rPr>
        <w:t>Vimizim</w:t>
      </w:r>
      <w:proofErr w:type="spellEnd"/>
      <w:r w:rsidRPr="00626E47">
        <w:rPr>
          <w:bCs/>
        </w:rPr>
        <w:t xml:space="preserve"> clearance, and clearance did not trend with age or weight at Week 22.</w:t>
      </w:r>
    </w:p>
    <w:p w14:paraId="776E1C6F" w14:textId="77777777" w:rsidR="00A512CD" w:rsidRPr="00626E47" w:rsidRDefault="00A512CD" w:rsidP="00AA1A00">
      <w:pPr>
        <w:pStyle w:val="NoSpacing"/>
        <w:adjustRightInd w:val="0"/>
        <w:rPr>
          <w:bCs/>
        </w:rPr>
      </w:pPr>
    </w:p>
    <w:p w14:paraId="5645C0BD" w14:textId="77777777" w:rsidR="00A512CD" w:rsidRDefault="00A512CD" w:rsidP="00AA1A00">
      <w:pPr>
        <w:pStyle w:val="NoSpacing"/>
        <w:adjustRightInd w:val="0"/>
        <w:rPr>
          <w:bCs/>
        </w:rPr>
      </w:pPr>
      <w:r>
        <w:rPr>
          <w:bCs/>
        </w:rPr>
        <w:t>The i</w:t>
      </w:r>
      <w:r w:rsidRPr="00626E47">
        <w:rPr>
          <w:bCs/>
        </w:rPr>
        <w:t xml:space="preserve">mpact of antibodies on </w:t>
      </w:r>
      <w:proofErr w:type="spellStart"/>
      <w:r w:rsidRPr="00626E47">
        <w:rPr>
          <w:bCs/>
        </w:rPr>
        <w:t>Vimizim</w:t>
      </w:r>
      <w:proofErr w:type="spellEnd"/>
      <w:r w:rsidRPr="00626E47">
        <w:rPr>
          <w:bCs/>
        </w:rPr>
        <w:t xml:space="preserve"> pharmacokinetics was assessed. No association was apparent between the total antibody titre and </w:t>
      </w:r>
      <w:proofErr w:type="spellStart"/>
      <w:r w:rsidRPr="00626E47">
        <w:rPr>
          <w:bCs/>
        </w:rPr>
        <w:t>Vimizim</w:t>
      </w:r>
      <w:proofErr w:type="spellEnd"/>
      <w:r w:rsidRPr="00626E47">
        <w:rPr>
          <w:bCs/>
        </w:rPr>
        <w:t xml:space="preserve"> clearance. However, patients with positive neutralising antibodies responses had decreased total clearance (CL) values and prolonged t</w:t>
      </w:r>
      <w:r w:rsidRPr="00626E47">
        <w:rPr>
          <w:bCs/>
          <w:vertAlign w:val="subscript"/>
        </w:rPr>
        <w:t>1/2</w:t>
      </w:r>
      <w:r w:rsidRPr="00626E47">
        <w:rPr>
          <w:bCs/>
        </w:rPr>
        <w:t xml:space="preserve">. Despite the alteration of the pharmacokinetics profile, presence of neutralising antibodies did not affect pharmacodynamics, efficacy, or safety of the patients who were treated with </w:t>
      </w:r>
      <w:proofErr w:type="spellStart"/>
      <w:r w:rsidRPr="00626E47">
        <w:rPr>
          <w:bCs/>
        </w:rPr>
        <w:t>Vimizim</w:t>
      </w:r>
      <w:proofErr w:type="spellEnd"/>
      <w:r w:rsidRPr="00626E47">
        <w:rPr>
          <w:bCs/>
        </w:rPr>
        <w:t xml:space="preserve">. No accumulation of </w:t>
      </w:r>
      <w:proofErr w:type="spellStart"/>
      <w:r w:rsidRPr="00626E47">
        <w:rPr>
          <w:bCs/>
        </w:rPr>
        <w:t>Vimizim</w:t>
      </w:r>
      <w:proofErr w:type="spellEnd"/>
      <w:r w:rsidRPr="00626E47">
        <w:rPr>
          <w:bCs/>
        </w:rPr>
        <w:t xml:space="preserve"> in plasma was evident following weekly dosing</w:t>
      </w:r>
      <w:r>
        <w:rPr>
          <w:bCs/>
        </w:rPr>
        <w:t>.</w:t>
      </w:r>
    </w:p>
    <w:p w14:paraId="4CFFFA96" w14:textId="77777777" w:rsidR="00A512CD" w:rsidRPr="00626E47" w:rsidRDefault="00A512CD" w:rsidP="00AA1A00">
      <w:pPr>
        <w:pStyle w:val="NoSpacing"/>
        <w:adjustRightInd w:val="0"/>
        <w:rPr>
          <w:bCs/>
        </w:rPr>
      </w:pPr>
    </w:p>
    <w:p w14:paraId="133D23DD" w14:textId="77777777" w:rsidR="00A512CD" w:rsidRPr="00943C41" w:rsidRDefault="00A512CD" w:rsidP="00AA1A00">
      <w:pPr>
        <w:pStyle w:val="Heading3"/>
        <w:adjustRightInd w:val="0"/>
      </w:pPr>
      <w:r w:rsidRPr="00943C41">
        <w:t>Metabolism/Excretion</w:t>
      </w:r>
    </w:p>
    <w:p w14:paraId="2B9580D2" w14:textId="77777777" w:rsidR="00A512CD" w:rsidRPr="00943C41" w:rsidRDefault="00A512CD" w:rsidP="00AA1A00">
      <w:pPr>
        <w:pStyle w:val="Heading3"/>
        <w:adjustRightInd w:val="0"/>
        <w:rPr>
          <w:bCs/>
          <w:u w:val="none"/>
        </w:rPr>
      </w:pPr>
    </w:p>
    <w:p w14:paraId="217BC039" w14:textId="77777777" w:rsidR="00A512CD" w:rsidRPr="00943C41" w:rsidRDefault="00A512CD" w:rsidP="00AA1A00">
      <w:pPr>
        <w:pStyle w:val="Heading3"/>
        <w:adjustRightInd w:val="0"/>
        <w:rPr>
          <w:bCs/>
          <w:u w:val="none"/>
        </w:rPr>
      </w:pPr>
      <w:proofErr w:type="spellStart"/>
      <w:r w:rsidRPr="00943C41">
        <w:rPr>
          <w:bCs/>
          <w:u w:val="none"/>
        </w:rPr>
        <w:t>Elosulfase</w:t>
      </w:r>
      <w:proofErr w:type="spellEnd"/>
      <w:r w:rsidRPr="00943C41">
        <w:rPr>
          <w:bCs/>
          <w:u w:val="none"/>
        </w:rPr>
        <w:t xml:space="preserve"> </w:t>
      </w:r>
      <w:proofErr w:type="spellStart"/>
      <w:r w:rsidRPr="00943C41">
        <w:rPr>
          <w:bCs/>
          <w:u w:val="none"/>
        </w:rPr>
        <w:t>alfa</w:t>
      </w:r>
      <w:proofErr w:type="spellEnd"/>
      <w:r w:rsidRPr="00943C41">
        <w:rPr>
          <w:bCs/>
          <w:u w:val="none"/>
        </w:rPr>
        <w:t xml:space="preserve"> is a protein and is expected to be metabolically degraded through peptide hydrolysis. Consequently, impaired liver function is not expected to affect the pharmacokinetics of </w:t>
      </w:r>
      <w:proofErr w:type="spellStart"/>
      <w:r w:rsidRPr="00943C41">
        <w:rPr>
          <w:bCs/>
          <w:u w:val="none"/>
        </w:rPr>
        <w:t>elosulfase</w:t>
      </w:r>
      <w:proofErr w:type="spellEnd"/>
      <w:r w:rsidRPr="00943C41">
        <w:rPr>
          <w:bCs/>
          <w:u w:val="none"/>
        </w:rPr>
        <w:t xml:space="preserve"> </w:t>
      </w:r>
      <w:proofErr w:type="spellStart"/>
      <w:r w:rsidRPr="00943C41">
        <w:rPr>
          <w:bCs/>
          <w:u w:val="none"/>
        </w:rPr>
        <w:t>alfa</w:t>
      </w:r>
      <w:proofErr w:type="spellEnd"/>
      <w:r w:rsidRPr="00943C41">
        <w:rPr>
          <w:bCs/>
          <w:u w:val="none"/>
        </w:rPr>
        <w:t xml:space="preserve">. Renal elimination of </w:t>
      </w:r>
      <w:proofErr w:type="spellStart"/>
      <w:r w:rsidRPr="00943C41">
        <w:rPr>
          <w:bCs/>
          <w:u w:val="none"/>
        </w:rPr>
        <w:t>elosulfase</w:t>
      </w:r>
      <w:proofErr w:type="spellEnd"/>
      <w:r w:rsidRPr="00943C41">
        <w:rPr>
          <w:bCs/>
          <w:u w:val="none"/>
        </w:rPr>
        <w:t xml:space="preserve"> </w:t>
      </w:r>
      <w:proofErr w:type="spellStart"/>
      <w:r w:rsidRPr="00943C41">
        <w:rPr>
          <w:bCs/>
          <w:u w:val="none"/>
        </w:rPr>
        <w:t>alfa</w:t>
      </w:r>
      <w:proofErr w:type="spellEnd"/>
      <w:r w:rsidRPr="00943C41">
        <w:rPr>
          <w:bCs/>
          <w:u w:val="none"/>
        </w:rPr>
        <w:t xml:space="preserve"> is considered a minor pathway for clearance.</w:t>
      </w:r>
    </w:p>
    <w:p w14:paraId="6073BBB0" w14:textId="77777777" w:rsidR="0068043D" w:rsidRDefault="0068043D"/>
    <w:p w14:paraId="39526263" w14:textId="77777777" w:rsidR="00A512CD" w:rsidRPr="00626E47" w:rsidRDefault="00A512CD" w:rsidP="00AA1A00">
      <w:pPr>
        <w:pStyle w:val="Caption"/>
        <w:keepLines w:val="0"/>
        <w:adjustRightInd w:val="0"/>
        <w:spacing w:before="0" w:after="0" w:line="240" w:lineRule="auto"/>
        <w:jc w:val="left"/>
        <w:rPr>
          <w:rFonts w:asciiTheme="minorHAnsi" w:hAnsiTheme="minorHAnsi"/>
          <w:sz w:val="22"/>
          <w:szCs w:val="22"/>
        </w:rPr>
      </w:pPr>
      <w:r w:rsidRPr="00626E47">
        <w:rPr>
          <w:rFonts w:asciiTheme="minorHAnsi" w:hAnsiTheme="minorHAnsi"/>
          <w:sz w:val="22"/>
          <w:szCs w:val="22"/>
        </w:rPr>
        <w:lastRenderedPageBreak/>
        <w:t>Table 1: Pharmacokinetic Properties</w:t>
      </w:r>
    </w:p>
    <w:tbl>
      <w:tblPr>
        <w:tblW w:w="7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4"/>
        <w:gridCol w:w="2126"/>
        <w:gridCol w:w="2097"/>
      </w:tblGrid>
      <w:tr w:rsidR="00A512CD" w:rsidRPr="00626E47" w14:paraId="1C839A37" w14:textId="77777777" w:rsidTr="00614FEF">
        <w:tc>
          <w:tcPr>
            <w:tcW w:w="2874" w:type="dxa"/>
            <w:vAlign w:val="bottom"/>
          </w:tcPr>
          <w:p w14:paraId="28954ED3" w14:textId="77777777" w:rsidR="00A512CD" w:rsidRPr="00626E47" w:rsidRDefault="00A512CD" w:rsidP="00AA1A00">
            <w:pPr>
              <w:pStyle w:val="TableCellCenter"/>
              <w:keepNext/>
              <w:adjustRightInd w:val="0"/>
              <w:spacing w:before="0" w:after="0"/>
              <w:rPr>
                <w:rFonts w:asciiTheme="minorHAnsi" w:hAnsiTheme="minorHAnsi"/>
                <w:b/>
                <w:sz w:val="22"/>
                <w:szCs w:val="22"/>
              </w:rPr>
            </w:pPr>
            <w:r w:rsidRPr="00626E47">
              <w:rPr>
                <w:rFonts w:asciiTheme="minorHAnsi" w:hAnsiTheme="minorHAnsi"/>
                <w:b/>
                <w:sz w:val="22"/>
                <w:szCs w:val="22"/>
              </w:rPr>
              <w:t>Pharmacokinetic Parameter</w:t>
            </w:r>
          </w:p>
        </w:tc>
        <w:tc>
          <w:tcPr>
            <w:tcW w:w="2126" w:type="dxa"/>
            <w:vAlign w:val="bottom"/>
          </w:tcPr>
          <w:p w14:paraId="02FDCCD9" w14:textId="77777777" w:rsidR="00A512CD" w:rsidRPr="00626E47" w:rsidRDefault="00A512CD" w:rsidP="00AA1A00">
            <w:pPr>
              <w:pStyle w:val="TableCellCenter"/>
              <w:keepNext/>
              <w:adjustRightInd w:val="0"/>
              <w:spacing w:before="0" w:after="0"/>
              <w:rPr>
                <w:rFonts w:asciiTheme="minorHAnsi" w:hAnsiTheme="minorHAnsi"/>
                <w:b/>
                <w:sz w:val="22"/>
                <w:szCs w:val="22"/>
              </w:rPr>
            </w:pPr>
            <w:r w:rsidRPr="00626E47">
              <w:rPr>
                <w:rFonts w:asciiTheme="minorHAnsi" w:hAnsiTheme="minorHAnsi"/>
                <w:b/>
                <w:sz w:val="22"/>
                <w:szCs w:val="22"/>
              </w:rPr>
              <w:t>Week 0</w:t>
            </w:r>
            <w:r w:rsidRPr="00626E47">
              <w:rPr>
                <w:rFonts w:asciiTheme="minorHAnsi" w:hAnsiTheme="minorHAnsi"/>
                <w:b/>
                <w:sz w:val="22"/>
                <w:szCs w:val="22"/>
              </w:rPr>
              <w:br/>
              <w:t>Mean (SD)</w:t>
            </w:r>
          </w:p>
        </w:tc>
        <w:tc>
          <w:tcPr>
            <w:tcW w:w="2097" w:type="dxa"/>
            <w:vAlign w:val="bottom"/>
          </w:tcPr>
          <w:p w14:paraId="5DA84C4A" w14:textId="77777777" w:rsidR="00A512CD" w:rsidRPr="00626E47" w:rsidRDefault="00A512CD" w:rsidP="00AA1A00">
            <w:pPr>
              <w:pStyle w:val="TableCellCenter"/>
              <w:keepNext/>
              <w:adjustRightInd w:val="0"/>
              <w:spacing w:before="0" w:after="0"/>
              <w:rPr>
                <w:rFonts w:asciiTheme="minorHAnsi" w:hAnsiTheme="minorHAnsi"/>
                <w:b/>
                <w:sz w:val="22"/>
                <w:szCs w:val="22"/>
              </w:rPr>
            </w:pPr>
            <w:r w:rsidRPr="00626E47">
              <w:rPr>
                <w:rFonts w:asciiTheme="minorHAnsi" w:hAnsiTheme="minorHAnsi"/>
                <w:b/>
                <w:bCs/>
                <w:sz w:val="22"/>
                <w:szCs w:val="22"/>
              </w:rPr>
              <w:t>Week 22</w:t>
            </w:r>
            <w:r w:rsidRPr="00626E47">
              <w:rPr>
                <w:rFonts w:asciiTheme="minorHAnsi" w:hAnsiTheme="minorHAnsi"/>
                <w:sz w:val="22"/>
                <w:szCs w:val="22"/>
              </w:rPr>
              <w:t xml:space="preserve"> </w:t>
            </w:r>
            <w:r w:rsidRPr="00626E47">
              <w:rPr>
                <w:rFonts w:asciiTheme="minorHAnsi" w:hAnsiTheme="minorHAnsi"/>
                <w:sz w:val="22"/>
                <w:szCs w:val="22"/>
              </w:rPr>
              <w:br/>
            </w:r>
            <w:r w:rsidRPr="00626E47">
              <w:rPr>
                <w:rFonts w:asciiTheme="minorHAnsi" w:hAnsiTheme="minorHAnsi"/>
                <w:b/>
                <w:sz w:val="22"/>
                <w:szCs w:val="22"/>
              </w:rPr>
              <w:t>Mean (SD)</w:t>
            </w:r>
          </w:p>
        </w:tc>
      </w:tr>
      <w:tr w:rsidR="00A512CD" w:rsidRPr="00626E47" w14:paraId="3E943D7A" w14:textId="77777777" w:rsidTr="00614FEF">
        <w:tc>
          <w:tcPr>
            <w:tcW w:w="2874" w:type="dxa"/>
          </w:tcPr>
          <w:p w14:paraId="7FBFE69A" w14:textId="77777777" w:rsidR="00A512CD" w:rsidRPr="00626E47" w:rsidRDefault="00A512CD" w:rsidP="00AA1A00">
            <w:pPr>
              <w:pStyle w:val="TableCellLeft"/>
              <w:keepNext/>
              <w:adjustRightInd w:val="0"/>
              <w:spacing w:before="0" w:after="0"/>
              <w:rPr>
                <w:rFonts w:asciiTheme="minorHAnsi" w:hAnsiTheme="minorHAnsi"/>
                <w:sz w:val="22"/>
                <w:szCs w:val="22"/>
                <w:lang w:val="fr-FR"/>
              </w:rPr>
            </w:pPr>
            <w:r w:rsidRPr="00626E47">
              <w:rPr>
                <w:rFonts w:asciiTheme="minorHAnsi" w:hAnsiTheme="minorHAnsi"/>
                <w:sz w:val="22"/>
                <w:szCs w:val="22"/>
                <w:lang w:val="fr-FR"/>
              </w:rPr>
              <w:t>AUC</w:t>
            </w:r>
            <w:r w:rsidRPr="00626E47">
              <w:rPr>
                <w:rFonts w:asciiTheme="minorHAnsi" w:hAnsiTheme="minorHAnsi"/>
                <w:sz w:val="22"/>
                <w:szCs w:val="22"/>
                <w:vertAlign w:val="subscript"/>
                <w:lang w:val="fr-FR"/>
              </w:rPr>
              <w:t>0-t</w:t>
            </w:r>
            <w:r w:rsidRPr="00626E47">
              <w:rPr>
                <w:rFonts w:asciiTheme="minorHAnsi" w:hAnsiTheme="minorHAnsi"/>
                <w:sz w:val="22"/>
                <w:szCs w:val="22"/>
                <w:lang w:val="fr-FR"/>
              </w:rPr>
              <w:t>, min x µg/</w:t>
            </w:r>
            <w:proofErr w:type="spellStart"/>
            <w:r w:rsidRPr="00626E47">
              <w:rPr>
                <w:rFonts w:asciiTheme="minorHAnsi" w:hAnsiTheme="minorHAnsi"/>
                <w:sz w:val="22"/>
                <w:szCs w:val="22"/>
                <w:lang w:val="fr-FR"/>
              </w:rPr>
              <w:t>mL</w:t>
            </w:r>
            <w:proofErr w:type="spellEnd"/>
            <w:r w:rsidRPr="00626E47">
              <w:rPr>
                <w:rFonts w:asciiTheme="minorHAnsi" w:hAnsiTheme="minorHAnsi"/>
                <w:sz w:val="22"/>
                <w:szCs w:val="22"/>
                <w:vertAlign w:val="superscript"/>
                <w:lang w:val="fr-FR"/>
              </w:rPr>
              <w:t>¥</w:t>
            </w:r>
          </w:p>
        </w:tc>
        <w:tc>
          <w:tcPr>
            <w:tcW w:w="2126" w:type="dxa"/>
          </w:tcPr>
          <w:p w14:paraId="7FFE8BBE" w14:textId="77777777" w:rsidR="00A512CD" w:rsidRPr="00626E47" w:rsidRDefault="00A512CD" w:rsidP="00AA1A00">
            <w:pPr>
              <w:pStyle w:val="TableCellCenter"/>
              <w:keepNext/>
              <w:adjustRightInd w:val="0"/>
              <w:spacing w:before="0" w:after="0"/>
              <w:rPr>
                <w:rFonts w:asciiTheme="minorHAnsi" w:hAnsiTheme="minorHAnsi"/>
                <w:sz w:val="22"/>
                <w:szCs w:val="22"/>
              </w:rPr>
            </w:pPr>
            <w:r w:rsidRPr="00626E47">
              <w:rPr>
                <w:rFonts w:asciiTheme="minorHAnsi" w:hAnsiTheme="minorHAnsi"/>
                <w:sz w:val="22"/>
                <w:szCs w:val="22"/>
              </w:rPr>
              <w:t>238 (100)</w:t>
            </w:r>
          </w:p>
        </w:tc>
        <w:tc>
          <w:tcPr>
            <w:tcW w:w="2097" w:type="dxa"/>
          </w:tcPr>
          <w:p w14:paraId="6343E425" w14:textId="77777777" w:rsidR="00A512CD" w:rsidRPr="00626E47" w:rsidRDefault="00A512CD" w:rsidP="00AA1A00">
            <w:pPr>
              <w:pStyle w:val="TableCellCenter"/>
              <w:keepNext/>
              <w:adjustRightInd w:val="0"/>
              <w:spacing w:before="0" w:after="0"/>
              <w:rPr>
                <w:rFonts w:asciiTheme="minorHAnsi" w:hAnsiTheme="minorHAnsi"/>
                <w:sz w:val="22"/>
                <w:szCs w:val="22"/>
              </w:rPr>
            </w:pPr>
            <w:r w:rsidRPr="00626E47">
              <w:rPr>
                <w:rFonts w:asciiTheme="minorHAnsi" w:hAnsiTheme="minorHAnsi"/>
                <w:sz w:val="22"/>
                <w:szCs w:val="22"/>
              </w:rPr>
              <w:t>577 (416)</w:t>
            </w:r>
          </w:p>
        </w:tc>
      </w:tr>
      <w:tr w:rsidR="00A512CD" w:rsidRPr="00626E47" w14:paraId="5A922724" w14:textId="77777777" w:rsidTr="00614FEF">
        <w:tc>
          <w:tcPr>
            <w:tcW w:w="2874" w:type="dxa"/>
          </w:tcPr>
          <w:p w14:paraId="58074996" w14:textId="77777777" w:rsidR="00A512CD" w:rsidRPr="00626E47" w:rsidRDefault="00A512CD" w:rsidP="00AA1A00">
            <w:pPr>
              <w:pStyle w:val="TableCellLeft"/>
              <w:keepNext/>
              <w:adjustRightInd w:val="0"/>
              <w:spacing w:before="0" w:after="0"/>
              <w:rPr>
                <w:rFonts w:asciiTheme="minorHAnsi" w:hAnsiTheme="minorHAnsi"/>
                <w:sz w:val="22"/>
                <w:szCs w:val="22"/>
                <w:lang w:val="en-US"/>
              </w:rPr>
            </w:pPr>
            <w:proofErr w:type="spellStart"/>
            <w:r w:rsidRPr="00626E47">
              <w:rPr>
                <w:rFonts w:asciiTheme="minorHAnsi" w:hAnsiTheme="minorHAnsi"/>
                <w:sz w:val="22"/>
                <w:szCs w:val="22"/>
                <w:lang w:val="en-US"/>
              </w:rPr>
              <w:t>C</w:t>
            </w:r>
            <w:r w:rsidRPr="00626E47">
              <w:rPr>
                <w:rFonts w:asciiTheme="minorHAnsi" w:hAnsiTheme="minorHAnsi"/>
                <w:sz w:val="22"/>
                <w:szCs w:val="22"/>
                <w:vertAlign w:val="subscript"/>
                <w:lang w:val="en-US"/>
              </w:rPr>
              <w:t>max</w:t>
            </w:r>
            <w:proofErr w:type="spellEnd"/>
            <w:r w:rsidRPr="00626E47">
              <w:rPr>
                <w:rFonts w:asciiTheme="minorHAnsi" w:hAnsiTheme="minorHAnsi"/>
                <w:sz w:val="22"/>
                <w:szCs w:val="22"/>
                <w:lang w:val="en-US"/>
              </w:rPr>
              <w:t>, µg/mL</w:t>
            </w:r>
            <w:r w:rsidRPr="00626E47">
              <w:rPr>
                <w:rFonts w:asciiTheme="minorHAnsi" w:hAnsiTheme="minorHAnsi"/>
                <w:sz w:val="22"/>
                <w:szCs w:val="22"/>
                <w:vertAlign w:val="superscript"/>
                <w:lang w:val="en-US"/>
              </w:rPr>
              <w:t>†</w:t>
            </w:r>
          </w:p>
        </w:tc>
        <w:tc>
          <w:tcPr>
            <w:tcW w:w="2126" w:type="dxa"/>
          </w:tcPr>
          <w:p w14:paraId="2A9ED849" w14:textId="77777777" w:rsidR="00A512CD" w:rsidRPr="00626E47" w:rsidRDefault="00A512CD" w:rsidP="00AA1A00">
            <w:pPr>
              <w:pStyle w:val="TableCellCenter"/>
              <w:keepNext/>
              <w:adjustRightInd w:val="0"/>
              <w:spacing w:before="0" w:after="0"/>
              <w:rPr>
                <w:rFonts w:asciiTheme="minorHAnsi" w:hAnsiTheme="minorHAnsi"/>
                <w:sz w:val="22"/>
                <w:szCs w:val="22"/>
              </w:rPr>
            </w:pPr>
            <w:r w:rsidRPr="00626E47">
              <w:rPr>
                <w:rFonts w:asciiTheme="minorHAnsi" w:hAnsiTheme="minorHAnsi"/>
                <w:sz w:val="22"/>
                <w:szCs w:val="22"/>
              </w:rPr>
              <w:t>1.49 (0.534)</w:t>
            </w:r>
          </w:p>
        </w:tc>
        <w:tc>
          <w:tcPr>
            <w:tcW w:w="2097" w:type="dxa"/>
          </w:tcPr>
          <w:p w14:paraId="2ADC255D" w14:textId="77777777" w:rsidR="00A512CD" w:rsidRPr="00626E47" w:rsidRDefault="00A512CD" w:rsidP="00AA1A00">
            <w:pPr>
              <w:pStyle w:val="TableCellCenter"/>
              <w:keepNext/>
              <w:adjustRightInd w:val="0"/>
              <w:spacing w:before="0" w:after="0"/>
              <w:rPr>
                <w:rFonts w:asciiTheme="minorHAnsi" w:hAnsiTheme="minorHAnsi"/>
                <w:sz w:val="22"/>
                <w:szCs w:val="22"/>
              </w:rPr>
            </w:pPr>
            <w:r w:rsidRPr="00626E47">
              <w:rPr>
                <w:rFonts w:asciiTheme="minorHAnsi" w:hAnsiTheme="minorHAnsi"/>
                <w:sz w:val="22"/>
                <w:szCs w:val="22"/>
              </w:rPr>
              <w:t>4.04 (3.24)</w:t>
            </w:r>
          </w:p>
        </w:tc>
      </w:tr>
      <w:tr w:rsidR="00A512CD" w:rsidRPr="00626E47" w14:paraId="4FF1CF62" w14:textId="77777777" w:rsidTr="00614FEF">
        <w:tc>
          <w:tcPr>
            <w:tcW w:w="2874" w:type="dxa"/>
          </w:tcPr>
          <w:p w14:paraId="33F47F6C" w14:textId="77777777" w:rsidR="00A512CD" w:rsidRPr="00626E47" w:rsidRDefault="00A512CD" w:rsidP="00AA1A00">
            <w:pPr>
              <w:pStyle w:val="TableCellLeft"/>
              <w:keepNext/>
              <w:adjustRightInd w:val="0"/>
              <w:spacing w:before="0" w:after="0"/>
              <w:rPr>
                <w:rFonts w:asciiTheme="minorHAnsi" w:hAnsiTheme="minorHAnsi"/>
                <w:sz w:val="22"/>
                <w:szCs w:val="22"/>
                <w:lang w:val="en-US"/>
              </w:rPr>
            </w:pPr>
            <w:r w:rsidRPr="00626E47">
              <w:rPr>
                <w:rFonts w:asciiTheme="minorHAnsi" w:hAnsiTheme="minorHAnsi"/>
                <w:sz w:val="22"/>
                <w:szCs w:val="22"/>
                <w:lang w:val="en-US"/>
              </w:rPr>
              <w:t>CL, mL/min/kg</w:t>
            </w:r>
            <w:r w:rsidRPr="00626E47">
              <w:rPr>
                <w:rFonts w:asciiTheme="minorHAnsi" w:hAnsiTheme="minorHAnsi"/>
                <w:sz w:val="22"/>
                <w:szCs w:val="22"/>
                <w:vertAlign w:val="superscript"/>
                <w:lang w:val="en-US"/>
              </w:rPr>
              <w:t>‡</w:t>
            </w:r>
          </w:p>
        </w:tc>
        <w:tc>
          <w:tcPr>
            <w:tcW w:w="2126" w:type="dxa"/>
          </w:tcPr>
          <w:p w14:paraId="45C928ED" w14:textId="77777777" w:rsidR="00A512CD" w:rsidRPr="00626E47" w:rsidRDefault="00A512CD" w:rsidP="00AA1A00">
            <w:pPr>
              <w:pStyle w:val="TableCellCenter"/>
              <w:keepNext/>
              <w:adjustRightInd w:val="0"/>
              <w:spacing w:before="0" w:after="0"/>
              <w:rPr>
                <w:rFonts w:asciiTheme="minorHAnsi" w:hAnsiTheme="minorHAnsi"/>
                <w:sz w:val="22"/>
                <w:szCs w:val="22"/>
              </w:rPr>
            </w:pPr>
            <w:r w:rsidRPr="00626E47">
              <w:rPr>
                <w:rFonts w:asciiTheme="minorHAnsi" w:hAnsiTheme="minorHAnsi"/>
                <w:sz w:val="22"/>
                <w:szCs w:val="22"/>
              </w:rPr>
              <w:t>10.0 (3.73)</w:t>
            </w:r>
          </w:p>
        </w:tc>
        <w:tc>
          <w:tcPr>
            <w:tcW w:w="2097" w:type="dxa"/>
          </w:tcPr>
          <w:p w14:paraId="5133EC01" w14:textId="77777777" w:rsidR="00A512CD" w:rsidRPr="00626E47" w:rsidRDefault="00A512CD" w:rsidP="00AA1A00">
            <w:pPr>
              <w:pStyle w:val="TableCellCenter"/>
              <w:keepNext/>
              <w:adjustRightInd w:val="0"/>
              <w:spacing w:before="0" w:after="0"/>
              <w:rPr>
                <w:rFonts w:asciiTheme="minorHAnsi" w:hAnsiTheme="minorHAnsi"/>
                <w:sz w:val="22"/>
                <w:szCs w:val="22"/>
              </w:rPr>
            </w:pPr>
            <w:r w:rsidRPr="00626E47">
              <w:rPr>
                <w:rFonts w:asciiTheme="minorHAnsi" w:hAnsiTheme="minorHAnsi"/>
                <w:sz w:val="22"/>
                <w:szCs w:val="22"/>
              </w:rPr>
              <w:t>7.08 (13.0)</w:t>
            </w:r>
          </w:p>
        </w:tc>
      </w:tr>
      <w:tr w:rsidR="00A512CD" w:rsidRPr="00626E47" w14:paraId="48BF3F9D" w14:textId="77777777" w:rsidTr="00614FEF">
        <w:tc>
          <w:tcPr>
            <w:tcW w:w="2874" w:type="dxa"/>
          </w:tcPr>
          <w:p w14:paraId="0AADC775" w14:textId="77777777" w:rsidR="00A512CD" w:rsidRPr="00626E47" w:rsidRDefault="00A512CD" w:rsidP="00AA1A00">
            <w:pPr>
              <w:pStyle w:val="TableCellLeft"/>
              <w:keepNext/>
              <w:adjustRightInd w:val="0"/>
              <w:spacing w:before="0" w:after="0"/>
              <w:rPr>
                <w:rFonts w:asciiTheme="minorHAnsi" w:hAnsiTheme="minorHAnsi"/>
                <w:sz w:val="22"/>
                <w:szCs w:val="22"/>
                <w:lang w:val="en-US"/>
              </w:rPr>
            </w:pPr>
            <w:r w:rsidRPr="00626E47">
              <w:rPr>
                <w:rFonts w:asciiTheme="minorHAnsi" w:hAnsiTheme="minorHAnsi"/>
                <w:sz w:val="22"/>
                <w:szCs w:val="22"/>
                <w:lang w:val="en-US"/>
              </w:rPr>
              <w:t>t</w:t>
            </w:r>
            <w:r w:rsidRPr="00626E47">
              <w:rPr>
                <w:rFonts w:asciiTheme="minorHAnsi" w:hAnsiTheme="minorHAnsi"/>
                <w:sz w:val="22"/>
                <w:szCs w:val="22"/>
                <w:vertAlign w:val="subscript"/>
                <w:lang w:val="en-US"/>
              </w:rPr>
              <w:t>1/2</w:t>
            </w:r>
            <w:r w:rsidRPr="00626E47">
              <w:rPr>
                <w:rFonts w:asciiTheme="minorHAnsi" w:hAnsiTheme="minorHAnsi"/>
                <w:sz w:val="22"/>
                <w:szCs w:val="22"/>
                <w:lang w:val="en-US"/>
              </w:rPr>
              <w:t>, min</w:t>
            </w:r>
            <w:r w:rsidRPr="00626E47">
              <w:rPr>
                <w:rFonts w:asciiTheme="minorHAnsi" w:hAnsiTheme="minorHAnsi"/>
                <w:sz w:val="22"/>
                <w:szCs w:val="22"/>
                <w:vertAlign w:val="superscript"/>
                <w:lang w:val="en-US"/>
              </w:rPr>
              <w:t>#</w:t>
            </w:r>
          </w:p>
        </w:tc>
        <w:tc>
          <w:tcPr>
            <w:tcW w:w="2126" w:type="dxa"/>
          </w:tcPr>
          <w:p w14:paraId="47C999B6" w14:textId="77777777" w:rsidR="00A512CD" w:rsidRPr="00626E47" w:rsidRDefault="00A512CD" w:rsidP="00AA1A00">
            <w:pPr>
              <w:pStyle w:val="TableCellCenter"/>
              <w:keepNext/>
              <w:adjustRightInd w:val="0"/>
              <w:spacing w:before="0" w:after="0"/>
              <w:rPr>
                <w:rFonts w:asciiTheme="minorHAnsi" w:hAnsiTheme="minorHAnsi"/>
                <w:sz w:val="22"/>
                <w:szCs w:val="22"/>
              </w:rPr>
            </w:pPr>
            <w:r w:rsidRPr="00626E47">
              <w:rPr>
                <w:rFonts w:asciiTheme="minorHAnsi" w:hAnsiTheme="minorHAnsi"/>
                <w:sz w:val="22"/>
                <w:szCs w:val="22"/>
              </w:rPr>
              <w:t>7.52 (5.48)</w:t>
            </w:r>
          </w:p>
        </w:tc>
        <w:tc>
          <w:tcPr>
            <w:tcW w:w="2097" w:type="dxa"/>
          </w:tcPr>
          <w:p w14:paraId="1C1ABC87" w14:textId="77777777" w:rsidR="00A512CD" w:rsidRPr="00626E47" w:rsidRDefault="00A512CD" w:rsidP="00AA1A00">
            <w:pPr>
              <w:pStyle w:val="TableCellCenter"/>
              <w:keepNext/>
              <w:adjustRightInd w:val="0"/>
              <w:spacing w:before="0" w:after="0"/>
              <w:rPr>
                <w:rFonts w:asciiTheme="minorHAnsi" w:hAnsiTheme="minorHAnsi"/>
                <w:sz w:val="22"/>
                <w:szCs w:val="22"/>
              </w:rPr>
            </w:pPr>
            <w:r w:rsidRPr="00626E47">
              <w:rPr>
                <w:rFonts w:asciiTheme="minorHAnsi" w:hAnsiTheme="minorHAnsi"/>
                <w:sz w:val="22"/>
                <w:szCs w:val="22"/>
              </w:rPr>
              <w:t>35.9 (21.5)</w:t>
            </w:r>
          </w:p>
        </w:tc>
      </w:tr>
      <w:tr w:rsidR="00A512CD" w:rsidRPr="00626E47" w14:paraId="42DAAD3E" w14:textId="77777777" w:rsidTr="00614FEF">
        <w:tc>
          <w:tcPr>
            <w:tcW w:w="2874" w:type="dxa"/>
          </w:tcPr>
          <w:p w14:paraId="6BF84931" w14:textId="77777777" w:rsidR="00A512CD" w:rsidRPr="00626E47" w:rsidRDefault="00A512CD" w:rsidP="00AA1A00">
            <w:pPr>
              <w:pStyle w:val="TableCellLeft"/>
              <w:keepNext/>
              <w:adjustRightInd w:val="0"/>
              <w:spacing w:before="0" w:after="0"/>
              <w:rPr>
                <w:rFonts w:asciiTheme="minorHAnsi" w:hAnsiTheme="minorHAnsi"/>
                <w:b/>
                <w:sz w:val="22"/>
                <w:szCs w:val="22"/>
                <w:lang w:val="en-US"/>
              </w:rPr>
            </w:pPr>
            <w:proofErr w:type="spellStart"/>
            <w:r w:rsidRPr="00626E47">
              <w:rPr>
                <w:rFonts w:asciiTheme="minorHAnsi" w:hAnsiTheme="minorHAnsi"/>
                <w:sz w:val="22"/>
                <w:szCs w:val="22"/>
                <w:lang w:val="en-US"/>
              </w:rPr>
              <w:t>T</w:t>
            </w:r>
            <w:r w:rsidRPr="00626E47">
              <w:rPr>
                <w:rFonts w:asciiTheme="minorHAnsi" w:hAnsiTheme="minorHAnsi"/>
                <w:sz w:val="22"/>
                <w:szCs w:val="22"/>
                <w:vertAlign w:val="subscript"/>
                <w:lang w:val="en-US"/>
              </w:rPr>
              <w:t>max</w:t>
            </w:r>
            <w:proofErr w:type="spellEnd"/>
            <w:r w:rsidRPr="00626E47">
              <w:rPr>
                <w:rFonts w:asciiTheme="minorHAnsi" w:hAnsiTheme="minorHAnsi"/>
                <w:sz w:val="22"/>
                <w:szCs w:val="22"/>
                <w:lang w:val="en-US"/>
              </w:rPr>
              <w:t>, min</w:t>
            </w:r>
            <w:r w:rsidRPr="00626E47">
              <w:rPr>
                <w:rFonts w:ascii="TimesNewRoman" w:hAnsi="TimesNewRoman" w:cs="TimesNewRoman"/>
                <w:sz w:val="22"/>
                <w:szCs w:val="14"/>
                <w:vertAlign w:val="superscript"/>
              </w:rPr>
              <w:t>Þ</w:t>
            </w:r>
          </w:p>
        </w:tc>
        <w:tc>
          <w:tcPr>
            <w:tcW w:w="2126" w:type="dxa"/>
          </w:tcPr>
          <w:p w14:paraId="2F1CD0DE" w14:textId="77777777" w:rsidR="00A512CD" w:rsidRPr="00626E47" w:rsidRDefault="00A512CD" w:rsidP="00AA1A00">
            <w:pPr>
              <w:pStyle w:val="TableCellCenter"/>
              <w:keepNext/>
              <w:adjustRightInd w:val="0"/>
              <w:spacing w:before="0" w:after="0"/>
              <w:rPr>
                <w:rFonts w:asciiTheme="minorHAnsi" w:hAnsiTheme="minorHAnsi"/>
                <w:sz w:val="22"/>
                <w:szCs w:val="22"/>
              </w:rPr>
            </w:pPr>
            <w:r w:rsidRPr="00626E47">
              <w:rPr>
                <w:rFonts w:asciiTheme="minorHAnsi" w:hAnsiTheme="minorHAnsi"/>
                <w:sz w:val="22"/>
                <w:szCs w:val="22"/>
              </w:rPr>
              <w:t>172 (75.3)</w:t>
            </w:r>
          </w:p>
        </w:tc>
        <w:tc>
          <w:tcPr>
            <w:tcW w:w="2097" w:type="dxa"/>
          </w:tcPr>
          <w:p w14:paraId="7F85960F" w14:textId="77777777" w:rsidR="00A512CD" w:rsidRPr="00626E47" w:rsidRDefault="00A512CD" w:rsidP="00AA1A00">
            <w:pPr>
              <w:pStyle w:val="TableCellCenter"/>
              <w:keepNext/>
              <w:adjustRightInd w:val="0"/>
              <w:spacing w:before="0" w:after="0"/>
              <w:rPr>
                <w:rFonts w:asciiTheme="minorHAnsi" w:hAnsiTheme="minorHAnsi"/>
                <w:sz w:val="22"/>
                <w:szCs w:val="22"/>
              </w:rPr>
            </w:pPr>
            <w:r w:rsidRPr="00626E47">
              <w:rPr>
                <w:rFonts w:asciiTheme="minorHAnsi" w:hAnsiTheme="minorHAnsi"/>
                <w:sz w:val="22"/>
                <w:szCs w:val="22"/>
              </w:rPr>
              <w:t>202 ( 90.8)</w:t>
            </w:r>
          </w:p>
        </w:tc>
      </w:tr>
      <w:tr w:rsidR="00A512CD" w:rsidRPr="00626E47" w14:paraId="3BFF173A" w14:textId="77777777" w:rsidTr="00614FEF">
        <w:tc>
          <w:tcPr>
            <w:tcW w:w="2874" w:type="dxa"/>
          </w:tcPr>
          <w:p w14:paraId="5A34FDA9" w14:textId="77777777" w:rsidR="00A512CD" w:rsidRPr="00626E47" w:rsidRDefault="00A512CD" w:rsidP="00AA1A00">
            <w:pPr>
              <w:pStyle w:val="TableCellLeft"/>
              <w:keepNext/>
              <w:adjustRightInd w:val="0"/>
              <w:spacing w:before="0" w:after="0"/>
              <w:rPr>
                <w:rFonts w:asciiTheme="minorHAnsi" w:hAnsiTheme="minorHAnsi"/>
                <w:sz w:val="22"/>
                <w:szCs w:val="22"/>
                <w:lang w:val="en-US"/>
              </w:rPr>
            </w:pPr>
            <w:proofErr w:type="spellStart"/>
            <w:r>
              <w:rPr>
                <w:rFonts w:asciiTheme="minorHAnsi" w:hAnsiTheme="minorHAnsi"/>
                <w:sz w:val="22"/>
                <w:szCs w:val="22"/>
                <w:lang w:val="en-US"/>
              </w:rPr>
              <w:t>V</w:t>
            </w:r>
            <w:r w:rsidRPr="00834500">
              <w:rPr>
                <w:rFonts w:asciiTheme="minorHAnsi" w:hAnsiTheme="minorHAnsi"/>
                <w:sz w:val="22"/>
                <w:szCs w:val="22"/>
                <w:vertAlign w:val="subscript"/>
                <w:lang w:val="en-US"/>
              </w:rPr>
              <w:t>dss</w:t>
            </w:r>
            <w:proofErr w:type="spellEnd"/>
            <w:r w:rsidRPr="00834500">
              <w:rPr>
                <w:rFonts w:asciiTheme="minorHAnsi" w:hAnsiTheme="minorHAnsi"/>
                <w:sz w:val="22"/>
                <w:szCs w:val="22"/>
                <w:lang w:val="en-US"/>
              </w:rPr>
              <w:t>, mL/kg</w:t>
            </w:r>
            <w:r w:rsidRPr="00626E47">
              <w:rPr>
                <w:rFonts w:asciiTheme="minorHAnsi" w:hAnsiTheme="minorHAnsi"/>
                <w:szCs w:val="20"/>
                <w:vertAlign w:val="superscript"/>
              </w:rPr>
              <w:t>§</w:t>
            </w:r>
          </w:p>
        </w:tc>
        <w:tc>
          <w:tcPr>
            <w:tcW w:w="2126" w:type="dxa"/>
          </w:tcPr>
          <w:p w14:paraId="3DF429F1" w14:textId="77777777" w:rsidR="00A512CD" w:rsidRPr="00626E47" w:rsidRDefault="00A512CD" w:rsidP="00AA1A00">
            <w:pPr>
              <w:pStyle w:val="TableCellCenter"/>
              <w:keepNext/>
              <w:adjustRightInd w:val="0"/>
              <w:spacing w:before="0" w:after="0"/>
              <w:rPr>
                <w:rFonts w:asciiTheme="minorHAnsi" w:hAnsiTheme="minorHAnsi"/>
                <w:sz w:val="22"/>
                <w:szCs w:val="22"/>
              </w:rPr>
            </w:pPr>
            <w:r>
              <w:rPr>
                <w:rFonts w:asciiTheme="minorHAnsi" w:hAnsiTheme="minorHAnsi"/>
                <w:sz w:val="22"/>
                <w:szCs w:val="22"/>
              </w:rPr>
              <w:t>396 (316)</w:t>
            </w:r>
          </w:p>
        </w:tc>
        <w:tc>
          <w:tcPr>
            <w:tcW w:w="2097" w:type="dxa"/>
          </w:tcPr>
          <w:p w14:paraId="5AF9CB74" w14:textId="77777777" w:rsidR="00A512CD" w:rsidRPr="00626E47" w:rsidRDefault="00A512CD" w:rsidP="00AA1A00">
            <w:pPr>
              <w:pStyle w:val="TableCellCenter"/>
              <w:keepNext/>
              <w:adjustRightInd w:val="0"/>
              <w:spacing w:before="0" w:after="0"/>
              <w:rPr>
                <w:rFonts w:asciiTheme="minorHAnsi" w:hAnsiTheme="minorHAnsi"/>
                <w:sz w:val="22"/>
                <w:szCs w:val="22"/>
              </w:rPr>
            </w:pPr>
            <w:r>
              <w:rPr>
                <w:rFonts w:asciiTheme="minorHAnsi" w:hAnsiTheme="minorHAnsi"/>
                <w:sz w:val="22"/>
                <w:szCs w:val="22"/>
              </w:rPr>
              <w:t>650 (1842)</w:t>
            </w:r>
          </w:p>
        </w:tc>
      </w:tr>
    </w:tbl>
    <w:p w14:paraId="442AF01A" w14:textId="77777777" w:rsidR="00A512CD" w:rsidRPr="00626E47" w:rsidRDefault="00A512CD" w:rsidP="00AA1A00">
      <w:pPr>
        <w:keepNext/>
        <w:adjustRightInd w:val="0"/>
        <w:spacing w:after="0" w:line="240" w:lineRule="auto"/>
        <w:ind w:firstLine="4"/>
        <w:rPr>
          <w:sz w:val="18"/>
        </w:rPr>
      </w:pPr>
      <w:r w:rsidRPr="00626E47">
        <w:rPr>
          <w:sz w:val="18"/>
          <w:vertAlign w:val="superscript"/>
        </w:rPr>
        <w:t xml:space="preserve">¥ </w:t>
      </w:r>
      <w:r w:rsidRPr="00626E47">
        <w:rPr>
          <w:sz w:val="18"/>
        </w:rPr>
        <w:t>AUC</w:t>
      </w:r>
      <w:r w:rsidRPr="00626E47">
        <w:rPr>
          <w:sz w:val="18"/>
          <w:vertAlign w:val="subscript"/>
        </w:rPr>
        <w:t>0-t</w:t>
      </w:r>
      <w:r w:rsidRPr="00626E47">
        <w:rPr>
          <w:sz w:val="18"/>
        </w:rPr>
        <w:t>, area under the plasma concentration-time curve from time zero to the time of last</w:t>
      </w:r>
      <w:r w:rsidRPr="00626E47">
        <w:rPr>
          <w:sz w:val="18"/>
        </w:rPr>
        <w:br/>
        <w:t xml:space="preserve">measurable concentration </w:t>
      </w:r>
    </w:p>
    <w:p w14:paraId="3E49DBBA" w14:textId="77777777" w:rsidR="00A512CD" w:rsidRPr="00626E47" w:rsidRDefault="00A512CD" w:rsidP="00AA1A00">
      <w:pPr>
        <w:keepNext/>
        <w:adjustRightInd w:val="0"/>
        <w:spacing w:after="0" w:line="240" w:lineRule="auto"/>
        <w:ind w:left="292" w:hanging="288"/>
        <w:rPr>
          <w:sz w:val="18"/>
        </w:rPr>
      </w:pPr>
      <w:r w:rsidRPr="00626E47">
        <w:rPr>
          <w:sz w:val="18"/>
          <w:vertAlign w:val="superscript"/>
        </w:rPr>
        <w:t xml:space="preserve">† </w:t>
      </w:r>
      <w:proofErr w:type="spellStart"/>
      <w:r w:rsidRPr="00626E47">
        <w:rPr>
          <w:sz w:val="18"/>
        </w:rPr>
        <w:t>C</w:t>
      </w:r>
      <w:r w:rsidRPr="00626E47">
        <w:rPr>
          <w:sz w:val="18"/>
          <w:vertAlign w:val="subscript"/>
        </w:rPr>
        <w:t>max</w:t>
      </w:r>
      <w:proofErr w:type="spellEnd"/>
      <w:r w:rsidRPr="00626E47">
        <w:rPr>
          <w:sz w:val="18"/>
        </w:rPr>
        <w:t>, observed maximum plasma concentration</w:t>
      </w:r>
    </w:p>
    <w:p w14:paraId="327F56F2" w14:textId="77777777" w:rsidR="00A512CD" w:rsidRPr="00626E47" w:rsidRDefault="00A512CD" w:rsidP="00AA1A00">
      <w:pPr>
        <w:keepNext/>
        <w:adjustRightInd w:val="0"/>
        <w:spacing w:after="0" w:line="240" w:lineRule="auto"/>
        <w:ind w:left="292" w:hanging="288"/>
        <w:rPr>
          <w:sz w:val="18"/>
        </w:rPr>
      </w:pPr>
      <w:r w:rsidRPr="00626E47">
        <w:rPr>
          <w:sz w:val="18"/>
          <w:vertAlign w:val="superscript"/>
        </w:rPr>
        <w:t xml:space="preserve">‡ </w:t>
      </w:r>
      <w:r w:rsidRPr="00626E47">
        <w:rPr>
          <w:sz w:val="18"/>
        </w:rPr>
        <w:t xml:space="preserve">CL, total clearance of drug after intravenous administration </w:t>
      </w:r>
    </w:p>
    <w:p w14:paraId="5A375CBA" w14:textId="77777777" w:rsidR="00A512CD" w:rsidRPr="00626E47" w:rsidRDefault="00A512CD" w:rsidP="00AA1A00">
      <w:pPr>
        <w:keepNext/>
        <w:adjustRightInd w:val="0"/>
        <w:spacing w:after="0" w:line="240" w:lineRule="auto"/>
        <w:ind w:left="292" w:hanging="288"/>
        <w:rPr>
          <w:sz w:val="18"/>
        </w:rPr>
      </w:pPr>
      <w:r w:rsidRPr="00626E47">
        <w:rPr>
          <w:sz w:val="18"/>
          <w:vertAlign w:val="superscript"/>
        </w:rPr>
        <w:t xml:space="preserve"># </w:t>
      </w:r>
      <w:r w:rsidRPr="00626E47">
        <w:rPr>
          <w:sz w:val="18"/>
        </w:rPr>
        <w:t>t</w:t>
      </w:r>
      <w:r w:rsidRPr="00626E47">
        <w:rPr>
          <w:sz w:val="18"/>
          <w:vertAlign w:val="subscript"/>
        </w:rPr>
        <w:t>1/</w:t>
      </w:r>
      <w:proofErr w:type="gramStart"/>
      <w:r w:rsidRPr="00626E47">
        <w:rPr>
          <w:sz w:val="18"/>
          <w:vertAlign w:val="subscript"/>
        </w:rPr>
        <w:t>2</w:t>
      </w:r>
      <w:r w:rsidRPr="00626E47">
        <w:rPr>
          <w:sz w:val="18"/>
        </w:rPr>
        <w:t xml:space="preserve"> ,</w:t>
      </w:r>
      <w:proofErr w:type="gramEnd"/>
      <w:r w:rsidRPr="00626E47">
        <w:rPr>
          <w:sz w:val="18"/>
        </w:rPr>
        <w:t xml:space="preserve"> elimination half-life</w:t>
      </w:r>
    </w:p>
    <w:p w14:paraId="18ED2B1B" w14:textId="77777777" w:rsidR="00A512CD" w:rsidRDefault="00A512CD" w:rsidP="00AA1A00">
      <w:pPr>
        <w:pStyle w:val="Heading3"/>
        <w:keepNext/>
        <w:adjustRightInd w:val="0"/>
        <w:rPr>
          <w:sz w:val="18"/>
          <w:u w:val="none"/>
        </w:rPr>
      </w:pPr>
      <w:r w:rsidRPr="00240FF7">
        <w:rPr>
          <w:rFonts w:ascii="TimesNewRoman" w:hAnsi="TimesNewRoman" w:cs="TimesNewRoman"/>
          <w:sz w:val="14"/>
          <w:szCs w:val="14"/>
          <w:u w:val="none"/>
          <w:vertAlign w:val="superscript"/>
        </w:rPr>
        <w:t>Þ</w:t>
      </w:r>
      <w:r w:rsidRPr="00240FF7">
        <w:rPr>
          <w:sz w:val="18"/>
          <w:u w:val="none"/>
          <w:vertAlign w:val="superscript"/>
        </w:rPr>
        <w:t xml:space="preserve"> </w:t>
      </w:r>
      <w:proofErr w:type="spellStart"/>
      <w:r w:rsidRPr="00240FF7">
        <w:rPr>
          <w:sz w:val="18"/>
          <w:u w:val="none"/>
        </w:rPr>
        <w:t>T</w:t>
      </w:r>
      <w:r w:rsidRPr="00240FF7">
        <w:rPr>
          <w:sz w:val="18"/>
          <w:u w:val="none"/>
          <w:vertAlign w:val="subscript"/>
        </w:rPr>
        <w:t>max</w:t>
      </w:r>
      <w:proofErr w:type="spellEnd"/>
      <w:r w:rsidRPr="00240FF7">
        <w:rPr>
          <w:sz w:val="18"/>
          <w:u w:val="none"/>
          <w:vertAlign w:val="subscript"/>
        </w:rPr>
        <w:t xml:space="preserve">, </w:t>
      </w:r>
      <w:r w:rsidRPr="00240FF7">
        <w:rPr>
          <w:sz w:val="18"/>
          <w:u w:val="none"/>
        </w:rPr>
        <w:t>time from zero to maximum plasma concentration</w:t>
      </w:r>
      <w:r>
        <w:rPr>
          <w:sz w:val="18"/>
          <w:u w:val="none"/>
        </w:rPr>
        <w:t xml:space="preserve"> </w:t>
      </w:r>
      <w:r w:rsidRPr="00626E47">
        <w:rPr>
          <w:sz w:val="18"/>
          <w:u w:val="none"/>
        </w:rPr>
        <w:t>Min, minutes</w:t>
      </w:r>
    </w:p>
    <w:p w14:paraId="5D9B74FC" w14:textId="77777777" w:rsidR="00A512CD" w:rsidRPr="007D33EE" w:rsidRDefault="00A512CD" w:rsidP="00AA1A00">
      <w:pPr>
        <w:keepNext/>
        <w:adjustRightInd w:val="0"/>
        <w:spacing w:after="0" w:line="240" w:lineRule="auto"/>
        <w:rPr>
          <w:sz w:val="18"/>
        </w:rPr>
      </w:pPr>
      <w:r w:rsidRPr="00626E47">
        <w:rPr>
          <w:szCs w:val="20"/>
          <w:vertAlign w:val="superscript"/>
        </w:rPr>
        <w:t>§</w:t>
      </w:r>
      <w:r>
        <w:rPr>
          <w:sz w:val="18"/>
        </w:rPr>
        <w:t xml:space="preserve"> </w:t>
      </w:r>
      <w:proofErr w:type="spellStart"/>
      <w:r>
        <w:rPr>
          <w:sz w:val="18"/>
        </w:rPr>
        <w:t>V</w:t>
      </w:r>
      <w:r w:rsidRPr="002026D2">
        <w:rPr>
          <w:sz w:val="18"/>
          <w:vertAlign w:val="subscript"/>
        </w:rPr>
        <w:t>dss</w:t>
      </w:r>
      <w:proofErr w:type="spellEnd"/>
      <w:r>
        <w:rPr>
          <w:sz w:val="18"/>
        </w:rPr>
        <w:t xml:space="preserve">, apparent volume of distribution at steady-state </w:t>
      </w:r>
    </w:p>
    <w:p w14:paraId="543BCE0F" w14:textId="77777777" w:rsidR="00A512CD" w:rsidRPr="00626E47" w:rsidRDefault="00A512CD" w:rsidP="00AA1A00">
      <w:pPr>
        <w:pStyle w:val="Heading3"/>
        <w:adjustRightInd w:val="0"/>
        <w:rPr>
          <w:sz w:val="20"/>
        </w:rPr>
      </w:pPr>
    </w:p>
    <w:p w14:paraId="155D0878" w14:textId="77777777" w:rsidR="00A512CD" w:rsidRPr="00626E47" w:rsidRDefault="00A512CD" w:rsidP="00AA1A00">
      <w:pPr>
        <w:pStyle w:val="Heading3"/>
        <w:adjustRightInd w:val="0"/>
        <w:rPr>
          <w:sz w:val="20"/>
        </w:rPr>
      </w:pPr>
    </w:p>
    <w:p w14:paraId="2D1A901A" w14:textId="77777777" w:rsidR="00A512CD" w:rsidRPr="00626E47" w:rsidRDefault="00A512CD" w:rsidP="00AA1A00">
      <w:pPr>
        <w:pStyle w:val="Heading1"/>
        <w:adjustRightInd w:val="0"/>
      </w:pPr>
      <w:r w:rsidRPr="00626E47">
        <w:t>CLINICAL TRIALS</w:t>
      </w:r>
    </w:p>
    <w:p w14:paraId="6F170B3C" w14:textId="77777777" w:rsidR="00A512CD" w:rsidRPr="00626E47" w:rsidRDefault="00A512CD" w:rsidP="00AA1A00">
      <w:pPr>
        <w:pStyle w:val="Heading3"/>
        <w:adjustRightInd w:val="0"/>
      </w:pPr>
    </w:p>
    <w:p w14:paraId="6216FC2C" w14:textId="77777777" w:rsidR="00A512CD" w:rsidRPr="00626E47" w:rsidRDefault="00A512CD" w:rsidP="00AA1A00">
      <w:pPr>
        <w:pStyle w:val="BodyText"/>
        <w:adjustRightInd w:val="0"/>
        <w:spacing w:after="0" w:line="240" w:lineRule="auto"/>
        <w:rPr>
          <w:bCs/>
        </w:rPr>
      </w:pPr>
      <w:r w:rsidRPr="00626E47">
        <w:rPr>
          <w:bCs/>
        </w:rPr>
        <w:t xml:space="preserve">Clinical trials performed with </w:t>
      </w:r>
      <w:proofErr w:type="spellStart"/>
      <w:r w:rsidRPr="00626E47">
        <w:rPr>
          <w:bCs/>
        </w:rPr>
        <w:t>Vimizim</w:t>
      </w:r>
      <w:proofErr w:type="spellEnd"/>
      <w:r w:rsidRPr="00626E47">
        <w:rPr>
          <w:bCs/>
        </w:rPr>
        <w:t xml:space="preserve"> assessed the impact of treatment on the systemic manifestations of MPS IVA in various domains including endurance, respiratory function, growth velocity, and mobility, as well as urine KS.</w:t>
      </w:r>
    </w:p>
    <w:p w14:paraId="58A3A513" w14:textId="77777777" w:rsidR="00A512CD" w:rsidRPr="00626E47" w:rsidRDefault="00A512CD" w:rsidP="00AA1A00">
      <w:pPr>
        <w:pStyle w:val="BodyText"/>
        <w:adjustRightInd w:val="0"/>
        <w:spacing w:after="0" w:line="240" w:lineRule="auto"/>
      </w:pPr>
    </w:p>
    <w:p w14:paraId="1900BA5F" w14:textId="77777777" w:rsidR="00A512CD" w:rsidRPr="00626E47" w:rsidRDefault="00A512CD" w:rsidP="00AA1A00">
      <w:pPr>
        <w:pStyle w:val="BodyText"/>
        <w:adjustRightInd w:val="0"/>
        <w:spacing w:after="0" w:line="240" w:lineRule="auto"/>
        <w:rPr>
          <w:bCs/>
        </w:rPr>
      </w:pPr>
      <w:r w:rsidRPr="00626E47">
        <w:rPr>
          <w:bCs/>
        </w:rPr>
        <w:t xml:space="preserve">A total of </w:t>
      </w:r>
      <w:r w:rsidRPr="00FA32E7">
        <w:rPr>
          <w:bCs/>
        </w:rPr>
        <w:t>244</w:t>
      </w:r>
      <w:r w:rsidRPr="00626E47">
        <w:rPr>
          <w:bCs/>
        </w:rPr>
        <w:t xml:space="preserve"> patients with MPS IVA were enrolled and exposed to </w:t>
      </w:r>
      <w:proofErr w:type="spellStart"/>
      <w:r w:rsidRPr="00626E47">
        <w:rPr>
          <w:bCs/>
        </w:rPr>
        <w:t>Vimizim</w:t>
      </w:r>
      <w:proofErr w:type="spellEnd"/>
      <w:r w:rsidRPr="00626E47">
        <w:rPr>
          <w:bCs/>
        </w:rPr>
        <w:t xml:space="preserve"> in six clinical trials.</w:t>
      </w:r>
    </w:p>
    <w:p w14:paraId="6A38DBD1" w14:textId="77777777" w:rsidR="002006E3" w:rsidRDefault="002006E3" w:rsidP="00AA1A00">
      <w:pPr>
        <w:pStyle w:val="BodyText"/>
        <w:adjustRightInd w:val="0"/>
        <w:spacing w:after="0" w:line="240" w:lineRule="auto"/>
        <w:rPr>
          <w:bCs/>
        </w:rPr>
      </w:pPr>
    </w:p>
    <w:p w14:paraId="4BFA9AA3" w14:textId="58F6786C" w:rsidR="00A512CD" w:rsidRPr="00626E47" w:rsidRDefault="00A512CD" w:rsidP="00AA1A00">
      <w:pPr>
        <w:pStyle w:val="BodyText"/>
        <w:adjustRightInd w:val="0"/>
        <w:spacing w:after="0" w:line="240" w:lineRule="auto"/>
      </w:pPr>
      <w:r w:rsidRPr="00626E47">
        <w:rPr>
          <w:bCs/>
        </w:rPr>
        <w:t xml:space="preserve">The safety and efficacy of </w:t>
      </w:r>
      <w:proofErr w:type="spellStart"/>
      <w:r w:rsidRPr="00626E47">
        <w:rPr>
          <w:bCs/>
        </w:rPr>
        <w:t>Vimizim</w:t>
      </w:r>
      <w:proofErr w:type="spellEnd"/>
      <w:r w:rsidRPr="00626E47">
        <w:rPr>
          <w:bCs/>
        </w:rPr>
        <w:t xml:space="preserve"> was assessed in a randomised, double-blind, placebo-controlled, Phase 3 clinical trial</w:t>
      </w:r>
      <w:r>
        <w:rPr>
          <w:bCs/>
        </w:rPr>
        <w:t xml:space="preserve"> </w:t>
      </w:r>
      <w:r w:rsidRPr="00FA32E7">
        <w:rPr>
          <w:bCs/>
        </w:rPr>
        <w:t>(MOR-004)</w:t>
      </w:r>
      <w:r w:rsidRPr="00626E47">
        <w:rPr>
          <w:bCs/>
        </w:rPr>
        <w:t xml:space="preserve"> of 176 patients with MPS IVA, ranging in age from 5 to 57 years.</w:t>
      </w:r>
      <w:r w:rsidR="002006E3">
        <w:rPr>
          <w:bCs/>
        </w:rPr>
        <w:t xml:space="preserve"> </w:t>
      </w:r>
      <w:r w:rsidR="002006E3" w:rsidRPr="006C06A0">
        <w:t>The majority of the patients (82%) presented with a medical history of musculoskeletal conditions, which includes knee deformity (52%), kyphosis (31%), hip dysplasia (22%), prior spinal fusion surgery (22%) and arthralgia (20%). Patients also presented with short stature and impaired endurance.</w:t>
      </w:r>
      <w:r w:rsidRPr="00626E47">
        <w:rPr>
          <w:bCs/>
        </w:rPr>
        <w:t xml:space="preserve"> </w:t>
      </w:r>
      <w:proofErr w:type="gramStart"/>
      <w:r w:rsidRPr="00626E47">
        <w:rPr>
          <w:bCs/>
        </w:rPr>
        <w:t>Patients who could walk more than 30 metres (m) but less than 325 m in a 6 Minute Walk Test (MWT) at baseline were enrolled in the trial.</w:t>
      </w:r>
      <w:proofErr w:type="gramEnd"/>
      <w:r w:rsidDel="00E57D83">
        <w:rPr>
          <w:bCs/>
        </w:rPr>
        <w:t xml:space="preserve"> </w:t>
      </w:r>
    </w:p>
    <w:p w14:paraId="2DD70BA8" w14:textId="77777777" w:rsidR="00AA1A00" w:rsidRDefault="00AA1A00" w:rsidP="00AA1A00">
      <w:pPr>
        <w:pStyle w:val="BodyText"/>
        <w:adjustRightInd w:val="0"/>
        <w:spacing w:after="0" w:line="240" w:lineRule="auto"/>
        <w:rPr>
          <w:bCs/>
        </w:rPr>
      </w:pPr>
    </w:p>
    <w:p w14:paraId="680B4E08" w14:textId="77777777" w:rsidR="00A512CD" w:rsidRDefault="00A512CD" w:rsidP="00AA1A00">
      <w:pPr>
        <w:pStyle w:val="BodyText"/>
        <w:adjustRightInd w:val="0"/>
        <w:spacing w:after="0" w:line="240" w:lineRule="auto"/>
        <w:rPr>
          <w:bCs/>
        </w:rPr>
      </w:pPr>
      <w:r w:rsidRPr="00626E47">
        <w:rPr>
          <w:bCs/>
        </w:rPr>
        <w:t xml:space="preserve">Patients received </w:t>
      </w:r>
      <w:proofErr w:type="spellStart"/>
      <w:r w:rsidRPr="00626E47">
        <w:rPr>
          <w:bCs/>
        </w:rPr>
        <w:t>Vimizim</w:t>
      </w:r>
      <w:proofErr w:type="spellEnd"/>
      <w:r w:rsidRPr="00626E47">
        <w:rPr>
          <w:bCs/>
        </w:rPr>
        <w:t xml:space="preserve"> 2 mg/kg every week (n=58) or 2 mg/kg every other week (n=59), or placebo (n=59) for a total of 24 weeks. All patients were treated with antihistamines prior to each infusion.</w:t>
      </w:r>
    </w:p>
    <w:p w14:paraId="3C16DB79" w14:textId="77777777" w:rsidR="00AA1A00" w:rsidRPr="00626E47" w:rsidRDefault="00AA1A00" w:rsidP="00AA1A00">
      <w:pPr>
        <w:pStyle w:val="BodyText"/>
        <w:adjustRightInd w:val="0"/>
        <w:spacing w:after="0" w:line="240" w:lineRule="auto"/>
        <w:rPr>
          <w:bCs/>
        </w:rPr>
      </w:pPr>
    </w:p>
    <w:p w14:paraId="14BD7B8D" w14:textId="77777777" w:rsidR="00A512CD" w:rsidRDefault="00A512CD" w:rsidP="00AA1A00">
      <w:pPr>
        <w:pStyle w:val="BodyText"/>
        <w:adjustRightInd w:val="0"/>
        <w:spacing w:after="0" w:line="240" w:lineRule="auto"/>
        <w:rPr>
          <w:bCs/>
        </w:rPr>
      </w:pPr>
      <w:r w:rsidRPr="00626E47">
        <w:rPr>
          <w:bCs/>
        </w:rPr>
        <w:t>The primary endpoint was the change from baseline in the 6</w:t>
      </w:r>
      <w:r>
        <w:rPr>
          <w:bCs/>
        </w:rPr>
        <w:t>-</w:t>
      </w:r>
      <w:r w:rsidRPr="00626E47">
        <w:rPr>
          <w:bCs/>
        </w:rPr>
        <w:t>MWT distance compared to placebo at Week 24. The secondary endpoints were the change from baseline in the 3 Minute Stair Climb Test (MSCT) and urine KS levels at Week 24.</w:t>
      </w:r>
    </w:p>
    <w:p w14:paraId="49FAF5D0" w14:textId="77777777" w:rsidR="00AA1A00" w:rsidRPr="00626E47" w:rsidRDefault="00AA1A00" w:rsidP="00AA1A00">
      <w:pPr>
        <w:pStyle w:val="BodyText"/>
        <w:adjustRightInd w:val="0"/>
        <w:spacing w:after="0" w:line="240" w:lineRule="auto"/>
        <w:rPr>
          <w:bCs/>
        </w:rPr>
      </w:pPr>
    </w:p>
    <w:p w14:paraId="44398040" w14:textId="77777777" w:rsidR="00A512CD" w:rsidRDefault="00A512CD" w:rsidP="00AA1A00">
      <w:pPr>
        <w:pStyle w:val="BodyText"/>
        <w:adjustRightInd w:val="0"/>
        <w:spacing w:after="0" w:line="240" w:lineRule="auto"/>
        <w:rPr>
          <w:bCs/>
        </w:rPr>
      </w:pPr>
      <w:r w:rsidRPr="00626E47">
        <w:rPr>
          <w:bCs/>
        </w:rPr>
        <w:t>A total of 173 patients subsequently enrolled in an extension trial</w:t>
      </w:r>
      <w:r>
        <w:rPr>
          <w:bCs/>
        </w:rPr>
        <w:t xml:space="preserve"> </w:t>
      </w:r>
      <w:r w:rsidRPr="00FA32E7">
        <w:rPr>
          <w:bCs/>
        </w:rPr>
        <w:t>(MOR-005)</w:t>
      </w:r>
      <w:r w:rsidRPr="00626E47">
        <w:rPr>
          <w:bCs/>
        </w:rPr>
        <w:t xml:space="preserve"> in which patients received 2 mg/kg of </w:t>
      </w:r>
      <w:proofErr w:type="spellStart"/>
      <w:r w:rsidRPr="00626E47">
        <w:rPr>
          <w:bCs/>
        </w:rPr>
        <w:t>Vimizim</w:t>
      </w:r>
      <w:proofErr w:type="spellEnd"/>
      <w:r w:rsidRPr="00626E47">
        <w:rPr>
          <w:bCs/>
        </w:rPr>
        <w:t xml:space="preserve"> every week or 2 mg/kg every other week, and then all were switched to 2 mg/kg every week upon availability of the Week 24 results.</w:t>
      </w:r>
    </w:p>
    <w:p w14:paraId="3BB51AEF" w14:textId="77777777" w:rsidR="00AA1A00" w:rsidRPr="00626E47" w:rsidRDefault="00AA1A00" w:rsidP="00AA1A00">
      <w:pPr>
        <w:pStyle w:val="BodyText"/>
        <w:adjustRightInd w:val="0"/>
        <w:spacing w:after="0" w:line="240" w:lineRule="auto"/>
      </w:pPr>
    </w:p>
    <w:p w14:paraId="6CFA01A5" w14:textId="4B598F32" w:rsidR="00A512CD" w:rsidRPr="00626E47" w:rsidRDefault="00A512CD" w:rsidP="00AA1A00">
      <w:pPr>
        <w:pStyle w:val="BodyText"/>
        <w:adjustRightInd w:val="0"/>
        <w:spacing w:after="0" w:line="240" w:lineRule="auto"/>
      </w:pPr>
      <w:r w:rsidRPr="00626E47">
        <w:rPr>
          <w:bCs/>
        </w:rPr>
        <w:t xml:space="preserve">The primary and secondary endpoints were evaluated at Week 24, </w:t>
      </w:r>
      <w:r w:rsidRPr="00626E47">
        <w:t>using an ANCOVA model with treatment, age stratification (5–11, 12–18, ≥ 19 years), and baseline 6</w:t>
      </w:r>
      <w:r>
        <w:t>-</w:t>
      </w:r>
      <w:r w:rsidRPr="00626E47">
        <w:t>MWT stratification (≤ 200 metres and &gt; 200 metres) as factors</w:t>
      </w:r>
      <w:r w:rsidRPr="00626E47">
        <w:rPr>
          <w:bCs/>
        </w:rPr>
        <w:t>. In the intent-to-treat population, the modelled treatment effect in the distance walked in 6 minutes, compared to placebo, was 22.5 m (CI</w:t>
      </w:r>
      <w:r w:rsidRPr="00626E47">
        <w:rPr>
          <w:bCs/>
          <w:vertAlign w:val="subscript"/>
        </w:rPr>
        <w:t>95</w:t>
      </w:r>
      <w:r w:rsidRPr="00626E47">
        <w:rPr>
          <w:bCs/>
        </w:rPr>
        <w:t>, 4.0, 40.9; p=0.0174) for the 2 mg/kg/</w:t>
      </w:r>
      <w:proofErr w:type="spellStart"/>
      <w:r w:rsidRPr="00626E47">
        <w:rPr>
          <w:bCs/>
        </w:rPr>
        <w:t>wk</w:t>
      </w:r>
      <w:proofErr w:type="spellEnd"/>
      <w:r w:rsidRPr="00626E47">
        <w:rPr>
          <w:bCs/>
        </w:rPr>
        <w:t xml:space="preserve"> regimen.</w:t>
      </w:r>
      <w:r w:rsidRPr="000D3879">
        <w:rPr>
          <w:bCs/>
        </w:rPr>
        <w:t xml:space="preserve"> There was no difference in the rate of stair climbing </w:t>
      </w:r>
      <w:r w:rsidRPr="000D3879">
        <w:rPr>
          <w:bCs/>
        </w:rPr>
        <w:lastRenderedPageBreak/>
        <w:t xml:space="preserve">between patients who received </w:t>
      </w:r>
      <w:proofErr w:type="spellStart"/>
      <w:r w:rsidRPr="000D3879">
        <w:rPr>
          <w:bCs/>
        </w:rPr>
        <w:t>Vim</w:t>
      </w:r>
      <w:r>
        <w:rPr>
          <w:bCs/>
        </w:rPr>
        <w:t>i</w:t>
      </w:r>
      <w:r w:rsidRPr="000D3879">
        <w:rPr>
          <w:bCs/>
        </w:rPr>
        <w:t>zim</w:t>
      </w:r>
      <w:proofErr w:type="spellEnd"/>
      <w:r w:rsidRPr="000D3879">
        <w:rPr>
          <w:bCs/>
        </w:rPr>
        <w:t xml:space="preserve"> 2 mg/kg once per week and those who received placebo.  Patients who received </w:t>
      </w:r>
      <w:proofErr w:type="spellStart"/>
      <w:r w:rsidRPr="000D3879">
        <w:rPr>
          <w:bCs/>
        </w:rPr>
        <w:t>Vimizim</w:t>
      </w:r>
      <w:proofErr w:type="spellEnd"/>
      <w:r w:rsidRPr="000D3879">
        <w:rPr>
          <w:bCs/>
        </w:rPr>
        <w:t xml:space="preserve"> 2 mg/kg once every other week performed similarly in the 6-MWT and 3-MSCT as those who received placebo.  The reduction in urinary KS levels from baseline, a measure of </w:t>
      </w:r>
      <w:proofErr w:type="spellStart"/>
      <w:r w:rsidRPr="000D3879">
        <w:rPr>
          <w:bCs/>
        </w:rPr>
        <w:t>pharmacodynamic</w:t>
      </w:r>
      <w:proofErr w:type="spellEnd"/>
      <w:r w:rsidRPr="000D3879">
        <w:rPr>
          <w:bCs/>
        </w:rPr>
        <w:t xml:space="preserve"> effect, was greater in the </w:t>
      </w:r>
      <w:proofErr w:type="spellStart"/>
      <w:r w:rsidRPr="000D3879">
        <w:rPr>
          <w:bCs/>
        </w:rPr>
        <w:t>Vimizim</w:t>
      </w:r>
      <w:proofErr w:type="spellEnd"/>
      <w:r w:rsidRPr="000D3879">
        <w:rPr>
          <w:bCs/>
        </w:rPr>
        <w:t xml:space="preserve"> treatment group</w:t>
      </w:r>
      <w:r>
        <w:rPr>
          <w:bCs/>
        </w:rPr>
        <w:t>s</w:t>
      </w:r>
      <w:r w:rsidRPr="000D3879">
        <w:rPr>
          <w:bCs/>
        </w:rPr>
        <w:t xml:space="preserve"> compared to placebo. The relationship between urinary KS and other measures of clinical response has not been established.</w:t>
      </w:r>
      <w:r>
        <w:rPr>
          <w:bCs/>
        </w:rPr>
        <w:t xml:space="preserve"> </w:t>
      </w:r>
      <w:r w:rsidRPr="008C7AE1">
        <w:rPr>
          <w:bCs/>
        </w:rPr>
        <w:t>The difference was greatest between the</w:t>
      </w:r>
      <w:r w:rsidRPr="00626E47">
        <w:rPr>
          <w:bCs/>
        </w:rPr>
        <w:t xml:space="preserve"> placebo group and the weekly treatment group for all endpoints. </w:t>
      </w:r>
    </w:p>
    <w:p w14:paraId="6073BC00" w14:textId="55ABDCE9" w:rsidR="00B5039E" w:rsidRDefault="00B5039E" w:rsidP="00AA1A00">
      <w:pPr>
        <w:adjustRightInd w:val="0"/>
        <w:spacing w:after="0" w:line="240" w:lineRule="auto"/>
      </w:pPr>
    </w:p>
    <w:p w14:paraId="12A2CADB" w14:textId="77777777" w:rsidR="00A512CD" w:rsidRPr="00626E47" w:rsidRDefault="00A512CD" w:rsidP="00AA1A00">
      <w:pPr>
        <w:pStyle w:val="BodyText"/>
        <w:spacing w:before="120"/>
        <w:rPr>
          <w:b/>
        </w:rPr>
      </w:pPr>
      <w:r w:rsidRPr="00626E47">
        <w:rPr>
          <w:b/>
        </w:rPr>
        <w:t>Table 2: Results from Placebo-Controlled Clinical Study at 2 mg per kg per week (Intent-to Treat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0"/>
        <w:gridCol w:w="1092"/>
        <w:gridCol w:w="980"/>
        <w:gridCol w:w="1203"/>
        <w:gridCol w:w="1007"/>
        <w:gridCol w:w="974"/>
        <w:gridCol w:w="1109"/>
        <w:gridCol w:w="1787"/>
      </w:tblGrid>
      <w:tr w:rsidR="00A512CD" w:rsidRPr="00626E47" w14:paraId="49840E2A" w14:textId="77777777" w:rsidTr="008021AF">
        <w:trPr>
          <w:cantSplit/>
          <w:trHeight w:val="598"/>
        </w:trPr>
        <w:tc>
          <w:tcPr>
            <w:tcW w:w="589" w:type="pct"/>
            <w:vMerge w:val="restart"/>
            <w:vAlign w:val="bottom"/>
          </w:tcPr>
          <w:p w14:paraId="0A4CE8B0" w14:textId="77777777" w:rsidR="00A512CD" w:rsidRPr="00626E47" w:rsidRDefault="00A512CD" w:rsidP="00A512CD">
            <w:pPr>
              <w:pStyle w:val="TableCellCenter"/>
              <w:keepNext/>
              <w:keepLines/>
              <w:rPr>
                <w:rFonts w:asciiTheme="minorHAnsi" w:hAnsiTheme="minorHAnsi"/>
                <w:b/>
                <w:sz w:val="18"/>
                <w:szCs w:val="18"/>
              </w:rPr>
            </w:pPr>
          </w:p>
        </w:tc>
        <w:tc>
          <w:tcPr>
            <w:tcW w:w="1772" w:type="pct"/>
            <w:gridSpan w:val="3"/>
            <w:vAlign w:val="bottom"/>
          </w:tcPr>
          <w:p w14:paraId="43875319" w14:textId="77777777" w:rsidR="00A512CD" w:rsidRPr="00626E47" w:rsidRDefault="00A512CD" w:rsidP="00A512CD">
            <w:pPr>
              <w:pStyle w:val="TableCellCenter"/>
              <w:keepNext/>
              <w:keepLines/>
              <w:rPr>
                <w:rFonts w:asciiTheme="minorHAnsi" w:hAnsiTheme="minorHAnsi"/>
                <w:b/>
                <w:sz w:val="18"/>
                <w:szCs w:val="18"/>
              </w:rPr>
            </w:pPr>
            <w:proofErr w:type="spellStart"/>
            <w:r w:rsidRPr="00626E47">
              <w:rPr>
                <w:rFonts w:asciiTheme="minorHAnsi" w:hAnsiTheme="minorHAnsi"/>
                <w:b/>
                <w:sz w:val="18"/>
                <w:szCs w:val="18"/>
              </w:rPr>
              <w:t>Vimizim</w:t>
            </w:r>
            <w:proofErr w:type="spellEnd"/>
          </w:p>
        </w:tc>
        <w:tc>
          <w:tcPr>
            <w:tcW w:w="1672" w:type="pct"/>
            <w:gridSpan w:val="3"/>
            <w:vAlign w:val="bottom"/>
          </w:tcPr>
          <w:p w14:paraId="398BB189" w14:textId="77777777" w:rsidR="00A512CD" w:rsidRPr="00626E47" w:rsidRDefault="00A512CD" w:rsidP="00A512CD">
            <w:pPr>
              <w:pStyle w:val="TableCellCenter"/>
              <w:keepNext/>
              <w:keepLines/>
              <w:rPr>
                <w:rFonts w:asciiTheme="minorHAnsi" w:hAnsiTheme="minorHAnsi"/>
                <w:b/>
                <w:sz w:val="18"/>
                <w:szCs w:val="18"/>
              </w:rPr>
            </w:pPr>
            <w:r w:rsidRPr="00626E47">
              <w:rPr>
                <w:rFonts w:asciiTheme="minorHAnsi" w:hAnsiTheme="minorHAnsi"/>
                <w:b/>
                <w:sz w:val="18"/>
                <w:szCs w:val="18"/>
              </w:rPr>
              <w:t>Placebo</w:t>
            </w:r>
          </w:p>
        </w:tc>
        <w:tc>
          <w:tcPr>
            <w:tcW w:w="967" w:type="pct"/>
            <w:vAlign w:val="bottom"/>
          </w:tcPr>
          <w:p w14:paraId="3F26AB3D" w14:textId="77777777" w:rsidR="00A512CD" w:rsidRPr="00626E47" w:rsidRDefault="00A512CD" w:rsidP="00A512CD">
            <w:pPr>
              <w:pStyle w:val="TableCellCenter"/>
              <w:keepNext/>
              <w:keepLines/>
              <w:rPr>
                <w:rFonts w:asciiTheme="minorHAnsi" w:hAnsiTheme="minorHAnsi"/>
                <w:b/>
                <w:sz w:val="18"/>
                <w:szCs w:val="18"/>
              </w:rPr>
            </w:pPr>
            <w:proofErr w:type="spellStart"/>
            <w:r w:rsidRPr="00626E47">
              <w:rPr>
                <w:rFonts w:asciiTheme="minorHAnsi" w:hAnsiTheme="minorHAnsi"/>
                <w:b/>
                <w:sz w:val="18"/>
                <w:szCs w:val="18"/>
              </w:rPr>
              <w:t>Vimizim</w:t>
            </w:r>
            <w:proofErr w:type="spellEnd"/>
            <w:r w:rsidRPr="00626E47">
              <w:rPr>
                <w:rFonts w:asciiTheme="minorHAnsi" w:hAnsiTheme="minorHAnsi"/>
                <w:b/>
                <w:sz w:val="18"/>
                <w:szCs w:val="18"/>
              </w:rPr>
              <w:t xml:space="preserve"> vs.</w:t>
            </w:r>
            <w:r w:rsidRPr="00626E47">
              <w:rPr>
                <w:rFonts w:asciiTheme="minorHAnsi" w:hAnsiTheme="minorHAnsi"/>
                <w:b/>
                <w:sz w:val="18"/>
                <w:szCs w:val="18"/>
              </w:rPr>
              <w:br/>
              <w:t>Placebo</w:t>
            </w:r>
          </w:p>
        </w:tc>
      </w:tr>
      <w:tr w:rsidR="00A512CD" w:rsidRPr="00626E47" w14:paraId="58A4DD5B" w14:textId="77777777" w:rsidTr="002628A5">
        <w:trPr>
          <w:cantSplit/>
        </w:trPr>
        <w:tc>
          <w:tcPr>
            <w:tcW w:w="589" w:type="pct"/>
            <w:vMerge/>
            <w:vAlign w:val="center"/>
          </w:tcPr>
          <w:p w14:paraId="6A203447" w14:textId="77777777" w:rsidR="00A512CD" w:rsidRPr="00626E47" w:rsidRDefault="00A512CD" w:rsidP="00A512CD">
            <w:pPr>
              <w:rPr>
                <w:b/>
                <w:sz w:val="18"/>
                <w:szCs w:val="18"/>
              </w:rPr>
            </w:pPr>
          </w:p>
        </w:tc>
        <w:tc>
          <w:tcPr>
            <w:tcW w:w="591" w:type="pct"/>
            <w:vAlign w:val="bottom"/>
          </w:tcPr>
          <w:p w14:paraId="70826B85" w14:textId="77777777" w:rsidR="00A512CD" w:rsidRPr="00626E47" w:rsidRDefault="00A512CD" w:rsidP="00A512CD">
            <w:pPr>
              <w:pStyle w:val="TableCellCenter"/>
              <w:keepNext/>
              <w:keepLines/>
              <w:rPr>
                <w:rFonts w:asciiTheme="minorHAnsi" w:hAnsiTheme="minorHAnsi"/>
                <w:b/>
                <w:sz w:val="18"/>
                <w:szCs w:val="18"/>
              </w:rPr>
            </w:pPr>
            <w:r w:rsidRPr="00626E47">
              <w:rPr>
                <w:rFonts w:asciiTheme="minorHAnsi" w:hAnsiTheme="minorHAnsi"/>
                <w:b/>
                <w:sz w:val="18"/>
                <w:szCs w:val="18"/>
              </w:rPr>
              <w:t>Baseline</w:t>
            </w:r>
          </w:p>
        </w:tc>
        <w:tc>
          <w:tcPr>
            <w:tcW w:w="530" w:type="pct"/>
            <w:vAlign w:val="bottom"/>
          </w:tcPr>
          <w:p w14:paraId="5663C474" w14:textId="77777777" w:rsidR="00A512CD" w:rsidRPr="00626E47" w:rsidRDefault="00A512CD" w:rsidP="00A512CD">
            <w:pPr>
              <w:pStyle w:val="TableCellCenter"/>
              <w:keepNext/>
              <w:keepLines/>
              <w:rPr>
                <w:rFonts w:asciiTheme="minorHAnsi" w:hAnsiTheme="minorHAnsi"/>
                <w:b/>
                <w:sz w:val="18"/>
                <w:szCs w:val="18"/>
              </w:rPr>
            </w:pPr>
            <w:r w:rsidRPr="00626E47">
              <w:rPr>
                <w:rFonts w:asciiTheme="minorHAnsi" w:hAnsiTheme="minorHAnsi"/>
                <w:b/>
                <w:sz w:val="18"/>
                <w:szCs w:val="18"/>
              </w:rPr>
              <w:t>Week 24</w:t>
            </w:r>
          </w:p>
        </w:tc>
        <w:tc>
          <w:tcPr>
            <w:tcW w:w="651" w:type="pct"/>
            <w:vAlign w:val="bottom"/>
          </w:tcPr>
          <w:p w14:paraId="4C7468C9" w14:textId="77777777" w:rsidR="00A512CD" w:rsidRPr="00626E47" w:rsidRDefault="00A512CD" w:rsidP="00A512CD">
            <w:pPr>
              <w:pStyle w:val="TableCellCenter"/>
              <w:keepNext/>
              <w:keepLines/>
              <w:rPr>
                <w:rFonts w:asciiTheme="minorHAnsi" w:hAnsiTheme="minorHAnsi"/>
                <w:b/>
                <w:sz w:val="18"/>
                <w:szCs w:val="18"/>
              </w:rPr>
            </w:pPr>
            <w:r w:rsidRPr="00626E47">
              <w:rPr>
                <w:rFonts w:asciiTheme="minorHAnsi" w:hAnsiTheme="minorHAnsi"/>
                <w:b/>
                <w:sz w:val="18"/>
                <w:szCs w:val="18"/>
              </w:rPr>
              <w:t>Change</w:t>
            </w:r>
          </w:p>
        </w:tc>
        <w:tc>
          <w:tcPr>
            <w:tcW w:w="545" w:type="pct"/>
            <w:vAlign w:val="bottom"/>
          </w:tcPr>
          <w:p w14:paraId="28E4CE46" w14:textId="77777777" w:rsidR="00A512CD" w:rsidRPr="00626E47" w:rsidRDefault="00A512CD" w:rsidP="00A512CD">
            <w:pPr>
              <w:pStyle w:val="TableCellCenter"/>
              <w:keepNext/>
              <w:keepLines/>
              <w:rPr>
                <w:rFonts w:asciiTheme="minorHAnsi" w:hAnsiTheme="minorHAnsi"/>
                <w:b/>
                <w:sz w:val="18"/>
                <w:szCs w:val="18"/>
              </w:rPr>
            </w:pPr>
            <w:r w:rsidRPr="00626E47">
              <w:rPr>
                <w:rFonts w:asciiTheme="minorHAnsi" w:hAnsiTheme="minorHAnsi"/>
                <w:b/>
                <w:sz w:val="18"/>
                <w:szCs w:val="18"/>
              </w:rPr>
              <w:t>Baseline</w:t>
            </w:r>
          </w:p>
        </w:tc>
        <w:tc>
          <w:tcPr>
            <w:tcW w:w="527" w:type="pct"/>
            <w:vAlign w:val="bottom"/>
          </w:tcPr>
          <w:p w14:paraId="6CCA1271" w14:textId="77777777" w:rsidR="00A512CD" w:rsidRPr="00626E47" w:rsidRDefault="00A512CD" w:rsidP="00A512CD">
            <w:pPr>
              <w:pStyle w:val="TableCellCenter"/>
              <w:keepNext/>
              <w:keepLines/>
              <w:rPr>
                <w:rFonts w:asciiTheme="minorHAnsi" w:hAnsiTheme="minorHAnsi"/>
                <w:b/>
                <w:sz w:val="18"/>
                <w:szCs w:val="18"/>
              </w:rPr>
            </w:pPr>
            <w:r w:rsidRPr="00626E47">
              <w:rPr>
                <w:rFonts w:asciiTheme="minorHAnsi" w:hAnsiTheme="minorHAnsi"/>
                <w:b/>
                <w:sz w:val="18"/>
                <w:szCs w:val="18"/>
              </w:rPr>
              <w:t>Week 24</w:t>
            </w:r>
          </w:p>
        </w:tc>
        <w:tc>
          <w:tcPr>
            <w:tcW w:w="600" w:type="pct"/>
            <w:vAlign w:val="bottom"/>
          </w:tcPr>
          <w:p w14:paraId="1F32700A" w14:textId="77777777" w:rsidR="00A512CD" w:rsidRPr="00626E47" w:rsidRDefault="00A512CD" w:rsidP="00A512CD">
            <w:pPr>
              <w:pStyle w:val="TableCellCenter"/>
              <w:keepNext/>
              <w:keepLines/>
              <w:rPr>
                <w:rFonts w:asciiTheme="minorHAnsi" w:hAnsiTheme="minorHAnsi"/>
                <w:b/>
                <w:sz w:val="18"/>
                <w:szCs w:val="18"/>
              </w:rPr>
            </w:pPr>
            <w:r w:rsidRPr="00626E47">
              <w:rPr>
                <w:rFonts w:asciiTheme="minorHAnsi" w:hAnsiTheme="minorHAnsi"/>
                <w:b/>
                <w:sz w:val="18"/>
                <w:szCs w:val="18"/>
              </w:rPr>
              <w:t>Change</w:t>
            </w:r>
          </w:p>
        </w:tc>
        <w:tc>
          <w:tcPr>
            <w:tcW w:w="967" w:type="pct"/>
            <w:vAlign w:val="bottom"/>
          </w:tcPr>
          <w:p w14:paraId="6D00F431" w14:textId="77777777" w:rsidR="00A512CD" w:rsidRPr="00626E47" w:rsidRDefault="00A512CD" w:rsidP="00A512CD">
            <w:pPr>
              <w:pStyle w:val="TableCellCenter"/>
              <w:keepNext/>
              <w:keepLines/>
              <w:rPr>
                <w:rFonts w:asciiTheme="minorHAnsi" w:hAnsiTheme="minorHAnsi"/>
                <w:b/>
                <w:sz w:val="18"/>
                <w:szCs w:val="18"/>
              </w:rPr>
            </w:pPr>
            <w:r w:rsidRPr="00626E47">
              <w:rPr>
                <w:rFonts w:asciiTheme="minorHAnsi" w:hAnsiTheme="minorHAnsi"/>
                <w:b/>
                <w:sz w:val="18"/>
                <w:szCs w:val="18"/>
              </w:rPr>
              <w:t>Difference in Changes</w:t>
            </w:r>
          </w:p>
        </w:tc>
      </w:tr>
      <w:tr w:rsidR="00A512CD" w:rsidRPr="00626E47" w14:paraId="641B329A" w14:textId="77777777" w:rsidTr="002628A5">
        <w:tc>
          <w:tcPr>
            <w:tcW w:w="589" w:type="pct"/>
          </w:tcPr>
          <w:p w14:paraId="47CCD914" w14:textId="77777777" w:rsidR="00A512CD" w:rsidRPr="00626E47" w:rsidRDefault="00A512CD" w:rsidP="00A512CD">
            <w:pPr>
              <w:pStyle w:val="TableCellCenter"/>
              <w:keepNext/>
              <w:keepLines/>
              <w:rPr>
                <w:rFonts w:asciiTheme="minorHAnsi" w:hAnsiTheme="minorHAnsi"/>
                <w:sz w:val="18"/>
                <w:szCs w:val="18"/>
              </w:rPr>
            </w:pPr>
            <w:r w:rsidRPr="00626E47">
              <w:rPr>
                <w:rFonts w:asciiTheme="minorHAnsi" w:hAnsiTheme="minorHAnsi"/>
                <w:sz w:val="18"/>
                <w:szCs w:val="18"/>
              </w:rPr>
              <w:t>N</w:t>
            </w:r>
          </w:p>
        </w:tc>
        <w:tc>
          <w:tcPr>
            <w:tcW w:w="591" w:type="pct"/>
          </w:tcPr>
          <w:p w14:paraId="18B0B91F" w14:textId="77777777" w:rsidR="00A512CD" w:rsidRPr="00626E47" w:rsidRDefault="00A512CD" w:rsidP="00A512CD">
            <w:pPr>
              <w:pStyle w:val="TableCellCenter"/>
              <w:keepNext/>
              <w:keepLines/>
              <w:rPr>
                <w:rFonts w:asciiTheme="minorHAnsi" w:hAnsiTheme="minorHAnsi"/>
                <w:sz w:val="18"/>
                <w:szCs w:val="18"/>
              </w:rPr>
            </w:pPr>
            <w:r w:rsidRPr="00626E47">
              <w:rPr>
                <w:rFonts w:asciiTheme="minorHAnsi" w:hAnsiTheme="minorHAnsi"/>
                <w:sz w:val="18"/>
                <w:szCs w:val="18"/>
              </w:rPr>
              <w:t>58</w:t>
            </w:r>
          </w:p>
        </w:tc>
        <w:tc>
          <w:tcPr>
            <w:tcW w:w="530" w:type="pct"/>
          </w:tcPr>
          <w:p w14:paraId="4EBAA078" w14:textId="77777777" w:rsidR="00A512CD" w:rsidRPr="00626E47" w:rsidRDefault="00A512CD" w:rsidP="00A512CD">
            <w:pPr>
              <w:pStyle w:val="TableCellCenter"/>
              <w:keepNext/>
              <w:keepLines/>
              <w:rPr>
                <w:rFonts w:asciiTheme="minorHAnsi" w:hAnsiTheme="minorHAnsi"/>
                <w:sz w:val="18"/>
                <w:szCs w:val="18"/>
              </w:rPr>
            </w:pPr>
            <w:r w:rsidRPr="00626E47">
              <w:rPr>
                <w:rFonts w:asciiTheme="minorHAnsi" w:hAnsiTheme="minorHAnsi"/>
                <w:sz w:val="18"/>
                <w:szCs w:val="18"/>
              </w:rPr>
              <w:t>57</w:t>
            </w:r>
            <w:r w:rsidRPr="00626E47">
              <w:rPr>
                <w:rFonts w:asciiTheme="minorHAnsi" w:hAnsiTheme="minorHAnsi"/>
                <w:sz w:val="18"/>
                <w:szCs w:val="18"/>
                <w:vertAlign w:val="superscript"/>
              </w:rPr>
              <w:t>¥</w:t>
            </w:r>
          </w:p>
        </w:tc>
        <w:tc>
          <w:tcPr>
            <w:tcW w:w="651" w:type="pct"/>
          </w:tcPr>
          <w:p w14:paraId="68AAFD00" w14:textId="77777777" w:rsidR="00A512CD" w:rsidRPr="00626E47" w:rsidRDefault="00A512CD" w:rsidP="00A512CD">
            <w:pPr>
              <w:pStyle w:val="TableCellCenter"/>
              <w:keepNext/>
              <w:keepLines/>
              <w:rPr>
                <w:rFonts w:asciiTheme="minorHAnsi" w:hAnsiTheme="minorHAnsi"/>
                <w:sz w:val="18"/>
                <w:szCs w:val="18"/>
              </w:rPr>
            </w:pPr>
            <w:r w:rsidRPr="00626E47">
              <w:rPr>
                <w:rFonts w:asciiTheme="minorHAnsi" w:hAnsiTheme="minorHAnsi"/>
                <w:sz w:val="18"/>
                <w:szCs w:val="18"/>
              </w:rPr>
              <w:t>57</w:t>
            </w:r>
          </w:p>
        </w:tc>
        <w:tc>
          <w:tcPr>
            <w:tcW w:w="545" w:type="pct"/>
          </w:tcPr>
          <w:p w14:paraId="02B8C7F0" w14:textId="77777777" w:rsidR="00A512CD" w:rsidRPr="00626E47" w:rsidRDefault="00A512CD" w:rsidP="00A512CD">
            <w:pPr>
              <w:pStyle w:val="TableCellCenter"/>
              <w:keepNext/>
              <w:keepLines/>
              <w:rPr>
                <w:rFonts w:asciiTheme="minorHAnsi" w:hAnsiTheme="minorHAnsi"/>
                <w:sz w:val="18"/>
                <w:szCs w:val="18"/>
              </w:rPr>
            </w:pPr>
            <w:r w:rsidRPr="00626E47">
              <w:rPr>
                <w:rFonts w:asciiTheme="minorHAnsi" w:hAnsiTheme="minorHAnsi"/>
                <w:sz w:val="18"/>
                <w:szCs w:val="18"/>
              </w:rPr>
              <w:t>59</w:t>
            </w:r>
          </w:p>
        </w:tc>
        <w:tc>
          <w:tcPr>
            <w:tcW w:w="527" w:type="pct"/>
          </w:tcPr>
          <w:p w14:paraId="05DAFAFD" w14:textId="77777777" w:rsidR="00A512CD" w:rsidRPr="00626E47" w:rsidRDefault="00A512CD" w:rsidP="00A512CD">
            <w:pPr>
              <w:pStyle w:val="TableCellCenter"/>
              <w:keepNext/>
              <w:keepLines/>
              <w:rPr>
                <w:rFonts w:asciiTheme="minorHAnsi" w:hAnsiTheme="minorHAnsi"/>
                <w:sz w:val="18"/>
                <w:szCs w:val="18"/>
              </w:rPr>
            </w:pPr>
            <w:r w:rsidRPr="00626E47">
              <w:rPr>
                <w:rFonts w:asciiTheme="minorHAnsi" w:hAnsiTheme="minorHAnsi"/>
                <w:sz w:val="18"/>
                <w:szCs w:val="18"/>
              </w:rPr>
              <w:t>59</w:t>
            </w:r>
          </w:p>
        </w:tc>
        <w:tc>
          <w:tcPr>
            <w:tcW w:w="600" w:type="pct"/>
          </w:tcPr>
          <w:p w14:paraId="3CDB6340" w14:textId="77777777" w:rsidR="00A512CD" w:rsidRPr="00626E47" w:rsidRDefault="00A512CD" w:rsidP="00A512CD">
            <w:pPr>
              <w:pStyle w:val="TableCellCenter"/>
              <w:keepNext/>
              <w:keepLines/>
              <w:rPr>
                <w:rFonts w:asciiTheme="minorHAnsi" w:hAnsiTheme="minorHAnsi"/>
                <w:sz w:val="18"/>
                <w:szCs w:val="18"/>
              </w:rPr>
            </w:pPr>
            <w:r w:rsidRPr="00626E47">
              <w:rPr>
                <w:rFonts w:asciiTheme="minorHAnsi" w:hAnsiTheme="minorHAnsi"/>
                <w:sz w:val="18"/>
                <w:szCs w:val="18"/>
              </w:rPr>
              <w:t>59</w:t>
            </w:r>
          </w:p>
        </w:tc>
        <w:tc>
          <w:tcPr>
            <w:tcW w:w="967" w:type="pct"/>
          </w:tcPr>
          <w:p w14:paraId="477B6695" w14:textId="77777777" w:rsidR="00A512CD" w:rsidRPr="00626E47" w:rsidRDefault="00A512CD" w:rsidP="00A512CD">
            <w:pPr>
              <w:pStyle w:val="TableCellCenter"/>
              <w:keepNext/>
              <w:keepLines/>
              <w:rPr>
                <w:rFonts w:asciiTheme="minorHAnsi" w:hAnsiTheme="minorHAnsi"/>
                <w:sz w:val="18"/>
                <w:szCs w:val="18"/>
              </w:rPr>
            </w:pPr>
          </w:p>
        </w:tc>
      </w:tr>
      <w:tr w:rsidR="00A512CD" w:rsidRPr="00626E47" w14:paraId="48230642" w14:textId="77777777" w:rsidTr="00614FEF">
        <w:trPr>
          <w:cantSplit/>
          <w:trHeight w:val="323"/>
        </w:trPr>
        <w:tc>
          <w:tcPr>
            <w:tcW w:w="5000" w:type="pct"/>
            <w:gridSpan w:val="8"/>
          </w:tcPr>
          <w:p w14:paraId="02711AEF" w14:textId="77777777" w:rsidR="00A512CD" w:rsidRPr="00626E47" w:rsidRDefault="00A512CD" w:rsidP="00A512CD">
            <w:pPr>
              <w:pStyle w:val="TableCellCenter"/>
              <w:jc w:val="left"/>
              <w:rPr>
                <w:rFonts w:asciiTheme="minorHAnsi" w:hAnsiTheme="minorHAnsi"/>
                <w:bCs/>
                <w:sz w:val="18"/>
                <w:szCs w:val="18"/>
              </w:rPr>
            </w:pPr>
            <w:r w:rsidRPr="00626E47">
              <w:rPr>
                <w:rFonts w:asciiTheme="minorHAnsi" w:hAnsiTheme="minorHAnsi"/>
                <w:bCs/>
                <w:sz w:val="18"/>
                <w:szCs w:val="18"/>
              </w:rPr>
              <w:t>6-Minute Walk Test (</w:t>
            </w:r>
            <w:proofErr w:type="spellStart"/>
            <w:r w:rsidRPr="00FA32E7">
              <w:rPr>
                <w:rFonts w:asciiTheme="minorHAnsi" w:hAnsiTheme="minorHAnsi"/>
                <w:bCs/>
                <w:sz w:val="18"/>
                <w:szCs w:val="18"/>
              </w:rPr>
              <w:t>Metres</w:t>
            </w:r>
            <w:proofErr w:type="spellEnd"/>
            <w:r w:rsidRPr="00626E47">
              <w:rPr>
                <w:rFonts w:asciiTheme="minorHAnsi" w:hAnsiTheme="minorHAnsi"/>
                <w:bCs/>
                <w:sz w:val="18"/>
                <w:szCs w:val="18"/>
              </w:rPr>
              <w:t>)</w:t>
            </w:r>
          </w:p>
        </w:tc>
      </w:tr>
      <w:tr w:rsidR="00A512CD" w:rsidRPr="00626E47" w14:paraId="45668E1F" w14:textId="77777777" w:rsidTr="008021AF">
        <w:trPr>
          <w:cantSplit/>
          <w:trHeight w:val="701"/>
        </w:trPr>
        <w:tc>
          <w:tcPr>
            <w:tcW w:w="589" w:type="pct"/>
            <w:tcBorders>
              <w:top w:val="single" w:sz="4" w:space="0" w:color="auto"/>
              <w:left w:val="single" w:sz="4" w:space="0" w:color="auto"/>
              <w:bottom w:val="nil"/>
              <w:right w:val="single" w:sz="4" w:space="0" w:color="auto"/>
            </w:tcBorders>
          </w:tcPr>
          <w:p w14:paraId="02B3FE1B" w14:textId="77777777" w:rsidR="00A512CD" w:rsidRPr="00626E47" w:rsidRDefault="00A512CD" w:rsidP="00A512CD">
            <w:pPr>
              <w:pStyle w:val="TableCellCenter"/>
              <w:keepNext/>
              <w:keepLines/>
              <w:rPr>
                <w:rFonts w:asciiTheme="minorHAnsi" w:hAnsiTheme="minorHAnsi"/>
                <w:sz w:val="18"/>
                <w:szCs w:val="18"/>
              </w:rPr>
            </w:pPr>
            <w:r w:rsidRPr="00626E47">
              <w:rPr>
                <w:rFonts w:asciiTheme="minorHAnsi" w:hAnsiTheme="minorHAnsi"/>
                <w:sz w:val="18"/>
                <w:szCs w:val="18"/>
              </w:rPr>
              <w:t>Mean</w:t>
            </w:r>
          </w:p>
          <w:p w14:paraId="4E27FA0B" w14:textId="77777777" w:rsidR="00A512CD" w:rsidRPr="00626E47" w:rsidRDefault="00A512CD" w:rsidP="00A512CD">
            <w:pPr>
              <w:pStyle w:val="TableCellCenter"/>
              <w:keepNext/>
              <w:keepLines/>
              <w:rPr>
                <w:rFonts w:asciiTheme="minorHAnsi" w:hAnsiTheme="minorHAnsi"/>
                <w:sz w:val="18"/>
                <w:szCs w:val="18"/>
              </w:rPr>
            </w:pPr>
            <w:r w:rsidRPr="00626E47">
              <w:rPr>
                <w:rFonts w:asciiTheme="minorHAnsi" w:hAnsiTheme="minorHAnsi"/>
                <w:sz w:val="18"/>
                <w:szCs w:val="18"/>
              </w:rPr>
              <w:sym w:font="Symbol" w:char="F0B1"/>
            </w:r>
            <w:r w:rsidRPr="00626E47">
              <w:rPr>
                <w:rFonts w:asciiTheme="minorHAnsi" w:hAnsiTheme="minorHAnsi"/>
                <w:sz w:val="18"/>
                <w:szCs w:val="18"/>
              </w:rPr>
              <w:t> SD</w:t>
            </w:r>
          </w:p>
        </w:tc>
        <w:tc>
          <w:tcPr>
            <w:tcW w:w="591" w:type="pct"/>
            <w:tcBorders>
              <w:top w:val="single" w:sz="4" w:space="0" w:color="auto"/>
              <w:left w:val="single" w:sz="4" w:space="0" w:color="auto"/>
              <w:bottom w:val="nil"/>
              <w:right w:val="single" w:sz="4" w:space="0" w:color="auto"/>
            </w:tcBorders>
          </w:tcPr>
          <w:p w14:paraId="6EB06697" w14:textId="77777777" w:rsidR="00A512CD" w:rsidRPr="00626E47" w:rsidRDefault="00A512CD" w:rsidP="00A512CD">
            <w:pPr>
              <w:pStyle w:val="TableCellCenter"/>
              <w:keepNext/>
              <w:keepLines/>
              <w:spacing w:line="276" w:lineRule="auto"/>
              <w:outlineLvl w:val="1"/>
              <w:rPr>
                <w:rFonts w:asciiTheme="minorHAnsi" w:hAnsiTheme="minorHAnsi"/>
                <w:sz w:val="18"/>
                <w:szCs w:val="18"/>
              </w:rPr>
            </w:pPr>
            <w:r w:rsidRPr="00626E47">
              <w:rPr>
                <w:rFonts w:asciiTheme="minorHAnsi" w:hAnsiTheme="minorHAnsi"/>
                <w:sz w:val="18"/>
                <w:szCs w:val="18"/>
              </w:rPr>
              <w:t>203.9</w:t>
            </w:r>
          </w:p>
          <w:p w14:paraId="005CA399" w14:textId="77777777" w:rsidR="00A512CD" w:rsidRPr="00626E47" w:rsidRDefault="00A512CD" w:rsidP="00A512CD">
            <w:pPr>
              <w:pStyle w:val="TableCellCenter"/>
              <w:keepNext/>
              <w:keepLines/>
              <w:outlineLvl w:val="1"/>
              <w:rPr>
                <w:rFonts w:asciiTheme="minorHAnsi" w:hAnsiTheme="minorHAnsi"/>
                <w:sz w:val="18"/>
                <w:szCs w:val="18"/>
              </w:rPr>
            </w:pPr>
            <w:r w:rsidRPr="00626E47">
              <w:rPr>
                <w:rFonts w:asciiTheme="minorHAnsi" w:hAnsiTheme="minorHAnsi"/>
                <w:sz w:val="18"/>
                <w:szCs w:val="18"/>
              </w:rPr>
              <w:t>± 76.32</w:t>
            </w:r>
          </w:p>
        </w:tc>
        <w:tc>
          <w:tcPr>
            <w:tcW w:w="530" w:type="pct"/>
            <w:tcBorders>
              <w:top w:val="single" w:sz="4" w:space="0" w:color="auto"/>
              <w:left w:val="single" w:sz="4" w:space="0" w:color="auto"/>
              <w:bottom w:val="nil"/>
              <w:right w:val="single" w:sz="4" w:space="0" w:color="auto"/>
            </w:tcBorders>
          </w:tcPr>
          <w:p w14:paraId="7CFCD80E" w14:textId="77777777" w:rsidR="00A512CD" w:rsidRPr="00626E47" w:rsidRDefault="00A512CD" w:rsidP="00A512CD">
            <w:pPr>
              <w:pStyle w:val="TableCellCenter"/>
              <w:keepNext/>
              <w:spacing w:line="276" w:lineRule="auto"/>
              <w:rPr>
                <w:rFonts w:asciiTheme="minorHAnsi" w:hAnsiTheme="minorHAnsi"/>
                <w:sz w:val="18"/>
                <w:szCs w:val="18"/>
              </w:rPr>
            </w:pPr>
            <w:r w:rsidRPr="00626E47">
              <w:rPr>
                <w:rFonts w:asciiTheme="minorHAnsi" w:hAnsiTheme="minorHAnsi"/>
                <w:sz w:val="18"/>
                <w:szCs w:val="18"/>
              </w:rPr>
              <w:t>243.3</w:t>
            </w:r>
          </w:p>
          <w:p w14:paraId="0AF98920" w14:textId="77777777" w:rsidR="00A512CD" w:rsidRPr="00626E47" w:rsidRDefault="00A512CD" w:rsidP="00A512CD">
            <w:pPr>
              <w:pStyle w:val="TableCellCenter"/>
              <w:keepNext/>
              <w:spacing w:line="276" w:lineRule="auto"/>
              <w:rPr>
                <w:rFonts w:asciiTheme="minorHAnsi" w:hAnsiTheme="minorHAnsi"/>
                <w:sz w:val="18"/>
                <w:szCs w:val="18"/>
              </w:rPr>
            </w:pPr>
            <w:r w:rsidRPr="00626E47">
              <w:rPr>
                <w:rFonts w:asciiTheme="minorHAnsi" w:hAnsiTheme="minorHAnsi"/>
                <w:sz w:val="18"/>
                <w:szCs w:val="18"/>
              </w:rPr>
              <w:t>± 83.53</w:t>
            </w:r>
          </w:p>
        </w:tc>
        <w:tc>
          <w:tcPr>
            <w:tcW w:w="651" w:type="pct"/>
            <w:tcBorders>
              <w:top w:val="single" w:sz="4" w:space="0" w:color="auto"/>
              <w:left w:val="single" w:sz="4" w:space="0" w:color="auto"/>
              <w:bottom w:val="nil"/>
              <w:right w:val="single" w:sz="4" w:space="0" w:color="auto"/>
            </w:tcBorders>
          </w:tcPr>
          <w:p w14:paraId="220E520A" w14:textId="77777777" w:rsidR="00A512CD" w:rsidRPr="00626E47" w:rsidRDefault="00A512CD" w:rsidP="00A512CD">
            <w:pPr>
              <w:pStyle w:val="TableCellCenter"/>
              <w:keepNext/>
              <w:spacing w:line="276" w:lineRule="auto"/>
              <w:rPr>
                <w:rFonts w:asciiTheme="minorHAnsi" w:hAnsiTheme="minorHAnsi"/>
                <w:sz w:val="18"/>
                <w:szCs w:val="18"/>
              </w:rPr>
            </w:pPr>
            <w:r w:rsidRPr="00626E47">
              <w:rPr>
                <w:rFonts w:asciiTheme="minorHAnsi" w:hAnsiTheme="minorHAnsi"/>
                <w:sz w:val="18"/>
                <w:szCs w:val="18"/>
              </w:rPr>
              <w:t>36.5</w:t>
            </w:r>
          </w:p>
          <w:p w14:paraId="1A6E1311" w14:textId="77777777" w:rsidR="00A512CD" w:rsidRPr="00626E47" w:rsidRDefault="00A512CD" w:rsidP="00A512CD">
            <w:pPr>
              <w:pStyle w:val="TableCellCenter"/>
              <w:keepNext/>
              <w:spacing w:line="276" w:lineRule="auto"/>
              <w:rPr>
                <w:rFonts w:asciiTheme="minorHAnsi" w:hAnsiTheme="minorHAnsi"/>
                <w:sz w:val="18"/>
                <w:szCs w:val="18"/>
              </w:rPr>
            </w:pPr>
            <w:r w:rsidRPr="00626E47">
              <w:rPr>
                <w:rFonts w:asciiTheme="minorHAnsi" w:hAnsiTheme="minorHAnsi"/>
                <w:sz w:val="18"/>
                <w:szCs w:val="18"/>
              </w:rPr>
              <w:t>± 58.49</w:t>
            </w:r>
          </w:p>
          <w:p w14:paraId="0BDE26F4" w14:textId="77777777" w:rsidR="00A512CD" w:rsidRPr="00626E47" w:rsidRDefault="00A512CD" w:rsidP="00A512CD">
            <w:pPr>
              <w:pStyle w:val="TableCellCenter"/>
              <w:keepNext/>
              <w:keepLines/>
              <w:rPr>
                <w:rFonts w:asciiTheme="minorHAnsi" w:hAnsiTheme="minorHAnsi"/>
                <w:sz w:val="18"/>
                <w:szCs w:val="18"/>
              </w:rPr>
            </w:pPr>
          </w:p>
        </w:tc>
        <w:tc>
          <w:tcPr>
            <w:tcW w:w="545" w:type="pct"/>
            <w:tcBorders>
              <w:top w:val="single" w:sz="4" w:space="0" w:color="auto"/>
              <w:left w:val="single" w:sz="4" w:space="0" w:color="auto"/>
              <w:bottom w:val="nil"/>
              <w:right w:val="single" w:sz="4" w:space="0" w:color="auto"/>
            </w:tcBorders>
          </w:tcPr>
          <w:p w14:paraId="648925D2" w14:textId="77777777" w:rsidR="00A512CD" w:rsidRPr="00626E47" w:rsidRDefault="00A512CD" w:rsidP="00A512CD">
            <w:pPr>
              <w:pStyle w:val="TableCellCenter"/>
              <w:keepNext/>
              <w:spacing w:line="276" w:lineRule="auto"/>
              <w:rPr>
                <w:rFonts w:asciiTheme="minorHAnsi" w:hAnsiTheme="minorHAnsi"/>
                <w:sz w:val="18"/>
                <w:szCs w:val="18"/>
              </w:rPr>
            </w:pPr>
            <w:r w:rsidRPr="00626E47">
              <w:rPr>
                <w:rFonts w:asciiTheme="minorHAnsi" w:hAnsiTheme="minorHAnsi"/>
                <w:sz w:val="18"/>
                <w:szCs w:val="18"/>
              </w:rPr>
              <w:t>211.9</w:t>
            </w:r>
          </w:p>
          <w:p w14:paraId="7C7CD88E" w14:textId="77777777" w:rsidR="00A512CD" w:rsidRPr="00626E47" w:rsidRDefault="00A512CD" w:rsidP="00A512CD">
            <w:pPr>
              <w:pStyle w:val="TableCellCenter"/>
              <w:keepNext/>
              <w:spacing w:line="276" w:lineRule="auto"/>
              <w:rPr>
                <w:rFonts w:asciiTheme="minorHAnsi" w:hAnsiTheme="minorHAnsi"/>
                <w:sz w:val="18"/>
                <w:szCs w:val="18"/>
              </w:rPr>
            </w:pPr>
            <w:r w:rsidRPr="00626E47">
              <w:rPr>
                <w:rFonts w:asciiTheme="minorHAnsi" w:hAnsiTheme="minorHAnsi"/>
                <w:sz w:val="18"/>
                <w:szCs w:val="18"/>
              </w:rPr>
              <w:t>± 69.88</w:t>
            </w:r>
          </w:p>
        </w:tc>
        <w:tc>
          <w:tcPr>
            <w:tcW w:w="527" w:type="pct"/>
            <w:tcBorders>
              <w:top w:val="single" w:sz="4" w:space="0" w:color="auto"/>
              <w:left w:val="single" w:sz="4" w:space="0" w:color="auto"/>
              <w:bottom w:val="nil"/>
              <w:right w:val="single" w:sz="4" w:space="0" w:color="auto"/>
            </w:tcBorders>
          </w:tcPr>
          <w:p w14:paraId="5C8CB5AC" w14:textId="77777777" w:rsidR="00A512CD" w:rsidRPr="00626E47" w:rsidRDefault="00A512CD" w:rsidP="00A512CD">
            <w:pPr>
              <w:pStyle w:val="TableCellCenter"/>
              <w:keepNext/>
              <w:spacing w:line="276" w:lineRule="auto"/>
              <w:rPr>
                <w:rFonts w:asciiTheme="minorHAnsi" w:hAnsiTheme="minorHAnsi"/>
                <w:sz w:val="18"/>
                <w:szCs w:val="18"/>
              </w:rPr>
            </w:pPr>
            <w:r w:rsidRPr="00626E47">
              <w:rPr>
                <w:rFonts w:asciiTheme="minorHAnsi" w:hAnsiTheme="minorHAnsi"/>
                <w:sz w:val="18"/>
                <w:szCs w:val="18"/>
              </w:rPr>
              <w:t>225.4</w:t>
            </w:r>
          </w:p>
          <w:p w14:paraId="1D226B84" w14:textId="77777777" w:rsidR="00A512CD" w:rsidRPr="00626E47" w:rsidRDefault="00A512CD" w:rsidP="00A512CD">
            <w:pPr>
              <w:pStyle w:val="TableCellCenter"/>
              <w:keepNext/>
              <w:spacing w:line="276" w:lineRule="auto"/>
              <w:rPr>
                <w:rFonts w:asciiTheme="minorHAnsi" w:hAnsiTheme="minorHAnsi"/>
                <w:sz w:val="18"/>
                <w:szCs w:val="18"/>
              </w:rPr>
            </w:pPr>
            <w:r w:rsidRPr="00626E47">
              <w:rPr>
                <w:rFonts w:asciiTheme="minorHAnsi" w:hAnsiTheme="minorHAnsi"/>
                <w:sz w:val="18"/>
                <w:szCs w:val="18"/>
              </w:rPr>
              <w:t>± 83.22</w:t>
            </w:r>
          </w:p>
        </w:tc>
        <w:tc>
          <w:tcPr>
            <w:tcW w:w="600" w:type="pct"/>
            <w:tcBorders>
              <w:top w:val="single" w:sz="4" w:space="0" w:color="auto"/>
              <w:left w:val="single" w:sz="4" w:space="0" w:color="auto"/>
              <w:bottom w:val="nil"/>
              <w:right w:val="single" w:sz="4" w:space="0" w:color="auto"/>
            </w:tcBorders>
          </w:tcPr>
          <w:p w14:paraId="4C836D3C" w14:textId="77777777" w:rsidR="00A512CD" w:rsidRPr="00626E47" w:rsidRDefault="00A512CD" w:rsidP="00A512CD">
            <w:pPr>
              <w:pStyle w:val="TableCellCenter"/>
              <w:keepNext/>
              <w:spacing w:line="276" w:lineRule="auto"/>
              <w:rPr>
                <w:rFonts w:asciiTheme="minorHAnsi" w:hAnsiTheme="minorHAnsi"/>
                <w:sz w:val="18"/>
                <w:szCs w:val="18"/>
              </w:rPr>
            </w:pPr>
            <w:r w:rsidRPr="00626E47">
              <w:rPr>
                <w:rFonts w:asciiTheme="minorHAnsi" w:hAnsiTheme="minorHAnsi"/>
                <w:sz w:val="18"/>
                <w:szCs w:val="18"/>
              </w:rPr>
              <w:t>13.5</w:t>
            </w:r>
          </w:p>
          <w:p w14:paraId="69027F2B" w14:textId="77777777" w:rsidR="00A512CD" w:rsidRPr="00626E47" w:rsidRDefault="00A512CD" w:rsidP="00A512CD">
            <w:pPr>
              <w:pStyle w:val="TableCellCenter"/>
              <w:keepNext/>
              <w:spacing w:line="276" w:lineRule="auto"/>
              <w:rPr>
                <w:rFonts w:asciiTheme="minorHAnsi" w:hAnsiTheme="minorHAnsi"/>
                <w:sz w:val="18"/>
                <w:szCs w:val="18"/>
              </w:rPr>
            </w:pPr>
            <w:r w:rsidRPr="00626E47">
              <w:rPr>
                <w:rFonts w:asciiTheme="minorHAnsi" w:hAnsiTheme="minorHAnsi"/>
                <w:sz w:val="18"/>
                <w:szCs w:val="18"/>
              </w:rPr>
              <w:t>± 50.63</w:t>
            </w:r>
          </w:p>
        </w:tc>
        <w:tc>
          <w:tcPr>
            <w:tcW w:w="967" w:type="pct"/>
            <w:tcBorders>
              <w:top w:val="single" w:sz="4" w:space="0" w:color="auto"/>
              <w:left w:val="single" w:sz="4" w:space="0" w:color="auto"/>
              <w:bottom w:val="nil"/>
              <w:right w:val="single" w:sz="4" w:space="0" w:color="auto"/>
            </w:tcBorders>
          </w:tcPr>
          <w:p w14:paraId="1FD595CD" w14:textId="77777777" w:rsidR="00A512CD" w:rsidRPr="00626E47" w:rsidRDefault="00A512CD" w:rsidP="00A512CD">
            <w:pPr>
              <w:pStyle w:val="TableCellCenter"/>
              <w:spacing w:line="276" w:lineRule="auto"/>
              <w:rPr>
                <w:rFonts w:asciiTheme="minorHAnsi" w:hAnsiTheme="minorHAnsi"/>
                <w:sz w:val="18"/>
                <w:szCs w:val="18"/>
              </w:rPr>
            </w:pPr>
            <w:r w:rsidRPr="00626E47">
              <w:rPr>
                <w:rFonts w:asciiTheme="minorHAnsi" w:hAnsiTheme="minorHAnsi"/>
                <w:sz w:val="18"/>
                <w:szCs w:val="18"/>
              </w:rPr>
              <w:t>23.0</w:t>
            </w:r>
            <w:r w:rsidRPr="00626E47">
              <w:rPr>
                <w:rFonts w:asciiTheme="minorHAnsi" w:hAnsiTheme="minorHAnsi"/>
                <w:sz w:val="18"/>
                <w:szCs w:val="18"/>
                <w:vertAlign w:val="superscript"/>
              </w:rPr>
              <w:t>†</w:t>
            </w:r>
          </w:p>
          <w:p w14:paraId="5FE092A4" w14:textId="77777777" w:rsidR="00A512CD" w:rsidRPr="00626E47" w:rsidRDefault="00A512CD" w:rsidP="00A512CD">
            <w:pPr>
              <w:pStyle w:val="TableCellCenter"/>
              <w:spacing w:line="276" w:lineRule="auto"/>
              <w:rPr>
                <w:rFonts w:asciiTheme="minorHAnsi" w:hAnsiTheme="minorHAnsi"/>
                <w:sz w:val="18"/>
                <w:szCs w:val="18"/>
                <w:vertAlign w:val="superscript"/>
              </w:rPr>
            </w:pPr>
            <w:r w:rsidRPr="00626E47">
              <w:rPr>
                <w:rFonts w:asciiTheme="minorHAnsi" w:hAnsiTheme="minorHAnsi"/>
                <w:sz w:val="18"/>
                <w:szCs w:val="18"/>
              </w:rPr>
              <w:t>(CI</w:t>
            </w:r>
            <w:r w:rsidRPr="00626E47">
              <w:rPr>
                <w:rFonts w:asciiTheme="minorHAnsi" w:hAnsiTheme="minorHAnsi"/>
                <w:sz w:val="18"/>
                <w:szCs w:val="18"/>
                <w:vertAlign w:val="subscript"/>
              </w:rPr>
              <w:t>95</w:t>
            </w:r>
            <w:r w:rsidRPr="00626E47">
              <w:rPr>
                <w:rFonts w:asciiTheme="minorHAnsi" w:hAnsiTheme="minorHAnsi"/>
                <w:sz w:val="18"/>
                <w:szCs w:val="18"/>
              </w:rPr>
              <w:t>, 2.9, 43.1)</w:t>
            </w:r>
          </w:p>
        </w:tc>
      </w:tr>
      <w:tr w:rsidR="00A512CD" w:rsidRPr="00626E47" w14:paraId="2F7A0BB7" w14:textId="77777777" w:rsidTr="008021AF">
        <w:trPr>
          <w:cantSplit/>
          <w:trHeight w:val="1139"/>
        </w:trPr>
        <w:tc>
          <w:tcPr>
            <w:tcW w:w="589" w:type="pct"/>
            <w:tcBorders>
              <w:top w:val="nil"/>
              <w:left w:val="single" w:sz="4" w:space="0" w:color="auto"/>
              <w:bottom w:val="single" w:sz="4" w:space="0" w:color="auto"/>
              <w:right w:val="single" w:sz="4" w:space="0" w:color="auto"/>
            </w:tcBorders>
          </w:tcPr>
          <w:p w14:paraId="0A670E5C" w14:textId="77777777" w:rsidR="00A512CD" w:rsidRPr="00626E47" w:rsidRDefault="00A512CD" w:rsidP="00A512CD">
            <w:pPr>
              <w:pStyle w:val="TableCellCenter"/>
              <w:keepNext/>
              <w:keepLines/>
              <w:rPr>
                <w:rFonts w:asciiTheme="minorHAnsi" w:hAnsiTheme="minorHAnsi"/>
                <w:sz w:val="18"/>
                <w:szCs w:val="18"/>
              </w:rPr>
            </w:pPr>
            <w:r w:rsidRPr="00626E47">
              <w:rPr>
                <w:rFonts w:asciiTheme="minorHAnsi" w:hAnsiTheme="minorHAnsi"/>
                <w:sz w:val="18"/>
                <w:szCs w:val="18"/>
              </w:rPr>
              <w:t>Median</w:t>
            </w:r>
          </w:p>
          <w:p w14:paraId="2E9EA3C2" w14:textId="77777777" w:rsidR="00A512CD" w:rsidRPr="00626E47" w:rsidRDefault="00A512CD" w:rsidP="00A512CD">
            <w:pPr>
              <w:pStyle w:val="TableCellCenter"/>
              <w:keepNext/>
              <w:keepLines/>
              <w:rPr>
                <w:rFonts w:asciiTheme="minorHAnsi" w:hAnsiTheme="minorHAnsi"/>
                <w:sz w:val="18"/>
                <w:szCs w:val="18"/>
              </w:rPr>
            </w:pPr>
            <w:r w:rsidRPr="00626E47">
              <w:rPr>
                <w:rFonts w:asciiTheme="minorHAnsi" w:hAnsiTheme="minorHAnsi"/>
                <w:sz w:val="18"/>
                <w:szCs w:val="18"/>
              </w:rPr>
              <w:t>Min, Max</w:t>
            </w:r>
          </w:p>
        </w:tc>
        <w:tc>
          <w:tcPr>
            <w:tcW w:w="591" w:type="pct"/>
            <w:tcBorders>
              <w:top w:val="nil"/>
              <w:left w:val="single" w:sz="4" w:space="0" w:color="auto"/>
              <w:bottom w:val="single" w:sz="4" w:space="0" w:color="auto"/>
              <w:right w:val="single" w:sz="4" w:space="0" w:color="auto"/>
            </w:tcBorders>
          </w:tcPr>
          <w:p w14:paraId="16FD1622" w14:textId="77777777" w:rsidR="00A512CD" w:rsidRPr="00626E47" w:rsidRDefault="00A512CD" w:rsidP="00A512CD">
            <w:pPr>
              <w:pStyle w:val="TableCellCenter"/>
              <w:keepNext/>
              <w:keepLines/>
              <w:spacing w:line="276" w:lineRule="auto"/>
              <w:outlineLvl w:val="1"/>
              <w:rPr>
                <w:rFonts w:asciiTheme="minorHAnsi" w:hAnsiTheme="minorHAnsi"/>
                <w:sz w:val="18"/>
                <w:szCs w:val="18"/>
              </w:rPr>
            </w:pPr>
            <w:r w:rsidRPr="00626E47">
              <w:rPr>
                <w:rFonts w:asciiTheme="minorHAnsi" w:hAnsiTheme="minorHAnsi"/>
                <w:sz w:val="18"/>
                <w:szCs w:val="18"/>
              </w:rPr>
              <w:t>216.5</w:t>
            </w:r>
          </w:p>
          <w:p w14:paraId="0646C2DD" w14:textId="77777777" w:rsidR="00A512CD" w:rsidRPr="00626E47" w:rsidRDefault="00A512CD" w:rsidP="00A512CD">
            <w:pPr>
              <w:pStyle w:val="TableCellCenter"/>
              <w:keepNext/>
              <w:keepLines/>
              <w:rPr>
                <w:rFonts w:asciiTheme="minorHAnsi" w:hAnsiTheme="minorHAnsi"/>
                <w:sz w:val="18"/>
                <w:szCs w:val="18"/>
              </w:rPr>
            </w:pPr>
            <w:r w:rsidRPr="00626E47">
              <w:rPr>
                <w:rFonts w:asciiTheme="minorHAnsi" w:hAnsiTheme="minorHAnsi"/>
                <w:sz w:val="18"/>
                <w:szCs w:val="18"/>
              </w:rPr>
              <w:t>42.4, 321.5</w:t>
            </w:r>
          </w:p>
        </w:tc>
        <w:tc>
          <w:tcPr>
            <w:tcW w:w="530" w:type="pct"/>
            <w:tcBorders>
              <w:top w:val="nil"/>
              <w:left w:val="single" w:sz="4" w:space="0" w:color="auto"/>
              <w:bottom w:val="single" w:sz="4" w:space="0" w:color="auto"/>
              <w:right w:val="single" w:sz="4" w:space="0" w:color="auto"/>
            </w:tcBorders>
          </w:tcPr>
          <w:p w14:paraId="63AE47B7" w14:textId="77777777" w:rsidR="00A512CD" w:rsidRPr="00626E47" w:rsidRDefault="00A512CD" w:rsidP="00A512CD">
            <w:pPr>
              <w:pStyle w:val="TableCellCenter"/>
              <w:keepNext/>
              <w:spacing w:line="276" w:lineRule="auto"/>
              <w:rPr>
                <w:rFonts w:asciiTheme="minorHAnsi" w:hAnsiTheme="minorHAnsi"/>
                <w:sz w:val="18"/>
                <w:szCs w:val="18"/>
              </w:rPr>
            </w:pPr>
            <w:r w:rsidRPr="00626E47">
              <w:rPr>
                <w:rFonts w:asciiTheme="minorHAnsi" w:hAnsiTheme="minorHAnsi"/>
                <w:sz w:val="18"/>
                <w:szCs w:val="18"/>
              </w:rPr>
              <w:t>251.0</w:t>
            </w:r>
          </w:p>
          <w:p w14:paraId="3002107F" w14:textId="77777777" w:rsidR="00A512CD" w:rsidRPr="00626E47" w:rsidRDefault="00A512CD" w:rsidP="00A512CD">
            <w:pPr>
              <w:pStyle w:val="TableCellCenter"/>
              <w:keepNext/>
              <w:keepLines/>
              <w:rPr>
                <w:rFonts w:asciiTheme="minorHAnsi" w:hAnsiTheme="minorHAnsi"/>
                <w:sz w:val="18"/>
                <w:szCs w:val="18"/>
              </w:rPr>
            </w:pPr>
            <w:r w:rsidRPr="00626E47">
              <w:rPr>
                <w:rFonts w:asciiTheme="minorHAnsi" w:hAnsiTheme="minorHAnsi"/>
                <w:sz w:val="18"/>
                <w:szCs w:val="18"/>
              </w:rPr>
              <w:t>52.0, 399.9</w:t>
            </w:r>
          </w:p>
        </w:tc>
        <w:tc>
          <w:tcPr>
            <w:tcW w:w="651" w:type="pct"/>
            <w:tcBorders>
              <w:top w:val="nil"/>
              <w:left w:val="single" w:sz="4" w:space="0" w:color="auto"/>
              <w:bottom w:val="single" w:sz="4" w:space="0" w:color="auto"/>
              <w:right w:val="single" w:sz="4" w:space="0" w:color="auto"/>
            </w:tcBorders>
          </w:tcPr>
          <w:p w14:paraId="5A3FA9E2" w14:textId="77777777" w:rsidR="00A512CD" w:rsidRPr="00626E47" w:rsidRDefault="00A512CD" w:rsidP="00A512CD">
            <w:pPr>
              <w:pStyle w:val="TableCellCenter"/>
              <w:keepNext/>
              <w:spacing w:line="276" w:lineRule="auto"/>
              <w:rPr>
                <w:rFonts w:asciiTheme="minorHAnsi" w:hAnsiTheme="minorHAnsi"/>
                <w:sz w:val="18"/>
                <w:szCs w:val="18"/>
              </w:rPr>
            </w:pPr>
            <w:r w:rsidRPr="00626E47">
              <w:rPr>
                <w:rFonts w:asciiTheme="minorHAnsi" w:hAnsiTheme="minorHAnsi"/>
                <w:sz w:val="18"/>
                <w:szCs w:val="18"/>
              </w:rPr>
              <w:t>20.0</w:t>
            </w:r>
          </w:p>
          <w:p w14:paraId="57652375" w14:textId="77777777" w:rsidR="00A512CD" w:rsidRPr="00626E47" w:rsidRDefault="00A512CD" w:rsidP="00A512CD">
            <w:pPr>
              <w:pStyle w:val="TableCellCenter"/>
              <w:keepNext/>
              <w:keepLines/>
              <w:rPr>
                <w:rFonts w:asciiTheme="minorHAnsi" w:hAnsiTheme="minorHAnsi"/>
                <w:sz w:val="18"/>
                <w:szCs w:val="18"/>
              </w:rPr>
            </w:pPr>
            <w:r w:rsidRPr="00626E47">
              <w:rPr>
                <w:rFonts w:asciiTheme="minorHAnsi" w:hAnsiTheme="minorHAnsi"/>
                <w:sz w:val="18"/>
                <w:szCs w:val="18"/>
              </w:rPr>
              <w:t>-57.8, 228.7</w:t>
            </w:r>
          </w:p>
        </w:tc>
        <w:tc>
          <w:tcPr>
            <w:tcW w:w="545" w:type="pct"/>
            <w:tcBorders>
              <w:top w:val="nil"/>
              <w:left w:val="single" w:sz="4" w:space="0" w:color="auto"/>
              <w:bottom w:val="single" w:sz="4" w:space="0" w:color="auto"/>
              <w:right w:val="single" w:sz="4" w:space="0" w:color="auto"/>
            </w:tcBorders>
          </w:tcPr>
          <w:p w14:paraId="5E0E2FF8" w14:textId="77777777" w:rsidR="00A512CD" w:rsidRPr="00626E47" w:rsidRDefault="00A512CD" w:rsidP="00A512CD">
            <w:pPr>
              <w:pStyle w:val="TableCellCenter"/>
              <w:keepNext/>
              <w:spacing w:line="276" w:lineRule="auto"/>
              <w:rPr>
                <w:rFonts w:asciiTheme="minorHAnsi" w:hAnsiTheme="minorHAnsi"/>
                <w:sz w:val="18"/>
                <w:szCs w:val="18"/>
              </w:rPr>
            </w:pPr>
            <w:r w:rsidRPr="00626E47">
              <w:rPr>
                <w:rFonts w:asciiTheme="minorHAnsi" w:hAnsiTheme="minorHAnsi"/>
                <w:sz w:val="18"/>
                <w:szCs w:val="18"/>
              </w:rPr>
              <w:t>228.9</w:t>
            </w:r>
          </w:p>
          <w:p w14:paraId="61532F95" w14:textId="77777777" w:rsidR="00A512CD" w:rsidRPr="00626E47" w:rsidRDefault="00A512CD" w:rsidP="00A512CD">
            <w:pPr>
              <w:pStyle w:val="TableCellCenter"/>
              <w:keepNext/>
              <w:keepLines/>
              <w:rPr>
                <w:rFonts w:asciiTheme="minorHAnsi" w:hAnsiTheme="minorHAnsi"/>
                <w:sz w:val="18"/>
                <w:szCs w:val="18"/>
              </w:rPr>
            </w:pPr>
            <w:r w:rsidRPr="00626E47">
              <w:rPr>
                <w:rFonts w:asciiTheme="minorHAnsi" w:hAnsiTheme="minorHAnsi"/>
                <w:sz w:val="18"/>
                <w:szCs w:val="18"/>
              </w:rPr>
              <w:t>36.2, 312.2</w:t>
            </w:r>
          </w:p>
        </w:tc>
        <w:tc>
          <w:tcPr>
            <w:tcW w:w="527" w:type="pct"/>
            <w:tcBorders>
              <w:top w:val="nil"/>
              <w:left w:val="single" w:sz="4" w:space="0" w:color="auto"/>
              <w:bottom w:val="single" w:sz="4" w:space="0" w:color="auto"/>
              <w:right w:val="single" w:sz="4" w:space="0" w:color="auto"/>
            </w:tcBorders>
          </w:tcPr>
          <w:p w14:paraId="4F5555F2" w14:textId="77777777" w:rsidR="00A512CD" w:rsidRPr="00626E47" w:rsidRDefault="00A512CD" w:rsidP="00A512CD">
            <w:pPr>
              <w:pStyle w:val="TableCellCenter"/>
              <w:keepNext/>
              <w:spacing w:line="276" w:lineRule="auto"/>
              <w:rPr>
                <w:rFonts w:asciiTheme="minorHAnsi" w:hAnsiTheme="minorHAnsi"/>
                <w:sz w:val="18"/>
                <w:szCs w:val="18"/>
              </w:rPr>
            </w:pPr>
            <w:r w:rsidRPr="00626E47">
              <w:rPr>
                <w:rFonts w:asciiTheme="minorHAnsi" w:hAnsiTheme="minorHAnsi"/>
                <w:sz w:val="18"/>
                <w:szCs w:val="18"/>
              </w:rPr>
              <w:t>229.4</w:t>
            </w:r>
          </w:p>
          <w:p w14:paraId="17CF178F" w14:textId="77777777" w:rsidR="00A512CD" w:rsidRPr="00626E47" w:rsidRDefault="00A512CD" w:rsidP="00A512CD">
            <w:pPr>
              <w:pStyle w:val="TableCellCenter"/>
              <w:keepNext/>
              <w:rPr>
                <w:rFonts w:asciiTheme="minorHAnsi" w:hAnsiTheme="minorHAnsi"/>
                <w:sz w:val="18"/>
                <w:szCs w:val="18"/>
              </w:rPr>
            </w:pPr>
            <w:r w:rsidRPr="00626E47">
              <w:rPr>
                <w:rFonts w:asciiTheme="minorHAnsi" w:hAnsiTheme="minorHAnsi"/>
                <w:sz w:val="18"/>
                <w:szCs w:val="18"/>
              </w:rPr>
              <w:t>50.6, 501.0</w:t>
            </w:r>
          </w:p>
        </w:tc>
        <w:tc>
          <w:tcPr>
            <w:tcW w:w="600" w:type="pct"/>
            <w:tcBorders>
              <w:top w:val="nil"/>
              <w:left w:val="single" w:sz="4" w:space="0" w:color="auto"/>
              <w:bottom w:val="single" w:sz="4" w:space="0" w:color="auto"/>
              <w:right w:val="single" w:sz="4" w:space="0" w:color="auto"/>
            </w:tcBorders>
          </w:tcPr>
          <w:p w14:paraId="7EC778FA" w14:textId="77777777" w:rsidR="00A512CD" w:rsidRPr="00626E47" w:rsidRDefault="00A512CD" w:rsidP="00A512CD">
            <w:pPr>
              <w:pStyle w:val="TableCellCenter"/>
              <w:keepNext/>
              <w:spacing w:line="276" w:lineRule="auto"/>
              <w:rPr>
                <w:rFonts w:asciiTheme="minorHAnsi" w:hAnsiTheme="minorHAnsi"/>
                <w:sz w:val="18"/>
                <w:szCs w:val="18"/>
              </w:rPr>
            </w:pPr>
            <w:r w:rsidRPr="00626E47">
              <w:rPr>
                <w:rFonts w:asciiTheme="minorHAnsi" w:hAnsiTheme="minorHAnsi"/>
                <w:sz w:val="18"/>
                <w:szCs w:val="18"/>
              </w:rPr>
              <w:t>9.9</w:t>
            </w:r>
          </w:p>
          <w:p w14:paraId="4578F938" w14:textId="77777777" w:rsidR="00A512CD" w:rsidRPr="00626E47" w:rsidRDefault="00A512CD" w:rsidP="00A512CD">
            <w:pPr>
              <w:pStyle w:val="TableCellCenter"/>
              <w:keepNext/>
              <w:keepLines/>
              <w:rPr>
                <w:rFonts w:asciiTheme="minorHAnsi" w:hAnsiTheme="minorHAnsi"/>
                <w:sz w:val="18"/>
                <w:szCs w:val="18"/>
              </w:rPr>
            </w:pPr>
            <w:r w:rsidRPr="00626E47">
              <w:rPr>
                <w:rFonts w:asciiTheme="minorHAnsi" w:hAnsiTheme="minorHAnsi"/>
                <w:sz w:val="18"/>
                <w:szCs w:val="18"/>
              </w:rPr>
              <w:t>-99.2, 220.5</w:t>
            </w:r>
          </w:p>
        </w:tc>
        <w:tc>
          <w:tcPr>
            <w:tcW w:w="967" w:type="pct"/>
            <w:tcBorders>
              <w:top w:val="nil"/>
              <w:left w:val="single" w:sz="4" w:space="0" w:color="auto"/>
              <w:bottom w:val="single" w:sz="4" w:space="0" w:color="auto"/>
              <w:right w:val="single" w:sz="4" w:space="0" w:color="auto"/>
            </w:tcBorders>
          </w:tcPr>
          <w:p w14:paraId="4CFDB07C" w14:textId="77777777" w:rsidR="00A512CD" w:rsidRPr="00626E47" w:rsidRDefault="00A512CD" w:rsidP="00A512CD">
            <w:pPr>
              <w:pStyle w:val="TableCellCenter"/>
              <w:spacing w:line="276" w:lineRule="auto"/>
              <w:rPr>
                <w:rFonts w:asciiTheme="minorHAnsi" w:hAnsiTheme="minorHAnsi"/>
                <w:sz w:val="18"/>
                <w:szCs w:val="18"/>
              </w:rPr>
            </w:pPr>
            <w:r w:rsidRPr="00626E47">
              <w:rPr>
                <w:rFonts w:asciiTheme="minorHAnsi" w:hAnsiTheme="minorHAnsi"/>
                <w:sz w:val="18"/>
                <w:szCs w:val="18"/>
              </w:rPr>
              <w:t>22.5</w:t>
            </w:r>
            <w:r w:rsidRPr="00626E47">
              <w:rPr>
                <w:rFonts w:asciiTheme="minorHAnsi" w:hAnsiTheme="minorHAnsi"/>
                <w:sz w:val="18"/>
                <w:szCs w:val="18"/>
                <w:vertAlign w:val="superscript"/>
              </w:rPr>
              <w:t>‡</w:t>
            </w:r>
          </w:p>
          <w:p w14:paraId="3B686867" w14:textId="77777777" w:rsidR="00A512CD" w:rsidRPr="00626E47" w:rsidRDefault="00A512CD" w:rsidP="00A512CD">
            <w:pPr>
              <w:pStyle w:val="TableCellCenter"/>
              <w:rPr>
                <w:rFonts w:asciiTheme="minorHAnsi" w:hAnsiTheme="minorHAnsi"/>
                <w:sz w:val="18"/>
                <w:szCs w:val="18"/>
              </w:rPr>
            </w:pPr>
            <w:r w:rsidRPr="00626E47">
              <w:rPr>
                <w:rFonts w:asciiTheme="minorHAnsi" w:hAnsiTheme="minorHAnsi"/>
                <w:sz w:val="18"/>
                <w:szCs w:val="18"/>
              </w:rPr>
              <w:t>(CI</w:t>
            </w:r>
            <w:r w:rsidRPr="00626E47">
              <w:rPr>
                <w:rFonts w:asciiTheme="minorHAnsi" w:hAnsiTheme="minorHAnsi"/>
                <w:sz w:val="18"/>
                <w:szCs w:val="18"/>
                <w:vertAlign w:val="subscript"/>
              </w:rPr>
              <w:t>95</w:t>
            </w:r>
            <w:r w:rsidRPr="00626E47">
              <w:rPr>
                <w:rFonts w:asciiTheme="minorHAnsi" w:hAnsiTheme="minorHAnsi"/>
                <w:sz w:val="18"/>
                <w:szCs w:val="18"/>
              </w:rPr>
              <w:t>, 4.0, 40.9)</w:t>
            </w:r>
            <w:r w:rsidRPr="00626E47">
              <w:rPr>
                <w:rFonts w:asciiTheme="minorHAnsi" w:hAnsiTheme="minorHAnsi"/>
                <w:sz w:val="18"/>
                <w:szCs w:val="18"/>
              </w:rPr>
              <w:br/>
              <w:t>(p = 0.0174)</w:t>
            </w:r>
            <w:r w:rsidRPr="00626E47">
              <w:rPr>
                <w:rFonts w:asciiTheme="minorHAnsi" w:hAnsiTheme="minorHAnsi"/>
                <w:sz w:val="18"/>
                <w:szCs w:val="18"/>
                <w:vertAlign w:val="superscript"/>
              </w:rPr>
              <w:t>‡,§</w:t>
            </w:r>
          </w:p>
        </w:tc>
      </w:tr>
      <w:tr w:rsidR="00A512CD" w:rsidRPr="00626E47" w14:paraId="054D37CA" w14:textId="77777777" w:rsidTr="00614FEF">
        <w:trPr>
          <w:cantSplit/>
          <w:trHeight w:val="422"/>
        </w:trPr>
        <w:tc>
          <w:tcPr>
            <w:tcW w:w="5000" w:type="pct"/>
            <w:gridSpan w:val="8"/>
            <w:tcBorders>
              <w:bottom w:val="single" w:sz="4" w:space="0" w:color="auto"/>
            </w:tcBorders>
          </w:tcPr>
          <w:p w14:paraId="78202C37" w14:textId="77777777" w:rsidR="00A512CD" w:rsidRPr="00626E47" w:rsidRDefault="00A512CD" w:rsidP="00A512CD">
            <w:pPr>
              <w:pStyle w:val="TableCellCenter"/>
              <w:jc w:val="left"/>
              <w:rPr>
                <w:rFonts w:asciiTheme="minorHAnsi" w:hAnsiTheme="minorHAnsi"/>
                <w:bCs/>
                <w:sz w:val="18"/>
                <w:szCs w:val="18"/>
              </w:rPr>
            </w:pPr>
            <w:r w:rsidRPr="00626E47">
              <w:rPr>
                <w:rFonts w:asciiTheme="minorHAnsi" w:hAnsiTheme="minorHAnsi"/>
                <w:bCs/>
                <w:sz w:val="18"/>
                <w:szCs w:val="18"/>
              </w:rPr>
              <w:t>3-Minute Stair Climb Test (Stairs/Minute)</w:t>
            </w:r>
          </w:p>
        </w:tc>
      </w:tr>
      <w:tr w:rsidR="00A512CD" w:rsidRPr="00626E47" w14:paraId="375D0F26" w14:textId="77777777" w:rsidTr="008021AF">
        <w:trPr>
          <w:trHeight w:val="755"/>
        </w:trPr>
        <w:tc>
          <w:tcPr>
            <w:tcW w:w="589" w:type="pct"/>
            <w:tcBorders>
              <w:top w:val="single" w:sz="4" w:space="0" w:color="auto"/>
              <w:left w:val="single" w:sz="4" w:space="0" w:color="auto"/>
              <w:bottom w:val="nil"/>
              <w:right w:val="single" w:sz="4" w:space="0" w:color="auto"/>
            </w:tcBorders>
          </w:tcPr>
          <w:p w14:paraId="7E61F2F5" w14:textId="77777777" w:rsidR="00A512CD" w:rsidRPr="00626E47" w:rsidRDefault="00A512CD" w:rsidP="00A512CD">
            <w:pPr>
              <w:pStyle w:val="TableCellCenter"/>
              <w:keepNext/>
              <w:keepLines/>
              <w:rPr>
                <w:rFonts w:asciiTheme="minorHAnsi" w:hAnsiTheme="minorHAnsi"/>
                <w:sz w:val="18"/>
                <w:szCs w:val="18"/>
              </w:rPr>
            </w:pPr>
            <w:r w:rsidRPr="00626E47">
              <w:rPr>
                <w:rFonts w:asciiTheme="minorHAnsi" w:hAnsiTheme="minorHAnsi"/>
                <w:sz w:val="18"/>
                <w:szCs w:val="18"/>
              </w:rPr>
              <w:t>Mean </w:t>
            </w:r>
          </w:p>
          <w:p w14:paraId="0EB29226" w14:textId="77777777" w:rsidR="00A512CD" w:rsidRPr="00626E47" w:rsidRDefault="00A512CD" w:rsidP="00A512CD">
            <w:pPr>
              <w:pStyle w:val="TableCellCenter"/>
              <w:keepNext/>
              <w:keepLines/>
              <w:rPr>
                <w:rFonts w:asciiTheme="minorHAnsi" w:hAnsiTheme="minorHAnsi"/>
                <w:sz w:val="18"/>
                <w:szCs w:val="18"/>
              </w:rPr>
            </w:pPr>
            <w:r w:rsidRPr="00626E47">
              <w:rPr>
                <w:rFonts w:asciiTheme="minorHAnsi" w:hAnsiTheme="minorHAnsi"/>
                <w:sz w:val="18"/>
                <w:szCs w:val="18"/>
              </w:rPr>
              <w:sym w:font="Symbol" w:char="F0B1"/>
            </w:r>
            <w:r w:rsidRPr="00626E47">
              <w:rPr>
                <w:rFonts w:asciiTheme="minorHAnsi" w:hAnsiTheme="minorHAnsi"/>
                <w:sz w:val="18"/>
                <w:szCs w:val="18"/>
              </w:rPr>
              <w:t> SD</w:t>
            </w:r>
          </w:p>
          <w:p w14:paraId="739D7A11" w14:textId="77777777" w:rsidR="00A512CD" w:rsidRPr="00626E47" w:rsidRDefault="00A512CD" w:rsidP="00A512CD">
            <w:pPr>
              <w:pStyle w:val="TableCellCenter"/>
              <w:keepNext/>
              <w:keepLines/>
              <w:rPr>
                <w:rFonts w:asciiTheme="minorHAnsi" w:hAnsiTheme="minorHAnsi"/>
                <w:sz w:val="18"/>
                <w:szCs w:val="18"/>
              </w:rPr>
            </w:pPr>
          </w:p>
        </w:tc>
        <w:tc>
          <w:tcPr>
            <w:tcW w:w="591" w:type="pct"/>
            <w:tcBorders>
              <w:top w:val="single" w:sz="4" w:space="0" w:color="auto"/>
              <w:left w:val="single" w:sz="4" w:space="0" w:color="auto"/>
              <w:bottom w:val="nil"/>
              <w:right w:val="single" w:sz="4" w:space="0" w:color="auto"/>
            </w:tcBorders>
          </w:tcPr>
          <w:p w14:paraId="7B60DC34" w14:textId="77777777" w:rsidR="00A512CD" w:rsidRPr="00626E47" w:rsidRDefault="00A512CD" w:rsidP="00A512CD">
            <w:pPr>
              <w:pStyle w:val="TableCellCenter"/>
              <w:keepNext/>
              <w:spacing w:line="276" w:lineRule="auto"/>
              <w:rPr>
                <w:rFonts w:asciiTheme="minorHAnsi" w:hAnsiTheme="minorHAnsi"/>
                <w:sz w:val="18"/>
                <w:szCs w:val="18"/>
              </w:rPr>
            </w:pPr>
            <w:r w:rsidRPr="00626E47">
              <w:rPr>
                <w:rFonts w:asciiTheme="minorHAnsi" w:hAnsiTheme="minorHAnsi"/>
                <w:sz w:val="18"/>
                <w:szCs w:val="18"/>
              </w:rPr>
              <w:t>29.6</w:t>
            </w:r>
          </w:p>
          <w:p w14:paraId="4DECA4CF" w14:textId="77777777" w:rsidR="00A512CD" w:rsidRPr="00626E47" w:rsidRDefault="00A512CD" w:rsidP="00A512CD">
            <w:pPr>
              <w:pStyle w:val="TableCellCenter"/>
              <w:keepNext/>
              <w:rPr>
                <w:rFonts w:asciiTheme="minorHAnsi" w:hAnsiTheme="minorHAnsi"/>
                <w:sz w:val="18"/>
                <w:szCs w:val="18"/>
              </w:rPr>
            </w:pPr>
            <w:r w:rsidRPr="00626E47">
              <w:rPr>
                <w:rFonts w:asciiTheme="minorHAnsi" w:hAnsiTheme="minorHAnsi"/>
                <w:sz w:val="18"/>
                <w:szCs w:val="18"/>
              </w:rPr>
              <w:t> ± 16.44</w:t>
            </w:r>
          </w:p>
        </w:tc>
        <w:tc>
          <w:tcPr>
            <w:tcW w:w="530" w:type="pct"/>
            <w:tcBorders>
              <w:top w:val="single" w:sz="4" w:space="0" w:color="auto"/>
              <w:left w:val="single" w:sz="4" w:space="0" w:color="auto"/>
              <w:bottom w:val="nil"/>
              <w:right w:val="single" w:sz="4" w:space="0" w:color="auto"/>
            </w:tcBorders>
          </w:tcPr>
          <w:p w14:paraId="0A7B8506" w14:textId="77777777" w:rsidR="00A512CD" w:rsidRPr="00626E47" w:rsidRDefault="00A512CD" w:rsidP="00A512CD">
            <w:pPr>
              <w:pStyle w:val="TableCellCenter"/>
              <w:keepNext/>
              <w:spacing w:line="276" w:lineRule="auto"/>
              <w:rPr>
                <w:rFonts w:asciiTheme="minorHAnsi" w:hAnsiTheme="minorHAnsi"/>
                <w:sz w:val="18"/>
                <w:szCs w:val="18"/>
              </w:rPr>
            </w:pPr>
            <w:r w:rsidRPr="00626E47">
              <w:rPr>
                <w:rFonts w:asciiTheme="minorHAnsi" w:hAnsiTheme="minorHAnsi"/>
                <w:sz w:val="18"/>
                <w:szCs w:val="18"/>
              </w:rPr>
              <w:t>34.9 </w:t>
            </w:r>
          </w:p>
          <w:p w14:paraId="3FAAF944" w14:textId="77777777" w:rsidR="00A512CD" w:rsidRPr="00626E47" w:rsidRDefault="00A512CD" w:rsidP="00A512CD">
            <w:pPr>
              <w:pStyle w:val="TableCellCenter"/>
              <w:keepNext/>
              <w:rPr>
                <w:rFonts w:asciiTheme="minorHAnsi" w:hAnsiTheme="minorHAnsi"/>
                <w:sz w:val="18"/>
                <w:szCs w:val="18"/>
              </w:rPr>
            </w:pPr>
            <w:r w:rsidRPr="00626E47">
              <w:rPr>
                <w:rFonts w:asciiTheme="minorHAnsi" w:hAnsiTheme="minorHAnsi"/>
                <w:sz w:val="18"/>
                <w:szCs w:val="18"/>
              </w:rPr>
              <w:t>± 18.39</w:t>
            </w:r>
          </w:p>
        </w:tc>
        <w:tc>
          <w:tcPr>
            <w:tcW w:w="651" w:type="pct"/>
            <w:tcBorders>
              <w:top w:val="single" w:sz="4" w:space="0" w:color="auto"/>
              <w:left w:val="single" w:sz="4" w:space="0" w:color="auto"/>
              <w:bottom w:val="nil"/>
              <w:right w:val="single" w:sz="4" w:space="0" w:color="auto"/>
            </w:tcBorders>
          </w:tcPr>
          <w:p w14:paraId="1D29877D" w14:textId="77777777" w:rsidR="00A512CD" w:rsidRPr="00626E47" w:rsidRDefault="00A512CD" w:rsidP="00A512CD">
            <w:pPr>
              <w:pStyle w:val="TableCellCenter"/>
              <w:keepNext/>
              <w:spacing w:line="276" w:lineRule="auto"/>
              <w:rPr>
                <w:rFonts w:asciiTheme="minorHAnsi" w:hAnsiTheme="minorHAnsi"/>
                <w:sz w:val="18"/>
                <w:szCs w:val="18"/>
              </w:rPr>
            </w:pPr>
            <w:r w:rsidRPr="00626E47">
              <w:rPr>
                <w:rFonts w:asciiTheme="minorHAnsi" w:hAnsiTheme="minorHAnsi"/>
                <w:sz w:val="18"/>
                <w:szCs w:val="18"/>
              </w:rPr>
              <w:t>4.8 </w:t>
            </w:r>
          </w:p>
          <w:p w14:paraId="5D3F7B75" w14:textId="77777777" w:rsidR="00A512CD" w:rsidRPr="00626E47" w:rsidRDefault="00A512CD" w:rsidP="00A512CD">
            <w:pPr>
              <w:pStyle w:val="TableCellCenter"/>
              <w:keepNext/>
              <w:rPr>
                <w:rFonts w:asciiTheme="minorHAnsi" w:hAnsiTheme="minorHAnsi"/>
                <w:sz w:val="18"/>
                <w:szCs w:val="18"/>
              </w:rPr>
            </w:pPr>
            <w:r w:rsidRPr="00626E47">
              <w:rPr>
                <w:rFonts w:asciiTheme="minorHAnsi" w:hAnsiTheme="minorHAnsi"/>
                <w:sz w:val="18"/>
                <w:szCs w:val="18"/>
              </w:rPr>
              <w:t>± 8.06</w:t>
            </w:r>
          </w:p>
        </w:tc>
        <w:tc>
          <w:tcPr>
            <w:tcW w:w="545" w:type="pct"/>
            <w:tcBorders>
              <w:top w:val="single" w:sz="4" w:space="0" w:color="auto"/>
              <w:left w:val="single" w:sz="4" w:space="0" w:color="auto"/>
              <w:bottom w:val="nil"/>
              <w:right w:val="single" w:sz="4" w:space="0" w:color="auto"/>
            </w:tcBorders>
          </w:tcPr>
          <w:p w14:paraId="6770286B" w14:textId="77777777" w:rsidR="00A512CD" w:rsidRPr="00626E47" w:rsidRDefault="00A512CD" w:rsidP="00A512CD">
            <w:pPr>
              <w:pStyle w:val="TableCellCenter"/>
              <w:keepNext/>
              <w:spacing w:line="276" w:lineRule="auto"/>
              <w:rPr>
                <w:rFonts w:asciiTheme="minorHAnsi" w:hAnsiTheme="minorHAnsi"/>
                <w:sz w:val="18"/>
                <w:szCs w:val="18"/>
              </w:rPr>
            </w:pPr>
            <w:r w:rsidRPr="00626E47">
              <w:rPr>
                <w:rFonts w:asciiTheme="minorHAnsi" w:hAnsiTheme="minorHAnsi"/>
                <w:sz w:val="18"/>
                <w:szCs w:val="18"/>
              </w:rPr>
              <w:t>30.0 </w:t>
            </w:r>
          </w:p>
          <w:p w14:paraId="54CB86CF" w14:textId="77777777" w:rsidR="00A512CD" w:rsidRPr="00626E47" w:rsidRDefault="00A512CD" w:rsidP="00A512CD">
            <w:pPr>
              <w:pStyle w:val="TableCellCenter"/>
              <w:keepNext/>
              <w:rPr>
                <w:rFonts w:asciiTheme="minorHAnsi" w:hAnsiTheme="minorHAnsi"/>
                <w:sz w:val="18"/>
                <w:szCs w:val="18"/>
              </w:rPr>
            </w:pPr>
            <w:r w:rsidRPr="00626E47">
              <w:rPr>
                <w:rFonts w:asciiTheme="minorHAnsi" w:hAnsiTheme="minorHAnsi"/>
                <w:sz w:val="18"/>
                <w:szCs w:val="18"/>
              </w:rPr>
              <w:t>± 14.05</w:t>
            </w:r>
          </w:p>
        </w:tc>
        <w:tc>
          <w:tcPr>
            <w:tcW w:w="527" w:type="pct"/>
            <w:tcBorders>
              <w:top w:val="single" w:sz="4" w:space="0" w:color="auto"/>
              <w:left w:val="single" w:sz="4" w:space="0" w:color="auto"/>
              <w:bottom w:val="nil"/>
              <w:right w:val="single" w:sz="4" w:space="0" w:color="auto"/>
            </w:tcBorders>
          </w:tcPr>
          <w:p w14:paraId="1EFF894B" w14:textId="77777777" w:rsidR="00A512CD" w:rsidRPr="00626E47" w:rsidRDefault="00A512CD" w:rsidP="00A512CD">
            <w:pPr>
              <w:pStyle w:val="TableCellCenter"/>
              <w:keepNext/>
              <w:spacing w:line="276" w:lineRule="auto"/>
              <w:rPr>
                <w:rFonts w:asciiTheme="minorHAnsi" w:hAnsiTheme="minorHAnsi"/>
                <w:sz w:val="18"/>
                <w:szCs w:val="18"/>
              </w:rPr>
            </w:pPr>
            <w:r w:rsidRPr="00626E47">
              <w:rPr>
                <w:rFonts w:asciiTheme="minorHAnsi" w:hAnsiTheme="minorHAnsi"/>
                <w:sz w:val="18"/>
                <w:szCs w:val="18"/>
              </w:rPr>
              <w:t>33.6</w:t>
            </w:r>
          </w:p>
          <w:p w14:paraId="4C42D0C5" w14:textId="77777777" w:rsidR="00A512CD" w:rsidRPr="00626E47" w:rsidRDefault="00A512CD" w:rsidP="00A512CD">
            <w:pPr>
              <w:pStyle w:val="TableCellCenter"/>
              <w:keepNext/>
              <w:rPr>
                <w:rFonts w:asciiTheme="minorHAnsi" w:hAnsiTheme="minorHAnsi"/>
                <w:sz w:val="18"/>
                <w:szCs w:val="18"/>
              </w:rPr>
            </w:pPr>
            <w:r w:rsidRPr="00626E47">
              <w:rPr>
                <w:rFonts w:asciiTheme="minorHAnsi" w:hAnsiTheme="minorHAnsi"/>
                <w:sz w:val="18"/>
                <w:szCs w:val="18"/>
              </w:rPr>
              <w:t> ± 18.36</w:t>
            </w:r>
          </w:p>
        </w:tc>
        <w:tc>
          <w:tcPr>
            <w:tcW w:w="600" w:type="pct"/>
            <w:tcBorders>
              <w:top w:val="single" w:sz="4" w:space="0" w:color="auto"/>
              <w:left w:val="single" w:sz="4" w:space="0" w:color="auto"/>
              <w:bottom w:val="nil"/>
              <w:right w:val="single" w:sz="4" w:space="0" w:color="auto"/>
            </w:tcBorders>
          </w:tcPr>
          <w:p w14:paraId="3A4FFD31" w14:textId="77777777" w:rsidR="00A512CD" w:rsidRPr="00626E47" w:rsidRDefault="00A512CD" w:rsidP="00A512CD">
            <w:pPr>
              <w:pStyle w:val="TableCellCenter"/>
              <w:keepNext/>
              <w:spacing w:line="276" w:lineRule="auto"/>
              <w:rPr>
                <w:rFonts w:asciiTheme="minorHAnsi" w:hAnsiTheme="minorHAnsi"/>
                <w:sz w:val="18"/>
                <w:szCs w:val="18"/>
              </w:rPr>
            </w:pPr>
            <w:r w:rsidRPr="00626E47">
              <w:rPr>
                <w:rFonts w:asciiTheme="minorHAnsi" w:hAnsiTheme="minorHAnsi"/>
                <w:sz w:val="18"/>
                <w:szCs w:val="18"/>
              </w:rPr>
              <w:t>3.6 </w:t>
            </w:r>
          </w:p>
          <w:p w14:paraId="29B122A9" w14:textId="77777777" w:rsidR="00A512CD" w:rsidRPr="00626E47" w:rsidRDefault="00A512CD" w:rsidP="00A512CD">
            <w:pPr>
              <w:pStyle w:val="TableCellCenter"/>
              <w:keepNext/>
              <w:rPr>
                <w:rFonts w:asciiTheme="minorHAnsi" w:hAnsiTheme="minorHAnsi"/>
                <w:sz w:val="18"/>
                <w:szCs w:val="18"/>
              </w:rPr>
            </w:pPr>
            <w:r w:rsidRPr="00626E47">
              <w:rPr>
                <w:rFonts w:asciiTheme="minorHAnsi" w:hAnsiTheme="minorHAnsi"/>
                <w:sz w:val="18"/>
                <w:szCs w:val="18"/>
              </w:rPr>
              <w:t>± 8.51</w:t>
            </w:r>
          </w:p>
        </w:tc>
        <w:tc>
          <w:tcPr>
            <w:tcW w:w="967" w:type="pct"/>
            <w:tcBorders>
              <w:top w:val="single" w:sz="4" w:space="0" w:color="auto"/>
              <w:left w:val="single" w:sz="4" w:space="0" w:color="auto"/>
              <w:bottom w:val="nil"/>
              <w:right w:val="single" w:sz="4" w:space="0" w:color="auto"/>
            </w:tcBorders>
          </w:tcPr>
          <w:p w14:paraId="0B8B696A" w14:textId="77777777" w:rsidR="00A512CD" w:rsidRPr="00626E47" w:rsidRDefault="00A512CD" w:rsidP="00A512CD">
            <w:pPr>
              <w:pStyle w:val="TableCellCenter"/>
              <w:keepNext/>
              <w:spacing w:line="276" w:lineRule="auto"/>
              <w:rPr>
                <w:rFonts w:asciiTheme="minorHAnsi" w:hAnsiTheme="minorHAnsi"/>
                <w:sz w:val="18"/>
                <w:szCs w:val="18"/>
              </w:rPr>
            </w:pPr>
            <w:r w:rsidRPr="00626E47">
              <w:rPr>
                <w:rFonts w:asciiTheme="minorHAnsi" w:hAnsiTheme="minorHAnsi"/>
                <w:sz w:val="18"/>
                <w:szCs w:val="18"/>
              </w:rPr>
              <w:t>1.1</w:t>
            </w:r>
            <w:r w:rsidRPr="00626E47">
              <w:rPr>
                <w:rFonts w:asciiTheme="minorHAnsi" w:hAnsiTheme="minorHAnsi"/>
                <w:sz w:val="18"/>
                <w:szCs w:val="18"/>
                <w:vertAlign w:val="superscript"/>
              </w:rPr>
              <w:t>†</w:t>
            </w:r>
            <w:r w:rsidRPr="00626E47">
              <w:rPr>
                <w:rFonts w:asciiTheme="minorHAnsi" w:hAnsiTheme="minorHAnsi"/>
                <w:sz w:val="18"/>
                <w:szCs w:val="18"/>
              </w:rPr>
              <w:t xml:space="preserve"> </w:t>
            </w:r>
          </w:p>
          <w:p w14:paraId="7E57CDF0" w14:textId="77777777" w:rsidR="00A512CD" w:rsidRPr="00626E47" w:rsidRDefault="00A512CD" w:rsidP="00A512CD">
            <w:pPr>
              <w:pStyle w:val="TableCellCenter"/>
              <w:keepNext/>
              <w:rPr>
                <w:rFonts w:asciiTheme="minorHAnsi" w:hAnsiTheme="minorHAnsi"/>
                <w:sz w:val="18"/>
                <w:szCs w:val="18"/>
                <w:vertAlign w:val="superscript"/>
              </w:rPr>
            </w:pPr>
            <w:r w:rsidRPr="00626E47">
              <w:rPr>
                <w:rFonts w:asciiTheme="minorHAnsi" w:hAnsiTheme="minorHAnsi"/>
                <w:sz w:val="18"/>
                <w:szCs w:val="18"/>
              </w:rPr>
              <w:t>(CI</w:t>
            </w:r>
            <w:r w:rsidRPr="00626E47">
              <w:rPr>
                <w:rFonts w:asciiTheme="minorHAnsi" w:hAnsiTheme="minorHAnsi"/>
                <w:sz w:val="18"/>
                <w:szCs w:val="18"/>
                <w:vertAlign w:val="subscript"/>
              </w:rPr>
              <w:t>95</w:t>
            </w:r>
            <w:r w:rsidRPr="00626E47">
              <w:rPr>
                <w:rFonts w:asciiTheme="minorHAnsi" w:hAnsiTheme="minorHAnsi"/>
                <w:sz w:val="18"/>
                <w:szCs w:val="18"/>
              </w:rPr>
              <w:t xml:space="preserve">, </w:t>
            </w:r>
            <w:r w:rsidRPr="00626E47">
              <w:rPr>
                <w:rFonts w:asciiTheme="minorHAnsi" w:hAnsiTheme="minorHAnsi"/>
                <w:sz w:val="18"/>
                <w:szCs w:val="18"/>
              </w:rPr>
              <w:noBreakHyphen/>
              <w:t>1.9, 4.2)</w:t>
            </w:r>
          </w:p>
          <w:p w14:paraId="09846681" w14:textId="77777777" w:rsidR="00A512CD" w:rsidRPr="00626E47" w:rsidRDefault="00A512CD" w:rsidP="00A512CD">
            <w:pPr>
              <w:pStyle w:val="TableCellCenter"/>
              <w:keepNext/>
              <w:keepLines/>
              <w:rPr>
                <w:rFonts w:asciiTheme="minorHAnsi" w:hAnsiTheme="minorHAnsi"/>
                <w:sz w:val="18"/>
                <w:szCs w:val="18"/>
              </w:rPr>
            </w:pPr>
          </w:p>
        </w:tc>
      </w:tr>
      <w:tr w:rsidR="00A512CD" w:rsidRPr="00626E47" w14:paraId="6126E195" w14:textId="77777777" w:rsidTr="008021AF">
        <w:trPr>
          <w:trHeight w:val="369"/>
        </w:trPr>
        <w:tc>
          <w:tcPr>
            <w:tcW w:w="589" w:type="pct"/>
            <w:tcBorders>
              <w:top w:val="nil"/>
              <w:left w:val="single" w:sz="4" w:space="0" w:color="auto"/>
              <w:bottom w:val="single" w:sz="4" w:space="0" w:color="auto"/>
              <w:right w:val="single" w:sz="4" w:space="0" w:color="auto"/>
            </w:tcBorders>
          </w:tcPr>
          <w:p w14:paraId="081AE5B2" w14:textId="77777777" w:rsidR="00A512CD" w:rsidRPr="00626E47" w:rsidRDefault="00A512CD" w:rsidP="00A512CD">
            <w:pPr>
              <w:pStyle w:val="TableCellCenter"/>
              <w:keepNext/>
              <w:keepLines/>
              <w:rPr>
                <w:rFonts w:asciiTheme="minorHAnsi" w:hAnsiTheme="minorHAnsi"/>
                <w:sz w:val="18"/>
                <w:szCs w:val="18"/>
              </w:rPr>
            </w:pPr>
            <w:r w:rsidRPr="00626E47">
              <w:rPr>
                <w:rFonts w:asciiTheme="minorHAnsi" w:hAnsiTheme="minorHAnsi"/>
                <w:sz w:val="18"/>
                <w:szCs w:val="18"/>
              </w:rPr>
              <w:t>Median</w:t>
            </w:r>
          </w:p>
          <w:p w14:paraId="0AEA9CAF" w14:textId="77777777" w:rsidR="00A512CD" w:rsidRPr="00626E47" w:rsidRDefault="00A512CD" w:rsidP="00A512CD">
            <w:pPr>
              <w:pStyle w:val="TableCellCenter"/>
              <w:keepNext/>
              <w:keepLines/>
              <w:rPr>
                <w:rFonts w:asciiTheme="minorHAnsi" w:hAnsiTheme="minorHAnsi"/>
                <w:sz w:val="18"/>
                <w:szCs w:val="18"/>
              </w:rPr>
            </w:pPr>
            <w:r w:rsidRPr="00626E47">
              <w:rPr>
                <w:rFonts w:asciiTheme="minorHAnsi" w:hAnsiTheme="minorHAnsi"/>
                <w:sz w:val="18"/>
                <w:szCs w:val="18"/>
              </w:rPr>
              <w:t>Min, Max</w:t>
            </w:r>
          </w:p>
        </w:tc>
        <w:tc>
          <w:tcPr>
            <w:tcW w:w="591" w:type="pct"/>
            <w:tcBorders>
              <w:top w:val="nil"/>
              <w:left w:val="single" w:sz="4" w:space="0" w:color="auto"/>
              <w:bottom w:val="single" w:sz="4" w:space="0" w:color="auto"/>
              <w:right w:val="single" w:sz="4" w:space="0" w:color="auto"/>
            </w:tcBorders>
          </w:tcPr>
          <w:p w14:paraId="65898FD5" w14:textId="77777777" w:rsidR="00A512CD" w:rsidRPr="00626E47" w:rsidRDefault="00A512CD" w:rsidP="00A512CD">
            <w:pPr>
              <w:pStyle w:val="TableCellCenter"/>
              <w:keepNext/>
              <w:spacing w:line="276" w:lineRule="auto"/>
              <w:rPr>
                <w:rFonts w:asciiTheme="minorHAnsi" w:hAnsiTheme="minorHAnsi"/>
                <w:sz w:val="18"/>
                <w:szCs w:val="18"/>
              </w:rPr>
            </w:pPr>
            <w:r w:rsidRPr="00626E47">
              <w:rPr>
                <w:rFonts w:asciiTheme="minorHAnsi" w:hAnsiTheme="minorHAnsi"/>
                <w:sz w:val="18"/>
                <w:szCs w:val="18"/>
              </w:rPr>
              <w:t>30.5</w:t>
            </w:r>
          </w:p>
          <w:p w14:paraId="695FC94D" w14:textId="77777777" w:rsidR="00A512CD" w:rsidRPr="00626E47" w:rsidRDefault="00A512CD" w:rsidP="00A512CD">
            <w:pPr>
              <w:pStyle w:val="TableCellCenter"/>
              <w:keepNext/>
              <w:keepLines/>
              <w:rPr>
                <w:rFonts w:asciiTheme="minorHAnsi" w:hAnsiTheme="minorHAnsi"/>
                <w:sz w:val="18"/>
                <w:szCs w:val="18"/>
              </w:rPr>
            </w:pPr>
            <w:r w:rsidRPr="00626E47">
              <w:rPr>
                <w:rFonts w:asciiTheme="minorHAnsi" w:hAnsiTheme="minorHAnsi"/>
                <w:sz w:val="18"/>
                <w:szCs w:val="18"/>
              </w:rPr>
              <w:t>0.0, 71.9</w:t>
            </w:r>
          </w:p>
        </w:tc>
        <w:tc>
          <w:tcPr>
            <w:tcW w:w="530" w:type="pct"/>
            <w:tcBorders>
              <w:top w:val="nil"/>
              <w:left w:val="single" w:sz="4" w:space="0" w:color="auto"/>
              <w:bottom w:val="single" w:sz="4" w:space="0" w:color="auto"/>
              <w:right w:val="single" w:sz="4" w:space="0" w:color="auto"/>
            </w:tcBorders>
          </w:tcPr>
          <w:p w14:paraId="1ABA7088" w14:textId="77777777" w:rsidR="00A512CD" w:rsidRPr="00626E47" w:rsidRDefault="00A512CD" w:rsidP="00A512CD">
            <w:pPr>
              <w:pStyle w:val="TableCellCenter"/>
              <w:keepNext/>
              <w:spacing w:line="276" w:lineRule="auto"/>
              <w:rPr>
                <w:rFonts w:asciiTheme="minorHAnsi" w:hAnsiTheme="minorHAnsi"/>
                <w:sz w:val="18"/>
                <w:szCs w:val="18"/>
              </w:rPr>
            </w:pPr>
            <w:r w:rsidRPr="00626E47">
              <w:rPr>
                <w:rFonts w:asciiTheme="minorHAnsi" w:hAnsiTheme="minorHAnsi"/>
                <w:sz w:val="18"/>
                <w:szCs w:val="18"/>
              </w:rPr>
              <w:t>34.7</w:t>
            </w:r>
          </w:p>
          <w:p w14:paraId="7D7BD7E9" w14:textId="77777777" w:rsidR="00A512CD" w:rsidRPr="00626E47" w:rsidRDefault="00A512CD" w:rsidP="00A512CD">
            <w:pPr>
              <w:pStyle w:val="TableCellCenter"/>
              <w:keepNext/>
              <w:keepLines/>
              <w:rPr>
                <w:rFonts w:asciiTheme="minorHAnsi" w:hAnsiTheme="minorHAnsi"/>
                <w:sz w:val="18"/>
                <w:szCs w:val="18"/>
              </w:rPr>
            </w:pPr>
            <w:r w:rsidRPr="00626E47">
              <w:rPr>
                <w:rFonts w:asciiTheme="minorHAnsi" w:hAnsiTheme="minorHAnsi"/>
                <w:sz w:val="18"/>
                <w:szCs w:val="18"/>
              </w:rPr>
              <w:t>0.0, 82.3</w:t>
            </w:r>
          </w:p>
        </w:tc>
        <w:tc>
          <w:tcPr>
            <w:tcW w:w="651" w:type="pct"/>
            <w:tcBorders>
              <w:top w:val="nil"/>
              <w:left w:val="single" w:sz="4" w:space="0" w:color="auto"/>
              <w:bottom w:val="single" w:sz="4" w:space="0" w:color="auto"/>
              <w:right w:val="single" w:sz="4" w:space="0" w:color="auto"/>
            </w:tcBorders>
          </w:tcPr>
          <w:p w14:paraId="131702ED" w14:textId="77777777" w:rsidR="00A512CD" w:rsidRPr="00626E47" w:rsidRDefault="00A512CD" w:rsidP="00A512CD">
            <w:pPr>
              <w:pStyle w:val="TableCellCenter"/>
              <w:keepNext/>
              <w:spacing w:line="276" w:lineRule="auto"/>
              <w:rPr>
                <w:rFonts w:asciiTheme="minorHAnsi" w:hAnsiTheme="minorHAnsi"/>
                <w:sz w:val="18"/>
                <w:szCs w:val="18"/>
              </w:rPr>
            </w:pPr>
            <w:r w:rsidRPr="00626E47">
              <w:rPr>
                <w:rFonts w:asciiTheme="minorHAnsi" w:hAnsiTheme="minorHAnsi"/>
                <w:sz w:val="18"/>
                <w:szCs w:val="18"/>
              </w:rPr>
              <w:t>4.3</w:t>
            </w:r>
          </w:p>
          <w:p w14:paraId="74D80C8B" w14:textId="77777777" w:rsidR="00A512CD" w:rsidRPr="00626E47" w:rsidRDefault="00A512CD" w:rsidP="00A512CD">
            <w:pPr>
              <w:pStyle w:val="TableCellCenter"/>
              <w:keepNext/>
              <w:keepLines/>
              <w:rPr>
                <w:rFonts w:asciiTheme="minorHAnsi" w:hAnsiTheme="minorHAnsi"/>
                <w:sz w:val="18"/>
                <w:szCs w:val="18"/>
              </w:rPr>
            </w:pPr>
            <w:r w:rsidRPr="00626E47">
              <w:rPr>
                <w:rFonts w:asciiTheme="minorHAnsi" w:hAnsiTheme="minorHAnsi"/>
                <w:sz w:val="18"/>
                <w:szCs w:val="18"/>
              </w:rPr>
              <w:t>-12.4, 20.5</w:t>
            </w:r>
          </w:p>
        </w:tc>
        <w:tc>
          <w:tcPr>
            <w:tcW w:w="545" w:type="pct"/>
            <w:tcBorders>
              <w:top w:val="nil"/>
              <w:left w:val="single" w:sz="4" w:space="0" w:color="auto"/>
              <w:bottom w:val="single" w:sz="4" w:space="0" w:color="auto"/>
              <w:right w:val="single" w:sz="4" w:space="0" w:color="auto"/>
            </w:tcBorders>
          </w:tcPr>
          <w:p w14:paraId="1F663785" w14:textId="77777777" w:rsidR="00A512CD" w:rsidRPr="00626E47" w:rsidRDefault="00A512CD" w:rsidP="00A512CD">
            <w:pPr>
              <w:pStyle w:val="TableCellCenter"/>
              <w:keepNext/>
              <w:spacing w:line="276" w:lineRule="auto"/>
              <w:rPr>
                <w:rFonts w:asciiTheme="minorHAnsi" w:hAnsiTheme="minorHAnsi"/>
                <w:sz w:val="18"/>
                <w:szCs w:val="18"/>
              </w:rPr>
            </w:pPr>
            <w:r w:rsidRPr="00626E47">
              <w:rPr>
                <w:rFonts w:asciiTheme="minorHAnsi" w:hAnsiTheme="minorHAnsi"/>
                <w:sz w:val="18"/>
                <w:szCs w:val="18"/>
              </w:rPr>
              <w:t>30.8</w:t>
            </w:r>
          </w:p>
          <w:p w14:paraId="2F6CA915" w14:textId="77777777" w:rsidR="00A512CD" w:rsidRPr="00626E47" w:rsidRDefault="00A512CD" w:rsidP="00A512CD">
            <w:pPr>
              <w:pStyle w:val="TableCellCenter"/>
              <w:keepNext/>
              <w:keepLines/>
              <w:rPr>
                <w:rFonts w:asciiTheme="minorHAnsi" w:hAnsiTheme="minorHAnsi"/>
                <w:sz w:val="18"/>
                <w:szCs w:val="18"/>
              </w:rPr>
            </w:pPr>
            <w:r w:rsidRPr="00626E47">
              <w:rPr>
                <w:rFonts w:asciiTheme="minorHAnsi" w:hAnsiTheme="minorHAnsi"/>
                <w:sz w:val="18"/>
                <w:szCs w:val="18"/>
              </w:rPr>
              <w:t>0.0, 59.0</w:t>
            </w:r>
          </w:p>
        </w:tc>
        <w:tc>
          <w:tcPr>
            <w:tcW w:w="527" w:type="pct"/>
            <w:tcBorders>
              <w:top w:val="nil"/>
              <w:left w:val="single" w:sz="4" w:space="0" w:color="auto"/>
              <w:bottom w:val="single" w:sz="4" w:space="0" w:color="auto"/>
              <w:right w:val="single" w:sz="4" w:space="0" w:color="auto"/>
            </w:tcBorders>
          </w:tcPr>
          <w:p w14:paraId="769F5435" w14:textId="77777777" w:rsidR="00A512CD" w:rsidRPr="00626E47" w:rsidRDefault="00A512CD" w:rsidP="00A512CD">
            <w:pPr>
              <w:pStyle w:val="TableCellCenter"/>
              <w:keepNext/>
              <w:spacing w:line="276" w:lineRule="auto"/>
              <w:rPr>
                <w:rFonts w:asciiTheme="minorHAnsi" w:hAnsiTheme="minorHAnsi"/>
                <w:sz w:val="18"/>
                <w:szCs w:val="18"/>
              </w:rPr>
            </w:pPr>
            <w:r w:rsidRPr="00626E47">
              <w:rPr>
                <w:rFonts w:asciiTheme="minorHAnsi" w:hAnsiTheme="minorHAnsi"/>
                <w:sz w:val="18"/>
                <w:szCs w:val="18"/>
              </w:rPr>
              <w:t>32.0</w:t>
            </w:r>
          </w:p>
          <w:p w14:paraId="596E5D54" w14:textId="77777777" w:rsidR="00A512CD" w:rsidRPr="00626E47" w:rsidRDefault="00A512CD" w:rsidP="00A512CD">
            <w:pPr>
              <w:pStyle w:val="TableCellCenter"/>
              <w:keepNext/>
              <w:keepLines/>
              <w:rPr>
                <w:rFonts w:asciiTheme="minorHAnsi" w:hAnsiTheme="minorHAnsi"/>
                <w:sz w:val="18"/>
                <w:szCs w:val="18"/>
              </w:rPr>
            </w:pPr>
            <w:r w:rsidRPr="00626E47">
              <w:rPr>
                <w:rFonts w:asciiTheme="minorHAnsi" w:hAnsiTheme="minorHAnsi"/>
                <w:sz w:val="18"/>
                <w:szCs w:val="18"/>
              </w:rPr>
              <w:t>0.0, 79.3</w:t>
            </w:r>
          </w:p>
        </w:tc>
        <w:tc>
          <w:tcPr>
            <w:tcW w:w="600" w:type="pct"/>
            <w:tcBorders>
              <w:top w:val="nil"/>
              <w:left w:val="single" w:sz="4" w:space="0" w:color="auto"/>
              <w:bottom w:val="single" w:sz="4" w:space="0" w:color="auto"/>
              <w:right w:val="single" w:sz="4" w:space="0" w:color="auto"/>
            </w:tcBorders>
          </w:tcPr>
          <w:p w14:paraId="79FF44E4" w14:textId="77777777" w:rsidR="00A512CD" w:rsidRPr="00626E47" w:rsidRDefault="00A512CD" w:rsidP="00A512CD">
            <w:pPr>
              <w:pStyle w:val="TableCellCenter"/>
              <w:keepNext/>
              <w:spacing w:line="276" w:lineRule="auto"/>
              <w:rPr>
                <w:rFonts w:asciiTheme="minorHAnsi" w:hAnsiTheme="minorHAnsi"/>
                <w:sz w:val="18"/>
                <w:szCs w:val="18"/>
              </w:rPr>
            </w:pPr>
            <w:r w:rsidRPr="00626E47">
              <w:rPr>
                <w:rFonts w:asciiTheme="minorHAnsi" w:hAnsiTheme="minorHAnsi"/>
                <w:sz w:val="18"/>
                <w:szCs w:val="18"/>
              </w:rPr>
              <w:t>0.9</w:t>
            </w:r>
          </w:p>
          <w:p w14:paraId="5102D5D0" w14:textId="77777777" w:rsidR="00A512CD" w:rsidRPr="00626E47" w:rsidRDefault="00A512CD" w:rsidP="00A512CD">
            <w:pPr>
              <w:pStyle w:val="TableCellCenter"/>
              <w:keepNext/>
              <w:keepLines/>
              <w:rPr>
                <w:rFonts w:asciiTheme="minorHAnsi" w:hAnsiTheme="minorHAnsi"/>
                <w:sz w:val="18"/>
                <w:szCs w:val="18"/>
              </w:rPr>
            </w:pPr>
            <w:r w:rsidRPr="00626E47">
              <w:rPr>
                <w:rFonts w:asciiTheme="minorHAnsi" w:hAnsiTheme="minorHAnsi"/>
                <w:sz w:val="18"/>
                <w:szCs w:val="18"/>
              </w:rPr>
              <w:t>-13.0, 32.4</w:t>
            </w:r>
          </w:p>
        </w:tc>
        <w:tc>
          <w:tcPr>
            <w:tcW w:w="967" w:type="pct"/>
            <w:tcBorders>
              <w:top w:val="nil"/>
              <w:left w:val="single" w:sz="4" w:space="0" w:color="auto"/>
              <w:bottom w:val="single" w:sz="4" w:space="0" w:color="auto"/>
              <w:right w:val="single" w:sz="4" w:space="0" w:color="auto"/>
            </w:tcBorders>
          </w:tcPr>
          <w:p w14:paraId="74D1777B" w14:textId="77777777" w:rsidR="00A512CD" w:rsidRPr="00626E47" w:rsidRDefault="00A512CD" w:rsidP="00A512CD">
            <w:pPr>
              <w:pStyle w:val="TableCellCenter"/>
              <w:keepNext/>
              <w:spacing w:line="276" w:lineRule="auto"/>
              <w:rPr>
                <w:rFonts w:asciiTheme="minorHAnsi" w:hAnsiTheme="minorHAnsi"/>
                <w:sz w:val="18"/>
                <w:szCs w:val="18"/>
              </w:rPr>
            </w:pPr>
            <w:r w:rsidRPr="00626E47">
              <w:rPr>
                <w:rFonts w:asciiTheme="minorHAnsi" w:hAnsiTheme="minorHAnsi"/>
                <w:sz w:val="18"/>
                <w:szCs w:val="18"/>
              </w:rPr>
              <w:t>1.1</w:t>
            </w:r>
            <w:r w:rsidRPr="00626E47">
              <w:rPr>
                <w:rFonts w:asciiTheme="minorHAnsi" w:hAnsiTheme="minorHAnsi"/>
                <w:sz w:val="18"/>
                <w:szCs w:val="18"/>
                <w:vertAlign w:val="superscript"/>
              </w:rPr>
              <w:t>‡</w:t>
            </w:r>
          </w:p>
          <w:p w14:paraId="22E1B19B" w14:textId="77777777" w:rsidR="00A512CD" w:rsidRPr="00626E47" w:rsidRDefault="00A512CD" w:rsidP="00A512CD">
            <w:pPr>
              <w:pStyle w:val="TableCellCenter"/>
              <w:keepNext/>
              <w:spacing w:line="276" w:lineRule="auto"/>
              <w:rPr>
                <w:rFonts w:asciiTheme="minorHAnsi" w:hAnsiTheme="minorHAnsi"/>
                <w:sz w:val="18"/>
                <w:szCs w:val="18"/>
                <w:vertAlign w:val="superscript"/>
              </w:rPr>
            </w:pPr>
            <w:r w:rsidRPr="00626E47">
              <w:rPr>
                <w:rFonts w:asciiTheme="minorHAnsi" w:hAnsiTheme="minorHAnsi"/>
                <w:sz w:val="18"/>
                <w:szCs w:val="18"/>
              </w:rPr>
              <w:t>(CI</w:t>
            </w:r>
            <w:r w:rsidRPr="00626E47">
              <w:rPr>
                <w:rFonts w:asciiTheme="minorHAnsi" w:hAnsiTheme="minorHAnsi"/>
                <w:sz w:val="18"/>
                <w:szCs w:val="18"/>
                <w:vertAlign w:val="subscript"/>
              </w:rPr>
              <w:t>95</w:t>
            </w:r>
            <w:r w:rsidRPr="00626E47">
              <w:rPr>
                <w:rFonts w:asciiTheme="minorHAnsi" w:hAnsiTheme="minorHAnsi"/>
                <w:sz w:val="18"/>
                <w:szCs w:val="18"/>
              </w:rPr>
              <w:t xml:space="preserve">, </w:t>
            </w:r>
            <w:r w:rsidRPr="00626E47">
              <w:rPr>
                <w:rFonts w:asciiTheme="minorHAnsi" w:hAnsiTheme="minorHAnsi"/>
                <w:sz w:val="18"/>
                <w:szCs w:val="18"/>
              </w:rPr>
              <w:noBreakHyphen/>
              <w:t>2.1, 4.4)</w:t>
            </w:r>
          </w:p>
          <w:p w14:paraId="47674DF7" w14:textId="77777777" w:rsidR="00A512CD" w:rsidRPr="00626E47" w:rsidRDefault="00A512CD" w:rsidP="00A512CD">
            <w:pPr>
              <w:pStyle w:val="TableCellCenter"/>
              <w:keepNext/>
              <w:keepLines/>
              <w:rPr>
                <w:rFonts w:asciiTheme="minorHAnsi" w:hAnsiTheme="minorHAnsi"/>
                <w:sz w:val="18"/>
                <w:szCs w:val="18"/>
              </w:rPr>
            </w:pPr>
            <w:r w:rsidRPr="00626E47">
              <w:rPr>
                <w:rFonts w:asciiTheme="minorHAnsi" w:hAnsiTheme="minorHAnsi"/>
                <w:sz w:val="18"/>
                <w:szCs w:val="18"/>
              </w:rPr>
              <w:t>(p = 0.4935)</w:t>
            </w:r>
            <w:r w:rsidRPr="00626E47">
              <w:rPr>
                <w:rFonts w:asciiTheme="minorHAnsi" w:hAnsiTheme="minorHAnsi"/>
                <w:sz w:val="18"/>
                <w:szCs w:val="18"/>
                <w:vertAlign w:val="superscript"/>
              </w:rPr>
              <w:t xml:space="preserve"> ‡,§</w:t>
            </w:r>
          </w:p>
        </w:tc>
      </w:tr>
    </w:tbl>
    <w:p w14:paraId="617602BC" w14:textId="77777777" w:rsidR="00A512CD" w:rsidRPr="00626E47" w:rsidRDefault="00A512CD" w:rsidP="00A512CD">
      <w:pPr>
        <w:pStyle w:val="TableFooter"/>
        <w:tabs>
          <w:tab w:val="clear" w:pos="144"/>
          <w:tab w:val="right" w:pos="132"/>
        </w:tabs>
        <w:ind w:left="180" w:hanging="180"/>
        <w:jc w:val="both"/>
        <w:rPr>
          <w:rFonts w:asciiTheme="minorHAnsi" w:hAnsiTheme="minorHAnsi"/>
          <w:szCs w:val="20"/>
        </w:rPr>
      </w:pPr>
      <w:r w:rsidRPr="00626E47">
        <w:rPr>
          <w:rFonts w:asciiTheme="minorHAnsi" w:hAnsiTheme="minorHAnsi"/>
          <w:szCs w:val="20"/>
          <w:vertAlign w:val="superscript"/>
        </w:rPr>
        <w:t>¥</w:t>
      </w:r>
      <w:r w:rsidRPr="00626E47">
        <w:rPr>
          <w:rFonts w:asciiTheme="minorHAnsi" w:hAnsiTheme="minorHAnsi"/>
          <w:szCs w:val="20"/>
        </w:rPr>
        <w:t xml:space="preserve"> One patient in the </w:t>
      </w:r>
      <w:proofErr w:type="spellStart"/>
      <w:r w:rsidRPr="00626E47">
        <w:rPr>
          <w:rFonts w:asciiTheme="minorHAnsi" w:hAnsiTheme="minorHAnsi"/>
          <w:szCs w:val="20"/>
        </w:rPr>
        <w:t>Vimizim</w:t>
      </w:r>
      <w:proofErr w:type="spellEnd"/>
      <w:r w:rsidRPr="00626E47">
        <w:rPr>
          <w:rFonts w:asciiTheme="minorHAnsi" w:hAnsiTheme="minorHAnsi"/>
          <w:szCs w:val="20"/>
        </w:rPr>
        <w:t xml:space="preserve"> group dropped out after 1 infusion </w:t>
      </w:r>
    </w:p>
    <w:p w14:paraId="0753DBCA" w14:textId="77777777" w:rsidR="00A512CD" w:rsidRPr="00626E47" w:rsidRDefault="00A512CD" w:rsidP="00A512CD">
      <w:pPr>
        <w:pStyle w:val="TableFooter"/>
        <w:tabs>
          <w:tab w:val="clear" w:pos="144"/>
          <w:tab w:val="right" w:pos="132"/>
        </w:tabs>
        <w:ind w:left="180" w:hanging="180"/>
        <w:jc w:val="both"/>
        <w:rPr>
          <w:rFonts w:asciiTheme="minorHAnsi" w:hAnsiTheme="minorHAnsi"/>
          <w:szCs w:val="20"/>
        </w:rPr>
      </w:pPr>
      <w:r w:rsidRPr="00626E47">
        <w:rPr>
          <w:rFonts w:asciiTheme="minorHAnsi" w:hAnsiTheme="minorHAnsi"/>
          <w:szCs w:val="20"/>
          <w:vertAlign w:val="superscript"/>
        </w:rPr>
        <w:t>†</w:t>
      </w:r>
      <w:r w:rsidRPr="00626E47">
        <w:rPr>
          <w:rFonts w:asciiTheme="minorHAnsi" w:hAnsiTheme="minorHAnsi"/>
          <w:szCs w:val="20"/>
        </w:rPr>
        <w:t xml:space="preserve"> Observed mean of </w:t>
      </w:r>
      <w:proofErr w:type="spellStart"/>
      <w:r w:rsidRPr="00626E47">
        <w:rPr>
          <w:rFonts w:asciiTheme="minorHAnsi" w:hAnsiTheme="minorHAnsi"/>
          <w:szCs w:val="20"/>
        </w:rPr>
        <w:t>Vimizim</w:t>
      </w:r>
      <w:proofErr w:type="spellEnd"/>
      <w:r w:rsidRPr="00626E47">
        <w:rPr>
          <w:rFonts w:asciiTheme="minorHAnsi" w:hAnsiTheme="minorHAnsi"/>
          <w:szCs w:val="20"/>
        </w:rPr>
        <w:t> - Placebo</w:t>
      </w:r>
    </w:p>
    <w:p w14:paraId="372380AB" w14:textId="77777777" w:rsidR="00A512CD" w:rsidRPr="00626E47" w:rsidRDefault="00A512CD" w:rsidP="00A512CD">
      <w:pPr>
        <w:pStyle w:val="TableFooter"/>
        <w:ind w:left="180" w:hanging="180"/>
        <w:jc w:val="both"/>
        <w:rPr>
          <w:rFonts w:asciiTheme="minorHAnsi" w:hAnsiTheme="minorHAnsi"/>
          <w:szCs w:val="20"/>
        </w:rPr>
      </w:pPr>
      <w:r w:rsidRPr="00626E47">
        <w:rPr>
          <w:rFonts w:asciiTheme="minorHAnsi" w:hAnsiTheme="minorHAnsi"/>
          <w:szCs w:val="20"/>
          <w:vertAlign w:val="superscript"/>
        </w:rPr>
        <w:t>‡</w:t>
      </w:r>
      <w:r w:rsidRPr="00626E47">
        <w:rPr>
          <w:rFonts w:asciiTheme="minorHAnsi" w:hAnsiTheme="minorHAnsi"/>
          <w:szCs w:val="20"/>
        </w:rPr>
        <w:t xml:space="preserve"> Model-based mean of </w:t>
      </w:r>
      <w:proofErr w:type="spellStart"/>
      <w:r w:rsidRPr="00626E47">
        <w:rPr>
          <w:rFonts w:asciiTheme="minorHAnsi" w:hAnsiTheme="minorHAnsi"/>
          <w:szCs w:val="20"/>
        </w:rPr>
        <w:t>Vimizim</w:t>
      </w:r>
      <w:proofErr w:type="spellEnd"/>
      <w:r w:rsidRPr="00626E47">
        <w:rPr>
          <w:rFonts w:asciiTheme="minorHAnsi" w:hAnsiTheme="minorHAnsi"/>
          <w:szCs w:val="20"/>
        </w:rPr>
        <w:t> - Placebo, adjusted for baseline</w:t>
      </w:r>
    </w:p>
    <w:p w14:paraId="680BE102" w14:textId="77777777" w:rsidR="00A512CD" w:rsidRPr="00626E47" w:rsidRDefault="00A512CD" w:rsidP="00A512CD">
      <w:pPr>
        <w:pStyle w:val="TableFooter"/>
        <w:ind w:left="180" w:hanging="180"/>
        <w:jc w:val="both"/>
        <w:rPr>
          <w:rFonts w:asciiTheme="minorHAnsi" w:hAnsiTheme="minorHAnsi"/>
          <w:szCs w:val="20"/>
        </w:rPr>
      </w:pPr>
      <w:r w:rsidRPr="00626E47">
        <w:rPr>
          <w:rFonts w:asciiTheme="minorHAnsi" w:hAnsiTheme="minorHAnsi"/>
          <w:szCs w:val="20"/>
          <w:vertAlign w:val="superscript"/>
        </w:rPr>
        <w:t>§</w:t>
      </w:r>
      <w:r w:rsidRPr="00626E47">
        <w:rPr>
          <w:rFonts w:asciiTheme="minorHAnsi" w:hAnsiTheme="minorHAnsi"/>
          <w:szCs w:val="20"/>
        </w:rPr>
        <w:t xml:space="preserve"> </w:t>
      </w:r>
      <w:proofErr w:type="gramStart"/>
      <w:r w:rsidRPr="00626E47">
        <w:rPr>
          <w:rFonts w:asciiTheme="minorHAnsi" w:hAnsiTheme="minorHAnsi"/>
          <w:szCs w:val="20"/>
        </w:rPr>
        <w:t>p-value</w:t>
      </w:r>
      <w:proofErr w:type="gramEnd"/>
      <w:r w:rsidRPr="00626E47">
        <w:rPr>
          <w:rFonts w:asciiTheme="minorHAnsi" w:hAnsiTheme="minorHAnsi"/>
          <w:szCs w:val="20"/>
        </w:rPr>
        <w:t xml:space="preserve"> based on the model-based mean difference</w:t>
      </w:r>
    </w:p>
    <w:p w14:paraId="39B8AF6F" w14:textId="77777777" w:rsidR="00A512CD" w:rsidRPr="00626E47" w:rsidRDefault="00A512CD" w:rsidP="00A512CD">
      <w:pPr>
        <w:pStyle w:val="TableFooter"/>
        <w:ind w:left="180" w:hanging="180"/>
        <w:jc w:val="both"/>
      </w:pPr>
    </w:p>
    <w:p w14:paraId="6073BCAD" w14:textId="27E3DA39" w:rsidR="00D52772" w:rsidRPr="00626E47" w:rsidRDefault="00D52772"/>
    <w:p w14:paraId="66983EDE" w14:textId="77777777" w:rsidR="00A512CD" w:rsidRDefault="00A512CD" w:rsidP="00AA1A00">
      <w:pPr>
        <w:pStyle w:val="BodyText"/>
        <w:keepNext/>
        <w:spacing w:before="120"/>
        <w:rPr>
          <w:b/>
          <w:bCs/>
          <w:noProof/>
          <w:lang w:val="en-US" w:eastAsia="zh-CN"/>
        </w:rPr>
      </w:pPr>
      <w:r w:rsidRPr="00626E47">
        <w:rPr>
          <w:b/>
          <w:bCs/>
        </w:rPr>
        <w:lastRenderedPageBreak/>
        <w:t>Figure 2:  Repeated Measures ANCOVA Mean Change in 6-Minute Walk Test (Intent-To-Treat Population)</w:t>
      </w:r>
    </w:p>
    <w:p w14:paraId="79B0BBB6" w14:textId="77777777" w:rsidR="00A512CD" w:rsidRPr="00626E47" w:rsidRDefault="00A512CD" w:rsidP="00AA1A00">
      <w:pPr>
        <w:pStyle w:val="BodyText"/>
        <w:keepNext/>
        <w:spacing w:before="120"/>
        <w:rPr>
          <w:b/>
          <w:bCs/>
        </w:rPr>
      </w:pPr>
      <w:r>
        <w:rPr>
          <w:b/>
          <w:bCs/>
          <w:noProof/>
          <w:lang w:eastAsia="en-AU"/>
        </w:rPr>
        <w:drawing>
          <wp:inline distT="0" distB="0" distL="0" distR="0" wp14:anchorId="5D997E03" wp14:editId="64841420">
            <wp:extent cx="5126768" cy="3317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_14_2_1_7b_repeated_lsmeans_6mwt_oc_itt_b.png"/>
                    <pic:cNvPicPr/>
                  </pic:nvPicPr>
                  <pic:blipFill rotWithShape="1">
                    <a:blip r:embed="rId14" cstate="print">
                      <a:extLst>
                        <a:ext uri="{28A0092B-C50C-407E-A947-70E740481C1C}">
                          <a14:useLocalDpi xmlns:a14="http://schemas.microsoft.com/office/drawing/2010/main" val="0"/>
                        </a:ext>
                      </a:extLst>
                    </a:blip>
                    <a:srcRect l="1060" t="1959" r="1117" b="2395"/>
                    <a:stretch/>
                  </pic:blipFill>
                  <pic:spPr bwMode="auto">
                    <a:xfrm>
                      <a:off x="0" y="0"/>
                      <a:ext cx="5191520" cy="3359137"/>
                    </a:xfrm>
                    <a:prstGeom prst="rect">
                      <a:avLst/>
                    </a:prstGeom>
                    <a:ln>
                      <a:noFill/>
                    </a:ln>
                    <a:extLst>
                      <a:ext uri="{53640926-AAD7-44D8-BBD7-CCE9431645EC}">
                        <a14:shadowObscured xmlns:a14="http://schemas.microsoft.com/office/drawing/2010/main"/>
                      </a:ext>
                    </a:extLst>
                  </pic:spPr>
                </pic:pic>
              </a:graphicData>
            </a:graphic>
          </wp:inline>
        </w:drawing>
      </w:r>
    </w:p>
    <w:p w14:paraId="670A80B9" w14:textId="77777777" w:rsidR="00AA1A00" w:rsidRDefault="00AA1A00" w:rsidP="00AA1A00">
      <w:pPr>
        <w:pStyle w:val="BodyText"/>
        <w:adjustRightInd w:val="0"/>
        <w:spacing w:after="0" w:line="240" w:lineRule="auto"/>
        <w:rPr>
          <w:bCs/>
          <w:sz w:val="20"/>
          <w:szCs w:val="20"/>
        </w:rPr>
      </w:pPr>
    </w:p>
    <w:p w14:paraId="0C1E38FF" w14:textId="77777777" w:rsidR="00A512CD" w:rsidRPr="00391ADE" w:rsidRDefault="00A512CD" w:rsidP="00AA1A00">
      <w:pPr>
        <w:pStyle w:val="BodyText"/>
        <w:adjustRightInd w:val="0"/>
        <w:spacing w:after="0" w:line="240" w:lineRule="auto"/>
        <w:rPr>
          <w:bCs/>
          <w:sz w:val="20"/>
          <w:szCs w:val="20"/>
        </w:rPr>
      </w:pPr>
      <w:r w:rsidRPr="00391ADE">
        <w:rPr>
          <w:bCs/>
          <w:sz w:val="20"/>
          <w:szCs w:val="20"/>
        </w:rPr>
        <w:t>Error bars represent standard error of least squares mean change from baseline.</w:t>
      </w:r>
    </w:p>
    <w:p w14:paraId="3CDC35D8" w14:textId="77777777" w:rsidR="00AA1A00" w:rsidRDefault="00AA1A00" w:rsidP="00AA1A00">
      <w:pPr>
        <w:pStyle w:val="BodyText"/>
        <w:adjustRightInd w:val="0"/>
        <w:spacing w:after="0" w:line="240" w:lineRule="auto"/>
        <w:rPr>
          <w:bCs/>
        </w:rPr>
      </w:pPr>
    </w:p>
    <w:p w14:paraId="7E7D361F" w14:textId="3BCFD4D5" w:rsidR="00A512CD" w:rsidRDefault="00A512CD" w:rsidP="00AA1A00">
      <w:pPr>
        <w:pStyle w:val="BodyText"/>
        <w:adjustRightInd w:val="0"/>
        <w:spacing w:after="0" w:line="240" w:lineRule="auto"/>
      </w:pPr>
      <w:r w:rsidRPr="008F046C">
        <w:rPr>
          <w:bCs/>
        </w:rPr>
        <w:t>Patients who participated in the placebo-controlled trial were eligible to continue treatment in an open-label extension trial</w:t>
      </w:r>
      <w:r>
        <w:rPr>
          <w:bCs/>
        </w:rPr>
        <w:t xml:space="preserve"> (MOR-005)</w:t>
      </w:r>
      <w:r w:rsidRPr="008F046C">
        <w:rPr>
          <w:bCs/>
        </w:rPr>
        <w:t xml:space="preserve">. </w:t>
      </w:r>
      <w:r w:rsidRPr="008F046C">
        <w:t xml:space="preserve">One hundred seventy-three of 176 patients </w:t>
      </w:r>
      <w:r w:rsidRPr="008F046C">
        <w:rPr>
          <w:bCs/>
        </w:rPr>
        <w:t xml:space="preserve">enrolled in the extension trial in which patients received </w:t>
      </w:r>
      <w:proofErr w:type="spellStart"/>
      <w:r w:rsidRPr="008F046C">
        <w:rPr>
          <w:bCs/>
        </w:rPr>
        <w:t>Vimizim</w:t>
      </w:r>
      <w:proofErr w:type="spellEnd"/>
      <w:r w:rsidRPr="008F046C">
        <w:rPr>
          <w:bCs/>
        </w:rPr>
        <w:t xml:space="preserve"> 2 mg/kg once per week (n=86) or </w:t>
      </w:r>
      <w:proofErr w:type="spellStart"/>
      <w:r w:rsidRPr="008F046C">
        <w:rPr>
          <w:bCs/>
        </w:rPr>
        <w:t>Vimizim</w:t>
      </w:r>
      <w:proofErr w:type="spellEnd"/>
      <w:r w:rsidRPr="008F046C">
        <w:rPr>
          <w:bCs/>
        </w:rPr>
        <w:t xml:space="preserve"> 2 mg/kg</w:t>
      </w:r>
      <w:r>
        <w:rPr>
          <w:bCs/>
        </w:rPr>
        <w:t xml:space="preserve"> once every other week (n=87).</w:t>
      </w:r>
      <w:r w:rsidRPr="008F046C">
        <w:rPr>
          <w:bCs/>
        </w:rPr>
        <w:t xml:space="preserve"> </w:t>
      </w:r>
      <w:r>
        <w:rPr>
          <w:bCs/>
        </w:rPr>
        <w:t>P</w:t>
      </w:r>
      <w:r w:rsidRPr="00973BD1">
        <w:rPr>
          <w:color w:val="000000"/>
        </w:rPr>
        <w:t xml:space="preserve">atients </w:t>
      </w:r>
      <w:r w:rsidRPr="008F046C">
        <w:rPr>
          <w:color w:val="000000"/>
        </w:rPr>
        <w:t xml:space="preserve">who continued to receive </w:t>
      </w:r>
      <w:proofErr w:type="spellStart"/>
      <w:r w:rsidRPr="008F046C">
        <w:rPr>
          <w:color w:val="000000"/>
        </w:rPr>
        <w:t>Vimizim</w:t>
      </w:r>
      <w:proofErr w:type="spellEnd"/>
      <w:r w:rsidRPr="00973BD1">
        <w:rPr>
          <w:color w:val="000000"/>
        </w:rPr>
        <w:t xml:space="preserve"> 2 mg/kg once per week </w:t>
      </w:r>
      <w:r w:rsidRPr="008F046C">
        <w:rPr>
          <w:color w:val="000000"/>
        </w:rPr>
        <w:t>for another 48 </w:t>
      </w:r>
      <w:r w:rsidRPr="00973BD1">
        <w:rPr>
          <w:color w:val="000000"/>
        </w:rPr>
        <w:t xml:space="preserve">weeks </w:t>
      </w:r>
      <w:r w:rsidRPr="008F046C">
        <w:rPr>
          <w:color w:val="000000"/>
        </w:rPr>
        <w:t>(</w:t>
      </w:r>
      <w:r w:rsidRPr="00C95B87">
        <w:t>for a total of 72-week exposure</w:t>
      </w:r>
      <w:r>
        <w:t xml:space="preserve">) </w:t>
      </w:r>
      <w:r w:rsidRPr="002628A5">
        <w:t xml:space="preserve">showed </w:t>
      </w:r>
      <w:r w:rsidRPr="00450AE4">
        <w:t>maintenance of the initial improvement</w:t>
      </w:r>
      <w:r w:rsidRPr="00B67077">
        <w:t xml:space="preserve"> </w:t>
      </w:r>
      <w:r>
        <w:t>in endurance</w:t>
      </w:r>
      <w:r w:rsidRPr="002628A5">
        <w:t xml:space="preserve"> and sustained urinary KS reduction with no further improvement </w:t>
      </w:r>
      <w:r>
        <w:t>in walking ability beyond</w:t>
      </w:r>
      <w:r w:rsidRPr="002628A5">
        <w:t xml:space="preserve"> the first 24 weeks. </w:t>
      </w:r>
    </w:p>
    <w:p w14:paraId="75622707" w14:textId="77777777" w:rsidR="00AA1A00" w:rsidRPr="00C95B87" w:rsidRDefault="00AA1A00" w:rsidP="00AA1A00">
      <w:pPr>
        <w:pStyle w:val="BodyText"/>
        <w:adjustRightInd w:val="0"/>
        <w:spacing w:after="0" w:line="240" w:lineRule="auto"/>
      </w:pPr>
    </w:p>
    <w:p w14:paraId="189DB04A" w14:textId="3B583535" w:rsidR="00A512CD" w:rsidRPr="00C95B87" w:rsidRDefault="00A512CD" w:rsidP="00AA1A00">
      <w:pPr>
        <w:adjustRightInd w:val="0"/>
        <w:spacing w:after="0" w:line="240" w:lineRule="auto"/>
      </w:pPr>
      <w:r w:rsidRPr="00C95B87">
        <w:t xml:space="preserve">In an open-label trial (MOR-007), 15 paediatric patients with MPS IVA under the age of 5 years received </w:t>
      </w:r>
      <w:proofErr w:type="spellStart"/>
      <w:r>
        <w:t>Vimizim</w:t>
      </w:r>
      <w:proofErr w:type="spellEnd"/>
      <w:r>
        <w:t xml:space="preserve"> </w:t>
      </w:r>
      <w:r w:rsidRPr="00C95B87">
        <w:t xml:space="preserve">2 mg/kg every week for 52 weeks. </w:t>
      </w:r>
      <w:r w:rsidRPr="002628A5">
        <w:t xml:space="preserve"> Patients in this study showed a reduction in </w:t>
      </w:r>
      <w:r>
        <w:t>u</w:t>
      </w:r>
      <w:r w:rsidRPr="002628A5">
        <w:t>rinary KS.</w:t>
      </w:r>
    </w:p>
    <w:p w14:paraId="7480CD76" w14:textId="77777777" w:rsidR="00A512CD" w:rsidRDefault="00A512CD" w:rsidP="00AA1A00">
      <w:pPr>
        <w:pStyle w:val="NormalWeb"/>
        <w:adjustRightInd w:val="0"/>
        <w:spacing w:before="0" w:beforeAutospacing="0" w:after="0" w:afterAutospacing="0"/>
        <w:rPr>
          <w:sz w:val="20"/>
          <w:szCs w:val="20"/>
        </w:rPr>
      </w:pPr>
    </w:p>
    <w:p w14:paraId="41FDF53D" w14:textId="77777777" w:rsidR="00AA1A00" w:rsidRPr="00626E47" w:rsidRDefault="00AA1A00" w:rsidP="00AA1A00">
      <w:pPr>
        <w:pStyle w:val="NormalWeb"/>
        <w:adjustRightInd w:val="0"/>
        <w:spacing w:before="0" w:beforeAutospacing="0" w:after="0" w:afterAutospacing="0"/>
        <w:rPr>
          <w:sz w:val="20"/>
          <w:szCs w:val="20"/>
        </w:rPr>
      </w:pPr>
    </w:p>
    <w:p w14:paraId="0C572C1E" w14:textId="77777777" w:rsidR="00A512CD" w:rsidRDefault="00A512CD" w:rsidP="00AA1A00">
      <w:pPr>
        <w:pStyle w:val="Heading1"/>
        <w:adjustRightInd w:val="0"/>
      </w:pPr>
      <w:r w:rsidRPr="00626E47">
        <w:t>INDICATIONS</w:t>
      </w:r>
    </w:p>
    <w:p w14:paraId="3563FDCF" w14:textId="77777777" w:rsidR="00AA1A00" w:rsidRDefault="00AA1A00" w:rsidP="00AA1A00">
      <w:pPr>
        <w:pStyle w:val="BodyText"/>
        <w:adjustRightInd w:val="0"/>
        <w:spacing w:after="0" w:line="240" w:lineRule="auto"/>
      </w:pPr>
    </w:p>
    <w:p w14:paraId="0744454E" w14:textId="77777777" w:rsidR="00A512CD" w:rsidRPr="00626E47" w:rsidRDefault="00A512CD" w:rsidP="00AA1A00">
      <w:pPr>
        <w:pStyle w:val="BodyText"/>
        <w:adjustRightInd w:val="0"/>
        <w:spacing w:after="0" w:line="240" w:lineRule="auto"/>
      </w:pPr>
      <w:proofErr w:type="spellStart"/>
      <w:r w:rsidRPr="00626E47">
        <w:t>Vimizim</w:t>
      </w:r>
      <w:proofErr w:type="spellEnd"/>
      <w:r w:rsidRPr="00626E47">
        <w:t xml:space="preserve"> is indicated for the treatment of </w:t>
      </w:r>
      <w:proofErr w:type="spellStart"/>
      <w:r w:rsidRPr="00626E47">
        <w:t>mucopolysaccharidosis</w:t>
      </w:r>
      <w:proofErr w:type="spellEnd"/>
      <w:r w:rsidRPr="00626E47">
        <w:t xml:space="preserve"> type IVA (MPS IVA; </w:t>
      </w:r>
      <w:proofErr w:type="spellStart"/>
      <w:r w:rsidRPr="00626E47">
        <w:t>Morquio</w:t>
      </w:r>
      <w:proofErr w:type="spellEnd"/>
      <w:r w:rsidRPr="00626E47">
        <w:t xml:space="preserve"> A syndrome).</w:t>
      </w:r>
    </w:p>
    <w:p w14:paraId="612382F9" w14:textId="77777777" w:rsidR="00A512CD" w:rsidRPr="00626E47" w:rsidRDefault="00A512CD" w:rsidP="00AA1A00">
      <w:pPr>
        <w:pStyle w:val="BodyText"/>
        <w:adjustRightInd w:val="0"/>
        <w:spacing w:after="0" w:line="240" w:lineRule="auto"/>
      </w:pPr>
    </w:p>
    <w:p w14:paraId="2A6468CB" w14:textId="77777777" w:rsidR="00A512CD" w:rsidRPr="00626E47" w:rsidRDefault="00A512CD" w:rsidP="00AA1A00">
      <w:pPr>
        <w:pStyle w:val="Heading1"/>
        <w:adjustRightInd w:val="0"/>
      </w:pPr>
    </w:p>
    <w:p w14:paraId="69150185" w14:textId="77777777" w:rsidR="00A512CD" w:rsidRPr="00626E47" w:rsidRDefault="00A512CD" w:rsidP="00AA1A00">
      <w:pPr>
        <w:pStyle w:val="Heading1"/>
        <w:keepNext/>
        <w:adjustRightInd w:val="0"/>
      </w:pPr>
      <w:r w:rsidRPr="00626E47">
        <w:t>CONTRAINDICATIONS</w:t>
      </w:r>
    </w:p>
    <w:p w14:paraId="65E839FC" w14:textId="77777777" w:rsidR="00A512CD" w:rsidRPr="00626E47" w:rsidRDefault="00A512CD" w:rsidP="00AA1A00">
      <w:pPr>
        <w:keepNext/>
        <w:adjustRightInd w:val="0"/>
        <w:spacing w:after="0" w:line="240" w:lineRule="auto"/>
      </w:pPr>
    </w:p>
    <w:p w14:paraId="19055D41" w14:textId="77777777" w:rsidR="00A512CD" w:rsidRPr="00626E47" w:rsidRDefault="00A512CD" w:rsidP="00A30293">
      <w:pPr>
        <w:keepNext/>
        <w:spacing w:after="0" w:line="240" w:lineRule="auto"/>
      </w:pPr>
      <w:proofErr w:type="gramStart"/>
      <w:r w:rsidRPr="00B5671F">
        <w:t>Severe or life-threatening hypersensitivity to the active substance or to any of the excipients, if hypersensitivity is not controllable.</w:t>
      </w:r>
      <w:proofErr w:type="gramEnd"/>
      <w:r w:rsidRPr="00B5671F">
        <w:t xml:space="preserve"> </w:t>
      </w:r>
    </w:p>
    <w:p w14:paraId="7DD73EE2" w14:textId="77777777" w:rsidR="00A512CD" w:rsidRDefault="00A512CD" w:rsidP="00A30293">
      <w:pPr>
        <w:pStyle w:val="Heading1"/>
      </w:pPr>
    </w:p>
    <w:p w14:paraId="67369F9F" w14:textId="77777777" w:rsidR="00A30293" w:rsidRPr="00A30293" w:rsidRDefault="00A30293" w:rsidP="00A30293">
      <w:pPr>
        <w:spacing w:after="0" w:line="240" w:lineRule="auto"/>
      </w:pPr>
    </w:p>
    <w:p w14:paraId="45944DC0" w14:textId="77777777" w:rsidR="00A512CD" w:rsidRPr="00626E47" w:rsidRDefault="00A512CD" w:rsidP="00AA1A00">
      <w:pPr>
        <w:pStyle w:val="Heading1"/>
        <w:adjustRightInd w:val="0"/>
      </w:pPr>
      <w:r w:rsidRPr="00626E47">
        <w:t>PRECAUTIONS</w:t>
      </w:r>
    </w:p>
    <w:p w14:paraId="65779D15" w14:textId="77777777" w:rsidR="00A512CD" w:rsidRPr="00626E47" w:rsidRDefault="00A512CD" w:rsidP="00AA1A00">
      <w:pPr>
        <w:pStyle w:val="Heading1"/>
        <w:adjustRightInd w:val="0"/>
      </w:pPr>
    </w:p>
    <w:p w14:paraId="38D222C5" w14:textId="77777777" w:rsidR="00A512CD" w:rsidRPr="00626E47" w:rsidRDefault="00A512CD" w:rsidP="00AA1A00">
      <w:pPr>
        <w:pStyle w:val="Heading2"/>
        <w:adjustRightInd w:val="0"/>
      </w:pPr>
      <w:r w:rsidRPr="00BA00B3">
        <w:t>Anaphylaxis and Severe Allergic Reaction</w:t>
      </w:r>
    </w:p>
    <w:p w14:paraId="708CA7DF" w14:textId="77777777" w:rsidR="00A512CD" w:rsidRPr="00626E47" w:rsidRDefault="00A512CD" w:rsidP="00AA1A00">
      <w:pPr>
        <w:adjustRightInd w:val="0"/>
        <w:spacing w:after="0" w:line="240" w:lineRule="auto"/>
      </w:pPr>
    </w:p>
    <w:p w14:paraId="296F1D1E" w14:textId="06AE1D1C" w:rsidR="00A512CD" w:rsidRDefault="00711280" w:rsidP="00AA1A00">
      <w:pPr>
        <w:adjustRightInd w:val="0"/>
        <w:spacing w:after="0" w:line="240" w:lineRule="auto"/>
      </w:pPr>
      <w:r w:rsidRPr="00544B1B">
        <w:t xml:space="preserve">Anaphylaxis and severe allergic reactions have been reported in clinical studies. Therefore, appropriate medical support must be readily available when </w:t>
      </w:r>
      <w:proofErr w:type="spellStart"/>
      <w:r w:rsidRPr="00544B1B">
        <w:t>Vimizim</w:t>
      </w:r>
      <w:proofErr w:type="spellEnd"/>
      <w:r w:rsidRPr="00544B1B">
        <w:t xml:space="preserve"> is administered. </w:t>
      </w:r>
      <w:r w:rsidRPr="00626E47">
        <w:t>If these reactions occur, immediate</w:t>
      </w:r>
      <w:r>
        <w:t>ly</w:t>
      </w:r>
      <w:r w:rsidRPr="00626E47">
        <w:t xml:space="preserve"> </w:t>
      </w:r>
      <w:r>
        <w:t>stop</w:t>
      </w:r>
      <w:r w:rsidRPr="00626E47">
        <w:t xml:space="preserve"> the infusion</w:t>
      </w:r>
      <w:r>
        <w:t xml:space="preserve"> of </w:t>
      </w:r>
      <w:proofErr w:type="spellStart"/>
      <w:r>
        <w:t>Vimizim</w:t>
      </w:r>
      <w:proofErr w:type="spellEnd"/>
      <w:r w:rsidRPr="00626E47">
        <w:t xml:space="preserve"> and </w:t>
      </w:r>
      <w:r>
        <w:t xml:space="preserve">initiate </w:t>
      </w:r>
      <w:r w:rsidRPr="00626E47">
        <w:t xml:space="preserve">appropriate medical treatment. </w:t>
      </w:r>
      <w:r>
        <w:t xml:space="preserve"> The current medical standards for emergency treatment are to be followed. </w:t>
      </w:r>
      <w:r w:rsidRPr="00626E47">
        <w:t xml:space="preserve">For patients who have experienced severe allergic reactions during infusion with </w:t>
      </w:r>
      <w:proofErr w:type="spellStart"/>
      <w:r w:rsidRPr="00626E47">
        <w:t>Vimizim</w:t>
      </w:r>
      <w:proofErr w:type="spellEnd"/>
      <w:r w:rsidRPr="00626E47">
        <w:t>, caution should be exercised upon re-challenge.</w:t>
      </w:r>
      <w:r w:rsidRPr="00F34AA1">
        <w:t xml:space="preserve"> </w:t>
      </w:r>
      <w:proofErr w:type="spellStart"/>
      <w:r w:rsidRPr="00F34AA1">
        <w:t>Pretreatment</w:t>
      </w:r>
      <w:proofErr w:type="spellEnd"/>
      <w:r w:rsidRPr="00F34AA1">
        <w:t xml:space="preserve"> with corticosteroids and/or reduction in the infusion rate in addition to antihistamines and </w:t>
      </w:r>
      <w:r>
        <w:t>antipyretics</w:t>
      </w:r>
      <w:r w:rsidRPr="00F34AA1">
        <w:t xml:space="preserve"> should be considered</w:t>
      </w:r>
      <w:r>
        <w:t xml:space="preserve"> </w:t>
      </w:r>
      <w:r w:rsidRPr="00F34AA1">
        <w:t>for subsequent infusions.</w:t>
      </w:r>
    </w:p>
    <w:p w14:paraId="609F6581" w14:textId="77777777" w:rsidR="00711280" w:rsidRDefault="00711280" w:rsidP="00AA1A00">
      <w:pPr>
        <w:adjustRightInd w:val="0"/>
        <w:spacing w:after="0" w:line="240" w:lineRule="auto"/>
        <w:rPr>
          <w:bCs/>
          <w:color w:val="000000"/>
        </w:rPr>
      </w:pPr>
    </w:p>
    <w:p w14:paraId="26BCCB30" w14:textId="5A0A7EF6" w:rsidR="00A512CD" w:rsidRDefault="00A512CD" w:rsidP="00AA1A00">
      <w:pPr>
        <w:adjustRightInd w:val="0"/>
        <w:spacing w:after="0" w:line="240" w:lineRule="auto"/>
        <w:rPr>
          <w:bCs/>
          <w:color w:val="000000"/>
        </w:rPr>
      </w:pPr>
      <w:r>
        <w:rPr>
          <w:bCs/>
          <w:color w:val="000000"/>
        </w:rPr>
        <w:t>In clinical trials, a</w:t>
      </w:r>
      <w:r w:rsidRPr="009F1097">
        <w:rPr>
          <w:rFonts w:eastAsia="Calibri"/>
        </w:rPr>
        <w:t>naphylaxis</w:t>
      </w:r>
      <w:r w:rsidRPr="00533F1F">
        <w:rPr>
          <w:rFonts w:eastAsia="Calibri"/>
        </w:rPr>
        <w:t xml:space="preserve"> </w:t>
      </w:r>
      <w:r>
        <w:rPr>
          <w:rFonts w:eastAsia="Calibri"/>
        </w:rPr>
        <w:t>was reported</w:t>
      </w:r>
      <w:r w:rsidRPr="00533F1F">
        <w:rPr>
          <w:rFonts w:eastAsia="Calibri"/>
        </w:rPr>
        <w:t xml:space="preserve"> as early as </w:t>
      </w:r>
      <w:r w:rsidRPr="00E61AAB">
        <w:rPr>
          <w:rFonts w:eastAsia="Calibri"/>
        </w:rPr>
        <w:t>30 minutes from the start of infusion and up to three hours after infusion.  Anaphylaxis occurred as late into treatment as the 47</w:t>
      </w:r>
      <w:r w:rsidRPr="00E61AAB">
        <w:rPr>
          <w:rFonts w:eastAsia="Calibri"/>
          <w:vertAlign w:val="superscript"/>
        </w:rPr>
        <w:t>th</w:t>
      </w:r>
      <w:r w:rsidRPr="00E61AAB">
        <w:rPr>
          <w:rFonts w:eastAsia="Calibri"/>
        </w:rPr>
        <w:t xml:space="preserve"> infusion.</w:t>
      </w:r>
      <w:r>
        <w:rPr>
          <w:rFonts w:eastAsia="Calibri"/>
        </w:rPr>
        <w:t xml:space="preserve"> </w:t>
      </w:r>
      <w:r>
        <w:rPr>
          <w:bCs/>
          <w:color w:val="000000"/>
        </w:rPr>
        <w:t>The</w:t>
      </w:r>
      <w:r w:rsidRPr="008F046C">
        <w:rPr>
          <w:bCs/>
          <w:color w:val="000000"/>
        </w:rPr>
        <w:t xml:space="preserve"> </w:t>
      </w:r>
      <w:r w:rsidRPr="008F046C">
        <w:t xml:space="preserve">signs and symptoms </w:t>
      </w:r>
      <w:r>
        <w:t>of anaphylaxis include</w:t>
      </w:r>
      <w:r w:rsidRPr="00E654A2">
        <w:rPr>
          <w:color w:val="000000"/>
        </w:rPr>
        <w:t xml:space="preserve"> cough, </w:t>
      </w:r>
      <w:r w:rsidRPr="008F046C">
        <w:rPr>
          <w:bCs/>
          <w:color w:val="000000"/>
        </w:rPr>
        <w:t xml:space="preserve">erythema, throat tightness, </w:t>
      </w:r>
      <w:proofErr w:type="spellStart"/>
      <w:r w:rsidRPr="008F046C">
        <w:rPr>
          <w:bCs/>
          <w:color w:val="000000"/>
        </w:rPr>
        <w:t>urticaria</w:t>
      </w:r>
      <w:proofErr w:type="spellEnd"/>
      <w:r w:rsidRPr="008F046C">
        <w:rPr>
          <w:bCs/>
          <w:color w:val="000000"/>
        </w:rPr>
        <w:t>, flushing, cyanosis</w:t>
      </w:r>
      <w:r w:rsidRPr="00E654A2">
        <w:rPr>
          <w:color w:val="000000"/>
        </w:rPr>
        <w:t xml:space="preserve">, hypotension, </w:t>
      </w:r>
      <w:r w:rsidRPr="008F046C">
        <w:rPr>
          <w:bCs/>
          <w:color w:val="000000"/>
        </w:rPr>
        <w:t>rash, dyspn</w:t>
      </w:r>
      <w:r>
        <w:rPr>
          <w:bCs/>
          <w:color w:val="000000"/>
        </w:rPr>
        <w:t>o</w:t>
      </w:r>
      <w:r w:rsidRPr="008F046C">
        <w:rPr>
          <w:bCs/>
          <w:color w:val="000000"/>
        </w:rPr>
        <w:t xml:space="preserve">ea, chest discomfort, and </w:t>
      </w:r>
      <w:r>
        <w:rPr>
          <w:bCs/>
          <w:color w:val="000000"/>
        </w:rPr>
        <w:t xml:space="preserve">gastrointestinal symptoms (e.g., nausea, abdominal pain, retching, and vomiting) in conjunction with </w:t>
      </w:r>
      <w:proofErr w:type="spellStart"/>
      <w:r w:rsidR="002F371B">
        <w:rPr>
          <w:bCs/>
          <w:color w:val="000000"/>
        </w:rPr>
        <w:t>urticaria</w:t>
      </w:r>
      <w:proofErr w:type="spellEnd"/>
      <w:r w:rsidR="002F371B">
        <w:rPr>
          <w:bCs/>
          <w:color w:val="000000"/>
        </w:rPr>
        <w:t xml:space="preserve"> (see ADVERSE EFFECTS)</w:t>
      </w:r>
      <w:r>
        <w:rPr>
          <w:bCs/>
          <w:color w:val="000000"/>
        </w:rPr>
        <w:t>.</w:t>
      </w:r>
      <w:r w:rsidR="002F371B">
        <w:rPr>
          <w:bCs/>
          <w:color w:val="000000"/>
        </w:rPr>
        <w:t xml:space="preserve"> </w:t>
      </w:r>
    </w:p>
    <w:p w14:paraId="33CBA843" w14:textId="77777777" w:rsidR="00A512CD" w:rsidRDefault="00A512CD" w:rsidP="00AA1A00">
      <w:pPr>
        <w:adjustRightInd w:val="0"/>
        <w:spacing w:after="0" w:line="240" w:lineRule="auto"/>
        <w:rPr>
          <w:rFonts w:eastAsia="Calibri"/>
        </w:rPr>
      </w:pPr>
    </w:p>
    <w:p w14:paraId="2702D22E" w14:textId="190272F7" w:rsidR="00A512CD" w:rsidRDefault="00A512CD" w:rsidP="00AA1A00">
      <w:pPr>
        <w:adjustRightInd w:val="0"/>
        <w:spacing w:after="0" w:line="240" w:lineRule="auto"/>
        <w:rPr>
          <w:bCs/>
        </w:rPr>
      </w:pPr>
      <w:r w:rsidRPr="00030780">
        <w:rPr>
          <w:bCs/>
        </w:rPr>
        <w:t xml:space="preserve">Hypersensitivity reactions </w:t>
      </w:r>
      <w:r>
        <w:rPr>
          <w:bCs/>
        </w:rPr>
        <w:t xml:space="preserve">reported in clinical trials </w:t>
      </w:r>
      <w:r w:rsidRPr="00030780">
        <w:rPr>
          <w:bCs/>
        </w:rPr>
        <w:t xml:space="preserve">occurred as early as 30 minutes </w:t>
      </w:r>
      <w:r w:rsidRPr="00E61AAB">
        <w:rPr>
          <w:rFonts w:eastAsia="Calibri"/>
        </w:rPr>
        <w:t xml:space="preserve">from the start of infusion </w:t>
      </w:r>
      <w:r w:rsidRPr="00030780">
        <w:rPr>
          <w:bCs/>
        </w:rPr>
        <w:t xml:space="preserve">but as late as six days after infusion. Frequent symptoms of hypersensitivity reactions (occurring in more than 2 patients) included anaphylactic </w:t>
      </w:r>
      <w:proofErr w:type="gramStart"/>
      <w:r w:rsidRPr="00030780">
        <w:rPr>
          <w:bCs/>
        </w:rPr>
        <w:t>reactions</w:t>
      </w:r>
      <w:r w:rsidRPr="009F1097">
        <w:rPr>
          <w:bCs/>
        </w:rPr>
        <w:t>,</w:t>
      </w:r>
      <w:proofErr w:type="gramEnd"/>
      <w:r w:rsidRPr="009F1097">
        <w:rPr>
          <w:b/>
          <w:bCs/>
        </w:rPr>
        <w:t xml:space="preserve"> </w:t>
      </w:r>
      <w:proofErr w:type="spellStart"/>
      <w:r w:rsidRPr="009F1097">
        <w:rPr>
          <w:bCs/>
        </w:rPr>
        <w:t>urticaria</w:t>
      </w:r>
      <w:proofErr w:type="spellEnd"/>
      <w:r w:rsidRPr="009F1097">
        <w:rPr>
          <w:bCs/>
        </w:rPr>
        <w:t>, peripheral</w:t>
      </w:r>
      <w:r>
        <w:rPr>
          <w:bCs/>
        </w:rPr>
        <w:t xml:space="preserve"> oedema, cough, dyspnoea, and flushing</w:t>
      </w:r>
      <w:r w:rsidR="002F371B">
        <w:rPr>
          <w:bCs/>
        </w:rPr>
        <w:t xml:space="preserve"> (see ADVERSE EFFECTS)</w:t>
      </w:r>
      <w:r>
        <w:rPr>
          <w:bCs/>
        </w:rPr>
        <w:t>.</w:t>
      </w:r>
    </w:p>
    <w:p w14:paraId="3245FF43" w14:textId="77777777" w:rsidR="00A512CD" w:rsidRDefault="00A512CD" w:rsidP="00AA1A00">
      <w:pPr>
        <w:adjustRightInd w:val="0"/>
        <w:spacing w:after="0" w:line="240" w:lineRule="auto"/>
      </w:pPr>
    </w:p>
    <w:p w14:paraId="425E6AEE" w14:textId="77777777" w:rsidR="00A512CD" w:rsidRDefault="00A512CD" w:rsidP="00AA1A00">
      <w:pPr>
        <w:adjustRightInd w:val="0"/>
        <w:spacing w:after="0" w:line="240" w:lineRule="auto"/>
      </w:pPr>
      <w:r>
        <w:t xml:space="preserve">Observe patients closely </w:t>
      </w:r>
      <w:r w:rsidRPr="008F458C">
        <w:t xml:space="preserve">for an appropriate period of time after administration of </w:t>
      </w:r>
      <w:proofErr w:type="spellStart"/>
      <w:r w:rsidRPr="008F458C">
        <w:t>Vimizim</w:t>
      </w:r>
      <w:proofErr w:type="spellEnd"/>
      <w:r w:rsidRPr="008F458C">
        <w:t>, taking into account the time to onset of anaphylaxis seen in premarketing clinical trials. Inform patients of the signs and symptoms of anaphylaxis, and instruct them to seek immediate medical care should signs and symptoms occur.</w:t>
      </w:r>
    </w:p>
    <w:p w14:paraId="3B391224" w14:textId="77777777" w:rsidR="00A512CD" w:rsidRPr="00626E47" w:rsidRDefault="00A512CD" w:rsidP="00AA1A00">
      <w:pPr>
        <w:adjustRightInd w:val="0"/>
        <w:spacing w:after="0" w:line="240" w:lineRule="auto"/>
        <w:rPr>
          <w:b/>
        </w:rPr>
      </w:pPr>
    </w:p>
    <w:p w14:paraId="1779B537" w14:textId="77777777" w:rsidR="00A512CD" w:rsidRPr="00626E47" w:rsidRDefault="00A512CD" w:rsidP="00AA1A00">
      <w:pPr>
        <w:pStyle w:val="Heading2"/>
        <w:adjustRightInd w:val="0"/>
      </w:pPr>
      <w:r w:rsidRPr="000D5C06">
        <w:t xml:space="preserve">Infusion Reactions </w:t>
      </w:r>
    </w:p>
    <w:p w14:paraId="3329B30F" w14:textId="77777777" w:rsidR="00A512CD" w:rsidRPr="00626E47" w:rsidRDefault="00A512CD" w:rsidP="00AA1A00">
      <w:pPr>
        <w:adjustRightInd w:val="0"/>
        <w:spacing w:after="0" w:line="240" w:lineRule="auto"/>
      </w:pPr>
    </w:p>
    <w:p w14:paraId="61C70324" w14:textId="20079E64" w:rsidR="00A512CD" w:rsidRPr="00E76180" w:rsidRDefault="00A512CD" w:rsidP="00AA1A00">
      <w:pPr>
        <w:adjustRightInd w:val="0"/>
        <w:spacing w:after="0" w:line="240" w:lineRule="auto"/>
        <w:rPr>
          <w:bCs/>
        </w:rPr>
      </w:pPr>
      <w:r w:rsidRPr="00E303BC">
        <w:rPr>
          <w:bCs/>
        </w:rPr>
        <w:t xml:space="preserve">In clinical trials, 96% of patients treated with </w:t>
      </w:r>
      <w:proofErr w:type="spellStart"/>
      <w:r w:rsidRPr="00E303BC">
        <w:rPr>
          <w:bCs/>
        </w:rPr>
        <w:t>Vimizim</w:t>
      </w:r>
      <w:proofErr w:type="spellEnd"/>
      <w:r w:rsidRPr="00E303BC">
        <w:rPr>
          <w:bCs/>
        </w:rPr>
        <w:t xml:space="preserve"> experienced infusion reactions (IRs).</w:t>
      </w:r>
      <w:r w:rsidRPr="00E303BC" w:rsidDel="00BA3892">
        <w:rPr>
          <w:bCs/>
        </w:rPr>
        <w:t xml:space="preserve"> </w:t>
      </w:r>
      <w:r w:rsidRPr="00E303BC">
        <w:rPr>
          <w:bCs/>
        </w:rPr>
        <w:t>IRs may include allergic reactions</w:t>
      </w:r>
      <w:r w:rsidRPr="00E303BC">
        <w:rPr>
          <w:bCs/>
          <w:i/>
        </w:rPr>
        <w:t>.</w:t>
      </w:r>
      <w:r w:rsidRPr="00E303BC">
        <w:rPr>
          <w:bCs/>
        </w:rPr>
        <w:t xml:space="preserve"> In patients who experienced IRs, subsequent infusions were managed with slower infusion rates, treatment with additional prophylactic antihistamines and, in the event of a more severe reaction, treatment with prophylactic corticosteroids</w:t>
      </w:r>
      <w:r w:rsidRPr="00E76180">
        <w:rPr>
          <w:bCs/>
        </w:rPr>
        <w:t xml:space="preserve">. </w:t>
      </w:r>
      <w:r>
        <w:rPr>
          <w:bCs/>
        </w:rPr>
        <w:t xml:space="preserve">Thirty-five </w:t>
      </w:r>
      <w:r w:rsidRPr="00E303BC">
        <w:rPr>
          <w:bCs/>
        </w:rPr>
        <w:t xml:space="preserve">patients (15.2%) discontinued at least one infusion due to an IR. </w:t>
      </w:r>
      <w:r>
        <w:rPr>
          <w:bCs/>
        </w:rPr>
        <w:t xml:space="preserve"> Sixty (0.66%) of the</w:t>
      </w:r>
      <w:r w:rsidRPr="00E303BC">
        <w:rPr>
          <w:bCs/>
        </w:rPr>
        <w:t xml:space="preserve"> 9,126 infusions administered </w:t>
      </w:r>
      <w:r>
        <w:rPr>
          <w:bCs/>
        </w:rPr>
        <w:t xml:space="preserve">in the clinical trials were </w:t>
      </w:r>
      <w:r w:rsidRPr="00E303BC">
        <w:rPr>
          <w:bCs/>
        </w:rPr>
        <w:t>discontinued due to an IR.</w:t>
      </w:r>
      <w:r>
        <w:rPr>
          <w:bCs/>
        </w:rPr>
        <w:t xml:space="preserve"> </w:t>
      </w:r>
      <w:r w:rsidR="00557309">
        <w:rPr>
          <w:bCs/>
        </w:rPr>
        <w:t>17.3</w:t>
      </w:r>
      <w:r w:rsidR="00557309" w:rsidRPr="000A2E91">
        <w:rPr>
          <w:bCs/>
        </w:rPr>
        <w:t>% of patients had an infusion reaction requiring medical intervention.</w:t>
      </w:r>
      <w:r w:rsidR="00557309">
        <w:rPr>
          <w:bCs/>
        </w:rPr>
        <w:t xml:space="preserve"> </w:t>
      </w:r>
      <w:r w:rsidRPr="007E5744">
        <w:rPr>
          <w:bCs/>
        </w:rPr>
        <w:t>In 13 out of 231 patients and less than 1% of the total infusions</w:t>
      </w:r>
      <w:r w:rsidR="00233A28">
        <w:rPr>
          <w:bCs/>
        </w:rPr>
        <w:t>,</w:t>
      </w:r>
      <w:r w:rsidRPr="007E5744">
        <w:rPr>
          <w:bCs/>
        </w:rPr>
        <w:t xml:space="preserve"> </w:t>
      </w:r>
      <w:r w:rsidR="00557309">
        <w:rPr>
          <w:bCs/>
        </w:rPr>
        <w:t xml:space="preserve">the infusion was discontinued and </w:t>
      </w:r>
      <w:r w:rsidRPr="007E5744">
        <w:rPr>
          <w:bCs/>
        </w:rPr>
        <w:t>medical intervention</w:t>
      </w:r>
      <w:r>
        <w:rPr>
          <w:bCs/>
        </w:rPr>
        <w:t xml:space="preserve"> was</w:t>
      </w:r>
      <w:r w:rsidRPr="007E5744">
        <w:rPr>
          <w:bCs/>
        </w:rPr>
        <w:t xml:space="preserve"> required.</w:t>
      </w:r>
    </w:p>
    <w:p w14:paraId="0FDBE51E" w14:textId="77777777" w:rsidR="00AA1A00" w:rsidRDefault="00AA1A00" w:rsidP="00AA1A00">
      <w:pPr>
        <w:pStyle w:val="BodyText"/>
        <w:adjustRightInd w:val="0"/>
        <w:spacing w:after="0" w:line="240" w:lineRule="auto"/>
        <w:rPr>
          <w:bCs/>
        </w:rPr>
      </w:pPr>
    </w:p>
    <w:p w14:paraId="2AD05ADD" w14:textId="7C3932F7" w:rsidR="00A512CD" w:rsidRPr="00626E47" w:rsidRDefault="00A512CD" w:rsidP="00AA1A00">
      <w:pPr>
        <w:pStyle w:val="BodyText"/>
        <w:adjustRightInd w:val="0"/>
        <w:spacing w:after="0" w:line="240" w:lineRule="auto"/>
        <w:rPr>
          <w:u w:val="single"/>
        </w:rPr>
      </w:pPr>
      <w:r w:rsidRPr="00626E47">
        <w:rPr>
          <w:bCs/>
        </w:rPr>
        <w:t xml:space="preserve">Because of the potential for IRs with </w:t>
      </w:r>
      <w:proofErr w:type="spellStart"/>
      <w:r w:rsidRPr="00626E47">
        <w:rPr>
          <w:bCs/>
        </w:rPr>
        <w:t>Vimizim</w:t>
      </w:r>
      <w:proofErr w:type="spellEnd"/>
      <w:r w:rsidRPr="00626E47">
        <w:rPr>
          <w:bCs/>
        </w:rPr>
        <w:t xml:space="preserve">, patients should receive antihistamines with or without antipyretics prior to infusion. Management of IRs should be based on the severity of the reaction and include slowing or temporary interruption of the infusion and/or administration of additional antihistamines, antipyretics, and/or corticosteroids. If severe IRs </w:t>
      </w:r>
      <w:proofErr w:type="gramStart"/>
      <w:r w:rsidRPr="00626E47">
        <w:rPr>
          <w:bCs/>
        </w:rPr>
        <w:t>occur</w:t>
      </w:r>
      <w:proofErr w:type="gramEnd"/>
      <w:r w:rsidRPr="00626E47">
        <w:rPr>
          <w:bCs/>
        </w:rPr>
        <w:t xml:space="preserve">, immediately stop the infusion of </w:t>
      </w:r>
      <w:proofErr w:type="spellStart"/>
      <w:r w:rsidRPr="00626E47">
        <w:rPr>
          <w:bCs/>
        </w:rPr>
        <w:t>Vimizim</w:t>
      </w:r>
      <w:proofErr w:type="spellEnd"/>
      <w:r w:rsidRPr="00626E47">
        <w:rPr>
          <w:bCs/>
        </w:rPr>
        <w:t xml:space="preserve"> and initiate appropriate treatment. </w:t>
      </w:r>
      <w:r w:rsidRPr="00B74DC6">
        <w:rPr>
          <w:bCs/>
        </w:rPr>
        <w:t xml:space="preserve"> In case of a recurrent IR or re-challenge after a single severe IR, pre-treatment should be considered (antihistamines and antipyretics and/or corticosteroids) and a reduction of the infusion rate to 50% – 25% of the rate at which the previous reaction occurred.</w:t>
      </w:r>
      <w:r>
        <w:rPr>
          <w:bCs/>
          <w:i/>
          <w:sz w:val="20"/>
          <w:szCs w:val="20"/>
        </w:rPr>
        <w:t xml:space="preserve"> </w:t>
      </w:r>
      <w:r w:rsidRPr="00626E47">
        <w:rPr>
          <w:bCs/>
        </w:rPr>
        <w:t xml:space="preserve">The risks and benefits of re-administering </w:t>
      </w:r>
      <w:proofErr w:type="spellStart"/>
      <w:r w:rsidRPr="00626E47">
        <w:rPr>
          <w:bCs/>
        </w:rPr>
        <w:t>Vimizim</w:t>
      </w:r>
      <w:proofErr w:type="spellEnd"/>
      <w:r w:rsidRPr="00626E47">
        <w:rPr>
          <w:bCs/>
        </w:rPr>
        <w:t xml:space="preserve"> following a severe reaction </w:t>
      </w:r>
      <w:r w:rsidRPr="00626E47">
        <w:rPr>
          <w:bCs/>
        </w:rPr>
        <w:lastRenderedPageBreak/>
        <w:t xml:space="preserve">should be </w:t>
      </w:r>
      <w:r>
        <w:rPr>
          <w:bCs/>
        </w:rPr>
        <w:t>considered and patients should be closely monitored</w:t>
      </w:r>
      <w:r w:rsidRPr="00626E47">
        <w:rPr>
          <w:bCs/>
        </w:rPr>
        <w:t xml:space="preserve"> </w:t>
      </w:r>
      <w:r w:rsidR="005864E9">
        <w:rPr>
          <w:bCs/>
        </w:rPr>
        <w:t xml:space="preserve">by the treating physician </w:t>
      </w:r>
      <w:r w:rsidRPr="00626E47">
        <w:rPr>
          <w:bCs/>
        </w:rPr>
        <w:t>(see DOSAGE AND ADMINISTRATION).</w:t>
      </w:r>
    </w:p>
    <w:p w14:paraId="163AA183" w14:textId="77777777" w:rsidR="00A512CD" w:rsidRPr="00626E47" w:rsidRDefault="00A512CD" w:rsidP="00AA1A00">
      <w:pPr>
        <w:keepNext/>
        <w:keepLines/>
        <w:adjustRightInd w:val="0"/>
        <w:spacing w:after="0" w:line="240" w:lineRule="auto"/>
        <w:rPr>
          <w:b/>
        </w:rPr>
      </w:pPr>
    </w:p>
    <w:p w14:paraId="6252CE2B" w14:textId="77777777" w:rsidR="00A512CD" w:rsidRPr="00626E47" w:rsidRDefault="00A512CD" w:rsidP="00AA1A00">
      <w:pPr>
        <w:pStyle w:val="Heading2"/>
        <w:adjustRightInd w:val="0"/>
        <w:rPr>
          <w:lang w:val="en-US"/>
        </w:rPr>
      </w:pPr>
      <w:r w:rsidRPr="00626E47">
        <w:rPr>
          <w:lang w:val="en-US"/>
        </w:rPr>
        <w:t>Spinal/Cervical Cord Compression</w:t>
      </w:r>
    </w:p>
    <w:p w14:paraId="1DBC2E93" w14:textId="77777777" w:rsidR="00A512CD" w:rsidRPr="00626E47" w:rsidRDefault="00A512CD" w:rsidP="00AA1A00">
      <w:pPr>
        <w:pStyle w:val="Heading2"/>
        <w:adjustRightInd w:val="0"/>
      </w:pPr>
      <w:r w:rsidRPr="00626E47">
        <w:t xml:space="preserve"> </w:t>
      </w:r>
    </w:p>
    <w:p w14:paraId="575386E8" w14:textId="77777777" w:rsidR="00A512CD" w:rsidRPr="00626E47" w:rsidRDefault="00A512CD" w:rsidP="00AA1A00">
      <w:pPr>
        <w:keepNext/>
        <w:keepLines/>
        <w:adjustRightInd w:val="0"/>
        <w:spacing w:after="0" w:line="240" w:lineRule="auto"/>
        <w:rPr>
          <w:rFonts w:eastAsia="Calibri"/>
          <w:lang w:val="en-US"/>
        </w:rPr>
      </w:pPr>
      <w:r w:rsidRPr="00626E47">
        <w:rPr>
          <w:rFonts w:eastAsia="Calibri"/>
          <w:lang w:val="en-US"/>
        </w:rPr>
        <w:t xml:space="preserve">Spinal/cervical cord compression (SCC) is a known and serious complication of MPS IVA and may occur as part of the natural history of the disease. In clinical trials, SCC was observed both in patients receiving </w:t>
      </w:r>
      <w:proofErr w:type="spellStart"/>
      <w:r w:rsidRPr="00626E47">
        <w:rPr>
          <w:rFonts w:eastAsia="Calibri"/>
          <w:lang w:val="en-US"/>
        </w:rPr>
        <w:t>Vimizim</w:t>
      </w:r>
      <w:proofErr w:type="spellEnd"/>
      <w:r w:rsidRPr="00626E47">
        <w:rPr>
          <w:rFonts w:eastAsia="Calibri"/>
          <w:lang w:val="en-US"/>
        </w:rPr>
        <w:t xml:space="preserve"> and patients receiving placebo.  Patients with MPS IVA should be monitored for signs and symptoms of SCC (including back pain, paralysis of limbs below the level of compression, urinary and fecal incontinence) and given appropriate clinical care.</w:t>
      </w:r>
    </w:p>
    <w:p w14:paraId="1A15539C" w14:textId="77777777" w:rsidR="00A512CD" w:rsidRPr="00626E47" w:rsidRDefault="00A512CD" w:rsidP="00AA1A00">
      <w:pPr>
        <w:keepNext/>
        <w:keepLines/>
        <w:adjustRightInd w:val="0"/>
        <w:spacing w:after="0" w:line="240" w:lineRule="auto"/>
        <w:rPr>
          <w:b/>
        </w:rPr>
      </w:pPr>
    </w:p>
    <w:p w14:paraId="3F3553E0" w14:textId="77777777" w:rsidR="00A512CD" w:rsidRPr="004B41CF" w:rsidRDefault="00A512CD" w:rsidP="00AA1A00">
      <w:pPr>
        <w:keepNext/>
        <w:keepLines/>
        <w:adjustRightInd w:val="0"/>
        <w:spacing w:after="0" w:line="240" w:lineRule="auto"/>
        <w:rPr>
          <w:b/>
          <w:bCs/>
        </w:rPr>
      </w:pPr>
      <w:r w:rsidRPr="004B41CF">
        <w:rPr>
          <w:b/>
          <w:bCs/>
        </w:rPr>
        <w:t>Acute Respiratory Complications Associated with Administration</w:t>
      </w:r>
    </w:p>
    <w:p w14:paraId="7BDF87CC" w14:textId="77777777" w:rsidR="00A512CD" w:rsidRPr="00434974" w:rsidRDefault="00A512CD" w:rsidP="00AA1A00">
      <w:pPr>
        <w:keepNext/>
        <w:keepLines/>
        <w:adjustRightInd w:val="0"/>
        <w:spacing w:after="0" w:line="240" w:lineRule="auto"/>
        <w:rPr>
          <w:bCs/>
          <w:highlight w:val="yellow"/>
        </w:rPr>
      </w:pPr>
    </w:p>
    <w:p w14:paraId="49698BA1" w14:textId="77777777" w:rsidR="00A512CD" w:rsidRDefault="00A512CD" w:rsidP="00AA1A00">
      <w:pPr>
        <w:keepNext/>
        <w:keepLines/>
        <w:adjustRightInd w:val="0"/>
        <w:spacing w:after="0" w:line="240" w:lineRule="auto"/>
        <w:rPr>
          <w:bCs/>
        </w:rPr>
      </w:pPr>
      <w:r w:rsidRPr="008F046C">
        <w:rPr>
          <w:bCs/>
        </w:rPr>
        <w:t xml:space="preserve">Patients with acute febrile or respiratory illness at the time of </w:t>
      </w:r>
      <w:proofErr w:type="spellStart"/>
      <w:r w:rsidRPr="008F046C">
        <w:rPr>
          <w:bCs/>
        </w:rPr>
        <w:t>Vimizim</w:t>
      </w:r>
      <w:proofErr w:type="spellEnd"/>
      <w:r w:rsidRPr="008F046C">
        <w:rPr>
          <w:bCs/>
        </w:rPr>
        <w:t xml:space="preserve"> infusion may be at higher risk of life-threatening complications from hypersensitivity reactions. Careful consideration should be given to the patient’s clinical status prior to administration of </w:t>
      </w:r>
      <w:proofErr w:type="spellStart"/>
      <w:r w:rsidRPr="008F046C">
        <w:rPr>
          <w:bCs/>
        </w:rPr>
        <w:t>Vimizim</w:t>
      </w:r>
      <w:proofErr w:type="spellEnd"/>
      <w:r w:rsidRPr="008F046C">
        <w:rPr>
          <w:bCs/>
        </w:rPr>
        <w:t xml:space="preserve"> and consider delaying the </w:t>
      </w:r>
      <w:proofErr w:type="spellStart"/>
      <w:r w:rsidRPr="008F046C">
        <w:rPr>
          <w:bCs/>
        </w:rPr>
        <w:t>Vimizim</w:t>
      </w:r>
      <w:proofErr w:type="spellEnd"/>
      <w:r w:rsidRPr="008F046C">
        <w:rPr>
          <w:bCs/>
        </w:rPr>
        <w:t xml:space="preserve"> infusion.</w:t>
      </w:r>
    </w:p>
    <w:p w14:paraId="711E7654" w14:textId="77777777" w:rsidR="00A512CD" w:rsidRDefault="00A512CD" w:rsidP="00AA1A00">
      <w:pPr>
        <w:keepNext/>
        <w:keepLines/>
        <w:adjustRightInd w:val="0"/>
        <w:spacing w:after="0" w:line="240" w:lineRule="auto"/>
        <w:rPr>
          <w:bCs/>
        </w:rPr>
      </w:pPr>
    </w:p>
    <w:p w14:paraId="38AE625C" w14:textId="77777777" w:rsidR="00A512CD" w:rsidRPr="00FA32E7" w:rsidRDefault="00A512CD" w:rsidP="00AA1A00">
      <w:pPr>
        <w:keepNext/>
        <w:keepLines/>
        <w:adjustRightInd w:val="0"/>
        <w:spacing w:after="0" w:line="240" w:lineRule="auto"/>
        <w:rPr>
          <w:bCs/>
        </w:rPr>
      </w:pPr>
      <w:r w:rsidRPr="00FA32E7">
        <w:rPr>
          <w:bCs/>
        </w:rPr>
        <w:t xml:space="preserve">Sleep apnoea is common in MPS IVA patients.  Evaluation of airway patency should be considered prior to initiation of treatment with </w:t>
      </w:r>
      <w:proofErr w:type="spellStart"/>
      <w:r w:rsidRPr="00FA32E7">
        <w:rPr>
          <w:bCs/>
        </w:rPr>
        <w:t>Vimizim</w:t>
      </w:r>
      <w:proofErr w:type="spellEnd"/>
      <w:r w:rsidRPr="00FA32E7">
        <w:rPr>
          <w:bCs/>
        </w:rPr>
        <w:t>.  Patients using supplemental oxygen or continuous positive airway pressure (CPAP) during sleep should have these treatments readily available during infusion in the event of an acute reaction, or extreme drowsiness/sleep induced by antihistamine use.</w:t>
      </w:r>
    </w:p>
    <w:p w14:paraId="4508CA02" w14:textId="77777777" w:rsidR="00A512CD" w:rsidRPr="00434974" w:rsidRDefault="00A512CD" w:rsidP="00AA1A00">
      <w:pPr>
        <w:keepNext/>
        <w:keepLines/>
        <w:adjustRightInd w:val="0"/>
        <w:spacing w:after="0" w:line="240" w:lineRule="auto"/>
        <w:rPr>
          <w:bCs/>
          <w:highlight w:val="yellow"/>
        </w:rPr>
      </w:pPr>
    </w:p>
    <w:p w14:paraId="7D3A8E42" w14:textId="77777777" w:rsidR="00A512CD" w:rsidRPr="005B5916" w:rsidRDefault="00A512CD" w:rsidP="00AA1A00">
      <w:pPr>
        <w:pStyle w:val="Heading2"/>
        <w:adjustRightInd w:val="0"/>
        <w:rPr>
          <w:bCs/>
        </w:rPr>
      </w:pPr>
      <w:r w:rsidRPr="005B5916">
        <w:rPr>
          <w:bCs/>
        </w:rPr>
        <w:t>Sodium Restricted Diet</w:t>
      </w:r>
    </w:p>
    <w:p w14:paraId="4A706A85" w14:textId="77777777" w:rsidR="00A512CD" w:rsidRPr="005B5916" w:rsidRDefault="00A512CD" w:rsidP="00AA1A00">
      <w:pPr>
        <w:pStyle w:val="Heading2"/>
        <w:adjustRightInd w:val="0"/>
        <w:rPr>
          <w:bCs/>
        </w:rPr>
      </w:pPr>
    </w:p>
    <w:p w14:paraId="55B34390" w14:textId="77777777" w:rsidR="00A512CD" w:rsidRPr="005B5916" w:rsidRDefault="00A512CD" w:rsidP="00AA1A00">
      <w:pPr>
        <w:autoSpaceDE w:val="0"/>
        <w:autoSpaceDN w:val="0"/>
        <w:adjustRightInd w:val="0"/>
        <w:spacing w:after="0" w:line="240" w:lineRule="auto"/>
        <w:rPr>
          <w:bCs/>
        </w:rPr>
      </w:pPr>
      <w:r w:rsidRPr="005B5916">
        <w:rPr>
          <w:bCs/>
        </w:rPr>
        <w:t>This medicinal product contains 8 mg sodium per vial and is administered in sodium chloride 9 mg/mL (0.9%) solution for infusion (see DOSAGE AND ADMINISTRATION). This should be taken into consideration for patients on a controlled sodium diet.</w:t>
      </w:r>
    </w:p>
    <w:p w14:paraId="5933BD95" w14:textId="77777777" w:rsidR="00A512CD" w:rsidRPr="005B5916" w:rsidRDefault="00A512CD" w:rsidP="00AA1A00">
      <w:pPr>
        <w:autoSpaceDE w:val="0"/>
        <w:autoSpaceDN w:val="0"/>
        <w:adjustRightInd w:val="0"/>
        <w:spacing w:after="0" w:line="240" w:lineRule="auto"/>
        <w:rPr>
          <w:bCs/>
        </w:rPr>
      </w:pPr>
    </w:p>
    <w:p w14:paraId="30FCE7E7" w14:textId="77777777" w:rsidR="00A512CD" w:rsidRPr="00626E47" w:rsidRDefault="00A512CD" w:rsidP="00AA1A00">
      <w:pPr>
        <w:pStyle w:val="Heading2"/>
        <w:adjustRightInd w:val="0"/>
        <w:contextualSpacing/>
        <w:rPr>
          <w:lang w:eastAsia="en-AU"/>
        </w:rPr>
      </w:pPr>
      <w:r w:rsidRPr="00626E47">
        <w:rPr>
          <w:lang w:eastAsia="en-AU"/>
        </w:rPr>
        <w:t>Effects on Fertility</w:t>
      </w:r>
    </w:p>
    <w:p w14:paraId="71595C89" w14:textId="77777777" w:rsidR="00A512CD" w:rsidRPr="00626E47" w:rsidRDefault="00A512CD" w:rsidP="00AA1A00">
      <w:pPr>
        <w:pStyle w:val="Heading1"/>
        <w:adjustRightInd w:val="0"/>
        <w:contextualSpacing/>
      </w:pPr>
    </w:p>
    <w:p w14:paraId="0C3FE8E3" w14:textId="77777777" w:rsidR="00A512CD" w:rsidRPr="006C2278" w:rsidRDefault="00A512CD" w:rsidP="00AA1A00">
      <w:pPr>
        <w:autoSpaceDE w:val="0"/>
        <w:autoSpaceDN w:val="0"/>
        <w:adjustRightInd w:val="0"/>
        <w:spacing w:after="0" w:line="240" w:lineRule="auto"/>
        <w:contextualSpacing/>
        <w:rPr>
          <w:bCs/>
        </w:rPr>
      </w:pPr>
      <w:r w:rsidRPr="006C2278">
        <w:t>A combined fertility/embryo-</w:t>
      </w:r>
      <w:proofErr w:type="spellStart"/>
      <w:r w:rsidRPr="006C2278">
        <w:t>fetal</w:t>
      </w:r>
      <w:proofErr w:type="spellEnd"/>
      <w:r w:rsidRPr="006C2278">
        <w:t xml:space="preserve"> development study</w:t>
      </w:r>
      <w:r w:rsidRPr="006C2278">
        <w:rPr>
          <w:bCs/>
        </w:rPr>
        <w:t xml:space="preserve"> was conducted in male and female rats administered intravenous </w:t>
      </w:r>
      <w:proofErr w:type="spellStart"/>
      <w:r w:rsidRPr="006C2278">
        <w:rPr>
          <w:bCs/>
        </w:rPr>
        <w:t>elosulfase</w:t>
      </w:r>
      <w:proofErr w:type="spellEnd"/>
      <w:r w:rsidRPr="006C2278">
        <w:rPr>
          <w:bCs/>
        </w:rPr>
        <w:t xml:space="preserve"> </w:t>
      </w:r>
      <w:proofErr w:type="spellStart"/>
      <w:r w:rsidRPr="006C2278">
        <w:rPr>
          <w:bCs/>
        </w:rPr>
        <w:t>alfa</w:t>
      </w:r>
      <w:proofErr w:type="spellEnd"/>
      <w:r w:rsidRPr="006C2278">
        <w:rPr>
          <w:bCs/>
        </w:rPr>
        <w:t xml:space="preserve"> up to 20 mg/kg/day with d</w:t>
      </w:r>
      <w:r w:rsidRPr="006C2278">
        <w:t>iphenhydramine (DP</w:t>
      </w:r>
      <w:r w:rsidRPr="006C2278">
        <w:rPr>
          <w:bCs/>
        </w:rPr>
        <w:t xml:space="preserve">H) 10 mg/kg intraperitoneal (IP), prior to mating and during the cohabitation period. Dosing of females continued through Gestation Day 20. At systemic exposures up to </w:t>
      </w:r>
      <w:r w:rsidRPr="00CB5F25">
        <w:rPr>
          <w:bCs/>
        </w:rPr>
        <w:t>around</w:t>
      </w:r>
      <w:r>
        <w:rPr>
          <w:bCs/>
        </w:rPr>
        <w:t xml:space="preserve"> 200-400 </w:t>
      </w:r>
      <w:r w:rsidRPr="006C2278">
        <w:rPr>
          <w:bCs/>
        </w:rPr>
        <w:t>times the human</w:t>
      </w:r>
      <w:r>
        <w:rPr>
          <w:bCs/>
        </w:rPr>
        <w:t xml:space="preserve"> value</w:t>
      </w:r>
      <w:r w:rsidRPr="006C2278">
        <w:rPr>
          <w:bCs/>
        </w:rPr>
        <w:t>, based on AUC, there was no evidence of impaired fertility or reproductive performance.</w:t>
      </w:r>
    </w:p>
    <w:p w14:paraId="4E3E986E" w14:textId="77777777" w:rsidR="00A512CD" w:rsidRDefault="00A512CD" w:rsidP="00AA1A00">
      <w:pPr>
        <w:pStyle w:val="Heading2"/>
        <w:adjustRightInd w:val="0"/>
        <w:contextualSpacing/>
        <w:rPr>
          <w:lang w:eastAsia="en-AU"/>
        </w:rPr>
      </w:pPr>
    </w:p>
    <w:p w14:paraId="526A9358" w14:textId="77777777" w:rsidR="00A512CD" w:rsidRPr="006C2278" w:rsidRDefault="00A512CD" w:rsidP="00AA1A00">
      <w:pPr>
        <w:pStyle w:val="Heading2"/>
        <w:adjustRightInd w:val="0"/>
        <w:contextualSpacing/>
        <w:rPr>
          <w:lang w:eastAsia="en-AU"/>
        </w:rPr>
      </w:pPr>
      <w:r w:rsidRPr="006C2278">
        <w:rPr>
          <w:lang w:eastAsia="en-AU"/>
        </w:rPr>
        <w:t>Use in Pregnancy – Pregnancy Category B</w:t>
      </w:r>
      <w:r>
        <w:rPr>
          <w:lang w:eastAsia="en-AU"/>
        </w:rPr>
        <w:t>3</w:t>
      </w:r>
    </w:p>
    <w:p w14:paraId="5DA37993" w14:textId="77777777" w:rsidR="00A512CD" w:rsidRPr="006C2278" w:rsidRDefault="00A512CD" w:rsidP="00AA1A00">
      <w:pPr>
        <w:adjustRightInd w:val="0"/>
        <w:spacing w:after="0" w:line="240" w:lineRule="auto"/>
        <w:contextualSpacing/>
        <w:rPr>
          <w:lang w:eastAsia="en-AU"/>
        </w:rPr>
      </w:pPr>
    </w:p>
    <w:p w14:paraId="637BD7BD" w14:textId="77777777" w:rsidR="00A512CD" w:rsidRPr="006C2278" w:rsidRDefault="00A512CD" w:rsidP="00AA1A00">
      <w:pPr>
        <w:autoSpaceDE w:val="0"/>
        <w:autoSpaceDN w:val="0"/>
        <w:adjustRightInd w:val="0"/>
        <w:spacing w:after="0" w:line="240" w:lineRule="auto"/>
        <w:contextualSpacing/>
        <w:rPr>
          <w:rFonts w:cstheme="minorHAnsi"/>
          <w:bCs/>
        </w:rPr>
      </w:pPr>
      <w:r w:rsidRPr="006C2278">
        <w:rPr>
          <w:rFonts w:cstheme="minorHAnsi"/>
          <w:bCs/>
        </w:rPr>
        <w:t xml:space="preserve">There are no adequate and well-controlled studies in pregnant women receiving </w:t>
      </w:r>
      <w:proofErr w:type="spellStart"/>
      <w:r w:rsidRPr="006C2278">
        <w:rPr>
          <w:rFonts w:cstheme="minorHAnsi"/>
          <w:bCs/>
        </w:rPr>
        <w:t>Vimizim</w:t>
      </w:r>
      <w:proofErr w:type="spellEnd"/>
      <w:r w:rsidRPr="006C2278">
        <w:rPr>
          <w:rFonts w:cstheme="minorHAnsi"/>
          <w:bCs/>
        </w:rPr>
        <w:t xml:space="preserve">. </w:t>
      </w:r>
    </w:p>
    <w:p w14:paraId="2110579C" w14:textId="77777777" w:rsidR="00A512CD" w:rsidRPr="00111CC3" w:rsidRDefault="00A512CD" w:rsidP="00AA1A00">
      <w:pPr>
        <w:autoSpaceDE w:val="0"/>
        <w:autoSpaceDN w:val="0"/>
        <w:adjustRightInd w:val="0"/>
        <w:spacing w:after="0" w:line="240" w:lineRule="auto"/>
        <w:contextualSpacing/>
        <w:rPr>
          <w:rFonts w:cstheme="minorHAnsi"/>
        </w:rPr>
      </w:pPr>
      <w:r w:rsidRPr="006C2278">
        <w:rPr>
          <w:rFonts w:cstheme="minorHAnsi"/>
          <w:bCs/>
        </w:rPr>
        <w:t xml:space="preserve">Reproduction studies were performed in rats </w:t>
      </w:r>
      <w:r>
        <w:rPr>
          <w:rFonts w:cstheme="minorHAnsi"/>
          <w:bCs/>
        </w:rPr>
        <w:t xml:space="preserve">receiving </w:t>
      </w:r>
      <w:r w:rsidRPr="006C2278">
        <w:rPr>
          <w:rFonts w:cstheme="minorHAnsi"/>
          <w:bCs/>
        </w:rPr>
        <w:t xml:space="preserve">up to 20 mg/kg/day </w:t>
      </w:r>
      <w:r>
        <w:rPr>
          <w:rFonts w:cstheme="minorHAnsi"/>
          <w:bCs/>
        </w:rPr>
        <w:t xml:space="preserve">(AUC exposure ratio around 200) </w:t>
      </w:r>
      <w:proofErr w:type="spellStart"/>
      <w:r w:rsidRPr="006C2278">
        <w:rPr>
          <w:rFonts w:cstheme="minorHAnsi"/>
          <w:bCs/>
        </w:rPr>
        <w:t>elosulfase</w:t>
      </w:r>
      <w:proofErr w:type="spellEnd"/>
      <w:r w:rsidRPr="006C2278">
        <w:rPr>
          <w:rFonts w:cstheme="minorHAnsi"/>
          <w:bCs/>
        </w:rPr>
        <w:t xml:space="preserve"> </w:t>
      </w:r>
      <w:proofErr w:type="spellStart"/>
      <w:r w:rsidRPr="006C2278">
        <w:rPr>
          <w:rFonts w:cstheme="minorHAnsi"/>
          <w:bCs/>
        </w:rPr>
        <w:t>alfa</w:t>
      </w:r>
      <w:proofErr w:type="spellEnd"/>
      <w:r w:rsidRPr="006C2278">
        <w:rPr>
          <w:rFonts w:cstheme="minorHAnsi"/>
        </w:rPr>
        <w:t xml:space="preserve"> with DPH (10 mg/kg, IP) from premating through Gestation Day 20</w:t>
      </w:r>
      <w:r w:rsidRPr="006C2278">
        <w:rPr>
          <w:rFonts w:cstheme="minorHAnsi"/>
          <w:bCs/>
        </w:rPr>
        <w:t xml:space="preserve"> and rabbits </w:t>
      </w:r>
      <w:r>
        <w:rPr>
          <w:rFonts w:cstheme="minorHAnsi"/>
          <w:bCs/>
        </w:rPr>
        <w:t xml:space="preserve">receiving </w:t>
      </w:r>
      <w:r w:rsidRPr="006C2278">
        <w:rPr>
          <w:rFonts w:cstheme="minorHAnsi"/>
          <w:bCs/>
        </w:rPr>
        <w:t xml:space="preserve">up to 10 mg/kg/day </w:t>
      </w:r>
      <w:r>
        <w:rPr>
          <w:rFonts w:cstheme="minorHAnsi"/>
          <w:bCs/>
        </w:rPr>
        <w:t xml:space="preserve">(AUC exposure ratio greater than 30) </w:t>
      </w:r>
      <w:proofErr w:type="spellStart"/>
      <w:r w:rsidRPr="006C2278">
        <w:rPr>
          <w:rFonts w:cstheme="minorHAnsi"/>
          <w:bCs/>
        </w:rPr>
        <w:t>elosulfase</w:t>
      </w:r>
      <w:proofErr w:type="spellEnd"/>
      <w:r w:rsidRPr="006C2278">
        <w:rPr>
          <w:rFonts w:cstheme="minorHAnsi"/>
          <w:bCs/>
        </w:rPr>
        <w:t xml:space="preserve"> </w:t>
      </w:r>
      <w:proofErr w:type="spellStart"/>
      <w:r w:rsidRPr="006C2278">
        <w:rPr>
          <w:rFonts w:cstheme="minorHAnsi"/>
          <w:bCs/>
        </w:rPr>
        <w:t>alfa</w:t>
      </w:r>
      <w:proofErr w:type="spellEnd"/>
      <w:r>
        <w:rPr>
          <w:rFonts w:cstheme="minorHAnsi"/>
          <w:bCs/>
        </w:rPr>
        <w:t xml:space="preserve"> </w:t>
      </w:r>
      <w:r w:rsidRPr="006C2278">
        <w:rPr>
          <w:rFonts w:cstheme="minorHAnsi"/>
        </w:rPr>
        <w:t xml:space="preserve"> from Gestation Day 7 through Gestation Day 20</w:t>
      </w:r>
      <w:r w:rsidRPr="006C2278">
        <w:rPr>
          <w:rFonts w:cstheme="minorHAnsi"/>
          <w:bCs/>
        </w:rPr>
        <w:t xml:space="preserve">.  There were no </w:t>
      </w:r>
      <w:proofErr w:type="spellStart"/>
      <w:r w:rsidRPr="006C2278">
        <w:rPr>
          <w:rFonts w:cstheme="minorHAnsi"/>
          <w:bCs/>
        </w:rPr>
        <w:t>elosulfase</w:t>
      </w:r>
      <w:proofErr w:type="spellEnd"/>
      <w:r w:rsidRPr="006C2278">
        <w:rPr>
          <w:rFonts w:cstheme="minorHAnsi"/>
          <w:bCs/>
        </w:rPr>
        <w:t xml:space="preserve"> </w:t>
      </w:r>
      <w:proofErr w:type="spellStart"/>
      <w:r w:rsidRPr="006C2278">
        <w:rPr>
          <w:rFonts w:cstheme="minorHAnsi"/>
          <w:bCs/>
        </w:rPr>
        <w:t>alfa</w:t>
      </w:r>
      <w:proofErr w:type="spellEnd"/>
      <w:r w:rsidRPr="006C2278">
        <w:rPr>
          <w:rFonts w:cstheme="minorHAnsi"/>
          <w:bCs/>
        </w:rPr>
        <w:noBreakHyphen/>
        <w:t>related effects on embryo-</w:t>
      </w:r>
      <w:proofErr w:type="spellStart"/>
      <w:r w:rsidRPr="006C2278">
        <w:rPr>
          <w:rFonts w:cstheme="minorHAnsi"/>
          <w:bCs/>
        </w:rPr>
        <w:t>fetal</w:t>
      </w:r>
      <w:proofErr w:type="spellEnd"/>
      <w:r w:rsidRPr="006C2278">
        <w:rPr>
          <w:rFonts w:cstheme="minorHAnsi"/>
          <w:bCs/>
        </w:rPr>
        <w:t xml:space="preserve"> development, and no increased incidence of </w:t>
      </w:r>
      <w:proofErr w:type="spellStart"/>
      <w:r w:rsidRPr="006C2278">
        <w:rPr>
          <w:rFonts w:cstheme="minorHAnsi"/>
          <w:bCs/>
        </w:rPr>
        <w:t>fetal</w:t>
      </w:r>
      <w:proofErr w:type="spellEnd"/>
      <w:r w:rsidRPr="006C2278">
        <w:rPr>
          <w:rFonts w:cstheme="minorHAnsi"/>
          <w:bCs/>
        </w:rPr>
        <w:t xml:space="preserve"> gross external, soft tissue or skeletal alterations in rats </w:t>
      </w:r>
      <w:r>
        <w:rPr>
          <w:rFonts w:cstheme="minorHAnsi"/>
          <w:bCs/>
        </w:rPr>
        <w:t xml:space="preserve">or </w:t>
      </w:r>
      <w:r w:rsidRPr="006C2278">
        <w:rPr>
          <w:rFonts w:cstheme="minorHAnsi"/>
          <w:bCs/>
        </w:rPr>
        <w:t xml:space="preserve">rabbits. </w:t>
      </w:r>
      <w:r w:rsidRPr="006C2278">
        <w:rPr>
          <w:rFonts w:cstheme="minorHAnsi"/>
        </w:rPr>
        <w:t xml:space="preserve"> </w:t>
      </w:r>
      <w:r w:rsidRPr="006C2278">
        <w:rPr>
          <w:rFonts w:cstheme="minorHAnsi"/>
          <w:bCs/>
        </w:rPr>
        <w:t xml:space="preserve">However, </w:t>
      </w:r>
      <w:r>
        <w:rPr>
          <w:rFonts w:cstheme="minorHAnsi"/>
          <w:bCs/>
        </w:rPr>
        <w:t xml:space="preserve">administration of </w:t>
      </w:r>
      <w:proofErr w:type="spellStart"/>
      <w:r>
        <w:rPr>
          <w:rFonts w:cstheme="minorHAnsi"/>
          <w:bCs/>
        </w:rPr>
        <w:t>elosulfase</w:t>
      </w:r>
      <w:proofErr w:type="spellEnd"/>
      <w:r>
        <w:rPr>
          <w:rFonts w:cstheme="minorHAnsi"/>
          <w:bCs/>
        </w:rPr>
        <w:t xml:space="preserve"> </w:t>
      </w:r>
      <w:proofErr w:type="spellStart"/>
      <w:r>
        <w:rPr>
          <w:rFonts w:cstheme="minorHAnsi"/>
          <w:bCs/>
        </w:rPr>
        <w:t>alfa</w:t>
      </w:r>
      <w:proofErr w:type="spellEnd"/>
      <w:r>
        <w:rPr>
          <w:rFonts w:cstheme="minorHAnsi"/>
          <w:bCs/>
        </w:rPr>
        <w:t xml:space="preserve"> to rats at 6 or 20 mg/kg/day (predicted AUC exposure ratios of around 40 and 200, respectively) from Gestation Day 7 through Lactation Day 20, produced significant increases in perinatal pup mortality. A</w:t>
      </w:r>
      <w:r w:rsidRPr="006C2278">
        <w:rPr>
          <w:rFonts w:cstheme="minorHAnsi"/>
          <w:bCs/>
        </w:rPr>
        <w:t xml:space="preserve">s a precautionary measure, it is preferable to avoid the use of </w:t>
      </w:r>
      <w:proofErr w:type="spellStart"/>
      <w:r w:rsidRPr="006C2278">
        <w:rPr>
          <w:rFonts w:cstheme="minorHAnsi"/>
          <w:bCs/>
        </w:rPr>
        <w:t>Vimizim</w:t>
      </w:r>
      <w:proofErr w:type="spellEnd"/>
      <w:r w:rsidRPr="006C2278">
        <w:rPr>
          <w:rFonts w:cstheme="minorHAnsi"/>
          <w:bCs/>
        </w:rPr>
        <w:t xml:space="preserve"> during pregnancy, unless clearly necessary.</w:t>
      </w:r>
    </w:p>
    <w:p w14:paraId="0AFDCF5F" w14:textId="77777777" w:rsidR="00A512CD" w:rsidRPr="006C2278" w:rsidRDefault="00A512CD" w:rsidP="00AA1A00">
      <w:pPr>
        <w:autoSpaceDE w:val="0"/>
        <w:autoSpaceDN w:val="0"/>
        <w:adjustRightInd w:val="0"/>
        <w:spacing w:after="0" w:line="240" w:lineRule="auto"/>
        <w:contextualSpacing/>
        <w:rPr>
          <w:rFonts w:cstheme="minorHAnsi"/>
          <w:bCs/>
        </w:rPr>
      </w:pPr>
    </w:p>
    <w:p w14:paraId="46091EDE" w14:textId="77777777" w:rsidR="00A512CD" w:rsidRPr="00626E47" w:rsidRDefault="00A512CD" w:rsidP="00AA1A00">
      <w:pPr>
        <w:pStyle w:val="Heading2"/>
        <w:adjustRightInd w:val="0"/>
        <w:rPr>
          <w:lang w:eastAsia="en-AU"/>
        </w:rPr>
      </w:pPr>
      <w:r w:rsidRPr="00626E47">
        <w:rPr>
          <w:lang w:eastAsia="en-AU"/>
        </w:rPr>
        <w:t>Use in Lactation</w:t>
      </w:r>
    </w:p>
    <w:p w14:paraId="66F1FCB1" w14:textId="77777777" w:rsidR="00A512CD" w:rsidRPr="00626E47" w:rsidRDefault="00A512CD" w:rsidP="00AA1A00">
      <w:pPr>
        <w:adjustRightInd w:val="0"/>
        <w:spacing w:after="0" w:line="240" w:lineRule="auto"/>
        <w:rPr>
          <w:lang w:eastAsia="en-AU"/>
        </w:rPr>
      </w:pPr>
    </w:p>
    <w:p w14:paraId="6C780E88" w14:textId="77777777" w:rsidR="00A512CD" w:rsidRPr="00626E47" w:rsidRDefault="00A512CD" w:rsidP="00AA1A00">
      <w:pPr>
        <w:pStyle w:val="BodyText"/>
        <w:adjustRightInd w:val="0"/>
        <w:spacing w:after="0" w:line="240" w:lineRule="auto"/>
        <w:rPr>
          <w:bCs/>
          <w:lang w:eastAsia="en-GB"/>
        </w:rPr>
      </w:pPr>
      <w:r>
        <w:rPr>
          <w:bCs/>
        </w:rPr>
        <w:t>D</w:t>
      </w:r>
      <w:r w:rsidRPr="00626E47">
        <w:rPr>
          <w:bCs/>
        </w:rPr>
        <w:t xml:space="preserve">ata </w:t>
      </w:r>
      <w:r>
        <w:rPr>
          <w:bCs/>
        </w:rPr>
        <w:t>from</w:t>
      </w:r>
      <w:r w:rsidRPr="00626E47">
        <w:rPr>
          <w:bCs/>
        </w:rPr>
        <w:t xml:space="preserve"> rats have shown excretion of </w:t>
      </w:r>
      <w:proofErr w:type="spellStart"/>
      <w:r w:rsidRPr="00626E47">
        <w:rPr>
          <w:bCs/>
        </w:rPr>
        <w:t>Vimizim</w:t>
      </w:r>
      <w:proofErr w:type="spellEnd"/>
      <w:r w:rsidRPr="00626E47">
        <w:rPr>
          <w:bCs/>
        </w:rPr>
        <w:t xml:space="preserve"> in milk. It is not known whether </w:t>
      </w:r>
      <w:proofErr w:type="spellStart"/>
      <w:r w:rsidRPr="00626E47">
        <w:rPr>
          <w:bCs/>
        </w:rPr>
        <w:t>Vimizim</w:t>
      </w:r>
      <w:proofErr w:type="spellEnd"/>
      <w:r w:rsidRPr="00626E47">
        <w:rPr>
          <w:bCs/>
        </w:rPr>
        <w:t xml:space="preserve"> is excreted in human breast milk, therefore </w:t>
      </w:r>
      <w:r w:rsidRPr="00626E47">
        <w:t xml:space="preserve">a decision on whether to continue/discontinue breast-feeding or to continue/discontinue therapy with </w:t>
      </w:r>
      <w:proofErr w:type="spellStart"/>
      <w:r w:rsidRPr="00626E47">
        <w:t>Vimizim</w:t>
      </w:r>
      <w:proofErr w:type="spellEnd"/>
      <w:r w:rsidRPr="00626E47">
        <w:t xml:space="preserve"> should be made, taking into account the benefit of breast-feeding to the child and the benefit of </w:t>
      </w:r>
      <w:proofErr w:type="spellStart"/>
      <w:r w:rsidRPr="00626E47">
        <w:t>Vimizim</w:t>
      </w:r>
      <w:proofErr w:type="spellEnd"/>
      <w:r w:rsidRPr="00626E47">
        <w:t xml:space="preserve"> therapy to the woman.</w:t>
      </w:r>
      <w:r w:rsidRPr="00626E47">
        <w:rPr>
          <w:bCs/>
        </w:rPr>
        <w:t xml:space="preserve"> </w:t>
      </w:r>
    </w:p>
    <w:p w14:paraId="35672459" w14:textId="77777777" w:rsidR="00A512CD" w:rsidRPr="004D1446" w:rsidRDefault="00A512CD" w:rsidP="00AA1A00">
      <w:pPr>
        <w:adjustRightInd w:val="0"/>
        <w:spacing w:after="0" w:line="240" w:lineRule="auto"/>
        <w:rPr>
          <w:lang w:eastAsia="en-AU"/>
        </w:rPr>
      </w:pPr>
    </w:p>
    <w:p w14:paraId="50EA4897" w14:textId="77777777" w:rsidR="00A512CD" w:rsidRPr="001D1CE9" w:rsidRDefault="00A512CD" w:rsidP="00AA1A00">
      <w:pPr>
        <w:pStyle w:val="Heading2"/>
        <w:adjustRightInd w:val="0"/>
        <w:rPr>
          <w:lang w:eastAsia="en-AU"/>
        </w:rPr>
      </w:pPr>
      <w:r w:rsidRPr="00D26169">
        <w:rPr>
          <w:lang w:eastAsia="en-AU"/>
        </w:rPr>
        <w:t xml:space="preserve">Paediatric Use </w:t>
      </w:r>
    </w:p>
    <w:p w14:paraId="46EFB607" w14:textId="77777777" w:rsidR="00A512CD" w:rsidRPr="00A53E49" w:rsidRDefault="00A512CD" w:rsidP="00AA1A00">
      <w:pPr>
        <w:pStyle w:val="BodyText"/>
        <w:adjustRightInd w:val="0"/>
        <w:spacing w:after="0" w:line="240" w:lineRule="auto"/>
        <w:rPr>
          <w:bCs/>
          <w:i/>
          <w:highlight w:val="yellow"/>
        </w:rPr>
      </w:pPr>
    </w:p>
    <w:p w14:paraId="7526F6F8" w14:textId="1FFEFF8D" w:rsidR="00A512CD" w:rsidRDefault="00A512CD" w:rsidP="00AA1A00">
      <w:pPr>
        <w:pStyle w:val="BodyText"/>
        <w:adjustRightInd w:val="0"/>
        <w:spacing w:after="0" w:line="240" w:lineRule="auto"/>
        <w:rPr>
          <w:bCs/>
        </w:rPr>
      </w:pPr>
      <w:r w:rsidRPr="002C0C42">
        <w:rPr>
          <w:bCs/>
        </w:rPr>
        <w:t xml:space="preserve">The majority of patients treated with </w:t>
      </w:r>
      <w:proofErr w:type="spellStart"/>
      <w:r w:rsidRPr="002C0C42">
        <w:rPr>
          <w:bCs/>
        </w:rPr>
        <w:t>Vimizim</w:t>
      </w:r>
      <w:proofErr w:type="spellEnd"/>
      <w:r w:rsidRPr="002C0C42">
        <w:rPr>
          <w:bCs/>
        </w:rPr>
        <w:t xml:space="preserve"> in clinical trials were in the paediatric age range (</w:t>
      </w:r>
      <w:r>
        <w:rPr>
          <w:bCs/>
        </w:rPr>
        <w:t>53% aged 5 to 11 years, 27% aged 12-17 years</w:t>
      </w:r>
      <w:r w:rsidRPr="002C0C42">
        <w:rPr>
          <w:bCs/>
        </w:rPr>
        <w:t xml:space="preserve">). </w:t>
      </w:r>
      <w:r>
        <w:rPr>
          <w:bCs/>
        </w:rPr>
        <w:t xml:space="preserve">Patients &lt;5 years of age were not included in the pivotal study (MOR-004). </w:t>
      </w:r>
      <w:r w:rsidRPr="002C0C42">
        <w:rPr>
          <w:bCs/>
        </w:rPr>
        <w:t xml:space="preserve">In an open-label trial (MOR-007), 15 paediatric patients with MPS IVA under the age of 5 years (9 months to &lt;5 years) received 2 mg/kg of </w:t>
      </w:r>
      <w:proofErr w:type="spellStart"/>
      <w:r w:rsidRPr="002C0C42">
        <w:rPr>
          <w:bCs/>
        </w:rPr>
        <w:t>Vimizim</w:t>
      </w:r>
      <w:proofErr w:type="spellEnd"/>
      <w:r w:rsidRPr="002C0C42">
        <w:rPr>
          <w:bCs/>
        </w:rPr>
        <w:t xml:space="preserve"> once a week for 52 weeks</w:t>
      </w:r>
      <w:r>
        <w:rPr>
          <w:bCs/>
        </w:rPr>
        <w:t>.</w:t>
      </w:r>
      <w:r w:rsidRPr="00BB5267">
        <w:rPr>
          <w:rFonts w:ascii="Times New Roman" w:eastAsiaTheme="minorEastAsia" w:hAnsi="Times New Roman" w:cs="Times New Roman"/>
          <w:bCs/>
          <w:i/>
          <w:lang w:val="en-US" w:eastAsia="zh-CN"/>
        </w:rPr>
        <w:t xml:space="preserve"> </w:t>
      </w:r>
      <w:r w:rsidRPr="007E5744">
        <w:rPr>
          <w:bCs/>
          <w:lang w:val="en-US"/>
        </w:rPr>
        <w:t>Efficacy assessment by a 6 minute walk test was not conducted due to the young age of these patients. However, in the MOR</w:t>
      </w:r>
      <w:r>
        <w:rPr>
          <w:bCs/>
          <w:lang w:val="en-US"/>
        </w:rPr>
        <w:t>-</w:t>
      </w:r>
      <w:r w:rsidRPr="007E5744">
        <w:rPr>
          <w:bCs/>
          <w:lang w:val="en-US"/>
        </w:rPr>
        <w:t>007</w:t>
      </w:r>
      <w:r>
        <w:rPr>
          <w:bCs/>
          <w:lang w:val="en-US"/>
        </w:rPr>
        <w:t xml:space="preserve"> </w:t>
      </w:r>
      <w:r w:rsidRPr="007E5744">
        <w:rPr>
          <w:bCs/>
          <w:lang w:val="en-US"/>
        </w:rPr>
        <w:t>study,</w:t>
      </w:r>
      <w:r w:rsidRPr="007E5744">
        <w:rPr>
          <w:bCs/>
        </w:rPr>
        <w:t xml:space="preserve"> patients showed a reduction of urinary KS; and safety</w:t>
      </w:r>
      <w:r w:rsidRPr="005A2762">
        <w:rPr>
          <w:bCs/>
        </w:rPr>
        <w:t xml:space="preserve"> results in these patients</w:t>
      </w:r>
      <w:r>
        <w:rPr>
          <w:bCs/>
        </w:rPr>
        <w:t xml:space="preserve"> </w:t>
      </w:r>
      <w:r w:rsidRPr="002C0C42">
        <w:rPr>
          <w:bCs/>
        </w:rPr>
        <w:t>are consistent with results observed in patients 5 to 57 years old (see ADVERSE EFFECTS and CLINICAL TRIALS). No long term safety data are available beyond 52 weeks in children under the age of 5 years.</w:t>
      </w:r>
    </w:p>
    <w:p w14:paraId="33954D77" w14:textId="77777777" w:rsidR="00A512CD" w:rsidRPr="00BB5267" w:rsidRDefault="00A512CD" w:rsidP="00AA1A00">
      <w:pPr>
        <w:tabs>
          <w:tab w:val="left" w:pos="360"/>
        </w:tabs>
        <w:adjustRightInd w:val="0"/>
        <w:spacing w:after="0" w:line="240" w:lineRule="auto"/>
        <w:rPr>
          <w:rFonts w:cs="Times New Roman"/>
          <w:bCs/>
        </w:rPr>
      </w:pPr>
    </w:p>
    <w:p w14:paraId="01C9AD2B" w14:textId="77777777" w:rsidR="00A512CD" w:rsidRPr="00626E47" w:rsidRDefault="00A512CD" w:rsidP="00AA1A00">
      <w:pPr>
        <w:pStyle w:val="Heading2"/>
        <w:adjustRightInd w:val="0"/>
        <w:rPr>
          <w:lang w:eastAsia="en-AU"/>
        </w:rPr>
      </w:pPr>
      <w:r w:rsidRPr="00626E47">
        <w:rPr>
          <w:lang w:eastAsia="en-AU"/>
        </w:rPr>
        <w:t>Use in the Elderly</w:t>
      </w:r>
    </w:p>
    <w:p w14:paraId="3105036B" w14:textId="77777777" w:rsidR="00A512CD" w:rsidRPr="00626E47" w:rsidRDefault="00A512CD" w:rsidP="00AA1A00">
      <w:pPr>
        <w:pStyle w:val="Heading2"/>
        <w:adjustRightInd w:val="0"/>
        <w:rPr>
          <w:lang w:eastAsia="en-AU"/>
        </w:rPr>
      </w:pPr>
    </w:p>
    <w:p w14:paraId="2860ED93" w14:textId="77777777" w:rsidR="00A512CD" w:rsidRPr="00626E47" w:rsidRDefault="00A512CD" w:rsidP="00AA1A00">
      <w:pPr>
        <w:autoSpaceDE w:val="0"/>
        <w:autoSpaceDN w:val="0"/>
        <w:adjustRightInd w:val="0"/>
        <w:spacing w:after="0" w:line="240" w:lineRule="auto"/>
        <w:rPr>
          <w:bCs/>
        </w:rPr>
      </w:pPr>
      <w:r w:rsidRPr="00626E47">
        <w:rPr>
          <w:bCs/>
        </w:rPr>
        <w:t xml:space="preserve">The safety and efficacy of </w:t>
      </w:r>
      <w:proofErr w:type="spellStart"/>
      <w:r w:rsidRPr="00626E47">
        <w:rPr>
          <w:bCs/>
        </w:rPr>
        <w:t>Vimizim</w:t>
      </w:r>
      <w:proofErr w:type="spellEnd"/>
      <w:r w:rsidRPr="00626E47">
        <w:rPr>
          <w:bCs/>
        </w:rPr>
        <w:t xml:space="preserve"> in patients older than 65 years have not been established and it is not known whether they respond differently from younger patients</w:t>
      </w:r>
      <w:r>
        <w:rPr>
          <w:bCs/>
        </w:rPr>
        <w:t>.</w:t>
      </w:r>
    </w:p>
    <w:p w14:paraId="2986F8BF" w14:textId="77777777" w:rsidR="00A512CD" w:rsidRPr="00626E47" w:rsidRDefault="00A512CD" w:rsidP="00AA1A00">
      <w:pPr>
        <w:adjustRightInd w:val="0"/>
        <w:spacing w:after="0" w:line="240" w:lineRule="auto"/>
      </w:pPr>
    </w:p>
    <w:p w14:paraId="3A0170C8" w14:textId="77777777" w:rsidR="00A512CD" w:rsidRPr="00626E47" w:rsidRDefault="00A512CD" w:rsidP="00AA1A00">
      <w:pPr>
        <w:pStyle w:val="Heading2"/>
        <w:adjustRightInd w:val="0"/>
        <w:rPr>
          <w:lang w:eastAsia="en-AU"/>
        </w:rPr>
      </w:pPr>
      <w:proofErr w:type="spellStart"/>
      <w:r w:rsidRPr="00626E47">
        <w:rPr>
          <w:lang w:eastAsia="en-AU"/>
        </w:rPr>
        <w:t>Genotoxicity</w:t>
      </w:r>
      <w:proofErr w:type="spellEnd"/>
    </w:p>
    <w:p w14:paraId="645087BD" w14:textId="77777777" w:rsidR="00A512CD" w:rsidRPr="00626E47" w:rsidRDefault="00A512CD" w:rsidP="00AA1A00">
      <w:pPr>
        <w:pStyle w:val="Heading2"/>
        <w:adjustRightInd w:val="0"/>
        <w:rPr>
          <w:lang w:eastAsia="en-AU"/>
        </w:rPr>
      </w:pPr>
    </w:p>
    <w:p w14:paraId="00744AC3" w14:textId="77777777" w:rsidR="00A512CD" w:rsidRPr="00626E47" w:rsidRDefault="00A512CD" w:rsidP="00AA1A00">
      <w:pPr>
        <w:autoSpaceDE w:val="0"/>
        <w:autoSpaceDN w:val="0"/>
        <w:adjustRightInd w:val="0"/>
        <w:spacing w:after="0" w:line="240" w:lineRule="auto"/>
        <w:rPr>
          <w:bCs/>
        </w:rPr>
      </w:pPr>
      <w:r w:rsidRPr="00626E47">
        <w:rPr>
          <w:bCs/>
        </w:rPr>
        <w:t xml:space="preserve">Studies to evaluate mutagenic potential have not been performed with </w:t>
      </w:r>
      <w:proofErr w:type="spellStart"/>
      <w:r w:rsidRPr="00626E47">
        <w:rPr>
          <w:bCs/>
        </w:rPr>
        <w:t>Vimizim</w:t>
      </w:r>
      <w:proofErr w:type="spellEnd"/>
      <w:r w:rsidRPr="00626E47">
        <w:rPr>
          <w:bCs/>
        </w:rPr>
        <w:t>.</w:t>
      </w:r>
    </w:p>
    <w:p w14:paraId="0864B9F0" w14:textId="77777777" w:rsidR="00A512CD" w:rsidRPr="00626E47" w:rsidRDefault="00A512CD" w:rsidP="00AA1A00">
      <w:pPr>
        <w:autoSpaceDE w:val="0"/>
        <w:autoSpaceDN w:val="0"/>
        <w:adjustRightInd w:val="0"/>
        <w:spacing w:after="0" w:line="240" w:lineRule="auto"/>
        <w:rPr>
          <w:bCs/>
        </w:rPr>
      </w:pPr>
    </w:p>
    <w:p w14:paraId="1B3DEE47" w14:textId="77777777" w:rsidR="00A512CD" w:rsidRPr="00626E47" w:rsidRDefault="00A512CD" w:rsidP="00AA1A00">
      <w:pPr>
        <w:pStyle w:val="Heading2"/>
        <w:adjustRightInd w:val="0"/>
        <w:rPr>
          <w:lang w:eastAsia="en-AU"/>
        </w:rPr>
      </w:pPr>
      <w:r w:rsidRPr="00626E47">
        <w:rPr>
          <w:lang w:eastAsia="en-AU"/>
        </w:rPr>
        <w:t>Carcinogenicity</w:t>
      </w:r>
    </w:p>
    <w:p w14:paraId="31EAE0B7" w14:textId="77777777" w:rsidR="00A512CD" w:rsidRPr="00626E47" w:rsidRDefault="00A512CD" w:rsidP="00AA1A00">
      <w:pPr>
        <w:pStyle w:val="Heading2"/>
        <w:adjustRightInd w:val="0"/>
        <w:rPr>
          <w:lang w:eastAsia="en-AU"/>
        </w:rPr>
      </w:pPr>
    </w:p>
    <w:p w14:paraId="1ABB902E" w14:textId="77777777" w:rsidR="00A512CD" w:rsidRPr="00626E47" w:rsidRDefault="00A512CD" w:rsidP="00AA1A00">
      <w:pPr>
        <w:autoSpaceDE w:val="0"/>
        <w:autoSpaceDN w:val="0"/>
        <w:adjustRightInd w:val="0"/>
        <w:spacing w:after="0" w:line="240" w:lineRule="auto"/>
        <w:rPr>
          <w:bCs/>
        </w:rPr>
      </w:pPr>
      <w:r w:rsidRPr="00626E47">
        <w:rPr>
          <w:bCs/>
        </w:rPr>
        <w:t xml:space="preserve">Long-term studies in animals to evaluate carcinogenic potential have not been performed with </w:t>
      </w:r>
      <w:proofErr w:type="spellStart"/>
      <w:r w:rsidRPr="00626E47">
        <w:rPr>
          <w:bCs/>
        </w:rPr>
        <w:t>Vimizim</w:t>
      </w:r>
      <w:proofErr w:type="spellEnd"/>
      <w:r w:rsidRPr="00626E47">
        <w:rPr>
          <w:bCs/>
        </w:rPr>
        <w:t>.</w:t>
      </w:r>
    </w:p>
    <w:p w14:paraId="2896FFAE" w14:textId="77777777" w:rsidR="00A512CD" w:rsidRDefault="00A512CD" w:rsidP="00AA1A00">
      <w:pPr>
        <w:autoSpaceDE w:val="0"/>
        <w:autoSpaceDN w:val="0"/>
        <w:adjustRightInd w:val="0"/>
        <w:spacing w:after="0" w:line="240" w:lineRule="auto"/>
        <w:rPr>
          <w:bCs/>
        </w:rPr>
      </w:pPr>
    </w:p>
    <w:p w14:paraId="70097C24" w14:textId="77777777" w:rsidR="00A512CD" w:rsidRPr="00626E47" w:rsidRDefault="00A512CD" w:rsidP="00AA1A00">
      <w:pPr>
        <w:pStyle w:val="Heading2"/>
        <w:adjustRightInd w:val="0"/>
        <w:rPr>
          <w:lang w:eastAsia="en-AU"/>
        </w:rPr>
      </w:pPr>
      <w:r w:rsidRPr="00626E47">
        <w:rPr>
          <w:lang w:eastAsia="en-AU"/>
        </w:rPr>
        <w:t>Effect on Ability to Drive and Use Machines</w:t>
      </w:r>
    </w:p>
    <w:p w14:paraId="36EC5C00" w14:textId="77777777" w:rsidR="00A512CD" w:rsidRPr="00626E47" w:rsidRDefault="00A512CD" w:rsidP="00AA1A00">
      <w:pPr>
        <w:pStyle w:val="Heading2"/>
        <w:adjustRightInd w:val="0"/>
        <w:rPr>
          <w:lang w:eastAsia="en-AU"/>
        </w:rPr>
      </w:pPr>
    </w:p>
    <w:p w14:paraId="24924DA2" w14:textId="77777777" w:rsidR="00A512CD" w:rsidRPr="00626E47" w:rsidRDefault="00A512CD" w:rsidP="00AA1A00">
      <w:pPr>
        <w:autoSpaceDE w:val="0"/>
        <w:autoSpaceDN w:val="0"/>
        <w:adjustRightInd w:val="0"/>
        <w:spacing w:after="0" w:line="240" w:lineRule="auto"/>
        <w:rPr>
          <w:bCs/>
        </w:rPr>
      </w:pPr>
      <w:r w:rsidRPr="00626E47">
        <w:t xml:space="preserve">No studies of </w:t>
      </w:r>
      <w:proofErr w:type="spellStart"/>
      <w:r w:rsidRPr="00626E47">
        <w:t>Vimizim</w:t>
      </w:r>
      <w:proofErr w:type="spellEnd"/>
      <w:r w:rsidRPr="00626E47">
        <w:t xml:space="preserve"> effects on the ability to drive and use machines have been performed</w:t>
      </w:r>
      <w:r w:rsidRPr="00626E47">
        <w:rPr>
          <w:bCs/>
        </w:rPr>
        <w:t>.</w:t>
      </w:r>
      <w:r>
        <w:rPr>
          <w:bCs/>
        </w:rPr>
        <w:t xml:space="preserve"> </w:t>
      </w:r>
      <w:r w:rsidRPr="00125B1D">
        <w:rPr>
          <w:bCs/>
          <w:iCs/>
        </w:rPr>
        <w:t xml:space="preserve">Dizziness was reported during </w:t>
      </w:r>
      <w:proofErr w:type="spellStart"/>
      <w:r w:rsidRPr="00125B1D">
        <w:rPr>
          <w:bCs/>
          <w:iCs/>
        </w:rPr>
        <w:t>Vimizim</w:t>
      </w:r>
      <w:proofErr w:type="spellEnd"/>
      <w:r w:rsidRPr="00125B1D">
        <w:rPr>
          <w:bCs/>
          <w:iCs/>
        </w:rPr>
        <w:t xml:space="preserve"> infusions; if dizziness occurs after the infusion, the ability to drive and use machines may be affected.</w:t>
      </w:r>
    </w:p>
    <w:p w14:paraId="0F72739E" w14:textId="77777777" w:rsidR="00A512CD" w:rsidRPr="005B5916" w:rsidRDefault="00A512CD" w:rsidP="00AA1A00">
      <w:pPr>
        <w:autoSpaceDE w:val="0"/>
        <w:autoSpaceDN w:val="0"/>
        <w:adjustRightInd w:val="0"/>
        <w:spacing w:after="0" w:line="240" w:lineRule="auto"/>
        <w:rPr>
          <w:bCs/>
        </w:rPr>
      </w:pPr>
    </w:p>
    <w:p w14:paraId="34CA281A" w14:textId="77777777" w:rsidR="00A512CD" w:rsidRPr="00626E47" w:rsidRDefault="00A512CD" w:rsidP="00AA1A00">
      <w:pPr>
        <w:pStyle w:val="Heading2"/>
        <w:keepNext/>
        <w:adjustRightInd w:val="0"/>
      </w:pPr>
      <w:r w:rsidRPr="00626E47">
        <w:t>INTERACTIONS WITH OTHER MEDICINES</w:t>
      </w:r>
    </w:p>
    <w:p w14:paraId="4A712DA9" w14:textId="77777777" w:rsidR="00A512CD" w:rsidRPr="00626E47" w:rsidRDefault="00A512CD" w:rsidP="00AA1A00">
      <w:pPr>
        <w:keepNext/>
        <w:adjustRightInd w:val="0"/>
        <w:spacing w:after="0" w:line="240" w:lineRule="auto"/>
      </w:pPr>
    </w:p>
    <w:p w14:paraId="34CBF396" w14:textId="77777777" w:rsidR="00A512CD" w:rsidRPr="00626E47" w:rsidRDefault="00A512CD" w:rsidP="00AA1A00">
      <w:pPr>
        <w:keepNext/>
        <w:autoSpaceDE w:val="0"/>
        <w:autoSpaceDN w:val="0"/>
        <w:adjustRightInd w:val="0"/>
        <w:spacing w:after="0" w:line="240" w:lineRule="auto"/>
        <w:rPr>
          <w:bCs/>
        </w:rPr>
      </w:pPr>
      <w:r w:rsidRPr="00626E47">
        <w:rPr>
          <w:bCs/>
        </w:rPr>
        <w:t>No interaction studies have been performed.</w:t>
      </w:r>
    </w:p>
    <w:p w14:paraId="0F4C82C2" w14:textId="77777777" w:rsidR="00A512CD" w:rsidRPr="00626E47" w:rsidRDefault="00A512CD" w:rsidP="00AA1A00">
      <w:pPr>
        <w:autoSpaceDE w:val="0"/>
        <w:autoSpaceDN w:val="0"/>
        <w:adjustRightInd w:val="0"/>
        <w:spacing w:after="0" w:line="240" w:lineRule="auto"/>
        <w:rPr>
          <w:bCs/>
        </w:rPr>
      </w:pPr>
    </w:p>
    <w:p w14:paraId="054107F9" w14:textId="77777777" w:rsidR="00A512CD" w:rsidRDefault="00A512CD" w:rsidP="00AA1A00">
      <w:pPr>
        <w:pStyle w:val="Heading1"/>
        <w:adjustRightInd w:val="0"/>
      </w:pPr>
    </w:p>
    <w:p w14:paraId="2ADB977A" w14:textId="77777777" w:rsidR="00A512CD" w:rsidRPr="00626E47" w:rsidRDefault="00A512CD" w:rsidP="00AA1A00">
      <w:pPr>
        <w:pStyle w:val="Heading1"/>
        <w:adjustRightInd w:val="0"/>
      </w:pPr>
      <w:r w:rsidRPr="00626E47">
        <w:t>ADVERSE EFFECTS</w:t>
      </w:r>
    </w:p>
    <w:p w14:paraId="454EE9C1" w14:textId="77777777" w:rsidR="00A512CD" w:rsidRPr="00626E47" w:rsidRDefault="00A512CD" w:rsidP="00AA1A00">
      <w:pPr>
        <w:pStyle w:val="Heading2"/>
        <w:adjustRightInd w:val="0"/>
      </w:pPr>
    </w:p>
    <w:p w14:paraId="7F6A610F" w14:textId="77777777" w:rsidR="00A512CD" w:rsidRPr="005B5916" w:rsidRDefault="00A512CD" w:rsidP="00AA1A00">
      <w:pPr>
        <w:adjustRightInd w:val="0"/>
        <w:spacing w:after="0" w:line="240" w:lineRule="auto"/>
        <w:rPr>
          <w:bCs/>
        </w:rPr>
      </w:pPr>
      <w:r w:rsidRPr="005B5916">
        <w:rPr>
          <w:bCs/>
        </w:rPr>
        <w:t xml:space="preserve">The assessment of adverse reactions is based on the exposure of 176 patients with MPS IVA, ages 5 to 57 years old to 2 mg/kg </w:t>
      </w:r>
      <w:proofErr w:type="spellStart"/>
      <w:r w:rsidRPr="005B5916">
        <w:rPr>
          <w:bCs/>
        </w:rPr>
        <w:t>Vimizim</w:t>
      </w:r>
      <w:proofErr w:type="spellEnd"/>
      <w:r w:rsidRPr="005B5916">
        <w:rPr>
          <w:bCs/>
        </w:rPr>
        <w:t xml:space="preserve"> once a week (n=58, mean duration 23.6 ± 3.03 weeks), 2 mg/kg </w:t>
      </w:r>
      <w:proofErr w:type="spellStart"/>
      <w:r w:rsidRPr="005B5916">
        <w:rPr>
          <w:bCs/>
        </w:rPr>
        <w:lastRenderedPageBreak/>
        <w:t>Vimizim</w:t>
      </w:r>
      <w:proofErr w:type="spellEnd"/>
      <w:r w:rsidRPr="005B5916">
        <w:rPr>
          <w:bCs/>
        </w:rPr>
        <w:t xml:space="preserve"> once every other week (n=59, mean duration 24.0 ± 0.19 weeks), or placebo (n=59) in a randomised, double-blind, placebo-controlled trial (MOR-004).</w:t>
      </w:r>
    </w:p>
    <w:p w14:paraId="2F1A7563" w14:textId="77777777" w:rsidR="00A512CD" w:rsidRPr="00626E47" w:rsidRDefault="00A512CD" w:rsidP="00AA1A00">
      <w:pPr>
        <w:adjustRightInd w:val="0"/>
        <w:spacing w:after="0" w:line="240" w:lineRule="auto"/>
        <w:rPr>
          <w:rFonts w:ascii="Verdana" w:eastAsia="Times New Roman" w:hAnsi="Verdana" w:cs="Times New Roman"/>
          <w:sz w:val="16"/>
          <w:szCs w:val="16"/>
          <w:lang w:eastAsia="en-AU"/>
        </w:rPr>
      </w:pPr>
    </w:p>
    <w:p w14:paraId="48705A2E" w14:textId="2F053474" w:rsidR="00427265" w:rsidRDefault="00A512CD" w:rsidP="00AA1A00">
      <w:pPr>
        <w:pStyle w:val="BodyText"/>
        <w:adjustRightInd w:val="0"/>
        <w:spacing w:after="0" w:line="240" w:lineRule="auto"/>
        <w:rPr>
          <w:bCs/>
        </w:rPr>
      </w:pPr>
      <w:r w:rsidRPr="00626E47">
        <w:rPr>
          <w:bCs/>
        </w:rPr>
        <w:t>The majority of related adverse events in clinical trials were IRs</w:t>
      </w:r>
      <w:r w:rsidR="00BF3029">
        <w:rPr>
          <w:bCs/>
        </w:rPr>
        <w:t xml:space="preserve"> (</w:t>
      </w:r>
      <w:r w:rsidR="000329CF">
        <w:rPr>
          <w:bCs/>
        </w:rPr>
        <w:t>reported in 96</w:t>
      </w:r>
      <w:r w:rsidR="00BF3029">
        <w:rPr>
          <w:bCs/>
        </w:rPr>
        <w:t xml:space="preserve">% of patients treated with </w:t>
      </w:r>
      <w:proofErr w:type="spellStart"/>
      <w:r w:rsidR="00BF3029">
        <w:rPr>
          <w:bCs/>
        </w:rPr>
        <w:t>Vimizim</w:t>
      </w:r>
      <w:proofErr w:type="spellEnd"/>
      <w:r w:rsidR="00BF3029">
        <w:rPr>
          <w:bCs/>
        </w:rPr>
        <w:t>)</w:t>
      </w:r>
      <w:r w:rsidRPr="00626E47">
        <w:rPr>
          <w:bCs/>
        </w:rPr>
        <w:t xml:space="preserve">, which are defined as reactions occurring after initiation of infusion until the end of the day following the infusion. Serious IRs </w:t>
      </w:r>
      <w:proofErr w:type="gramStart"/>
      <w:r w:rsidRPr="00626E47">
        <w:rPr>
          <w:bCs/>
        </w:rPr>
        <w:t>were</w:t>
      </w:r>
      <w:proofErr w:type="gramEnd"/>
      <w:r w:rsidRPr="00626E47">
        <w:rPr>
          <w:bCs/>
        </w:rPr>
        <w:t xml:space="preserve"> observed in clinical trials and included anaphylaxis, hypersensitivity and vomiting</w:t>
      </w:r>
      <w:r>
        <w:rPr>
          <w:bCs/>
        </w:rPr>
        <w:t xml:space="preserve"> (see PRECAUTIONS, Anaphylaxis and Severe Allergic Reaction and Infusion Reactions)</w:t>
      </w:r>
      <w:r w:rsidRPr="00626E47">
        <w:rPr>
          <w:bCs/>
        </w:rPr>
        <w:t xml:space="preserve">. </w:t>
      </w:r>
      <w:r w:rsidR="00427265" w:rsidRPr="00427265">
        <w:rPr>
          <w:bCs/>
        </w:rPr>
        <w:t xml:space="preserve">Forty-four of 235 (18.7%) patients experienced hypersensitivity reactions, and 18 of 235 (7.7%) patients treated with </w:t>
      </w:r>
      <w:proofErr w:type="spellStart"/>
      <w:r w:rsidR="00427265" w:rsidRPr="00427265">
        <w:rPr>
          <w:bCs/>
        </w:rPr>
        <w:t>Vimizim</w:t>
      </w:r>
      <w:proofErr w:type="spellEnd"/>
      <w:r w:rsidR="00427265" w:rsidRPr="00427265">
        <w:rPr>
          <w:bCs/>
        </w:rPr>
        <w:t xml:space="preserve"> experienced signs and symptoms consistent with a clinical diagnosis of anaphylaxis based on </w:t>
      </w:r>
      <w:r w:rsidR="003E4165">
        <w:rPr>
          <w:bCs/>
        </w:rPr>
        <w:t xml:space="preserve">USA </w:t>
      </w:r>
      <w:r w:rsidR="00427265" w:rsidRPr="00427265">
        <w:rPr>
          <w:bCs/>
        </w:rPr>
        <w:t>National Institute of Allergy and Infectious Disease and Food Allergy and Anaphylaxis Network (NIAID/FAAN) criteria. These 18 patients experienced 26 anaphylactic reactions out of &gt;11,000 infusions (0.24%) (</w:t>
      </w:r>
      <w:proofErr w:type="gramStart"/>
      <w:r w:rsidR="00427265" w:rsidRPr="00427265">
        <w:rPr>
          <w:bCs/>
        </w:rPr>
        <w:t>see</w:t>
      </w:r>
      <w:proofErr w:type="gramEnd"/>
      <w:r w:rsidR="00427265" w:rsidRPr="00427265">
        <w:rPr>
          <w:bCs/>
        </w:rPr>
        <w:t xml:space="preserve"> PRECAUTIONS, Anaphylaxis and Severe Allergic Reaction). </w:t>
      </w:r>
    </w:p>
    <w:p w14:paraId="5B2D003C" w14:textId="77777777" w:rsidR="00427265" w:rsidRDefault="00427265" w:rsidP="00AA1A00">
      <w:pPr>
        <w:pStyle w:val="BodyText"/>
        <w:adjustRightInd w:val="0"/>
        <w:spacing w:after="0" w:line="240" w:lineRule="auto"/>
        <w:rPr>
          <w:bCs/>
        </w:rPr>
      </w:pPr>
    </w:p>
    <w:p w14:paraId="25161109" w14:textId="194084A2" w:rsidR="00A512CD" w:rsidRPr="00626E47" w:rsidRDefault="00A512CD" w:rsidP="00AA1A00">
      <w:pPr>
        <w:pStyle w:val="BodyText"/>
        <w:adjustRightInd w:val="0"/>
        <w:spacing w:after="0" w:line="240" w:lineRule="auto"/>
        <w:rPr>
          <w:iCs/>
          <w:u w:val="single"/>
        </w:rPr>
      </w:pPr>
      <w:r w:rsidRPr="00626E47">
        <w:rPr>
          <w:bCs/>
        </w:rPr>
        <w:t xml:space="preserve">The most common symptoms of IRs (occurring in ≥10% of patients treated with </w:t>
      </w:r>
      <w:proofErr w:type="spellStart"/>
      <w:r w:rsidRPr="00626E47">
        <w:rPr>
          <w:bCs/>
        </w:rPr>
        <w:t>Vimizim</w:t>
      </w:r>
      <w:proofErr w:type="spellEnd"/>
      <w:r w:rsidRPr="00626E47">
        <w:rPr>
          <w:bCs/>
        </w:rPr>
        <w:t xml:space="preserve"> and ≥5% more when compared to placebo) were headache, nausea, vomiting, pyrexia, chills and abdominal pain. IRs </w:t>
      </w:r>
      <w:proofErr w:type="gramStart"/>
      <w:r w:rsidRPr="00626E47">
        <w:rPr>
          <w:bCs/>
        </w:rPr>
        <w:t>were</w:t>
      </w:r>
      <w:proofErr w:type="gramEnd"/>
      <w:r w:rsidRPr="00626E47">
        <w:rPr>
          <w:bCs/>
        </w:rPr>
        <w:t xml:space="preserve"> generally mild or moderate, and the frequency was higher during the first 12 weeks of treatment and tended to occur less frequently with time.</w:t>
      </w:r>
    </w:p>
    <w:p w14:paraId="5A985757" w14:textId="77777777" w:rsidR="00A512CD" w:rsidRPr="00626E47" w:rsidRDefault="00A512CD" w:rsidP="00AA1A00">
      <w:pPr>
        <w:adjustRightInd w:val="0"/>
        <w:spacing w:after="0" w:line="240" w:lineRule="auto"/>
        <w:rPr>
          <w:bCs/>
          <w:iCs/>
        </w:rPr>
      </w:pPr>
    </w:p>
    <w:p w14:paraId="215B92FA" w14:textId="77777777" w:rsidR="00A512CD" w:rsidRDefault="00A512CD" w:rsidP="00AA1A00">
      <w:pPr>
        <w:pStyle w:val="BodyText"/>
        <w:adjustRightInd w:val="0"/>
        <w:spacing w:after="0" w:line="240" w:lineRule="auto"/>
        <w:contextualSpacing/>
        <w:rPr>
          <w:bCs/>
        </w:rPr>
      </w:pPr>
      <w:r w:rsidRPr="00626E47">
        <w:rPr>
          <w:bCs/>
        </w:rPr>
        <w:t xml:space="preserve">The most common adverse events reported in the pivotal trial with an incidence of ≥5% more in patients treated with </w:t>
      </w:r>
      <w:proofErr w:type="spellStart"/>
      <w:r w:rsidRPr="00626E47">
        <w:rPr>
          <w:bCs/>
        </w:rPr>
        <w:t>Vimizim</w:t>
      </w:r>
      <w:proofErr w:type="spellEnd"/>
      <w:r w:rsidRPr="00626E47">
        <w:rPr>
          <w:bCs/>
        </w:rPr>
        <w:t xml:space="preserve"> (2 mg/kg per week) than in placebo treated patients, regardless of causality, are listed in Table 3.</w:t>
      </w:r>
    </w:p>
    <w:p w14:paraId="5EC48A15" w14:textId="77777777" w:rsidR="006D722F" w:rsidRPr="00626E47" w:rsidRDefault="006D722F" w:rsidP="00AA1A00">
      <w:pPr>
        <w:pStyle w:val="BodyText"/>
        <w:adjustRightInd w:val="0"/>
        <w:spacing w:after="0" w:line="240" w:lineRule="auto"/>
        <w:contextualSpacing/>
        <w:rPr>
          <w:bCs/>
        </w:rPr>
      </w:pPr>
    </w:p>
    <w:p w14:paraId="6AD5A146" w14:textId="77777777" w:rsidR="00A512CD" w:rsidRPr="00626E47" w:rsidRDefault="00A512CD" w:rsidP="00620E0B">
      <w:pPr>
        <w:pStyle w:val="BodyText"/>
        <w:keepNext/>
        <w:spacing w:before="120"/>
        <w:rPr>
          <w:b/>
        </w:rPr>
      </w:pPr>
      <w:r w:rsidRPr="00626E47">
        <w:rPr>
          <w:b/>
        </w:rPr>
        <w:t xml:space="preserve">Table 3: Adverse events with incidence ≥ 5% more in patients treated with </w:t>
      </w:r>
      <w:proofErr w:type="spellStart"/>
      <w:r w:rsidRPr="00626E47">
        <w:rPr>
          <w:b/>
        </w:rPr>
        <w:t>Vimizim</w:t>
      </w:r>
      <w:proofErr w:type="spellEnd"/>
      <w:r w:rsidRPr="00626E47">
        <w:rPr>
          <w:b/>
        </w:rPr>
        <w:t xml:space="preserve"> weekly than in placebo treated patients</w:t>
      </w:r>
    </w:p>
    <w:tbl>
      <w:tblP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23"/>
        <w:gridCol w:w="2142"/>
        <w:gridCol w:w="2127"/>
      </w:tblGrid>
      <w:tr w:rsidR="00A512CD" w:rsidRPr="00626E47" w14:paraId="20766651" w14:textId="77777777" w:rsidTr="00240A65">
        <w:trPr>
          <w:cantSplit/>
          <w:trHeight w:val="532"/>
        </w:trPr>
        <w:tc>
          <w:tcPr>
            <w:tcW w:w="3523" w:type="dxa"/>
            <w:tcMar>
              <w:top w:w="12" w:type="dxa"/>
              <w:left w:w="12" w:type="dxa"/>
              <w:bottom w:w="0" w:type="dxa"/>
              <w:right w:w="12" w:type="dxa"/>
            </w:tcMar>
            <w:vAlign w:val="bottom"/>
          </w:tcPr>
          <w:p w14:paraId="278C0DE9" w14:textId="77777777" w:rsidR="00A512CD" w:rsidRPr="00626E47" w:rsidRDefault="00A512CD" w:rsidP="00620E0B">
            <w:pPr>
              <w:pStyle w:val="TableCellCenter"/>
              <w:keepNext/>
              <w:spacing w:after="0"/>
              <w:rPr>
                <w:rFonts w:asciiTheme="minorHAnsi" w:hAnsiTheme="minorHAnsi"/>
                <w:b/>
                <w:bCs/>
                <w:sz w:val="20"/>
                <w:szCs w:val="20"/>
                <w:lang w:val="sv-SE"/>
              </w:rPr>
            </w:pPr>
            <w:r w:rsidRPr="00626E47">
              <w:rPr>
                <w:rFonts w:asciiTheme="minorHAnsi" w:hAnsiTheme="minorHAnsi"/>
                <w:b/>
                <w:bCs/>
                <w:sz w:val="20"/>
                <w:szCs w:val="20"/>
                <w:lang w:val="sv-SE"/>
              </w:rPr>
              <w:t>MedDRA</w:t>
            </w:r>
          </w:p>
          <w:p w14:paraId="42FE588B" w14:textId="77777777" w:rsidR="00A512CD" w:rsidRPr="00626E47" w:rsidRDefault="00A512CD" w:rsidP="00620E0B">
            <w:pPr>
              <w:pStyle w:val="TableCellCenter"/>
              <w:keepNext/>
              <w:spacing w:after="0"/>
              <w:rPr>
                <w:rFonts w:asciiTheme="minorHAnsi" w:eastAsia="Arial Unicode MS" w:hAnsiTheme="minorHAnsi"/>
                <w:b/>
                <w:bCs/>
                <w:sz w:val="20"/>
                <w:szCs w:val="20"/>
                <w:lang w:val="sv-SE"/>
              </w:rPr>
            </w:pPr>
            <w:r w:rsidRPr="00626E47">
              <w:rPr>
                <w:rFonts w:asciiTheme="minorHAnsi" w:hAnsiTheme="minorHAnsi"/>
                <w:b/>
                <w:bCs/>
                <w:sz w:val="20"/>
                <w:szCs w:val="20"/>
                <w:lang w:val="sv-SE"/>
              </w:rPr>
              <w:t>System Organ Class/Preferred Term n (%)</w:t>
            </w:r>
          </w:p>
        </w:tc>
        <w:tc>
          <w:tcPr>
            <w:tcW w:w="2142" w:type="dxa"/>
            <w:tcMar>
              <w:top w:w="12" w:type="dxa"/>
              <w:left w:w="12" w:type="dxa"/>
              <w:bottom w:w="0" w:type="dxa"/>
              <w:right w:w="12" w:type="dxa"/>
            </w:tcMar>
            <w:vAlign w:val="bottom"/>
          </w:tcPr>
          <w:p w14:paraId="3297AF7A" w14:textId="77777777" w:rsidR="00A512CD" w:rsidRPr="00626E47" w:rsidRDefault="00A512CD" w:rsidP="00620E0B">
            <w:pPr>
              <w:pStyle w:val="TableCellCenter"/>
              <w:keepNext/>
              <w:spacing w:after="0"/>
              <w:rPr>
                <w:rFonts w:asciiTheme="minorHAnsi" w:hAnsiTheme="minorHAnsi"/>
                <w:b/>
                <w:bCs/>
                <w:sz w:val="20"/>
                <w:szCs w:val="20"/>
                <w:lang w:val="sv-SE"/>
              </w:rPr>
            </w:pPr>
            <w:r w:rsidRPr="00626E47">
              <w:rPr>
                <w:rFonts w:asciiTheme="minorHAnsi" w:hAnsiTheme="minorHAnsi"/>
                <w:b/>
                <w:bCs/>
                <w:sz w:val="20"/>
                <w:szCs w:val="20"/>
                <w:lang w:val="sv-SE"/>
              </w:rPr>
              <w:t>Placebo</w:t>
            </w:r>
          </w:p>
          <w:p w14:paraId="0033B324" w14:textId="77777777" w:rsidR="00A512CD" w:rsidRPr="00626E47" w:rsidRDefault="00A512CD" w:rsidP="00620E0B">
            <w:pPr>
              <w:pStyle w:val="TableCellCenter"/>
              <w:keepNext/>
              <w:spacing w:after="0"/>
              <w:rPr>
                <w:rFonts w:asciiTheme="minorHAnsi" w:hAnsiTheme="minorHAnsi"/>
                <w:b/>
                <w:bCs/>
                <w:sz w:val="20"/>
                <w:szCs w:val="20"/>
                <w:lang w:val="sv-SE"/>
              </w:rPr>
            </w:pPr>
            <w:r w:rsidRPr="00626E47">
              <w:rPr>
                <w:rFonts w:asciiTheme="minorHAnsi" w:hAnsiTheme="minorHAnsi"/>
                <w:b/>
                <w:bCs/>
                <w:sz w:val="20"/>
                <w:szCs w:val="20"/>
                <w:lang w:val="sv-SE"/>
              </w:rPr>
              <w:t>N= 59 (%)</w:t>
            </w:r>
          </w:p>
        </w:tc>
        <w:tc>
          <w:tcPr>
            <w:tcW w:w="2127" w:type="dxa"/>
            <w:vAlign w:val="bottom"/>
          </w:tcPr>
          <w:p w14:paraId="5A6C1B0F" w14:textId="77777777" w:rsidR="00A512CD" w:rsidRPr="00626E47" w:rsidRDefault="00A512CD" w:rsidP="00620E0B">
            <w:pPr>
              <w:pStyle w:val="TableCellCenter"/>
              <w:keepNext/>
              <w:spacing w:after="0"/>
              <w:rPr>
                <w:rFonts w:asciiTheme="minorHAnsi" w:hAnsiTheme="minorHAnsi"/>
                <w:b/>
                <w:bCs/>
                <w:sz w:val="20"/>
                <w:szCs w:val="20"/>
                <w:lang w:val="sv-SE"/>
              </w:rPr>
            </w:pPr>
            <w:r w:rsidRPr="00626E47">
              <w:rPr>
                <w:rFonts w:asciiTheme="minorHAnsi" w:hAnsiTheme="minorHAnsi"/>
                <w:b/>
                <w:bCs/>
                <w:sz w:val="20"/>
                <w:szCs w:val="20"/>
                <w:lang w:val="sv-SE"/>
              </w:rPr>
              <w:t>Vimizim 2 mg/kg/week</w:t>
            </w:r>
          </w:p>
          <w:p w14:paraId="0056E406" w14:textId="77777777" w:rsidR="00A512CD" w:rsidRPr="00626E47" w:rsidRDefault="00A512CD" w:rsidP="00620E0B">
            <w:pPr>
              <w:pStyle w:val="TableCellCenter"/>
              <w:keepNext/>
              <w:spacing w:after="0"/>
              <w:rPr>
                <w:rFonts w:asciiTheme="minorHAnsi" w:eastAsia="Arial Unicode MS" w:hAnsiTheme="minorHAnsi"/>
                <w:b/>
                <w:bCs/>
                <w:sz w:val="20"/>
                <w:szCs w:val="20"/>
                <w:lang w:val="en-GB"/>
              </w:rPr>
            </w:pPr>
            <w:r w:rsidRPr="00626E47">
              <w:rPr>
                <w:rFonts w:asciiTheme="minorHAnsi" w:hAnsiTheme="minorHAnsi"/>
                <w:b/>
                <w:bCs/>
                <w:sz w:val="20"/>
                <w:szCs w:val="20"/>
                <w:lang w:val="sv-SE"/>
              </w:rPr>
              <w:t>N= 58 (%)</w:t>
            </w:r>
          </w:p>
        </w:tc>
      </w:tr>
      <w:tr w:rsidR="00A512CD" w:rsidRPr="00626E47" w14:paraId="3B624592" w14:textId="77777777" w:rsidTr="00240A65">
        <w:trPr>
          <w:cantSplit/>
          <w:trHeight w:val="288"/>
        </w:trPr>
        <w:tc>
          <w:tcPr>
            <w:tcW w:w="3523" w:type="dxa"/>
            <w:tcMar>
              <w:top w:w="12" w:type="dxa"/>
              <w:left w:w="12" w:type="dxa"/>
              <w:bottom w:w="0" w:type="dxa"/>
              <w:right w:w="12" w:type="dxa"/>
            </w:tcMar>
          </w:tcPr>
          <w:p w14:paraId="793FE460" w14:textId="77777777" w:rsidR="00A512CD" w:rsidRPr="00626E47" w:rsidRDefault="00A512CD" w:rsidP="00620E0B">
            <w:pPr>
              <w:pStyle w:val="TableCellCenter"/>
              <w:keepNext/>
              <w:spacing w:after="0"/>
              <w:jc w:val="left"/>
              <w:rPr>
                <w:rFonts w:asciiTheme="minorHAnsi" w:hAnsiTheme="minorHAnsi"/>
                <w:i/>
                <w:sz w:val="20"/>
                <w:szCs w:val="20"/>
                <w:lang w:val="en-GB"/>
              </w:rPr>
            </w:pPr>
            <w:r w:rsidRPr="00626E47">
              <w:rPr>
                <w:rFonts w:asciiTheme="minorHAnsi" w:hAnsiTheme="minorHAnsi"/>
                <w:i/>
                <w:sz w:val="20"/>
                <w:szCs w:val="20"/>
                <w:lang w:val="en-GB"/>
              </w:rPr>
              <w:t>Infections and infestations</w:t>
            </w:r>
          </w:p>
        </w:tc>
        <w:tc>
          <w:tcPr>
            <w:tcW w:w="2142" w:type="dxa"/>
            <w:tcMar>
              <w:top w:w="12" w:type="dxa"/>
              <w:left w:w="12" w:type="dxa"/>
              <w:bottom w:w="0" w:type="dxa"/>
              <w:right w:w="12" w:type="dxa"/>
            </w:tcMar>
          </w:tcPr>
          <w:p w14:paraId="232932E2" w14:textId="77777777" w:rsidR="00A512CD" w:rsidRPr="00626E47" w:rsidRDefault="00A512CD" w:rsidP="00620E0B">
            <w:pPr>
              <w:pStyle w:val="TableCellCenter"/>
              <w:keepNext/>
              <w:spacing w:after="0"/>
              <w:rPr>
                <w:rFonts w:asciiTheme="minorHAnsi" w:hAnsiTheme="minorHAnsi"/>
                <w:sz w:val="20"/>
                <w:szCs w:val="20"/>
                <w:vertAlign w:val="superscript"/>
                <w:lang w:val="en-GB"/>
              </w:rPr>
            </w:pPr>
          </w:p>
        </w:tc>
        <w:tc>
          <w:tcPr>
            <w:tcW w:w="2127" w:type="dxa"/>
          </w:tcPr>
          <w:p w14:paraId="7E91D340" w14:textId="77777777" w:rsidR="00A512CD" w:rsidRPr="00626E47" w:rsidRDefault="00A512CD" w:rsidP="00620E0B">
            <w:pPr>
              <w:pStyle w:val="TableCellCenter"/>
              <w:keepNext/>
              <w:spacing w:after="0"/>
              <w:rPr>
                <w:rFonts w:asciiTheme="minorHAnsi" w:hAnsiTheme="minorHAnsi"/>
                <w:sz w:val="20"/>
                <w:szCs w:val="20"/>
                <w:lang w:val="en-GB"/>
              </w:rPr>
            </w:pPr>
          </w:p>
        </w:tc>
      </w:tr>
      <w:tr w:rsidR="00A512CD" w:rsidRPr="00626E47" w14:paraId="077283DD" w14:textId="77777777" w:rsidTr="00240A65">
        <w:trPr>
          <w:cantSplit/>
          <w:trHeight w:val="284"/>
        </w:trPr>
        <w:tc>
          <w:tcPr>
            <w:tcW w:w="3523" w:type="dxa"/>
            <w:tcMar>
              <w:top w:w="12" w:type="dxa"/>
              <w:left w:w="12" w:type="dxa"/>
              <w:bottom w:w="0" w:type="dxa"/>
              <w:right w:w="12" w:type="dxa"/>
            </w:tcMar>
          </w:tcPr>
          <w:p w14:paraId="4413CDAD" w14:textId="77777777" w:rsidR="00A512CD" w:rsidRPr="00626E47" w:rsidRDefault="00A512CD" w:rsidP="00620E0B">
            <w:pPr>
              <w:pStyle w:val="TableCellCenter"/>
              <w:keepNext/>
              <w:spacing w:after="0"/>
              <w:ind w:left="267"/>
              <w:jc w:val="left"/>
              <w:rPr>
                <w:rFonts w:asciiTheme="minorHAnsi" w:hAnsiTheme="minorHAnsi"/>
                <w:sz w:val="20"/>
                <w:szCs w:val="20"/>
                <w:lang w:val="en-GB"/>
              </w:rPr>
            </w:pPr>
            <w:r w:rsidRPr="00626E47">
              <w:rPr>
                <w:rFonts w:asciiTheme="minorHAnsi" w:hAnsiTheme="minorHAnsi"/>
                <w:sz w:val="20"/>
                <w:szCs w:val="20"/>
                <w:lang w:val="en-GB"/>
              </w:rPr>
              <w:t>Gastroenteritis</w:t>
            </w:r>
          </w:p>
        </w:tc>
        <w:tc>
          <w:tcPr>
            <w:tcW w:w="2142" w:type="dxa"/>
            <w:tcMar>
              <w:top w:w="12" w:type="dxa"/>
              <w:left w:w="12" w:type="dxa"/>
              <w:bottom w:w="0" w:type="dxa"/>
              <w:right w:w="12" w:type="dxa"/>
            </w:tcMar>
          </w:tcPr>
          <w:p w14:paraId="46C6454E" w14:textId="77777777" w:rsidR="00A512CD" w:rsidRPr="00626E47" w:rsidRDefault="00A512CD" w:rsidP="00620E0B">
            <w:pPr>
              <w:pStyle w:val="TableCellCenter"/>
              <w:keepNext/>
              <w:spacing w:after="0"/>
              <w:rPr>
                <w:rFonts w:asciiTheme="minorHAnsi" w:hAnsiTheme="minorHAnsi"/>
                <w:sz w:val="20"/>
                <w:szCs w:val="20"/>
                <w:lang w:val="en-GB"/>
              </w:rPr>
            </w:pPr>
            <w:r w:rsidRPr="00626E47">
              <w:rPr>
                <w:rFonts w:asciiTheme="minorHAnsi" w:hAnsiTheme="minorHAnsi"/>
                <w:sz w:val="20"/>
                <w:szCs w:val="20"/>
                <w:lang w:val="en-GB"/>
              </w:rPr>
              <w:t>4 (6.8%)</w:t>
            </w:r>
          </w:p>
        </w:tc>
        <w:tc>
          <w:tcPr>
            <w:tcW w:w="2127" w:type="dxa"/>
          </w:tcPr>
          <w:p w14:paraId="3F5DAAE9" w14:textId="77777777" w:rsidR="00A512CD" w:rsidRPr="00626E47" w:rsidRDefault="00A512CD" w:rsidP="00620E0B">
            <w:pPr>
              <w:pStyle w:val="TableCellCenter"/>
              <w:keepNext/>
              <w:tabs>
                <w:tab w:val="left" w:pos="453"/>
                <w:tab w:val="center" w:pos="1067"/>
              </w:tabs>
              <w:spacing w:after="0"/>
              <w:rPr>
                <w:rFonts w:asciiTheme="minorHAnsi" w:hAnsiTheme="minorHAnsi"/>
                <w:sz w:val="20"/>
                <w:szCs w:val="20"/>
                <w:lang w:val="en-GB"/>
              </w:rPr>
            </w:pPr>
            <w:r w:rsidRPr="00626E47">
              <w:rPr>
                <w:rFonts w:asciiTheme="minorHAnsi" w:hAnsiTheme="minorHAnsi"/>
                <w:sz w:val="20"/>
                <w:szCs w:val="20"/>
                <w:lang w:val="en-GB"/>
              </w:rPr>
              <w:t>7 (12.1%)</w:t>
            </w:r>
          </w:p>
        </w:tc>
      </w:tr>
      <w:tr w:rsidR="00A512CD" w:rsidRPr="00626E47" w14:paraId="0E728C18" w14:textId="77777777" w:rsidTr="00240A65">
        <w:trPr>
          <w:cantSplit/>
          <w:trHeight w:val="284"/>
        </w:trPr>
        <w:tc>
          <w:tcPr>
            <w:tcW w:w="3523" w:type="dxa"/>
            <w:tcMar>
              <w:top w:w="12" w:type="dxa"/>
              <w:left w:w="12" w:type="dxa"/>
              <w:bottom w:w="0" w:type="dxa"/>
              <w:right w:w="12" w:type="dxa"/>
            </w:tcMar>
          </w:tcPr>
          <w:p w14:paraId="4F39793F" w14:textId="77777777" w:rsidR="00A512CD" w:rsidRPr="00626E47" w:rsidRDefault="00A512CD" w:rsidP="00620E0B">
            <w:pPr>
              <w:pStyle w:val="TableCellCenter"/>
              <w:keepNext/>
              <w:spacing w:after="0"/>
              <w:ind w:left="267"/>
              <w:jc w:val="left"/>
              <w:rPr>
                <w:rFonts w:asciiTheme="minorHAnsi" w:hAnsiTheme="minorHAnsi"/>
                <w:sz w:val="20"/>
                <w:szCs w:val="20"/>
                <w:lang w:val="en-GB"/>
              </w:rPr>
            </w:pPr>
            <w:r w:rsidRPr="00626E47">
              <w:rPr>
                <w:rFonts w:asciiTheme="minorHAnsi" w:hAnsiTheme="minorHAnsi"/>
                <w:sz w:val="20"/>
                <w:szCs w:val="20"/>
                <w:lang w:val="en-GB"/>
              </w:rPr>
              <w:t>Otitis media</w:t>
            </w:r>
          </w:p>
        </w:tc>
        <w:tc>
          <w:tcPr>
            <w:tcW w:w="2142" w:type="dxa"/>
            <w:tcMar>
              <w:top w:w="12" w:type="dxa"/>
              <w:left w:w="12" w:type="dxa"/>
              <w:bottom w:w="0" w:type="dxa"/>
              <w:right w:w="12" w:type="dxa"/>
            </w:tcMar>
          </w:tcPr>
          <w:p w14:paraId="6AED360F" w14:textId="77777777" w:rsidR="00A512CD" w:rsidRPr="00626E47" w:rsidRDefault="00A512CD" w:rsidP="00620E0B">
            <w:pPr>
              <w:pStyle w:val="TableCellCenter"/>
              <w:keepNext/>
              <w:spacing w:after="0"/>
              <w:rPr>
                <w:rFonts w:asciiTheme="minorHAnsi" w:hAnsiTheme="minorHAnsi"/>
                <w:sz w:val="20"/>
                <w:szCs w:val="20"/>
                <w:lang w:val="en-GB"/>
              </w:rPr>
            </w:pPr>
            <w:r w:rsidRPr="00626E47">
              <w:rPr>
                <w:rFonts w:asciiTheme="minorHAnsi" w:hAnsiTheme="minorHAnsi"/>
                <w:sz w:val="20"/>
                <w:szCs w:val="20"/>
                <w:lang w:val="en-GB"/>
              </w:rPr>
              <w:t>4 (6.8%)</w:t>
            </w:r>
          </w:p>
        </w:tc>
        <w:tc>
          <w:tcPr>
            <w:tcW w:w="2127" w:type="dxa"/>
          </w:tcPr>
          <w:p w14:paraId="293FC4ED" w14:textId="77777777" w:rsidR="00A512CD" w:rsidRPr="00626E47" w:rsidRDefault="00A512CD" w:rsidP="00620E0B">
            <w:pPr>
              <w:pStyle w:val="TableCellCenter"/>
              <w:keepNext/>
              <w:tabs>
                <w:tab w:val="left" w:pos="453"/>
                <w:tab w:val="center" w:pos="1067"/>
              </w:tabs>
              <w:spacing w:after="0"/>
              <w:rPr>
                <w:rFonts w:asciiTheme="minorHAnsi" w:hAnsiTheme="minorHAnsi"/>
                <w:sz w:val="20"/>
                <w:szCs w:val="20"/>
                <w:lang w:val="en-GB"/>
              </w:rPr>
            </w:pPr>
            <w:r w:rsidRPr="00626E47">
              <w:rPr>
                <w:rFonts w:asciiTheme="minorHAnsi" w:hAnsiTheme="minorHAnsi"/>
                <w:sz w:val="20"/>
                <w:szCs w:val="20"/>
                <w:lang w:val="en-GB"/>
              </w:rPr>
              <w:t>9 (15.5%)</w:t>
            </w:r>
          </w:p>
        </w:tc>
      </w:tr>
      <w:tr w:rsidR="00A512CD" w:rsidRPr="00626E47" w14:paraId="359364DB" w14:textId="77777777" w:rsidTr="00240A65">
        <w:trPr>
          <w:cantSplit/>
          <w:trHeight w:val="284"/>
        </w:trPr>
        <w:tc>
          <w:tcPr>
            <w:tcW w:w="3523" w:type="dxa"/>
            <w:tcMar>
              <w:top w:w="12" w:type="dxa"/>
              <w:left w:w="12" w:type="dxa"/>
              <w:bottom w:w="0" w:type="dxa"/>
              <w:right w:w="12" w:type="dxa"/>
            </w:tcMar>
          </w:tcPr>
          <w:p w14:paraId="5B753FF2" w14:textId="77777777" w:rsidR="00A512CD" w:rsidRPr="00626E47" w:rsidRDefault="00A512CD" w:rsidP="00620E0B">
            <w:pPr>
              <w:pStyle w:val="TableCellCenter"/>
              <w:keepNext/>
              <w:spacing w:after="0"/>
              <w:ind w:left="267"/>
              <w:jc w:val="left"/>
              <w:rPr>
                <w:rFonts w:asciiTheme="minorHAnsi" w:hAnsiTheme="minorHAnsi"/>
                <w:sz w:val="20"/>
                <w:szCs w:val="20"/>
                <w:lang w:val="en-GB"/>
              </w:rPr>
            </w:pPr>
            <w:r w:rsidRPr="00626E47">
              <w:rPr>
                <w:rFonts w:asciiTheme="minorHAnsi" w:hAnsiTheme="minorHAnsi"/>
                <w:sz w:val="20"/>
                <w:szCs w:val="20"/>
                <w:lang w:val="en-GB"/>
              </w:rPr>
              <w:t>Ear infection</w:t>
            </w:r>
          </w:p>
        </w:tc>
        <w:tc>
          <w:tcPr>
            <w:tcW w:w="2142" w:type="dxa"/>
            <w:tcMar>
              <w:top w:w="12" w:type="dxa"/>
              <w:left w:w="12" w:type="dxa"/>
              <w:bottom w:w="0" w:type="dxa"/>
              <w:right w:w="12" w:type="dxa"/>
            </w:tcMar>
          </w:tcPr>
          <w:p w14:paraId="3C230ED7" w14:textId="77777777" w:rsidR="00A512CD" w:rsidRPr="00626E47" w:rsidRDefault="00A512CD" w:rsidP="00620E0B">
            <w:pPr>
              <w:pStyle w:val="TableCellCenter"/>
              <w:keepNext/>
              <w:spacing w:after="0"/>
              <w:rPr>
                <w:rFonts w:asciiTheme="minorHAnsi" w:hAnsiTheme="minorHAnsi"/>
                <w:sz w:val="20"/>
                <w:szCs w:val="20"/>
                <w:lang w:val="en-GB"/>
              </w:rPr>
            </w:pPr>
            <w:r w:rsidRPr="00626E47">
              <w:rPr>
                <w:rFonts w:asciiTheme="minorHAnsi" w:hAnsiTheme="minorHAnsi"/>
                <w:sz w:val="20"/>
                <w:szCs w:val="20"/>
                <w:lang w:val="en-GB"/>
              </w:rPr>
              <w:t>1 (1.7%)</w:t>
            </w:r>
          </w:p>
        </w:tc>
        <w:tc>
          <w:tcPr>
            <w:tcW w:w="2127" w:type="dxa"/>
          </w:tcPr>
          <w:p w14:paraId="27FD2579" w14:textId="77777777" w:rsidR="00A512CD" w:rsidRPr="00626E47" w:rsidRDefault="00A512CD" w:rsidP="00620E0B">
            <w:pPr>
              <w:pStyle w:val="TableCellCenter"/>
              <w:keepNext/>
              <w:tabs>
                <w:tab w:val="left" w:pos="453"/>
                <w:tab w:val="center" w:pos="1067"/>
              </w:tabs>
              <w:spacing w:after="0"/>
              <w:rPr>
                <w:rFonts w:asciiTheme="minorHAnsi" w:hAnsiTheme="minorHAnsi"/>
                <w:sz w:val="20"/>
                <w:szCs w:val="20"/>
                <w:lang w:val="en-GB"/>
              </w:rPr>
            </w:pPr>
            <w:r w:rsidRPr="00626E47">
              <w:rPr>
                <w:rFonts w:asciiTheme="minorHAnsi" w:hAnsiTheme="minorHAnsi"/>
                <w:sz w:val="20"/>
                <w:szCs w:val="20"/>
                <w:lang w:val="en-GB"/>
              </w:rPr>
              <w:t>5 (8.6%)</w:t>
            </w:r>
          </w:p>
        </w:tc>
      </w:tr>
      <w:tr w:rsidR="00A512CD" w:rsidRPr="00626E47" w14:paraId="0F5FE801" w14:textId="77777777" w:rsidTr="00240A65">
        <w:trPr>
          <w:cantSplit/>
          <w:trHeight w:val="288"/>
        </w:trPr>
        <w:tc>
          <w:tcPr>
            <w:tcW w:w="3523" w:type="dxa"/>
            <w:tcMar>
              <w:top w:w="12" w:type="dxa"/>
              <w:left w:w="12" w:type="dxa"/>
              <w:bottom w:w="0" w:type="dxa"/>
              <w:right w:w="12" w:type="dxa"/>
            </w:tcMar>
          </w:tcPr>
          <w:p w14:paraId="7290ED7D" w14:textId="77777777" w:rsidR="00A512CD" w:rsidRPr="00626E47" w:rsidRDefault="00A512CD" w:rsidP="00620E0B">
            <w:pPr>
              <w:pStyle w:val="TableCellCenter"/>
              <w:keepNext/>
              <w:spacing w:after="0"/>
              <w:jc w:val="left"/>
              <w:rPr>
                <w:rFonts w:asciiTheme="minorHAnsi" w:hAnsiTheme="minorHAnsi"/>
                <w:i/>
                <w:sz w:val="20"/>
                <w:szCs w:val="20"/>
                <w:lang w:val="en-GB"/>
              </w:rPr>
            </w:pPr>
            <w:r w:rsidRPr="00626E47">
              <w:rPr>
                <w:rFonts w:asciiTheme="minorHAnsi" w:hAnsiTheme="minorHAnsi"/>
                <w:i/>
                <w:sz w:val="20"/>
                <w:szCs w:val="20"/>
                <w:lang w:val="en-GB"/>
              </w:rPr>
              <w:t>Gastrointestinal disorders</w:t>
            </w:r>
          </w:p>
        </w:tc>
        <w:tc>
          <w:tcPr>
            <w:tcW w:w="2142" w:type="dxa"/>
            <w:tcMar>
              <w:top w:w="12" w:type="dxa"/>
              <w:left w:w="12" w:type="dxa"/>
              <w:bottom w:w="0" w:type="dxa"/>
              <w:right w:w="12" w:type="dxa"/>
            </w:tcMar>
          </w:tcPr>
          <w:p w14:paraId="3CF3BCA3" w14:textId="77777777" w:rsidR="00A512CD" w:rsidRPr="00626E47" w:rsidRDefault="00A512CD" w:rsidP="00620E0B">
            <w:pPr>
              <w:pStyle w:val="TableCellCenter"/>
              <w:keepNext/>
              <w:spacing w:after="0"/>
              <w:rPr>
                <w:rFonts w:asciiTheme="minorHAnsi" w:hAnsiTheme="minorHAnsi"/>
                <w:sz w:val="20"/>
                <w:szCs w:val="20"/>
                <w:vertAlign w:val="superscript"/>
                <w:lang w:val="en-GB"/>
              </w:rPr>
            </w:pPr>
          </w:p>
        </w:tc>
        <w:tc>
          <w:tcPr>
            <w:tcW w:w="2127" w:type="dxa"/>
          </w:tcPr>
          <w:p w14:paraId="6D98862A" w14:textId="77777777" w:rsidR="00A512CD" w:rsidRPr="00626E47" w:rsidRDefault="00A512CD" w:rsidP="00620E0B">
            <w:pPr>
              <w:pStyle w:val="TableCellCenter"/>
              <w:keepNext/>
              <w:spacing w:after="0"/>
              <w:rPr>
                <w:rFonts w:asciiTheme="minorHAnsi" w:hAnsiTheme="minorHAnsi"/>
                <w:sz w:val="20"/>
                <w:szCs w:val="20"/>
                <w:lang w:val="en-GB"/>
              </w:rPr>
            </w:pPr>
          </w:p>
        </w:tc>
      </w:tr>
      <w:tr w:rsidR="00A512CD" w:rsidRPr="00626E47" w14:paraId="4307CD34" w14:textId="77777777" w:rsidTr="00240A65">
        <w:trPr>
          <w:cantSplit/>
          <w:trHeight w:val="284"/>
        </w:trPr>
        <w:tc>
          <w:tcPr>
            <w:tcW w:w="3523" w:type="dxa"/>
            <w:tcMar>
              <w:top w:w="12" w:type="dxa"/>
              <w:left w:w="12" w:type="dxa"/>
              <w:bottom w:w="0" w:type="dxa"/>
              <w:right w:w="12" w:type="dxa"/>
            </w:tcMar>
          </w:tcPr>
          <w:p w14:paraId="6D5433D2" w14:textId="77777777" w:rsidR="00A512CD" w:rsidRPr="00626E47" w:rsidRDefault="00A512CD" w:rsidP="00620E0B">
            <w:pPr>
              <w:pStyle w:val="TableCellCenter"/>
              <w:keepNext/>
              <w:spacing w:after="0"/>
              <w:ind w:left="267"/>
              <w:jc w:val="left"/>
              <w:rPr>
                <w:rFonts w:asciiTheme="minorHAnsi" w:hAnsiTheme="minorHAnsi"/>
                <w:sz w:val="20"/>
                <w:szCs w:val="20"/>
                <w:lang w:val="en-GB"/>
              </w:rPr>
            </w:pPr>
            <w:r w:rsidRPr="00626E47">
              <w:rPr>
                <w:rFonts w:asciiTheme="minorHAnsi" w:hAnsiTheme="minorHAnsi"/>
                <w:sz w:val="20"/>
                <w:szCs w:val="20"/>
                <w:lang w:val="en-GB"/>
              </w:rPr>
              <w:t>Vomiting</w:t>
            </w:r>
            <w:r w:rsidRPr="00B12026">
              <w:rPr>
                <w:rFonts w:ascii="Arial" w:hAnsi="Arial" w:cs="Arial"/>
                <w:sz w:val="20"/>
                <w:szCs w:val="20"/>
                <w:vertAlign w:val="superscript"/>
                <w:lang w:val="en-GB"/>
              </w:rPr>
              <w:t>#</w:t>
            </w:r>
          </w:p>
        </w:tc>
        <w:tc>
          <w:tcPr>
            <w:tcW w:w="2142" w:type="dxa"/>
            <w:tcMar>
              <w:top w:w="12" w:type="dxa"/>
              <w:left w:w="12" w:type="dxa"/>
              <w:bottom w:w="0" w:type="dxa"/>
              <w:right w:w="12" w:type="dxa"/>
            </w:tcMar>
          </w:tcPr>
          <w:p w14:paraId="5254E7BD" w14:textId="77777777" w:rsidR="00A512CD" w:rsidRPr="00626E47" w:rsidRDefault="00A512CD" w:rsidP="00620E0B">
            <w:pPr>
              <w:pStyle w:val="TableCellCenter"/>
              <w:keepNext/>
              <w:spacing w:after="0"/>
              <w:rPr>
                <w:rFonts w:asciiTheme="minorHAnsi" w:hAnsiTheme="minorHAnsi"/>
                <w:sz w:val="20"/>
                <w:szCs w:val="20"/>
                <w:lang w:val="en-GB"/>
              </w:rPr>
            </w:pPr>
            <w:r w:rsidRPr="00626E47">
              <w:rPr>
                <w:rFonts w:asciiTheme="minorHAnsi" w:hAnsiTheme="minorHAnsi"/>
                <w:sz w:val="20"/>
                <w:szCs w:val="20"/>
                <w:lang w:val="en-GB"/>
              </w:rPr>
              <w:t>21 (35.6%)</w:t>
            </w:r>
          </w:p>
        </w:tc>
        <w:tc>
          <w:tcPr>
            <w:tcW w:w="2127" w:type="dxa"/>
          </w:tcPr>
          <w:p w14:paraId="1E4B1F98" w14:textId="77777777" w:rsidR="00A512CD" w:rsidRPr="00626E47" w:rsidRDefault="00A512CD" w:rsidP="00620E0B">
            <w:pPr>
              <w:pStyle w:val="TableCellCenter"/>
              <w:keepNext/>
              <w:tabs>
                <w:tab w:val="left" w:pos="453"/>
                <w:tab w:val="center" w:pos="1067"/>
              </w:tabs>
              <w:spacing w:after="0"/>
              <w:rPr>
                <w:rFonts w:asciiTheme="minorHAnsi" w:hAnsiTheme="minorHAnsi"/>
                <w:sz w:val="20"/>
                <w:szCs w:val="20"/>
                <w:lang w:val="en-GB"/>
              </w:rPr>
            </w:pPr>
            <w:r w:rsidRPr="00626E47">
              <w:rPr>
                <w:rFonts w:asciiTheme="minorHAnsi" w:hAnsiTheme="minorHAnsi"/>
                <w:sz w:val="20"/>
                <w:szCs w:val="20"/>
                <w:lang w:val="en-GB"/>
              </w:rPr>
              <w:t>26 (44.8%)</w:t>
            </w:r>
          </w:p>
        </w:tc>
      </w:tr>
      <w:tr w:rsidR="00A512CD" w:rsidRPr="00626E47" w14:paraId="1246F067" w14:textId="77777777" w:rsidTr="00240A65">
        <w:trPr>
          <w:cantSplit/>
          <w:trHeight w:val="284"/>
        </w:trPr>
        <w:tc>
          <w:tcPr>
            <w:tcW w:w="3523" w:type="dxa"/>
            <w:tcMar>
              <w:top w:w="12" w:type="dxa"/>
              <w:left w:w="12" w:type="dxa"/>
              <w:bottom w:w="0" w:type="dxa"/>
              <w:right w:w="12" w:type="dxa"/>
            </w:tcMar>
          </w:tcPr>
          <w:p w14:paraId="1D582C91" w14:textId="77777777" w:rsidR="00A512CD" w:rsidRPr="00626E47" w:rsidRDefault="00A512CD" w:rsidP="00620E0B">
            <w:pPr>
              <w:pStyle w:val="TableCellCenter"/>
              <w:keepNext/>
              <w:spacing w:after="0"/>
              <w:ind w:left="267"/>
              <w:jc w:val="left"/>
              <w:rPr>
                <w:rFonts w:asciiTheme="minorHAnsi" w:hAnsiTheme="minorHAnsi"/>
                <w:sz w:val="20"/>
                <w:szCs w:val="20"/>
                <w:lang w:val="en-GB"/>
              </w:rPr>
            </w:pPr>
            <w:r w:rsidRPr="00626E47">
              <w:rPr>
                <w:rFonts w:asciiTheme="minorHAnsi" w:hAnsiTheme="minorHAnsi"/>
                <w:sz w:val="20"/>
                <w:szCs w:val="20"/>
                <w:lang w:val="en-GB"/>
              </w:rPr>
              <w:t>Nausea</w:t>
            </w:r>
            <w:r w:rsidRPr="00B12026">
              <w:rPr>
                <w:rFonts w:ascii="Arial" w:hAnsi="Arial" w:cs="Arial"/>
                <w:sz w:val="20"/>
                <w:szCs w:val="20"/>
                <w:vertAlign w:val="superscript"/>
                <w:lang w:val="en-GB"/>
              </w:rPr>
              <w:t>#</w:t>
            </w:r>
          </w:p>
        </w:tc>
        <w:tc>
          <w:tcPr>
            <w:tcW w:w="2142" w:type="dxa"/>
            <w:tcMar>
              <w:top w:w="12" w:type="dxa"/>
              <w:left w:w="12" w:type="dxa"/>
              <w:bottom w:w="0" w:type="dxa"/>
              <w:right w:w="12" w:type="dxa"/>
            </w:tcMar>
          </w:tcPr>
          <w:p w14:paraId="5AB286FF" w14:textId="77777777" w:rsidR="00A512CD" w:rsidRPr="00626E47" w:rsidRDefault="00A512CD" w:rsidP="00620E0B">
            <w:pPr>
              <w:pStyle w:val="TableCellCenter"/>
              <w:keepNext/>
              <w:spacing w:after="0"/>
              <w:rPr>
                <w:rFonts w:asciiTheme="minorHAnsi" w:hAnsiTheme="minorHAnsi"/>
                <w:sz w:val="20"/>
                <w:szCs w:val="20"/>
                <w:lang w:val="en-GB"/>
              </w:rPr>
            </w:pPr>
            <w:r w:rsidRPr="00626E47">
              <w:rPr>
                <w:rFonts w:asciiTheme="minorHAnsi" w:hAnsiTheme="minorHAnsi"/>
                <w:sz w:val="20"/>
                <w:szCs w:val="20"/>
                <w:lang w:val="en-GB"/>
              </w:rPr>
              <w:t>12 (20.3%)</w:t>
            </w:r>
          </w:p>
        </w:tc>
        <w:tc>
          <w:tcPr>
            <w:tcW w:w="2127" w:type="dxa"/>
          </w:tcPr>
          <w:p w14:paraId="0DF1DA0D" w14:textId="77777777" w:rsidR="00A512CD" w:rsidRPr="00626E47" w:rsidRDefault="00A512CD" w:rsidP="00620E0B">
            <w:pPr>
              <w:pStyle w:val="TableCellCenter"/>
              <w:keepNext/>
              <w:tabs>
                <w:tab w:val="left" w:pos="453"/>
                <w:tab w:val="center" w:pos="1067"/>
              </w:tabs>
              <w:spacing w:after="0"/>
              <w:rPr>
                <w:rFonts w:asciiTheme="minorHAnsi" w:hAnsiTheme="minorHAnsi"/>
                <w:sz w:val="20"/>
                <w:szCs w:val="20"/>
                <w:lang w:val="en-GB"/>
              </w:rPr>
            </w:pPr>
            <w:r w:rsidRPr="00626E47">
              <w:rPr>
                <w:rFonts w:asciiTheme="minorHAnsi" w:hAnsiTheme="minorHAnsi"/>
                <w:sz w:val="20"/>
                <w:szCs w:val="20"/>
                <w:lang w:val="en-GB"/>
              </w:rPr>
              <w:t>18 (31.0%)</w:t>
            </w:r>
          </w:p>
        </w:tc>
      </w:tr>
      <w:tr w:rsidR="00A512CD" w:rsidRPr="00626E47" w14:paraId="51F71198" w14:textId="77777777" w:rsidTr="00240A65">
        <w:trPr>
          <w:cantSplit/>
          <w:trHeight w:val="284"/>
        </w:trPr>
        <w:tc>
          <w:tcPr>
            <w:tcW w:w="3523" w:type="dxa"/>
            <w:tcMar>
              <w:top w:w="12" w:type="dxa"/>
              <w:left w:w="12" w:type="dxa"/>
              <w:bottom w:w="0" w:type="dxa"/>
              <w:right w:w="12" w:type="dxa"/>
            </w:tcMar>
          </w:tcPr>
          <w:p w14:paraId="4681646D" w14:textId="77777777" w:rsidR="00A512CD" w:rsidRPr="00626E47" w:rsidRDefault="00A512CD" w:rsidP="00620E0B">
            <w:pPr>
              <w:pStyle w:val="TableCellCenter"/>
              <w:keepNext/>
              <w:spacing w:after="0"/>
              <w:ind w:left="267"/>
              <w:jc w:val="left"/>
              <w:rPr>
                <w:rFonts w:asciiTheme="minorHAnsi" w:hAnsiTheme="minorHAnsi"/>
                <w:sz w:val="20"/>
                <w:szCs w:val="20"/>
                <w:lang w:val="en-GB"/>
              </w:rPr>
            </w:pPr>
            <w:r w:rsidRPr="00626E47">
              <w:rPr>
                <w:rFonts w:asciiTheme="minorHAnsi" w:hAnsiTheme="minorHAnsi"/>
                <w:sz w:val="20"/>
                <w:szCs w:val="20"/>
                <w:lang w:val="en-GB"/>
              </w:rPr>
              <w:t>Diarrhoea</w:t>
            </w:r>
            <w:r w:rsidRPr="00B12026">
              <w:rPr>
                <w:rFonts w:ascii="Arial" w:hAnsi="Arial" w:cs="Arial"/>
                <w:sz w:val="20"/>
                <w:szCs w:val="20"/>
                <w:vertAlign w:val="superscript"/>
                <w:lang w:val="en-GB"/>
              </w:rPr>
              <w:t>#</w:t>
            </w:r>
          </w:p>
        </w:tc>
        <w:tc>
          <w:tcPr>
            <w:tcW w:w="2142" w:type="dxa"/>
            <w:tcMar>
              <w:top w:w="12" w:type="dxa"/>
              <w:left w:w="12" w:type="dxa"/>
              <w:bottom w:w="0" w:type="dxa"/>
              <w:right w:w="12" w:type="dxa"/>
            </w:tcMar>
          </w:tcPr>
          <w:p w14:paraId="6CF68E99" w14:textId="77777777" w:rsidR="00A512CD" w:rsidRPr="00626E47" w:rsidRDefault="00A512CD" w:rsidP="00620E0B">
            <w:pPr>
              <w:pStyle w:val="TableCellCenter"/>
              <w:keepNext/>
              <w:spacing w:after="0"/>
              <w:rPr>
                <w:rFonts w:asciiTheme="minorHAnsi" w:hAnsiTheme="minorHAnsi"/>
                <w:sz w:val="20"/>
                <w:szCs w:val="20"/>
                <w:lang w:val="en-GB"/>
              </w:rPr>
            </w:pPr>
            <w:r w:rsidRPr="00626E47">
              <w:rPr>
                <w:rFonts w:asciiTheme="minorHAnsi" w:hAnsiTheme="minorHAnsi"/>
                <w:sz w:val="20"/>
                <w:szCs w:val="20"/>
                <w:lang w:val="en-GB"/>
              </w:rPr>
              <w:t>7 (11.9%)</w:t>
            </w:r>
          </w:p>
        </w:tc>
        <w:tc>
          <w:tcPr>
            <w:tcW w:w="2127" w:type="dxa"/>
          </w:tcPr>
          <w:p w14:paraId="49C97E17" w14:textId="77777777" w:rsidR="00A512CD" w:rsidRPr="00626E47" w:rsidRDefault="00A512CD" w:rsidP="00620E0B">
            <w:pPr>
              <w:pStyle w:val="TableCellCenter"/>
              <w:keepNext/>
              <w:tabs>
                <w:tab w:val="left" w:pos="453"/>
                <w:tab w:val="center" w:pos="1067"/>
              </w:tabs>
              <w:spacing w:after="0"/>
              <w:rPr>
                <w:rFonts w:asciiTheme="minorHAnsi" w:hAnsiTheme="minorHAnsi"/>
                <w:sz w:val="20"/>
                <w:szCs w:val="20"/>
                <w:lang w:val="en-GB"/>
              </w:rPr>
            </w:pPr>
            <w:r w:rsidRPr="00626E47">
              <w:rPr>
                <w:rFonts w:asciiTheme="minorHAnsi" w:hAnsiTheme="minorHAnsi"/>
                <w:sz w:val="20"/>
                <w:szCs w:val="20"/>
                <w:lang w:val="en-GB"/>
              </w:rPr>
              <w:t>12 (20.7%)</w:t>
            </w:r>
          </w:p>
        </w:tc>
      </w:tr>
      <w:tr w:rsidR="00A512CD" w:rsidRPr="00626E47" w14:paraId="4D958C91" w14:textId="77777777" w:rsidTr="00240A65">
        <w:trPr>
          <w:cantSplit/>
          <w:trHeight w:val="284"/>
        </w:trPr>
        <w:tc>
          <w:tcPr>
            <w:tcW w:w="3523" w:type="dxa"/>
            <w:tcMar>
              <w:top w:w="12" w:type="dxa"/>
              <w:left w:w="12" w:type="dxa"/>
              <w:bottom w:w="0" w:type="dxa"/>
              <w:right w:w="12" w:type="dxa"/>
            </w:tcMar>
          </w:tcPr>
          <w:p w14:paraId="0E6ADAE0" w14:textId="77777777" w:rsidR="00A512CD" w:rsidRPr="00626E47" w:rsidRDefault="00A512CD" w:rsidP="00620E0B">
            <w:pPr>
              <w:pStyle w:val="TableCellCenter"/>
              <w:keepNext/>
              <w:spacing w:after="0"/>
              <w:ind w:left="267"/>
              <w:jc w:val="left"/>
              <w:rPr>
                <w:rFonts w:asciiTheme="minorHAnsi" w:hAnsiTheme="minorHAnsi"/>
                <w:sz w:val="20"/>
                <w:szCs w:val="20"/>
                <w:lang w:val="en-GB"/>
              </w:rPr>
            </w:pPr>
            <w:r w:rsidRPr="00626E47">
              <w:rPr>
                <w:rFonts w:asciiTheme="minorHAnsi" w:hAnsiTheme="minorHAnsi"/>
                <w:sz w:val="20"/>
                <w:szCs w:val="20"/>
                <w:lang w:val="en-GB"/>
              </w:rPr>
              <w:t>Abdominal pain</w:t>
            </w:r>
            <w:r w:rsidRPr="00B12026">
              <w:rPr>
                <w:rFonts w:ascii="Arial" w:hAnsi="Arial" w:cs="Arial"/>
                <w:sz w:val="20"/>
                <w:szCs w:val="20"/>
                <w:vertAlign w:val="superscript"/>
                <w:lang w:val="en-GB"/>
              </w:rPr>
              <w:t>#</w:t>
            </w:r>
          </w:p>
        </w:tc>
        <w:tc>
          <w:tcPr>
            <w:tcW w:w="2142" w:type="dxa"/>
            <w:tcMar>
              <w:top w:w="12" w:type="dxa"/>
              <w:left w:w="12" w:type="dxa"/>
              <w:bottom w:w="0" w:type="dxa"/>
              <w:right w:w="12" w:type="dxa"/>
            </w:tcMar>
          </w:tcPr>
          <w:p w14:paraId="345B7102" w14:textId="77777777" w:rsidR="00A512CD" w:rsidRPr="00626E47" w:rsidRDefault="00A512CD" w:rsidP="00620E0B">
            <w:pPr>
              <w:pStyle w:val="TableCellCenter"/>
              <w:keepNext/>
              <w:spacing w:after="0"/>
              <w:rPr>
                <w:rFonts w:asciiTheme="minorHAnsi" w:hAnsiTheme="minorHAnsi"/>
                <w:sz w:val="20"/>
                <w:szCs w:val="20"/>
                <w:lang w:val="en-GB"/>
              </w:rPr>
            </w:pPr>
            <w:r w:rsidRPr="00626E47">
              <w:rPr>
                <w:rFonts w:asciiTheme="minorHAnsi" w:hAnsiTheme="minorHAnsi"/>
                <w:sz w:val="20"/>
                <w:szCs w:val="20"/>
                <w:lang w:val="en-GB"/>
              </w:rPr>
              <w:t>5 (8.5%)</w:t>
            </w:r>
          </w:p>
        </w:tc>
        <w:tc>
          <w:tcPr>
            <w:tcW w:w="2127" w:type="dxa"/>
          </w:tcPr>
          <w:p w14:paraId="330B24F5" w14:textId="77777777" w:rsidR="00A512CD" w:rsidRPr="00626E47" w:rsidRDefault="00A512CD" w:rsidP="00620E0B">
            <w:pPr>
              <w:pStyle w:val="TableCellCenter"/>
              <w:keepNext/>
              <w:tabs>
                <w:tab w:val="left" w:pos="453"/>
                <w:tab w:val="center" w:pos="1067"/>
              </w:tabs>
              <w:spacing w:after="0"/>
              <w:rPr>
                <w:rFonts w:asciiTheme="minorHAnsi" w:hAnsiTheme="minorHAnsi"/>
                <w:sz w:val="20"/>
                <w:szCs w:val="20"/>
                <w:lang w:val="en-GB"/>
              </w:rPr>
            </w:pPr>
            <w:r w:rsidRPr="00626E47">
              <w:rPr>
                <w:rFonts w:asciiTheme="minorHAnsi" w:hAnsiTheme="minorHAnsi"/>
                <w:sz w:val="20"/>
                <w:szCs w:val="20"/>
                <w:lang w:val="en-GB"/>
              </w:rPr>
              <w:t>14 (24.1%)</w:t>
            </w:r>
          </w:p>
        </w:tc>
      </w:tr>
      <w:tr w:rsidR="00A512CD" w:rsidRPr="00626E47" w14:paraId="1045175C" w14:textId="77777777" w:rsidTr="00240A65">
        <w:trPr>
          <w:cantSplit/>
          <w:trHeight w:val="284"/>
        </w:trPr>
        <w:tc>
          <w:tcPr>
            <w:tcW w:w="3523" w:type="dxa"/>
            <w:tcMar>
              <w:top w:w="12" w:type="dxa"/>
              <w:left w:w="12" w:type="dxa"/>
              <w:bottom w:w="0" w:type="dxa"/>
              <w:right w:w="12" w:type="dxa"/>
            </w:tcMar>
          </w:tcPr>
          <w:p w14:paraId="7D3E6E0A" w14:textId="77777777" w:rsidR="00A512CD" w:rsidRPr="00626E47" w:rsidRDefault="00A512CD" w:rsidP="00620E0B">
            <w:pPr>
              <w:pStyle w:val="TableCellCenter"/>
              <w:keepNext/>
              <w:spacing w:after="0"/>
              <w:ind w:left="267"/>
              <w:jc w:val="left"/>
              <w:rPr>
                <w:rFonts w:asciiTheme="minorHAnsi" w:hAnsiTheme="minorHAnsi"/>
                <w:sz w:val="20"/>
                <w:szCs w:val="20"/>
                <w:lang w:val="en-GB"/>
              </w:rPr>
            </w:pPr>
            <w:r w:rsidRPr="00626E47">
              <w:rPr>
                <w:rFonts w:asciiTheme="minorHAnsi" w:hAnsiTheme="minorHAnsi"/>
                <w:sz w:val="20"/>
                <w:szCs w:val="20"/>
                <w:lang w:val="en-GB"/>
              </w:rPr>
              <w:t>Abdominal pain upper</w:t>
            </w:r>
            <w:r w:rsidRPr="00B12026">
              <w:rPr>
                <w:rFonts w:ascii="Arial" w:hAnsi="Arial" w:cs="Arial"/>
                <w:sz w:val="20"/>
                <w:szCs w:val="20"/>
                <w:vertAlign w:val="superscript"/>
                <w:lang w:val="en-GB"/>
              </w:rPr>
              <w:t>#</w:t>
            </w:r>
          </w:p>
        </w:tc>
        <w:tc>
          <w:tcPr>
            <w:tcW w:w="2142" w:type="dxa"/>
            <w:tcMar>
              <w:top w:w="12" w:type="dxa"/>
              <w:left w:w="12" w:type="dxa"/>
              <w:bottom w:w="0" w:type="dxa"/>
              <w:right w:w="12" w:type="dxa"/>
            </w:tcMar>
          </w:tcPr>
          <w:p w14:paraId="5F106DE4" w14:textId="77777777" w:rsidR="00A512CD" w:rsidRPr="00626E47" w:rsidRDefault="00A512CD" w:rsidP="00620E0B">
            <w:pPr>
              <w:pStyle w:val="TableCellCenter"/>
              <w:keepNext/>
              <w:spacing w:after="0"/>
              <w:rPr>
                <w:rFonts w:asciiTheme="minorHAnsi" w:hAnsiTheme="minorHAnsi"/>
                <w:sz w:val="20"/>
                <w:szCs w:val="20"/>
                <w:lang w:val="en-GB"/>
              </w:rPr>
            </w:pPr>
            <w:r w:rsidRPr="00626E47">
              <w:rPr>
                <w:rFonts w:asciiTheme="minorHAnsi" w:hAnsiTheme="minorHAnsi"/>
                <w:sz w:val="20"/>
                <w:szCs w:val="20"/>
                <w:lang w:val="en-GB"/>
              </w:rPr>
              <w:t>5 (8.5%)</w:t>
            </w:r>
          </w:p>
        </w:tc>
        <w:tc>
          <w:tcPr>
            <w:tcW w:w="2127" w:type="dxa"/>
          </w:tcPr>
          <w:p w14:paraId="1454B233" w14:textId="77777777" w:rsidR="00A512CD" w:rsidRPr="00626E47" w:rsidRDefault="00A512CD" w:rsidP="00620E0B">
            <w:pPr>
              <w:pStyle w:val="TableCellCenter"/>
              <w:keepNext/>
              <w:tabs>
                <w:tab w:val="left" w:pos="453"/>
                <w:tab w:val="center" w:pos="1067"/>
              </w:tabs>
              <w:spacing w:after="0"/>
              <w:rPr>
                <w:rFonts w:asciiTheme="minorHAnsi" w:hAnsiTheme="minorHAnsi"/>
                <w:sz w:val="20"/>
                <w:szCs w:val="20"/>
                <w:lang w:val="en-GB"/>
              </w:rPr>
            </w:pPr>
            <w:r w:rsidRPr="00626E47">
              <w:rPr>
                <w:rFonts w:asciiTheme="minorHAnsi" w:hAnsiTheme="minorHAnsi"/>
                <w:sz w:val="20"/>
                <w:szCs w:val="20"/>
                <w:lang w:val="en-GB"/>
              </w:rPr>
              <w:t>9 (15.5%)</w:t>
            </w:r>
          </w:p>
        </w:tc>
      </w:tr>
      <w:tr w:rsidR="00A512CD" w:rsidRPr="00626E47" w14:paraId="66291CAD" w14:textId="77777777" w:rsidTr="00240A65">
        <w:trPr>
          <w:cantSplit/>
          <w:trHeight w:val="284"/>
        </w:trPr>
        <w:tc>
          <w:tcPr>
            <w:tcW w:w="3523" w:type="dxa"/>
            <w:tcMar>
              <w:top w:w="12" w:type="dxa"/>
              <w:left w:w="12" w:type="dxa"/>
              <w:bottom w:w="0" w:type="dxa"/>
              <w:right w:w="12" w:type="dxa"/>
            </w:tcMar>
          </w:tcPr>
          <w:p w14:paraId="459DED2D" w14:textId="77777777" w:rsidR="00A512CD" w:rsidRPr="00626E47" w:rsidRDefault="00A512CD" w:rsidP="00620E0B">
            <w:pPr>
              <w:pStyle w:val="TableCellCenter"/>
              <w:keepNext/>
              <w:spacing w:after="0"/>
              <w:jc w:val="left"/>
              <w:rPr>
                <w:rFonts w:asciiTheme="minorHAnsi" w:hAnsiTheme="minorHAnsi"/>
                <w:sz w:val="20"/>
                <w:szCs w:val="20"/>
                <w:lang w:val="en-GB"/>
              </w:rPr>
            </w:pPr>
            <w:r w:rsidRPr="00626E47">
              <w:rPr>
                <w:rFonts w:asciiTheme="minorHAnsi" w:hAnsiTheme="minorHAnsi"/>
                <w:i/>
                <w:sz w:val="20"/>
                <w:szCs w:val="20"/>
                <w:lang w:val="en-GB"/>
              </w:rPr>
              <w:t>General disorders and administration site conditions</w:t>
            </w:r>
          </w:p>
        </w:tc>
        <w:tc>
          <w:tcPr>
            <w:tcW w:w="2142" w:type="dxa"/>
            <w:tcMar>
              <w:top w:w="12" w:type="dxa"/>
              <w:left w:w="12" w:type="dxa"/>
              <w:bottom w:w="0" w:type="dxa"/>
              <w:right w:w="12" w:type="dxa"/>
            </w:tcMar>
          </w:tcPr>
          <w:p w14:paraId="56A0BF7F" w14:textId="77777777" w:rsidR="00A512CD" w:rsidRPr="00626E47" w:rsidRDefault="00A512CD" w:rsidP="00620E0B">
            <w:pPr>
              <w:pStyle w:val="TableCellCenter"/>
              <w:keepNext/>
              <w:spacing w:after="0"/>
              <w:rPr>
                <w:rFonts w:asciiTheme="minorHAnsi" w:hAnsiTheme="minorHAnsi"/>
                <w:sz w:val="20"/>
                <w:szCs w:val="20"/>
                <w:lang w:val="en-GB"/>
              </w:rPr>
            </w:pPr>
          </w:p>
        </w:tc>
        <w:tc>
          <w:tcPr>
            <w:tcW w:w="2127" w:type="dxa"/>
          </w:tcPr>
          <w:p w14:paraId="6FDF5768" w14:textId="77777777" w:rsidR="00A512CD" w:rsidRPr="00626E47" w:rsidRDefault="00A512CD" w:rsidP="00620E0B">
            <w:pPr>
              <w:pStyle w:val="TableCellCenter"/>
              <w:keepNext/>
              <w:tabs>
                <w:tab w:val="left" w:pos="453"/>
                <w:tab w:val="center" w:pos="1067"/>
              </w:tabs>
              <w:spacing w:after="0"/>
              <w:rPr>
                <w:rFonts w:asciiTheme="minorHAnsi" w:hAnsiTheme="minorHAnsi"/>
                <w:sz w:val="20"/>
                <w:szCs w:val="20"/>
                <w:lang w:val="en-GB"/>
              </w:rPr>
            </w:pPr>
          </w:p>
        </w:tc>
      </w:tr>
      <w:tr w:rsidR="00A512CD" w:rsidRPr="00626E47" w14:paraId="53E6B36F" w14:textId="77777777" w:rsidTr="00240A65">
        <w:trPr>
          <w:cantSplit/>
          <w:trHeight w:val="284"/>
        </w:trPr>
        <w:tc>
          <w:tcPr>
            <w:tcW w:w="3523" w:type="dxa"/>
            <w:tcMar>
              <w:top w:w="12" w:type="dxa"/>
              <w:left w:w="12" w:type="dxa"/>
              <w:bottom w:w="0" w:type="dxa"/>
              <w:right w:w="12" w:type="dxa"/>
            </w:tcMar>
          </w:tcPr>
          <w:p w14:paraId="523E0844" w14:textId="77777777" w:rsidR="00A512CD" w:rsidRPr="00626E47" w:rsidRDefault="00A512CD" w:rsidP="00A512CD">
            <w:pPr>
              <w:pStyle w:val="TableCellCenter"/>
              <w:spacing w:after="0"/>
              <w:ind w:left="267"/>
              <w:jc w:val="left"/>
              <w:rPr>
                <w:rFonts w:asciiTheme="minorHAnsi" w:hAnsiTheme="minorHAnsi"/>
                <w:sz w:val="20"/>
                <w:szCs w:val="20"/>
                <w:lang w:val="en-AU"/>
              </w:rPr>
            </w:pPr>
            <w:r w:rsidRPr="00626E47">
              <w:rPr>
                <w:rFonts w:asciiTheme="minorHAnsi" w:hAnsiTheme="minorHAnsi"/>
                <w:sz w:val="20"/>
                <w:szCs w:val="20"/>
                <w:lang w:val="en-AU"/>
              </w:rPr>
              <w:t>Pyrexia</w:t>
            </w:r>
            <w:r w:rsidRPr="00B12026">
              <w:rPr>
                <w:rFonts w:ascii="Arial" w:hAnsi="Arial" w:cs="Arial"/>
                <w:sz w:val="20"/>
                <w:szCs w:val="20"/>
                <w:vertAlign w:val="superscript"/>
                <w:lang w:val="en-GB"/>
              </w:rPr>
              <w:t>#</w:t>
            </w:r>
          </w:p>
        </w:tc>
        <w:tc>
          <w:tcPr>
            <w:tcW w:w="2142" w:type="dxa"/>
            <w:tcMar>
              <w:top w:w="12" w:type="dxa"/>
              <w:left w:w="12" w:type="dxa"/>
              <w:bottom w:w="0" w:type="dxa"/>
              <w:right w:w="12" w:type="dxa"/>
            </w:tcMar>
          </w:tcPr>
          <w:p w14:paraId="30CFF65D" w14:textId="77777777" w:rsidR="00A512CD" w:rsidRPr="00626E47" w:rsidRDefault="00A512CD" w:rsidP="00A512CD">
            <w:pPr>
              <w:pStyle w:val="TableCellCenter"/>
              <w:spacing w:after="0"/>
              <w:rPr>
                <w:rFonts w:asciiTheme="minorHAnsi" w:hAnsiTheme="minorHAnsi"/>
                <w:sz w:val="20"/>
                <w:szCs w:val="20"/>
                <w:lang w:val="en-GB"/>
              </w:rPr>
            </w:pPr>
            <w:r w:rsidRPr="00626E47">
              <w:rPr>
                <w:rFonts w:asciiTheme="minorHAnsi" w:hAnsiTheme="minorHAnsi"/>
                <w:sz w:val="20"/>
                <w:szCs w:val="20"/>
                <w:lang w:val="en-GB"/>
              </w:rPr>
              <w:t>17 (28.8%)</w:t>
            </w:r>
          </w:p>
        </w:tc>
        <w:tc>
          <w:tcPr>
            <w:tcW w:w="2127" w:type="dxa"/>
          </w:tcPr>
          <w:p w14:paraId="352B2993" w14:textId="77777777" w:rsidR="00A512CD" w:rsidRPr="00626E47" w:rsidRDefault="00A512CD" w:rsidP="00A512CD">
            <w:pPr>
              <w:pStyle w:val="TableCellCenter"/>
              <w:tabs>
                <w:tab w:val="left" w:pos="453"/>
                <w:tab w:val="center" w:pos="1067"/>
              </w:tabs>
              <w:spacing w:after="0"/>
              <w:rPr>
                <w:rFonts w:asciiTheme="minorHAnsi" w:hAnsiTheme="minorHAnsi"/>
                <w:sz w:val="20"/>
                <w:szCs w:val="20"/>
                <w:lang w:val="en-GB"/>
              </w:rPr>
            </w:pPr>
            <w:r w:rsidRPr="00626E47">
              <w:rPr>
                <w:rFonts w:asciiTheme="minorHAnsi" w:hAnsiTheme="minorHAnsi"/>
                <w:sz w:val="20"/>
                <w:szCs w:val="20"/>
                <w:lang w:val="en-GB"/>
              </w:rPr>
              <w:t>25 (43.1%)</w:t>
            </w:r>
          </w:p>
        </w:tc>
      </w:tr>
      <w:tr w:rsidR="00A512CD" w:rsidRPr="00626E47" w14:paraId="308BEFB3" w14:textId="77777777" w:rsidTr="00240A65">
        <w:trPr>
          <w:cantSplit/>
          <w:trHeight w:val="284"/>
        </w:trPr>
        <w:tc>
          <w:tcPr>
            <w:tcW w:w="3523" w:type="dxa"/>
            <w:tcMar>
              <w:top w:w="12" w:type="dxa"/>
              <w:left w:w="12" w:type="dxa"/>
              <w:bottom w:w="0" w:type="dxa"/>
              <w:right w:w="12" w:type="dxa"/>
            </w:tcMar>
          </w:tcPr>
          <w:p w14:paraId="547E8AA8" w14:textId="77777777" w:rsidR="00A512CD" w:rsidRPr="00626E47" w:rsidRDefault="00A512CD" w:rsidP="00A512CD">
            <w:pPr>
              <w:pStyle w:val="TableCellCenter"/>
              <w:spacing w:after="0"/>
              <w:ind w:left="267"/>
              <w:jc w:val="left"/>
              <w:rPr>
                <w:rFonts w:asciiTheme="minorHAnsi" w:hAnsiTheme="minorHAnsi"/>
                <w:sz w:val="20"/>
                <w:szCs w:val="20"/>
                <w:lang w:val="en-AU"/>
              </w:rPr>
            </w:pPr>
            <w:r w:rsidRPr="00626E47">
              <w:rPr>
                <w:rFonts w:asciiTheme="minorHAnsi" w:hAnsiTheme="minorHAnsi"/>
                <w:sz w:val="20"/>
                <w:szCs w:val="20"/>
                <w:lang w:val="en-AU"/>
              </w:rPr>
              <w:t>Chills</w:t>
            </w:r>
            <w:r w:rsidRPr="00B12026">
              <w:rPr>
                <w:rFonts w:ascii="Arial" w:hAnsi="Arial" w:cs="Arial"/>
                <w:sz w:val="20"/>
                <w:szCs w:val="20"/>
                <w:vertAlign w:val="superscript"/>
                <w:lang w:val="en-GB"/>
              </w:rPr>
              <w:t>#</w:t>
            </w:r>
          </w:p>
        </w:tc>
        <w:tc>
          <w:tcPr>
            <w:tcW w:w="2142" w:type="dxa"/>
            <w:tcMar>
              <w:top w:w="12" w:type="dxa"/>
              <w:left w:w="12" w:type="dxa"/>
              <w:bottom w:w="0" w:type="dxa"/>
              <w:right w:w="12" w:type="dxa"/>
            </w:tcMar>
          </w:tcPr>
          <w:p w14:paraId="159A2700" w14:textId="77777777" w:rsidR="00A512CD" w:rsidRPr="00626E47" w:rsidRDefault="00A512CD" w:rsidP="00A512CD">
            <w:pPr>
              <w:pStyle w:val="TableCellCenter"/>
              <w:spacing w:after="0"/>
              <w:rPr>
                <w:rFonts w:asciiTheme="minorHAnsi" w:hAnsiTheme="minorHAnsi"/>
                <w:sz w:val="20"/>
                <w:szCs w:val="20"/>
                <w:lang w:val="en-GB"/>
              </w:rPr>
            </w:pPr>
            <w:r w:rsidRPr="00626E47">
              <w:rPr>
                <w:rFonts w:asciiTheme="minorHAnsi" w:hAnsiTheme="minorHAnsi"/>
                <w:sz w:val="20"/>
                <w:szCs w:val="20"/>
                <w:lang w:val="en-GB"/>
              </w:rPr>
              <w:t>1 (1.7%)</w:t>
            </w:r>
          </w:p>
        </w:tc>
        <w:tc>
          <w:tcPr>
            <w:tcW w:w="2127" w:type="dxa"/>
          </w:tcPr>
          <w:p w14:paraId="55D6E7EA" w14:textId="77777777" w:rsidR="00A512CD" w:rsidRPr="00626E47" w:rsidRDefault="00A512CD" w:rsidP="00A512CD">
            <w:pPr>
              <w:pStyle w:val="TableCellCenter"/>
              <w:tabs>
                <w:tab w:val="left" w:pos="453"/>
                <w:tab w:val="center" w:pos="1067"/>
              </w:tabs>
              <w:spacing w:after="0"/>
              <w:rPr>
                <w:rFonts w:asciiTheme="minorHAnsi" w:hAnsiTheme="minorHAnsi"/>
                <w:sz w:val="20"/>
                <w:szCs w:val="20"/>
                <w:lang w:val="en-GB"/>
              </w:rPr>
            </w:pPr>
            <w:r w:rsidRPr="00626E47">
              <w:rPr>
                <w:rFonts w:asciiTheme="minorHAnsi" w:hAnsiTheme="minorHAnsi"/>
                <w:sz w:val="20"/>
                <w:szCs w:val="20"/>
                <w:lang w:val="en-GB"/>
              </w:rPr>
              <w:t>6 (10.3%)</w:t>
            </w:r>
          </w:p>
        </w:tc>
      </w:tr>
      <w:tr w:rsidR="00A512CD" w:rsidRPr="00626E47" w14:paraId="73EA7229" w14:textId="77777777" w:rsidTr="00240A65">
        <w:trPr>
          <w:cantSplit/>
          <w:trHeight w:val="284"/>
        </w:trPr>
        <w:tc>
          <w:tcPr>
            <w:tcW w:w="3523" w:type="dxa"/>
            <w:tcMar>
              <w:top w:w="12" w:type="dxa"/>
              <w:left w:w="12" w:type="dxa"/>
              <w:bottom w:w="0" w:type="dxa"/>
              <w:right w:w="12" w:type="dxa"/>
            </w:tcMar>
          </w:tcPr>
          <w:p w14:paraId="03776AE4" w14:textId="77777777" w:rsidR="00A512CD" w:rsidRPr="00626E47" w:rsidRDefault="00A512CD" w:rsidP="00A512CD">
            <w:pPr>
              <w:pStyle w:val="TableCellCenter"/>
              <w:spacing w:after="0"/>
              <w:ind w:left="267"/>
              <w:jc w:val="left"/>
              <w:rPr>
                <w:rFonts w:asciiTheme="minorHAnsi" w:hAnsiTheme="minorHAnsi"/>
                <w:sz w:val="20"/>
                <w:szCs w:val="20"/>
                <w:lang w:val="en-AU"/>
              </w:rPr>
            </w:pPr>
            <w:r w:rsidRPr="00626E47">
              <w:rPr>
                <w:rFonts w:asciiTheme="minorHAnsi" w:hAnsiTheme="minorHAnsi"/>
                <w:sz w:val="20"/>
                <w:szCs w:val="20"/>
                <w:lang w:val="en-AU"/>
              </w:rPr>
              <w:t>Infusion site pain</w:t>
            </w:r>
          </w:p>
        </w:tc>
        <w:tc>
          <w:tcPr>
            <w:tcW w:w="2142" w:type="dxa"/>
            <w:tcMar>
              <w:top w:w="12" w:type="dxa"/>
              <w:left w:w="12" w:type="dxa"/>
              <w:bottom w:w="0" w:type="dxa"/>
              <w:right w:w="12" w:type="dxa"/>
            </w:tcMar>
          </w:tcPr>
          <w:p w14:paraId="174C5D89" w14:textId="77777777" w:rsidR="00A512CD" w:rsidRPr="00626E47" w:rsidRDefault="00A512CD" w:rsidP="00A512CD">
            <w:pPr>
              <w:pStyle w:val="TableCellCenter"/>
              <w:spacing w:after="0"/>
              <w:rPr>
                <w:rFonts w:asciiTheme="minorHAnsi" w:hAnsiTheme="minorHAnsi"/>
                <w:sz w:val="20"/>
                <w:szCs w:val="20"/>
                <w:lang w:val="en-GB"/>
              </w:rPr>
            </w:pPr>
            <w:r w:rsidRPr="00626E47">
              <w:rPr>
                <w:rFonts w:asciiTheme="minorHAnsi" w:hAnsiTheme="minorHAnsi"/>
                <w:sz w:val="20"/>
                <w:szCs w:val="20"/>
                <w:lang w:val="en-GB"/>
              </w:rPr>
              <w:t>0</w:t>
            </w:r>
          </w:p>
        </w:tc>
        <w:tc>
          <w:tcPr>
            <w:tcW w:w="2127" w:type="dxa"/>
          </w:tcPr>
          <w:p w14:paraId="67AD06CA" w14:textId="77777777" w:rsidR="00A512CD" w:rsidRPr="00626E47" w:rsidRDefault="00A512CD" w:rsidP="00A512CD">
            <w:pPr>
              <w:pStyle w:val="TableCellCenter"/>
              <w:tabs>
                <w:tab w:val="left" w:pos="453"/>
                <w:tab w:val="center" w:pos="1067"/>
              </w:tabs>
              <w:spacing w:after="0"/>
              <w:rPr>
                <w:rFonts w:asciiTheme="minorHAnsi" w:hAnsiTheme="minorHAnsi"/>
                <w:sz w:val="20"/>
                <w:szCs w:val="20"/>
                <w:lang w:val="en-GB"/>
              </w:rPr>
            </w:pPr>
            <w:r w:rsidRPr="00626E47">
              <w:rPr>
                <w:rFonts w:asciiTheme="minorHAnsi" w:hAnsiTheme="minorHAnsi"/>
                <w:sz w:val="20"/>
                <w:szCs w:val="20"/>
                <w:lang w:val="en-GB"/>
              </w:rPr>
              <w:t>4 (6.9%)</w:t>
            </w:r>
          </w:p>
        </w:tc>
      </w:tr>
      <w:tr w:rsidR="00A512CD" w:rsidRPr="00626E47" w14:paraId="55547430" w14:textId="77777777" w:rsidTr="00240A65">
        <w:trPr>
          <w:cantSplit/>
          <w:trHeight w:val="284"/>
        </w:trPr>
        <w:tc>
          <w:tcPr>
            <w:tcW w:w="3523" w:type="dxa"/>
            <w:tcMar>
              <w:top w:w="12" w:type="dxa"/>
              <w:left w:w="12" w:type="dxa"/>
              <w:bottom w:w="0" w:type="dxa"/>
              <w:right w:w="12" w:type="dxa"/>
            </w:tcMar>
          </w:tcPr>
          <w:p w14:paraId="042A75A0" w14:textId="77777777" w:rsidR="00A512CD" w:rsidRPr="00626E47" w:rsidRDefault="00A512CD" w:rsidP="00A512CD">
            <w:pPr>
              <w:pStyle w:val="TableCellCenter"/>
              <w:spacing w:after="0"/>
              <w:ind w:left="267"/>
              <w:jc w:val="left"/>
              <w:rPr>
                <w:rFonts w:asciiTheme="minorHAnsi" w:hAnsiTheme="minorHAnsi"/>
                <w:sz w:val="20"/>
                <w:szCs w:val="20"/>
                <w:lang w:val="en-AU"/>
              </w:rPr>
            </w:pPr>
            <w:r w:rsidRPr="00626E47">
              <w:rPr>
                <w:rFonts w:asciiTheme="minorHAnsi" w:hAnsiTheme="minorHAnsi"/>
                <w:sz w:val="20"/>
                <w:szCs w:val="20"/>
                <w:lang w:val="en-AU"/>
              </w:rPr>
              <w:t>Chest discomfort</w:t>
            </w:r>
          </w:p>
        </w:tc>
        <w:tc>
          <w:tcPr>
            <w:tcW w:w="2142" w:type="dxa"/>
            <w:tcMar>
              <w:top w:w="12" w:type="dxa"/>
              <w:left w:w="12" w:type="dxa"/>
              <w:bottom w:w="0" w:type="dxa"/>
              <w:right w:w="12" w:type="dxa"/>
            </w:tcMar>
          </w:tcPr>
          <w:p w14:paraId="6BEF2FCC" w14:textId="77777777" w:rsidR="00A512CD" w:rsidRPr="00626E47" w:rsidRDefault="00A512CD" w:rsidP="00A512CD">
            <w:pPr>
              <w:pStyle w:val="TableCellCenter"/>
              <w:spacing w:after="0"/>
              <w:rPr>
                <w:rFonts w:asciiTheme="minorHAnsi" w:hAnsiTheme="minorHAnsi"/>
                <w:sz w:val="20"/>
                <w:szCs w:val="20"/>
                <w:lang w:val="en-GB"/>
              </w:rPr>
            </w:pPr>
            <w:r w:rsidRPr="00626E47">
              <w:rPr>
                <w:rFonts w:asciiTheme="minorHAnsi" w:hAnsiTheme="minorHAnsi"/>
                <w:sz w:val="20"/>
                <w:szCs w:val="20"/>
                <w:lang w:val="en-GB"/>
              </w:rPr>
              <w:t>0</w:t>
            </w:r>
          </w:p>
        </w:tc>
        <w:tc>
          <w:tcPr>
            <w:tcW w:w="2127" w:type="dxa"/>
          </w:tcPr>
          <w:p w14:paraId="5209998C" w14:textId="77777777" w:rsidR="00A512CD" w:rsidRPr="00626E47" w:rsidRDefault="00A512CD" w:rsidP="00A512CD">
            <w:pPr>
              <w:pStyle w:val="TableCellCenter"/>
              <w:tabs>
                <w:tab w:val="left" w:pos="453"/>
                <w:tab w:val="center" w:pos="1067"/>
              </w:tabs>
              <w:spacing w:after="0"/>
              <w:rPr>
                <w:rFonts w:asciiTheme="minorHAnsi" w:hAnsiTheme="minorHAnsi"/>
                <w:sz w:val="20"/>
                <w:szCs w:val="20"/>
                <w:lang w:val="en-GB"/>
              </w:rPr>
            </w:pPr>
            <w:r w:rsidRPr="00626E47">
              <w:rPr>
                <w:rFonts w:asciiTheme="minorHAnsi" w:hAnsiTheme="minorHAnsi"/>
                <w:sz w:val="20"/>
                <w:szCs w:val="20"/>
                <w:lang w:val="en-GB"/>
              </w:rPr>
              <w:t>3 (5.2%)</w:t>
            </w:r>
          </w:p>
        </w:tc>
      </w:tr>
      <w:tr w:rsidR="00A512CD" w:rsidRPr="00626E47" w14:paraId="389B667F" w14:textId="77777777" w:rsidTr="00240A65">
        <w:trPr>
          <w:cantSplit/>
          <w:trHeight w:val="284"/>
        </w:trPr>
        <w:tc>
          <w:tcPr>
            <w:tcW w:w="3523" w:type="dxa"/>
            <w:tcMar>
              <w:top w:w="12" w:type="dxa"/>
              <w:left w:w="12" w:type="dxa"/>
              <w:bottom w:w="0" w:type="dxa"/>
              <w:right w:w="12" w:type="dxa"/>
            </w:tcMar>
          </w:tcPr>
          <w:p w14:paraId="23FA3798" w14:textId="77777777" w:rsidR="00A512CD" w:rsidRPr="00626E47" w:rsidRDefault="00A512CD" w:rsidP="00A512CD">
            <w:pPr>
              <w:pStyle w:val="TableCellCenter"/>
              <w:spacing w:after="0"/>
              <w:jc w:val="left"/>
              <w:rPr>
                <w:rFonts w:asciiTheme="minorHAnsi" w:hAnsiTheme="minorHAnsi"/>
                <w:sz w:val="20"/>
                <w:szCs w:val="20"/>
                <w:lang w:val="en-AU"/>
              </w:rPr>
            </w:pPr>
            <w:r w:rsidRPr="00626E47">
              <w:rPr>
                <w:rFonts w:asciiTheme="minorHAnsi" w:hAnsiTheme="minorHAnsi"/>
                <w:i/>
                <w:sz w:val="20"/>
                <w:szCs w:val="20"/>
                <w:lang w:val="en-GB"/>
              </w:rPr>
              <w:t>Respiratory, thoracic, and mediastinal disorders</w:t>
            </w:r>
          </w:p>
        </w:tc>
        <w:tc>
          <w:tcPr>
            <w:tcW w:w="2142" w:type="dxa"/>
            <w:tcMar>
              <w:top w:w="12" w:type="dxa"/>
              <w:left w:w="12" w:type="dxa"/>
              <w:bottom w:w="0" w:type="dxa"/>
              <w:right w:w="12" w:type="dxa"/>
            </w:tcMar>
          </w:tcPr>
          <w:p w14:paraId="51339A1C" w14:textId="77777777" w:rsidR="00A512CD" w:rsidRPr="00626E47" w:rsidRDefault="00A512CD" w:rsidP="00A512CD">
            <w:pPr>
              <w:pStyle w:val="TableCellCenter"/>
              <w:spacing w:after="0"/>
              <w:rPr>
                <w:rFonts w:asciiTheme="minorHAnsi" w:hAnsiTheme="minorHAnsi"/>
                <w:sz w:val="20"/>
                <w:szCs w:val="20"/>
                <w:lang w:val="en-GB"/>
              </w:rPr>
            </w:pPr>
          </w:p>
        </w:tc>
        <w:tc>
          <w:tcPr>
            <w:tcW w:w="2127" w:type="dxa"/>
          </w:tcPr>
          <w:p w14:paraId="43AC007C" w14:textId="77777777" w:rsidR="00A512CD" w:rsidRPr="00626E47" w:rsidRDefault="00A512CD" w:rsidP="00A512CD">
            <w:pPr>
              <w:pStyle w:val="TableCellCenter"/>
              <w:tabs>
                <w:tab w:val="left" w:pos="453"/>
                <w:tab w:val="center" w:pos="1067"/>
              </w:tabs>
              <w:spacing w:after="0"/>
              <w:rPr>
                <w:rFonts w:asciiTheme="minorHAnsi" w:hAnsiTheme="minorHAnsi"/>
                <w:sz w:val="20"/>
                <w:szCs w:val="20"/>
                <w:lang w:val="en-GB"/>
              </w:rPr>
            </w:pPr>
          </w:p>
        </w:tc>
      </w:tr>
      <w:tr w:rsidR="00A512CD" w:rsidRPr="00626E47" w14:paraId="1058F1B3" w14:textId="77777777" w:rsidTr="00240A65">
        <w:trPr>
          <w:cantSplit/>
          <w:trHeight w:val="284"/>
        </w:trPr>
        <w:tc>
          <w:tcPr>
            <w:tcW w:w="3523" w:type="dxa"/>
            <w:tcMar>
              <w:top w:w="12" w:type="dxa"/>
              <w:left w:w="12" w:type="dxa"/>
              <w:bottom w:w="0" w:type="dxa"/>
              <w:right w:w="12" w:type="dxa"/>
            </w:tcMar>
          </w:tcPr>
          <w:p w14:paraId="3CB7DA9F" w14:textId="77777777" w:rsidR="00A512CD" w:rsidRPr="00626E47" w:rsidRDefault="00A512CD" w:rsidP="00A512CD">
            <w:pPr>
              <w:pStyle w:val="TableCellCenter"/>
              <w:spacing w:after="0"/>
              <w:ind w:left="267"/>
              <w:jc w:val="left"/>
              <w:rPr>
                <w:rFonts w:asciiTheme="minorHAnsi" w:hAnsiTheme="minorHAnsi"/>
                <w:sz w:val="20"/>
                <w:szCs w:val="20"/>
                <w:lang w:val="en-AU"/>
              </w:rPr>
            </w:pPr>
            <w:r w:rsidRPr="00626E47">
              <w:rPr>
                <w:rFonts w:asciiTheme="minorHAnsi" w:hAnsiTheme="minorHAnsi"/>
                <w:sz w:val="20"/>
                <w:szCs w:val="20"/>
                <w:lang w:val="en-AU"/>
              </w:rPr>
              <w:t>Oropharyngeal pain</w:t>
            </w:r>
            <w:r w:rsidRPr="00B12026">
              <w:rPr>
                <w:rFonts w:ascii="Arial" w:hAnsi="Arial" w:cs="Arial"/>
                <w:sz w:val="20"/>
                <w:szCs w:val="20"/>
                <w:vertAlign w:val="superscript"/>
                <w:lang w:val="en-GB"/>
              </w:rPr>
              <w:t>#</w:t>
            </w:r>
          </w:p>
        </w:tc>
        <w:tc>
          <w:tcPr>
            <w:tcW w:w="2142" w:type="dxa"/>
            <w:tcMar>
              <w:top w:w="12" w:type="dxa"/>
              <w:left w:w="12" w:type="dxa"/>
              <w:bottom w:w="0" w:type="dxa"/>
              <w:right w:w="12" w:type="dxa"/>
            </w:tcMar>
          </w:tcPr>
          <w:p w14:paraId="744AE059" w14:textId="77777777" w:rsidR="00A512CD" w:rsidRPr="00626E47" w:rsidRDefault="00A512CD" w:rsidP="00A512CD">
            <w:pPr>
              <w:pStyle w:val="TableCellCenter"/>
              <w:spacing w:after="0"/>
              <w:rPr>
                <w:rFonts w:asciiTheme="minorHAnsi" w:hAnsiTheme="minorHAnsi"/>
                <w:sz w:val="20"/>
                <w:szCs w:val="20"/>
                <w:lang w:val="en-AU"/>
              </w:rPr>
            </w:pPr>
            <w:r w:rsidRPr="00626E47">
              <w:rPr>
                <w:rFonts w:asciiTheme="minorHAnsi" w:hAnsiTheme="minorHAnsi"/>
                <w:sz w:val="20"/>
                <w:szCs w:val="20"/>
                <w:lang w:val="en-AU"/>
              </w:rPr>
              <w:t>7 (11.9%)</w:t>
            </w:r>
          </w:p>
        </w:tc>
        <w:tc>
          <w:tcPr>
            <w:tcW w:w="2127" w:type="dxa"/>
          </w:tcPr>
          <w:p w14:paraId="778DA752" w14:textId="77777777" w:rsidR="00A512CD" w:rsidRPr="00626E47" w:rsidRDefault="00A512CD" w:rsidP="00A512CD">
            <w:pPr>
              <w:pStyle w:val="TableCellCenter"/>
              <w:tabs>
                <w:tab w:val="left" w:pos="453"/>
                <w:tab w:val="center" w:pos="1067"/>
              </w:tabs>
              <w:spacing w:after="0"/>
              <w:rPr>
                <w:rFonts w:asciiTheme="minorHAnsi" w:hAnsiTheme="minorHAnsi"/>
                <w:sz w:val="20"/>
                <w:szCs w:val="20"/>
                <w:lang w:val="en-AU"/>
              </w:rPr>
            </w:pPr>
            <w:r w:rsidRPr="00626E47">
              <w:rPr>
                <w:rFonts w:asciiTheme="minorHAnsi" w:hAnsiTheme="minorHAnsi"/>
                <w:sz w:val="20"/>
                <w:szCs w:val="20"/>
                <w:lang w:val="en-AU"/>
              </w:rPr>
              <w:t>12 (20.7%)</w:t>
            </w:r>
          </w:p>
        </w:tc>
      </w:tr>
      <w:tr w:rsidR="00A512CD" w:rsidRPr="00626E47" w14:paraId="11EDD009" w14:textId="77777777" w:rsidTr="00240A65">
        <w:trPr>
          <w:cantSplit/>
          <w:trHeight w:val="284"/>
        </w:trPr>
        <w:tc>
          <w:tcPr>
            <w:tcW w:w="3523" w:type="dxa"/>
            <w:tcMar>
              <w:top w:w="12" w:type="dxa"/>
              <w:left w:w="12" w:type="dxa"/>
              <w:bottom w:w="0" w:type="dxa"/>
              <w:right w:w="12" w:type="dxa"/>
            </w:tcMar>
          </w:tcPr>
          <w:p w14:paraId="3F3D0BB6" w14:textId="77777777" w:rsidR="00A512CD" w:rsidRPr="00626E47" w:rsidRDefault="00A512CD" w:rsidP="00A512CD">
            <w:pPr>
              <w:pStyle w:val="TableCellCenter"/>
              <w:spacing w:after="0"/>
              <w:ind w:left="267"/>
              <w:jc w:val="left"/>
              <w:rPr>
                <w:rFonts w:asciiTheme="minorHAnsi" w:hAnsiTheme="minorHAnsi"/>
                <w:sz w:val="20"/>
                <w:szCs w:val="20"/>
                <w:lang w:val="en-AU"/>
              </w:rPr>
            </w:pPr>
            <w:r w:rsidRPr="00626E47">
              <w:rPr>
                <w:rFonts w:asciiTheme="minorHAnsi" w:hAnsiTheme="minorHAnsi"/>
                <w:sz w:val="20"/>
                <w:szCs w:val="20"/>
                <w:lang w:val="en-AU"/>
              </w:rPr>
              <w:t>Dyspnoea</w:t>
            </w:r>
            <w:r w:rsidRPr="00B12026">
              <w:rPr>
                <w:rFonts w:ascii="Arial" w:hAnsi="Arial" w:cs="Arial"/>
                <w:sz w:val="20"/>
                <w:szCs w:val="20"/>
                <w:vertAlign w:val="superscript"/>
                <w:lang w:val="en-GB"/>
              </w:rPr>
              <w:t>#</w:t>
            </w:r>
            <w:r w:rsidRPr="00626E47">
              <w:rPr>
                <w:rFonts w:asciiTheme="minorHAnsi" w:hAnsiTheme="minorHAnsi"/>
                <w:sz w:val="20"/>
                <w:szCs w:val="20"/>
                <w:lang w:val="en-AU"/>
              </w:rPr>
              <w:t xml:space="preserve"> </w:t>
            </w:r>
          </w:p>
        </w:tc>
        <w:tc>
          <w:tcPr>
            <w:tcW w:w="2142" w:type="dxa"/>
            <w:tcMar>
              <w:top w:w="12" w:type="dxa"/>
              <w:left w:w="12" w:type="dxa"/>
              <w:bottom w:w="0" w:type="dxa"/>
              <w:right w:w="12" w:type="dxa"/>
            </w:tcMar>
          </w:tcPr>
          <w:p w14:paraId="23F71AFD" w14:textId="77777777" w:rsidR="00A512CD" w:rsidRPr="00626E47" w:rsidRDefault="00A512CD" w:rsidP="00A512CD">
            <w:pPr>
              <w:pStyle w:val="TableCellCenter"/>
              <w:spacing w:after="0"/>
              <w:rPr>
                <w:rFonts w:asciiTheme="minorHAnsi" w:hAnsiTheme="minorHAnsi"/>
                <w:sz w:val="20"/>
                <w:szCs w:val="20"/>
                <w:lang w:val="en-AU"/>
              </w:rPr>
            </w:pPr>
            <w:r w:rsidRPr="00626E47">
              <w:rPr>
                <w:rFonts w:asciiTheme="minorHAnsi" w:hAnsiTheme="minorHAnsi"/>
                <w:sz w:val="20"/>
                <w:szCs w:val="20"/>
                <w:lang w:val="en-AU"/>
              </w:rPr>
              <w:t>3 (5.1%)</w:t>
            </w:r>
          </w:p>
        </w:tc>
        <w:tc>
          <w:tcPr>
            <w:tcW w:w="2127" w:type="dxa"/>
          </w:tcPr>
          <w:p w14:paraId="59D31587" w14:textId="77777777" w:rsidR="00A512CD" w:rsidRPr="00626E47" w:rsidRDefault="00A512CD" w:rsidP="00A512CD">
            <w:pPr>
              <w:pStyle w:val="TableCellCenter"/>
              <w:tabs>
                <w:tab w:val="left" w:pos="453"/>
                <w:tab w:val="center" w:pos="1067"/>
              </w:tabs>
              <w:spacing w:after="0"/>
              <w:rPr>
                <w:rFonts w:asciiTheme="minorHAnsi" w:hAnsiTheme="minorHAnsi"/>
                <w:sz w:val="20"/>
                <w:szCs w:val="20"/>
                <w:lang w:val="en-AU"/>
              </w:rPr>
            </w:pPr>
            <w:r w:rsidRPr="00626E47">
              <w:rPr>
                <w:rFonts w:asciiTheme="minorHAnsi" w:hAnsiTheme="minorHAnsi"/>
                <w:sz w:val="20"/>
                <w:szCs w:val="20"/>
                <w:lang w:val="en-AU"/>
              </w:rPr>
              <w:t>7 (12.1%)</w:t>
            </w:r>
          </w:p>
        </w:tc>
      </w:tr>
      <w:tr w:rsidR="00A512CD" w:rsidRPr="00626E47" w14:paraId="4E1F15BA" w14:textId="77777777" w:rsidTr="00240A65">
        <w:trPr>
          <w:cantSplit/>
          <w:trHeight w:val="284"/>
        </w:trPr>
        <w:tc>
          <w:tcPr>
            <w:tcW w:w="3523" w:type="dxa"/>
            <w:tcMar>
              <w:top w:w="12" w:type="dxa"/>
              <w:left w:w="12" w:type="dxa"/>
              <w:bottom w:w="0" w:type="dxa"/>
              <w:right w:w="12" w:type="dxa"/>
            </w:tcMar>
          </w:tcPr>
          <w:p w14:paraId="6B52A3A3" w14:textId="77777777" w:rsidR="00A512CD" w:rsidRPr="00626E47" w:rsidRDefault="00A512CD" w:rsidP="00A512CD">
            <w:pPr>
              <w:pStyle w:val="TableCellCenter"/>
              <w:spacing w:after="0"/>
              <w:ind w:left="267"/>
              <w:jc w:val="left"/>
              <w:rPr>
                <w:rFonts w:asciiTheme="minorHAnsi" w:hAnsiTheme="minorHAnsi"/>
                <w:sz w:val="20"/>
                <w:szCs w:val="20"/>
                <w:lang w:val="en-AU"/>
              </w:rPr>
            </w:pPr>
            <w:r w:rsidRPr="00626E47">
              <w:rPr>
                <w:rFonts w:asciiTheme="minorHAnsi" w:hAnsiTheme="minorHAnsi"/>
                <w:sz w:val="20"/>
                <w:szCs w:val="20"/>
                <w:lang w:val="en-AU"/>
              </w:rPr>
              <w:lastRenderedPageBreak/>
              <w:t>Throat irritation</w:t>
            </w:r>
          </w:p>
        </w:tc>
        <w:tc>
          <w:tcPr>
            <w:tcW w:w="2142" w:type="dxa"/>
            <w:tcMar>
              <w:top w:w="12" w:type="dxa"/>
              <w:left w:w="12" w:type="dxa"/>
              <w:bottom w:w="0" w:type="dxa"/>
              <w:right w:w="12" w:type="dxa"/>
            </w:tcMar>
          </w:tcPr>
          <w:p w14:paraId="5C5C9129" w14:textId="77777777" w:rsidR="00A512CD" w:rsidRPr="00626E47" w:rsidRDefault="00A512CD" w:rsidP="00A512CD">
            <w:pPr>
              <w:pStyle w:val="TableCellCenter"/>
              <w:spacing w:after="0"/>
              <w:rPr>
                <w:rFonts w:asciiTheme="minorHAnsi" w:hAnsiTheme="minorHAnsi"/>
                <w:sz w:val="20"/>
                <w:szCs w:val="20"/>
                <w:lang w:val="en-AU"/>
              </w:rPr>
            </w:pPr>
            <w:r w:rsidRPr="00626E47">
              <w:rPr>
                <w:rFonts w:asciiTheme="minorHAnsi" w:hAnsiTheme="minorHAnsi"/>
                <w:sz w:val="20"/>
                <w:szCs w:val="20"/>
                <w:lang w:val="en-AU"/>
              </w:rPr>
              <w:t>0</w:t>
            </w:r>
          </w:p>
        </w:tc>
        <w:tc>
          <w:tcPr>
            <w:tcW w:w="2127" w:type="dxa"/>
          </w:tcPr>
          <w:p w14:paraId="6639AFED" w14:textId="77777777" w:rsidR="00A512CD" w:rsidRPr="00626E47" w:rsidRDefault="00A512CD" w:rsidP="00A512CD">
            <w:pPr>
              <w:pStyle w:val="TableCellCenter"/>
              <w:tabs>
                <w:tab w:val="left" w:pos="453"/>
                <w:tab w:val="center" w:pos="1067"/>
              </w:tabs>
              <w:spacing w:after="0"/>
              <w:rPr>
                <w:rFonts w:asciiTheme="minorHAnsi" w:hAnsiTheme="minorHAnsi"/>
                <w:sz w:val="20"/>
                <w:szCs w:val="20"/>
                <w:lang w:val="en-AU"/>
              </w:rPr>
            </w:pPr>
            <w:r w:rsidRPr="00626E47">
              <w:rPr>
                <w:rFonts w:asciiTheme="minorHAnsi" w:hAnsiTheme="minorHAnsi"/>
                <w:sz w:val="20"/>
                <w:szCs w:val="20"/>
                <w:lang w:val="en-AU"/>
              </w:rPr>
              <w:t>3 (5.2%)</w:t>
            </w:r>
          </w:p>
        </w:tc>
      </w:tr>
      <w:tr w:rsidR="00A512CD" w:rsidRPr="00626E47" w14:paraId="2704A4E4" w14:textId="77777777" w:rsidTr="00240A65">
        <w:trPr>
          <w:cantSplit/>
          <w:trHeight w:val="284"/>
        </w:trPr>
        <w:tc>
          <w:tcPr>
            <w:tcW w:w="3523" w:type="dxa"/>
            <w:tcMar>
              <w:top w:w="12" w:type="dxa"/>
              <w:left w:w="12" w:type="dxa"/>
              <w:bottom w:w="0" w:type="dxa"/>
              <w:right w:w="12" w:type="dxa"/>
            </w:tcMar>
          </w:tcPr>
          <w:p w14:paraId="1991595D" w14:textId="77777777" w:rsidR="00A512CD" w:rsidRPr="00626E47" w:rsidRDefault="00A512CD" w:rsidP="00A512CD">
            <w:pPr>
              <w:pStyle w:val="TableCellCenter"/>
              <w:spacing w:after="0"/>
              <w:jc w:val="left"/>
              <w:rPr>
                <w:rFonts w:asciiTheme="minorHAnsi" w:hAnsiTheme="minorHAnsi"/>
                <w:sz w:val="20"/>
                <w:szCs w:val="20"/>
                <w:lang w:val="en-AU"/>
              </w:rPr>
            </w:pPr>
            <w:r w:rsidRPr="00626E47">
              <w:rPr>
                <w:rFonts w:asciiTheme="minorHAnsi" w:hAnsiTheme="minorHAnsi"/>
                <w:i/>
                <w:sz w:val="20"/>
                <w:szCs w:val="20"/>
                <w:lang w:val="en-GB"/>
              </w:rPr>
              <w:t>Nervous system disorders</w:t>
            </w:r>
          </w:p>
        </w:tc>
        <w:tc>
          <w:tcPr>
            <w:tcW w:w="2142" w:type="dxa"/>
            <w:tcMar>
              <w:top w:w="12" w:type="dxa"/>
              <w:left w:w="12" w:type="dxa"/>
              <w:bottom w:w="0" w:type="dxa"/>
              <w:right w:w="12" w:type="dxa"/>
            </w:tcMar>
          </w:tcPr>
          <w:p w14:paraId="781E01A0" w14:textId="77777777" w:rsidR="00A512CD" w:rsidRPr="00626E47" w:rsidRDefault="00A512CD" w:rsidP="00A512CD">
            <w:pPr>
              <w:pStyle w:val="TableCellCenter"/>
              <w:spacing w:after="0"/>
              <w:rPr>
                <w:rFonts w:asciiTheme="minorHAnsi" w:hAnsiTheme="minorHAnsi"/>
                <w:sz w:val="20"/>
                <w:szCs w:val="20"/>
                <w:lang w:val="en-GB"/>
              </w:rPr>
            </w:pPr>
          </w:p>
        </w:tc>
        <w:tc>
          <w:tcPr>
            <w:tcW w:w="2127" w:type="dxa"/>
          </w:tcPr>
          <w:p w14:paraId="323143D9" w14:textId="77777777" w:rsidR="00A512CD" w:rsidRPr="00626E47" w:rsidRDefault="00A512CD" w:rsidP="00A512CD">
            <w:pPr>
              <w:pStyle w:val="TableCellCenter"/>
              <w:tabs>
                <w:tab w:val="left" w:pos="453"/>
                <w:tab w:val="center" w:pos="1067"/>
              </w:tabs>
              <w:spacing w:after="0"/>
              <w:rPr>
                <w:rFonts w:asciiTheme="minorHAnsi" w:hAnsiTheme="minorHAnsi"/>
                <w:sz w:val="20"/>
                <w:szCs w:val="20"/>
                <w:lang w:val="en-GB"/>
              </w:rPr>
            </w:pPr>
          </w:p>
        </w:tc>
      </w:tr>
      <w:tr w:rsidR="00A512CD" w:rsidRPr="00626E47" w14:paraId="3F0B4156" w14:textId="77777777" w:rsidTr="00240A65">
        <w:trPr>
          <w:cantSplit/>
          <w:trHeight w:val="284"/>
        </w:trPr>
        <w:tc>
          <w:tcPr>
            <w:tcW w:w="3523" w:type="dxa"/>
            <w:tcMar>
              <w:top w:w="12" w:type="dxa"/>
              <w:left w:w="12" w:type="dxa"/>
              <w:bottom w:w="0" w:type="dxa"/>
              <w:right w:w="12" w:type="dxa"/>
            </w:tcMar>
          </w:tcPr>
          <w:p w14:paraId="7836761F" w14:textId="77777777" w:rsidR="00A512CD" w:rsidRPr="00626E47" w:rsidRDefault="00A512CD" w:rsidP="00A512CD">
            <w:pPr>
              <w:pStyle w:val="TableCellCenter"/>
              <w:spacing w:after="0"/>
              <w:ind w:left="267"/>
              <w:jc w:val="left"/>
              <w:rPr>
                <w:rFonts w:asciiTheme="minorHAnsi" w:hAnsiTheme="minorHAnsi"/>
                <w:sz w:val="20"/>
                <w:szCs w:val="20"/>
                <w:lang w:val="en-AU"/>
              </w:rPr>
            </w:pPr>
            <w:r w:rsidRPr="00626E47">
              <w:rPr>
                <w:rFonts w:asciiTheme="minorHAnsi" w:hAnsiTheme="minorHAnsi"/>
                <w:sz w:val="20"/>
                <w:szCs w:val="20"/>
                <w:lang w:val="en-AU"/>
              </w:rPr>
              <w:t>Headache</w:t>
            </w:r>
            <w:r w:rsidRPr="00B12026">
              <w:rPr>
                <w:rFonts w:ascii="Arial" w:hAnsi="Arial" w:cs="Arial"/>
                <w:sz w:val="20"/>
                <w:szCs w:val="20"/>
                <w:vertAlign w:val="superscript"/>
                <w:lang w:val="en-GB"/>
              </w:rPr>
              <w:t>#</w:t>
            </w:r>
          </w:p>
        </w:tc>
        <w:tc>
          <w:tcPr>
            <w:tcW w:w="2142" w:type="dxa"/>
            <w:tcMar>
              <w:top w:w="12" w:type="dxa"/>
              <w:left w:w="12" w:type="dxa"/>
              <w:bottom w:w="0" w:type="dxa"/>
              <w:right w:w="12" w:type="dxa"/>
            </w:tcMar>
          </w:tcPr>
          <w:p w14:paraId="5C5E8569" w14:textId="77777777" w:rsidR="00A512CD" w:rsidRPr="00626E47" w:rsidRDefault="00A512CD" w:rsidP="00A512CD">
            <w:pPr>
              <w:pStyle w:val="TableCellCenter"/>
              <w:spacing w:after="0"/>
              <w:rPr>
                <w:rFonts w:asciiTheme="minorHAnsi" w:hAnsiTheme="minorHAnsi"/>
                <w:sz w:val="20"/>
                <w:szCs w:val="20"/>
                <w:lang w:val="en-AU"/>
              </w:rPr>
            </w:pPr>
            <w:r w:rsidRPr="00626E47">
              <w:rPr>
                <w:rFonts w:asciiTheme="minorHAnsi" w:hAnsiTheme="minorHAnsi"/>
                <w:sz w:val="20"/>
                <w:szCs w:val="20"/>
                <w:lang w:val="en-AU"/>
              </w:rPr>
              <w:t>21 (35.6%)</w:t>
            </w:r>
          </w:p>
        </w:tc>
        <w:tc>
          <w:tcPr>
            <w:tcW w:w="2127" w:type="dxa"/>
          </w:tcPr>
          <w:p w14:paraId="3130FA9E" w14:textId="77777777" w:rsidR="00A512CD" w:rsidRPr="00626E47" w:rsidRDefault="00A512CD" w:rsidP="00A512CD">
            <w:pPr>
              <w:pStyle w:val="TableCellCenter"/>
              <w:tabs>
                <w:tab w:val="left" w:pos="453"/>
                <w:tab w:val="center" w:pos="1067"/>
              </w:tabs>
              <w:spacing w:after="0"/>
              <w:rPr>
                <w:rFonts w:asciiTheme="minorHAnsi" w:hAnsiTheme="minorHAnsi"/>
                <w:sz w:val="20"/>
                <w:szCs w:val="20"/>
                <w:lang w:val="en-AU"/>
              </w:rPr>
            </w:pPr>
            <w:r w:rsidRPr="00626E47">
              <w:rPr>
                <w:rFonts w:asciiTheme="minorHAnsi" w:hAnsiTheme="minorHAnsi"/>
                <w:sz w:val="20"/>
                <w:szCs w:val="20"/>
                <w:lang w:val="en-AU"/>
              </w:rPr>
              <w:t>24 (41.4%)</w:t>
            </w:r>
          </w:p>
        </w:tc>
      </w:tr>
      <w:tr w:rsidR="00A512CD" w:rsidRPr="00626E47" w14:paraId="653355C9" w14:textId="77777777" w:rsidTr="00240A65">
        <w:trPr>
          <w:cantSplit/>
          <w:trHeight w:val="284"/>
        </w:trPr>
        <w:tc>
          <w:tcPr>
            <w:tcW w:w="3523" w:type="dxa"/>
            <w:tcMar>
              <w:top w:w="12" w:type="dxa"/>
              <w:left w:w="12" w:type="dxa"/>
              <w:bottom w:w="0" w:type="dxa"/>
              <w:right w:w="12" w:type="dxa"/>
            </w:tcMar>
          </w:tcPr>
          <w:p w14:paraId="2DD65417" w14:textId="77777777" w:rsidR="00A512CD" w:rsidRPr="00626E47" w:rsidRDefault="00A512CD" w:rsidP="00A512CD">
            <w:pPr>
              <w:pStyle w:val="TableCellCenter"/>
              <w:spacing w:after="0"/>
              <w:ind w:left="267"/>
              <w:jc w:val="left"/>
              <w:rPr>
                <w:rFonts w:asciiTheme="minorHAnsi" w:hAnsiTheme="minorHAnsi"/>
                <w:sz w:val="20"/>
                <w:szCs w:val="20"/>
                <w:lang w:val="en-AU"/>
              </w:rPr>
            </w:pPr>
            <w:r w:rsidRPr="00626E47">
              <w:rPr>
                <w:rFonts w:asciiTheme="minorHAnsi" w:hAnsiTheme="minorHAnsi"/>
                <w:sz w:val="20"/>
                <w:szCs w:val="20"/>
                <w:lang w:val="en-AU"/>
              </w:rPr>
              <w:t>Dizziness</w:t>
            </w:r>
            <w:r w:rsidRPr="00B12026">
              <w:rPr>
                <w:rFonts w:ascii="Arial" w:hAnsi="Arial" w:cs="Arial"/>
                <w:sz w:val="20"/>
                <w:szCs w:val="20"/>
                <w:vertAlign w:val="superscript"/>
                <w:lang w:val="en-GB"/>
              </w:rPr>
              <w:t>#</w:t>
            </w:r>
          </w:p>
        </w:tc>
        <w:tc>
          <w:tcPr>
            <w:tcW w:w="2142" w:type="dxa"/>
            <w:tcMar>
              <w:top w:w="12" w:type="dxa"/>
              <w:left w:w="12" w:type="dxa"/>
              <w:bottom w:w="0" w:type="dxa"/>
              <w:right w:w="12" w:type="dxa"/>
            </w:tcMar>
          </w:tcPr>
          <w:p w14:paraId="1264B3A6" w14:textId="77777777" w:rsidR="00A512CD" w:rsidRPr="00626E47" w:rsidRDefault="00A512CD" w:rsidP="00A512CD">
            <w:pPr>
              <w:pStyle w:val="TableCellCenter"/>
              <w:spacing w:after="0"/>
              <w:rPr>
                <w:rFonts w:asciiTheme="minorHAnsi" w:hAnsiTheme="minorHAnsi"/>
                <w:sz w:val="20"/>
                <w:szCs w:val="20"/>
                <w:lang w:val="en-AU"/>
              </w:rPr>
            </w:pPr>
            <w:r w:rsidRPr="00626E47">
              <w:rPr>
                <w:rFonts w:asciiTheme="minorHAnsi" w:hAnsiTheme="minorHAnsi"/>
                <w:sz w:val="20"/>
                <w:szCs w:val="20"/>
                <w:lang w:val="en-AU"/>
              </w:rPr>
              <w:t>3 (5.1%)</w:t>
            </w:r>
          </w:p>
        </w:tc>
        <w:tc>
          <w:tcPr>
            <w:tcW w:w="2127" w:type="dxa"/>
          </w:tcPr>
          <w:p w14:paraId="3C4CB11C" w14:textId="77777777" w:rsidR="00A512CD" w:rsidRPr="00626E47" w:rsidRDefault="00A512CD" w:rsidP="00A512CD">
            <w:pPr>
              <w:pStyle w:val="TableCellCenter"/>
              <w:tabs>
                <w:tab w:val="left" w:pos="453"/>
                <w:tab w:val="center" w:pos="1067"/>
              </w:tabs>
              <w:spacing w:after="0"/>
              <w:rPr>
                <w:rFonts w:asciiTheme="minorHAnsi" w:hAnsiTheme="minorHAnsi"/>
                <w:sz w:val="20"/>
                <w:szCs w:val="20"/>
                <w:lang w:val="en-AU"/>
              </w:rPr>
            </w:pPr>
            <w:r w:rsidRPr="00626E47">
              <w:rPr>
                <w:rFonts w:asciiTheme="minorHAnsi" w:hAnsiTheme="minorHAnsi"/>
                <w:sz w:val="20"/>
                <w:szCs w:val="20"/>
                <w:lang w:val="en-AU"/>
              </w:rPr>
              <w:t>7 (12.1%)</w:t>
            </w:r>
          </w:p>
        </w:tc>
      </w:tr>
      <w:tr w:rsidR="00A512CD" w:rsidRPr="00626E47" w14:paraId="34F1C206" w14:textId="77777777" w:rsidTr="00240A65">
        <w:trPr>
          <w:cantSplit/>
          <w:trHeight w:val="284"/>
        </w:trPr>
        <w:tc>
          <w:tcPr>
            <w:tcW w:w="3523" w:type="dxa"/>
            <w:tcMar>
              <w:top w:w="12" w:type="dxa"/>
              <w:left w:w="12" w:type="dxa"/>
              <w:bottom w:w="0" w:type="dxa"/>
              <w:right w:w="12" w:type="dxa"/>
            </w:tcMar>
          </w:tcPr>
          <w:p w14:paraId="7D6EFF52" w14:textId="77777777" w:rsidR="00A512CD" w:rsidRPr="00626E47" w:rsidRDefault="00A512CD" w:rsidP="00A512CD">
            <w:pPr>
              <w:pStyle w:val="TableCellCenter"/>
              <w:spacing w:after="0"/>
              <w:ind w:left="267"/>
              <w:jc w:val="left"/>
              <w:rPr>
                <w:rFonts w:asciiTheme="minorHAnsi" w:hAnsiTheme="minorHAnsi"/>
                <w:sz w:val="20"/>
                <w:szCs w:val="20"/>
                <w:lang w:val="en-AU"/>
              </w:rPr>
            </w:pPr>
            <w:r w:rsidRPr="00626E47">
              <w:rPr>
                <w:rFonts w:asciiTheme="minorHAnsi" w:hAnsiTheme="minorHAnsi"/>
                <w:sz w:val="20"/>
                <w:szCs w:val="20"/>
                <w:lang w:val="en-AU"/>
              </w:rPr>
              <w:t>Paraesthesia</w:t>
            </w:r>
          </w:p>
        </w:tc>
        <w:tc>
          <w:tcPr>
            <w:tcW w:w="2142" w:type="dxa"/>
            <w:tcMar>
              <w:top w:w="12" w:type="dxa"/>
              <w:left w:w="12" w:type="dxa"/>
              <w:bottom w:w="0" w:type="dxa"/>
              <w:right w:w="12" w:type="dxa"/>
            </w:tcMar>
          </w:tcPr>
          <w:p w14:paraId="2645DDEF" w14:textId="77777777" w:rsidR="00A512CD" w:rsidRPr="00626E47" w:rsidRDefault="00A512CD" w:rsidP="00A512CD">
            <w:pPr>
              <w:pStyle w:val="TableCellCenter"/>
              <w:spacing w:after="0"/>
              <w:rPr>
                <w:rFonts w:asciiTheme="minorHAnsi" w:hAnsiTheme="minorHAnsi"/>
                <w:sz w:val="20"/>
                <w:szCs w:val="20"/>
                <w:lang w:val="en-AU"/>
              </w:rPr>
            </w:pPr>
            <w:r w:rsidRPr="00626E47">
              <w:rPr>
                <w:rFonts w:asciiTheme="minorHAnsi" w:hAnsiTheme="minorHAnsi"/>
                <w:sz w:val="20"/>
                <w:szCs w:val="20"/>
                <w:lang w:val="en-AU"/>
              </w:rPr>
              <w:t>0</w:t>
            </w:r>
          </w:p>
        </w:tc>
        <w:tc>
          <w:tcPr>
            <w:tcW w:w="2127" w:type="dxa"/>
          </w:tcPr>
          <w:p w14:paraId="615FD817" w14:textId="77777777" w:rsidR="00A512CD" w:rsidRPr="00626E47" w:rsidRDefault="00A512CD" w:rsidP="00A512CD">
            <w:pPr>
              <w:pStyle w:val="TableCellCenter"/>
              <w:tabs>
                <w:tab w:val="left" w:pos="453"/>
                <w:tab w:val="center" w:pos="1067"/>
              </w:tabs>
              <w:spacing w:after="0"/>
              <w:rPr>
                <w:rFonts w:asciiTheme="minorHAnsi" w:hAnsiTheme="minorHAnsi"/>
                <w:sz w:val="20"/>
                <w:szCs w:val="20"/>
                <w:lang w:val="en-AU"/>
              </w:rPr>
            </w:pPr>
            <w:r w:rsidRPr="00626E47">
              <w:rPr>
                <w:rFonts w:asciiTheme="minorHAnsi" w:hAnsiTheme="minorHAnsi"/>
                <w:sz w:val="20"/>
                <w:szCs w:val="20"/>
                <w:lang w:val="en-AU"/>
              </w:rPr>
              <w:t>3 (5.2%)</w:t>
            </w:r>
          </w:p>
        </w:tc>
      </w:tr>
      <w:tr w:rsidR="00A512CD" w:rsidRPr="00626E47" w14:paraId="2EAD33D2" w14:textId="77777777" w:rsidTr="00240A65">
        <w:trPr>
          <w:cantSplit/>
          <w:trHeight w:val="284"/>
        </w:trPr>
        <w:tc>
          <w:tcPr>
            <w:tcW w:w="3523" w:type="dxa"/>
            <w:tcMar>
              <w:top w:w="12" w:type="dxa"/>
              <w:left w:w="12" w:type="dxa"/>
              <w:bottom w:w="0" w:type="dxa"/>
              <w:right w:w="12" w:type="dxa"/>
            </w:tcMar>
          </w:tcPr>
          <w:p w14:paraId="39AD2796" w14:textId="77777777" w:rsidR="00A512CD" w:rsidRPr="00626E47" w:rsidRDefault="00A512CD" w:rsidP="00A512CD">
            <w:pPr>
              <w:pStyle w:val="TableCellCenter"/>
              <w:spacing w:after="0"/>
              <w:ind w:left="267"/>
              <w:jc w:val="left"/>
              <w:rPr>
                <w:rFonts w:asciiTheme="minorHAnsi" w:hAnsiTheme="minorHAnsi"/>
                <w:sz w:val="20"/>
                <w:szCs w:val="20"/>
                <w:lang w:val="en-AU"/>
              </w:rPr>
            </w:pPr>
            <w:r w:rsidRPr="00626E47">
              <w:rPr>
                <w:rFonts w:asciiTheme="minorHAnsi" w:hAnsiTheme="minorHAnsi"/>
                <w:sz w:val="20"/>
                <w:szCs w:val="20"/>
                <w:lang w:val="en-AU"/>
              </w:rPr>
              <w:t>Somnolence</w:t>
            </w:r>
          </w:p>
        </w:tc>
        <w:tc>
          <w:tcPr>
            <w:tcW w:w="2142" w:type="dxa"/>
            <w:tcMar>
              <w:top w:w="12" w:type="dxa"/>
              <w:left w:w="12" w:type="dxa"/>
              <w:bottom w:w="0" w:type="dxa"/>
              <w:right w:w="12" w:type="dxa"/>
            </w:tcMar>
          </w:tcPr>
          <w:p w14:paraId="42D4834D" w14:textId="77777777" w:rsidR="00A512CD" w:rsidRPr="00626E47" w:rsidRDefault="00A512CD" w:rsidP="00A512CD">
            <w:pPr>
              <w:pStyle w:val="TableCellCenter"/>
              <w:spacing w:after="0"/>
              <w:rPr>
                <w:rFonts w:asciiTheme="minorHAnsi" w:hAnsiTheme="minorHAnsi"/>
                <w:sz w:val="20"/>
                <w:szCs w:val="20"/>
                <w:lang w:val="en-AU"/>
              </w:rPr>
            </w:pPr>
            <w:r w:rsidRPr="00626E47">
              <w:rPr>
                <w:rFonts w:asciiTheme="minorHAnsi" w:hAnsiTheme="minorHAnsi"/>
                <w:sz w:val="20"/>
                <w:szCs w:val="20"/>
                <w:lang w:val="en-AU"/>
              </w:rPr>
              <w:t>0</w:t>
            </w:r>
          </w:p>
        </w:tc>
        <w:tc>
          <w:tcPr>
            <w:tcW w:w="2127" w:type="dxa"/>
          </w:tcPr>
          <w:p w14:paraId="6DBE0AB2" w14:textId="77777777" w:rsidR="00A512CD" w:rsidRPr="00626E47" w:rsidRDefault="00A512CD" w:rsidP="00A512CD">
            <w:pPr>
              <w:pStyle w:val="TableCellCenter"/>
              <w:tabs>
                <w:tab w:val="left" w:pos="453"/>
                <w:tab w:val="center" w:pos="1067"/>
              </w:tabs>
              <w:spacing w:after="0"/>
              <w:rPr>
                <w:rFonts w:asciiTheme="minorHAnsi" w:hAnsiTheme="minorHAnsi"/>
                <w:sz w:val="20"/>
                <w:szCs w:val="20"/>
                <w:lang w:val="en-AU"/>
              </w:rPr>
            </w:pPr>
            <w:r w:rsidRPr="00626E47">
              <w:rPr>
                <w:rFonts w:asciiTheme="minorHAnsi" w:hAnsiTheme="minorHAnsi"/>
                <w:sz w:val="20"/>
                <w:szCs w:val="20"/>
                <w:lang w:val="en-AU"/>
              </w:rPr>
              <w:t>3 (5.2%)</w:t>
            </w:r>
          </w:p>
        </w:tc>
      </w:tr>
      <w:tr w:rsidR="00A512CD" w:rsidRPr="00626E47" w14:paraId="3F15F023" w14:textId="77777777" w:rsidTr="00240A65">
        <w:trPr>
          <w:cantSplit/>
          <w:trHeight w:val="284"/>
        </w:trPr>
        <w:tc>
          <w:tcPr>
            <w:tcW w:w="3523" w:type="dxa"/>
            <w:tcMar>
              <w:top w:w="12" w:type="dxa"/>
              <w:left w:w="12" w:type="dxa"/>
              <w:bottom w:w="0" w:type="dxa"/>
              <w:right w:w="12" w:type="dxa"/>
            </w:tcMar>
          </w:tcPr>
          <w:p w14:paraId="45A9BB28" w14:textId="77777777" w:rsidR="00A512CD" w:rsidRPr="00626E47" w:rsidRDefault="00A512CD" w:rsidP="00A512CD">
            <w:pPr>
              <w:pStyle w:val="TableCellCenter"/>
              <w:spacing w:after="0"/>
              <w:jc w:val="left"/>
              <w:rPr>
                <w:rFonts w:asciiTheme="minorHAnsi" w:hAnsiTheme="minorHAnsi"/>
                <w:sz w:val="20"/>
                <w:szCs w:val="20"/>
                <w:lang w:val="en-AU"/>
              </w:rPr>
            </w:pPr>
            <w:r w:rsidRPr="00626E47">
              <w:rPr>
                <w:rFonts w:asciiTheme="minorHAnsi" w:hAnsiTheme="minorHAnsi"/>
                <w:i/>
                <w:sz w:val="20"/>
                <w:szCs w:val="20"/>
                <w:lang w:val="en-GB"/>
              </w:rPr>
              <w:t>Musculoskeletal and connective tissue disorders</w:t>
            </w:r>
          </w:p>
        </w:tc>
        <w:tc>
          <w:tcPr>
            <w:tcW w:w="2142" w:type="dxa"/>
            <w:tcMar>
              <w:top w:w="12" w:type="dxa"/>
              <w:left w:w="12" w:type="dxa"/>
              <w:bottom w:w="0" w:type="dxa"/>
              <w:right w:w="12" w:type="dxa"/>
            </w:tcMar>
          </w:tcPr>
          <w:p w14:paraId="1B7DCC65" w14:textId="77777777" w:rsidR="00A512CD" w:rsidRPr="00626E47" w:rsidRDefault="00A512CD" w:rsidP="00A512CD">
            <w:pPr>
              <w:pStyle w:val="TableCellCenter"/>
              <w:spacing w:after="0"/>
              <w:ind w:left="267"/>
              <w:jc w:val="left"/>
              <w:rPr>
                <w:rFonts w:asciiTheme="minorHAnsi" w:hAnsiTheme="minorHAnsi"/>
                <w:sz w:val="20"/>
                <w:szCs w:val="20"/>
                <w:lang w:val="en-GB"/>
              </w:rPr>
            </w:pPr>
          </w:p>
        </w:tc>
        <w:tc>
          <w:tcPr>
            <w:tcW w:w="2127" w:type="dxa"/>
          </w:tcPr>
          <w:p w14:paraId="4416F085" w14:textId="77777777" w:rsidR="00A512CD" w:rsidRPr="00626E47" w:rsidRDefault="00A512CD" w:rsidP="00A512CD">
            <w:pPr>
              <w:pStyle w:val="TableCellCenter"/>
              <w:tabs>
                <w:tab w:val="left" w:pos="453"/>
                <w:tab w:val="center" w:pos="1067"/>
              </w:tabs>
              <w:spacing w:after="0"/>
              <w:ind w:left="267"/>
              <w:jc w:val="left"/>
              <w:rPr>
                <w:rFonts w:asciiTheme="minorHAnsi" w:hAnsiTheme="minorHAnsi"/>
                <w:sz w:val="20"/>
                <w:szCs w:val="20"/>
                <w:lang w:val="en-GB"/>
              </w:rPr>
            </w:pPr>
          </w:p>
        </w:tc>
      </w:tr>
      <w:tr w:rsidR="00A512CD" w:rsidRPr="00626E47" w14:paraId="0BE1FAF3" w14:textId="77777777" w:rsidTr="00240A65">
        <w:trPr>
          <w:cantSplit/>
          <w:trHeight w:val="288"/>
        </w:trPr>
        <w:tc>
          <w:tcPr>
            <w:tcW w:w="3523" w:type="dxa"/>
            <w:tcMar>
              <w:top w:w="12" w:type="dxa"/>
              <w:left w:w="12" w:type="dxa"/>
              <w:bottom w:w="0" w:type="dxa"/>
              <w:right w:w="12" w:type="dxa"/>
            </w:tcMar>
          </w:tcPr>
          <w:p w14:paraId="47AA560A" w14:textId="77777777" w:rsidR="00A512CD" w:rsidRPr="00626E47" w:rsidRDefault="00A512CD" w:rsidP="00A512CD">
            <w:pPr>
              <w:pStyle w:val="TableCellCenter"/>
              <w:spacing w:after="0"/>
              <w:ind w:left="267"/>
              <w:jc w:val="left"/>
              <w:rPr>
                <w:rFonts w:asciiTheme="minorHAnsi" w:hAnsiTheme="minorHAnsi"/>
                <w:sz w:val="20"/>
                <w:szCs w:val="20"/>
                <w:lang w:val="en-GB"/>
              </w:rPr>
            </w:pPr>
            <w:r w:rsidRPr="00626E47">
              <w:rPr>
                <w:rFonts w:asciiTheme="minorHAnsi" w:hAnsiTheme="minorHAnsi"/>
                <w:sz w:val="20"/>
                <w:szCs w:val="20"/>
                <w:lang w:val="en-GB"/>
              </w:rPr>
              <w:t>Neck pain</w:t>
            </w:r>
          </w:p>
        </w:tc>
        <w:tc>
          <w:tcPr>
            <w:tcW w:w="2142" w:type="dxa"/>
            <w:tcMar>
              <w:top w:w="12" w:type="dxa"/>
              <w:left w:w="12" w:type="dxa"/>
              <w:bottom w:w="0" w:type="dxa"/>
              <w:right w:w="12" w:type="dxa"/>
            </w:tcMar>
          </w:tcPr>
          <w:p w14:paraId="6CB3A9FA" w14:textId="77777777" w:rsidR="00A512CD" w:rsidRPr="00626E47" w:rsidRDefault="00A512CD" w:rsidP="00A512CD">
            <w:pPr>
              <w:pStyle w:val="TableCellCenter"/>
              <w:spacing w:after="0"/>
              <w:rPr>
                <w:rFonts w:asciiTheme="minorHAnsi" w:hAnsiTheme="minorHAnsi"/>
                <w:sz w:val="20"/>
                <w:szCs w:val="20"/>
                <w:lang w:val="en-AU"/>
              </w:rPr>
            </w:pPr>
            <w:r w:rsidRPr="00626E47">
              <w:rPr>
                <w:rFonts w:asciiTheme="minorHAnsi" w:hAnsiTheme="minorHAnsi"/>
                <w:sz w:val="20"/>
                <w:szCs w:val="20"/>
                <w:lang w:val="en-AU"/>
              </w:rPr>
              <w:t>0</w:t>
            </w:r>
          </w:p>
        </w:tc>
        <w:tc>
          <w:tcPr>
            <w:tcW w:w="2127" w:type="dxa"/>
          </w:tcPr>
          <w:p w14:paraId="438CCEAF" w14:textId="77777777" w:rsidR="00A512CD" w:rsidRPr="00626E47" w:rsidRDefault="00A512CD" w:rsidP="00A512CD">
            <w:pPr>
              <w:pStyle w:val="TableCellCenter"/>
              <w:spacing w:after="0"/>
              <w:rPr>
                <w:rFonts w:asciiTheme="minorHAnsi" w:hAnsiTheme="minorHAnsi"/>
                <w:sz w:val="20"/>
                <w:szCs w:val="20"/>
                <w:lang w:val="en-AU"/>
              </w:rPr>
            </w:pPr>
            <w:r w:rsidRPr="00626E47">
              <w:rPr>
                <w:rFonts w:asciiTheme="minorHAnsi" w:hAnsiTheme="minorHAnsi"/>
                <w:sz w:val="20"/>
                <w:szCs w:val="20"/>
                <w:lang w:val="en-AU"/>
              </w:rPr>
              <w:t>5 (8.6%)</w:t>
            </w:r>
          </w:p>
        </w:tc>
      </w:tr>
      <w:tr w:rsidR="00A512CD" w:rsidRPr="00626E47" w14:paraId="19F54088" w14:textId="77777777" w:rsidTr="00240A65">
        <w:trPr>
          <w:cantSplit/>
          <w:trHeight w:val="284"/>
        </w:trPr>
        <w:tc>
          <w:tcPr>
            <w:tcW w:w="3523" w:type="dxa"/>
            <w:tcMar>
              <w:top w:w="12" w:type="dxa"/>
              <w:left w:w="12" w:type="dxa"/>
              <w:bottom w:w="0" w:type="dxa"/>
              <w:right w:w="12" w:type="dxa"/>
            </w:tcMar>
          </w:tcPr>
          <w:p w14:paraId="7764FAEA" w14:textId="77777777" w:rsidR="00A512CD" w:rsidRPr="00626E47" w:rsidRDefault="00A512CD" w:rsidP="00A512CD">
            <w:pPr>
              <w:pStyle w:val="TableCellCenter"/>
              <w:spacing w:after="0"/>
              <w:ind w:left="267"/>
              <w:jc w:val="left"/>
              <w:rPr>
                <w:rFonts w:asciiTheme="minorHAnsi" w:hAnsiTheme="minorHAnsi"/>
                <w:sz w:val="20"/>
                <w:szCs w:val="20"/>
                <w:lang w:val="en-GB"/>
              </w:rPr>
            </w:pPr>
            <w:r w:rsidRPr="00626E47">
              <w:rPr>
                <w:rFonts w:asciiTheme="minorHAnsi" w:hAnsiTheme="minorHAnsi"/>
                <w:sz w:val="20"/>
                <w:szCs w:val="20"/>
                <w:lang w:val="en-GB"/>
              </w:rPr>
              <w:t>Myalgia</w:t>
            </w:r>
            <w:r w:rsidRPr="00B12026">
              <w:rPr>
                <w:rFonts w:ascii="Arial" w:hAnsi="Arial" w:cs="Arial"/>
                <w:sz w:val="20"/>
                <w:szCs w:val="20"/>
                <w:vertAlign w:val="superscript"/>
                <w:lang w:val="en-GB"/>
              </w:rPr>
              <w:t>#</w:t>
            </w:r>
          </w:p>
        </w:tc>
        <w:tc>
          <w:tcPr>
            <w:tcW w:w="2142" w:type="dxa"/>
            <w:tcMar>
              <w:top w:w="12" w:type="dxa"/>
              <w:left w:w="12" w:type="dxa"/>
              <w:bottom w:w="0" w:type="dxa"/>
              <w:right w:w="12" w:type="dxa"/>
            </w:tcMar>
          </w:tcPr>
          <w:p w14:paraId="77FADD83" w14:textId="77777777" w:rsidR="00A512CD" w:rsidRPr="00626E47" w:rsidRDefault="00A512CD" w:rsidP="00A512CD">
            <w:pPr>
              <w:pStyle w:val="TableCellCenter"/>
              <w:spacing w:after="0"/>
              <w:rPr>
                <w:rFonts w:asciiTheme="minorHAnsi" w:hAnsiTheme="minorHAnsi"/>
                <w:sz w:val="20"/>
                <w:szCs w:val="20"/>
                <w:lang w:val="en-AU"/>
              </w:rPr>
            </w:pPr>
            <w:r w:rsidRPr="00626E47">
              <w:rPr>
                <w:rFonts w:asciiTheme="minorHAnsi" w:hAnsiTheme="minorHAnsi"/>
                <w:sz w:val="20"/>
                <w:szCs w:val="20"/>
                <w:lang w:val="en-AU"/>
              </w:rPr>
              <w:t>0</w:t>
            </w:r>
          </w:p>
        </w:tc>
        <w:tc>
          <w:tcPr>
            <w:tcW w:w="2127" w:type="dxa"/>
          </w:tcPr>
          <w:p w14:paraId="6E10EA31" w14:textId="77777777" w:rsidR="00A512CD" w:rsidRPr="00626E47" w:rsidRDefault="00A512CD" w:rsidP="00A512CD">
            <w:pPr>
              <w:pStyle w:val="TableCellCenter"/>
              <w:tabs>
                <w:tab w:val="left" w:pos="453"/>
                <w:tab w:val="center" w:pos="1067"/>
              </w:tabs>
              <w:spacing w:after="0"/>
              <w:rPr>
                <w:rFonts w:asciiTheme="minorHAnsi" w:hAnsiTheme="minorHAnsi"/>
                <w:sz w:val="20"/>
                <w:szCs w:val="20"/>
                <w:lang w:val="en-AU"/>
              </w:rPr>
            </w:pPr>
            <w:r w:rsidRPr="00626E47">
              <w:rPr>
                <w:rFonts w:asciiTheme="minorHAnsi" w:hAnsiTheme="minorHAnsi"/>
                <w:sz w:val="20"/>
                <w:szCs w:val="20"/>
                <w:lang w:val="en-AU"/>
              </w:rPr>
              <w:t>3 (5.2%)</w:t>
            </w:r>
          </w:p>
        </w:tc>
      </w:tr>
      <w:tr w:rsidR="00A512CD" w:rsidRPr="00626E47" w14:paraId="172D3701" w14:textId="77777777" w:rsidTr="00240A65">
        <w:trPr>
          <w:cantSplit/>
          <w:trHeight w:val="288"/>
        </w:trPr>
        <w:tc>
          <w:tcPr>
            <w:tcW w:w="3523" w:type="dxa"/>
            <w:tcMar>
              <w:top w:w="12" w:type="dxa"/>
              <w:left w:w="12" w:type="dxa"/>
              <w:bottom w:w="0" w:type="dxa"/>
              <w:right w:w="12" w:type="dxa"/>
            </w:tcMar>
          </w:tcPr>
          <w:p w14:paraId="70B95614" w14:textId="77777777" w:rsidR="00A512CD" w:rsidRPr="00626E47" w:rsidRDefault="00A512CD" w:rsidP="00A512CD">
            <w:pPr>
              <w:pStyle w:val="TableCellCenter"/>
              <w:spacing w:after="0"/>
              <w:jc w:val="left"/>
              <w:rPr>
                <w:rFonts w:asciiTheme="minorHAnsi" w:hAnsiTheme="minorHAnsi"/>
                <w:i/>
                <w:sz w:val="20"/>
                <w:szCs w:val="20"/>
                <w:lang w:val="en-GB"/>
              </w:rPr>
            </w:pPr>
            <w:r w:rsidRPr="00626E47">
              <w:rPr>
                <w:rFonts w:asciiTheme="minorHAnsi" w:hAnsiTheme="minorHAnsi"/>
                <w:i/>
                <w:sz w:val="20"/>
                <w:szCs w:val="20"/>
                <w:lang w:val="en-GB"/>
              </w:rPr>
              <w:t>Skin and subcutaneous tissue disorders</w:t>
            </w:r>
          </w:p>
        </w:tc>
        <w:tc>
          <w:tcPr>
            <w:tcW w:w="2142" w:type="dxa"/>
            <w:tcMar>
              <w:top w:w="12" w:type="dxa"/>
              <w:left w:w="12" w:type="dxa"/>
              <w:bottom w:w="0" w:type="dxa"/>
              <w:right w:w="12" w:type="dxa"/>
            </w:tcMar>
          </w:tcPr>
          <w:p w14:paraId="112831B5" w14:textId="77777777" w:rsidR="00A512CD" w:rsidRPr="00626E47" w:rsidRDefault="00A512CD" w:rsidP="00A512CD">
            <w:pPr>
              <w:pStyle w:val="TableCellCenter"/>
              <w:spacing w:after="0"/>
              <w:rPr>
                <w:rFonts w:asciiTheme="minorHAnsi" w:hAnsiTheme="minorHAnsi"/>
                <w:sz w:val="20"/>
                <w:szCs w:val="20"/>
                <w:lang w:val="en-AU"/>
              </w:rPr>
            </w:pPr>
          </w:p>
        </w:tc>
        <w:tc>
          <w:tcPr>
            <w:tcW w:w="2127" w:type="dxa"/>
          </w:tcPr>
          <w:p w14:paraId="4E07AAB8" w14:textId="77777777" w:rsidR="00A512CD" w:rsidRPr="00626E47" w:rsidRDefault="00A512CD" w:rsidP="00A512CD">
            <w:pPr>
              <w:pStyle w:val="TableCellCenter"/>
              <w:spacing w:after="0"/>
              <w:rPr>
                <w:rFonts w:asciiTheme="minorHAnsi" w:hAnsiTheme="minorHAnsi"/>
                <w:sz w:val="20"/>
                <w:szCs w:val="20"/>
                <w:lang w:val="en-AU"/>
              </w:rPr>
            </w:pPr>
          </w:p>
        </w:tc>
      </w:tr>
      <w:tr w:rsidR="00A512CD" w:rsidRPr="00626E47" w14:paraId="2F1D369B" w14:textId="77777777" w:rsidTr="00240A65">
        <w:trPr>
          <w:cantSplit/>
          <w:trHeight w:val="284"/>
        </w:trPr>
        <w:tc>
          <w:tcPr>
            <w:tcW w:w="3523" w:type="dxa"/>
            <w:tcMar>
              <w:top w:w="12" w:type="dxa"/>
              <w:left w:w="12" w:type="dxa"/>
              <w:bottom w:w="0" w:type="dxa"/>
              <w:right w:w="12" w:type="dxa"/>
            </w:tcMar>
          </w:tcPr>
          <w:p w14:paraId="3CA3D2E4" w14:textId="77777777" w:rsidR="00A512CD" w:rsidRPr="00626E47" w:rsidRDefault="00A512CD" w:rsidP="00A512CD">
            <w:pPr>
              <w:pStyle w:val="TableCellCenter"/>
              <w:spacing w:after="0"/>
              <w:ind w:left="267"/>
              <w:jc w:val="left"/>
              <w:rPr>
                <w:rFonts w:asciiTheme="minorHAnsi" w:hAnsiTheme="minorHAnsi"/>
                <w:sz w:val="20"/>
                <w:szCs w:val="20"/>
                <w:lang w:val="en-AU"/>
              </w:rPr>
            </w:pPr>
            <w:proofErr w:type="spellStart"/>
            <w:r w:rsidRPr="00626E47">
              <w:rPr>
                <w:rFonts w:asciiTheme="minorHAnsi" w:hAnsiTheme="minorHAnsi"/>
                <w:sz w:val="20"/>
                <w:szCs w:val="20"/>
                <w:lang w:val="en-GB"/>
              </w:rPr>
              <w:t>Urticaria</w:t>
            </w:r>
            <w:proofErr w:type="spellEnd"/>
          </w:p>
        </w:tc>
        <w:tc>
          <w:tcPr>
            <w:tcW w:w="2142" w:type="dxa"/>
            <w:tcMar>
              <w:top w:w="12" w:type="dxa"/>
              <w:left w:w="12" w:type="dxa"/>
              <w:bottom w:w="0" w:type="dxa"/>
              <w:right w:w="12" w:type="dxa"/>
            </w:tcMar>
          </w:tcPr>
          <w:p w14:paraId="73DE5123" w14:textId="77777777" w:rsidR="00A512CD" w:rsidRPr="00626E47" w:rsidRDefault="00A512CD" w:rsidP="00A512CD">
            <w:pPr>
              <w:pStyle w:val="TableCellCenter"/>
              <w:spacing w:after="0"/>
              <w:rPr>
                <w:rFonts w:asciiTheme="minorHAnsi" w:hAnsiTheme="minorHAnsi"/>
                <w:sz w:val="20"/>
                <w:szCs w:val="20"/>
                <w:lang w:val="en-AU"/>
              </w:rPr>
            </w:pPr>
            <w:r w:rsidRPr="00626E47">
              <w:rPr>
                <w:rFonts w:asciiTheme="minorHAnsi" w:hAnsiTheme="minorHAnsi"/>
                <w:sz w:val="20"/>
                <w:szCs w:val="20"/>
                <w:lang w:val="en-AU"/>
              </w:rPr>
              <w:t>0</w:t>
            </w:r>
          </w:p>
        </w:tc>
        <w:tc>
          <w:tcPr>
            <w:tcW w:w="2127" w:type="dxa"/>
          </w:tcPr>
          <w:p w14:paraId="32DBA387" w14:textId="77777777" w:rsidR="00A512CD" w:rsidRPr="00626E47" w:rsidRDefault="00A512CD" w:rsidP="00A512CD">
            <w:pPr>
              <w:pStyle w:val="TableCellCenter"/>
              <w:tabs>
                <w:tab w:val="left" w:pos="453"/>
                <w:tab w:val="center" w:pos="1067"/>
              </w:tabs>
              <w:spacing w:after="0"/>
              <w:rPr>
                <w:rFonts w:asciiTheme="minorHAnsi" w:hAnsiTheme="minorHAnsi"/>
                <w:sz w:val="20"/>
                <w:szCs w:val="20"/>
                <w:lang w:val="en-AU"/>
              </w:rPr>
            </w:pPr>
            <w:r w:rsidRPr="00626E47">
              <w:rPr>
                <w:rFonts w:asciiTheme="minorHAnsi" w:hAnsiTheme="minorHAnsi"/>
                <w:sz w:val="20"/>
                <w:szCs w:val="20"/>
                <w:lang w:val="en-AU"/>
              </w:rPr>
              <w:t>4 (6.9%)</w:t>
            </w:r>
          </w:p>
        </w:tc>
      </w:tr>
      <w:tr w:rsidR="00A512CD" w:rsidRPr="00626E47" w14:paraId="2398436A" w14:textId="77777777" w:rsidTr="00240A65">
        <w:trPr>
          <w:cantSplit/>
          <w:trHeight w:val="284"/>
        </w:trPr>
        <w:tc>
          <w:tcPr>
            <w:tcW w:w="3523" w:type="dxa"/>
            <w:tcMar>
              <w:top w:w="12" w:type="dxa"/>
              <w:left w:w="12" w:type="dxa"/>
              <w:bottom w:w="0" w:type="dxa"/>
              <w:right w:w="12" w:type="dxa"/>
            </w:tcMar>
          </w:tcPr>
          <w:p w14:paraId="0EC49381" w14:textId="77777777" w:rsidR="00A512CD" w:rsidRPr="00626E47" w:rsidRDefault="00A512CD" w:rsidP="00A512CD">
            <w:pPr>
              <w:pStyle w:val="TableCellCenter"/>
              <w:spacing w:after="0"/>
              <w:jc w:val="left"/>
              <w:rPr>
                <w:rFonts w:asciiTheme="minorHAnsi" w:hAnsiTheme="minorHAnsi"/>
                <w:i/>
                <w:sz w:val="20"/>
                <w:szCs w:val="20"/>
                <w:lang w:val="en-GB"/>
              </w:rPr>
            </w:pPr>
            <w:r w:rsidRPr="00626E47">
              <w:rPr>
                <w:rFonts w:asciiTheme="minorHAnsi" w:hAnsiTheme="minorHAnsi"/>
                <w:i/>
                <w:sz w:val="20"/>
                <w:szCs w:val="20"/>
                <w:lang w:val="en-GB"/>
              </w:rPr>
              <w:t>Vascular disorders</w:t>
            </w:r>
          </w:p>
        </w:tc>
        <w:tc>
          <w:tcPr>
            <w:tcW w:w="2142" w:type="dxa"/>
            <w:tcMar>
              <w:top w:w="12" w:type="dxa"/>
              <w:left w:w="12" w:type="dxa"/>
              <w:bottom w:w="0" w:type="dxa"/>
              <w:right w:w="12" w:type="dxa"/>
            </w:tcMar>
          </w:tcPr>
          <w:p w14:paraId="265B825F" w14:textId="77777777" w:rsidR="00A512CD" w:rsidRPr="00626E47" w:rsidRDefault="00A512CD" w:rsidP="00A512CD">
            <w:pPr>
              <w:pStyle w:val="TableCellCenter"/>
              <w:spacing w:after="0"/>
              <w:rPr>
                <w:rFonts w:asciiTheme="minorHAnsi" w:hAnsiTheme="minorHAnsi"/>
                <w:sz w:val="20"/>
                <w:szCs w:val="20"/>
                <w:lang w:val="en-GB"/>
              </w:rPr>
            </w:pPr>
          </w:p>
        </w:tc>
        <w:tc>
          <w:tcPr>
            <w:tcW w:w="2127" w:type="dxa"/>
          </w:tcPr>
          <w:p w14:paraId="1FA54D6E" w14:textId="77777777" w:rsidR="00A512CD" w:rsidRPr="00626E47" w:rsidRDefault="00A512CD" w:rsidP="00A512CD">
            <w:pPr>
              <w:pStyle w:val="TableCellCenter"/>
              <w:tabs>
                <w:tab w:val="left" w:pos="453"/>
                <w:tab w:val="center" w:pos="1067"/>
              </w:tabs>
              <w:spacing w:after="0"/>
              <w:rPr>
                <w:rFonts w:asciiTheme="minorHAnsi" w:hAnsiTheme="minorHAnsi"/>
                <w:sz w:val="20"/>
                <w:szCs w:val="20"/>
                <w:lang w:val="en-GB"/>
              </w:rPr>
            </w:pPr>
          </w:p>
        </w:tc>
      </w:tr>
      <w:tr w:rsidR="00A512CD" w:rsidRPr="00626E47" w14:paraId="00013EFA" w14:textId="77777777" w:rsidTr="00240A65">
        <w:trPr>
          <w:cantSplit/>
          <w:trHeight w:val="284"/>
        </w:trPr>
        <w:tc>
          <w:tcPr>
            <w:tcW w:w="3523" w:type="dxa"/>
            <w:tcMar>
              <w:top w:w="12" w:type="dxa"/>
              <w:left w:w="12" w:type="dxa"/>
              <w:bottom w:w="0" w:type="dxa"/>
              <w:right w:w="12" w:type="dxa"/>
            </w:tcMar>
          </w:tcPr>
          <w:p w14:paraId="235EF3CE" w14:textId="77777777" w:rsidR="00A512CD" w:rsidRPr="00626E47" w:rsidRDefault="00A512CD" w:rsidP="00A512CD">
            <w:pPr>
              <w:pStyle w:val="TableCellCenter"/>
              <w:spacing w:after="0"/>
              <w:ind w:left="267"/>
              <w:jc w:val="left"/>
              <w:rPr>
                <w:rFonts w:asciiTheme="minorHAnsi" w:hAnsiTheme="minorHAnsi"/>
                <w:sz w:val="20"/>
                <w:szCs w:val="20"/>
                <w:lang w:val="en-GB"/>
              </w:rPr>
            </w:pPr>
            <w:r w:rsidRPr="00626E47">
              <w:rPr>
                <w:rFonts w:asciiTheme="minorHAnsi" w:hAnsiTheme="minorHAnsi"/>
                <w:sz w:val="20"/>
                <w:szCs w:val="20"/>
                <w:lang w:val="en-GB"/>
              </w:rPr>
              <w:t>Flushing</w:t>
            </w:r>
          </w:p>
        </w:tc>
        <w:tc>
          <w:tcPr>
            <w:tcW w:w="2142" w:type="dxa"/>
            <w:tcMar>
              <w:top w:w="12" w:type="dxa"/>
              <w:left w:w="12" w:type="dxa"/>
              <w:bottom w:w="0" w:type="dxa"/>
              <w:right w:w="12" w:type="dxa"/>
            </w:tcMar>
          </w:tcPr>
          <w:p w14:paraId="0CBBE574" w14:textId="77777777" w:rsidR="00A512CD" w:rsidRPr="00626E47" w:rsidRDefault="00A512CD" w:rsidP="00A512CD">
            <w:pPr>
              <w:pStyle w:val="TableCellCenter"/>
              <w:spacing w:after="0"/>
              <w:rPr>
                <w:rFonts w:asciiTheme="minorHAnsi" w:hAnsiTheme="minorHAnsi"/>
                <w:sz w:val="20"/>
                <w:szCs w:val="20"/>
                <w:lang w:val="en-GB"/>
              </w:rPr>
            </w:pPr>
            <w:r w:rsidRPr="00626E47">
              <w:rPr>
                <w:rFonts w:asciiTheme="minorHAnsi" w:hAnsiTheme="minorHAnsi"/>
                <w:sz w:val="20"/>
                <w:szCs w:val="20"/>
                <w:lang w:val="en-GB"/>
              </w:rPr>
              <w:t>0</w:t>
            </w:r>
          </w:p>
        </w:tc>
        <w:tc>
          <w:tcPr>
            <w:tcW w:w="2127" w:type="dxa"/>
          </w:tcPr>
          <w:p w14:paraId="1F5E4EC9" w14:textId="77777777" w:rsidR="00A512CD" w:rsidRPr="00626E47" w:rsidRDefault="00A512CD" w:rsidP="00A512CD">
            <w:pPr>
              <w:pStyle w:val="TableCellCenter"/>
              <w:spacing w:after="0"/>
              <w:rPr>
                <w:rFonts w:asciiTheme="minorHAnsi" w:hAnsiTheme="minorHAnsi"/>
                <w:sz w:val="20"/>
                <w:szCs w:val="20"/>
                <w:lang w:val="en-GB"/>
              </w:rPr>
            </w:pPr>
            <w:r w:rsidRPr="00626E47">
              <w:rPr>
                <w:rFonts w:asciiTheme="minorHAnsi" w:hAnsiTheme="minorHAnsi"/>
                <w:sz w:val="20"/>
                <w:szCs w:val="20"/>
                <w:lang w:val="en-AU"/>
              </w:rPr>
              <w:t>5 (8.6%)</w:t>
            </w:r>
          </w:p>
        </w:tc>
      </w:tr>
      <w:tr w:rsidR="00A512CD" w:rsidRPr="00626E47" w14:paraId="1681A228" w14:textId="77777777" w:rsidTr="00240A65">
        <w:trPr>
          <w:cantSplit/>
          <w:trHeight w:val="284"/>
        </w:trPr>
        <w:tc>
          <w:tcPr>
            <w:tcW w:w="3523" w:type="dxa"/>
            <w:tcMar>
              <w:top w:w="12" w:type="dxa"/>
              <w:left w:w="12" w:type="dxa"/>
              <w:bottom w:w="0" w:type="dxa"/>
              <w:right w:w="12" w:type="dxa"/>
            </w:tcMar>
          </w:tcPr>
          <w:p w14:paraId="4AD9BB03" w14:textId="77777777" w:rsidR="00A512CD" w:rsidRPr="00626E47" w:rsidRDefault="00A512CD" w:rsidP="00A512CD">
            <w:pPr>
              <w:pStyle w:val="TableCellCenter"/>
              <w:spacing w:after="0"/>
              <w:jc w:val="left"/>
              <w:rPr>
                <w:rFonts w:asciiTheme="minorHAnsi" w:hAnsiTheme="minorHAnsi"/>
                <w:i/>
                <w:sz w:val="20"/>
                <w:szCs w:val="20"/>
                <w:lang w:val="en-GB"/>
              </w:rPr>
            </w:pPr>
            <w:r w:rsidRPr="00626E47">
              <w:rPr>
                <w:rFonts w:asciiTheme="minorHAnsi" w:hAnsiTheme="minorHAnsi"/>
                <w:i/>
                <w:sz w:val="20"/>
                <w:szCs w:val="20"/>
                <w:lang w:val="en-GB"/>
              </w:rPr>
              <w:t>Psychiatric disorders</w:t>
            </w:r>
          </w:p>
        </w:tc>
        <w:tc>
          <w:tcPr>
            <w:tcW w:w="2142" w:type="dxa"/>
            <w:tcMar>
              <w:top w:w="12" w:type="dxa"/>
              <w:left w:w="12" w:type="dxa"/>
              <w:bottom w:w="0" w:type="dxa"/>
              <w:right w:w="12" w:type="dxa"/>
            </w:tcMar>
          </w:tcPr>
          <w:p w14:paraId="1DE832CB" w14:textId="77777777" w:rsidR="00A512CD" w:rsidRPr="00626E47" w:rsidRDefault="00A512CD" w:rsidP="00A512CD">
            <w:pPr>
              <w:pStyle w:val="TableCellCenter"/>
              <w:spacing w:after="0"/>
              <w:rPr>
                <w:rFonts w:asciiTheme="minorHAnsi" w:hAnsiTheme="minorHAnsi"/>
                <w:sz w:val="20"/>
                <w:szCs w:val="20"/>
                <w:lang w:val="en-GB"/>
              </w:rPr>
            </w:pPr>
          </w:p>
        </w:tc>
        <w:tc>
          <w:tcPr>
            <w:tcW w:w="2127" w:type="dxa"/>
          </w:tcPr>
          <w:p w14:paraId="6FF148C5" w14:textId="77777777" w:rsidR="00A512CD" w:rsidRPr="00626E47" w:rsidRDefault="00A512CD" w:rsidP="00A512CD">
            <w:pPr>
              <w:pStyle w:val="TableCellCenter"/>
              <w:tabs>
                <w:tab w:val="left" w:pos="453"/>
                <w:tab w:val="center" w:pos="1067"/>
              </w:tabs>
              <w:spacing w:after="0"/>
              <w:rPr>
                <w:rFonts w:asciiTheme="minorHAnsi" w:hAnsiTheme="minorHAnsi"/>
                <w:sz w:val="20"/>
                <w:szCs w:val="20"/>
                <w:lang w:val="en-GB"/>
              </w:rPr>
            </w:pPr>
          </w:p>
        </w:tc>
      </w:tr>
      <w:tr w:rsidR="00A512CD" w:rsidRPr="00626E47" w14:paraId="3CDB0969" w14:textId="77777777" w:rsidTr="00240A65">
        <w:trPr>
          <w:cantSplit/>
          <w:trHeight w:val="284"/>
        </w:trPr>
        <w:tc>
          <w:tcPr>
            <w:tcW w:w="3523" w:type="dxa"/>
            <w:tcMar>
              <w:top w:w="12" w:type="dxa"/>
              <w:left w:w="12" w:type="dxa"/>
              <w:bottom w:w="0" w:type="dxa"/>
              <w:right w:w="12" w:type="dxa"/>
            </w:tcMar>
          </w:tcPr>
          <w:p w14:paraId="0636A44A" w14:textId="77777777" w:rsidR="00A512CD" w:rsidRPr="00626E47" w:rsidRDefault="00A512CD" w:rsidP="00A512CD">
            <w:pPr>
              <w:pStyle w:val="TableCellCenter"/>
              <w:spacing w:after="0"/>
              <w:ind w:left="267"/>
              <w:jc w:val="left"/>
              <w:rPr>
                <w:rFonts w:asciiTheme="minorHAnsi" w:hAnsiTheme="minorHAnsi"/>
                <w:sz w:val="20"/>
                <w:szCs w:val="20"/>
                <w:lang w:val="en-GB"/>
              </w:rPr>
            </w:pPr>
            <w:r w:rsidRPr="00626E47">
              <w:rPr>
                <w:rFonts w:asciiTheme="minorHAnsi" w:hAnsiTheme="minorHAnsi"/>
                <w:sz w:val="20"/>
                <w:szCs w:val="20"/>
                <w:lang w:val="en-GB"/>
              </w:rPr>
              <w:t>Agitation</w:t>
            </w:r>
          </w:p>
        </w:tc>
        <w:tc>
          <w:tcPr>
            <w:tcW w:w="2142" w:type="dxa"/>
            <w:tcMar>
              <w:top w:w="12" w:type="dxa"/>
              <w:left w:w="12" w:type="dxa"/>
              <w:bottom w:w="0" w:type="dxa"/>
              <w:right w:w="12" w:type="dxa"/>
            </w:tcMar>
          </w:tcPr>
          <w:p w14:paraId="7949507E" w14:textId="77777777" w:rsidR="00A512CD" w:rsidRPr="00626E47" w:rsidRDefault="00A512CD" w:rsidP="00A512CD">
            <w:pPr>
              <w:pStyle w:val="TableCellCenter"/>
              <w:spacing w:after="0"/>
              <w:rPr>
                <w:rFonts w:asciiTheme="minorHAnsi" w:hAnsiTheme="minorHAnsi"/>
                <w:sz w:val="20"/>
                <w:szCs w:val="20"/>
                <w:lang w:val="en-GB"/>
              </w:rPr>
            </w:pPr>
            <w:r w:rsidRPr="00626E47">
              <w:rPr>
                <w:rFonts w:asciiTheme="minorHAnsi" w:hAnsiTheme="minorHAnsi"/>
                <w:sz w:val="20"/>
                <w:szCs w:val="20"/>
                <w:lang w:val="en-GB"/>
              </w:rPr>
              <w:t>0</w:t>
            </w:r>
          </w:p>
        </w:tc>
        <w:tc>
          <w:tcPr>
            <w:tcW w:w="2127" w:type="dxa"/>
          </w:tcPr>
          <w:p w14:paraId="0CA1F906" w14:textId="77777777" w:rsidR="00A512CD" w:rsidRPr="00626E47" w:rsidRDefault="00A512CD" w:rsidP="00A512CD">
            <w:pPr>
              <w:pStyle w:val="TableCellCenter"/>
              <w:tabs>
                <w:tab w:val="left" w:pos="453"/>
                <w:tab w:val="center" w:pos="1067"/>
              </w:tabs>
              <w:spacing w:after="0"/>
              <w:rPr>
                <w:rFonts w:asciiTheme="minorHAnsi" w:hAnsiTheme="minorHAnsi"/>
                <w:sz w:val="20"/>
                <w:szCs w:val="20"/>
                <w:lang w:val="en-GB"/>
              </w:rPr>
            </w:pPr>
            <w:r w:rsidRPr="00626E47">
              <w:rPr>
                <w:rFonts w:asciiTheme="minorHAnsi" w:hAnsiTheme="minorHAnsi"/>
                <w:sz w:val="20"/>
                <w:szCs w:val="20"/>
                <w:lang w:val="en-GB"/>
              </w:rPr>
              <w:t>3 (5.2%)</w:t>
            </w:r>
          </w:p>
        </w:tc>
      </w:tr>
      <w:tr w:rsidR="00A512CD" w:rsidRPr="00626E47" w14:paraId="0B15FA07" w14:textId="77777777" w:rsidTr="00240A65">
        <w:trPr>
          <w:cantSplit/>
          <w:trHeight w:val="311"/>
        </w:trPr>
        <w:tc>
          <w:tcPr>
            <w:tcW w:w="3523" w:type="dxa"/>
            <w:tcMar>
              <w:top w:w="12" w:type="dxa"/>
              <w:left w:w="12" w:type="dxa"/>
              <w:bottom w:w="0" w:type="dxa"/>
              <w:right w:w="12" w:type="dxa"/>
            </w:tcMar>
          </w:tcPr>
          <w:p w14:paraId="3A04DDC2" w14:textId="77777777" w:rsidR="00A512CD" w:rsidRPr="00626E47" w:rsidRDefault="00A512CD" w:rsidP="00A512CD">
            <w:pPr>
              <w:pStyle w:val="TableCellCenter"/>
              <w:spacing w:after="0"/>
              <w:jc w:val="left"/>
              <w:rPr>
                <w:rFonts w:asciiTheme="minorHAnsi" w:hAnsiTheme="minorHAnsi"/>
                <w:i/>
                <w:sz w:val="20"/>
                <w:szCs w:val="20"/>
                <w:lang w:val="en-GB"/>
              </w:rPr>
            </w:pPr>
            <w:r w:rsidRPr="00626E47">
              <w:rPr>
                <w:rFonts w:asciiTheme="minorHAnsi" w:hAnsiTheme="minorHAnsi"/>
                <w:i/>
                <w:sz w:val="20"/>
                <w:szCs w:val="20"/>
                <w:lang w:val="en-GB"/>
              </w:rPr>
              <w:t>Eye disorders</w:t>
            </w:r>
          </w:p>
        </w:tc>
        <w:tc>
          <w:tcPr>
            <w:tcW w:w="2142" w:type="dxa"/>
            <w:tcMar>
              <w:top w:w="12" w:type="dxa"/>
              <w:left w:w="12" w:type="dxa"/>
              <w:bottom w:w="0" w:type="dxa"/>
              <w:right w:w="12" w:type="dxa"/>
            </w:tcMar>
          </w:tcPr>
          <w:p w14:paraId="67BC226E" w14:textId="77777777" w:rsidR="00A512CD" w:rsidRPr="00626E47" w:rsidRDefault="00A512CD" w:rsidP="00A512CD">
            <w:pPr>
              <w:pStyle w:val="TableCellCenter"/>
              <w:spacing w:after="0"/>
              <w:jc w:val="left"/>
              <w:rPr>
                <w:rFonts w:asciiTheme="minorHAnsi" w:hAnsiTheme="minorHAnsi"/>
                <w:i/>
                <w:sz w:val="20"/>
                <w:szCs w:val="20"/>
                <w:lang w:val="en-GB"/>
              </w:rPr>
            </w:pPr>
          </w:p>
        </w:tc>
        <w:tc>
          <w:tcPr>
            <w:tcW w:w="2127" w:type="dxa"/>
          </w:tcPr>
          <w:p w14:paraId="3781D6B0" w14:textId="77777777" w:rsidR="00A512CD" w:rsidRPr="00626E47" w:rsidRDefault="00A512CD" w:rsidP="00A512CD">
            <w:pPr>
              <w:pStyle w:val="TableCellCenter"/>
              <w:spacing w:after="0"/>
              <w:jc w:val="left"/>
              <w:rPr>
                <w:rFonts w:asciiTheme="minorHAnsi" w:hAnsiTheme="minorHAnsi"/>
                <w:i/>
                <w:sz w:val="20"/>
                <w:szCs w:val="20"/>
                <w:lang w:val="en-GB"/>
              </w:rPr>
            </w:pPr>
          </w:p>
        </w:tc>
      </w:tr>
      <w:tr w:rsidR="00A512CD" w:rsidRPr="00626E47" w14:paraId="4F2DE662" w14:textId="77777777" w:rsidTr="00240A65">
        <w:trPr>
          <w:cantSplit/>
          <w:trHeight w:val="284"/>
        </w:trPr>
        <w:tc>
          <w:tcPr>
            <w:tcW w:w="3523" w:type="dxa"/>
            <w:tcMar>
              <w:top w:w="12" w:type="dxa"/>
              <w:left w:w="12" w:type="dxa"/>
              <w:bottom w:w="0" w:type="dxa"/>
              <w:right w:w="12" w:type="dxa"/>
            </w:tcMar>
          </w:tcPr>
          <w:p w14:paraId="65259B15" w14:textId="77777777" w:rsidR="00A512CD" w:rsidRPr="00626E47" w:rsidRDefault="00A512CD" w:rsidP="00A512CD">
            <w:pPr>
              <w:pStyle w:val="TableCellCenter"/>
              <w:spacing w:after="0"/>
              <w:ind w:left="267"/>
              <w:jc w:val="left"/>
              <w:rPr>
                <w:rFonts w:asciiTheme="minorHAnsi" w:hAnsiTheme="minorHAnsi"/>
                <w:sz w:val="20"/>
                <w:szCs w:val="20"/>
                <w:lang w:val="en-GB"/>
              </w:rPr>
            </w:pPr>
            <w:r w:rsidRPr="00626E47">
              <w:rPr>
                <w:rFonts w:asciiTheme="minorHAnsi" w:hAnsiTheme="minorHAnsi"/>
                <w:sz w:val="20"/>
                <w:szCs w:val="20"/>
                <w:lang w:val="en-GB"/>
              </w:rPr>
              <w:t>Corneal opacity</w:t>
            </w:r>
          </w:p>
        </w:tc>
        <w:tc>
          <w:tcPr>
            <w:tcW w:w="2142" w:type="dxa"/>
            <w:tcMar>
              <w:top w:w="12" w:type="dxa"/>
              <w:left w:w="12" w:type="dxa"/>
              <w:bottom w:w="0" w:type="dxa"/>
              <w:right w:w="12" w:type="dxa"/>
            </w:tcMar>
          </w:tcPr>
          <w:p w14:paraId="6EBB6BD6" w14:textId="77777777" w:rsidR="00A512CD" w:rsidRPr="00626E47" w:rsidRDefault="00A512CD" w:rsidP="00A512CD">
            <w:pPr>
              <w:pStyle w:val="TableCellCenter"/>
              <w:spacing w:after="0"/>
              <w:rPr>
                <w:rFonts w:asciiTheme="minorHAnsi" w:hAnsiTheme="minorHAnsi"/>
                <w:sz w:val="20"/>
                <w:szCs w:val="20"/>
                <w:lang w:val="en-GB"/>
              </w:rPr>
            </w:pPr>
            <w:r w:rsidRPr="00626E47">
              <w:rPr>
                <w:rFonts w:asciiTheme="minorHAnsi" w:hAnsiTheme="minorHAnsi"/>
                <w:sz w:val="20"/>
                <w:szCs w:val="20"/>
                <w:lang w:val="en-GB"/>
              </w:rPr>
              <w:t>1 (1.7%)</w:t>
            </w:r>
          </w:p>
        </w:tc>
        <w:tc>
          <w:tcPr>
            <w:tcW w:w="2127" w:type="dxa"/>
          </w:tcPr>
          <w:p w14:paraId="2724F092" w14:textId="77777777" w:rsidR="00A512CD" w:rsidRPr="00626E47" w:rsidRDefault="00A512CD" w:rsidP="00A512CD">
            <w:pPr>
              <w:pStyle w:val="TableCellCenter"/>
              <w:spacing w:after="0"/>
              <w:rPr>
                <w:rFonts w:asciiTheme="minorHAnsi" w:hAnsiTheme="minorHAnsi"/>
                <w:sz w:val="20"/>
                <w:szCs w:val="20"/>
                <w:lang w:val="en-GB"/>
              </w:rPr>
            </w:pPr>
            <w:r w:rsidRPr="00626E47">
              <w:rPr>
                <w:rFonts w:asciiTheme="minorHAnsi" w:hAnsiTheme="minorHAnsi"/>
                <w:sz w:val="20"/>
                <w:szCs w:val="20"/>
                <w:lang w:val="en-GB"/>
              </w:rPr>
              <w:t>5 (8.6%)</w:t>
            </w:r>
          </w:p>
        </w:tc>
      </w:tr>
    </w:tbl>
    <w:p w14:paraId="2EEC132C" w14:textId="77777777" w:rsidR="00A512CD" w:rsidRPr="00626E47" w:rsidRDefault="00A512CD" w:rsidP="00AA1A00">
      <w:pPr>
        <w:adjustRightInd w:val="0"/>
        <w:spacing w:after="0" w:line="240" w:lineRule="auto"/>
        <w:rPr>
          <w:bCs/>
          <w:iCs/>
          <w:sz w:val="20"/>
          <w:szCs w:val="20"/>
        </w:rPr>
      </w:pPr>
      <w:r w:rsidRPr="00B12026">
        <w:rPr>
          <w:rFonts w:ascii="Arial" w:hAnsi="Arial" w:cs="Arial"/>
          <w:sz w:val="20"/>
          <w:szCs w:val="20"/>
          <w:vertAlign w:val="superscript"/>
          <w:lang w:val="en-GB"/>
        </w:rPr>
        <w:t>#</w:t>
      </w:r>
      <w:proofErr w:type="gramStart"/>
      <w:r w:rsidRPr="00626E47">
        <w:rPr>
          <w:bCs/>
          <w:iCs/>
          <w:sz w:val="20"/>
          <w:szCs w:val="20"/>
        </w:rPr>
        <w:t>Adverse</w:t>
      </w:r>
      <w:proofErr w:type="gramEnd"/>
      <w:r w:rsidRPr="00626E47">
        <w:rPr>
          <w:bCs/>
          <w:iCs/>
          <w:sz w:val="20"/>
          <w:szCs w:val="20"/>
        </w:rPr>
        <w:t xml:space="preserve"> events that are also adverse reactions</w:t>
      </w:r>
    </w:p>
    <w:p w14:paraId="24FAF2A5" w14:textId="77777777" w:rsidR="00386B85" w:rsidRDefault="00386B85" w:rsidP="00386B85">
      <w:pPr>
        <w:keepNext/>
        <w:spacing w:after="0" w:line="240" w:lineRule="auto"/>
        <w:rPr>
          <w:bCs/>
        </w:rPr>
      </w:pPr>
      <w:r w:rsidRPr="00386B85">
        <w:rPr>
          <w:bCs/>
        </w:rPr>
        <w:t xml:space="preserve">Serious adverse events occurred more frequently in patients receiving </w:t>
      </w:r>
      <w:proofErr w:type="spellStart"/>
      <w:r w:rsidRPr="00386B85">
        <w:rPr>
          <w:bCs/>
        </w:rPr>
        <w:t>Vimizim</w:t>
      </w:r>
      <w:proofErr w:type="spellEnd"/>
      <w:r w:rsidRPr="00386B85">
        <w:rPr>
          <w:bCs/>
        </w:rPr>
        <w:t xml:space="preserve"> every week (15.5%) than in placebo treated patients (3.4%), regardless of causality.</w:t>
      </w:r>
    </w:p>
    <w:p w14:paraId="4CDAD5EE" w14:textId="77777777" w:rsidR="00386B85" w:rsidRPr="00386B85" w:rsidRDefault="00386B85" w:rsidP="00386B85">
      <w:pPr>
        <w:keepNext/>
        <w:spacing w:after="0" w:line="240" w:lineRule="auto"/>
        <w:rPr>
          <w:bCs/>
        </w:rPr>
      </w:pPr>
    </w:p>
    <w:p w14:paraId="1F22CDD5" w14:textId="77777777" w:rsidR="00A512CD" w:rsidRDefault="00A512CD" w:rsidP="00A16B7D">
      <w:pPr>
        <w:pStyle w:val="Heading3"/>
        <w:adjustRightInd w:val="0"/>
        <w:rPr>
          <w:bCs/>
        </w:rPr>
      </w:pPr>
      <w:r w:rsidRPr="000E6666">
        <w:t xml:space="preserve">Other Adverse Reactions not </w:t>
      </w:r>
      <w:proofErr w:type="gramStart"/>
      <w:r w:rsidRPr="000E6666">
        <w:t>Listed</w:t>
      </w:r>
      <w:proofErr w:type="gramEnd"/>
      <w:r w:rsidRPr="000E6666">
        <w:t xml:space="preserve"> in the Table</w:t>
      </w:r>
      <w:r>
        <w:rPr>
          <w:bCs/>
        </w:rPr>
        <w:t xml:space="preserve"> </w:t>
      </w:r>
    </w:p>
    <w:p w14:paraId="153F1D41" w14:textId="77777777" w:rsidR="00A512CD" w:rsidRPr="00AF4B0B" w:rsidRDefault="00A512CD" w:rsidP="00A16B7D">
      <w:pPr>
        <w:pStyle w:val="Heading3"/>
        <w:adjustRightInd w:val="0"/>
        <w:rPr>
          <w:bCs/>
        </w:rPr>
      </w:pPr>
    </w:p>
    <w:p w14:paraId="3151F4EC" w14:textId="77777777" w:rsidR="00A512CD" w:rsidRPr="00626E47" w:rsidRDefault="00A512CD" w:rsidP="00A16B7D">
      <w:pPr>
        <w:pStyle w:val="BodyText"/>
        <w:keepNext/>
        <w:adjustRightInd w:val="0"/>
        <w:spacing w:after="0" w:line="240" w:lineRule="auto"/>
        <w:rPr>
          <w:iCs/>
        </w:rPr>
      </w:pPr>
      <w:r w:rsidRPr="0059437D">
        <w:rPr>
          <w:bCs/>
        </w:rPr>
        <w:t xml:space="preserve">In the placebo controlled </w:t>
      </w:r>
      <w:r>
        <w:rPr>
          <w:bCs/>
        </w:rPr>
        <w:t xml:space="preserve">study, </w:t>
      </w:r>
      <w:r w:rsidRPr="009A7442">
        <w:rPr>
          <w:bCs/>
        </w:rPr>
        <w:t>hypersensitivity was reported in 7 (5.9%)</w:t>
      </w:r>
      <w:r w:rsidRPr="0059437D">
        <w:rPr>
          <w:bCs/>
        </w:rPr>
        <w:t xml:space="preserve"> patients receiving </w:t>
      </w:r>
      <w:proofErr w:type="spellStart"/>
      <w:r w:rsidRPr="009775EE">
        <w:rPr>
          <w:bCs/>
        </w:rPr>
        <w:t>Vimizim</w:t>
      </w:r>
      <w:proofErr w:type="spellEnd"/>
      <w:r w:rsidRPr="009775EE">
        <w:rPr>
          <w:bCs/>
        </w:rPr>
        <w:t xml:space="preserve"> in both 2 mg/kg per week and 2 mg/kg every other week group</w:t>
      </w:r>
      <w:r>
        <w:rPr>
          <w:bCs/>
        </w:rPr>
        <w:t>s</w:t>
      </w:r>
      <w:r w:rsidRPr="009775EE">
        <w:rPr>
          <w:bCs/>
        </w:rPr>
        <w:t xml:space="preserve"> compared to 1</w:t>
      </w:r>
      <w:r>
        <w:rPr>
          <w:bCs/>
        </w:rPr>
        <w:t> </w:t>
      </w:r>
      <w:r w:rsidRPr="009775EE">
        <w:rPr>
          <w:bCs/>
        </w:rPr>
        <w:t xml:space="preserve">(1.7%) patient in the placebo group. Severe hypersensitivity was reported in one of these patients in the 2 mg/kg </w:t>
      </w:r>
      <w:proofErr w:type="spellStart"/>
      <w:r w:rsidRPr="009775EE">
        <w:rPr>
          <w:bCs/>
        </w:rPr>
        <w:t>Vimizim</w:t>
      </w:r>
      <w:proofErr w:type="spellEnd"/>
      <w:r w:rsidRPr="009775EE">
        <w:rPr>
          <w:bCs/>
        </w:rPr>
        <w:t xml:space="preserve"> per week group. Anaphylactic reaction</w:t>
      </w:r>
      <w:r>
        <w:rPr>
          <w:bCs/>
        </w:rPr>
        <w:t xml:space="preserve"> </w:t>
      </w:r>
      <w:r w:rsidRPr="009775EE">
        <w:rPr>
          <w:bCs/>
        </w:rPr>
        <w:t>was also reported in one patient in the</w:t>
      </w:r>
      <w:r>
        <w:rPr>
          <w:bCs/>
        </w:rPr>
        <w:t xml:space="preserve"> </w:t>
      </w:r>
      <w:r w:rsidRPr="009775EE">
        <w:rPr>
          <w:bCs/>
        </w:rPr>
        <w:t xml:space="preserve">2 mg/kg </w:t>
      </w:r>
      <w:r>
        <w:rPr>
          <w:bCs/>
        </w:rPr>
        <w:t xml:space="preserve"> </w:t>
      </w:r>
      <w:proofErr w:type="spellStart"/>
      <w:r>
        <w:rPr>
          <w:bCs/>
        </w:rPr>
        <w:t>Vimizim</w:t>
      </w:r>
      <w:proofErr w:type="spellEnd"/>
      <w:r w:rsidRPr="009775EE">
        <w:rPr>
          <w:bCs/>
        </w:rPr>
        <w:t xml:space="preserve"> every other week group 6 weeks after initiating study medication</w:t>
      </w:r>
      <w:r>
        <w:rPr>
          <w:bCs/>
        </w:rPr>
        <w:t xml:space="preserve"> (see PRECAUTIONS, Anaphylaxis and Severe Allergic Reaction)</w:t>
      </w:r>
      <w:r w:rsidRPr="009775EE">
        <w:rPr>
          <w:bCs/>
        </w:rPr>
        <w:t>.</w:t>
      </w:r>
    </w:p>
    <w:p w14:paraId="5A79AB64" w14:textId="77777777" w:rsidR="00A16B7D" w:rsidRDefault="00A16B7D" w:rsidP="00A16B7D">
      <w:pPr>
        <w:pStyle w:val="BodyText"/>
        <w:keepNext/>
        <w:adjustRightInd w:val="0"/>
        <w:spacing w:after="0" w:line="240" w:lineRule="auto"/>
        <w:rPr>
          <w:bCs/>
        </w:rPr>
      </w:pPr>
    </w:p>
    <w:p w14:paraId="302DBEF4" w14:textId="77777777" w:rsidR="00A512CD" w:rsidRPr="00626E47" w:rsidRDefault="00A512CD" w:rsidP="00A16B7D">
      <w:pPr>
        <w:pStyle w:val="BodyText"/>
        <w:keepNext/>
        <w:adjustRightInd w:val="0"/>
        <w:spacing w:after="0" w:line="240" w:lineRule="auto"/>
        <w:rPr>
          <w:bCs/>
        </w:rPr>
      </w:pPr>
      <w:r w:rsidRPr="00626E47">
        <w:rPr>
          <w:bCs/>
        </w:rPr>
        <w:t xml:space="preserve">The nature and severity of adverse reactions observed in other clinical trials were similar to the adverse reactions observed in the pivotal trial. One patient discontinued during open-label treatment with </w:t>
      </w:r>
      <w:proofErr w:type="spellStart"/>
      <w:r w:rsidRPr="00626E47">
        <w:rPr>
          <w:bCs/>
        </w:rPr>
        <w:t>Vimizim</w:t>
      </w:r>
      <w:proofErr w:type="spellEnd"/>
      <w:r w:rsidRPr="00626E47">
        <w:rPr>
          <w:bCs/>
        </w:rPr>
        <w:t xml:space="preserve"> due to an adverse event. </w:t>
      </w:r>
    </w:p>
    <w:p w14:paraId="298C780F" w14:textId="77777777" w:rsidR="00A512CD" w:rsidRDefault="00A512CD" w:rsidP="00A16B7D">
      <w:pPr>
        <w:pStyle w:val="BodyText"/>
        <w:keepNext/>
        <w:adjustRightInd w:val="0"/>
        <w:spacing w:after="0" w:line="240" w:lineRule="auto"/>
        <w:rPr>
          <w:bCs/>
          <w:u w:val="single"/>
        </w:rPr>
      </w:pPr>
    </w:p>
    <w:p w14:paraId="0CE6B005" w14:textId="77777777" w:rsidR="00A512CD" w:rsidRDefault="00A512CD" w:rsidP="00A16B7D">
      <w:pPr>
        <w:pStyle w:val="BodyText"/>
        <w:keepNext/>
        <w:adjustRightInd w:val="0"/>
        <w:spacing w:after="0" w:line="240" w:lineRule="auto"/>
        <w:rPr>
          <w:bCs/>
          <w:u w:val="single"/>
        </w:rPr>
      </w:pPr>
      <w:r w:rsidRPr="00450AE4">
        <w:rPr>
          <w:bCs/>
          <w:u w:val="single"/>
        </w:rPr>
        <w:t>Adverse Reactions Observed in Paediatric Patients &lt;5 Years of Age</w:t>
      </w:r>
      <w:r w:rsidRPr="0052051B">
        <w:rPr>
          <w:bCs/>
          <w:u w:val="single"/>
        </w:rPr>
        <w:t xml:space="preserve"> </w:t>
      </w:r>
    </w:p>
    <w:p w14:paraId="08FB57C2" w14:textId="77777777" w:rsidR="00A512CD" w:rsidRDefault="00A512CD" w:rsidP="00A16B7D">
      <w:pPr>
        <w:pStyle w:val="BodyText"/>
        <w:keepNext/>
        <w:adjustRightInd w:val="0"/>
        <w:spacing w:after="0" w:line="240" w:lineRule="auto"/>
        <w:rPr>
          <w:bCs/>
          <w:u w:val="single"/>
        </w:rPr>
      </w:pPr>
    </w:p>
    <w:p w14:paraId="186FFF7E" w14:textId="1BA94B95" w:rsidR="00386B85" w:rsidRPr="00386B85" w:rsidRDefault="00386B85" w:rsidP="0023445D">
      <w:pPr>
        <w:pStyle w:val="BodyText"/>
        <w:keepNext/>
        <w:adjustRightInd w:val="0"/>
        <w:spacing w:after="0" w:line="240" w:lineRule="auto"/>
        <w:rPr>
          <w:bCs/>
        </w:rPr>
      </w:pPr>
      <w:r w:rsidRPr="00386B85">
        <w:rPr>
          <w:bCs/>
        </w:rPr>
        <w:t xml:space="preserve">In the MOR-007 clinical trial, 15 paediatric patients &lt;5 years of age (range 9 months to 4.9 years) were treated with </w:t>
      </w:r>
      <w:proofErr w:type="spellStart"/>
      <w:r w:rsidRPr="00386B85">
        <w:rPr>
          <w:bCs/>
        </w:rPr>
        <w:t>Vimizim</w:t>
      </w:r>
      <w:proofErr w:type="spellEnd"/>
      <w:r w:rsidRPr="00386B85">
        <w:rPr>
          <w:bCs/>
        </w:rPr>
        <w:t xml:space="preserve"> 2 mg/kg once per week over 52 weeks. The most commonly reported adverse reactions were pyrexia (100%)</w:t>
      </w:r>
      <w:r>
        <w:rPr>
          <w:bCs/>
        </w:rPr>
        <w:t xml:space="preserve"> </w:t>
      </w:r>
      <w:r w:rsidRPr="00386B85">
        <w:rPr>
          <w:bCs/>
        </w:rPr>
        <w:t>and vomiting (80%). Other adverse reactions occurring in 2 or more patients were diarrhoea, abdominal pain, abdominal pain upper, oropharyngeal pain, headache, hypersensitivity, and nausea. One serious adverse reaction of hypersensitivity was reported during this period.</w:t>
      </w:r>
    </w:p>
    <w:p w14:paraId="34A1FD1B" w14:textId="77777777" w:rsidR="00A512CD" w:rsidRDefault="00A512CD" w:rsidP="00A16B7D">
      <w:pPr>
        <w:pStyle w:val="BodyText"/>
        <w:keepNext/>
        <w:adjustRightInd w:val="0"/>
        <w:spacing w:after="0" w:line="240" w:lineRule="auto"/>
        <w:rPr>
          <w:bCs/>
          <w:u w:val="single"/>
        </w:rPr>
      </w:pPr>
    </w:p>
    <w:p w14:paraId="4577B5D9" w14:textId="77777777" w:rsidR="00A512CD" w:rsidRPr="00626E47" w:rsidRDefault="00A512CD" w:rsidP="00A16B7D">
      <w:pPr>
        <w:pStyle w:val="BodyText"/>
        <w:keepNext/>
        <w:adjustRightInd w:val="0"/>
        <w:spacing w:after="0" w:line="240" w:lineRule="auto"/>
        <w:rPr>
          <w:bCs/>
          <w:u w:val="single"/>
        </w:rPr>
      </w:pPr>
      <w:r w:rsidRPr="00626E47">
        <w:rPr>
          <w:bCs/>
          <w:u w:val="single"/>
        </w:rPr>
        <w:t>Immunogenicity</w:t>
      </w:r>
    </w:p>
    <w:p w14:paraId="1C8812C9" w14:textId="77777777" w:rsidR="00A512CD" w:rsidRPr="00626E47" w:rsidRDefault="00A512CD" w:rsidP="00A16B7D">
      <w:pPr>
        <w:pStyle w:val="BodyText"/>
        <w:keepNext/>
        <w:adjustRightInd w:val="0"/>
        <w:spacing w:after="0" w:line="240" w:lineRule="auto"/>
        <w:rPr>
          <w:bCs/>
          <w:u w:val="single"/>
        </w:rPr>
      </w:pPr>
    </w:p>
    <w:p w14:paraId="2B457167" w14:textId="77777777" w:rsidR="00A512CD" w:rsidRPr="00A16B7D" w:rsidRDefault="00A512CD" w:rsidP="00A16B7D">
      <w:pPr>
        <w:pStyle w:val="BodyText"/>
        <w:keepNext/>
        <w:adjustRightInd w:val="0"/>
        <w:spacing w:after="0" w:line="240" w:lineRule="auto"/>
        <w:rPr>
          <w:bCs/>
        </w:rPr>
      </w:pPr>
      <w:r w:rsidRPr="00626E47">
        <w:rPr>
          <w:bCs/>
        </w:rPr>
        <w:t xml:space="preserve">All patients treated with </w:t>
      </w:r>
      <w:proofErr w:type="spellStart"/>
      <w:r w:rsidRPr="00626E47">
        <w:rPr>
          <w:bCs/>
        </w:rPr>
        <w:t>Vimizim</w:t>
      </w:r>
      <w:proofErr w:type="spellEnd"/>
      <w:r w:rsidRPr="00626E47">
        <w:rPr>
          <w:bCs/>
        </w:rPr>
        <w:t xml:space="preserve"> developed sustained anti-drug antibodies. Approximately 80% of patients developed neutralising antibodies capable of inhibiting the drug from binding to the </w:t>
      </w:r>
      <w:proofErr w:type="spellStart"/>
      <w:r w:rsidRPr="00626E47">
        <w:rPr>
          <w:bCs/>
        </w:rPr>
        <w:t>cation</w:t>
      </w:r>
      <w:proofErr w:type="spellEnd"/>
      <w:r w:rsidRPr="00626E47">
        <w:rPr>
          <w:bCs/>
        </w:rPr>
        <w:t>-</w:t>
      </w:r>
      <w:r w:rsidRPr="00626E47">
        <w:rPr>
          <w:bCs/>
        </w:rPr>
        <w:lastRenderedPageBreak/>
        <w:t xml:space="preserve">independent mannose-6-phosphate receptor. Sustained improvements in efficacy measures and reductions in urine </w:t>
      </w:r>
      <w:proofErr w:type="spellStart"/>
      <w:r w:rsidRPr="00626E47">
        <w:rPr>
          <w:bCs/>
        </w:rPr>
        <w:t>keratan</w:t>
      </w:r>
      <w:proofErr w:type="spellEnd"/>
      <w:r w:rsidRPr="00626E47">
        <w:rPr>
          <w:bCs/>
        </w:rPr>
        <w:t xml:space="preserve"> </w:t>
      </w:r>
      <w:proofErr w:type="spellStart"/>
      <w:r w:rsidRPr="00626E47">
        <w:rPr>
          <w:bCs/>
        </w:rPr>
        <w:t>sulfate</w:t>
      </w:r>
      <w:proofErr w:type="spellEnd"/>
      <w:r w:rsidRPr="00626E47">
        <w:rPr>
          <w:bCs/>
        </w:rPr>
        <w:t xml:space="preserve"> (KS) over time were observed across trials, despite the presence of anti-drug antibodies. No correlations were found between higher antibody titres or neutralising antibody positivity and reductions in efficacy measurements or occurrence of anaphylaxis or other hypersensitivity reactions. Immunoglobulin E (</w:t>
      </w:r>
      <w:proofErr w:type="spellStart"/>
      <w:r w:rsidRPr="00626E47">
        <w:rPr>
          <w:bCs/>
        </w:rPr>
        <w:t>IgE</w:t>
      </w:r>
      <w:proofErr w:type="spellEnd"/>
      <w:r w:rsidRPr="00626E47">
        <w:rPr>
          <w:bCs/>
        </w:rPr>
        <w:t xml:space="preserve">) antibodies against </w:t>
      </w:r>
      <w:proofErr w:type="spellStart"/>
      <w:r w:rsidRPr="00626E47">
        <w:rPr>
          <w:bCs/>
        </w:rPr>
        <w:t>Vimizim</w:t>
      </w:r>
      <w:proofErr w:type="spellEnd"/>
      <w:r w:rsidRPr="00626E47">
        <w:rPr>
          <w:bCs/>
        </w:rPr>
        <w:t xml:space="preserve"> were detected in ≤10% of tr</w:t>
      </w:r>
      <w:r w:rsidRPr="00A16B7D">
        <w:rPr>
          <w:bCs/>
        </w:rPr>
        <w:t>eated patients and have not consistently been related to anaphylaxis or other hypersensitivity reactions and/or treatment withdrawal.</w:t>
      </w:r>
    </w:p>
    <w:p w14:paraId="221C41BB" w14:textId="77777777" w:rsidR="00A512CD" w:rsidRPr="00A16B7D" w:rsidRDefault="00A512CD" w:rsidP="00A16B7D">
      <w:pPr>
        <w:pStyle w:val="BodyText"/>
        <w:keepNext/>
        <w:adjustRightInd w:val="0"/>
        <w:spacing w:after="0" w:line="240" w:lineRule="auto"/>
        <w:rPr>
          <w:bCs/>
        </w:rPr>
      </w:pPr>
    </w:p>
    <w:p w14:paraId="3583593A" w14:textId="77777777" w:rsidR="00A16B7D" w:rsidRPr="00A16B7D" w:rsidRDefault="00A16B7D" w:rsidP="00A16B7D">
      <w:pPr>
        <w:pStyle w:val="BodyText"/>
        <w:keepNext/>
        <w:adjustRightInd w:val="0"/>
        <w:spacing w:after="0" w:line="240" w:lineRule="auto"/>
        <w:rPr>
          <w:bCs/>
        </w:rPr>
      </w:pPr>
    </w:p>
    <w:p w14:paraId="31125716" w14:textId="77777777" w:rsidR="00A512CD" w:rsidRPr="00A16B7D" w:rsidRDefault="00A512CD" w:rsidP="00A16B7D">
      <w:pPr>
        <w:pStyle w:val="Heading1"/>
        <w:adjustRightInd w:val="0"/>
        <w:rPr>
          <w:sz w:val="22"/>
        </w:rPr>
      </w:pPr>
      <w:r w:rsidRPr="00A16B7D">
        <w:rPr>
          <w:sz w:val="22"/>
        </w:rPr>
        <w:t>DOSAGE AND ADMINISTRATION</w:t>
      </w:r>
    </w:p>
    <w:p w14:paraId="27A3AAA7" w14:textId="77777777" w:rsidR="00A512CD" w:rsidRPr="00A16B7D" w:rsidRDefault="00A512CD" w:rsidP="00A16B7D">
      <w:pPr>
        <w:adjustRightInd w:val="0"/>
        <w:spacing w:after="0" w:line="240" w:lineRule="auto"/>
        <w:rPr>
          <w:rFonts w:eastAsia="Times New Roman" w:cs="Times New Roman"/>
          <w:lang w:eastAsia="en-AU"/>
        </w:rPr>
      </w:pPr>
    </w:p>
    <w:p w14:paraId="4CD6A355" w14:textId="77777777" w:rsidR="00A512CD" w:rsidRPr="00A16B7D" w:rsidRDefault="00A512CD" w:rsidP="00A16B7D">
      <w:pPr>
        <w:pStyle w:val="BodyText"/>
        <w:adjustRightInd w:val="0"/>
        <w:spacing w:after="0" w:line="240" w:lineRule="auto"/>
      </w:pPr>
      <w:r w:rsidRPr="00A16B7D">
        <w:rPr>
          <w:bCs/>
        </w:rPr>
        <w:t xml:space="preserve">As for all lysosomal genetic disorders, it is important to initiate treatment as early as possible, before appearance of non-reversible clinical manifestations of the disease. </w:t>
      </w:r>
    </w:p>
    <w:p w14:paraId="6144C579" w14:textId="77777777" w:rsidR="00A512CD" w:rsidRPr="00A16B7D" w:rsidRDefault="00A512CD" w:rsidP="00A16B7D">
      <w:pPr>
        <w:adjustRightInd w:val="0"/>
        <w:spacing w:after="0" w:line="240" w:lineRule="auto"/>
      </w:pPr>
    </w:p>
    <w:p w14:paraId="2658ABBE" w14:textId="77777777" w:rsidR="00A512CD" w:rsidRPr="00A16B7D" w:rsidRDefault="00A512CD" w:rsidP="00A16B7D">
      <w:pPr>
        <w:adjustRightInd w:val="0"/>
        <w:spacing w:after="0" w:line="240" w:lineRule="auto"/>
      </w:pPr>
      <w:proofErr w:type="spellStart"/>
      <w:r w:rsidRPr="00A16B7D">
        <w:rPr>
          <w:bCs/>
        </w:rPr>
        <w:t>Vimizim</w:t>
      </w:r>
      <w:proofErr w:type="spellEnd"/>
      <w:r w:rsidRPr="00A16B7D">
        <w:rPr>
          <w:bCs/>
        </w:rPr>
        <w:t xml:space="preserve"> treatment should be supervised by a physician or healthcare provider experienced in the management of patients with MPS IVA or other inherited metabolic diseases. Administration of </w:t>
      </w:r>
      <w:proofErr w:type="spellStart"/>
      <w:r w:rsidRPr="00A16B7D">
        <w:rPr>
          <w:bCs/>
        </w:rPr>
        <w:t>Vimizim</w:t>
      </w:r>
      <w:proofErr w:type="spellEnd"/>
      <w:r w:rsidRPr="00A16B7D">
        <w:rPr>
          <w:bCs/>
        </w:rPr>
        <w:t xml:space="preserve"> should be carried out by an appropriately trained healthcare professional with the ability to manage medical emergencies. </w:t>
      </w:r>
      <w:r w:rsidRPr="00A16B7D">
        <w:t>Home administration under the supervision of a healthcare professional trained in recognising and medically managing serious infusion related reactions under the direction of a practicing physician may be considered only for patients who are tolerating their infusions well.</w:t>
      </w:r>
    </w:p>
    <w:p w14:paraId="305E0E3A" w14:textId="77777777" w:rsidR="00A512CD" w:rsidRPr="00A16B7D" w:rsidRDefault="00A512CD" w:rsidP="00A16B7D">
      <w:pPr>
        <w:pStyle w:val="Heading2"/>
        <w:adjustRightInd w:val="0"/>
      </w:pPr>
    </w:p>
    <w:p w14:paraId="235487F6" w14:textId="77777777" w:rsidR="00A512CD" w:rsidRPr="00A16B7D" w:rsidRDefault="00A512CD" w:rsidP="00A16B7D">
      <w:pPr>
        <w:pStyle w:val="Heading2"/>
        <w:adjustRightInd w:val="0"/>
      </w:pPr>
      <w:r w:rsidRPr="00A16B7D">
        <w:t>Dosage</w:t>
      </w:r>
    </w:p>
    <w:p w14:paraId="7CF0A761" w14:textId="77777777" w:rsidR="00A512CD" w:rsidRPr="00A16B7D" w:rsidRDefault="00A512CD" w:rsidP="00A16B7D">
      <w:pPr>
        <w:pStyle w:val="Heading2"/>
        <w:adjustRightInd w:val="0"/>
      </w:pPr>
    </w:p>
    <w:p w14:paraId="37522B3A" w14:textId="77777777" w:rsidR="00A512CD" w:rsidRPr="00626E47" w:rsidRDefault="00A512CD" w:rsidP="00A16B7D">
      <w:pPr>
        <w:adjustRightInd w:val="0"/>
        <w:spacing w:after="0" w:line="240" w:lineRule="auto"/>
        <w:rPr>
          <w:bCs/>
        </w:rPr>
      </w:pPr>
      <w:r w:rsidRPr="00626E47">
        <w:rPr>
          <w:bCs/>
        </w:rPr>
        <w:t xml:space="preserve">The recommended dosage for </w:t>
      </w:r>
      <w:proofErr w:type="spellStart"/>
      <w:r w:rsidRPr="00626E47">
        <w:rPr>
          <w:bCs/>
        </w:rPr>
        <w:t>Vimizim</w:t>
      </w:r>
      <w:proofErr w:type="spellEnd"/>
      <w:r w:rsidRPr="00626E47">
        <w:rPr>
          <w:bCs/>
        </w:rPr>
        <w:t xml:space="preserve"> is 2 mg/kg of body weight administered once a week. The total volume of the infusion should be delivered over approximately 4 hours (hr) (see Table 4).</w:t>
      </w:r>
    </w:p>
    <w:p w14:paraId="665114A1" w14:textId="77777777" w:rsidR="00A512CD" w:rsidRPr="00626E47" w:rsidRDefault="00A512CD" w:rsidP="00A16B7D">
      <w:pPr>
        <w:adjustRightInd w:val="0"/>
        <w:spacing w:after="0" w:line="240" w:lineRule="auto"/>
        <w:rPr>
          <w:bCs/>
        </w:rPr>
      </w:pPr>
    </w:p>
    <w:p w14:paraId="4F91460B" w14:textId="77777777" w:rsidR="00A512CD" w:rsidRDefault="00A512CD" w:rsidP="00A16B7D">
      <w:pPr>
        <w:adjustRightInd w:val="0"/>
        <w:spacing w:after="0" w:line="240" w:lineRule="auto"/>
      </w:pPr>
      <w:r w:rsidRPr="00626E47">
        <w:rPr>
          <w:bCs/>
        </w:rPr>
        <w:t>Pre-treatment with antihistamines with or without antipyretics is recommended 30-60 minutes prior to start of infusion (</w:t>
      </w:r>
      <w:r w:rsidRPr="00626E47">
        <w:t>see PRECAUTIONS, Infusion Reactions).</w:t>
      </w:r>
    </w:p>
    <w:p w14:paraId="48B8FF47" w14:textId="77777777" w:rsidR="00A16B7D" w:rsidRDefault="00A16B7D" w:rsidP="00A16B7D">
      <w:pPr>
        <w:adjustRightInd w:val="0"/>
        <w:spacing w:after="0" w:line="240" w:lineRule="auto"/>
      </w:pPr>
    </w:p>
    <w:p w14:paraId="496EF7BA" w14:textId="77777777" w:rsidR="00A512CD" w:rsidRPr="00F2639C" w:rsidRDefault="00A512CD" w:rsidP="00A16B7D">
      <w:pPr>
        <w:adjustRightInd w:val="0"/>
        <w:spacing w:after="0" w:line="240" w:lineRule="auto"/>
        <w:rPr>
          <w:bCs/>
          <w:u w:val="single"/>
        </w:rPr>
      </w:pPr>
      <w:r>
        <w:rPr>
          <w:bCs/>
          <w:u w:val="single"/>
        </w:rPr>
        <w:t xml:space="preserve">Use in </w:t>
      </w:r>
      <w:r w:rsidRPr="00F2639C">
        <w:rPr>
          <w:bCs/>
          <w:u w:val="single"/>
        </w:rPr>
        <w:t>Paediatric</w:t>
      </w:r>
      <w:r>
        <w:rPr>
          <w:bCs/>
          <w:u w:val="single"/>
        </w:rPr>
        <w:t>s</w:t>
      </w:r>
    </w:p>
    <w:p w14:paraId="412283FF" w14:textId="77777777" w:rsidR="00A512CD" w:rsidRDefault="00A512CD" w:rsidP="00A16B7D">
      <w:pPr>
        <w:adjustRightInd w:val="0"/>
        <w:spacing w:after="0" w:line="240" w:lineRule="auto"/>
        <w:rPr>
          <w:bCs/>
        </w:rPr>
      </w:pPr>
    </w:p>
    <w:p w14:paraId="642EA54D" w14:textId="77777777" w:rsidR="00A512CD" w:rsidRPr="009200D6" w:rsidRDefault="00A512CD" w:rsidP="00A16B7D">
      <w:pPr>
        <w:adjustRightInd w:val="0"/>
        <w:spacing w:after="0" w:line="240" w:lineRule="auto"/>
        <w:rPr>
          <w:bCs/>
        </w:rPr>
      </w:pPr>
      <w:r w:rsidRPr="00282585">
        <w:rPr>
          <w:bCs/>
        </w:rPr>
        <w:t>Dosag</w:t>
      </w:r>
      <w:r w:rsidRPr="009200D6">
        <w:rPr>
          <w:bCs/>
        </w:rPr>
        <w:t xml:space="preserve">e and administration </w:t>
      </w:r>
      <w:r>
        <w:rPr>
          <w:bCs/>
        </w:rPr>
        <w:t xml:space="preserve">are </w:t>
      </w:r>
      <w:r w:rsidRPr="009200D6">
        <w:rPr>
          <w:bCs/>
        </w:rPr>
        <w:t xml:space="preserve">the same as </w:t>
      </w:r>
      <w:r>
        <w:rPr>
          <w:bCs/>
        </w:rPr>
        <w:t xml:space="preserve">in </w:t>
      </w:r>
      <w:r w:rsidRPr="009200D6">
        <w:rPr>
          <w:bCs/>
        </w:rPr>
        <w:t>adults.</w:t>
      </w:r>
    </w:p>
    <w:p w14:paraId="6C8868BD" w14:textId="77777777" w:rsidR="00A512CD" w:rsidRPr="00A250E6" w:rsidRDefault="00A512CD" w:rsidP="00A16B7D">
      <w:pPr>
        <w:adjustRightInd w:val="0"/>
        <w:spacing w:after="0" w:line="240" w:lineRule="auto"/>
        <w:rPr>
          <w:bCs/>
        </w:rPr>
      </w:pPr>
    </w:p>
    <w:p w14:paraId="48271ED5" w14:textId="77777777" w:rsidR="00A512CD" w:rsidRPr="003A019D" w:rsidRDefault="00A512CD" w:rsidP="00A16B7D">
      <w:pPr>
        <w:keepNext/>
        <w:adjustRightInd w:val="0"/>
        <w:spacing w:after="0" w:line="240" w:lineRule="auto"/>
        <w:rPr>
          <w:bCs/>
        </w:rPr>
      </w:pPr>
      <w:r>
        <w:rPr>
          <w:bCs/>
          <w:u w:val="single"/>
        </w:rPr>
        <w:t xml:space="preserve">Use in the </w:t>
      </w:r>
      <w:r w:rsidRPr="008159B6">
        <w:rPr>
          <w:bCs/>
          <w:u w:val="single"/>
        </w:rPr>
        <w:t>Elderly</w:t>
      </w:r>
    </w:p>
    <w:p w14:paraId="1FD6BB1B" w14:textId="77777777" w:rsidR="00A512CD" w:rsidRDefault="00A512CD" w:rsidP="00A16B7D">
      <w:pPr>
        <w:pStyle w:val="NormalWeb"/>
        <w:keepNext/>
        <w:adjustRightInd w:val="0"/>
        <w:spacing w:before="0" w:beforeAutospacing="0" w:after="0" w:afterAutospacing="0"/>
        <w:rPr>
          <w:rFonts w:asciiTheme="minorHAnsi" w:eastAsiaTheme="minorHAnsi" w:hAnsiTheme="minorHAnsi" w:cstheme="minorBidi"/>
          <w:bCs/>
          <w:sz w:val="22"/>
          <w:szCs w:val="22"/>
          <w:lang w:eastAsia="en-US"/>
        </w:rPr>
      </w:pPr>
    </w:p>
    <w:p w14:paraId="0BD4B99A" w14:textId="77777777" w:rsidR="00A512CD" w:rsidRPr="00282585" w:rsidRDefault="00A512CD" w:rsidP="00A16B7D">
      <w:pPr>
        <w:pStyle w:val="NormalWeb"/>
        <w:keepNext/>
        <w:adjustRightInd w:val="0"/>
        <w:spacing w:before="0" w:beforeAutospacing="0" w:after="0" w:afterAutospacing="0"/>
        <w:rPr>
          <w:rFonts w:asciiTheme="minorHAnsi" w:eastAsiaTheme="minorHAnsi" w:hAnsiTheme="minorHAnsi" w:cstheme="minorBidi"/>
          <w:bCs/>
          <w:sz w:val="22"/>
          <w:szCs w:val="22"/>
          <w:lang w:eastAsia="en-US"/>
        </w:rPr>
      </w:pPr>
      <w:r w:rsidRPr="00282585">
        <w:rPr>
          <w:rFonts w:asciiTheme="minorHAnsi" w:eastAsiaTheme="minorHAnsi" w:hAnsiTheme="minorHAnsi" w:cstheme="minorBidi"/>
          <w:bCs/>
          <w:sz w:val="22"/>
          <w:szCs w:val="22"/>
          <w:lang w:eastAsia="en-US"/>
        </w:rPr>
        <w:t xml:space="preserve">The safety and efficacy of </w:t>
      </w:r>
      <w:proofErr w:type="spellStart"/>
      <w:r w:rsidRPr="00282585">
        <w:rPr>
          <w:rFonts w:asciiTheme="minorHAnsi" w:eastAsiaTheme="minorHAnsi" w:hAnsiTheme="minorHAnsi" w:cstheme="minorBidi"/>
          <w:bCs/>
          <w:sz w:val="22"/>
          <w:szCs w:val="22"/>
          <w:lang w:eastAsia="en-US"/>
        </w:rPr>
        <w:t>Vimizim</w:t>
      </w:r>
      <w:proofErr w:type="spellEnd"/>
      <w:r w:rsidRPr="00282585">
        <w:rPr>
          <w:rFonts w:asciiTheme="minorHAnsi" w:eastAsiaTheme="minorHAnsi" w:hAnsiTheme="minorHAnsi" w:cstheme="minorBidi"/>
          <w:bCs/>
          <w:sz w:val="22"/>
          <w:szCs w:val="22"/>
          <w:lang w:eastAsia="en-US"/>
        </w:rPr>
        <w:t xml:space="preserve"> in patients older than 65 years </w:t>
      </w:r>
      <w:r>
        <w:rPr>
          <w:rFonts w:asciiTheme="minorHAnsi" w:eastAsiaTheme="minorHAnsi" w:hAnsiTheme="minorHAnsi" w:cstheme="minorBidi"/>
          <w:bCs/>
          <w:sz w:val="22"/>
          <w:szCs w:val="22"/>
          <w:lang w:eastAsia="en-US"/>
        </w:rPr>
        <w:t xml:space="preserve">have </w:t>
      </w:r>
      <w:r w:rsidRPr="00282585">
        <w:rPr>
          <w:rFonts w:asciiTheme="minorHAnsi" w:eastAsiaTheme="minorHAnsi" w:hAnsiTheme="minorHAnsi" w:cstheme="minorBidi"/>
          <w:bCs/>
          <w:sz w:val="22"/>
          <w:szCs w:val="22"/>
          <w:lang w:eastAsia="en-US"/>
        </w:rPr>
        <w:t xml:space="preserve">not been established, and no alternative dosage regimen can be recommended </w:t>
      </w:r>
      <w:r>
        <w:rPr>
          <w:rFonts w:asciiTheme="minorHAnsi" w:eastAsiaTheme="minorHAnsi" w:hAnsiTheme="minorHAnsi" w:cstheme="minorBidi"/>
          <w:bCs/>
          <w:sz w:val="22"/>
          <w:szCs w:val="22"/>
          <w:lang w:eastAsia="en-US"/>
        </w:rPr>
        <w:t xml:space="preserve">for </w:t>
      </w:r>
      <w:r w:rsidRPr="00282585">
        <w:rPr>
          <w:rFonts w:asciiTheme="minorHAnsi" w:eastAsiaTheme="minorHAnsi" w:hAnsiTheme="minorHAnsi" w:cstheme="minorBidi"/>
          <w:bCs/>
          <w:sz w:val="22"/>
          <w:szCs w:val="22"/>
          <w:lang w:eastAsia="en-US"/>
        </w:rPr>
        <w:t>these patients. It is not known whether elderly patients respond differently from younger patients.</w:t>
      </w:r>
    </w:p>
    <w:p w14:paraId="3B639253" w14:textId="77777777" w:rsidR="00D602BF" w:rsidRDefault="00D602BF" w:rsidP="00A16B7D">
      <w:pPr>
        <w:autoSpaceDE w:val="0"/>
        <w:autoSpaceDN w:val="0"/>
        <w:adjustRightInd w:val="0"/>
        <w:spacing w:after="0" w:line="240" w:lineRule="auto"/>
        <w:rPr>
          <w:bCs/>
        </w:rPr>
      </w:pPr>
    </w:p>
    <w:p w14:paraId="3DABF9A5" w14:textId="77777777" w:rsidR="00A512CD" w:rsidRDefault="00A512CD" w:rsidP="00A16B7D">
      <w:pPr>
        <w:autoSpaceDE w:val="0"/>
        <w:autoSpaceDN w:val="0"/>
        <w:adjustRightInd w:val="0"/>
        <w:spacing w:after="0" w:line="240" w:lineRule="auto"/>
        <w:rPr>
          <w:bCs/>
        </w:rPr>
      </w:pPr>
      <w:proofErr w:type="spellStart"/>
      <w:r w:rsidRPr="00626E47">
        <w:rPr>
          <w:bCs/>
        </w:rPr>
        <w:t>Vimizim</w:t>
      </w:r>
      <w:proofErr w:type="spellEnd"/>
      <w:r w:rsidRPr="00626E47">
        <w:rPr>
          <w:bCs/>
        </w:rPr>
        <w:t xml:space="preserve"> must be diluted with </w:t>
      </w:r>
      <w:r>
        <w:rPr>
          <w:bCs/>
        </w:rPr>
        <w:t>sodium chloride 9 mg/mL (0.9%) solution for injection</w:t>
      </w:r>
      <w:r w:rsidRPr="00626E47">
        <w:rPr>
          <w:bCs/>
        </w:rPr>
        <w:t>, to a final volume of 100 mL or 250 mL based on the patient’s weight, prior to infusion, and delivered via intravenous infusion.</w:t>
      </w:r>
    </w:p>
    <w:p w14:paraId="09950004" w14:textId="77777777" w:rsidR="00A512CD" w:rsidRDefault="00A512CD" w:rsidP="00A16B7D">
      <w:pPr>
        <w:autoSpaceDE w:val="0"/>
        <w:autoSpaceDN w:val="0"/>
        <w:adjustRightInd w:val="0"/>
        <w:spacing w:after="0" w:line="240" w:lineRule="auto"/>
        <w:rPr>
          <w:bCs/>
        </w:rPr>
      </w:pPr>
    </w:p>
    <w:p w14:paraId="342E6176" w14:textId="77777777" w:rsidR="00A512CD" w:rsidRPr="006C2EE5" w:rsidRDefault="00A512CD" w:rsidP="00A16B7D">
      <w:pPr>
        <w:adjustRightInd w:val="0"/>
        <w:spacing w:after="0" w:line="240" w:lineRule="auto"/>
        <w:rPr>
          <w:bCs/>
        </w:rPr>
      </w:pPr>
      <w:r w:rsidRPr="006C2EE5">
        <w:rPr>
          <w:bCs/>
        </w:rPr>
        <w:t xml:space="preserve">The final volume is based on the patient’s weight as follows:  </w:t>
      </w:r>
    </w:p>
    <w:p w14:paraId="725DB4B2" w14:textId="77777777" w:rsidR="00A512CD" w:rsidRPr="00A637EB" w:rsidRDefault="00A512CD" w:rsidP="00A16B7D">
      <w:pPr>
        <w:pStyle w:val="ListParagraph"/>
        <w:numPr>
          <w:ilvl w:val="0"/>
          <w:numId w:val="29"/>
        </w:numPr>
        <w:adjustRightInd w:val="0"/>
        <w:spacing w:after="0" w:line="240" w:lineRule="auto"/>
        <w:contextualSpacing w:val="0"/>
        <w:rPr>
          <w:bCs/>
        </w:rPr>
      </w:pPr>
      <w:r w:rsidRPr="00A637EB">
        <w:rPr>
          <w:bCs/>
        </w:rPr>
        <w:t>For patients who weigh less than 25 kg, the final volume should be 100 mL;</w:t>
      </w:r>
    </w:p>
    <w:p w14:paraId="0FE9FFC9" w14:textId="77777777" w:rsidR="00A512CD" w:rsidRPr="00A637EB" w:rsidRDefault="00A512CD" w:rsidP="00A16B7D">
      <w:pPr>
        <w:pStyle w:val="ListParagraph"/>
        <w:numPr>
          <w:ilvl w:val="0"/>
          <w:numId w:val="29"/>
        </w:numPr>
        <w:adjustRightInd w:val="0"/>
        <w:spacing w:after="0" w:line="240" w:lineRule="auto"/>
        <w:contextualSpacing w:val="0"/>
        <w:rPr>
          <w:bCs/>
        </w:rPr>
      </w:pPr>
      <w:r w:rsidRPr="00A637EB">
        <w:rPr>
          <w:bCs/>
        </w:rPr>
        <w:t xml:space="preserve">For patients who weigh 25 kg or more, the final volume should be 250 </w:t>
      </w:r>
      <w:proofErr w:type="spellStart"/>
      <w:r w:rsidRPr="00A637EB">
        <w:rPr>
          <w:bCs/>
        </w:rPr>
        <w:t>mL.</w:t>
      </w:r>
      <w:proofErr w:type="spellEnd"/>
    </w:p>
    <w:p w14:paraId="57FE41FA" w14:textId="498E3399" w:rsidR="00A512CD" w:rsidRPr="00A637EB" w:rsidRDefault="00A512CD" w:rsidP="00A16B7D">
      <w:pPr>
        <w:adjustRightInd w:val="0"/>
        <w:spacing w:after="0" w:line="240" w:lineRule="auto"/>
        <w:rPr>
          <w:bCs/>
        </w:rPr>
      </w:pPr>
    </w:p>
    <w:p w14:paraId="5035FB98" w14:textId="77777777" w:rsidR="00A512CD" w:rsidRPr="00626E47" w:rsidRDefault="00A512CD" w:rsidP="00A16B7D">
      <w:pPr>
        <w:adjustRightInd w:val="0"/>
        <w:spacing w:after="0" w:line="240" w:lineRule="auto"/>
        <w:rPr>
          <w:bCs/>
        </w:rPr>
      </w:pPr>
      <w:r w:rsidRPr="007F1D48">
        <w:rPr>
          <w:b/>
          <w:bCs/>
        </w:rPr>
        <w:lastRenderedPageBreak/>
        <w:t>When diluted in 100 mL</w:t>
      </w:r>
      <w:r w:rsidRPr="00626E47">
        <w:rPr>
          <w:bCs/>
        </w:rPr>
        <w:t>, the initial infusion rate should be 3 mL/hr. The infusion rate may be increased as tolerated, every 15 minutes as follows: first increase the rate to 6 mL/hr, then increase the rate every 15 minutes by 6 mL/hr increments until a maximum rate of 36 mL/hr is reached.</w:t>
      </w:r>
    </w:p>
    <w:p w14:paraId="017EBC2C" w14:textId="77777777" w:rsidR="006D722F" w:rsidRDefault="006D722F" w:rsidP="00A16B7D">
      <w:pPr>
        <w:adjustRightInd w:val="0"/>
        <w:spacing w:after="0" w:line="240" w:lineRule="auto"/>
        <w:rPr>
          <w:b/>
          <w:bCs/>
        </w:rPr>
      </w:pPr>
    </w:p>
    <w:p w14:paraId="4201E603" w14:textId="77777777" w:rsidR="00A512CD" w:rsidRDefault="00A512CD" w:rsidP="00A16B7D">
      <w:pPr>
        <w:adjustRightInd w:val="0"/>
        <w:spacing w:after="0" w:line="240" w:lineRule="auto"/>
        <w:rPr>
          <w:bCs/>
        </w:rPr>
      </w:pPr>
      <w:r w:rsidRPr="007F1D48">
        <w:rPr>
          <w:b/>
          <w:bCs/>
        </w:rPr>
        <w:t>When diluted in 250 mL,</w:t>
      </w:r>
      <w:r w:rsidRPr="00626E47">
        <w:rPr>
          <w:bCs/>
        </w:rPr>
        <w:t xml:space="preserve"> the initial infusion rate should be 6 mL/hr. The infusion rate may be increased as tolerated, every 15 minutes as follows: first increase the rate to 12 mL/hr, then increase the rate every 15 minutes by 12 mL/hr increments until a maximum rate of 72 mL/hr is reached.</w:t>
      </w:r>
    </w:p>
    <w:p w14:paraId="34F2346D" w14:textId="77777777" w:rsidR="006D722F" w:rsidRDefault="006D722F" w:rsidP="00A16B7D">
      <w:pPr>
        <w:adjustRightInd w:val="0"/>
        <w:spacing w:after="0" w:line="240" w:lineRule="auto"/>
        <w:rPr>
          <w:bCs/>
        </w:rPr>
      </w:pPr>
    </w:p>
    <w:p w14:paraId="3CA42D9E" w14:textId="77777777" w:rsidR="00A512CD" w:rsidRPr="00626E47" w:rsidRDefault="00A512CD" w:rsidP="00A16B7D">
      <w:pPr>
        <w:pStyle w:val="BodyText"/>
        <w:spacing w:before="120"/>
        <w:rPr>
          <w:b/>
        </w:rPr>
      </w:pPr>
      <w:r w:rsidRPr="00626E47">
        <w:rPr>
          <w:b/>
        </w:rPr>
        <w:t>Table 4: Recommended Infusion Volumes and Rates</w:t>
      </w:r>
      <w:r w:rsidRPr="006D722F">
        <w:rPr>
          <w:b/>
          <w:vertAlign w:val="superscript"/>
        </w:rPr>
        <w:t>¥</w:t>
      </w:r>
    </w:p>
    <w:tbl>
      <w:tblPr>
        <w:tblW w:w="8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966"/>
        <w:gridCol w:w="894"/>
        <w:gridCol w:w="893"/>
        <w:gridCol w:w="893"/>
        <w:gridCol w:w="922"/>
        <w:gridCol w:w="893"/>
        <w:gridCol w:w="893"/>
        <w:gridCol w:w="893"/>
      </w:tblGrid>
      <w:tr w:rsidR="00A512CD" w:rsidRPr="00626E47" w14:paraId="765E06C8" w14:textId="77777777" w:rsidTr="00A16B7D">
        <w:trPr>
          <w:trHeight w:val="1268"/>
        </w:trPr>
        <w:tc>
          <w:tcPr>
            <w:tcW w:w="838" w:type="dxa"/>
          </w:tcPr>
          <w:p w14:paraId="45FBB30F" w14:textId="77777777" w:rsidR="00A512CD" w:rsidRPr="00626E47" w:rsidRDefault="00A512CD" w:rsidP="00A512CD">
            <w:pPr>
              <w:spacing w:after="0" w:line="240" w:lineRule="auto"/>
              <w:jc w:val="center"/>
              <w:rPr>
                <w:b/>
                <w:sz w:val="20"/>
                <w:szCs w:val="20"/>
              </w:rPr>
            </w:pPr>
            <w:r w:rsidRPr="00626E47">
              <w:rPr>
                <w:b/>
                <w:sz w:val="20"/>
                <w:szCs w:val="20"/>
              </w:rPr>
              <w:t>Patient Weight (kg)</w:t>
            </w:r>
          </w:p>
        </w:tc>
        <w:tc>
          <w:tcPr>
            <w:tcW w:w="966" w:type="dxa"/>
          </w:tcPr>
          <w:p w14:paraId="64112A7A" w14:textId="77777777" w:rsidR="00A512CD" w:rsidRPr="00626E47" w:rsidRDefault="00A512CD" w:rsidP="00A512CD">
            <w:pPr>
              <w:spacing w:after="0" w:line="240" w:lineRule="auto"/>
              <w:jc w:val="center"/>
              <w:rPr>
                <w:b/>
                <w:sz w:val="20"/>
                <w:szCs w:val="20"/>
              </w:rPr>
            </w:pPr>
            <w:r w:rsidRPr="00626E47">
              <w:rPr>
                <w:b/>
                <w:sz w:val="20"/>
                <w:szCs w:val="20"/>
              </w:rPr>
              <w:t>Total Infusion Volume (mL)</w:t>
            </w:r>
          </w:p>
        </w:tc>
        <w:tc>
          <w:tcPr>
            <w:tcW w:w="894" w:type="dxa"/>
          </w:tcPr>
          <w:p w14:paraId="0197826F" w14:textId="77777777" w:rsidR="00A512CD" w:rsidRPr="00626E47" w:rsidRDefault="00A512CD" w:rsidP="00A512CD">
            <w:pPr>
              <w:spacing w:after="0" w:line="240" w:lineRule="auto"/>
              <w:jc w:val="center"/>
              <w:rPr>
                <w:b/>
                <w:sz w:val="20"/>
                <w:szCs w:val="20"/>
              </w:rPr>
            </w:pPr>
            <w:r w:rsidRPr="00626E47">
              <w:rPr>
                <w:b/>
                <w:sz w:val="20"/>
                <w:szCs w:val="20"/>
              </w:rPr>
              <w:t>Step 1</w:t>
            </w:r>
          </w:p>
          <w:p w14:paraId="2C739652" w14:textId="77777777" w:rsidR="00A512CD" w:rsidRPr="00626E47" w:rsidRDefault="00A512CD" w:rsidP="00A512CD">
            <w:pPr>
              <w:spacing w:after="0" w:line="240" w:lineRule="auto"/>
              <w:jc w:val="center"/>
              <w:rPr>
                <w:b/>
                <w:sz w:val="20"/>
                <w:szCs w:val="20"/>
              </w:rPr>
            </w:pPr>
            <w:r w:rsidRPr="00626E47">
              <w:rPr>
                <w:b/>
                <w:sz w:val="20"/>
                <w:szCs w:val="20"/>
              </w:rPr>
              <w:t>Initial Infusion Rate 0-15 minutes (mL/hr)</w:t>
            </w:r>
          </w:p>
        </w:tc>
        <w:tc>
          <w:tcPr>
            <w:tcW w:w="893" w:type="dxa"/>
          </w:tcPr>
          <w:p w14:paraId="695A91E4" w14:textId="77777777" w:rsidR="00A512CD" w:rsidRPr="00626E47" w:rsidRDefault="00A512CD" w:rsidP="00A512CD">
            <w:pPr>
              <w:spacing w:after="0" w:line="240" w:lineRule="auto"/>
              <w:jc w:val="center"/>
              <w:rPr>
                <w:b/>
                <w:sz w:val="20"/>
                <w:szCs w:val="20"/>
              </w:rPr>
            </w:pPr>
            <w:r w:rsidRPr="00626E47">
              <w:rPr>
                <w:b/>
                <w:sz w:val="20"/>
                <w:szCs w:val="20"/>
              </w:rPr>
              <w:t>Step 2</w:t>
            </w:r>
          </w:p>
          <w:p w14:paraId="529BD5D2" w14:textId="77777777" w:rsidR="00A512CD" w:rsidRPr="00626E47" w:rsidRDefault="00A512CD" w:rsidP="00A512CD">
            <w:pPr>
              <w:spacing w:after="0" w:line="240" w:lineRule="auto"/>
              <w:jc w:val="center"/>
              <w:rPr>
                <w:b/>
                <w:sz w:val="20"/>
                <w:szCs w:val="20"/>
              </w:rPr>
            </w:pPr>
            <w:r w:rsidRPr="00626E47">
              <w:rPr>
                <w:b/>
                <w:sz w:val="20"/>
                <w:szCs w:val="20"/>
              </w:rPr>
              <w:t>15-30 minutes</w:t>
            </w:r>
          </w:p>
          <w:p w14:paraId="3F66B05B" w14:textId="77777777" w:rsidR="00A512CD" w:rsidRPr="00626E47" w:rsidRDefault="00A512CD" w:rsidP="00A512CD">
            <w:pPr>
              <w:spacing w:after="0" w:line="240" w:lineRule="auto"/>
              <w:jc w:val="center"/>
              <w:rPr>
                <w:b/>
                <w:sz w:val="20"/>
                <w:szCs w:val="20"/>
              </w:rPr>
            </w:pPr>
            <w:r w:rsidRPr="00626E47">
              <w:rPr>
                <w:b/>
                <w:sz w:val="20"/>
                <w:szCs w:val="20"/>
              </w:rPr>
              <w:t>(mL/hr)</w:t>
            </w:r>
          </w:p>
        </w:tc>
        <w:tc>
          <w:tcPr>
            <w:tcW w:w="893" w:type="dxa"/>
          </w:tcPr>
          <w:p w14:paraId="61886F72" w14:textId="77777777" w:rsidR="00A512CD" w:rsidRPr="00626E47" w:rsidRDefault="00A512CD" w:rsidP="00A512CD">
            <w:pPr>
              <w:spacing w:after="0" w:line="240" w:lineRule="auto"/>
              <w:jc w:val="center"/>
              <w:rPr>
                <w:b/>
                <w:sz w:val="20"/>
                <w:szCs w:val="20"/>
              </w:rPr>
            </w:pPr>
            <w:r w:rsidRPr="00626E47">
              <w:rPr>
                <w:b/>
                <w:sz w:val="20"/>
                <w:szCs w:val="20"/>
              </w:rPr>
              <w:t>Step 3</w:t>
            </w:r>
          </w:p>
          <w:p w14:paraId="4A2840D4" w14:textId="77777777" w:rsidR="00A512CD" w:rsidRPr="00626E47" w:rsidRDefault="00A512CD" w:rsidP="00A512CD">
            <w:pPr>
              <w:spacing w:after="0" w:line="240" w:lineRule="auto"/>
              <w:jc w:val="center"/>
              <w:rPr>
                <w:b/>
                <w:sz w:val="20"/>
                <w:szCs w:val="20"/>
              </w:rPr>
            </w:pPr>
            <w:r w:rsidRPr="00626E47">
              <w:rPr>
                <w:b/>
                <w:sz w:val="20"/>
                <w:szCs w:val="20"/>
              </w:rPr>
              <w:t>30-45 minutes</w:t>
            </w:r>
          </w:p>
          <w:p w14:paraId="054BEBBF" w14:textId="77777777" w:rsidR="00A512CD" w:rsidRPr="00626E47" w:rsidRDefault="00A512CD" w:rsidP="00A512CD">
            <w:pPr>
              <w:spacing w:after="0" w:line="240" w:lineRule="auto"/>
              <w:jc w:val="center"/>
              <w:rPr>
                <w:b/>
                <w:sz w:val="20"/>
                <w:szCs w:val="20"/>
              </w:rPr>
            </w:pPr>
            <w:r w:rsidRPr="00626E47">
              <w:rPr>
                <w:b/>
                <w:sz w:val="20"/>
                <w:szCs w:val="20"/>
              </w:rPr>
              <w:t>(mL/hr)</w:t>
            </w:r>
          </w:p>
        </w:tc>
        <w:tc>
          <w:tcPr>
            <w:tcW w:w="922" w:type="dxa"/>
          </w:tcPr>
          <w:p w14:paraId="4C9FB2FC" w14:textId="77777777" w:rsidR="00A512CD" w:rsidRPr="00626E47" w:rsidRDefault="00A512CD" w:rsidP="00A512CD">
            <w:pPr>
              <w:spacing w:after="0" w:line="240" w:lineRule="auto"/>
              <w:jc w:val="center"/>
              <w:rPr>
                <w:b/>
                <w:sz w:val="20"/>
                <w:szCs w:val="20"/>
              </w:rPr>
            </w:pPr>
            <w:r w:rsidRPr="00626E47">
              <w:rPr>
                <w:b/>
                <w:sz w:val="20"/>
                <w:szCs w:val="20"/>
              </w:rPr>
              <w:t>Step 4</w:t>
            </w:r>
          </w:p>
          <w:p w14:paraId="25A25B05" w14:textId="77777777" w:rsidR="00A512CD" w:rsidRPr="00626E47" w:rsidRDefault="00A512CD" w:rsidP="00A512CD">
            <w:pPr>
              <w:spacing w:after="0" w:line="240" w:lineRule="auto"/>
              <w:jc w:val="center"/>
              <w:rPr>
                <w:b/>
                <w:sz w:val="20"/>
                <w:szCs w:val="20"/>
              </w:rPr>
            </w:pPr>
            <w:r w:rsidRPr="00626E47">
              <w:rPr>
                <w:b/>
                <w:sz w:val="20"/>
                <w:szCs w:val="20"/>
              </w:rPr>
              <w:t>45-60 minutes</w:t>
            </w:r>
          </w:p>
          <w:p w14:paraId="608A90C0" w14:textId="77777777" w:rsidR="00A512CD" w:rsidRPr="00626E47" w:rsidRDefault="00A512CD" w:rsidP="00A512CD">
            <w:pPr>
              <w:spacing w:after="0" w:line="240" w:lineRule="auto"/>
              <w:jc w:val="center"/>
              <w:rPr>
                <w:b/>
                <w:sz w:val="20"/>
                <w:szCs w:val="20"/>
              </w:rPr>
            </w:pPr>
            <w:r w:rsidRPr="00626E47">
              <w:rPr>
                <w:b/>
                <w:sz w:val="20"/>
                <w:szCs w:val="20"/>
              </w:rPr>
              <w:t>(mL/hr)</w:t>
            </w:r>
          </w:p>
        </w:tc>
        <w:tc>
          <w:tcPr>
            <w:tcW w:w="893" w:type="dxa"/>
          </w:tcPr>
          <w:p w14:paraId="3EE00FF5" w14:textId="77777777" w:rsidR="00A512CD" w:rsidRPr="00626E47" w:rsidRDefault="00A512CD" w:rsidP="00A512CD">
            <w:pPr>
              <w:spacing w:after="0" w:line="240" w:lineRule="auto"/>
              <w:jc w:val="center"/>
              <w:rPr>
                <w:b/>
                <w:sz w:val="20"/>
                <w:szCs w:val="20"/>
              </w:rPr>
            </w:pPr>
            <w:r w:rsidRPr="00626E47">
              <w:rPr>
                <w:b/>
                <w:sz w:val="20"/>
                <w:szCs w:val="20"/>
              </w:rPr>
              <w:t>Step  5</w:t>
            </w:r>
          </w:p>
          <w:p w14:paraId="34D10DA9" w14:textId="77777777" w:rsidR="00A512CD" w:rsidRPr="00626E47" w:rsidRDefault="00A512CD" w:rsidP="00A512CD">
            <w:pPr>
              <w:spacing w:after="0" w:line="240" w:lineRule="auto"/>
              <w:jc w:val="center"/>
              <w:rPr>
                <w:b/>
                <w:sz w:val="20"/>
                <w:szCs w:val="20"/>
              </w:rPr>
            </w:pPr>
            <w:r w:rsidRPr="00626E47">
              <w:rPr>
                <w:b/>
                <w:sz w:val="20"/>
                <w:szCs w:val="20"/>
              </w:rPr>
              <w:t>60-75 minutes</w:t>
            </w:r>
          </w:p>
          <w:p w14:paraId="5305D633" w14:textId="77777777" w:rsidR="00A512CD" w:rsidRPr="00626E47" w:rsidRDefault="00A512CD" w:rsidP="00A512CD">
            <w:pPr>
              <w:spacing w:after="0" w:line="240" w:lineRule="auto"/>
              <w:jc w:val="center"/>
              <w:rPr>
                <w:b/>
                <w:sz w:val="20"/>
                <w:szCs w:val="20"/>
              </w:rPr>
            </w:pPr>
            <w:r w:rsidRPr="00626E47">
              <w:rPr>
                <w:b/>
                <w:sz w:val="20"/>
                <w:szCs w:val="20"/>
              </w:rPr>
              <w:t>(mL/hr)</w:t>
            </w:r>
          </w:p>
        </w:tc>
        <w:tc>
          <w:tcPr>
            <w:tcW w:w="893" w:type="dxa"/>
          </w:tcPr>
          <w:p w14:paraId="21F73926" w14:textId="77777777" w:rsidR="00A512CD" w:rsidRPr="00626E47" w:rsidRDefault="00A512CD" w:rsidP="00A512CD">
            <w:pPr>
              <w:spacing w:after="0" w:line="240" w:lineRule="auto"/>
              <w:jc w:val="center"/>
              <w:rPr>
                <w:b/>
                <w:sz w:val="20"/>
                <w:szCs w:val="20"/>
              </w:rPr>
            </w:pPr>
            <w:r w:rsidRPr="00626E47">
              <w:rPr>
                <w:b/>
                <w:sz w:val="20"/>
                <w:szCs w:val="20"/>
              </w:rPr>
              <w:t>Step  6</w:t>
            </w:r>
          </w:p>
          <w:p w14:paraId="24581962" w14:textId="77777777" w:rsidR="00A512CD" w:rsidRPr="00626E47" w:rsidRDefault="00A512CD" w:rsidP="00A512CD">
            <w:pPr>
              <w:spacing w:after="0" w:line="240" w:lineRule="auto"/>
              <w:jc w:val="center"/>
              <w:rPr>
                <w:b/>
                <w:sz w:val="20"/>
                <w:szCs w:val="20"/>
              </w:rPr>
            </w:pPr>
            <w:r w:rsidRPr="00626E47">
              <w:rPr>
                <w:b/>
                <w:sz w:val="20"/>
                <w:szCs w:val="20"/>
              </w:rPr>
              <w:t>75-90 minutes</w:t>
            </w:r>
          </w:p>
          <w:p w14:paraId="62D28F61" w14:textId="77777777" w:rsidR="00A512CD" w:rsidRPr="00626E47" w:rsidRDefault="00A512CD" w:rsidP="00A512CD">
            <w:pPr>
              <w:spacing w:after="0" w:line="240" w:lineRule="auto"/>
              <w:jc w:val="center"/>
              <w:rPr>
                <w:b/>
                <w:sz w:val="20"/>
                <w:szCs w:val="20"/>
              </w:rPr>
            </w:pPr>
            <w:r w:rsidRPr="00626E47">
              <w:rPr>
                <w:b/>
                <w:sz w:val="20"/>
                <w:szCs w:val="20"/>
              </w:rPr>
              <w:t>(mL/hr)</w:t>
            </w:r>
          </w:p>
        </w:tc>
        <w:tc>
          <w:tcPr>
            <w:tcW w:w="893" w:type="dxa"/>
          </w:tcPr>
          <w:p w14:paraId="42D360B8" w14:textId="77777777" w:rsidR="00A512CD" w:rsidRPr="00626E47" w:rsidRDefault="00A512CD" w:rsidP="00A512CD">
            <w:pPr>
              <w:spacing w:after="0" w:line="240" w:lineRule="auto"/>
              <w:jc w:val="center"/>
              <w:rPr>
                <w:b/>
                <w:sz w:val="20"/>
                <w:szCs w:val="20"/>
              </w:rPr>
            </w:pPr>
            <w:r w:rsidRPr="00626E47">
              <w:rPr>
                <w:b/>
                <w:sz w:val="20"/>
                <w:szCs w:val="20"/>
              </w:rPr>
              <w:t>Step  7</w:t>
            </w:r>
          </w:p>
          <w:p w14:paraId="42323C93" w14:textId="77777777" w:rsidR="00A512CD" w:rsidRPr="00626E47" w:rsidRDefault="00A512CD" w:rsidP="00A512CD">
            <w:pPr>
              <w:spacing w:after="0" w:line="240" w:lineRule="auto"/>
              <w:jc w:val="center"/>
              <w:rPr>
                <w:b/>
                <w:sz w:val="20"/>
                <w:szCs w:val="20"/>
              </w:rPr>
            </w:pPr>
            <w:r w:rsidRPr="00626E47">
              <w:rPr>
                <w:b/>
                <w:sz w:val="20"/>
                <w:szCs w:val="20"/>
              </w:rPr>
              <w:t>90+ minutes</w:t>
            </w:r>
          </w:p>
          <w:p w14:paraId="1C4AA30E" w14:textId="77777777" w:rsidR="00A512CD" w:rsidRPr="00626E47" w:rsidRDefault="00A512CD" w:rsidP="00A512CD">
            <w:pPr>
              <w:spacing w:after="0" w:line="240" w:lineRule="auto"/>
              <w:jc w:val="center"/>
              <w:rPr>
                <w:b/>
                <w:sz w:val="20"/>
                <w:szCs w:val="20"/>
              </w:rPr>
            </w:pPr>
            <w:r w:rsidRPr="00626E47">
              <w:rPr>
                <w:b/>
                <w:sz w:val="20"/>
                <w:szCs w:val="20"/>
              </w:rPr>
              <w:t>(mL/hr)</w:t>
            </w:r>
          </w:p>
        </w:tc>
      </w:tr>
      <w:tr w:rsidR="00A512CD" w:rsidRPr="00626E47" w14:paraId="62114A1C" w14:textId="77777777" w:rsidTr="00A16B7D">
        <w:tc>
          <w:tcPr>
            <w:tcW w:w="838" w:type="dxa"/>
          </w:tcPr>
          <w:p w14:paraId="1037176D" w14:textId="77777777" w:rsidR="00A512CD" w:rsidRPr="00626E47" w:rsidRDefault="00A512CD" w:rsidP="00A512CD">
            <w:pPr>
              <w:spacing w:after="0" w:line="240" w:lineRule="auto"/>
              <w:jc w:val="center"/>
              <w:rPr>
                <w:sz w:val="20"/>
                <w:szCs w:val="20"/>
              </w:rPr>
            </w:pPr>
            <w:r>
              <w:rPr>
                <w:sz w:val="20"/>
                <w:szCs w:val="20"/>
              </w:rPr>
              <w:t>&lt;</w:t>
            </w:r>
            <w:r w:rsidRPr="00626E47">
              <w:rPr>
                <w:sz w:val="20"/>
                <w:szCs w:val="20"/>
              </w:rPr>
              <w:t xml:space="preserve"> 25</w:t>
            </w:r>
          </w:p>
        </w:tc>
        <w:tc>
          <w:tcPr>
            <w:tcW w:w="966" w:type="dxa"/>
          </w:tcPr>
          <w:p w14:paraId="2C8A7250" w14:textId="77777777" w:rsidR="00A512CD" w:rsidRPr="00626E47" w:rsidRDefault="00A512CD" w:rsidP="00A512CD">
            <w:pPr>
              <w:spacing w:after="0" w:line="240" w:lineRule="auto"/>
              <w:jc w:val="center"/>
              <w:rPr>
                <w:sz w:val="20"/>
                <w:szCs w:val="20"/>
              </w:rPr>
            </w:pPr>
            <w:r w:rsidRPr="00626E47">
              <w:rPr>
                <w:sz w:val="20"/>
                <w:szCs w:val="20"/>
              </w:rPr>
              <w:t>100</w:t>
            </w:r>
          </w:p>
        </w:tc>
        <w:tc>
          <w:tcPr>
            <w:tcW w:w="894" w:type="dxa"/>
          </w:tcPr>
          <w:p w14:paraId="56502600" w14:textId="77777777" w:rsidR="00A512CD" w:rsidRPr="00626E47" w:rsidRDefault="00A512CD" w:rsidP="00A512CD">
            <w:pPr>
              <w:spacing w:after="0" w:line="240" w:lineRule="auto"/>
              <w:jc w:val="center"/>
              <w:rPr>
                <w:sz w:val="20"/>
                <w:szCs w:val="20"/>
              </w:rPr>
            </w:pPr>
            <w:r w:rsidRPr="00626E47">
              <w:rPr>
                <w:sz w:val="20"/>
                <w:szCs w:val="20"/>
              </w:rPr>
              <w:t>3</w:t>
            </w:r>
          </w:p>
        </w:tc>
        <w:tc>
          <w:tcPr>
            <w:tcW w:w="893" w:type="dxa"/>
          </w:tcPr>
          <w:p w14:paraId="5BCEBE04" w14:textId="77777777" w:rsidR="00A512CD" w:rsidRPr="00626E47" w:rsidRDefault="00A512CD" w:rsidP="00A512CD">
            <w:pPr>
              <w:spacing w:after="0" w:line="240" w:lineRule="auto"/>
              <w:jc w:val="center"/>
              <w:rPr>
                <w:sz w:val="20"/>
                <w:szCs w:val="20"/>
              </w:rPr>
            </w:pPr>
            <w:r w:rsidRPr="00626E47">
              <w:rPr>
                <w:sz w:val="20"/>
                <w:szCs w:val="20"/>
              </w:rPr>
              <w:t>6</w:t>
            </w:r>
          </w:p>
        </w:tc>
        <w:tc>
          <w:tcPr>
            <w:tcW w:w="893" w:type="dxa"/>
          </w:tcPr>
          <w:p w14:paraId="255C8E80" w14:textId="77777777" w:rsidR="00A512CD" w:rsidRPr="00626E47" w:rsidRDefault="00A512CD" w:rsidP="00A512CD">
            <w:pPr>
              <w:spacing w:after="0" w:line="240" w:lineRule="auto"/>
              <w:jc w:val="center"/>
              <w:rPr>
                <w:sz w:val="20"/>
                <w:szCs w:val="20"/>
              </w:rPr>
            </w:pPr>
            <w:r w:rsidRPr="00626E47">
              <w:rPr>
                <w:sz w:val="20"/>
                <w:szCs w:val="20"/>
              </w:rPr>
              <w:t>12</w:t>
            </w:r>
          </w:p>
        </w:tc>
        <w:tc>
          <w:tcPr>
            <w:tcW w:w="922" w:type="dxa"/>
          </w:tcPr>
          <w:p w14:paraId="6AD37F51" w14:textId="77777777" w:rsidR="00A512CD" w:rsidRPr="00626E47" w:rsidRDefault="00A512CD" w:rsidP="00A512CD">
            <w:pPr>
              <w:spacing w:after="0" w:line="240" w:lineRule="auto"/>
              <w:jc w:val="center"/>
              <w:rPr>
                <w:sz w:val="20"/>
                <w:szCs w:val="20"/>
              </w:rPr>
            </w:pPr>
            <w:r w:rsidRPr="00626E47">
              <w:rPr>
                <w:sz w:val="20"/>
                <w:szCs w:val="20"/>
              </w:rPr>
              <w:t>18</w:t>
            </w:r>
          </w:p>
        </w:tc>
        <w:tc>
          <w:tcPr>
            <w:tcW w:w="893" w:type="dxa"/>
          </w:tcPr>
          <w:p w14:paraId="4EC836D1" w14:textId="77777777" w:rsidR="00A512CD" w:rsidRPr="00626E47" w:rsidRDefault="00A512CD" w:rsidP="00A512CD">
            <w:pPr>
              <w:spacing w:after="0" w:line="240" w:lineRule="auto"/>
              <w:jc w:val="center"/>
              <w:rPr>
                <w:sz w:val="20"/>
                <w:szCs w:val="20"/>
              </w:rPr>
            </w:pPr>
            <w:r w:rsidRPr="00626E47">
              <w:rPr>
                <w:sz w:val="20"/>
                <w:szCs w:val="20"/>
              </w:rPr>
              <w:t>24</w:t>
            </w:r>
          </w:p>
        </w:tc>
        <w:tc>
          <w:tcPr>
            <w:tcW w:w="893" w:type="dxa"/>
          </w:tcPr>
          <w:p w14:paraId="71EBDB72" w14:textId="77777777" w:rsidR="00A512CD" w:rsidRPr="00626E47" w:rsidRDefault="00A512CD" w:rsidP="00A512CD">
            <w:pPr>
              <w:spacing w:after="0" w:line="240" w:lineRule="auto"/>
              <w:jc w:val="center"/>
              <w:rPr>
                <w:sz w:val="20"/>
                <w:szCs w:val="20"/>
              </w:rPr>
            </w:pPr>
            <w:r w:rsidRPr="00626E47">
              <w:rPr>
                <w:sz w:val="20"/>
                <w:szCs w:val="20"/>
              </w:rPr>
              <w:t>30</w:t>
            </w:r>
          </w:p>
        </w:tc>
        <w:tc>
          <w:tcPr>
            <w:tcW w:w="893" w:type="dxa"/>
          </w:tcPr>
          <w:p w14:paraId="004E975C" w14:textId="77777777" w:rsidR="00A512CD" w:rsidRPr="00626E47" w:rsidRDefault="00A512CD" w:rsidP="00A512CD">
            <w:pPr>
              <w:spacing w:after="0" w:line="240" w:lineRule="auto"/>
              <w:jc w:val="center"/>
              <w:rPr>
                <w:sz w:val="20"/>
                <w:szCs w:val="20"/>
              </w:rPr>
            </w:pPr>
            <w:r w:rsidRPr="00626E47">
              <w:rPr>
                <w:sz w:val="20"/>
                <w:szCs w:val="20"/>
              </w:rPr>
              <w:t>36</w:t>
            </w:r>
          </w:p>
        </w:tc>
      </w:tr>
      <w:tr w:rsidR="00A512CD" w:rsidRPr="00626E47" w14:paraId="42D05A81" w14:textId="77777777" w:rsidTr="00A16B7D">
        <w:tc>
          <w:tcPr>
            <w:tcW w:w="838" w:type="dxa"/>
          </w:tcPr>
          <w:p w14:paraId="4C54FC06" w14:textId="77777777" w:rsidR="00A512CD" w:rsidRPr="00626E47" w:rsidRDefault="00A512CD" w:rsidP="00A512CD">
            <w:pPr>
              <w:spacing w:after="0" w:line="240" w:lineRule="auto"/>
              <w:jc w:val="center"/>
              <w:rPr>
                <w:sz w:val="20"/>
                <w:szCs w:val="20"/>
              </w:rPr>
            </w:pPr>
            <w:r>
              <w:rPr>
                <w:rFonts w:cstheme="minorHAnsi"/>
                <w:sz w:val="20"/>
                <w:szCs w:val="20"/>
              </w:rPr>
              <w:t>≥</w:t>
            </w:r>
            <w:r w:rsidRPr="00626E47">
              <w:rPr>
                <w:sz w:val="20"/>
                <w:szCs w:val="20"/>
              </w:rPr>
              <w:t xml:space="preserve"> 25</w:t>
            </w:r>
          </w:p>
        </w:tc>
        <w:tc>
          <w:tcPr>
            <w:tcW w:w="966" w:type="dxa"/>
          </w:tcPr>
          <w:p w14:paraId="735550F6" w14:textId="77777777" w:rsidR="00A512CD" w:rsidRPr="00626E47" w:rsidRDefault="00A512CD" w:rsidP="00A512CD">
            <w:pPr>
              <w:spacing w:after="0" w:line="240" w:lineRule="auto"/>
              <w:jc w:val="center"/>
              <w:rPr>
                <w:sz w:val="20"/>
                <w:szCs w:val="20"/>
              </w:rPr>
            </w:pPr>
            <w:r w:rsidRPr="00626E47">
              <w:rPr>
                <w:sz w:val="20"/>
                <w:szCs w:val="20"/>
              </w:rPr>
              <w:t>250</w:t>
            </w:r>
          </w:p>
        </w:tc>
        <w:tc>
          <w:tcPr>
            <w:tcW w:w="894" w:type="dxa"/>
          </w:tcPr>
          <w:p w14:paraId="2B0FE4F4" w14:textId="77777777" w:rsidR="00A512CD" w:rsidRPr="00626E47" w:rsidRDefault="00A512CD" w:rsidP="00A512CD">
            <w:pPr>
              <w:spacing w:after="0" w:line="240" w:lineRule="auto"/>
              <w:jc w:val="center"/>
              <w:rPr>
                <w:sz w:val="20"/>
                <w:szCs w:val="20"/>
              </w:rPr>
            </w:pPr>
            <w:r w:rsidRPr="00626E47">
              <w:rPr>
                <w:sz w:val="20"/>
                <w:szCs w:val="20"/>
              </w:rPr>
              <w:t>6</w:t>
            </w:r>
          </w:p>
        </w:tc>
        <w:tc>
          <w:tcPr>
            <w:tcW w:w="893" w:type="dxa"/>
          </w:tcPr>
          <w:p w14:paraId="1BCF3A96" w14:textId="77777777" w:rsidR="00A512CD" w:rsidRPr="00626E47" w:rsidRDefault="00A512CD" w:rsidP="00A512CD">
            <w:pPr>
              <w:spacing w:after="0" w:line="240" w:lineRule="auto"/>
              <w:jc w:val="center"/>
              <w:rPr>
                <w:sz w:val="20"/>
                <w:szCs w:val="20"/>
              </w:rPr>
            </w:pPr>
            <w:r w:rsidRPr="00626E47">
              <w:rPr>
                <w:sz w:val="20"/>
                <w:szCs w:val="20"/>
              </w:rPr>
              <w:t>12</w:t>
            </w:r>
          </w:p>
        </w:tc>
        <w:tc>
          <w:tcPr>
            <w:tcW w:w="893" w:type="dxa"/>
          </w:tcPr>
          <w:p w14:paraId="78074D14" w14:textId="77777777" w:rsidR="00A512CD" w:rsidRPr="00626E47" w:rsidRDefault="00A512CD" w:rsidP="00A512CD">
            <w:pPr>
              <w:spacing w:after="0" w:line="240" w:lineRule="auto"/>
              <w:jc w:val="center"/>
              <w:rPr>
                <w:sz w:val="20"/>
                <w:szCs w:val="20"/>
              </w:rPr>
            </w:pPr>
            <w:r w:rsidRPr="00626E47">
              <w:rPr>
                <w:sz w:val="20"/>
                <w:szCs w:val="20"/>
              </w:rPr>
              <w:t>24</w:t>
            </w:r>
          </w:p>
        </w:tc>
        <w:tc>
          <w:tcPr>
            <w:tcW w:w="922" w:type="dxa"/>
          </w:tcPr>
          <w:p w14:paraId="4B24E822" w14:textId="77777777" w:rsidR="00A512CD" w:rsidRPr="00626E47" w:rsidRDefault="00A512CD" w:rsidP="00A512CD">
            <w:pPr>
              <w:spacing w:after="0" w:line="240" w:lineRule="auto"/>
              <w:jc w:val="center"/>
              <w:rPr>
                <w:sz w:val="20"/>
                <w:szCs w:val="20"/>
              </w:rPr>
            </w:pPr>
            <w:r w:rsidRPr="00626E47">
              <w:rPr>
                <w:sz w:val="20"/>
                <w:szCs w:val="20"/>
              </w:rPr>
              <w:t>36</w:t>
            </w:r>
          </w:p>
        </w:tc>
        <w:tc>
          <w:tcPr>
            <w:tcW w:w="893" w:type="dxa"/>
          </w:tcPr>
          <w:p w14:paraId="61EA4188" w14:textId="77777777" w:rsidR="00A512CD" w:rsidRPr="00626E47" w:rsidRDefault="00A512CD" w:rsidP="00A512CD">
            <w:pPr>
              <w:spacing w:after="0" w:line="240" w:lineRule="auto"/>
              <w:jc w:val="center"/>
              <w:rPr>
                <w:sz w:val="20"/>
                <w:szCs w:val="20"/>
              </w:rPr>
            </w:pPr>
            <w:r w:rsidRPr="00626E47">
              <w:rPr>
                <w:sz w:val="20"/>
                <w:szCs w:val="20"/>
              </w:rPr>
              <w:t>48</w:t>
            </w:r>
          </w:p>
        </w:tc>
        <w:tc>
          <w:tcPr>
            <w:tcW w:w="893" w:type="dxa"/>
          </w:tcPr>
          <w:p w14:paraId="72E0EECC" w14:textId="77777777" w:rsidR="00A512CD" w:rsidRPr="00626E47" w:rsidRDefault="00A512CD" w:rsidP="00A512CD">
            <w:pPr>
              <w:spacing w:after="0" w:line="240" w:lineRule="auto"/>
              <w:jc w:val="center"/>
              <w:rPr>
                <w:sz w:val="20"/>
                <w:szCs w:val="20"/>
              </w:rPr>
            </w:pPr>
            <w:r w:rsidRPr="00626E47">
              <w:rPr>
                <w:sz w:val="20"/>
                <w:szCs w:val="20"/>
              </w:rPr>
              <w:t>60</w:t>
            </w:r>
          </w:p>
        </w:tc>
        <w:tc>
          <w:tcPr>
            <w:tcW w:w="893" w:type="dxa"/>
          </w:tcPr>
          <w:p w14:paraId="3A35F3A2" w14:textId="77777777" w:rsidR="00A512CD" w:rsidRPr="00626E47" w:rsidRDefault="00A512CD" w:rsidP="00A512CD">
            <w:pPr>
              <w:spacing w:after="0" w:line="240" w:lineRule="auto"/>
              <w:jc w:val="center"/>
              <w:rPr>
                <w:sz w:val="20"/>
                <w:szCs w:val="20"/>
              </w:rPr>
            </w:pPr>
            <w:r w:rsidRPr="00626E47">
              <w:rPr>
                <w:sz w:val="20"/>
                <w:szCs w:val="20"/>
              </w:rPr>
              <w:t>72</w:t>
            </w:r>
          </w:p>
        </w:tc>
      </w:tr>
    </w:tbl>
    <w:p w14:paraId="29A9D717" w14:textId="4AD2098C" w:rsidR="00A512CD" w:rsidRPr="006D722F" w:rsidRDefault="00A512CD" w:rsidP="00A16B7D">
      <w:pPr>
        <w:adjustRightInd w:val="0"/>
        <w:spacing w:after="0" w:line="240" w:lineRule="auto"/>
        <w:rPr>
          <w:sz w:val="20"/>
          <w:szCs w:val="20"/>
        </w:rPr>
      </w:pPr>
      <w:r w:rsidRPr="00A74484">
        <w:rPr>
          <w:sz w:val="20"/>
          <w:szCs w:val="20"/>
          <w:vertAlign w:val="superscript"/>
        </w:rPr>
        <w:t xml:space="preserve">¥ </w:t>
      </w:r>
      <w:r w:rsidRPr="00A74484">
        <w:rPr>
          <w:sz w:val="20"/>
          <w:szCs w:val="20"/>
        </w:rPr>
        <w:t>Infusion rate may be increased as tolerated by patient.</w:t>
      </w:r>
    </w:p>
    <w:p w14:paraId="36F4C64D" w14:textId="77777777" w:rsidR="00A16B7D" w:rsidRPr="00A16B7D" w:rsidRDefault="00A16B7D" w:rsidP="00A16B7D">
      <w:pPr>
        <w:adjustRightInd w:val="0"/>
        <w:spacing w:after="0" w:line="240" w:lineRule="auto"/>
      </w:pPr>
    </w:p>
    <w:p w14:paraId="73AD665E" w14:textId="77777777" w:rsidR="00A512CD" w:rsidRPr="00626E47" w:rsidRDefault="00A512CD" w:rsidP="00A16B7D">
      <w:pPr>
        <w:pStyle w:val="Heading2"/>
        <w:adjustRightInd w:val="0"/>
      </w:pPr>
      <w:r w:rsidRPr="00626E47">
        <w:t>Instructions for Use and Handling</w:t>
      </w:r>
    </w:p>
    <w:p w14:paraId="5E3D1C42" w14:textId="77777777" w:rsidR="00A512CD" w:rsidRPr="00626E47" w:rsidRDefault="00A512CD" w:rsidP="00A16B7D">
      <w:pPr>
        <w:adjustRightInd w:val="0"/>
        <w:spacing w:after="0" w:line="240" w:lineRule="auto"/>
      </w:pPr>
    </w:p>
    <w:p w14:paraId="6971F068" w14:textId="77777777" w:rsidR="00A512CD" w:rsidRPr="00626E47" w:rsidRDefault="00A512CD" w:rsidP="00A16B7D">
      <w:pPr>
        <w:autoSpaceDE w:val="0"/>
        <w:autoSpaceDN w:val="0"/>
        <w:adjustRightInd w:val="0"/>
        <w:spacing w:after="0" w:line="240" w:lineRule="auto"/>
        <w:rPr>
          <w:iCs/>
        </w:rPr>
      </w:pPr>
      <w:r w:rsidRPr="00626E47">
        <w:rPr>
          <w:iCs/>
        </w:rPr>
        <w:t xml:space="preserve">Each vial of </w:t>
      </w:r>
      <w:proofErr w:type="spellStart"/>
      <w:r w:rsidRPr="00626E47">
        <w:t>Vimizim</w:t>
      </w:r>
      <w:proofErr w:type="spellEnd"/>
      <w:r w:rsidRPr="00626E47">
        <w:rPr>
          <w:iCs/>
        </w:rPr>
        <w:t xml:space="preserve"> is intended for single use only. The concentrate for solution for infusion has to be </w:t>
      </w:r>
      <w:r w:rsidRPr="002333B0">
        <w:rPr>
          <w:iCs/>
        </w:rPr>
        <w:t xml:space="preserve">diluted with </w:t>
      </w:r>
      <w:r>
        <w:rPr>
          <w:bCs/>
        </w:rPr>
        <w:t xml:space="preserve">sodium chloride 9 mg/mL (0.9%) solution for injection </w:t>
      </w:r>
      <w:r w:rsidRPr="00626E47">
        <w:rPr>
          <w:iCs/>
        </w:rPr>
        <w:t xml:space="preserve">for infusion using aseptic technique. The diluted </w:t>
      </w:r>
      <w:proofErr w:type="spellStart"/>
      <w:r w:rsidRPr="00626E47">
        <w:t>Vimizim</w:t>
      </w:r>
      <w:proofErr w:type="spellEnd"/>
      <w:r w:rsidRPr="00626E47">
        <w:t xml:space="preserve"> </w:t>
      </w:r>
      <w:r w:rsidRPr="00626E47">
        <w:rPr>
          <w:iCs/>
        </w:rPr>
        <w:t xml:space="preserve">solution is to be administered to patients using a </w:t>
      </w:r>
      <w:r w:rsidRPr="00626E47">
        <w:t>low-protein-binding</w:t>
      </w:r>
      <w:r w:rsidRPr="00626E47" w:rsidDel="001F6588">
        <w:rPr>
          <w:iCs/>
        </w:rPr>
        <w:t xml:space="preserve"> </w:t>
      </w:r>
      <w:r w:rsidRPr="00626E47">
        <w:rPr>
          <w:iCs/>
        </w:rPr>
        <w:t>infusion set equipped with a</w:t>
      </w:r>
      <w:r w:rsidRPr="00626E47">
        <w:t xml:space="preserve"> low-protein-binding</w:t>
      </w:r>
      <w:r w:rsidRPr="00626E47">
        <w:rPr>
          <w:iCs/>
        </w:rPr>
        <w:t xml:space="preserve"> 0.2 µm in-line filter.</w:t>
      </w:r>
    </w:p>
    <w:p w14:paraId="5320BD37" w14:textId="77777777" w:rsidR="00A512CD" w:rsidRPr="00626E47" w:rsidRDefault="00A512CD" w:rsidP="00A16B7D">
      <w:pPr>
        <w:adjustRightInd w:val="0"/>
        <w:spacing w:after="0" w:line="240" w:lineRule="auto"/>
        <w:rPr>
          <w:bCs/>
        </w:rPr>
      </w:pPr>
    </w:p>
    <w:p w14:paraId="2A07D55A" w14:textId="77777777" w:rsidR="00A512CD" w:rsidRPr="00626E47" w:rsidRDefault="00A512CD" w:rsidP="00A16B7D">
      <w:pPr>
        <w:pStyle w:val="BodyText"/>
        <w:adjustRightInd w:val="0"/>
        <w:spacing w:after="0" w:line="240" w:lineRule="auto"/>
        <w:rPr>
          <w:iCs/>
        </w:rPr>
      </w:pPr>
      <w:r w:rsidRPr="00626E47">
        <w:rPr>
          <w:iCs/>
        </w:rPr>
        <w:t>Any unused medicinal product or waste material should be disposed of in accordance with local requirements.</w:t>
      </w:r>
    </w:p>
    <w:p w14:paraId="0990A687" w14:textId="77777777" w:rsidR="00A512CD" w:rsidRPr="00626E47" w:rsidRDefault="00A512CD" w:rsidP="00A16B7D">
      <w:pPr>
        <w:adjustRightInd w:val="0"/>
        <w:spacing w:after="0" w:line="240" w:lineRule="auto"/>
        <w:rPr>
          <w:bCs/>
        </w:rPr>
      </w:pPr>
    </w:p>
    <w:p w14:paraId="0D5151CD" w14:textId="77777777" w:rsidR="00A512CD" w:rsidRPr="00626E47" w:rsidRDefault="00A512CD" w:rsidP="00A16B7D">
      <w:pPr>
        <w:pStyle w:val="bodytextbold"/>
        <w:keepNext/>
        <w:adjustRightInd w:val="0"/>
        <w:spacing w:after="0" w:line="240" w:lineRule="auto"/>
        <w:ind w:left="513" w:hanging="513"/>
        <w:rPr>
          <w:rFonts w:asciiTheme="minorHAnsi" w:hAnsiTheme="minorHAnsi"/>
          <w:b w:val="0"/>
          <w:sz w:val="22"/>
          <w:szCs w:val="22"/>
          <w:u w:val="single"/>
          <w:lang w:val="en-GB"/>
        </w:rPr>
      </w:pPr>
      <w:r w:rsidRPr="00626E47">
        <w:rPr>
          <w:rFonts w:asciiTheme="minorHAnsi" w:hAnsiTheme="minorHAnsi"/>
          <w:b w:val="0"/>
          <w:sz w:val="22"/>
          <w:szCs w:val="22"/>
          <w:u w:val="single"/>
          <w:lang w:val="en-GB"/>
        </w:rPr>
        <w:t xml:space="preserve">Preparation of the </w:t>
      </w:r>
      <w:proofErr w:type="spellStart"/>
      <w:r w:rsidRPr="00626E47">
        <w:rPr>
          <w:rFonts w:asciiTheme="minorHAnsi" w:hAnsiTheme="minorHAnsi"/>
          <w:b w:val="0"/>
          <w:sz w:val="22"/>
          <w:szCs w:val="22"/>
          <w:u w:val="single"/>
          <w:lang w:val="en-GB"/>
        </w:rPr>
        <w:t>Vimizim</w:t>
      </w:r>
      <w:proofErr w:type="spellEnd"/>
      <w:r w:rsidRPr="00626E47">
        <w:rPr>
          <w:rFonts w:asciiTheme="minorHAnsi" w:hAnsiTheme="minorHAnsi"/>
          <w:b w:val="0"/>
          <w:sz w:val="22"/>
          <w:szCs w:val="22"/>
          <w:u w:val="single"/>
          <w:lang w:val="en-GB"/>
        </w:rPr>
        <w:t xml:space="preserve"> infusion (aseptic technique is to be used)</w:t>
      </w:r>
    </w:p>
    <w:p w14:paraId="03BBE744" w14:textId="77777777" w:rsidR="00A512CD" w:rsidRPr="00626E47" w:rsidRDefault="00A512CD" w:rsidP="00A16B7D">
      <w:pPr>
        <w:pStyle w:val="ListNumber"/>
        <w:numPr>
          <w:ilvl w:val="0"/>
          <w:numId w:val="17"/>
        </w:numPr>
        <w:adjustRightInd w:val="0"/>
        <w:spacing w:after="0"/>
        <w:rPr>
          <w:rFonts w:asciiTheme="minorHAnsi" w:hAnsiTheme="minorHAnsi"/>
          <w:iCs/>
          <w:sz w:val="22"/>
          <w:szCs w:val="22"/>
        </w:rPr>
      </w:pPr>
      <w:r w:rsidRPr="00626E47">
        <w:rPr>
          <w:rFonts w:asciiTheme="minorHAnsi" w:hAnsiTheme="minorHAnsi"/>
          <w:bCs/>
          <w:iCs/>
          <w:sz w:val="22"/>
          <w:szCs w:val="22"/>
        </w:rPr>
        <w:t>Determine the number of vials to be diluted based on the individual patient’s weight and the recommended dose of 2 mg/kg, using the following calculation:</w:t>
      </w:r>
    </w:p>
    <w:p w14:paraId="5AA3BB3F" w14:textId="77777777" w:rsidR="00A512CD" w:rsidRPr="00626E47" w:rsidRDefault="00A512CD" w:rsidP="00A16B7D">
      <w:pPr>
        <w:pStyle w:val="ListNumber"/>
        <w:numPr>
          <w:ilvl w:val="0"/>
          <w:numId w:val="18"/>
        </w:numPr>
        <w:adjustRightInd w:val="0"/>
        <w:spacing w:after="0"/>
        <w:rPr>
          <w:rFonts w:asciiTheme="minorHAnsi" w:hAnsiTheme="minorHAnsi"/>
          <w:iCs/>
          <w:sz w:val="22"/>
          <w:szCs w:val="22"/>
        </w:rPr>
      </w:pPr>
      <w:r w:rsidRPr="00626E47">
        <w:rPr>
          <w:rFonts w:asciiTheme="minorHAnsi" w:hAnsiTheme="minorHAnsi"/>
          <w:bCs/>
          <w:iCs/>
          <w:sz w:val="22"/>
          <w:szCs w:val="22"/>
        </w:rPr>
        <w:t>Patient weight (kg) multiplied by 2 mg per kg = Patient dose (mg)</w:t>
      </w:r>
    </w:p>
    <w:p w14:paraId="56534BC8" w14:textId="77777777" w:rsidR="00A512CD" w:rsidRPr="00626E47" w:rsidRDefault="00A512CD" w:rsidP="00A16B7D">
      <w:pPr>
        <w:pStyle w:val="ListNumber"/>
        <w:numPr>
          <w:ilvl w:val="0"/>
          <w:numId w:val="18"/>
        </w:numPr>
        <w:adjustRightInd w:val="0"/>
        <w:spacing w:after="0"/>
        <w:rPr>
          <w:rFonts w:asciiTheme="minorHAnsi" w:hAnsiTheme="minorHAnsi"/>
          <w:iCs/>
          <w:sz w:val="22"/>
          <w:szCs w:val="22"/>
        </w:rPr>
      </w:pPr>
      <w:r w:rsidRPr="00626E47">
        <w:rPr>
          <w:rFonts w:asciiTheme="minorHAnsi" w:hAnsiTheme="minorHAnsi"/>
          <w:bCs/>
          <w:iCs/>
          <w:sz w:val="22"/>
          <w:szCs w:val="22"/>
        </w:rPr>
        <w:t xml:space="preserve">Patient dose (mg) divided by (1 mg/mL concentrate of </w:t>
      </w:r>
      <w:proofErr w:type="spellStart"/>
      <w:r w:rsidRPr="00626E47">
        <w:rPr>
          <w:rFonts w:asciiTheme="minorHAnsi" w:hAnsiTheme="minorHAnsi"/>
          <w:bCs/>
          <w:iCs/>
          <w:sz w:val="22"/>
          <w:szCs w:val="22"/>
        </w:rPr>
        <w:t>Vimizim</w:t>
      </w:r>
      <w:proofErr w:type="spellEnd"/>
      <w:r w:rsidRPr="00626E47">
        <w:rPr>
          <w:rFonts w:asciiTheme="minorHAnsi" w:hAnsiTheme="minorHAnsi"/>
          <w:bCs/>
          <w:iCs/>
          <w:sz w:val="22"/>
          <w:szCs w:val="22"/>
        </w:rPr>
        <w:t xml:space="preserve">) = Total number of mL of </w:t>
      </w:r>
      <w:proofErr w:type="spellStart"/>
      <w:r w:rsidRPr="00626E47">
        <w:rPr>
          <w:rFonts w:asciiTheme="minorHAnsi" w:hAnsiTheme="minorHAnsi"/>
          <w:bCs/>
          <w:iCs/>
          <w:sz w:val="22"/>
          <w:szCs w:val="22"/>
        </w:rPr>
        <w:t>Vimizim</w:t>
      </w:r>
      <w:proofErr w:type="spellEnd"/>
    </w:p>
    <w:p w14:paraId="548F2713" w14:textId="77777777" w:rsidR="00A512CD" w:rsidRPr="00626E47" w:rsidRDefault="00A512CD" w:rsidP="00A16B7D">
      <w:pPr>
        <w:pStyle w:val="ListNumber"/>
        <w:numPr>
          <w:ilvl w:val="0"/>
          <w:numId w:val="18"/>
        </w:numPr>
        <w:adjustRightInd w:val="0"/>
        <w:spacing w:after="0"/>
        <w:rPr>
          <w:rFonts w:asciiTheme="minorHAnsi" w:hAnsiTheme="minorHAnsi"/>
          <w:iCs/>
          <w:sz w:val="22"/>
          <w:szCs w:val="22"/>
        </w:rPr>
      </w:pPr>
      <w:r w:rsidRPr="00626E47">
        <w:rPr>
          <w:rFonts w:asciiTheme="minorHAnsi" w:hAnsiTheme="minorHAnsi"/>
          <w:iCs/>
          <w:sz w:val="22"/>
          <w:szCs w:val="22"/>
        </w:rPr>
        <w:t xml:space="preserve">Total amount (mL) </w:t>
      </w:r>
      <w:proofErr w:type="spellStart"/>
      <w:r w:rsidRPr="00626E47">
        <w:rPr>
          <w:rFonts w:asciiTheme="minorHAnsi" w:hAnsiTheme="minorHAnsi"/>
          <w:iCs/>
          <w:sz w:val="22"/>
          <w:szCs w:val="22"/>
        </w:rPr>
        <w:t>Vimizim</w:t>
      </w:r>
      <w:proofErr w:type="spellEnd"/>
      <w:r w:rsidRPr="00626E47">
        <w:rPr>
          <w:rFonts w:asciiTheme="minorHAnsi" w:hAnsiTheme="minorHAnsi"/>
          <w:iCs/>
          <w:sz w:val="22"/>
          <w:szCs w:val="22"/>
        </w:rPr>
        <w:t xml:space="preserve"> divided by 5 mL per vial = Total number of  vials</w:t>
      </w:r>
    </w:p>
    <w:p w14:paraId="12DAE191" w14:textId="77777777" w:rsidR="00A512CD" w:rsidRPr="00626E47" w:rsidRDefault="00A512CD" w:rsidP="00A16B7D">
      <w:pPr>
        <w:pStyle w:val="ListNumber"/>
        <w:numPr>
          <w:ilvl w:val="0"/>
          <w:numId w:val="17"/>
        </w:numPr>
        <w:adjustRightInd w:val="0"/>
        <w:spacing w:after="0"/>
        <w:rPr>
          <w:rFonts w:asciiTheme="minorHAnsi" w:hAnsiTheme="minorHAnsi"/>
          <w:iCs/>
          <w:sz w:val="22"/>
          <w:szCs w:val="22"/>
        </w:rPr>
      </w:pPr>
      <w:r w:rsidRPr="00626E47">
        <w:rPr>
          <w:rFonts w:asciiTheme="minorHAnsi" w:hAnsiTheme="minorHAnsi"/>
          <w:bCs/>
          <w:sz w:val="22"/>
          <w:szCs w:val="22"/>
        </w:rPr>
        <w:t>Round up to the next whole vial. Remove the appropriate number of vials from the refrigerator. Do not heat or microwave vials.  Do not shake vials.</w:t>
      </w:r>
    </w:p>
    <w:p w14:paraId="720C2D19" w14:textId="77777777" w:rsidR="00A512CD" w:rsidRPr="002333B0" w:rsidRDefault="00A512CD" w:rsidP="00A16B7D">
      <w:pPr>
        <w:pStyle w:val="ListNumber"/>
        <w:numPr>
          <w:ilvl w:val="0"/>
          <w:numId w:val="17"/>
        </w:numPr>
        <w:adjustRightInd w:val="0"/>
        <w:spacing w:after="0"/>
        <w:rPr>
          <w:rFonts w:asciiTheme="minorHAnsi" w:hAnsiTheme="minorHAnsi"/>
          <w:iCs/>
          <w:sz w:val="22"/>
          <w:szCs w:val="22"/>
        </w:rPr>
      </w:pPr>
      <w:r w:rsidRPr="00626E47">
        <w:rPr>
          <w:rFonts w:asciiTheme="minorHAnsi" w:hAnsiTheme="minorHAnsi"/>
          <w:iCs/>
          <w:sz w:val="22"/>
          <w:szCs w:val="22"/>
        </w:rPr>
        <w:t xml:space="preserve">Obtain an infusion bag </w:t>
      </w:r>
      <w:r w:rsidRPr="002333B0">
        <w:rPr>
          <w:rFonts w:asciiTheme="minorHAnsi" w:hAnsiTheme="minorHAnsi"/>
          <w:iCs/>
          <w:sz w:val="22"/>
          <w:szCs w:val="22"/>
        </w:rPr>
        <w:t xml:space="preserve">containing </w:t>
      </w:r>
      <w:r w:rsidRPr="002333B0">
        <w:rPr>
          <w:rFonts w:asciiTheme="minorHAnsi" w:hAnsiTheme="minorHAnsi"/>
          <w:bCs/>
          <w:sz w:val="22"/>
          <w:szCs w:val="22"/>
        </w:rPr>
        <w:t>sodium chloride 9 mg/mL (0.9%) solution for injection</w:t>
      </w:r>
      <w:r w:rsidRPr="002333B0">
        <w:rPr>
          <w:rFonts w:asciiTheme="minorHAnsi" w:hAnsiTheme="minorHAnsi"/>
          <w:iCs/>
          <w:sz w:val="22"/>
          <w:szCs w:val="22"/>
        </w:rPr>
        <w:t xml:space="preserve"> suitable for intravenous administration. </w:t>
      </w:r>
      <w:r w:rsidRPr="002333B0">
        <w:rPr>
          <w:rFonts w:asciiTheme="minorHAnsi" w:hAnsiTheme="minorHAnsi"/>
          <w:bCs/>
          <w:iCs/>
          <w:sz w:val="22"/>
          <w:szCs w:val="22"/>
        </w:rPr>
        <w:t xml:space="preserve">The total volume of the infusion is determined by the patient’s body weight. </w:t>
      </w:r>
    </w:p>
    <w:p w14:paraId="582B057A" w14:textId="77777777" w:rsidR="00A512CD" w:rsidRPr="002333B0" w:rsidRDefault="00A512CD" w:rsidP="00A16B7D">
      <w:pPr>
        <w:pStyle w:val="ListNumber"/>
        <w:numPr>
          <w:ilvl w:val="0"/>
          <w:numId w:val="19"/>
        </w:numPr>
        <w:adjustRightInd w:val="0"/>
        <w:spacing w:after="0"/>
        <w:rPr>
          <w:rFonts w:asciiTheme="minorHAnsi" w:hAnsiTheme="minorHAnsi"/>
          <w:iCs/>
          <w:sz w:val="22"/>
          <w:szCs w:val="22"/>
        </w:rPr>
      </w:pPr>
      <w:r w:rsidRPr="002333B0">
        <w:rPr>
          <w:rFonts w:asciiTheme="minorHAnsi" w:hAnsiTheme="minorHAnsi"/>
          <w:bCs/>
          <w:iCs/>
          <w:sz w:val="22"/>
          <w:szCs w:val="22"/>
        </w:rPr>
        <w:t xml:space="preserve">Patients weighing </w:t>
      </w:r>
      <w:r>
        <w:rPr>
          <w:rFonts w:asciiTheme="minorHAnsi" w:hAnsiTheme="minorHAnsi"/>
          <w:bCs/>
          <w:iCs/>
          <w:sz w:val="22"/>
          <w:szCs w:val="22"/>
        </w:rPr>
        <w:t xml:space="preserve">less than </w:t>
      </w:r>
      <w:r w:rsidRPr="002333B0">
        <w:rPr>
          <w:rFonts w:asciiTheme="minorHAnsi" w:hAnsiTheme="minorHAnsi"/>
          <w:bCs/>
          <w:iCs/>
          <w:sz w:val="22"/>
          <w:szCs w:val="22"/>
        </w:rPr>
        <w:t xml:space="preserve">25 kg should receive a total volume of 100 </w:t>
      </w:r>
      <w:proofErr w:type="spellStart"/>
      <w:r w:rsidRPr="002333B0">
        <w:rPr>
          <w:rFonts w:asciiTheme="minorHAnsi" w:hAnsiTheme="minorHAnsi"/>
          <w:bCs/>
          <w:iCs/>
          <w:sz w:val="22"/>
          <w:szCs w:val="22"/>
        </w:rPr>
        <w:t>mL.</w:t>
      </w:r>
      <w:proofErr w:type="spellEnd"/>
      <w:r w:rsidRPr="002333B0">
        <w:rPr>
          <w:rFonts w:asciiTheme="minorHAnsi" w:hAnsiTheme="minorHAnsi"/>
          <w:bCs/>
          <w:iCs/>
          <w:sz w:val="22"/>
          <w:szCs w:val="22"/>
        </w:rPr>
        <w:t xml:space="preserve"> </w:t>
      </w:r>
    </w:p>
    <w:p w14:paraId="057DFAA8" w14:textId="77777777" w:rsidR="00A512CD" w:rsidRPr="002333B0" w:rsidRDefault="00A512CD" w:rsidP="00A16B7D">
      <w:pPr>
        <w:pStyle w:val="ListNumber"/>
        <w:numPr>
          <w:ilvl w:val="0"/>
          <w:numId w:val="19"/>
        </w:numPr>
        <w:adjustRightInd w:val="0"/>
        <w:spacing w:after="0"/>
        <w:rPr>
          <w:rFonts w:asciiTheme="minorHAnsi" w:hAnsiTheme="minorHAnsi"/>
          <w:iCs/>
          <w:sz w:val="22"/>
          <w:szCs w:val="22"/>
        </w:rPr>
      </w:pPr>
      <w:r w:rsidRPr="002333B0">
        <w:rPr>
          <w:rFonts w:asciiTheme="minorHAnsi" w:hAnsiTheme="minorHAnsi"/>
          <w:iCs/>
          <w:sz w:val="22"/>
          <w:szCs w:val="22"/>
        </w:rPr>
        <w:t xml:space="preserve">Patients weighing 25 kg </w:t>
      </w:r>
      <w:r>
        <w:rPr>
          <w:rFonts w:asciiTheme="minorHAnsi" w:hAnsiTheme="minorHAnsi"/>
          <w:iCs/>
          <w:sz w:val="22"/>
          <w:szCs w:val="22"/>
        </w:rPr>
        <w:t xml:space="preserve">or more </w:t>
      </w:r>
      <w:r w:rsidRPr="002333B0">
        <w:rPr>
          <w:rFonts w:asciiTheme="minorHAnsi" w:hAnsiTheme="minorHAnsi"/>
          <w:iCs/>
          <w:sz w:val="22"/>
          <w:szCs w:val="22"/>
        </w:rPr>
        <w:t xml:space="preserve">should receive a total volume of 250 </w:t>
      </w:r>
      <w:proofErr w:type="spellStart"/>
      <w:r w:rsidRPr="002333B0">
        <w:rPr>
          <w:rFonts w:asciiTheme="minorHAnsi" w:hAnsiTheme="minorHAnsi"/>
          <w:iCs/>
          <w:sz w:val="22"/>
          <w:szCs w:val="22"/>
        </w:rPr>
        <w:t>mL.</w:t>
      </w:r>
      <w:proofErr w:type="spellEnd"/>
      <w:r w:rsidRPr="002333B0">
        <w:rPr>
          <w:rFonts w:asciiTheme="minorHAnsi" w:hAnsiTheme="minorHAnsi"/>
          <w:iCs/>
          <w:sz w:val="22"/>
          <w:szCs w:val="22"/>
        </w:rPr>
        <w:t xml:space="preserve"> </w:t>
      </w:r>
    </w:p>
    <w:p w14:paraId="4D05B0A2" w14:textId="77777777" w:rsidR="00A512CD" w:rsidRPr="002333B0" w:rsidRDefault="00A512CD" w:rsidP="00A16B7D">
      <w:pPr>
        <w:pStyle w:val="ListNumber"/>
        <w:numPr>
          <w:ilvl w:val="0"/>
          <w:numId w:val="17"/>
        </w:numPr>
        <w:adjustRightInd w:val="0"/>
        <w:spacing w:after="0"/>
        <w:rPr>
          <w:rFonts w:asciiTheme="minorHAnsi" w:hAnsiTheme="minorHAnsi"/>
          <w:iCs/>
          <w:sz w:val="22"/>
          <w:szCs w:val="22"/>
        </w:rPr>
      </w:pPr>
      <w:r w:rsidRPr="002333B0">
        <w:rPr>
          <w:rFonts w:asciiTheme="minorHAnsi" w:hAnsiTheme="minorHAnsi"/>
          <w:bCs/>
          <w:sz w:val="22"/>
          <w:szCs w:val="22"/>
        </w:rPr>
        <w:t xml:space="preserve">Before withdrawing </w:t>
      </w:r>
      <w:proofErr w:type="spellStart"/>
      <w:r w:rsidRPr="002333B0">
        <w:rPr>
          <w:rFonts w:asciiTheme="minorHAnsi" w:hAnsiTheme="minorHAnsi"/>
          <w:bCs/>
          <w:sz w:val="22"/>
          <w:szCs w:val="22"/>
        </w:rPr>
        <w:t>Vimizim</w:t>
      </w:r>
      <w:proofErr w:type="spellEnd"/>
      <w:r w:rsidRPr="002333B0">
        <w:rPr>
          <w:rFonts w:asciiTheme="minorHAnsi" w:hAnsiTheme="minorHAnsi"/>
          <w:bCs/>
          <w:sz w:val="22"/>
          <w:szCs w:val="22"/>
        </w:rPr>
        <w:t xml:space="preserve"> from the vial, visually inspect each vial for particulate matter and </w:t>
      </w:r>
      <w:r w:rsidRPr="002333B0">
        <w:rPr>
          <w:rFonts w:asciiTheme="minorHAnsi" w:hAnsiTheme="minorHAnsi"/>
          <w:bCs/>
          <w:sz w:val="22"/>
          <w:szCs w:val="22"/>
          <w:lang w:val="en-AU"/>
        </w:rPr>
        <w:t>discolouration</w:t>
      </w:r>
      <w:r w:rsidRPr="002333B0">
        <w:rPr>
          <w:rFonts w:asciiTheme="minorHAnsi" w:hAnsiTheme="minorHAnsi"/>
          <w:bCs/>
          <w:sz w:val="22"/>
          <w:szCs w:val="22"/>
        </w:rPr>
        <w:t xml:space="preserve">. Because this is a protein solution, slight flocculation (thin translucent </w:t>
      </w:r>
      <w:proofErr w:type="spellStart"/>
      <w:r w:rsidRPr="002333B0">
        <w:rPr>
          <w:rFonts w:asciiTheme="minorHAnsi" w:hAnsiTheme="minorHAnsi"/>
          <w:bCs/>
          <w:sz w:val="22"/>
          <w:szCs w:val="22"/>
        </w:rPr>
        <w:t>fibres</w:t>
      </w:r>
      <w:proofErr w:type="spellEnd"/>
      <w:r w:rsidRPr="002333B0">
        <w:rPr>
          <w:rFonts w:asciiTheme="minorHAnsi" w:hAnsiTheme="minorHAnsi"/>
          <w:bCs/>
          <w:sz w:val="22"/>
          <w:szCs w:val="22"/>
        </w:rPr>
        <w:t xml:space="preserve">) may occur. The </w:t>
      </w:r>
      <w:proofErr w:type="spellStart"/>
      <w:r w:rsidRPr="002333B0">
        <w:rPr>
          <w:rFonts w:asciiTheme="minorHAnsi" w:hAnsiTheme="minorHAnsi"/>
          <w:bCs/>
          <w:sz w:val="22"/>
          <w:szCs w:val="22"/>
        </w:rPr>
        <w:t>Vimizim</w:t>
      </w:r>
      <w:proofErr w:type="spellEnd"/>
      <w:r w:rsidRPr="002333B0">
        <w:rPr>
          <w:rFonts w:asciiTheme="minorHAnsi" w:hAnsiTheme="minorHAnsi"/>
          <w:bCs/>
          <w:sz w:val="22"/>
          <w:szCs w:val="22"/>
        </w:rPr>
        <w:t xml:space="preserve"> solution should be clear to slightly opalescent and </w:t>
      </w:r>
      <w:proofErr w:type="spellStart"/>
      <w:r w:rsidRPr="002333B0">
        <w:rPr>
          <w:rFonts w:asciiTheme="minorHAnsi" w:hAnsiTheme="minorHAnsi"/>
          <w:bCs/>
          <w:sz w:val="22"/>
          <w:szCs w:val="22"/>
        </w:rPr>
        <w:t>colourless</w:t>
      </w:r>
      <w:proofErr w:type="spellEnd"/>
      <w:r w:rsidRPr="002333B0">
        <w:rPr>
          <w:rFonts w:asciiTheme="minorHAnsi" w:hAnsiTheme="minorHAnsi"/>
          <w:bCs/>
          <w:sz w:val="22"/>
          <w:szCs w:val="22"/>
        </w:rPr>
        <w:t xml:space="preserve"> to pale yellow. Do not use if the solution is </w:t>
      </w:r>
      <w:proofErr w:type="spellStart"/>
      <w:r w:rsidRPr="002333B0">
        <w:rPr>
          <w:rFonts w:asciiTheme="minorHAnsi" w:hAnsiTheme="minorHAnsi"/>
          <w:bCs/>
          <w:sz w:val="22"/>
          <w:szCs w:val="22"/>
        </w:rPr>
        <w:t>discoloured</w:t>
      </w:r>
      <w:proofErr w:type="spellEnd"/>
      <w:r w:rsidRPr="002333B0">
        <w:rPr>
          <w:rFonts w:asciiTheme="minorHAnsi" w:hAnsiTheme="minorHAnsi"/>
          <w:bCs/>
          <w:sz w:val="22"/>
          <w:szCs w:val="22"/>
        </w:rPr>
        <w:t xml:space="preserve"> or if there is particulate matter in the solution.</w:t>
      </w:r>
    </w:p>
    <w:p w14:paraId="6E561A21" w14:textId="77777777" w:rsidR="00A512CD" w:rsidRPr="002333B0" w:rsidRDefault="00A512CD" w:rsidP="00A16B7D">
      <w:pPr>
        <w:pStyle w:val="ListNumber"/>
        <w:numPr>
          <w:ilvl w:val="0"/>
          <w:numId w:val="17"/>
        </w:numPr>
        <w:adjustRightInd w:val="0"/>
        <w:spacing w:after="0"/>
        <w:rPr>
          <w:rFonts w:asciiTheme="minorHAnsi" w:hAnsiTheme="minorHAnsi"/>
          <w:iCs/>
          <w:sz w:val="22"/>
          <w:szCs w:val="22"/>
        </w:rPr>
      </w:pPr>
      <w:r w:rsidRPr="002333B0">
        <w:rPr>
          <w:rFonts w:asciiTheme="minorHAnsi" w:hAnsiTheme="minorHAnsi"/>
          <w:bCs/>
          <w:iCs/>
          <w:sz w:val="22"/>
          <w:szCs w:val="22"/>
        </w:rPr>
        <w:lastRenderedPageBreak/>
        <w:t xml:space="preserve">Withdraw and discard a volume of the </w:t>
      </w:r>
      <w:r w:rsidRPr="002333B0">
        <w:rPr>
          <w:rFonts w:asciiTheme="minorHAnsi" w:hAnsiTheme="minorHAnsi"/>
          <w:bCs/>
          <w:sz w:val="22"/>
          <w:szCs w:val="22"/>
        </w:rPr>
        <w:t>sodium chloride 9 mg/mL (0.9%) solution for injection</w:t>
      </w:r>
      <w:r w:rsidRPr="002333B0">
        <w:rPr>
          <w:rFonts w:asciiTheme="minorHAnsi" w:hAnsiTheme="minorHAnsi"/>
          <w:bCs/>
          <w:iCs/>
          <w:sz w:val="22"/>
          <w:szCs w:val="22"/>
        </w:rPr>
        <w:t xml:space="preserve"> from the infusion bag, equal to the volume of </w:t>
      </w:r>
      <w:proofErr w:type="spellStart"/>
      <w:r w:rsidRPr="002333B0">
        <w:rPr>
          <w:rFonts w:asciiTheme="minorHAnsi" w:hAnsiTheme="minorHAnsi"/>
          <w:bCs/>
          <w:iCs/>
          <w:sz w:val="22"/>
          <w:szCs w:val="22"/>
        </w:rPr>
        <w:t>Vimizim</w:t>
      </w:r>
      <w:proofErr w:type="spellEnd"/>
      <w:r w:rsidRPr="002333B0">
        <w:rPr>
          <w:rFonts w:asciiTheme="minorHAnsi" w:hAnsiTheme="minorHAnsi"/>
          <w:bCs/>
          <w:iCs/>
          <w:sz w:val="22"/>
          <w:szCs w:val="22"/>
        </w:rPr>
        <w:t xml:space="preserve"> concentrate to be added.</w:t>
      </w:r>
    </w:p>
    <w:p w14:paraId="783557AD" w14:textId="77777777" w:rsidR="00A512CD" w:rsidRPr="00626E47" w:rsidRDefault="00A512CD" w:rsidP="00A16B7D">
      <w:pPr>
        <w:pStyle w:val="ListNumber"/>
        <w:numPr>
          <w:ilvl w:val="0"/>
          <w:numId w:val="17"/>
        </w:numPr>
        <w:adjustRightInd w:val="0"/>
        <w:spacing w:after="0"/>
        <w:rPr>
          <w:rFonts w:asciiTheme="minorHAnsi" w:hAnsiTheme="minorHAnsi"/>
          <w:iCs/>
          <w:sz w:val="22"/>
          <w:szCs w:val="22"/>
        </w:rPr>
      </w:pPr>
      <w:r w:rsidRPr="00626E47">
        <w:rPr>
          <w:rFonts w:asciiTheme="minorHAnsi" w:hAnsiTheme="minorHAnsi"/>
          <w:iCs/>
          <w:sz w:val="22"/>
          <w:szCs w:val="22"/>
        </w:rPr>
        <w:t xml:space="preserve">Slowly withdraw the calculated volume of </w:t>
      </w:r>
      <w:proofErr w:type="spellStart"/>
      <w:r w:rsidRPr="00626E47">
        <w:rPr>
          <w:rFonts w:asciiTheme="minorHAnsi" w:hAnsiTheme="minorHAnsi"/>
          <w:iCs/>
          <w:sz w:val="22"/>
          <w:szCs w:val="22"/>
        </w:rPr>
        <w:t>Vimizim</w:t>
      </w:r>
      <w:proofErr w:type="spellEnd"/>
      <w:r w:rsidRPr="00626E47">
        <w:rPr>
          <w:rFonts w:asciiTheme="minorHAnsi" w:hAnsiTheme="minorHAnsi"/>
          <w:iCs/>
          <w:sz w:val="22"/>
          <w:szCs w:val="22"/>
        </w:rPr>
        <w:t xml:space="preserve"> from the appropriate number of vials using caution to avoid excessive agitation. </w:t>
      </w:r>
    </w:p>
    <w:p w14:paraId="31717312" w14:textId="77777777" w:rsidR="00A512CD" w:rsidRPr="00626E47" w:rsidRDefault="00A512CD" w:rsidP="00A16B7D">
      <w:pPr>
        <w:pStyle w:val="ListNumber"/>
        <w:numPr>
          <w:ilvl w:val="0"/>
          <w:numId w:val="17"/>
        </w:numPr>
        <w:adjustRightInd w:val="0"/>
        <w:spacing w:after="0"/>
        <w:rPr>
          <w:rFonts w:asciiTheme="minorHAnsi" w:hAnsiTheme="minorHAnsi"/>
          <w:iCs/>
          <w:sz w:val="22"/>
          <w:szCs w:val="22"/>
        </w:rPr>
      </w:pPr>
      <w:r w:rsidRPr="00626E47">
        <w:rPr>
          <w:rFonts w:asciiTheme="minorHAnsi" w:hAnsiTheme="minorHAnsi"/>
          <w:bCs/>
          <w:iCs/>
          <w:sz w:val="22"/>
          <w:szCs w:val="22"/>
        </w:rPr>
        <w:t xml:space="preserve">Slowly add </w:t>
      </w:r>
      <w:proofErr w:type="spellStart"/>
      <w:r w:rsidRPr="00626E47">
        <w:rPr>
          <w:rFonts w:asciiTheme="minorHAnsi" w:hAnsiTheme="minorHAnsi"/>
          <w:bCs/>
          <w:iCs/>
          <w:sz w:val="22"/>
          <w:szCs w:val="22"/>
        </w:rPr>
        <w:t>Vimizim</w:t>
      </w:r>
      <w:proofErr w:type="spellEnd"/>
      <w:r w:rsidRPr="00626E47">
        <w:rPr>
          <w:rFonts w:asciiTheme="minorHAnsi" w:hAnsiTheme="minorHAnsi"/>
          <w:bCs/>
          <w:iCs/>
          <w:sz w:val="22"/>
          <w:szCs w:val="22"/>
        </w:rPr>
        <w:t xml:space="preserve"> to the infusion bag using care to avoid agitation. </w:t>
      </w:r>
    </w:p>
    <w:p w14:paraId="685850AE" w14:textId="77777777" w:rsidR="00A512CD" w:rsidRPr="00626E47" w:rsidRDefault="00A512CD" w:rsidP="00A16B7D">
      <w:pPr>
        <w:pStyle w:val="ListNumber"/>
        <w:numPr>
          <w:ilvl w:val="0"/>
          <w:numId w:val="17"/>
        </w:numPr>
        <w:adjustRightInd w:val="0"/>
        <w:spacing w:after="0"/>
        <w:rPr>
          <w:rFonts w:asciiTheme="minorHAnsi" w:hAnsiTheme="minorHAnsi"/>
          <w:bCs/>
          <w:iCs/>
          <w:sz w:val="22"/>
          <w:szCs w:val="22"/>
        </w:rPr>
      </w:pPr>
      <w:r w:rsidRPr="00626E47">
        <w:rPr>
          <w:rFonts w:asciiTheme="minorHAnsi" w:hAnsiTheme="minorHAnsi"/>
          <w:iCs/>
          <w:sz w:val="22"/>
          <w:szCs w:val="22"/>
        </w:rPr>
        <w:t xml:space="preserve">Gently rotate the infusion bag to ensure proper distribution of </w:t>
      </w:r>
      <w:proofErr w:type="spellStart"/>
      <w:r w:rsidRPr="00626E47">
        <w:rPr>
          <w:rFonts w:asciiTheme="minorHAnsi" w:hAnsiTheme="minorHAnsi"/>
          <w:iCs/>
          <w:sz w:val="22"/>
          <w:szCs w:val="22"/>
        </w:rPr>
        <w:t>Vimizim</w:t>
      </w:r>
      <w:proofErr w:type="spellEnd"/>
      <w:r w:rsidRPr="00626E47">
        <w:rPr>
          <w:rFonts w:asciiTheme="minorHAnsi" w:hAnsiTheme="minorHAnsi"/>
          <w:iCs/>
          <w:sz w:val="22"/>
          <w:szCs w:val="22"/>
        </w:rPr>
        <w:t>. Do not shake the solution.</w:t>
      </w:r>
    </w:p>
    <w:p w14:paraId="1F1C0691" w14:textId="77777777" w:rsidR="00A512CD" w:rsidRPr="00626E47" w:rsidRDefault="00A512CD" w:rsidP="00A16B7D">
      <w:pPr>
        <w:pStyle w:val="ListNumber"/>
        <w:numPr>
          <w:ilvl w:val="0"/>
          <w:numId w:val="17"/>
        </w:numPr>
        <w:adjustRightInd w:val="0"/>
        <w:spacing w:after="0"/>
        <w:rPr>
          <w:rFonts w:asciiTheme="minorHAnsi" w:hAnsiTheme="minorHAnsi"/>
          <w:bCs/>
          <w:iCs/>
          <w:sz w:val="22"/>
          <w:szCs w:val="22"/>
        </w:rPr>
      </w:pPr>
      <w:r w:rsidRPr="00626E47">
        <w:rPr>
          <w:rFonts w:asciiTheme="minorHAnsi" w:hAnsiTheme="minorHAnsi"/>
          <w:bCs/>
          <w:iCs/>
          <w:sz w:val="22"/>
          <w:szCs w:val="22"/>
        </w:rPr>
        <w:t xml:space="preserve">Administer the diluted </w:t>
      </w:r>
      <w:proofErr w:type="spellStart"/>
      <w:r w:rsidRPr="00626E47">
        <w:rPr>
          <w:rFonts w:asciiTheme="minorHAnsi" w:hAnsiTheme="minorHAnsi"/>
          <w:bCs/>
          <w:iCs/>
          <w:sz w:val="22"/>
          <w:szCs w:val="22"/>
        </w:rPr>
        <w:t>Vimizim</w:t>
      </w:r>
      <w:proofErr w:type="spellEnd"/>
      <w:r w:rsidRPr="00626E47">
        <w:rPr>
          <w:rFonts w:asciiTheme="minorHAnsi" w:hAnsiTheme="minorHAnsi"/>
          <w:bCs/>
          <w:iCs/>
          <w:sz w:val="22"/>
          <w:szCs w:val="22"/>
        </w:rPr>
        <w:t xml:space="preserve"> solution to patients using a </w:t>
      </w:r>
      <w:r w:rsidRPr="00626E47">
        <w:rPr>
          <w:rFonts w:asciiTheme="minorHAnsi" w:hAnsiTheme="minorHAnsi"/>
          <w:bCs/>
          <w:iCs/>
          <w:sz w:val="22"/>
          <w:szCs w:val="22"/>
          <w:lang w:val="en-AU"/>
        </w:rPr>
        <w:t>low-protein-binding</w:t>
      </w:r>
      <w:r w:rsidRPr="00626E47" w:rsidDel="001F6588">
        <w:rPr>
          <w:rFonts w:asciiTheme="minorHAnsi" w:hAnsiTheme="minorHAnsi"/>
          <w:bCs/>
          <w:iCs/>
          <w:sz w:val="22"/>
          <w:szCs w:val="22"/>
          <w:lang w:val="en-AU"/>
        </w:rPr>
        <w:t xml:space="preserve"> </w:t>
      </w:r>
      <w:r w:rsidRPr="00626E47">
        <w:rPr>
          <w:rFonts w:asciiTheme="minorHAnsi" w:hAnsiTheme="minorHAnsi"/>
          <w:bCs/>
          <w:iCs/>
          <w:sz w:val="22"/>
          <w:szCs w:val="22"/>
        </w:rPr>
        <w:t xml:space="preserve">infusion set equipped with a </w:t>
      </w:r>
      <w:r w:rsidRPr="00626E47">
        <w:rPr>
          <w:rFonts w:asciiTheme="minorHAnsi" w:hAnsiTheme="minorHAnsi"/>
          <w:bCs/>
          <w:iCs/>
          <w:sz w:val="22"/>
          <w:szCs w:val="22"/>
          <w:lang w:val="en-AU"/>
        </w:rPr>
        <w:t>low-protein-binding</w:t>
      </w:r>
      <w:r w:rsidRPr="00626E47">
        <w:rPr>
          <w:rFonts w:asciiTheme="minorHAnsi" w:hAnsiTheme="minorHAnsi"/>
          <w:bCs/>
          <w:iCs/>
          <w:sz w:val="22"/>
          <w:szCs w:val="22"/>
        </w:rPr>
        <w:t xml:space="preserve"> 0.2 µm in-line filter.</w:t>
      </w:r>
    </w:p>
    <w:p w14:paraId="1134BCF9" w14:textId="77777777" w:rsidR="00A512CD" w:rsidRPr="00626E47" w:rsidRDefault="00A512CD" w:rsidP="00A16B7D">
      <w:pPr>
        <w:adjustRightInd w:val="0"/>
        <w:spacing w:after="0" w:line="240" w:lineRule="auto"/>
        <w:rPr>
          <w:b/>
          <w:bCs/>
        </w:rPr>
      </w:pPr>
    </w:p>
    <w:p w14:paraId="2F425D32" w14:textId="77777777" w:rsidR="00A512CD" w:rsidRDefault="00A512CD" w:rsidP="00A16B7D">
      <w:pPr>
        <w:adjustRightInd w:val="0"/>
        <w:spacing w:after="0" w:line="240" w:lineRule="auto"/>
        <w:rPr>
          <w:bCs/>
          <w:lang w:val="en-US"/>
        </w:rPr>
      </w:pPr>
      <w:proofErr w:type="spellStart"/>
      <w:r>
        <w:rPr>
          <w:bCs/>
        </w:rPr>
        <w:t>Vimizim</w:t>
      </w:r>
      <w:proofErr w:type="spellEnd"/>
      <w:r w:rsidRPr="00626E47">
        <w:rPr>
          <w:bCs/>
        </w:rPr>
        <w:t xml:space="preserve"> does not contain preservatives; therefore the product should be used immediately after dilution</w:t>
      </w:r>
      <w:r w:rsidRPr="00626E47">
        <w:rPr>
          <w:bCs/>
          <w:lang w:val="en-US"/>
        </w:rPr>
        <w:t> (see PRESENTATION and STORAGE CONDITIONS)</w:t>
      </w:r>
      <w:r>
        <w:rPr>
          <w:bCs/>
          <w:lang w:val="en-US"/>
        </w:rPr>
        <w:t>.</w:t>
      </w:r>
    </w:p>
    <w:p w14:paraId="1FFE1E9C" w14:textId="77777777" w:rsidR="00A512CD" w:rsidRDefault="00A512CD" w:rsidP="00A16B7D">
      <w:pPr>
        <w:adjustRightInd w:val="0"/>
        <w:spacing w:after="0" w:line="240" w:lineRule="auto"/>
        <w:rPr>
          <w:bCs/>
          <w:lang w:val="en-US"/>
        </w:rPr>
      </w:pPr>
    </w:p>
    <w:p w14:paraId="72E8F92C" w14:textId="77777777" w:rsidR="00A512CD" w:rsidRPr="00215CAC" w:rsidRDefault="00A512CD" w:rsidP="00A16B7D">
      <w:pPr>
        <w:adjustRightInd w:val="0"/>
        <w:spacing w:after="0" w:line="240" w:lineRule="auto"/>
        <w:rPr>
          <w:bCs/>
        </w:rPr>
      </w:pPr>
      <w:proofErr w:type="spellStart"/>
      <w:r w:rsidRPr="00215CAC">
        <w:rPr>
          <w:bCs/>
        </w:rPr>
        <w:t>Vimizim</w:t>
      </w:r>
      <w:proofErr w:type="spellEnd"/>
      <w:r w:rsidRPr="00215CAC">
        <w:rPr>
          <w:bCs/>
        </w:rPr>
        <w:t xml:space="preserve"> should not be infused with other products in the infusion </w:t>
      </w:r>
      <w:r>
        <w:rPr>
          <w:bCs/>
        </w:rPr>
        <w:t>bag</w:t>
      </w:r>
      <w:r w:rsidRPr="00215CAC">
        <w:rPr>
          <w:bCs/>
        </w:rPr>
        <w:t xml:space="preserve"> </w:t>
      </w:r>
      <w:r>
        <w:rPr>
          <w:bCs/>
        </w:rPr>
        <w:t xml:space="preserve">as </w:t>
      </w:r>
      <w:r w:rsidRPr="00215CAC">
        <w:rPr>
          <w:bCs/>
        </w:rPr>
        <w:t>compatibility with other products has not been established.</w:t>
      </w:r>
    </w:p>
    <w:p w14:paraId="6EABF728" w14:textId="77777777" w:rsidR="00A512CD" w:rsidRPr="00626E47" w:rsidRDefault="00A512CD" w:rsidP="00A16B7D">
      <w:pPr>
        <w:adjustRightInd w:val="0"/>
        <w:spacing w:after="0" w:line="240" w:lineRule="auto"/>
        <w:rPr>
          <w:bCs/>
        </w:rPr>
      </w:pPr>
    </w:p>
    <w:p w14:paraId="5635A234" w14:textId="77777777" w:rsidR="00A512CD" w:rsidRDefault="00A512CD" w:rsidP="00A16B7D">
      <w:pPr>
        <w:pStyle w:val="Heading1"/>
        <w:adjustRightInd w:val="0"/>
      </w:pPr>
    </w:p>
    <w:p w14:paraId="629C9BA6" w14:textId="77777777" w:rsidR="00A512CD" w:rsidRPr="00A16B7D" w:rsidRDefault="00A512CD" w:rsidP="00FB6155">
      <w:pPr>
        <w:pStyle w:val="Heading1"/>
        <w:keepNext/>
        <w:adjustRightInd w:val="0"/>
        <w:rPr>
          <w:sz w:val="22"/>
        </w:rPr>
      </w:pPr>
      <w:r w:rsidRPr="00A16B7D">
        <w:rPr>
          <w:sz w:val="22"/>
        </w:rPr>
        <w:t>OVERDOSAGE</w:t>
      </w:r>
    </w:p>
    <w:p w14:paraId="2D0C2BB0" w14:textId="77777777" w:rsidR="00A512CD" w:rsidRPr="00A16B7D" w:rsidRDefault="00A512CD" w:rsidP="00FB6155">
      <w:pPr>
        <w:keepNext/>
        <w:adjustRightInd w:val="0"/>
        <w:spacing w:after="0" w:line="240" w:lineRule="auto"/>
        <w:ind w:left="360"/>
        <w:rPr>
          <w:rFonts w:ascii="Verdana" w:hAnsi="Verdana"/>
        </w:rPr>
      </w:pPr>
    </w:p>
    <w:p w14:paraId="46F4C67E" w14:textId="77777777" w:rsidR="00A512CD" w:rsidRPr="00A16B7D" w:rsidRDefault="00A512CD" w:rsidP="00A16B7D">
      <w:pPr>
        <w:keepNext/>
        <w:adjustRightInd w:val="0"/>
        <w:spacing w:after="0" w:line="240" w:lineRule="auto"/>
      </w:pPr>
      <w:r w:rsidRPr="00A16B7D">
        <w:t>There is no experience of overdose in clinical trials.</w:t>
      </w:r>
    </w:p>
    <w:p w14:paraId="376FBB85" w14:textId="77777777" w:rsidR="00A512CD" w:rsidRPr="00A16B7D" w:rsidRDefault="00A512CD" w:rsidP="00A16B7D">
      <w:pPr>
        <w:keepNext/>
        <w:adjustRightInd w:val="0"/>
        <w:spacing w:after="0" w:line="240" w:lineRule="auto"/>
      </w:pPr>
    </w:p>
    <w:p w14:paraId="5479BECC" w14:textId="77777777" w:rsidR="00A512CD" w:rsidRPr="00A16B7D" w:rsidRDefault="00A512CD" w:rsidP="00A16B7D">
      <w:pPr>
        <w:pStyle w:val="NormalWeb"/>
        <w:adjustRightInd w:val="0"/>
        <w:spacing w:before="0" w:beforeAutospacing="0" w:after="0" w:afterAutospacing="0"/>
        <w:rPr>
          <w:rFonts w:asciiTheme="minorHAnsi" w:eastAsiaTheme="minorHAnsi" w:hAnsiTheme="minorHAnsi" w:cstheme="minorBidi"/>
          <w:sz w:val="22"/>
          <w:szCs w:val="22"/>
          <w:lang w:eastAsia="en-US"/>
        </w:rPr>
      </w:pPr>
      <w:r w:rsidRPr="00A16B7D">
        <w:rPr>
          <w:rFonts w:asciiTheme="minorHAnsi" w:eastAsiaTheme="minorHAnsi" w:hAnsiTheme="minorHAnsi" w:cstheme="minorBidi"/>
          <w:sz w:val="22"/>
          <w:szCs w:val="22"/>
          <w:lang w:eastAsia="en-US"/>
        </w:rPr>
        <w:t>For information on the management of overdose, contact the Poison Information Centre on 131126 (Australia).</w:t>
      </w:r>
    </w:p>
    <w:p w14:paraId="770ED11A" w14:textId="16761E39" w:rsidR="00E0135E" w:rsidRDefault="00E0135E" w:rsidP="00A16B7D">
      <w:pPr>
        <w:adjustRightInd w:val="0"/>
        <w:spacing w:after="0" w:line="240" w:lineRule="auto"/>
      </w:pPr>
    </w:p>
    <w:p w14:paraId="62D0096B" w14:textId="77777777" w:rsidR="00A16B7D" w:rsidRPr="00A16B7D" w:rsidRDefault="00A16B7D" w:rsidP="00A16B7D">
      <w:pPr>
        <w:adjustRightInd w:val="0"/>
        <w:spacing w:after="0" w:line="240" w:lineRule="auto"/>
      </w:pPr>
    </w:p>
    <w:p w14:paraId="486A4539" w14:textId="77777777" w:rsidR="00A512CD" w:rsidRPr="00A16B7D" w:rsidRDefault="00A512CD" w:rsidP="00A16B7D">
      <w:pPr>
        <w:pStyle w:val="Heading1"/>
        <w:adjustRightInd w:val="0"/>
        <w:rPr>
          <w:sz w:val="22"/>
        </w:rPr>
      </w:pPr>
      <w:r w:rsidRPr="00A16B7D">
        <w:rPr>
          <w:sz w:val="22"/>
        </w:rPr>
        <w:t>PRESENTATION AND STORAGE CONDITIONS</w:t>
      </w:r>
    </w:p>
    <w:p w14:paraId="2FEE6690" w14:textId="77777777" w:rsidR="00A512CD" w:rsidRPr="00A16B7D" w:rsidRDefault="00A512CD" w:rsidP="00A16B7D">
      <w:pPr>
        <w:adjustRightInd w:val="0"/>
        <w:spacing w:after="0" w:line="240" w:lineRule="auto"/>
        <w:ind w:left="360"/>
        <w:rPr>
          <w:rFonts w:ascii="Verdana" w:hAnsi="Verdana"/>
        </w:rPr>
      </w:pPr>
    </w:p>
    <w:p w14:paraId="67E16765" w14:textId="77777777" w:rsidR="00A512CD" w:rsidRPr="00A16B7D" w:rsidRDefault="00A512CD" w:rsidP="00A16B7D">
      <w:pPr>
        <w:autoSpaceDE w:val="0"/>
        <w:autoSpaceDN w:val="0"/>
        <w:adjustRightInd w:val="0"/>
        <w:spacing w:after="0" w:line="240" w:lineRule="auto"/>
      </w:pPr>
      <w:proofErr w:type="spellStart"/>
      <w:r w:rsidRPr="00A16B7D">
        <w:t>Vimizim</w:t>
      </w:r>
      <w:proofErr w:type="spellEnd"/>
      <w:r w:rsidRPr="00A16B7D">
        <w:t xml:space="preserve"> is a concentrate for solution for intravenous infusion and is supplied as a sterile, </w:t>
      </w:r>
      <w:proofErr w:type="spellStart"/>
      <w:r w:rsidRPr="00A16B7D">
        <w:t>nonpyrogenic</w:t>
      </w:r>
      <w:proofErr w:type="spellEnd"/>
      <w:r w:rsidRPr="00A16B7D">
        <w:t xml:space="preserve">, </w:t>
      </w:r>
      <w:proofErr w:type="gramStart"/>
      <w:r w:rsidRPr="00A16B7D">
        <w:t>colourless</w:t>
      </w:r>
      <w:proofErr w:type="gramEnd"/>
      <w:r w:rsidRPr="00A16B7D">
        <w:t xml:space="preserve"> to pale yellow and clear to slightly opalescent solution that must be diluted with </w:t>
      </w:r>
      <w:r w:rsidRPr="00A16B7D">
        <w:rPr>
          <w:bCs/>
        </w:rPr>
        <w:t xml:space="preserve">sodium chloride 9 mg/mL (0.9%) solution for injection </w:t>
      </w:r>
      <w:r w:rsidRPr="00A16B7D">
        <w:t xml:space="preserve">prior to administration. It is supplied in clear Type I glass vials containing approximately 5 mL extractable solution delivering 5 mg </w:t>
      </w:r>
      <w:proofErr w:type="spellStart"/>
      <w:r w:rsidRPr="00A16B7D">
        <w:t>elosulfase</w:t>
      </w:r>
      <w:proofErr w:type="spellEnd"/>
      <w:r w:rsidRPr="00A16B7D">
        <w:t xml:space="preserve"> </w:t>
      </w:r>
      <w:proofErr w:type="spellStart"/>
      <w:r w:rsidRPr="00A16B7D">
        <w:t>alfa</w:t>
      </w:r>
      <w:proofErr w:type="spellEnd"/>
      <w:r w:rsidRPr="00A16B7D">
        <w:t xml:space="preserve">. </w:t>
      </w:r>
    </w:p>
    <w:p w14:paraId="4D4879AA" w14:textId="77777777" w:rsidR="00A512CD" w:rsidRPr="00626E47" w:rsidRDefault="00A512CD" w:rsidP="00A16B7D">
      <w:pPr>
        <w:autoSpaceDE w:val="0"/>
        <w:autoSpaceDN w:val="0"/>
        <w:adjustRightInd w:val="0"/>
        <w:spacing w:after="0" w:line="240" w:lineRule="auto"/>
      </w:pPr>
    </w:p>
    <w:p w14:paraId="70703EC7" w14:textId="77777777" w:rsidR="00A512CD" w:rsidRPr="00626E47" w:rsidRDefault="00A512CD" w:rsidP="00A16B7D">
      <w:pPr>
        <w:keepNext/>
        <w:adjustRightInd w:val="0"/>
        <w:spacing w:after="0" w:line="240" w:lineRule="auto"/>
      </w:pPr>
      <w:r w:rsidRPr="00626E47">
        <w:t xml:space="preserve">Each carton includes 1 type I glass vial </w:t>
      </w:r>
      <w:r w:rsidRPr="00626E47">
        <w:rPr>
          <w:bCs/>
        </w:rPr>
        <w:t>with a butyl rubber stopper and an aluminium flip-off crimp seal with a plastic cap.</w:t>
      </w:r>
    </w:p>
    <w:p w14:paraId="1D255833" w14:textId="77777777" w:rsidR="00A512CD" w:rsidRPr="00626E47" w:rsidRDefault="00A512CD" w:rsidP="00A16B7D">
      <w:pPr>
        <w:autoSpaceDE w:val="0"/>
        <w:autoSpaceDN w:val="0"/>
        <w:adjustRightInd w:val="0"/>
        <w:spacing w:after="0" w:line="240" w:lineRule="auto"/>
      </w:pPr>
    </w:p>
    <w:p w14:paraId="3CB55267" w14:textId="77777777" w:rsidR="00A512CD" w:rsidRPr="00626E47" w:rsidRDefault="00A512CD" w:rsidP="00A16B7D">
      <w:pPr>
        <w:autoSpaceDE w:val="0"/>
        <w:autoSpaceDN w:val="0"/>
        <w:adjustRightInd w:val="0"/>
        <w:spacing w:after="0" w:line="240" w:lineRule="auto"/>
      </w:pPr>
      <w:proofErr w:type="spellStart"/>
      <w:r w:rsidRPr="00626E47">
        <w:t>Vimizim</w:t>
      </w:r>
      <w:proofErr w:type="spellEnd"/>
      <w:r w:rsidRPr="00626E47">
        <w:t xml:space="preserve"> does not contain preservatives. Each vial is for use in one patient on one occasion only. Discard any residue.</w:t>
      </w:r>
    </w:p>
    <w:p w14:paraId="132703E6" w14:textId="77777777" w:rsidR="00A512CD" w:rsidRPr="00626E47" w:rsidRDefault="00A512CD" w:rsidP="00A16B7D">
      <w:pPr>
        <w:adjustRightInd w:val="0"/>
        <w:spacing w:after="0" w:line="240" w:lineRule="auto"/>
      </w:pPr>
    </w:p>
    <w:p w14:paraId="5ACD5729" w14:textId="77777777" w:rsidR="00A512CD" w:rsidRPr="00626E47" w:rsidRDefault="00A512CD" w:rsidP="00A16B7D">
      <w:pPr>
        <w:pStyle w:val="Heading2"/>
        <w:adjustRightInd w:val="0"/>
      </w:pPr>
      <w:r w:rsidRPr="00626E47">
        <w:t>Storage conditions</w:t>
      </w:r>
    </w:p>
    <w:p w14:paraId="12959A1C" w14:textId="77777777" w:rsidR="00A512CD" w:rsidRPr="00626E47" w:rsidRDefault="00A512CD" w:rsidP="00A16B7D">
      <w:pPr>
        <w:adjustRightInd w:val="0"/>
        <w:spacing w:after="0" w:line="240" w:lineRule="auto"/>
      </w:pPr>
    </w:p>
    <w:p w14:paraId="1045F253" w14:textId="77777777" w:rsidR="00A512CD" w:rsidRPr="00626E47" w:rsidRDefault="00A512CD" w:rsidP="00A16B7D">
      <w:pPr>
        <w:adjustRightInd w:val="0"/>
        <w:spacing w:after="0" w:line="240" w:lineRule="auto"/>
      </w:pPr>
      <w:r w:rsidRPr="00626E47">
        <w:t>Store at 2°C to 8°C (Refrigerate. Do not freeze). Keep the vial in its carton in order to protect from light.</w:t>
      </w:r>
    </w:p>
    <w:p w14:paraId="666E1EEF" w14:textId="77777777" w:rsidR="00A512CD" w:rsidRPr="00626E47" w:rsidRDefault="00A512CD" w:rsidP="00A16B7D">
      <w:pPr>
        <w:adjustRightInd w:val="0"/>
        <w:spacing w:after="0" w:line="240" w:lineRule="auto"/>
      </w:pPr>
    </w:p>
    <w:p w14:paraId="29A5AD4A" w14:textId="77777777" w:rsidR="00A512CD" w:rsidRDefault="00A512CD" w:rsidP="00A16B7D">
      <w:pPr>
        <w:pStyle w:val="BodyText"/>
        <w:adjustRightInd w:val="0"/>
        <w:spacing w:after="0" w:line="240" w:lineRule="auto"/>
        <w:rPr>
          <w:iCs/>
        </w:rPr>
      </w:pPr>
      <w:r w:rsidRPr="00626E47">
        <w:rPr>
          <w:iCs/>
        </w:rPr>
        <w:t xml:space="preserve">Diluted solutions:  Chemical and physical in-use stability has been demonstrated for up to 24 hours </w:t>
      </w:r>
      <w:r>
        <w:rPr>
          <w:iCs/>
        </w:rPr>
        <w:t xml:space="preserve">refrigerated </w:t>
      </w:r>
      <w:r w:rsidRPr="00626E47">
        <w:rPr>
          <w:iCs/>
        </w:rPr>
        <w:t>(2</w:t>
      </w:r>
      <w:r w:rsidRPr="00626E47">
        <w:rPr>
          <w:iCs/>
        </w:rPr>
        <w:sym w:font="Symbol" w:char="F0B0"/>
      </w:r>
      <w:r w:rsidRPr="00626E47">
        <w:rPr>
          <w:iCs/>
        </w:rPr>
        <w:t>C - 8</w:t>
      </w:r>
      <w:r w:rsidRPr="00626E47">
        <w:rPr>
          <w:iCs/>
        </w:rPr>
        <w:sym w:font="Symbol" w:char="F0B0"/>
      </w:r>
      <w:r w:rsidRPr="00626E47">
        <w:rPr>
          <w:iCs/>
        </w:rPr>
        <w:t>C) followed by up to 24 hours at room temperature (23</w:t>
      </w:r>
      <w:r w:rsidRPr="00626E47">
        <w:rPr>
          <w:iCs/>
        </w:rPr>
        <w:sym w:font="Symbol" w:char="F0B0"/>
      </w:r>
      <w:r w:rsidRPr="00626E47">
        <w:rPr>
          <w:iCs/>
        </w:rPr>
        <w:t>C - 27</w:t>
      </w:r>
      <w:r w:rsidRPr="00626E47">
        <w:rPr>
          <w:iCs/>
        </w:rPr>
        <w:sym w:font="Symbol" w:char="F0B0"/>
      </w:r>
      <w:r w:rsidRPr="00626E47">
        <w:rPr>
          <w:iCs/>
        </w:rPr>
        <w:t>C).</w:t>
      </w:r>
      <w:r>
        <w:rPr>
          <w:iCs/>
        </w:rPr>
        <w:t xml:space="preserve"> </w:t>
      </w:r>
      <w:r w:rsidRPr="00626E47">
        <w:t xml:space="preserve">From a microbiological safety point of view, </w:t>
      </w:r>
      <w:proofErr w:type="spellStart"/>
      <w:r w:rsidRPr="00626E47">
        <w:t>Vimizim</w:t>
      </w:r>
      <w:proofErr w:type="spellEnd"/>
      <w:r w:rsidRPr="00626E47">
        <w:t xml:space="preserve"> should be used immediately. </w:t>
      </w:r>
      <w:r>
        <w:rPr>
          <w:iCs/>
        </w:rPr>
        <w:t xml:space="preserve"> </w:t>
      </w:r>
      <w:proofErr w:type="gramStart"/>
      <w:r>
        <w:rPr>
          <w:iCs/>
        </w:rPr>
        <w:t>To reduce microbiological hazard, use as soon as possible after dilution.</w:t>
      </w:r>
      <w:proofErr w:type="gramEnd"/>
      <w:r>
        <w:rPr>
          <w:iCs/>
        </w:rPr>
        <w:t xml:space="preserve"> If storage is necessary, hold at 2-8</w:t>
      </w:r>
      <w:r w:rsidRPr="00626E47">
        <w:rPr>
          <w:iCs/>
        </w:rPr>
        <w:sym w:font="Symbol" w:char="F0B0"/>
      </w:r>
      <w:r w:rsidRPr="00626E47">
        <w:rPr>
          <w:iCs/>
        </w:rPr>
        <w:t>C</w:t>
      </w:r>
      <w:r>
        <w:rPr>
          <w:iCs/>
        </w:rPr>
        <w:t xml:space="preserve"> for not more than 24 hours.  </w:t>
      </w:r>
    </w:p>
    <w:p w14:paraId="60C25240" w14:textId="77777777" w:rsidR="00A16B7D" w:rsidRDefault="00A16B7D" w:rsidP="00A16B7D">
      <w:pPr>
        <w:pStyle w:val="BodyText"/>
        <w:adjustRightInd w:val="0"/>
        <w:spacing w:after="0" w:line="240" w:lineRule="auto"/>
        <w:rPr>
          <w:iCs/>
        </w:rPr>
      </w:pPr>
    </w:p>
    <w:p w14:paraId="19DA5A69" w14:textId="77777777" w:rsidR="00A16B7D" w:rsidRPr="00F86FF3" w:rsidRDefault="00A16B7D" w:rsidP="00A16B7D">
      <w:pPr>
        <w:pStyle w:val="BodyText"/>
        <w:adjustRightInd w:val="0"/>
        <w:spacing w:after="0" w:line="240" w:lineRule="auto"/>
        <w:rPr>
          <w:iCs/>
        </w:rPr>
      </w:pPr>
    </w:p>
    <w:p w14:paraId="53F5AA07" w14:textId="77777777" w:rsidR="00A512CD" w:rsidRPr="00A16B7D" w:rsidRDefault="00A512CD" w:rsidP="00A16B7D">
      <w:pPr>
        <w:pStyle w:val="Heading1"/>
        <w:adjustRightInd w:val="0"/>
        <w:rPr>
          <w:sz w:val="22"/>
        </w:rPr>
      </w:pPr>
      <w:r w:rsidRPr="00A16B7D">
        <w:rPr>
          <w:sz w:val="22"/>
        </w:rPr>
        <w:t>NAME AND ADDRESS OF THE SPONSOR</w:t>
      </w:r>
    </w:p>
    <w:p w14:paraId="1288A696" w14:textId="77777777" w:rsidR="00A512CD" w:rsidRPr="00A16B7D" w:rsidRDefault="00A512CD" w:rsidP="00A16B7D">
      <w:pPr>
        <w:adjustRightInd w:val="0"/>
        <w:spacing w:after="0" w:line="240" w:lineRule="auto"/>
        <w:ind w:left="360"/>
        <w:rPr>
          <w:rFonts w:ascii="Verdana" w:hAnsi="Verdana"/>
        </w:rPr>
      </w:pPr>
    </w:p>
    <w:p w14:paraId="1F6B8C61" w14:textId="77777777" w:rsidR="00A512CD" w:rsidRPr="00A16B7D" w:rsidRDefault="00A512CD" w:rsidP="00A16B7D">
      <w:pPr>
        <w:adjustRightInd w:val="0"/>
        <w:spacing w:after="0" w:line="240" w:lineRule="auto"/>
        <w:rPr>
          <w:lang w:val="en-NZ"/>
        </w:rPr>
      </w:pPr>
      <w:proofErr w:type="spellStart"/>
      <w:r w:rsidRPr="00A16B7D">
        <w:rPr>
          <w:lang w:val="en-NZ"/>
        </w:rPr>
        <w:t>BioMarin</w:t>
      </w:r>
      <w:proofErr w:type="spellEnd"/>
      <w:r w:rsidRPr="00A16B7D">
        <w:rPr>
          <w:lang w:val="en-NZ"/>
        </w:rPr>
        <w:t xml:space="preserve"> Pharmaceutical Australia Pty Ltd</w:t>
      </w:r>
    </w:p>
    <w:p w14:paraId="7BF52E71" w14:textId="77777777" w:rsidR="00A512CD" w:rsidRPr="00A16B7D" w:rsidRDefault="00A512CD" w:rsidP="00A16B7D">
      <w:pPr>
        <w:adjustRightInd w:val="0"/>
        <w:spacing w:after="0" w:line="240" w:lineRule="auto"/>
        <w:rPr>
          <w:lang w:val="en-NZ"/>
        </w:rPr>
      </w:pPr>
      <w:r w:rsidRPr="00A16B7D">
        <w:rPr>
          <w:lang w:val="en-NZ"/>
        </w:rPr>
        <w:t>119 Willoughby Road</w:t>
      </w:r>
    </w:p>
    <w:p w14:paraId="080390A7" w14:textId="77777777" w:rsidR="00A512CD" w:rsidRPr="00A16B7D" w:rsidRDefault="00A512CD" w:rsidP="00A16B7D">
      <w:pPr>
        <w:adjustRightInd w:val="0"/>
        <w:spacing w:after="0" w:line="240" w:lineRule="auto"/>
        <w:rPr>
          <w:lang w:val="en-NZ"/>
        </w:rPr>
      </w:pPr>
      <w:proofErr w:type="spellStart"/>
      <w:r w:rsidRPr="00A16B7D">
        <w:rPr>
          <w:lang w:val="en-NZ"/>
        </w:rPr>
        <w:t>Crows</w:t>
      </w:r>
      <w:proofErr w:type="spellEnd"/>
      <w:r w:rsidRPr="00A16B7D">
        <w:rPr>
          <w:lang w:val="en-NZ"/>
        </w:rPr>
        <w:t xml:space="preserve"> Nest, NSW 2065</w:t>
      </w:r>
    </w:p>
    <w:p w14:paraId="0BD103DA" w14:textId="77777777" w:rsidR="00A512CD" w:rsidRPr="00A16B7D" w:rsidRDefault="00A512CD" w:rsidP="00A16B7D">
      <w:pPr>
        <w:adjustRightInd w:val="0"/>
        <w:spacing w:after="0" w:line="240" w:lineRule="auto"/>
        <w:rPr>
          <w:bCs/>
        </w:rPr>
      </w:pPr>
      <w:r w:rsidRPr="00A16B7D">
        <w:rPr>
          <w:bCs/>
        </w:rPr>
        <w:t>(02) 8520-3255</w:t>
      </w:r>
    </w:p>
    <w:p w14:paraId="6C8D89F9" w14:textId="77777777" w:rsidR="00A512CD" w:rsidRPr="00A16B7D" w:rsidRDefault="00A512CD" w:rsidP="00A16B7D">
      <w:pPr>
        <w:adjustRightInd w:val="0"/>
        <w:spacing w:after="0" w:line="240" w:lineRule="auto"/>
        <w:rPr>
          <w:bCs/>
        </w:rPr>
      </w:pPr>
      <w:proofErr w:type="gramStart"/>
      <w:r w:rsidRPr="00A16B7D">
        <w:rPr>
          <w:bCs/>
        </w:rPr>
        <w:t>free</w:t>
      </w:r>
      <w:proofErr w:type="gramEnd"/>
      <w:r w:rsidRPr="00A16B7D">
        <w:rPr>
          <w:bCs/>
        </w:rPr>
        <w:t xml:space="preserve"> call 0011 800 7424 6627</w:t>
      </w:r>
    </w:p>
    <w:p w14:paraId="0CF3161D" w14:textId="77777777" w:rsidR="00A512CD" w:rsidRPr="00A16B7D" w:rsidRDefault="00814618" w:rsidP="00A16B7D">
      <w:pPr>
        <w:adjustRightInd w:val="0"/>
        <w:spacing w:after="0" w:line="240" w:lineRule="auto"/>
        <w:rPr>
          <w:bCs/>
        </w:rPr>
      </w:pPr>
      <w:hyperlink r:id="rId15" w:history="1">
        <w:r w:rsidR="00A512CD" w:rsidRPr="00A16B7D">
          <w:rPr>
            <w:bCs/>
          </w:rPr>
          <w:t>medinfoasia@bmrn.com</w:t>
        </w:r>
      </w:hyperlink>
    </w:p>
    <w:p w14:paraId="64A4055D" w14:textId="77777777" w:rsidR="00A512CD" w:rsidRPr="00A16B7D" w:rsidRDefault="00A512CD" w:rsidP="00A16B7D">
      <w:pPr>
        <w:adjustRightInd w:val="0"/>
        <w:spacing w:after="0" w:line="240" w:lineRule="auto"/>
        <w:rPr>
          <w:bCs/>
        </w:rPr>
      </w:pPr>
    </w:p>
    <w:p w14:paraId="036EAEC9" w14:textId="77777777" w:rsidR="00A512CD" w:rsidRPr="00A16B7D" w:rsidRDefault="00A512CD" w:rsidP="00A16B7D">
      <w:pPr>
        <w:adjustRightInd w:val="0"/>
        <w:spacing w:after="0" w:line="240" w:lineRule="auto"/>
        <w:rPr>
          <w:bCs/>
        </w:rPr>
      </w:pPr>
      <w:r w:rsidRPr="00A16B7D">
        <w:rPr>
          <w:bCs/>
        </w:rPr>
        <w:t xml:space="preserve">To report adverse events, contact </w:t>
      </w:r>
      <w:hyperlink r:id="rId16" w:history="1">
        <w:r w:rsidRPr="00A16B7D">
          <w:rPr>
            <w:bCs/>
          </w:rPr>
          <w:t>drugsafety@bmrn.com</w:t>
        </w:r>
      </w:hyperlink>
      <w:r w:rsidRPr="00A16B7D">
        <w:rPr>
          <w:bCs/>
        </w:rPr>
        <w:t xml:space="preserve">. </w:t>
      </w:r>
    </w:p>
    <w:p w14:paraId="4833FB02" w14:textId="77777777" w:rsidR="00A512CD" w:rsidRPr="00A16B7D" w:rsidRDefault="00A512CD" w:rsidP="00A16B7D">
      <w:pPr>
        <w:adjustRightInd w:val="0"/>
        <w:spacing w:after="0" w:line="240" w:lineRule="auto"/>
        <w:rPr>
          <w:rFonts w:ascii="Verdana" w:hAnsi="Verdana"/>
        </w:rPr>
      </w:pPr>
    </w:p>
    <w:p w14:paraId="4764CC31" w14:textId="77777777" w:rsidR="00A16B7D" w:rsidRDefault="00A16B7D" w:rsidP="00A16B7D">
      <w:pPr>
        <w:pStyle w:val="Heading1"/>
        <w:adjustRightInd w:val="0"/>
        <w:rPr>
          <w:sz w:val="22"/>
        </w:rPr>
      </w:pPr>
    </w:p>
    <w:p w14:paraId="0D315917" w14:textId="77777777" w:rsidR="00A512CD" w:rsidRPr="00A16B7D" w:rsidRDefault="00A512CD" w:rsidP="00CB2504">
      <w:pPr>
        <w:pStyle w:val="Heading1"/>
        <w:keepNext/>
        <w:adjustRightInd w:val="0"/>
        <w:rPr>
          <w:sz w:val="22"/>
        </w:rPr>
      </w:pPr>
      <w:r w:rsidRPr="00A16B7D">
        <w:rPr>
          <w:sz w:val="22"/>
        </w:rPr>
        <w:t>POISON SCHEDULE OF THE MEDICINE</w:t>
      </w:r>
    </w:p>
    <w:p w14:paraId="39338745" w14:textId="77777777" w:rsidR="00A512CD" w:rsidRPr="00A16B7D" w:rsidRDefault="00A512CD" w:rsidP="00CB2504">
      <w:pPr>
        <w:keepNext/>
        <w:adjustRightInd w:val="0"/>
        <w:spacing w:after="0" w:line="240" w:lineRule="auto"/>
        <w:rPr>
          <w:rFonts w:ascii="Verdana" w:hAnsi="Verdana"/>
        </w:rPr>
      </w:pPr>
    </w:p>
    <w:p w14:paraId="08D93996" w14:textId="77777777" w:rsidR="00A512CD" w:rsidRPr="00A16B7D" w:rsidRDefault="00A512CD" w:rsidP="00CB2504">
      <w:pPr>
        <w:keepNext/>
        <w:adjustRightInd w:val="0"/>
        <w:spacing w:after="0" w:line="240" w:lineRule="auto"/>
        <w:rPr>
          <w:lang w:val="en-NZ"/>
        </w:rPr>
      </w:pPr>
      <w:r w:rsidRPr="00A16B7D">
        <w:rPr>
          <w:lang w:val="en-NZ"/>
        </w:rPr>
        <w:t>PRESCRIPTION ONLY MEDICINE (S4)</w:t>
      </w:r>
    </w:p>
    <w:p w14:paraId="1082E8F7" w14:textId="77777777" w:rsidR="00A512CD" w:rsidRPr="00A16B7D" w:rsidRDefault="00A512CD" w:rsidP="00A16B7D">
      <w:pPr>
        <w:adjustRightInd w:val="0"/>
        <w:spacing w:after="0" w:line="240" w:lineRule="auto"/>
        <w:rPr>
          <w:lang w:val="en-NZ"/>
        </w:rPr>
      </w:pPr>
    </w:p>
    <w:p w14:paraId="09300B6C" w14:textId="77777777" w:rsidR="00A512CD" w:rsidRPr="00A16B7D" w:rsidRDefault="00A512CD" w:rsidP="00A16B7D">
      <w:pPr>
        <w:pStyle w:val="Heading1"/>
        <w:adjustRightInd w:val="0"/>
        <w:rPr>
          <w:sz w:val="22"/>
        </w:rPr>
      </w:pPr>
      <w:r w:rsidRPr="00A16B7D">
        <w:rPr>
          <w:sz w:val="22"/>
        </w:rPr>
        <w:t>Date of first inclusion in the Australian Register of Therapeutic Goods (the ARTG)</w:t>
      </w:r>
    </w:p>
    <w:p w14:paraId="1332F0D9" w14:textId="77777777" w:rsidR="00A512CD" w:rsidRPr="00A16B7D" w:rsidRDefault="00A512CD" w:rsidP="00A16B7D">
      <w:pPr>
        <w:adjustRightInd w:val="0"/>
        <w:spacing w:after="0" w:line="240" w:lineRule="auto"/>
      </w:pPr>
    </w:p>
    <w:p w14:paraId="244E7AAB" w14:textId="489D850C" w:rsidR="00A512CD" w:rsidRPr="00A16B7D" w:rsidRDefault="00783857" w:rsidP="00A16B7D">
      <w:pPr>
        <w:adjustRightInd w:val="0"/>
        <w:spacing w:after="0" w:line="240" w:lineRule="auto"/>
        <w:rPr>
          <w:lang w:val="en-NZ"/>
        </w:rPr>
      </w:pPr>
      <w:r>
        <w:rPr>
          <w:lang w:val="en-NZ"/>
        </w:rPr>
        <w:t>09</w:t>
      </w:r>
      <w:r w:rsidR="00A512CD" w:rsidRPr="00A16B7D">
        <w:rPr>
          <w:lang w:val="en-NZ"/>
        </w:rPr>
        <w:t>-</w:t>
      </w:r>
      <w:r>
        <w:rPr>
          <w:lang w:val="en-NZ"/>
        </w:rPr>
        <w:t>December</w:t>
      </w:r>
      <w:r w:rsidR="00A512CD" w:rsidRPr="00A16B7D">
        <w:rPr>
          <w:lang w:val="en-NZ"/>
        </w:rPr>
        <w:t>-</w:t>
      </w:r>
      <w:r>
        <w:rPr>
          <w:lang w:val="en-NZ"/>
        </w:rPr>
        <w:t>2014</w:t>
      </w:r>
    </w:p>
    <w:p w14:paraId="71C4B0AF" w14:textId="77777777" w:rsidR="00A512CD" w:rsidRPr="00A16B7D" w:rsidRDefault="00A512CD" w:rsidP="00A16B7D">
      <w:pPr>
        <w:adjustRightInd w:val="0"/>
        <w:spacing w:after="0" w:line="240" w:lineRule="auto"/>
        <w:rPr>
          <w:lang w:val="en-NZ"/>
        </w:rPr>
      </w:pPr>
    </w:p>
    <w:p w14:paraId="21BB1D1E" w14:textId="77777777" w:rsidR="00A512CD" w:rsidRPr="00A16B7D" w:rsidRDefault="00A512CD" w:rsidP="00A16B7D">
      <w:pPr>
        <w:adjustRightInd w:val="0"/>
        <w:spacing w:after="0" w:line="240" w:lineRule="auto"/>
        <w:rPr>
          <w:shd w:val="clear" w:color="auto" w:fill="FFFFFF"/>
        </w:rPr>
      </w:pPr>
      <w:proofErr w:type="spellStart"/>
      <w:r w:rsidRPr="00A16B7D">
        <w:rPr>
          <w:shd w:val="clear" w:color="auto" w:fill="FFFFFF"/>
        </w:rPr>
        <w:t>Vimizim</w:t>
      </w:r>
      <w:proofErr w:type="spellEnd"/>
      <w:r w:rsidRPr="00A16B7D">
        <w:rPr>
          <w:shd w:val="clear" w:color="auto" w:fill="FFFFFF"/>
        </w:rPr>
        <w:t xml:space="preserve">® is a registered trademark of </w:t>
      </w:r>
      <w:proofErr w:type="spellStart"/>
      <w:r w:rsidRPr="00A16B7D">
        <w:rPr>
          <w:shd w:val="clear" w:color="auto" w:fill="FFFFFF"/>
        </w:rPr>
        <w:t>BioMarin</w:t>
      </w:r>
      <w:proofErr w:type="spellEnd"/>
      <w:r w:rsidRPr="00A16B7D">
        <w:rPr>
          <w:shd w:val="clear" w:color="auto" w:fill="FFFFFF"/>
        </w:rPr>
        <w:t xml:space="preserve">. </w:t>
      </w:r>
    </w:p>
    <w:p w14:paraId="2258BEF9" w14:textId="77777777" w:rsidR="00A512CD" w:rsidRPr="00A16B7D" w:rsidRDefault="00A512CD" w:rsidP="00A16B7D">
      <w:pPr>
        <w:adjustRightInd w:val="0"/>
        <w:spacing w:after="0" w:line="240" w:lineRule="auto"/>
        <w:rPr>
          <w:lang w:val="en-NZ"/>
        </w:rPr>
      </w:pPr>
    </w:p>
    <w:p w14:paraId="41A31D57" w14:textId="77777777" w:rsidR="00A512CD" w:rsidRPr="00A16B7D" w:rsidRDefault="00A512CD" w:rsidP="00A16B7D">
      <w:pPr>
        <w:adjustRightInd w:val="0"/>
        <w:spacing w:after="0" w:line="240" w:lineRule="auto"/>
        <w:rPr>
          <w:lang w:val="en-NZ"/>
        </w:rPr>
      </w:pPr>
    </w:p>
    <w:p w14:paraId="6073BF29" w14:textId="0CCD138F" w:rsidR="00044887" w:rsidRPr="00A16B7D" w:rsidRDefault="00044887" w:rsidP="00A16B7D">
      <w:pPr>
        <w:adjustRightInd w:val="0"/>
        <w:spacing w:after="0" w:line="240" w:lineRule="auto"/>
        <w:rPr>
          <w:shd w:val="clear" w:color="auto" w:fill="FFFFFF"/>
        </w:rPr>
      </w:pPr>
    </w:p>
    <w:sectPr w:rsidR="00044887" w:rsidRPr="00A16B7D" w:rsidSect="00614FEF">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BE285C" w14:textId="77777777" w:rsidR="0092393F" w:rsidRDefault="0092393F" w:rsidP="00044887">
      <w:pPr>
        <w:spacing w:after="0" w:line="240" w:lineRule="auto"/>
      </w:pPr>
      <w:r>
        <w:separator/>
      </w:r>
    </w:p>
    <w:p w14:paraId="121F3860" w14:textId="77777777" w:rsidR="0092393F" w:rsidRDefault="0092393F"/>
  </w:endnote>
  <w:endnote w:type="continuationSeparator" w:id="0">
    <w:p w14:paraId="0B5D5E59" w14:textId="77777777" w:rsidR="0092393F" w:rsidRDefault="0092393F" w:rsidP="00044887">
      <w:pPr>
        <w:spacing w:after="0" w:line="240" w:lineRule="auto"/>
      </w:pPr>
      <w:r>
        <w:continuationSeparator/>
      </w:r>
    </w:p>
    <w:p w14:paraId="17F93F65" w14:textId="77777777" w:rsidR="0092393F" w:rsidRDefault="0092393F"/>
  </w:endnote>
  <w:endnote w:type="continuationNotice" w:id="1">
    <w:p w14:paraId="706DF2A8" w14:textId="77777777" w:rsidR="0092393F" w:rsidRDefault="009239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
    <w:altName w:val="MS Mincho"/>
    <w:panose1 w:val="00000000000000000000"/>
    <w:charset w:val="00"/>
    <w:family w:val="roman"/>
    <w:notTrueType/>
    <w:pitch w:val="default"/>
    <w:sig w:usb0="00000003"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3BF3A" w14:textId="71F8F64C" w:rsidR="00AA1A00" w:rsidRPr="00044887" w:rsidRDefault="00AA1A00" w:rsidP="00044887">
    <w:pPr>
      <w:pStyle w:val="Footer"/>
      <w:pBdr>
        <w:top w:val="single" w:sz="4" w:space="1" w:color="auto"/>
      </w:pBdr>
      <w:rPr>
        <w:rFonts w:cs="TimesNewRoman"/>
        <w:sz w:val="20"/>
      </w:rPr>
    </w:pPr>
    <w:r w:rsidRPr="00044887">
      <w:rPr>
        <w:rFonts w:cs="TimesNewRoman"/>
        <w:sz w:val="20"/>
      </w:rPr>
      <w:t>Vimizim_PI_</w:t>
    </w:r>
    <w:r w:rsidR="00850177">
      <w:rPr>
        <w:rFonts w:cs="TimesNewRoman"/>
        <w:sz w:val="20"/>
      </w:rPr>
      <w:t>02DEC2014</w:t>
    </w:r>
    <w:r w:rsidRPr="00044887">
      <w:rPr>
        <w:rFonts w:cs="TimesNewRoman"/>
        <w:sz w:val="20"/>
      </w:rPr>
      <w:tab/>
    </w:r>
    <w:r w:rsidRPr="00044887">
      <w:rPr>
        <w:rFonts w:cs="TimesNewRoman"/>
        <w:sz w:val="20"/>
      </w:rPr>
      <w:tab/>
      <w:t>Supersedes: N/A</w:t>
    </w:r>
  </w:p>
  <w:p w14:paraId="6073BF3B" w14:textId="11FC780C" w:rsidR="00AA1A00" w:rsidRPr="00044887" w:rsidRDefault="00814618" w:rsidP="00044887">
    <w:pPr>
      <w:jc w:val="center"/>
      <w:rPr>
        <w:sz w:val="20"/>
      </w:rPr>
    </w:pPr>
    <w:sdt>
      <w:sdtPr>
        <w:rPr>
          <w:sz w:val="20"/>
        </w:rPr>
        <w:id w:val="250395305"/>
        <w:docPartObj>
          <w:docPartGallery w:val="Page Numbers (Top of Page)"/>
          <w:docPartUnique/>
        </w:docPartObj>
      </w:sdtPr>
      <w:sdtEndPr/>
      <w:sdtContent>
        <w:r w:rsidR="00AA1A00" w:rsidRPr="00044887">
          <w:rPr>
            <w:sz w:val="20"/>
          </w:rPr>
          <w:t xml:space="preserve">Page </w:t>
        </w:r>
        <w:r w:rsidR="00AA1A00" w:rsidRPr="00044887">
          <w:rPr>
            <w:sz w:val="20"/>
          </w:rPr>
          <w:fldChar w:fldCharType="begin"/>
        </w:r>
        <w:r w:rsidR="00AA1A00" w:rsidRPr="00044887">
          <w:rPr>
            <w:sz w:val="20"/>
          </w:rPr>
          <w:instrText xml:space="preserve"> PAGE </w:instrText>
        </w:r>
        <w:r w:rsidR="00AA1A00" w:rsidRPr="00044887">
          <w:rPr>
            <w:sz w:val="20"/>
          </w:rPr>
          <w:fldChar w:fldCharType="separate"/>
        </w:r>
        <w:r w:rsidR="00507290">
          <w:rPr>
            <w:noProof/>
            <w:sz w:val="20"/>
          </w:rPr>
          <w:t>1</w:t>
        </w:r>
        <w:r w:rsidR="00AA1A00" w:rsidRPr="00044887">
          <w:rPr>
            <w:sz w:val="20"/>
          </w:rPr>
          <w:fldChar w:fldCharType="end"/>
        </w:r>
        <w:r w:rsidR="00AA1A00" w:rsidRPr="00044887">
          <w:rPr>
            <w:sz w:val="20"/>
          </w:rPr>
          <w:t xml:space="preserve"> of </w:t>
        </w:r>
        <w:r w:rsidR="00AA1A00" w:rsidRPr="00044887">
          <w:rPr>
            <w:sz w:val="20"/>
          </w:rPr>
          <w:fldChar w:fldCharType="begin"/>
        </w:r>
        <w:r w:rsidR="00AA1A00" w:rsidRPr="00044887">
          <w:rPr>
            <w:sz w:val="20"/>
          </w:rPr>
          <w:instrText xml:space="preserve"> NUMPAGES  </w:instrText>
        </w:r>
        <w:r w:rsidR="00AA1A00" w:rsidRPr="00044887">
          <w:rPr>
            <w:sz w:val="20"/>
          </w:rPr>
          <w:fldChar w:fldCharType="separate"/>
        </w:r>
        <w:r w:rsidR="00507290">
          <w:rPr>
            <w:noProof/>
            <w:sz w:val="20"/>
          </w:rPr>
          <w:t>15</w:t>
        </w:r>
        <w:r w:rsidR="00AA1A00" w:rsidRPr="00044887">
          <w:rPr>
            <w:sz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4F1C52" w14:textId="77777777" w:rsidR="0092393F" w:rsidRDefault="0092393F" w:rsidP="00044887">
      <w:pPr>
        <w:spacing w:after="0" w:line="240" w:lineRule="auto"/>
      </w:pPr>
      <w:r>
        <w:separator/>
      </w:r>
    </w:p>
    <w:p w14:paraId="78FE6EF2" w14:textId="77777777" w:rsidR="0092393F" w:rsidRDefault="0092393F"/>
  </w:footnote>
  <w:footnote w:type="continuationSeparator" w:id="0">
    <w:p w14:paraId="3362D595" w14:textId="77777777" w:rsidR="0092393F" w:rsidRDefault="0092393F" w:rsidP="00044887">
      <w:pPr>
        <w:spacing w:after="0" w:line="240" w:lineRule="auto"/>
      </w:pPr>
      <w:r>
        <w:continuationSeparator/>
      </w:r>
    </w:p>
    <w:p w14:paraId="71A88680" w14:textId="77777777" w:rsidR="0092393F" w:rsidRDefault="0092393F"/>
  </w:footnote>
  <w:footnote w:type="continuationNotice" w:id="1">
    <w:p w14:paraId="5AAD2805" w14:textId="77777777" w:rsidR="0092393F" w:rsidRDefault="0092393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845C5E" w14:paraId="2AD8B06B" w14:textId="77777777" w:rsidTr="00D21377">
      <w:tc>
        <w:tcPr>
          <w:tcW w:w="8720" w:type="dxa"/>
          <w:shd w:val="clear" w:color="auto" w:fill="E4F2E0"/>
        </w:tcPr>
        <w:p w14:paraId="77AFB5A7" w14:textId="77777777" w:rsidR="00845C5E" w:rsidRPr="00845C5E" w:rsidRDefault="00845C5E" w:rsidP="00D21377">
          <w:pPr>
            <w:spacing w:before="40" w:after="40"/>
            <w:rPr>
              <w:rFonts w:ascii="Cambria" w:hAnsi="Cambria"/>
              <w:b/>
              <w:sz w:val="20"/>
              <w:szCs w:val="20"/>
            </w:rPr>
          </w:pPr>
          <w:r w:rsidRPr="00845C5E">
            <w:rPr>
              <w:rFonts w:ascii="Cambria" w:hAnsi="Cambria"/>
              <w:b/>
              <w:sz w:val="20"/>
              <w:szCs w:val="20"/>
            </w:rPr>
            <w:t xml:space="preserve">Attachment 1: Product information for </w:t>
          </w:r>
          <w:proofErr w:type="spellStart"/>
          <w:r w:rsidRPr="00845C5E">
            <w:rPr>
              <w:rFonts w:ascii="Cambria" w:hAnsi="Cambria"/>
              <w:b/>
              <w:sz w:val="20"/>
              <w:szCs w:val="20"/>
            </w:rPr>
            <w:t>AusPAR</w:t>
          </w:r>
          <w:proofErr w:type="spellEnd"/>
          <w:r w:rsidRPr="00845C5E">
            <w:rPr>
              <w:rFonts w:ascii="Cambria" w:hAnsi="Cambria"/>
              <w:b/>
              <w:sz w:val="20"/>
              <w:szCs w:val="20"/>
            </w:rPr>
            <w:t xml:space="preserve"> </w:t>
          </w:r>
          <w:proofErr w:type="spellStart"/>
          <w:r w:rsidRPr="00845C5E">
            <w:rPr>
              <w:rFonts w:ascii="Cambria" w:hAnsi="Cambria"/>
              <w:b/>
              <w:sz w:val="20"/>
              <w:szCs w:val="20"/>
            </w:rPr>
            <w:t>Vimizim</w:t>
          </w:r>
          <w:proofErr w:type="spellEnd"/>
          <w:r w:rsidRPr="00845C5E">
            <w:rPr>
              <w:rFonts w:ascii="Cambria" w:hAnsi="Cambria"/>
              <w:b/>
              <w:sz w:val="20"/>
              <w:szCs w:val="20"/>
            </w:rPr>
            <w:t xml:space="preserve"> </w:t>
          </w:r>
          <w:proofErr w:type="spellStart"/>
          <w:r w:rsidRPr="00845C5E">
            <w:rPr>
              <w:rFonts w:ascii="Cambria" w:hAnsi="Cambria"/>
              <w:b/>
              <w:sz w:val="20"/>
              <w:szCs w:val="20"/>
            </w:rPr>
            <w:t>Elosulfase</w:t>
          </w:r>
          <w:proofErr w:type="spellEnd"/>
          <w:r w:rsidRPr="00845C5E">
            <w:rPr>
              <w:rFonts w:ascii="Cambria" w:hAnsi="Cambria"/>
              <w:b/>
              <w:sz w:val="20"/>
              <w:szCs w:val="20"/>
            </w:rPr>
            <w:t xml:space="preserve"> </w:t>
          </w:r>
          <w:proofErr w:type="spellStart"/>
          <w:r w:rsidRPr="00845C5E">
            <w:rPr>
              <w:rFonts w:ascii="Cambria" w:hAnsi="Cambria"/>
              <w:b/>
              <w:sz w:val="20"/>
              <w:szCs w:val="20"/>
            </w:rPr>
            <w:t>alfa</w:t>
          </w:r>
          <w:proofErr w:type="spellEnd"/>
          <w:r w:rsidRPr="00845C5E">
            <w:rPr>
              <w:rFonts w:ascii="Cambria" w:hAnsi="Cambria"/>
              <w:b/>
              <w:sz w:val="20"/>
              <w:szCs w:val="20"/>
            </w:rPr>
            <w:t xml:space="preserve"> (</w:t>
          </w:r>
          <w:proofErr w:type="spellStart"/>
          <w:r w:rsidRPr="00845C5E">
            <w:rPr>
              <w:rFonts w:ascii="Cambria" w:hAnsi="Cambria"/>
              <w:b/>
              <w:sz w:val="20"/>
              <w:szCs w:val="20"/>
            </w:rPr>
            <w:t>rch</w:t>
          </w:r>
          <w:proofErr w:type="spellEnd"/>
          <w:r w:rsidRPr="00845C5E">
            <w:rPr>
              <w:rFonts w:ascii="Cambria" w:hAnsi="Cambria"/>
              <w:b/>
              <w:sz w:val="20"/>
              <w:szCs w:val="20"/>
            </w:rPr>
            <w:t xml:space="preserve">) </w:t>
          </w:r>
          <w:proofErr w:type="spellStart"/>
          <w:r w:rsidRPr="00845C5E">
            <w:rPr>
              <w:rFonts w:ascii="Cambria" w:hAnsi="Cambria"/>
              <w:b/>
              <w:sz w:val="20"/>
              <w:szCs w:val="20"/>
            </w:rPr>
            <w:t>BioMarin</w:t>
          </w:r>
          <w:proofErr w:type="spellEnd"/>
          <w:r w:rsidRPr="00845C5E">
            <w:rPr>
              <w:rFonts w:ascii="Cambria" w:hAnsi="Cambria"/>
              <w:b/>
              <w:sz w:val="20"/>
              <w:szCs w:val="20"/>
            </w:rPr>
            <w:t xml:space="preserve"> Pharmaceutical Australia Pty Ltd PM-2013-02807-1-3 Final 8 April 2015. This Product Information was approved at the time this AusPAR was published.</w:t>
          </w:r>
        </w:p>
      </w:tc>
    </w:tr>
  </w:tbl>
  <w:p w14:paraId="6338C55A" w14:textId="77777777" w:rsidR="00845C5E" w:rsidRDefault="00845C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918FE"/>
    <w:multiLevelType w:val="multilevel"/>
    <w:tmpl w:val="90465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497474"/>
    <w:multiLevelType w:val="multilevel"/>
    <w:tmpl w:val="90465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413312"/>
    <w:multiLevelType w:val="multilevel"/>
    <w:tmpl w:val="90465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34700A"/>
    <w:multiLevelType w:val="hybridMultilevel"/>
    <w:tmpl w:val="EAC64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365476C"/>
    <w:multiLevelType w:val="hybridMultilevel"/>
    <w:tmpl w:val="94F03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261661"/>
    <w:multiLevelType w:val="hybridMultilevel"/>
    <w:tmpl w:val="98AEB30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F4D7AB9"/>
    <w:multiLevelType w:val="multilevel"/>
    <w:tmpl w:val="90465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DF41E5"/>
    <w:multiLevelType w:val="multilevel"/>
    <w:tmpl w:val="90465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1E2537"/>
    <w:multiLevelType w:val="hybridMultilevel"/>
    <w:tmpl w:val="B7248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6D29E5"/>
    <w:multiLevelType w:val="hybridMultilevel"/>
    <w:tmpl w:val="5CD4B0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3E0564C"/>
    <w:multiLevelType w:val="multilevel"/>
    <w:tmpl w:val="90465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E60778"/>
    <w:multiLevelType w:val="multilevel"/>
    <w:tmpl w:val="90465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371E92"/>
    <w:multiLevelType w:val="multilevel"/>
    <w:tmpl w:val="90465086"/>
    <w:lvl w:ilvl="0">
      <w:start w:val="1"/>
      <w:numFmt w:val="bullet"/>
      <w:lvlText w:val=""/>
      <w:lvlJc w:val="left"/>
      <w:pPr>
        <w:tabs>
          <w:tab w:val="num" w:pos="357"/>
        </w:tabs>
        <w:ind w:left="357" w:hanging="360"/>
      </w:pPr>
      <w:rPr>
        <w:rFonts w:ascii="Symbol" w:hAnsi="Symbol" w:hint="default"/>
        <w:sz w:val="20"/>
      </w:rPr>
    </w:lvl>
    <w:lvl w:ilvl="1">
      <w:start w:val="1"/>
      <w:numFmt w:val="bullet"/>
      <w:lvlText w:val="o"/>
      <w:lvlJc w:val="left"/>
      <w:pPr>
        <w:tabs>
          <w:tab w:val="num" w:pos="1077"/>
        </w:tabs>
        <w:ind w:left="1077" w:hanging="360"/>
      </w:pPr>
      <w:rPr>
        <w:rFonts w:ascii="Courier New" w:hAnsi="Courier New" w:hint="default"/>
        <w:sz w:val="20"/>
      </w:rPr>
    </w:lvl>
    <w:lvl w:ilvl="2" w:tentative="1">
      <w:start w:val="1"/>
      <w:numFmt w:val="bullet"/>
      <w:lvlText w:val=""/>
      <w:lvlJc w:val="left"/>
      <w:pPr>
        <w:tabs>
          <w:tab w:val="num" w:pos="1797"/>
        </w:tabs>
        <w:ind w:left="1797" w:hanging="360"/>
      </w:pPr>
      <w:rPr>
        <w:rFonts w:ascii="Wingdings" w:hAnsi="Wingdings" w:hint="default"/>
        <w:sz w:val="20"/>
      </w:rPr>
    </w:lvl>
    <w:lvl w:ilvl="3" w:tentative="1">
      <w:start w:val="1"/>
      <w:numFmt w:val="bullet"/>
      <w:lvlText w:val=""/>
      <w:lvlJc w:val="left"/>
      <w:pPr>
        <w:tabs>
          <w:tab w:val="num" w:pos="2517"/>
        </w:tabs>
        <w:ind w:left="2517" w:hanging="360"/>
      </w:pPr>
      <w:rPr>
        <w:rFonts w:ascii="Wingdings" w:hAnsi="Wingdings" w:hint="default"/>
        <w:sz w:val="20"/>
      </w:rPr>
    </w:lvl>
    <w:lvl w:ilvl="4" w:tentative="1">
      <w:start w:val="1"/>
      <w:numFmt w:val="bullet"/>
      <w:lvlText w:val=""/>
      <w:lvlJc w:val="left"/>
      <w:pPr>
        <w:tabs>
          <w:tab w:val="num" w:pos="3237"/>
        </w:tabs>
        <w:ind w:left="3237" w:hanging="360"/>
      </w:pPr>
      <w:rPr>
        <w:rFonts w:ascii="Wingdings" w:hAnsi="Wingdings" w:hint="default"/>
        <w:sz w:val="20"/>
      </w:rPr>
    </w:lvl>
    <w:lvl w:ilvl="5" w:tentative="1">
      <w:start w:val="1"/>
      <w:numFmt w:val="bullet"/>
      <w:lvlText w:val=""/>
      <w:lvlJc w:val="left"/>
      <w:pPr>
        <w:tabs>
          <w:tab w:val="num" w:pos="3957"/>
        </w:tabs>
        <w:ind w:left="3957" w:hanging="360"/>
      </w:pPr>
      <w:rPr>
        <w:rFonts w:ascii="Wingdings" w:hAnsi="Wingdings" w:hint="default"/>
        <w:sz w:val="20"/>
      </w:rPr>
    </w:lvl>
    <w:lvl w:ilvl="6" w:tentative="1">
      <w:start w:val="1"/>
      <w:numFmt w:val="bullet"/>
      <w:lvlText w:val=""/>
      <w:lvlJc w:val="left"/>
      <w:pPr>
        <w:tabs>
          <w:tab w:val="num" w:pos="4677"/>
        </w:tabs>
        <w:ind w:left="4677" w:hanging="360"/>
      </w:pPr>
      <w:rPr>
        <w:rFonts w:ascii="Wingdings" w:hAnsi="Wingdings" w:hint="default"/>
        <w:sz w:val="20"/>
      </w:rPr>
    </w:lvl>
    <w:lvl w:ilvl="7" w:tentative="1">
      <w:start w:val="1"/>
      <w:numFmt w:val="bullet"/>
      <w:lvlText w:val=""/>
      <w:lvlJc w:val="left"/>
      <w:pPr>
        <w:tabs>
          <w:tab w:val="num" w:pos="5397"/>
        </w:tabs>
        <w:ind w:left="5397" w:hanging="360"/>
      </w:pPr>
      <w:rPr>
        <w:rFonts w:ascii="Wingdings" w:hAnsi="Wingdings" w:hint="default"/>
        <w:sz w:val="20"/>
      </w:rPr>
    </w:lvl>
    <w:lvl w:ilvl="8" w:tentative="1">
      <w:start w:val="1"/>
      <w:numFmt w:val="bullet"/>
      <w:lvlText w:val=""/>
      <w:lvlJc w:val="left"/>
      <w:pPr>
        <w:tabs>
          <w:tab w:val="num" w:pos="6117"/>
        </w:tabs>
        <w:ind w:left="6117" w:hanging="360"/>
      </w:pPr>
      <w:rPr>
        <w:rFonts w:ascii="Wingdings" w:hAnsi="Wingdings" w:hint="default"/>
        <w:sz w:val="20"/>
      </w:rPr>
    </w:lvl>
  </w:abstractNum>
  <w:abstractNum w:abstractNumId="13">
    <w:nsid w:val="3DE00801"/>
    <w:multiLevelType w:val="hybridMultilevel"/>
    <w:tmpl w:val="8904F1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93C4BD3"/>
    <w:multiLevelType w:val="hybridMultilevel"/>
    <w:tmpl w:val="5C604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2F43C4"/>
    <w:multiLevelType w:val="multilevel"/>
    <w:tmpl w:val="90465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EB4313"/>
    <w:multiLevelType w:val="hybridMultilevel"/>
    <w:tmpl w:val="E9AE614C"/>
    <w:lvl w:ilvl="0" w:tplc="333C018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7E2D0B"/>
    <w:multiLevelType w:val="multilevel"/>
    <w:tmpl w:val="90465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C722A6"/>
    <w:multiLevelType w:val="hybridMultilevel"/>
    <w:tmpl w:val="4482B7DC"/>
    <w:lvl w:ilvl="0" w:tplc="8354A688">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C40FDF"/>
    <w:multiLevelType w:val="hybridMultilevel"/>
    <w:tmpl w:val="C1DA433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F352DFD"/>
    <w:multiLevelType w:val="hybridMultilevel"/>
    <w:tmpl w:val="43125BDC"/>
    <w:lvl w:ilvl="0" w:tplc="B9E8960E">
      <w:start w:val="1"/>
      <w:numFmt w:val="decimal"/>
      <w:lvlText w:val="%1."/>
      <w:lvlJc w:val="left"/>
      <w:pPr>
        <w:tabs>
          <w:tab w:val="num" w:pos="720"/>
        </w:tabs>
        <w:ind w:left="720" w:hanging="360"/>
      </w:pPr>
      <w:rPr>
        <w:rFonts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5F5926EB"/>
    <w:multiLevelType w:val="hybridMultilevel"/>
    <w:tmpl w:val="7F66026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68E02790"/>
    <w:multiLevelType w:val="multilevel"/>
    <w:tmpl w:val="90465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8EE4F91"/>
    <w:multiLevelType w:val="multilevel"/>
    <w:tmpl w:val="90465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5C6360"/>
    <w:multiLevelType w:val="multilevel"/>
    <w:tmpl w:val="90465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CEC6BAD"/>
    <w:multiLevelType w:val="multilevel"/>
    <w:tmpl w:val="4DCA9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19121EA"/>
    <w:multiLevelType w:val="multilevel"/>
    <w:tmpl w:val="90465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C8306CC"/>
    <w:multiLevelType w:val="hybridMultilevel"/>
    <w:tmpl w:val="FD6249A0"/>
    <w:lvl w:ilvl="0" w:tplc="333C018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F94166"/>
    <w:multiLevelType w:val="multilevel"/>
    <w:tmpl w:val="90465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1"/>
  </w:num>
  <w:num w:numId="3">
    <w:abstractNumId w:val="23"/>
  </w:num>
  <w:num w:numId="4">
    <w:abstractNumId w:val="17"/>
  </w:num>
  <w:num w:numId="5">
    <w:abstractNumId w:val="1"/>
  </w:num>
  <w:num w:numId="6">
    <w:abstractNumId w:val="15"/>
  </w:num>
  <w:num w:numId="7">
    <w:abstractNumId w:val="2"/>
  </w:num>
  <w:num w:numId="8">
    <w:abstractNumId w:val="25"/>
  </w:num>
  <w:num w:numId="9">
    <w:abstractNumId w:val="22"/>
  </w:num>
  <w:num w:numId="10">
    <w:abstractNumId w:val="7"/>
  </w:num>
  <w:num w:numId="11">
    <w:abstractNumId w:val="28"/>
  </w:num>
  <w:num w:numId="12">
    <w:abstractNumId w:val="6"/>
  </w:num>
  <w:num w:numId="13">
    <w:abstractNumId w:val="24"/>
  </w:num>
  <w:num w:numId="14">
    <w:abstractNumId w:val="10"/>
  </w:num>
  <w:num w:numId="15">
    <w:abstractNumId w:val="26"/>
  </w:num>
  <w:num w:numId="16">
    <w:abstractNumId w:val="0"/>
  </w:num>
  <w:num w:numId="17">
    <w:abstractNumId w:val="20"/>
  </w:num>
  <w:num w:numId="18">
    <w:abstractNumId w:val="5"/>
  </w:num>
  <w:num w:numId="19">
    <w:abstractNumId w:val="21"/>
  </w:num>
  <w:num w:numId="20">
    <w:abstractNumId w:val="16"/>
  </w:num>
  <w:num w:numId="21">
    <w:abstractNumId w:val="27"/>
  </w:num>
  <w:num w:numId="22">
    <w:abstractNumId w:val="18"/>
  </w:num>
  <w:num w:numId="23">
    <w:abstractNumId w:val="19"/>
  </w:num>
  <w:num w:numId="24">
    <w:abstractNumId w:val="8"/>
  </w:num>
  <w:num w:numId="25">
    <w:abstractNumId w:val="9"/>
  </w:num>
  <w:num w:numId="26">
    <w:abstractNumId w:val="14"/>
  </w:num>
  <w:num w:numId="27">
    <w:abstractNumId w:val="4"/>
  </w:num>
  <w:num w:numId="28">
    <w:abstractNumId w:val="13"/>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985"/>
    <w:rsid w:val="00006BA6"/>
    <w:rsid w:val="0001029D"/>
    <w:rsid w:val="00016522"/>
    <w:rsid w:val="00024FFC"/>
    <w:rsid w:val="00031492"/>
    <w:rsid w:val="000329CF"/>
    <w:rsid w:val="00033D73"/>
    <w:rsid w:val="00035E01"/>
    <w:rsid w:val="00037E8A"/>
    <w:rsid w:val="00040B9B"/>
    <w:rsid w:val="00044887"/>
    <w:rsid w:val="00044E7F"/>
    <w:rsid w:val="00051EE3"/>
    <w:rsid w:val="0005519D"/>
    <w:rsid w:val="000556D2"/>
    <w:rsid w:val="00062E93"/>
    <w:rsid w:val="00071330"/>
    <w:rsid w:val="000748F6"/>
    <w:rsid w:val="00077E99"/>
    <w:rsid w:val="000803D9"/>
    <w:rsid w:val="00083A0B"/>
    <w:rsid w:val="00083BC7"/>
    <w:rsid w:val="00084B69"/>
    <w:rsid w:val="00096304"/>
    <w:rsid w:val="000B05F8"/>
    <w:rsid w:val="000B083E"/>
    <w:rsid w:val="000B0A13"/>
    <w:rsid w:val="000B3723"/>
    <w:rsid w:val="000B3A76"/>
    <w:rsid w:val="000B7A24"/>
    <w:rsid w:val="000C0549"/>
    <w:rsid w:val="000C3FDB"/>
    <w:rsid w:val="000C7CC8"/>
    <w:rsid w:val="000D16BF"/>
    <w:rsid w:val="000D37BA"/>
    <w:rsid w:val="000D3879"/>
    <w:rsid w:val="000D5C06"/>
    <w:rsid w:val="000D7A78"/>
    <w:rsid w:val="000E2E7A"/>
    <w:rsid w:val="000E31AE"/>
    <w:rsid w:val="000E6666"/>
    <w:rsid w:val="000F37DF"/>
    <w:rsid w:val="000F3E55"/>
    <w:rsid w:val="00100704"/>
    <w:rsid w:val="00102F77"/>
    <w:rsid w:val="00105AC4"/>
    <w:rsid w:val="0010784A"/>
    <w:rsid w:val="00107C26"/>
    <w:rsid w:val="00111CC3"/>
    <w:rsid w:val="001126DF"/>
    <w:rsid w:val="00113BAB"/>
    <w:rsid w:val="00123D48"/>
    <w:rsid w:val="001306DB"/>
    <w:rsid w:val="00134CA7"/>
    <w:rsid w:val="0013534D"/>
    <w:rsid w:val="00135B48"/>
    <w:rsid w:val="00145053"/>
    <w:rsid w:val="00151E25"/>
    <w:rsid w:val="00152B54"/>
    <w:rsid w:val="00152FD4"/>
    <w:rsid w:val="00157049"/>
    <w:rsid w:val="00163DCC"/>
    <w:rsid w:val="0016614B"/>
    <w:rsid w:val="0017004D"/>
    <w:rsid w:val="00173CFB"/>
    <w:rsid w:val="0017497C"/>
    <w:rsid w:val="0017548C"/>
    <w:rsid w:val="00182C72"/>
    <w:rsid w:val="00184504"/>
    <w:rsid w:val="00186662"/>
    <w:rsid w:val="00186C55"/>
    <w:rsid w:val="00187C77"/>
    <w:rsid w:val="00193869"/>
    <w:rsid w:val="001947B9"/>
    <w:rsid w:val="00196E05"/>
    <w:rsid w:val="0019762D"/>
    <w:rsid w:val="00197801"/>
    <w:rsid w:val="00197ACA"/>
    <w:rsid w:val="001A1542"/>
    <w:rsid w:val="001A49BE"/>
    <w:rsid w:val="001A76E0"/>
    <w:rsid w:val="001B3518"/>
    <w:rsid w:val="001B4CB5"/>
    <w:rsid w:val="001C1922"/>
    <w:rsid w:val="001C3BDE"/>
    <w:rsid w:val="001C3CEF"/>
    <w:rsid w:val="001C4624"/>
    <w:rsid w:val="001D05C9"/>
    <w:rsid w:val="001D1BD1"/>
    <w:rsid w:val="001D1CE9"/>
    <w:rsid w:val="001D5484"/>
    <w:rsid w:val="001D6685"/>
    <w:rsid w:val="001E2E95"/>
    <w:rsid w:val="001E2F4F"/>
    <w:rsid w:val="001E651A"/>
    <w:rsid w:val="001E7C91"/>
    <w:rsid w:val="001F40BD"/>
    <w:rsid w:val="001F6588"/>
    <w:rsid w:val="001F7364"/>
    <w:rsid w:val="002006E3"/>
    <w:rsid w:val="002026D2"/>
    <w:rsid w:val="0020483C"/>
    <w:rsid w:val="00205B27"/>
    <w:rsid w:val="00205E97"/>
    <w:rsid w:val="002074F9"/>
    <w:rsid w:val="00207EA7"/>
    <w:rsid w:val="00215CAC"/>
    <w:rsid w:val="002167B2"/>
    <w:rsid w:val="00220B98"/>
    <w:rsid w:val="0022157F"/>
    <w:rsid w:val="00221ACA"/>
    <w:rsid w:val="002238C8"/>
    <w:rsid w:val="002252E2"/>
    <w:rsid w:val="00232E2F"/>
    <w:rsid w:val="00232FAB"/>
    <w:rsid w:val="002333B0"/>
    <w:rsid w:val="002336E1"/>
    <w:rsid w:val="00233A28"/>
    <w:rsid w:val="0023445D"/>
    <w:rsid w:val="00234AA8"/>
    <w:rsid w:val="00234CD3"/>
    <w:rsid w:val="00240A65"/>
    <w:rsid w:val="00240FF7"/>
    <w:rsid w:val="00243B09"/>
    <w:rsid w:val="00244944"/>
    <w:rsid w:val="00247178"/>
    <w:rsid w:val="00250318"/>
    <w:rsid w:val="002556BF"/>
    <w:rsid w:val="00261D0D"/>
    <w:rsid w:val="00262238"/>
    <w:rsid w:val="002628A5"/>
    <w:rsid w:val="00262F97"/>
    <w:rsid w:val="00263F99"/>
    <w:rsid w:val="002703C8"/>
    <w:rsid w:val="00271303"/>
    <w:rsid w:val="00271F03"/>
    <w:rsid w:val="002749FF"/>
    <w:rsid w:val="00276F90"/>
    <w:rsid w:val="002801B2"/>
    <w:rsid w:val="00282585"/>
    <w:rsid w:val="002829F3"/>
    <w:rsid w:val="00283574"/>
    <w:rsid w:val="00286B78"/>
    <w:rsid w:val="00286F0C"/>
    <w:rsid w:val="00291174"/>
    <w:rsid w:val="002916FC"/>
    <w:rsid w:val="00292149"/>
    <w:rsid w:val="00295C55"/>
    <w:rsid w:val="002962E7"/>
    <w:rsid w:val="002A4320"/>
    <w:rsid w:val="002B08B6"/>
    <w:rsid w:val="002B280F"/>
    <w:rsid w:val="002B2B92"/>
    <w:rsid w:val="002B4570"/>
    <w:rsid w:val="002B4C42"/>
    <w:rsid w:val="002C0C42"/>
    <w:rsid w:val="002C241C"/>
    <w:rsid w:val="002C33CC"/>
    <w:rsid w:val="002D1C21"/>
    <w:rsid w:val="002D6F2D"/>
    <w:rsid w:val="002E10F1"/>
    <w:rsid w:val="002E1236"/>
    <w:rsid w:val="002E20C2"/>
    <w:rsid w:val="002F0F75"/>
    <w:rsid w:val="002F302C"/>
    <w:rsid w:val="002F371B"/>
    <w:rsid w:val="002F5DB9"/>
    <w:rsid w:val="002F6A00"/>
    <w:rsid w:val="003012B3"/>
    <w:rsid w:val="00302F64"/>
    <w:rsid w:val="00305F0F"/>
    <w:rsid w:val="00307535"/>
    <w:rsid w:val="00310448"/>
    <w:rsid w:val="00310BC9"/>
    <w:rsid w:val="00314F1F"/>
    <w:rsid w:val="00315C3B"/>
    <w:rsid w:val="00316491"/>
    <w:rsid w:val="00320A0A"/>
    <w:rsid w:val="00321B59"/>
    <w:rsid w:val="003252CA"/>
    <w:rsid w:val="00335ECD"/>
    <w:rsid w:val="003362E2"/>
    <w:rsid w:val="00337143"/>
    <w:rsid w:val="003405D0"/>
    <w:rsid w:val="00340D0D"/>
    <w:rsid w:val="00342C24"/>
    <w:rsid w:val="00344228"/>
    <w:rsid w:val="00345B63"/>
    <w:rsid w:val="00352E6F"/>
    <w:rsid w:val="00361E38"/>
    <w:rsid w:val="0036239F"/>
    <w:rsid w:val="003625DF"/>
    <w:rsid w:val="0036592B"/>
    <w:rsid w:val="00365CED"/>
    <w:rsid w:val="00366F7C"/>
    <w:rsid w:val="00373DAB"/>
    <w:rsid w:val="003769F5"/>
    <w:rsid w:val="00380E51"/>
    <w:rsid w:val="0038557E"/>
    <w:rsid w:val="00386B85"/>
    <w:rsid w:val="00391ADE"/>
    <w:rsid w:val="00392443"/>
    <w:rsid w:val="003924AB"/>
    <w:rsid w:val="003950E4"/>
    <w:rsid w:val="003A4985"/>
    <w:rsid w:val="003B0C0B"/>
    <w:rsid w:val="003B39DF"/>
    <w:rsid w:val="003B673C"/>
    <w:rsid w:val="003C04EF"/>
    <w:rsid w:val="003D36D9"/>
    <w:rsid w:val="003D5861"/>
    <w:rsid w:val="003D5AE7"/>
    <w:rsid w:val="003E0641"/>
    <w:rsid w:val="003E08AE"/>
    <w:rsid w:val="003E4165"/>
    <w:rsid w:val="003F15B2"/>
    <w:rsid w:val="003F201D"/>
    <w:rsid w:val="003F7BB5"/>
    <w:rsid w:val="0040201C"/>
    <w:rsid w:val="00402F9D"/>
    <w:rsid w:val="004064FE"/>
    <w:rsid w:val="0041290F"/>
    <w:rsid w:val="00413FBD"/>
    <w:rsid w:val="00414B18"/>
    <w:rsid w:val="00414B60"/>
    <w:rsid w:val="00420667"/>
    <w:rsid w:val="00420BB2"/>
    <w:rsid w:val="00421B77"/>
    <w:rsid w:val="00423C31"/>
    <w:rsid w:val="004266E5"/>
    <w:rsid w:val="00427265"/>
    <w:rsid w:val="0043354D"/>
    <w:rsid w:val="00434974"/>
    <w:rsid w:val="00441373"/>
    <w:rsid w:val="004432BF"/>
    <w:rsid w:val="00445760"/>
    <w:rsid w:val="00445AE3"/>
    <w:rsid w:val="00445BC3"/>
    <w:rsid w:val="00447E95"/>
    <w:rsid w:val="004509B9"/>
    <w:rsid w:val="00452797"/>
    <w:rsid w:val="004565EF"/>
    <w:rsid w:val="00463987"/>
    <w:rsid w:val="00465961"/>
    <w:rsid w:val="00466FB5"/>
    <w:rsid w:val="004721D8"/>
    <w:rsid w:val="0047287B"/>
    <w:rsid w:val="0047391D"/>
    <w:rsid w:val="004771A3"/>
    <w:rsid w:val="00481000"/>
    <w:rsid w:val="00482BC6"/>
    <w:rsid w:val="00485304"/>
    <w:rsid w:val="00486B0A"/>
    <w:rsid w:val="00487A76"/>
    <w:rsid w:val="004914D7"/>
    <w:rsid w:val="004934A9"/>
    <w:rsid w:val="00493A26"/>
    <w:rsid w:val="004A1CDE"/>
    <w:rsid w:val="004A4A5B"/>
    <w:rsid w:val="004A5695"/>
    <w:rsid w:val="004A5C1F"/>
    <w:rsid w:val="004B41CF"/>
    <w:rsid w:val="004B53A3"/>
    <w:rsid w:val="004B6691"/>
    <w:rsid w:val="004B692B"/>
    <w:rsid w:val="004C0ED3"/>
    <w:rsid w:val="004C5701"/>
    <w:rsid w:val="004C6EF7"/>
    <w:rsid w:val="004D1446"/>
    <w:rsid w:val="004D19A8"/>
    <w:rsid w:val="004D1D26"/>
    <w:rsid w:val="004E2670"/>
    <w:rsid w:val="004E31D3"/>
    <w:rsid w:val="004E5B66"/>
    <w:rsid w:val="004E76EC"/>
    <w:rsid w:val="004E7DB0"/>
    <w:rsid w:val="004F152A"/>
    <w:rsid w:val="004F2E0C"/>
    <w:rsid w:val="004F3F51"/>
    <w:rsid w:val="004F6DA2"/>
    <w:rsid w:val="004F78CF"/>
    <w:rsid w:val="004F796C"/>
    <w:rsid w:val="00501202"/>
    <w:rsid w:val="00502188"/>
    <w:rsid w:val="00503EE9"/>
    <w:rsid w:val="00506988"/>
    <w:rsid w:val="00507290"/>
    <w:rsid w:val="00507F14"/>
    <w:rsid w:val="005102DC"/>
    <w:rsid w:val="0051047C"/>
    <w:rsid w:val="00511774"/>
    <w:rsid w:val="005131E7"/>
    <w:rsid w:val="0052051B"/>
    <w:rsid w:val="00520E4B"/>
    <w:rsid w:val="00523FF1"/>
    <w:rsid w:val="00527BB7"/>
    <w:rsid w:val="00530660"/>
    <w:rsid w:val="00531EAF"/>
    <w:rsid w:val="005335EA"/>
    <w:rsid w:val="005355B9"/>
    <w:rsid w:val="00542458"/>
    <w:rsid w:val="00542922"/>
    <w:rsid w:val="00542C69"/>
    <w:rsid w:val="00543828"/>
    <w:rsid w:val="0054711D"/>
    <w:rsid w:val="00547A4C"/>
    <w:rsid w:val="00555E7B"/>
    <w:rsid w:val="00557309"/>
    <w:rsid w:val="00560368"/>
    <w:rsid w:val="00563DB1"/>
    <w:rsid w:val="0056466B"/>
    <w:rsid w:val="005675EE"/>
    <w:rsid w:val="00572A06"/>
    <w:rsid w:val="00572C7C"/>
    <w:rsid w:val="005737F1"/>
    <w:rsid w:val="0057731F"/>
    <w:rsid w:val="005807AE"/>
    <w:rsid w:val="00580AFD"/>
    <w:rsid w:val="00582B32"/>
    <w:rsid w:val="00583CB4"/>
    <w:rsid w:val="005852B3"/>
    <w:rsid w:val="005864E9"/>
    <w:rsid w:val="00587F90"/>
    <w:rsid w:val="005926F2"/>
    <w:rsid w:val="00597813"/>
    <w:rsid w:val="005A160A"/>
    <w:rsid w:val="005A2762"/>
    <w:rsid w:val="005A2A70"/>
    <w:rsid w:val="005A6232"/>
    <w:rsid w:val="005B2799"/>
    <w:rsid w:val="005B5916"/>
    <w:rsid w:val="005C00A1"/>
    <w:rsid w:val="005C466E"/>
    <w:rsid w:val="005C5471"/>
    <w:rsid w:val="005D3090"/>
    <w:rsid w:val="005D3880"/>
    <w:rsid w:val="005D7409"/>
    <w:rsid w:val="005D7FDD"/>
    <w:rsid w:val="005E24D5"/>
    <w:rsid w:val="005E37A5"/>
    <w:rsid w:val="005E5446"/>
    <w:rsid w:val="005E577A"/>
    <w:rsid w:val="006012C9"/>
    <w:rsid w:val="00605F3A"/>
    <w:rsid w:val="00610882"/>
    <w:rsid w:val="0061114E"/>
    <w:rsid w:val="00611B20"/>
    <w:rsid w:val="006120B8"/>
    <w:rsid w:val="00614FEF"/>
    <w:rsid w:val="00617BCC"/>
    <w:rsid w:val="00620244"/>
    <w:rsid w:val="00620424"/>
    <w:rsid w:val="0062054D"/>
    <w:rsid w:val="00620E0B"/>
    <w:rsid w:val="00626E47"/>
    <w:rsid w:val="00636724"/>
    <w:rsid w:val="00637F82"/>
    <w:rsid w:val="0064002F"/>
    <w:rsid w:val="0064058A"/>
    <w:rsid w:val="00642E54"/>
    <w:rsid w:val="006465A1"/>
    <w:rsid w:val="00652017"/>
    <w:rsid w:val="00655280"/>
    <w:rsid w:val="00655883"/>
    <w:rsid w:val="006566B9"/>
    <w:rsid w:val="00663F61"/>
    <w:rsid w:val="00665298"/>
    <w:rsid w:val="00666910"/>
    <w:rsid w:val="006677E6"/>
    <w:rsid w:val="00670D84"/>
    <w:rsid w:val="00676D2D"/>
    <w:rsid w:val="0068043D"/>
    <w:rsid w:val="00695EA2"/>
    <w:rsid w:val="006A19E4"/>
    <w:rsid w:val="006B3404"/>
    <w:rsid w:val="006C077B"/>
    <w:rsid w:val="006C2278"/>
    <w:rsid w:val="006C2EE5"/>
    <w:rsid w:val="006C5C65"/>
    <w:rsid w:val="006C6746"/>
    <w:rsid w:val="006D300F"/>
    <w:rsid w:val="006D6C56"/>
    <w:rsid w:val="006D722F"/>
    <w:rsid w:val="006E1143"/>
    <w:rsid w:val="006E17FF"/>
    <w:rsid w:val="006E20ED"/>
    <w:rsid w:val="006E4267"/>
    <w:rsid w:val="00705716"/>
    <w:rsid w:val="00710241"/>
    <w:rsid w:val="00711280"/>
    <w:rsid w:val="007127BD"/>
    <w:rsid w:val="00713E7E"/>
    <w:rsid w:val="00721C80"/>
    <w:rsid w:val="007226F3"/>
    <w:rsid w:val="00731452"/>
    <w:rsid w:val="007365FD"/>
    <w:rsid w:val="0073669A"/>
    <w:rsid w:val="00737045"/>
    <w:rsid w:val="0074030D"/>
    <w:rsid w:val="00741738"/>
    <w:rsid w:val="00761739"/>
    <w:rsid w:val="00762206"/>
    <w:rsid w:val="00765449"/>
    <w:rsid w:val="0077328E"/>
    <w:rsid w:val="007753BA"/>
    <w:rsid w:val="00776617"/>
    <w:rsid w:val="0078098D"/>
    <w:rsid w:val="00780D95"/>
    <w:rsid w:val="00783857"/>
    <w:rsid w:val="00783CCE"/>
    <w:rsid w:val="00784403"/>
    <w:rsid w:val="007852E1"/>
    <w:rsid w:val="00793297"/>
    <w:rsid w:val="007A0371"/>
    <w:rsid w:val="007A558F"/>
    <w:rsid w:val="007A586F"/>
    <w:rsid w:val="007B070B"/>
    <w:rsid w:val="007B3C2C"/>
    <w:rsid w:val="007B634A"/>
    <w:rsid w:val="007B6641"/>
    <w:rsid w:val="007C02AC"/>
    <w:rsid w:val="007C0ED6"/>
    <w:rsid w:val="007D33EE"/>
    <w:rsid w:val="007D38A0"/>
    <w:rsid w:val="007D4599"/>
    <w:rsid w:val="007D73CA"/>
    <w:rsid w:val="007E0A10"/>
    <w:rsid w:val="007E15EC"/>
    <w:rsid w:val="007E4727"/>
    <w:rsid w:val="007E4866"/>
    <w:rsid w:val="007E4E72"/>
    <w:rsid w:val="007E5744"/>
    <w:rsid w:val="007E758E"/>
    <w:rsid w:val="007E7A9B"/>
    <w:rsid w:val="007F1D48"/>
    <w:rsid w:val="007F2025"/>
    <w:rsid w:val="007F261B"/>
    <w:rsid w:val="007F2FEC"/>
    <w:rsid w:val="00800C05"/>
    <w:rsid w:val="008021AF"/>
    <w:rsid w:val="0080282B"/>
    <w:rsid w:val="00802930"/>
    <w:rsid w:val="00804274"/>
    <w:rsid w:val="00804EA1"/>
    <w:rsid w:val="00805786"/>
    <w:rsid w:val="008159B6"/>
    <w:rsid w:val="00821F3E"/>
    <w:rsid w:val="0082432F"/>
    <w:rsid w:val="00833F55"/>
    <w:rsid w:val="00834500"/>
    <w:rsid w:val="0084031B"/>
    <w:rsid w:val="0084116B"/>
    <w:rsid w:val="00845C5E"/>
    <w:rsid w:val="00850177"/>
    <w:rsid w:val="00850C60"/>
    <w:rsid w:val="00851712"/>
    <w:rsid w:val="00852EAE"/>
    <w:rsid w:val="00856931"/>
    <w:rsid w:val="008576AB"/>
    <w:rsid w:val="008578D2"/>
    <w:rsid w:val="008626DE"/>
    <w:rsid w:val="00866128"/>
    <w:rsid w:val="008840CC"/>
    <w:rsid w:val="00885304"/>
    <w:rsid w:val="0088584B"/>
    <w:rsid w:val="0089433D"/>
    <w:rsid w:val="008951DA"/>
    <w:rsid w:val="00895B6F"/>
    <w:rsid w:val="008A0089"/>
    <w:rsid w:val="008A2FF3"/>
    <w:rsid w:val="008A546C"/>
    <w:rsid w:val="008A7415"/>
    <w:rsid w:val="008B33FD"/>
    <w:rsid w:val="008B54B2"/>
    <w:rsid w:val="008B67C6"/>
    <w:rsid w:val="008C1A39"/>
    <w:rsid w:val="008C3C5A"/>
    <w:rsid w:val="008C3E6F"/>
    <w:rsid w:val="008C7AE1"/>
    <w:rsid w:val="008D2882"/>
    <w:rsid w:val="008D7B8B"/>
    <w:rsid w:val="008E280D"/>
    <w:rsid w:val="008E7FE1"/>
    <w:rsid w:val="008F1B94"/>
    <w:rsid w:val="008F290C"/>
    <w:rsid w:val="008F2C73"/>
    <w:rsid w:val="008F3183"/>
    <w:rsid w:val="008F458C"/>
    <w:rsid w:val="008F4A32"/>
    <w:rsid w:val="008F4C18"/>
    <w:rsid w:val="008F6DE3"/>
    <w:rsid w:val="008F7F49"/>
    <w:rsid w:val="0090604C"/>
    <w:rsid w:val="00915041"/>
    <w:rsid w:val="0091688E"/>
    <w:rsid w:val="009200D6"/>
    <w:rsid w:val="0092393F"/>
    <w:rsid w:val="0092477A"/>
    <w:rsid w:val="00925CA7"/>
    <w:rsid w:val="009335E6"/>
    <w:rsid w:val="00935C85"/>
    <w:rsid w:val="00942093"/>
    <w:rsid w:val="00943C30"/>
    <w:rsid w:val="00943C41"/>
    <w:rsid w:val="009537E5"/>
    <w:rsid w:val="00967C88"/>
    <w:rsid w:val="00976949"/>
    <w:rsid w:val="009775EE"/>
    <w:rsid w:val="0098175F"/>
    <w:rsid w:val="009856A7"/>
    <w:rsid w:val="00987F6C"/>
    <w:rsid w:val="0099028D"/>
    <w:rsid w:val="00992082"/>
    <w:rsid w:val="00993C1B"/>
    <w:rsid w:val="009950A7"/>
    <w:rsid w:val="009A019D"/>
    <w:rsid w:val="009A0CFB"/>
    <w:rsid w:val="009A443D"/>
    <w:rsid w:val="009A4B6F"/>
    <w:rsid w:val="009A4FE3"/>
    <w:rsid w:val="009A6CC9"/>
    <w:rsid w:val="009A7442"/>
    <w:rsid w:val="009A7B96"/>
    <w:rsid w:val="009A7F8D"/>
    <w:rsid w:val="009B0986"/>
    <w:rsid w:val="009B3A0B"/>
    <w:rsid w:val="009B490C"/>
    <w:rsid w:val="009B7DB6"/>
    <w:rsid w:val="009B7F83"/>
    <w:rsid w:val="009C47E3"/>
    <w:rsid w:val="009C5A3A"/>
    <w:rsid w:val="009D104D"/>
    <w:rsid w:val="009D1176"/>
    <w:rsid w:val="009D24EE"/>
    <w:rsid w:val="009D432C"/>
    <w:rsid w:val="009D547F"/>
    <w:rsid w:val="009D64C5"/>
    <w:rsid w:val="009D793C"/>
    <w:rsid w:val="009E387C"/>
    <w:rsid w:val="009E7566"/>
    <w:rsid w:val="009F1EBE"/>
    <w:rsid w:val="009F2088"/>
    <w:rsid w:val="009F493A"/>
    <w:rsid w:val="009F5518"/>
    <w:rsid w:val="009F57A9"/>
    <w:rsid w:val="00A0153C"/>
    <w:rsid w:val="00A020B5"/>
    <w:rsid w:val="00A1001F"/>
    <w:rsid w:val="00A128B6"/>
    <w:rsid w:val="00A16B7D"/>
    <w:rsid w:val="00A21CCE"/>
    <w:rsid w:val="00A23CE4"/>
    <w:rsid w:val="00A248E5"/>
    <w:rsid w:val="00A250E6"/>
    <w:rsid w:val="00A2611F"/>
    <w:rsid w:val="00A30293"/>
    <w:rsid w:val="00A3143D"/>
    <w:rsid w:val="00A32667"/>
    <w:rsid w:val="00A32D1A"/>
    <w:rsid w:val="00A3477E"/>
    <w:rsid w:val="00A4021C"/>
    <w:rsid w:val="00A4086F"/>
    <w:rsid w:val="00A41925"/>
    <w:rsid w:val="00A42730"/>
    <w:rsid w:val="00A512CD"/>
    <w:rsid w:val="00A5152D"/>
    <w:rsid w:val="00A533AC"/>
    <w:rsid w:val="00A53E49"/>
    <w:rsid w:val="00A5404E"/>
    <w:rsid w:val="00A542A9"/>
    <w:rsid w:val="00A55BF0"/>
    <w:rsid w:val="00A56289"/>
    <w:rsid w:val="00A57589"/>
    <w:rsid w:val="00A637EB"/>
    <w:rsid w:val="00A651EA"/>
    <w:rsid w:val="00A67594"/>
    <w:rsid w:val="00A74484"/>
    <w:rsid w:val="00AA0FA0"/>
    <w:rsid w:val="00AA19A7"/>
    <w:rsid w:val="00AA1A00"/>
    <w:rsid w:val="00AA772A"/>
    <w:rsid w:val="00AB13D9"/>
    <w:rsid w:val="00AB1918"/>
    <w:rsid w:val="00AB4D2C"/>
    <w:rsid w:val="00AC049D"/>
    <w:rsid w:val="00AD3E07"/>
    <w:rsid w:val="00AD52B6"/>
    <w:rsid w:val="00AE05D3"/>
    <w:rsid w:val="00AE1F60"/>
    <w:rsid w:val="00AE2305"/>
    <w:rsid w:val="00AE44D4"/>
    <w:rsid w:val="00AE4E9B"/>
    <w:rsid w:val="00AE4FC4"/>
    <w:rsid w:val="00AE5630"/>
    <w:rsid w:val="00AF201C"/>
    <w:rsid w:val="00AF4232"/>
    <w:rsid w:val="00AF4B0B"/>
    <w:rsid w:val="00AF5384"/>
    <w:rsid w:val="00AF70BA"/>
    <w:rsid w:val="00AF7FD2"/>
    <w:rsid w:val="00B039D0"/>
    <w:rsid w:val="00B12026"/>
    <w:rsid w:val="00B142DA"/>
    <w:rsid w:val="00B1460E"/>
    <w:rsid w:val="00B15A58"/>
    <w:rsid w:val="00B15ADD"/>
    <w:rsid w:val="00B24C1D"/>
    <w:rsid w:val="00B3005E"/>
    <w:rsid w:val="00B31FE4"/>
    <w:rsid w:val="00B36FEB"/>
    <w:rsid w:val="00B42A38"/>
    <w:rsid w:val="00B5039E"/>
    <w:rsid w:val="00B5274B"/>
    <w:rsid w:val="00B56A3E"/>
    <w:rsid w:val="00B56DFD"/>
    <w:rsid w:val="00B6320F"/>
    <w:rsid w:val="00B63646"/>
    <w:rsid w:val="00B644E8"/>
    <w:rsid w:val="00B64B11"/>
    <w:rsid w:val="00B65AD7"/>
    <w:rsid w:val="00B67077"/>
    <w:rsid w:val="00B73376"/>
    <w:rsid w:val="00B8656E"/>
    <w:rsid w:val="00B925FA"/>
    <w:rsid w:val="00BA00B3"/>
    <w:rsid w:val="00BB16D7"/>
    <w:rsid w:val="00BB5267"/>
    <w:rsid w:val="00BC0B7D"/>
    <w:rsid w:val="00BC1CA6"/>
    <w:rsid w:val="00BC3C3B"/>
    <w:rsid w:val="00BD0A62"/>
    <w:rsid w:val="00BD1FCD"/>
    <w:rsid w:val="00BD4C66"/>
    <w:rsid w:val="00BD5BE6"/>
    <w:rsid w:val="00BD6D06"/>
    <w:rsid w:val="00BE3528"/>
    <w:rsid w:val="00BE3FB1"/>
    <w:rsid w:val="00BE491F"/>
    <w:rsid w:val="00BE505C"/>
    <w:rsid w:val="00BE70AF"/>
    <w:rsid w:val="00BE79E8"/>
    <w:rsid w:val="00BF3029"/>
    <w:rsid w:val="00C0333D"/>
    <w:rsid w:val="00C0401A"/>
    <w:rsid w:val="00C04F58"/>
    <w:rsid w:val="00C123A1"/>
    <w:rsid w:val="00C12B38"/>
    <w:rsid w:val="00C13089"/>
    <w:rsid w:val="00C13826"/>
    <w:rsid w:val="00C13C06"/>
    <w:rsid w:val="00C13F92"/>
    <w:rsid w:val="00C14217"/>
    <w:rsid w:val="00C147C6"/>
    <w:rsid w:val="00C14DBB"/>
    <w:rsid w:val="00C1714A"/>
    <w:rsid w:val="00C2271F"/>
    <w:rsid w:val="00C25323"/>
    <w:rsid w:val="00C25C4C"/>
    <w:rsid w:val="00C26059"/>
    <w:rsid w:val="00C2704E"/>
    <w:rsid w:val="00C36984"/>
    <w:rsid w:val="00C40FBD"/>
    <w:rsid w:val="00C439AC"/>
    <w:rsid w:val="00C4425F"/>
    <w:rsid w:val="00C4643E"/>
    <w:rsid w:val="00C47DA3"/>
    <w:rsid w:val="00C504C9"/>
    <w:rsid w:val="00C5705B"/>
    <w:rsid w:val="00C57110"/>
    <w:rsid w:val="00C6147B"/>
    <w:rsid w:val="00C653E9"/>
    <w:rsid w:val="00C703A2"/>
    <w:rsid w:val="00C711B2"/>
    <w:rsid w:val="00C76518"/>
    <w:rsid w:val="00C81630"/>
    <w:rsid w:val="00C85FB0"/>
    <w:rsid w:val="00C908C6"/>
    <w:rsid w:val="00C92DC8"/>
    <w:rsid w:val="00C94C83"/>
    <w:rsid w:val="00C95B87"/>
    <w:rsid w:val="00CA4F19"/>
    <w:rsid w:val="00CA6B2C"/>
    <w:rsid w:val="00CB1884"/>
    <w:rsid w:val="00CB2504"/>
    <w:rsid w:val="00CB35BE"/>
    <w:rsid w:val="00CB3731"/>
    <w:rsid w:val="00CB5F25"/>
    <w:rsid w:val="00CC12F9"/>
    <w:rsid w:val="00CC3E9E"/>
    <w:rsid w:val="00CC5C30"/>
    <w:rsid w:val="00CC5E91"/>
    <w:rsid w:val="00CD0D89"/>
    <w:rsid w:val="00CD0EFD"/>
    <w:rsid w:val="00CD253B"/>
    <w:rsid w:val="00CD5C7A"/>
    <w:rsid w:val="00CE4618"/>
    <w:rsid w:val="00CE5500"/>
    <w:rsid w:val="00CE626D"/>
    <w:rsid w:val="00CE6F5C"/>
    <w:rsid w:val="00CF1752"/>
    <w:rsid w:val="00CF1E2F"/>
    <w:rsid w:val="00CF3C6A"/>
    <w:rsid w:val="00CF3FAD"/>
    <w:rsid w:val="00CF458C"/>
    <w:rsid w:val="00CF5413"/>
    <w:rsid w:val="00D015C6"/>
    <w:rsid w:val="00D01727"/>
    <w:rsid w:val="00D0549C"/>
    <w:rsid w:val="00D0573F"/>
    <w:rsid w:val="00D10C07"/>
    <w:rsid w:val="00D148FB"/>
    <w:rsid w:val="00D14CDC"/>
    <w:rsid w:val="00D16B23"/>
    <w:rsid w:val="00D16DC2"/>
    <w:rsid w:val="00D17F2A"/>
    <w:rsid w:val="00D2280E"/>
    <w:rsid w:val="00D22FA2"/>
    <w:rsid w:val="00D241FC"/>
    <w:rsid w:val="00D26169"/>
    <w:rsid w:val="00D3049C"/>
    <w:rsid w:val="00D3348F"/>
    <w:rsid w:val="00D36C54"/>
    <w:rsid w:val="00D42405"/>
    <w:rsid w:val="00D52772"/>
    <w:rsid w:val="00D52BE6"/>
    <w:rsid w:val="00D57BCF"/>
    <w:rsid w:val="00D602BF"/>
    <w:rsid w:val="00D61EDA"/>
    <w:rsid w:val="00D6541C"/>
    <w:rsid w:val="00D677FA"/>
    <w:rsid w:val="00D7448C"/>
    <w:rsid w:val="00D77047"/>
    <w:rsid w:val="00D77CA3"/>
    <w:rsid w:val="00D80D50"/>
    <w:rsid w:val="00D8155B"/>
    <w:rsid w:val="00D922C9"/>
    <w:rsid w:val="00D97A80"/>
    <w:rsid w:val="00DA0C22"/>
    <w:rsid w:val="00DA2418"/>
    <w:rsid w:val="00DA6C9A"/>
    <w:rsid w:val="00DA74BE"/>
    <w:rsid w:val="00DA7CBE"/>
    <w:rsid w:val="00DB19F7"/>
    <w:rsid w:val="00DB645D"/>
    <w:rsid w:val="00DB66BB"/>
    <w:rsid w:val="00DB7C48"/>
    <w:rsid w:val="00DC1EEB"/>
    <w:rsid w:val="00DC2326"/>
    <w:rsid w:val="00DC5128"/>
    <w:rsid w:val="00DC597C"/>
    <w:rsid w:val="00DC5D87"/>
    <w:rsid w:val="00DC6B11"/>
    <w:rsid w:val="00DC7CC0"/>
    <w:rsid w:val="00DD15CA"/>
    <w:rsid w:val="00DD366A"/>
    <w:rsid w:val="00DE2A8E"/>
    <w:rsid w:val="00DE3DDA"/>
    <w:rsid w:val="00DF22EF"/>
    <w:rsid w:val="00E00CE7"/>
    <w:rsid w:val="00E0135E"/>
    <w:rsid w:val="00E01A55"/>
    <w:rsid w:val="00E03C78"/>
    <w:rsid w:val="00E11D0F"/>
    <w:rsid w:val="00E12CDA"/>
    <w:rsid w:val="00E21C6B"/>
    <w:rsid w:val="00E23A4B"/>
    <w:rsid w:val="00E27B2B"/>
    <w:rsid w:val="00E303BC"/>
    <w:rsid w:val="00E307A5"/>
    <w:rsid w:val="00E3150D"/>
    <w:rsid w:val="00E335F0"/>
    <w:rsid w:val="00E36964"/>
    <w:rsid w:val="00E408C5"/>
    <w:rsid w:val="00E42DD7"/>
    <w:rsid w:val="00E43D2E"/>
    <w:rsid w:val="00E43E1C"/>
    <w:rsid w:val="00E46CCA"/>
    <w:rsid w:val="00E46E48"/>
    <w:rsid w:val="00E52D52"/>
    <w:rsid w:val="00E53325"/>
    <w:rsid w:val="00E53726"/>
    <w:rsid w:val="00E577EC"/>
    <w:rsid w:val="00E57871"/>
    <w:rsid w:val="00E57D83"/>
    <w:rsid w:val="00E61E7B"/>
    <w:rsid w:val="00E66987"/>
    <w:rsid w:val="00E671CD"/>
    <w:rsid w:val="00E734E1"/>
    <w:rsid w:val="00E73A97"/>
    <w:rsid w:val="00E76180"/>
    <w:rsid w:val="00E85422"/>
    <w:rsid w:val="00E92B4A"/>
    <w:rsid w:val="00E9473A"/>
    <w:rsid w:val="00EA72CE"/>
    <w:rsid w:val="00EA787C"/>
    <w:rsid w:val="00EB05F6"/>
    <w:rsid w:val="00EB0AF5"/>
    <w:rsid w:val="00EB1B1D"/>
    <w:rsid w:val="00EB6A1D"/>
    <w:rsid w:val="00EC05F5"/>
    <w:rsid w:val="00EC06B8"/>
    <w:rsid w:val="00EC0814"/>
    <w:rsid w:val="00EC1BBA"/>
    <w:rsid w:val="00EC2A59"/>
    <w:rsid w:val="00EC38DF"/>
    <w:rsid w:val="00EC38F2"/>
    <w:rsid w:val="00EC5CCD"/>
    <w:rsid w:val="00ED081F"/>
    <w:rsid w:val="00ED1421"/>
    <w:rsid w:val="00ED55AE"/>
    <w:rsid w:val="00EE11C0"/>
    <w:rsid w:val="00EE30AC"/>
    <w:rsid w:val="00EE39DA"/>
    <w:rsid w:val="00EF0CF7"/>
    <w:rsid w:val="00EF164C"/>
    <w:rsid w:val="00EF5B1B"/>
    <w:rsid w:val="00EF5BBF"/>
    <w:rsid w:val="00EF661B"/>
    <w:rsid w:val="00F01AF8"/>
    <w:rsid w:val="00F020E0"/>
    <w:rsid w:val="00F0392E"/>
    <w:rsid w:val="00F0442E"/>
    <w:rsid w:val="00F072CC"/>
    <w:rsid w:val="00F13CF7"/>
    <w:rsid w:val="00F21616"/>
    <w:rsid w:val="00F24077"/>
    <w:rsid w:val="00F25628"/>
    <w:rsid w:val="00F2639C"/>
    <w:rsid w:val="00F3537A"/>
    <w:rsid w:val="00F37280"/>
    <w:rsid w:val="00F40A6C"/>
    <w:rsid w:val="00F43033"/>
    <w:rsid w:val="00F52E03"/>
    <w:rsid w:val="00F634AA"/>
    <w:rsid w:val="00F63776"/>
    <w:rsid w:val="00F72C51"/>
    <w:rsid w:val="00F74049"/>
    <w:rsid w:val="00F74F26"/>
    <w:rsid w:val="00F74F44"/>
    <w:rsid w:val="00F751E2"/>
    <w:rsid w:val="00F77F62"/>
    <w:rsid w:val="00F831FB"/>
    <w:rsid w:val="00F86C67"/>
    <w:rsid w:val="00F86FF3"/>
    <w:rsid w:val="00F901CB"/>
    <w:rsid w:val="00F957F5"/>
    <w:rsid w:val="00FA1165"/>
    <w:rsid w:val="00FA2FD8"/>
    <w:rsid w:val="00FA32E7"/>
    <w:rsid w:val="00FA6632"/>
    <w:rsid w:val="00FB5CCF"/>
    <w:rsid w:val="00FB6155"/>
    <w:rsid w:val="00FB7EFC"/>
    <w:rsid w:val="00FD0449"/>
    <w:rsid w:val="00FD62BA"/>
    <w:rsid w:val="00FD6C92"/>
    <w:rsid w:val="00FE482F"/>
    <w:rsid w:val="00FE52D0"/>
    <w:rsid w:val="00FF7A3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073B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D73"/>
  </w:style>
  <w:style w:type="paragraph" w:styleId="Heading1">
    <w:name w:val="heading 1"/>
    <w:basedOn w:val="NoSpacing"/>
    <w:next w:val="Normal"/>
    <w:link w:val="Heading1Char"/>
    <w:uiPriority w:val="9"/>
    <w:qFormat/>
    <w:rsid w:val="003A4985"/>
    <w:pPr>
      <w:outlineLvl w:val="0"/>
    </w:pPr>
    <w:rPr>
      <w:b/>
      <w:sz w:val="24"/>
    </w:rPr>
  </w:style>
  <w:style w:type="paragraph" w:styleId="Heading2">
    <w:name w:val="heading 2"/>
    <w:basedOn w:val="NoSpacing"/>
    <w:next w:val="Normal"/>
    <w:link w:val="Heading2Char"/>
    <w:uiPriority w:val="9"/>
    <w:unhideWhenUsed/>
    <w:qFormat/>
    <w:rsid w:val="003A4985"/>
    <w:pPr>
      <w:outlineLvl w:val="1"/>
    </w:pPr>
    <w:rPr>
      <w:b/>
    </w:rPr>
  </w:style>
  <w:style w:type="paragraph" w:styleId="Heading3">
    <w:name w:val="heading 3"/>
    <w:basedOn w:val="NoSpacing"/>
    <w:next w:val="Normal"/>
    <w:link w:val="Heading3Char"/>
    <w:uiPriority w:val="9"/>
    <w:unhideWhenUsed/>
    <w:qFormat/>
    <w:rsid w:val="003A4985"/>
    <w:pPr>
      <w:outlineLvl w:val="2"/>
    </w:pPr>
    <w:rPr>
      <w:u w:val="single"/>
    </w:rPr>
  </w:style>
  <w:style w:type="paragraph" w:styleId="Heading4">
    <w:name w:val="heading 4"/>
    <w:basedOn w:val="Normal"/>
    <w:next w:val="Normal"/>
    <w:link w:val="Heading4Char"/>
    <w:uiPriority w:val="9"/>
    <w:semiHidden/>
    <w:unhideWhenUsed/>
    <w:qFormat/>
    <w:rsid w:val="0004488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4985"/>
    <w:pPr>
      <w:spacing w:after="0" w:line="240" w:lineRule="auto"/>
    </w:pPr>
  </w:style>
  <w:style w:type="character" w:customStyle="1" w:styleId="apple-converted-space">
    <w:name w:val="apple-converted-space"/>
    <w:basedOn w:val="DefaultParagraphFont"/>
    <w:rsid w:val="003A4985"/>
  </w:style>
  <w:style w:type="character" w:customStyle="1" w:styleId="Heading1Char">
    <w:name w:val="Heading 1 Char"/>
    <w:basedOn w:val="DefaultParagraphFont"/>
    <w:link w:val="Heading1"/>
    <w:uiPriority w:val="9"/>
    <w:rsid w:val="003A4985"/>
    <w:rPr>
      <w:b/>
      <w:sz w:val="24"/>
    </w:rPr>
  </w:style>
  <w:style w:type="paragraph" w:styleId="NormalWeb">
    <w:name w:val="Normal (Web)"/>
    <w:basedOn w:val="Normal"/>
    <w:uiPriority w:val="99"/>
    <w:unhideWhenUsed/>
    <w:rsid w:val="003A498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rsid w:val="003A4985"/>
    <w:rPr>
      <w:b/>
    </w:rPr>
  </w:style>
  <w:style w:type="character" w:customStyle="1" w:styleId="Heading3Char">
    <w:name w:val="Heading 3 Char"/>
    <w:basedOn w:val="DefaultParagraphFont"/>
    <w:link w:val="Heading3"/>
    <w:uiPriority w:val="9"/>
    <w:rsid w:val="003A4985"/>
    <w:rPr>
      <w:u w:val="single"/>
    </w:rPr>
  </w:style>
  <w:style w:type="character" w:customStyle="1" w:styleId="Heading4Char">
    <w:name w:val="Heading 4 Char"/>
    <w:basedOn w:val="DefaultParagraphFont"/>
    <w:link w:val="Heading4"/>
    <w:uiPriority w:val="9"/>
    <w:semiHidden/>
    <w:rsid w:val="00044887"/>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0448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4887"/>
  </w:style>
  <w:style w:type="paragraph" w:styleId="Footer">
    <w:name w:val="footer"/>
    <w:basedOn w:val="Normal"/>
    <w:link w:val="FooterChar"/>
    <w:uiPriority w:val="99"/>
    <w:unhideWhenUsed/>
    <w:rsid w:val="000448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4887"/>
  </w:style>
  <w:style w:type="table" w:styleId="TableGrid">
    <w:name w:val="Table Grid"/>
    <w:basedOn w:val="TableNormal"/>
    <w:uiPriority w:val="59"/>
    <w:rsid w:val="00780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qFormat/>
    <w:rsid w:val="00A56289"/>
    <w:pPr>
      <w:keepNext/>
      <w:keepLines/>
      <w:spacing w:before="120" w:after="120" w:line="288" w:lineRule="auto"/>
      <w:jc w:val="center"/>
    </w:pPr>
    <w:rPr>
      <w:rFonts w:ascii="Times New Roman" w:eastAsia="Times New Roman" w:hAnsi="Times New Roman" w:cs="Times New Roman"/>
      <w:b/>
      <w:bCs/>
      <w:sz w:val="24"/>
      <w:szCs w:val="20"/>
      <w:lang w:val="en-US"/>
    </w:rPr>
  </w:style>
  <w:style w:type="paragraph" w:styleId="BodyText">
    <w:name w:val="Body Text"/>
    <w:basedOn w:val="Normal"/>
    <w:link w:val="BodyTextChar"/>
    <w:uiPriority w:val="99"/>
    <w:unhideWhenUsed/>
    <w:rsid w:val="00A56289"/>
    <w:pPr>
      <w:spacing w:after="120"/>
    </w:pPr>
  </w:style>
  <w:style w:type="character" w:customStyle="1" w:styleId="BodyTextChar">
    <w:name w:val="Body Text Char"/>
    <w:basedOn w:val="DefaultParagraphFont"/>
    <w:link w:val="BodyText"/>
    <w:uiPriority w:val="99"/>
    <w:rsid w:val="00A56289"/>
  </w:style>
  <w:style w:type="paragraph" w:styleId="BalloonText">
    <w:name w:val="Balloon Text"/>
    <w:basedOn w:val="Normal"/>
    <w:link w:val="BalloonTextChar"/>
    <w:uiPriority w:val="99"/>
    <w:semiHidden/>
    <w:unhideWhenUsed/>
    <w:rsid w:val="00A562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289"/>
    <w:rPr>
      <w:rFonts w:ascii="Tahoma" w:hAnsi="Tahoma" w:cs="Tahoma"/>
      <w:sz w:val="16"/>
      <w:szCs w:val="16"/>
    </w:rPr>
  </w:style>
  <w:style w:type="character" w:customStyle="1" w:styleId="CaptionChar">
    <w:name w:val="Caption Char"/>
    <w:link w:val="Caption"/>
    <w:rsid w:val="003252CA"/>
    <w:rPr>
      <w:rFonts w:ascii="Times New Roman" w:eastAsia="Times New Roman" w:hAnsi="Times New Roman" w:cs="Times New Roman"/>
      <w:b/>
      <w:bCs/>
      <w:sz w:val="24"/>
      <w:szCs w:val="20"/>
      <w:lang w:val="en-US"/>
    </w:rPr>
  </w:style>
  <w:style w:type="paragraph" w:customStyle="1" w:styleId="TableCellLeft">
    <w:name w:val="Table Cell Left"/>
    <w:basedOn w:val="BodyText"/>
    <w:link w:val="TableCellLeftChar"/>
    <w:rsid w:val="003252CA"/>
    <w:pPr>
      <w:spacing w:before="40" w:after="40" w:line="240" w:lineRule="auto"/>
    </w:pPr>
    <w:rPr>
      <w:rFonts w:ascii="Times New Roman" w:eastAsia="Times New Roman" w:hAnsi="Times New Roman" w:cs="Times New Roman"/>
      <w:sz w:val="24"/>
      <w:szCs w:val="24"/>
      <w:lang w:val="en-GB"/>
    </w:rPr>
  </w:style>
  <w:style w:type="paragraph" w:customStyle="1" w:styleId="TableCellCenter">
    <w:name w:val="Table Cell Center"/>
    <w:basedOn w:val="BodyText"/>
    <w:rsid w:val="003252CA"/>
    <w:pPr>
      <w:spacing w:before="40" w:after="40" w:line="240" w:lineRule="auto"/>
      <w:jc w:val="center"/>
    </w:pPr>
    <w:rPr>
      <w:rFonts w:ascii="Times New Roman" w:eastAsia="Times New Roman" w:hAnsi="Times New Roman" w:cs="Times New Roman"/>
      <w:sz w:val="24"/>
      <w:szCs w:val="24"/>
      <w:lang w:val="en-US"/>
    </w:rPr>
  </w:style>
  <w:style w:type="character" w:customStyle="1" w:styleId="TableCellLeftChar">
    <w:name w:val="Table Cell Left Char"/>
    <w:link w:val="TableCellLeft"/>
    <w:locked/>
    <w:rsid w:val="003252CA"/>
    <w:rPr>
      <w:rFonts w:ascii="Times New Roman" w:eastAsia="Times New Roman" w:hAnsi="Times New Roman" w:cs="Times New Roman"/>
      <w:sz w:val="24"/>
      <w:szCs w:val="24"/>
      <w:lang w:val="en-GB"/>
    </w:rPr>
  </w:style>
  <w:style w:type="character" w:styleId="PageNumber">
    <w:name w:val="page number"/>
    <w:basedOn w:val="DefaultParagraphFont"/>
    <w:rsid w:val="002D6F2D"/>
  </w:style>
  <w:style w:type="paragraph" w:customStyle="1" w:styleId="TableFooter">
    <w:name w:val="Table Footer"/>
    <w:basedOn w:val="BodyText"/>
    <w:rsid w:val="002D6F2D"/>
    <w:pPr>
      <w:tabs>
        <w:tab w:val="right" w:pos="144"/>
      </w:tabs>
      <w:spacing w:before="40" w:after="0" w:line="240" w:lineRule="auto"/>
      <w:ind w:left="288" w:hanging="288"/>
    </w:pPr>
    <w:rPr>
      <w:rFonts w:ascii="Times New Roman" w:eastAsia="Times New Roman" w:hAnsi="Times New Roman" w:cs="Times New Roman"/>
      <w:sz w:val="20"/>
      <w:szCs w:val="24"/>
      <w:lang w:val="en-US"/>
    </w:rPr>
  </w:style>
  <w:style w:type="character" w:styleId="CommentReference">
    <w:name w:val="annotation reference"/>
    <w:basedOn w:val="DefaultParagraphFont"/>
    <w:uiPriority w:val="99"/>
    <w:unhideWhenUsed/>
    <w:rsid w:val="001A76E0"/>
    <w:rPr>
      <w:sz w:val="16"/>
      <w:szCs w:val="16"/>
    </w:rPr>
  </w:style>
  <w:style w:type="paragraph" w:styleId="CommentText">
    <w:name w:val="annotation text"/>
    <w:basedOn w:val="Normal"/>
    <w:link w:val="CommentTextChar"/>
    <w:uiPriority w:val="99"/>
    <w:unhideWhenUsed/>
    <w:rsid w:val="001A76E0"/>
    <w:pPr>
      <w:spacing w:line="240" w:lineRule="auto"/>
    </w:pPr>
    <w:rPr>
      <w:sz w:val="20"/>
      <w:szCs w:val="20"/>
    </w:rPr>
  </w:style>
  <w:style w:type="character" w:customStyle="1" w:styleId="CommentTextChar">
    <w:name w:val="Comment Text Char"/>
    <w:basedOn w:val="DefaultParagraphFont"/>
    <w:link w:val="CommentText"/>
    <w:uiPriority w:val="99"/>
    <w:rsid w:val="001A76E0"/>
    <w:rPr>
      <w:sz w:val="20"/>
      <w:szCs w:val="20"/>
    </w:rPr>
  </w:style>
  <w:style w:type="paragraph" w:styleId="CommentSubject">
    <w:name w:val="annotation subject"/>
    <w:basedOn w:val="CommentText"/>
    <w:next w:val="CommentText"/>
    <w:link w:val="CommentSubjectChar"/>
    <w:uiPriority w:val="99"/>
    <w:semiHidden/>
    <w:unhideWhenUsed/>
    <w:rsid w:val="001A76E0"/>
    <w:rPr>
      <w:b/>
      <w:bCs/>
    </w:rPr>
  </w:style>
  <w:style w:type="character" w:customStyle="1" w:styleId="CommentSubjectChar">
    <w:name w:val="Comment Subject Char"/>
    <w:basedOn w:val="CommentTextChar"/>
    <w:link w:val="CommentSubject"/>
    <w:uiPriority w:val="99"/>
    <w:semiHidden/>
    <w:rsid w:val="001A76E0"/>
    <w:rPr>
      <w:b/>
      <w:bCs/>
      <w:sz w:val="20"/>
      <w:szCs w:val="20"/>
    </w:rPr>
  </w:style>
  <w:style w:type="character" w:styleId="Hyperlink">
    <w:name w:val="Hyperlink"/>
    <w:basedOn w:val="DefaultParagraphFont"/>
    <w:uiPriority w:val="99"/>
    <w:unhideWhenUsed/>
    <w:rsid w:val="00A3143D"/>
    <w:rPr>
      <w:color w:val="0000FF"/>
      <w:u w:val="single"/>
    </w:rPr>
  </w:style>
  <w:style w:type="paragraph" w:customStyle="1" w:styleId="bodytextbold">
    <w:name w:val="body text bold"/>
    <w:basedOn w:val="BodyText"/>
    <w:rsid w:val="00445760"/>
    <w:pPr>
      <w:spacing w:line="300" w:lineRule="exact"/>
      <w:ind w:left="288" w:hanging="288"/>
    </w:pPr>
    <w:rPr>
      <w:rFonts w:ascii="Times New Roman Bold" w:eastAsia="Times New Roman" w:hAnsi="Times New Roman Bold" w:cs="Times New Roman"/>
      <w:b/>
      <w:bCs/>
      <w:snapToGrid w:val="0"/>
      <w:sz w:val="24"/>
      <w:szCs w:val="24"/>
      <w:lang w:val="en-US"/>
    </w:rPr>
  </w:style>
  <w:style w:type="paragraph" w:styleId="ListNumber">
    <w:name w:val="List Number"/>
    <w:basedOn w:val="BodyText"/>
    <w:uiPriority w:val="99"/>
    <w:rsid w:val="00445760"/>
    <w:pPr>
      <w:keepLines/>
      <w:tabs>
        <w:tab w:val="num" w:pos="720"/>
      </w:tabs>
      <w:spacing w:line="240" w:lineRule="auto"/>
      <w:ind w:left="720" w:hanging="360"/>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6D300F"/>
    <w:rPr>
      <w:color w:val="800080" w:themeColor="followedHyperlink"/>
      <w:u w:val="single"/>
    </w:rPr>
  </w:style>
  <w:style w:type="paragraph" w:customStyle="1" w:styleId="Default">
    <w:name w:val="Default"/>
    <w:rsid w:val="005852B3"/>
    <w:pPr>
      <w:autoSpaceDE w:val="0"/>
      <w:autoSpaceDN w:val="0"/>
      <w:adjustRightInd w:val="0"/>
      <w:spacing w:after="0" w:line="240" w:lineRule="auto"/>
    </w:pPr>
    <w:rPr>
      <w:rFonts w:ascii="Arial" w:hAnsi="Arial" w:cs="Arial"/>
      <w:color w:val="000000"/>
      <w:sz w:val="24"/>
      <w:szCs w:val="24"/>
      <w:lang w:val="en-US"/>
    </w:rPr>
  </w:style>
  <w:style w:type="paragraph" w:styleId="ListParagraph">
    <w:name w:val="List Paragraph"/>
    <w:basedOn w:val="Normal"/>
    <w:uiPriority w:val="34"/>
    <w:qFormat/>
    <w:rsid w:val="000B083E"/>
    <w:pPr>
      <w:ind w:left="720"/>
      <w:contextualSpacing/>
    </w:pPr>
  </w:style>
  <w:style w:type="paragraph" w:styleId="Revision">
    <w:name w:val="Revision"/>
    <w:hidden/>
    <w:uiPriority w:val="99"/>
    <w:semiHidden/>
    <w:rsid w:val="00B8656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D73"/>
  </w:style>
  <w:style w:type="paragraph" w:styleId="Heading1">
    <w:name w:val="heading 1"/>
    <w:basedOn w:val="NoSpacing"/>
    <w:next w:val="Normal"/>
    <w:link w:val="Heading1Char"/>
    <w:uiPriority w:val="9"/>
    <w:qFormat/>
    <w:rsid w:val="003A4985"/>
    <w:pPr>
      <w:outlineLvl w:val="0"/>
    </w:pPr>
    <w:rPr>
      <w:b/>
      <w:sz w:val="24"/>
    </w:rPr>
  </w:style>
  <w:style w:type="paragraph" w:styleId="Heading2">
    <w:name w:val="heading 2"/>
    <w:basedOn w:val="NoSpacing"/>
    <w:next w:val="Normal"/>
    <w:link w:val="Heading2Char"/>
    <w:uiPriority w:val="9"/>
    <w:unhideWhenUsed/>
    <w:qFormat/>
    <w:rsid w:val="003A4985"/>
    <w:pPr>
      <w:outlineLvl w:val="1"/>
    </w:pPr>
    <w:rPr>
      <w:b/>
    </w:rPr>
  </w:style>
  <w:style w:type="paragraph" w:styleId="Heading3">
    <w:name w:val="heading 3"/>
    <w:basedOn w:val="NoSpacing"/>
    <w:next w:val="Normal"/>
    <w:link w:val="Heading3Char"/>
    <w:uiPriority w:val="9"/>
    <w:unhideWhenUsed/>
    <w:qFormat/>
    <w:rsid w:val="003A4985"/>
    <w:pPr>
      <w:outlineLvl w:val="2"/>
    </w:pPr>
    <w:rPr>
      <w:u w:val="single"/>
    </w:rPr>
  </w:style>
  <w:style w:type="paragraph" w:styleId="Heading4">
    <w:name w:val="heading 4"/>
    <w:basedOn w:val="Normal"/>
    <w:next w:val="Normal"/>
    <w:link w:val="Heading4Char"/>
    <w:uiPriority w:val="9"/>
    <w:semiHidden/>
    <w:unhideWhenUsed/>
    <w:qFormat/>
    <w:rsid w:val="0004488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4985"/>
    <w:pPr>
      <w:spacing w:after="0" w:line="240" w:lineRule="auto"/>
    </w:pPr>
  </w:style>
  <w:style w:type="character" w:customStyle="1" w:styleId="apple-converted-space">
    <w:name w:val="apple-converted-space"/>
    <w:basedOn w:val="DefaultParagraphFont"/>
    <w:rsid w:val="003A4985"/>
  </w:style>
  <w:style w:type="character" w:customStyle="1" w:styleId="Heading1Char">
    <w:name w:val="Heading 1 Char"/>
    <w:basedOn w:val="DefaultParagraphFont"/>
    <w:link w:val="Heading1"/>
    <w:uiPriority w:val="9"/>
    <w:rsid w:val="003A4985"/>
    <w:rPr>
      <w:b/>
      <w:sz w:val="24"/>
    </w:rPr>
  </w:style>
  <w:style w:type="paragraph" w:styleId="NormalWeb">
    <w:name w:val="Normal (Web)"/>
    <w:basedOn w:val="Normal"/>
    <w:uiPriority w:val="99"/>
    <w:unhideWhenUsed/>
    <w:rsid w:val="003A498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rsid w:val="003A4985"/>
    <w:rPr>
      <w:b/>
    </w:rPr>
  </w:style>
  <w:style w:type="character" w:customStyle="1" w:styleId="Heading3Char">
    <w:name w:val="Heading 3 Char"/>
    <w:basedOn w:val="DefaultParagraphFont"/>
    <w:link w:val="Heading3"/>
    <w:uiPriority w:val="9"/>
    <w:rsid w:val="003A4985"/>
    <w:rPr>
      <w:u w:val="single"/>
    </w:rPr>
  </w:style>
  <w:style w:type="character" w:customStyle="1" w:styleId="Heading4Char">
    <w:name w:val="Heading 4 Char"/>
    <w:basedOn w:val="DefaultParagraphFont"/>
    <w:link w:val="Heading4"/>
    <w:uiPriority w:val="9"/>
    <w:semiHidden/>
    <w:rsid w:val="00044887"/>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0448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4887"/>
  </w:style>
  <w:style w:type="paragraph" w:styleId="Footer">
    <w:name w:val="footer"/>
    <w:basedOn w:val="Normal"/>
    <w:link w:val="FooterChar"/>
    <w:uiPriority w:val="99"/>
    <w:unhideWhenUsed/>
    <w:rsid w:val="000448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4887"/>
  </w:style>
  <w:style w:type="table" w:styleId="TableGrid">
    <w:name w:val="Table Grid"/>
    <w:basedOn w:val="TableNormal"/>
    <w:uiPriority w:val="59"/>
    <w:rsid w:val="00780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qFormat/>
    <w:rsid w:val="00A56289"/>
    <w:pPr>
      <w:keepNext/>
      <w:keepLines/>
      <w:spacing w:before="120" w:after="120" w:line="288" w:lineRule="auto"/>
      <w:jc w:val="center"/>
    </w:pPr>
    <w:rPr>
      <w:rFonts w:ascii="Times New Roman" w:eastAsia="Times New Roman" w:hAnsi="Times New Roman" w:cs="Times New Roman"/>
      <w:b/>
      <w:bCs/>
      <w:sz w:val="24"/>
      <w:szCs w:val="20"/>
      <w:lang w:val="en-US"/>
    </w:rPr>
  </w:style>
  <w:style w:type="paragraph" w:styleId="BodyText">
    <w:name w:val="Body Text"/>
    <w:basedOn w:val="Normal"/>
    <w:link w:val="BodyTextChar"/>
    <w:uiPriority w:val="99"/>
    <w:unhideWhenUsed/>
    <w:rsid w:val="00A56289"/>
    <w:pPr>
      <w:spacing w:after="120"/>
    </w:pPr>
  </w:style>
  <w:style w:type="character" w:customStyle="1" w:styleId="BodyTextChar">
    <w:name w:val="Body Text Char"/>
    <w:basedOn w:val="DefaultParagraphFont"/>
    <w:link w:val="BodyText"/>
    <w:uiPriority w:val="99"/>
    <w:rsid w:val="00A56289"/>
  </w:style>
  <w:style w:type="paragraph" w:styleId="BalloonText">
    <w:name w:val="Balloon Text"/>
    <w:basedOn w:val="Normal"/>
    <w:link w:val="BalloonTextChar"/>
    <w:uiPriority w:val="99"/>
    <w:semiHidden/>
    <w:unhideWhenUsed/>
    <w:rsid w:val="00A562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289"/>
    <w:rPr>
      <w:rFonts w:ascii="Tahoma" w:hAnsi="Tahoma" w:cs="Tahoma"/>
      <w:sz w:val="16"/>
      <w:szCs w:val="16"/>
    </w:rPr>
  </w:style>
  <w:style w:type="character" w:customStyle="1" w:styleId="CaptionChar">
    <w:name w:val="Caption Char"/>
    <w:link w:val="Caption"/>
    <w:rsid w:val="003252CA"/>
    <w:rPr>
      <w:rFonts w:ascii="Times New Roman" w:eastAsia="Times New Roman" w:hAnsi="Times New Roman" w:cs="Times New Roman"/>
      <w:b/>
      <w:bCs/>
      <w:sz w:val="24"/>
      <w:szCs w:val="20"/>
      <w:lang w:val="en-US"/>
    </w:rPr>
  </w:style>
  <w:style w:type="paragraph" w:customStyle="1" w:styleId="TableCellLeft">
    <w:name w:val="Table Cell Left"/>
    <w:basedOn w:val="BodyText"/>
    <w:link w:val="TableCellLeftChar"/>
    <w:rsid w:val="003252CA"/>
    <w:pPr>
      <w:spacing w:before="40" w:after="40" w:line="240" w:lineRule="auto"/>
    </w:pPr>
    <w:rPr>
      <w:rFonts w:ascii="Times New Roman" w:eastAsia="Times New Roman" w:hAnsi="Times New Roman" w:cs="Times New Roman"/>
      <w:sz w:val="24"/>
      <w:szCs w:val="24"/>
      <w:lang w:val="en-GB"/>
    </w:rPr>
  </w:style>
  <w:style w:type="paragraph" w:customStyle="1" w:styleId="TableCellCenter">
    <w:name w:val="Table Cell Center"/>
    <w:basedOn w:val="BodyText"/>
    <w:rsid w:val="003252CA"/>
    <w:pPr>
      <w:spacing w:before="40" w:after="40" w:line="240" w:lineRule="auto"/>
      <w:jc w:val="center"/>
    </w:pPr>
    <w:rPr>
      <w:rFonts w:ascii="Times New Roman" w:eastAsia="Times New Roman" w:hAnsi="Times New Roman" w:cs="Times New Roman"/>
      <w:sz w:val="24"/>
      <w:szCs w:val="24"/>
      <w:lang w:val="en-US"/>
    </w:rPr>
  </w:style>
  <w:style w:type="character" w:customStyle="1" w:styleId="TableCellLeftChar">
    <w:name w:val="Table Cell Left Char"/>
    <w:link w:val="TableCellLeft"/>
    <w:locked/>
    <w:rsid w:val="003252CA"/>
    <w:rPr>
      <w:rFonts w:ascii="Times New Roman" w:eastAsia="Times New Roman" w:hAnsi="Times New Roman" w:cs="Times New Roman"/>
      <w:sz w:val="24"/>
      <w:szCs w:val="24"/>
      <w:lang w:val="en-GB"/>
    </w:rPr>
  </w:style>
  <w:style w:type="character" w:styleId="PageNumber">
    <w:name w:val="page number"/>
    <w:basedOn w:val="DefaultParagraphFont"/>
    <w:rsid w:val="002D6F2D"/>
  </w:style>
  <w:style w:type="paragraph" w:customStyle="1" w:styleId="TableFooter">
    <w:name w:val="Table Footer"/>
    <w:basedOn w:val="BodyText"/>
    <w:rsid w:val="002D6F2D"/>
    <w:pPr>
      <w:tabs>
        <w:tab w:val="right" w:pos="144"/>
      </w:tabs>
      <w:spacing w:before="40" w:after="0" w:line="240" w:lineRule="auto"/>
      <w:ind w:left="288" w:hanging="288"/>
    </w:pPr>
    <w:rPr>
      <w:rFonts w:ascii="Times New Roman" w:eastAsia="Times New Roman" w:hAnsi="Times New Roman" w:cs="Times New Roman"/>
      <w:sz w:val="20"/>
      <w:szCs w:val="24"/>
      <w:lang w:val="en-US"/>
    </w:rPr>
  </w:style>
  <w:style w:type="character" w:styleId="CommentReference">
    <w:name w:val="annotation reference"/>
    <w:basedOn w:val="DefaultParagraphFont"/>
    <w:uiPriority w:val="99"/>
    <w:unhideWhenUsed/>
    <w:rsid w:val="001A76E0"/>
    <w:rPr>
      <w:sz w:val="16"/>
      <w:szCs w:val="16"/>
    </w:rPr>
  </w:style>
  <w:style w:type="paragraph" w:styleId="CommentText">
    <w:name w:val="annotation text"/>
    <w:basedOn w:val="Normal"/>
    <w:link w:val="CommentTextChar"/>
    <w:uiPriority w:val="99"/>
    <w:unhideWhenUsed/>
    <w:rsid w:val="001A76E0"/>
    <w:pPr>
      <w:spacing w:line="240" w:lineRule="auto"/>
    </w:pPr>
    <w:rPr>
      <w:sz w:val="20"/>
      <w:szCs w:val="20"/>
    </w:rPr>
  </w:style>
  <w:style w:type="character" w:customStyle="1" w:styleId="CommentTextChar">
    <w:name w:val="Comment Text Char"/>
    <w:basedOn w:val="DefaultParagraphFont"/>
    <w:link w:val="CommentText"/>
    <w:uiPriority w:val="99"/>
    <w:rsid w:val="001A76E0"/>
    <w:rPr>
      <w:sz w:val="20"/>
      <w:szCs w:val="20"/>
    </w:rPr>
  </w:style>
  <w:style w:type="paragraph" w:styleId="CommentSubject">
    <w:name w:val="annotation subject"/>
    <w:basedOn w:val="CommentText"/>
    <w:next w:val="CommentText"/>
    <w:link w:val="CommentSubjectChar"/>
    <w:uiPriority w:val="99"/>
    <w:semiHidden/>
    <w:unhideWhenUsed/>
    <w:rsid w:val="001A76E0"/>
    <w:rPr>
      <w:b/>
      <w:bCs/>
    </w:rPr>
  </w:style>
  <w:style w:type="character" w:customStyle="1" w:styleId="CommentSubjectChar">
    <w:name w:val="Comment Subject Char"/>
    <w:basedOn w:val="CommentTextChar"/>
    <w:link w:val="CommentSubject"/>
    <w:uiPriority w:val="99"/>
    <w:semiHidden/>
    <w:rsid w:val="001A76E0"/>
    <w:rPr>
      <w:b/>
      <w:bCs/>
      <w:sz w:val="20"/>
      <w:szCs w:val="20"/>
    </w:rPr>
  </w:style>
  <w:style w:type="character" w:styleId="Hyperlink">
    <w:name w:val="Hyperlink"/>
    <w:basedOn w:val="DefaultParagraphFont"/>
    <w:uiPriority w:val="99"/>
    <w:unhideWhenUsed/>
    <w:rsid w:val="00A3143D"/>
    <w:rPr>
      <w:color w:val="0000FF"/>
      <w:u w:val="single"/>
    </w:rPr>
  </w:style>
  <w:style w:type="paragraph" w:customStyle="1" w:styleId="bodytextbold">
    <w:name w:val="body text bold"/>
    <w:basedOn w:val="BodyText"/>
    <w:rsid w:val="00445760"/>
    <w:pPr>
      <w:spacing w:line="300" w:lineRule="exact"/>
      <w:ind w:left="288" w:hanging="288"/>
    </w:pPr>
    <w:rPr>
      <w:rFonts w:ascii="Times New Roman Bold" w:eastAsia="Times New Roman" w:hAnsi="Times New Roman Bold" w:cs="Times New Roman"/>
      <w:b/>
      <w:bCs/>
      <w:snapToGrid w:val="0"/>
      <w:sz w:val="24"/>
      <w:szCs w:val="24"/>
      <w:lang w:val="en-US"/>
    </w:rPr>
  </w:style>
  <w:style w:type="paragraph" w:styleId="ListNumber">
    <w:name w:val="List Number"/>
    <w:basedOn w:val="BodyText"/>
    <w:uiPriority w:val="99"/>
    <w:rsid w:val="00445760"/>
    <w:pPr>
      <w:keepLines/>
      <w:tabs>
        <w:tab w:val="num" w:pos="720"/>
      </w:tabs>
      <w:spacing w:line="240" w:lineRule="auto"/>
      <w:ind w:left="720" w:hanging="360"/>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6D300F"/>
    <w:rPr>
      <w:color w:val="800080" w:themeColor="followedHyperlink"/>
      <w:u w:val="single"/>
    </w:rPr>
  </w:style>
  <w:style w:type="paragraph" w:customStyle="1" w:styleId="Default">
    <w:name w:val="Default"/>
    <w:rsid w:val="005852B3"/>
    <w:pPr>
      <w:autoSpaceDE w:val="0"/>
      <w:autoSpaceDN w:val="0"/>
      <w:adjustRightInd w:val="0"/>
      <w:spacing w:after="0" w:line="240" w:lineRule="auto"/>
    </w:pPr>
    <w:rPr>
      <w:rFonts w:ascii="Arial" w:hAnsi="Arial" w:cs="Arial"/>
      <w:color w:val="000000"/>
      <w:sz w:val="24"/>
      <w:szCs w:val="24"/>
      <w:lang w:val="en-US"/>
    </w:rPr>
  </w:style>
  <w:style w:type="paragraph" w:styleId="ListParagraph">
    <w:name w:val="List Paragraph"/>
    <w:basedOn w:val="Normal"/>
    <w:uiPriority w:val="34"/>
    <w:qFormat/>
    <w:rsid w:val="000B083E"/>
    <w:pPr>
      <w:ind w:left="720"/>
      <w:contextualSpacing/>
    </w:pPr>
  </w:style>
  <w:style w:type="paragraph" w:styleId="Revision">
    <w:name w:val="Revision"/>
    <w:hidden/>
    <w:uiPriority w:val="99"/>
    <w:semiHidden/>
    <w:rsid w:val="00B865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09852">
      <w:bodyDiv w:val="1"/>
      <w:marLeft w:val="0"/>
      <w:marRight w:val="0"/>
      <w:marTop w:val="0"/>
      <w:marBottom w:val="0"/>
      <w:divBdr>
        <w:top w:val="none" w:sz="0" w:space="0" w:color="auto"/>
        <w:left w:val="none" w:sz="0" w:space="0" w:color="auto"/>
        <w:bottom w:val="none" w:sz="0" w:space="0" w:color="auto"/>
        <w:right w:val="none" w:sz="0" w:space="0" w:color="auto"/>
      </w:divBdr>
    </w:div>
    <w:div w:id="69810779">
      <w:bodyDiv w:val="1"/>
      <w:marLeft w:val="0"/>
      <w:marRight w:val="0"/>
      <w:marTop w:val="0"/>
      <w:marBottom w:val="0"/>
      <w:divBdr>
        <w:top w:val="none" w:sz="0" w:space="0" w:color="auto"/>
        <w:left w:val="none" w:sz="0" w:space="0" w:color="auto"/>
        <w:bottom w:val="none" w:sz="0" w:space="0" w:color="auto"/>
        <w:right w:val="none" w:sz="0" w:space="0" w:color="auto"/>
      </w:divBdr>
    </w:div>
    <w:div w:id="81532119">
      <w:bodyDiv w:val="1"/>
      <w:marLeft w:val="0"/>
      <w:marRight w:val="0"/>
      <w:marTop w:val="0"/>
      <w:marBottom w:val="0"/>
      <w:divBdr>
        <w:top w:val="none" w:sz="0" w:space="0" w:color="auto"/>
        <w:left w:val="none" w:sz="0" w:space="0" w:color="auto"/>
        <w:bottom w:val="none" w:sz="0" w:space="0" w:color="auto"/>
        <w:right w:val="none" w:sz="0" w:space="0" w:color="auto"/>
      </w:divBdr>
    </w:div>
    <w:div w:id="144665069">
      <w:bodyDiv w:val="1"/>
      <w:marLeft w:val="0"/>
      <w:marRight w:val="0"/>
      <w:marTop w:val="0"/>
      <w:marBottom w:val="0"/>
      <w:divBdr>
        <w:top w:val="none" w:sz="0" w:space="0" w:color="auto"/>
        <w:left w:val="none" w:sz="0" w:space="0" w:color="auto"/>
        <w:bottom w:val="none" w:sz="0" w:space="0" w:color="auto"/>
        <w:right w:val="none" w:sz="0" w:space="0" w:color="auto"/>
      </w:divBdr>
    </w:div>
    <w:div w:id="183137780">
      <w:bodyDiv w:val="1"/>
      <w:marLeft w:val="0"/>
      <w:marRight w:val="0"/>
      <w:marTop w:val="0"/>
      <w:marBottom w:val="0"/>
      <w:divBdr>
        <w:top w:val="none" w:sz="0" w:space="0" w:color="auto"/>
        <w:left w:val="none" w:sz="0" w:space="0" w:color="auto"/>
        <w:bottom w:val="none" w:sz="0" w:space="0" w:color="auto"/>
        <w:right w:val="none" w:sz="0" w:space="0" w:color="auto"/>
      </w:divBdr>
      <w:divsChild>
        <w:div w:id="1581480979">
          <w:marLeft w:val="0"/>
          <w:marRight w:val="0"/>
          <w:marTop w:val="0"/>
          <w:marBottom w:val="0"/>
          <w:divBdr>
            <w:top w:val="none" w:sz="0" w:space="0" w:color="auto"/>
            <w:left w:val="none" w:sz="0" w:space="0" w:color="auto"/>
            <w:bottom w:val="none" w:sz="0" w:space="0" w:color="auto"/>
            <w:right w:val="none" w:sz="0" w:space="0" w:color="auto"/>
          </w:divBdr>
        </w:div>
      </w:divsChild>
    </w:div>
    <w:div w:id="311638792">
      <w:bodyDiv w:val="1"/>
      <w:marLeft w:val="0"/>
      <w:marRight w:val="0"/>
      <w:marTop w:val="0"/>
      <w:marBottom w:val="0"/>
      <w:divBdr>
        <w:top w:val="none" w:sz="0" w:space="0" w:color="auto"/>
        <w:left w:val="none" w:sz="0" w:space="0" w:color="auto"/>
        <w:bottom w:val="none" w:sz="0" w:space="0" w:color="auto"/>
        <w:right w:val="none" w:sz="0" w:space="0" w:color="auto"/>
      </w:divBdr>
    </w:div>
    <w:div w:id="319771601">
      <w:bodyDiv w:val="1"/>
      <w:marLeft w:val="0"/>
      <w:marRight w:val="0"/>
      <w:marTop w:val="0"/>
      <w:marBottom w:val="0"/>
      <w:divBdr>
        <w:top w:val="none" w:sz="0" w:space="0" w:color="auto"/>
        <w:left w:val="none" w:sz="0" w:space="0" w:color="auto"/>
        <w:bottom w:val="none" w:sz="0" w:space="0" w:color="auto"/>
        <w:right w:val="none" w:sz="0" w:space="0" w:color="auto"/>
      </w:divBdr>
      <w:divsChild>
        <w:div w:id="61368851">
          <w:marLeft w:val="0"/>
          <w:marRight w:val="0"/>
          <w:marTop w:val="0"/>
          <w:marBottom w:val="0"/>
          <w:divBdr>
            <w:top w:val="none" w:sz="0" w:space="0" w:color="auto"/>
            <w:left w:val="none" w:sz="0" w:space="0" w:color="auto"/>
            <w:bottom w:val="none" w:sz="0" w:space="0" w:color="auto"/>
            <w:right w:val="none" w:sz="0" w:space="0" w:color="auto"/>
          </w:divBdr>
        </w:div>
      </w:divsChild>
    </w:div>
    <w:div w:id="384255085">
      <w:bodyDiv w:val="1"/>
      <w:marLeft w:val="0"/>
      <w:marRight w:val="0"/>
      <w:marTop w:val="0"/>
      <w:marBottom w:val="0"/>
      <w:divBdr>
        <w:top w:val="none" w:sz="0" w:space="0" w:color="auto"/>
        <w:left w:val="none" w:sz="0" w:space="0" w:color="auto"/>
        <w:bottom w:val="none" w:sz="0" w:space="0" w:color="auto"/>
        <w:right w:val="none" w:sz="0" w:space="0" w:color="auto"/>
      </w:divBdr>
    </w:div>
    <w:div w:id="412898490">
      <w:bodyDiv w:val="1"/>
      <w:marLeft w:val="0"/>
      <w:marRight w:val="0"/>
      <w:marTop w:val="0"/>
      <w:marBottom w:val="0"/>
      <w:divBdr>
        <w:top w:val="none" w:sz="0" w:space="0" w:color="auto"/>
        <w:left w:val="none" w:sz="0" w:space="0" w:color="auto"/>
        <w:bottom w:val="none" w:sz="0" w:space="0" w:color="auto"/>
        <w:right w:val="none" w:sz="0" w:space="0" w:color="auto"/>
      </w:divBdr>
    </w:div>
    <w:div w:id="435179516">
      <w:bodyDiv w:val="1"/>
      <w:marLeft w:val="0"/>
      <w:marRight w:val="0"/>
      <w:marTop w:val="0"/>
      <w:marBottom w:val="0"/>
      <w:divBdr>
        <w:top w:val="none" w:sz="0" w:space="0" w:color="auto"/>
        <w:left w:val="none" w:sz="0" w:space="0" w:color="auto"/>
        <w:bottom w:val="none" w:sz="0" w:space="0" w:color="auto"/>
        <w:right w:val="none" w:sz="0" w:space="0" w:color="auto"/>
      </w:divBdr>
    </w:div>
    <w:div w:id="528682379">
      <w:bodyDiv w:val="1"/>
      <w:marLeft w:val="0"/>
      <w:marRight w:val="0"/>
      <w:marTop w:val="0"/>
      <w:marBottom w:val="0"/>
      <w:divBdr>
        <w:top w:val="none" w:sz="0" w:space="0" w:color="auto"/>
        <w:left w:val="none" w:sz="0" w:space="0" w:color="auto"/>
        <w:bottom w:val="none" w:sz="0" w:space="0" w:color="auto"/>
        <w:right w:val="none" w:sz="0" w:space="0" w:color="auto"/>
      </w:divBdr>
    </w:div>
    <w:div w:id="559093894">
      <w:bodyDiv w:val="1"/>
      <w:marLeft w:val="0"/>
      <w:marRight w:val="0"/>
      <w:marTop w:val="0"/>
      <w:marBottom w:val="0"/>
      <w:divBdr>
        <w:top w:val="none" w:sz="0" w:space="0" w:color="auto"/>
        <w:left w:val="none" w:sz="0" w:space="0" w:color="auto"/>
        <w:bottom w:val="none" w:sz="0" w:space="0" w:color="auto"/>
        <w:right w:val="none" w:sz="0" w:space="0" w:color="auto"/>
      </w:divBdr>
    </w:div>
    <w:div w:id="569074222">
      <w:bodyDiv w:val="1"/>
      <w:marLeft w:val="0"/>
      <w:marRight w:val="0"/>
      <w:marTop w:val="0"/>
      <w:marBottom w:val="0"/>
      <w:divBdr>
        <w:top w:val="none" w:sz="0" w:space="0" w:color="auto"/>
        <w:left w:val="none" w:sz="0" w:space="0" w:color="auto"/>
        <w:bottom w:val="none" w:sz="0" w:space="0" w:color="auto"/>
        <w:right w:val="none" w:sz="0" w:space="0" w:color="auto"/>
      </w:divBdr>
    </w:div>
    <w:div w:id="584145351">
      <w:bodyDiv w:val="1"/>
      <w:marLeft w:val="0"/>
      <w:marRight w:val="0"/>
      <w:marTop w:val="0"/>
      <w:marBottom w:val="0"/>
      <w:divBdr>
        <w:top w:val="none" w:sz="0" w:space="0" w:color="auto"/>
        <w:left w:val="none" w:sz="0" w:space="0" w:color="auto"/>
        <w:bottom w:val="none" w:sz="0" w:space="0" w:color="auto"/>
        <w:right w:val="none" w:sz="0" w:space="0" w:color="auto"/>
      </w:divBdr>
    </w:div>
    <w:div w:id="592015110">
      <w:bodyDiv w:val="1"/>
      <w:marLeft w:val="0"/>
      <w:marRight w:val="0"/>
      <w:marTop w:val="0"/>
      <w:marBottom w:val="0"/>
      <w:divBdr>
        <w:top w:val="none" w:sz="0" w:space="0" w:color="auto"/>
        <w:left w:val="none" w:sz="0" w:space="0" w:color="auto"/>
        <w:bottom w:val="none" w:sz="0" w:space="0" w:color="auto"/>
        <w:right w:val="none" w:sz="0" w:space="0" w:color="auto"/>
      </w:divBdr>
    </w:div>
    <w:div w:id="732000997">
      <w:bodyDiv w:val="1"/>
      <w:marLeft w:val="0"/>
      <w:marRight w:val="0"/>
      <w:marTop w:val="0"/>
      <w:marBottom w:val="0"/>
      <w:divBdr>
        <w:top w:val="none" w:sz="0" w:space="0" w:color="auto"/>
        <w:left w:val="none" w:sz="0" w:space="0" w:color="auto"/>
        <w:bottom w:val="none" w:sz="0" w:space="0" w:color="auto"/>
        <w:right w:val="none" w:sz="0" w:space="0" w:color="auto"/>
      </w:divBdr>
    </w:div>
    <w:div w:id="797530149">
      <w:bodyDiv w:val="1"/>
      <w:marLeft w:val="0"/>
      <w:marRight w:val="0"/>
      <w:marTop w:val="0"/>
      <w:marBottom w:val="0"/>
      <w:divBdr>
        <w:top w:val="none" w:sz="0" w:space="0" w:color="auto"/>
        <w:left w:val="none" w:sz="0" w:space="0" w:color="auto"/>
        <w:bottom w:val="none" w:sz="0" w:space="0" w:color="auto"/>
        <w:right w:val="none" w:sz="0" w:space="0" w:color="auto"/>
      </w:divBdr>
    </w:div>
    <w:div w:id="846362741">
      <w:bodyDiv w:val="1"/>
      <w:marLeft w:val="0"/>
      <w:marRight w:val="0"/>
      <w:marTop w:val="0"/>
      <w:marBottom w:val="0"/>
      <w:divBdr>
        <w:top w:val="none" w:sz="0" w:space="0" w:color="auto"/>
        <w:left w:val="none" w:sz="0" w:space="0" w:color="auto"/>
        <w:bottom w:val="none" w:sz="0" w:space="0" w:color="auto"/>
        <w:right w:val="none" w:sz="0" w:space="0" w:color="auto"/>
      </w:divBdr>
    </w:div>
    <w:div w:id="871764759">
      <w:bodyDiv w:val="1"/>
      <w:marLeft w:val="0"/>
      <w:marRight w:val="0"/>
      <w:marTop w:val="0"/>
      <w:marBottom w:val="0"/>
      <w:divBdr>
        <w:top w:val="none" w:sz="0" w:space="0" w:color="auto"/>
        <w:left w:val="none" w:sz="0" w:space="0" w:color="auto"/>
        <w:bottom w:val="none" w:sz="0" w:space="0" w:color="auto"/>
        <w:right w:val="none" w:sz="0" w:space="0" w:color="auto"/>
      </w:divBdr>
    </w:div>
    <w:div w:id="908881984">
      <w:bodyDiv w:val="1"/>
      <w:marLeft w:val="0"/>
      <w:marRight w:val="0"/>
      <w:marTop w:val="0"/>
      <w:marBottom w:val="0"/>
      <w:divBdr>
        <w:top w:val="none" w:sz="0" w:space="0" w:color="auto"/>
        <w:left w:val="none" w:sz="0" w:space="0" w:color="auto"/>
        <w:bottom w:val="none" w:sz="0" w:space="0" w:color="auto"/>
        <w:right w:val="none" w:sz="0" w:space="0" w:color="auto"/>
      </w:divBdr>
    </w:div>
    <w:div w:id="939416252">
      <w:bodyDiv w:val="1"/>
      <w:marLeft w:val="0"/>
      <w:marRight w:val="0"/>
      <w:marTop w:val="0"/>
      <w:marBottom w:val="0"/>
      <w:divBdr>
        <w:top w:val="none" w:sz="0" w:space="0" w:color="auto"/>
        <w:left w:val="none" w:sz="0" w:space="0" w:color="auto"/>
        <w:bottom w:val="none" w:sz="0" w:space="0" w:color="auto"/>
        <w:right w:val="none" w:sz="0" w:space="0" w:color="auto"/>
      </w:divBdr>
      <w:divsChild>
        <w:div w:id="305209036">
          <w:blockQuote w:val="1"/>
          <w:marLeft w:val="480"/>
          <w:marRight w:val="0"/>
          <w:marTop w:val="240"/>
          <w:marBottom w:val="240"/>
          <w:divBdr>
            <w:top w:val="none" w:sz="0" w:space="0" w:color="auto"/>
            <w:left w:val="none" w:sz="0" w:space="0" w:color="auto"/>
            <w:bottom w:val="none" w:sz="0" w:space="0" w:color="auto"/>
            <w:right w:val="none" w:sz="0" w:space="0" w:color="auto"/>
          </w:divBdr>
        </w:div>
        <w:div w:id="929696151">
          <w:blockQuote w:val="1"/>
          <w:marLeft w:val="480"/>
          <w:marRight w:val="0"/>
          <w:marTop w:val="240"/>
          <w:marBottom w:val="240"/>
          <w:divBdr>
            <w:top w:val="none" w:sz="0" w:space="0" w:color="auto"/>
            <w:left w:val="none" w:sz="0" w:space="0" w:color="auto"/>
            <w:bottom w:val="none" w:sz="0" w:space="0" w:color="auto"/>
            <w:right w:val="none" w:sz="0" w:space="0" w:color="auto"/>
          </w:divBdr>
        </w:div>
        <w:div w:id="1732734704">
          <w:blockQuote w:val="1"/>
          <w:marLeft w:val="480"/>
          <w:marRight w:val="0"/>
          <w:marTop w:val="240"/>
          <w:marBottom w:val="240"/>
          <w:divBdr>
            <w:top w:val="none" w:sz="0" w:space="0" w:color="auto"/>
            <w:left w:val="none" w:sz="0" w:space="0" w:color="auto"/>
            <w:bottom w:val="none" w:sz="0" w:space="0" w:color="auto"/>
            <w:right w:val="none" w:sz="0" w:space="0" w:color="auto"/>
          </w:divBdr>
        </w:div>
      </w:divsChild>
    </w:div>
    <w:div w:id="967007305">
      <w:bodyDiv w:val="1"/>
      <w:marLeft w:val="0"/>
      <w:marRight w:val="0"/>
      <w:marTop w:val="0"/>
      <w:marBottom w:val="0"/>
      <w:divBdr>
        <w:top w:val="none" w:sz="0" w:space="0" w:color="auto"/>
        <w:left w:val="none" w:sz="0" w:space="0" w:color="auto"/>
        <w:bottom w:val="none" w:sz="0" w:space="0" w:color="auto"/>
        <w:right w:val="none" w:sz="0" w:space="0" w:color="auto"/>
      </w:divBdr>
    </w:div>
    <w:div w:id="1025669664">
      <w:bodyDiv w:val="1"/>
      <w:marLeft w:val="0"/>
      <w:marRight w:val="0"/>
      <w:marTop w:val="0"/>
      <w:marBottom w:val="0"/>
      <w:divBdr>
        <w:top w:val="none" w:sz="0" w:space="0" w:color="auto"/>
        <w:left w:val="none" w:sz="0" w:space="0" w:color="auto"/>
        <w:bottom w:val="none" w:sz="0" w:space="0" w:color="auto"/>
        <w:right w:val="none" w:sz="0" w:space="0" w:color="auto"/>
      </w:divBdr>
    </w:div>
    <w:div w:id="1045526317">
      <w:bodyDiv w:val="1"/>
      <w:marLeft w:val="0"/>
      <w:marRight w:val="0"/>
      <w:marTop w:val="0"/>
      <w:marBottom w:val="0"/>
      <w:divBdr>
        <w:top w:val="none" w:sz="0" w:space="0" w:color="auto"/>
        <w:left w:val="none" w:sz="0" w:space="0" w:color="auto"/>
        <w:bottom w:val="none" w:sz="0" w:space="0" w:color="auto"/>
        <w:right w:val="none" w:sz="0" w:space="0" w:color="auto"/>
      </w:divBdr>
      <w:divsChild>
        <w:div w:id="1542669405">
          <w:marLeft w:val="0"/>
          <w:marRight w:val="0"/>
          <w:marTop w:val="0"/>
          <w:marBottom w:val="0"/>
          <w:divBdr>
            <w:top w:val="none" w:sz="0" w:space="0" w:color="auto"/>
            <w:left w:val="none" w:sz="0" w:space="0" w:color="auto"/>
            <w:bottom w:val="none" w:sz="0" w:space="0" w:color="auto"/>
            <w:right w:val="none" w:sz="0" w:space="0" w:color="auto"/>
          </w:divBdr>
        </w:div>
      </w:divsChild>
    </w:div>
    <w:div w:id="1156991384">
      <w:bodyDiv w:val="1"/>
      <w:marLeft w:val="0"/>
      <w:marRight w:val="0"/>
      <w:marTop w:val="0"/>
      <w:marBottom w:val="0"/>
      <w:divBdr>
        <w:top w:val="none" w:sz="0" w:space="0" w:color="auto"/>
        <w:left w:val="none" w:sz="0" w:space="0" w:color="auto"/>
        <w:bottom w:val="none" w:sz="0" w:space="0" w:color="auto"/>
        <w:right w:val="none" w:sz="0" w:space="0" w:color="auto"/>
      </w:divBdr>
    </w:div>
    <w:div w:id="1177576170">
      <w:bodyDiv w:val="1"/>
      <w:marLeft w:val="0"/>
      <w:marRight w:val="0"/>
      <w:marTop w:val="0"/>
      <w:marBottom w:val="0"/>
      <w:divBdr>
        <w:top w:val="none" w:sz="0" w:space="0" w:color="auto"/>
        <w:left w:val="none" w:sz="0" w:space="0" w:color="auto"/>
        <w:bottom w:val="none" w:sz="0" w:space="0" w:color="auto"/>
        <w:right w:val="none" w:sz="0" w:space="0" w:color="auto"/>
      </w:divBdr>
    </w:div>
    <w:div w:id="1288270915">
      <w:bodyDiv w:val="1"/>
      <w:marLeft w:val="0"/>
      <w:marRight w:val="0"/>
      <w:marTop w:val="0"/>
      <w:marBottom w:val="0"/>
      <w:divBdr>
        <w:top w:val="none" w:sz="0" w:space="0" w:color="auto"/>
        <w:left w:val="none" w:sz="0" w:space="0" w:color="auto"/>
        <w:bottom w:val="none" w:sz="0" w:space="0" w:color="auto"/>
        <w:right w:val="none" w:sz="0" w:space="0" w:color="auto"/>
      </w:divBdr>
      <w:divsChild>
        <w:div w:id="952708038">
          <w:marLeft w:val="0"/>
          <w:marRight w:val="0"/>
          <w:marTop w:val="0"/>
          <w:marBottom w:val="0"/>
          <w:divBdr>
            <w:top w:val="none" w:sz="0" w:space="0" w:color="auto"/>
            <w:left w:val="none" w:sz="0" w:space="0" w:color="auto"/>
            <w:bottom w:val="none" w:sz="0" w:space="0" w:color="auto"/>
            <w:right w:val="none" w:sz="0" w:space="0" w:color="auto"/>
          </w:divBdr>
        </w:div>
      </w:divsChild>
    </w:div>
    <w:div w:id="1471822561">
      <w:bodyDiv w:val="1"/>
      <w:marLeft w:val="0"/>
      <w:marRight w:val="0"/>
      <w:marTop w:val="0"/>
      <w:marBottom w:val="0"/>
      <w:divBdr>
        <w:top w:val="none" w:sz="0" w:space="0" w:color="auto"/>
        <w:left w:val="none" w:sz="0" w:space="0" w:color="auto"/>
        <w:bottom w:val="none" w:sz="0" w:space="0" w:color="auto"/>
        <w:right w:val="none" w:sz="0" w:space="0" w:color="auto"/>
      </w:divBdr>
    </w:div>
    <w:div w:id="1493138922">
      <w:bodyDiv w:val="1"/>
      <w:marLeft w:val="0"/>
      <w:marRight w:val="0"/>
      <w:marTop w:val="0"/>
      <w:marBottom w:val="0"/>
      <w:divBdr>
        <w:top w:val="none" w:sz="0" w:space="0" w:color="auto"/>
        <w:left w:val="none" w:sz="0" w:space="0" w:color="auto"/>
        <w:bottom w:val="none" w:sz="0" w:space="0" w:color="auto"/>
        <w:right w:val="none" w:sz="0" w:space="0" w:color="auto"/>
      </w:divBdr>
    </w:div>
    <w:div w:id="1499686824">
      <w:bodyDiv w:val="1"/>
      <w:marLeft w:val="0"/>
      <w:marRight w:val="0"/>
      <w:marTop w:val="0"/>
      <w:marBottom w:val="0"/>
      <w:divBdr>
        <w:top w:val="none" w:sz="0" w:space="0" w:color="auto"/>
        <w:left w:val="none" w:sz="0" w:space="0" w:color="auto"/>
        <w:bottom w:val="none" w:sz="0" w:space="0" w:color="auto"/>
        <w:right w:val="none" w:sz="0" w:space="0" w:color="auto"/>
      </w:divBdr>
    </w:div>
    <w:div w:id="1501115977">
      <w:bodyDiv w:val="1"/>
      <w:marLeft w:val="0"/>
      <w:marRight w:val="0"/>
      <w:marTop w:val="0"/>
      <w:marBottom w:val="0"/>
      <w:divBdr>
        <w:top w:val="none" w:sz="0" w:space="0" w:color="auto"/>
        <w:left w:val="none" w:sz="0" w:space="0" w:color="auto"/>
        <w:bottom w:val="none" w:sz="0" w:space="0" w:color="auto"/>
        <w:right w:val="none" w:sz="0" w:space="0" w:color="auto"/>
      </w:divBdr>
    </w:div>
    <w:div w:id="1835687295">
      <w:bodyDiv w:val="1"/>
      <w:marLeft w:val="0"/>
      <w:marRight w:val="0"/>
      <w:marTop w:val="0"/>
      <w:marBottom w:val="0"/>
      <w:divBdr>
        <w:top w:val="none" w:sz="0" w:space="0" w:color="auto"/>
        <w:left w:val="none" w:sz="0" w:space="0" w:color="auto"/>
        <w:bottom w:val="none" w:sz="0" w:space="0" w:color="auto"/>
        <w:right w:val="none" w:sz="0" w:space="0" w:color="auto"/>
      </w:divBdr>
    </w:div>
    <w:div w:id="2001081533">
      <w:bodyDiv w:val="1"/>
      <w:marLeft w:val="0"/>
      <w:marRight w:val="0"/>
      <w:marTop w:val="0"/>
      <w:marBottom w:val="0"/>
      <w:divBdr>
        <w:top w:val="none" w:sz="0" w:space="0" w:color="auto"/>
        <w:left w:val="none" w:sz="0" w:space="0" w:color="auto"/>
        <w:bottom w:val="none" w:sz="0" w:space="0" w:color="auto"/>
        <w:right w:val="none" w:sz="0" w:space="0" w:color="auto"/>
      </w:divBdr>
    </w:div>
    <w:div w:id="2015060926">
      <w:bodyDiv w:val="1"/>
      <w:marLeft w:val="0"/>
      <w:marRight w:val="0"/>
      <w:marTop w:val="0"/>
      <w:marBottom w:val="0"/>
      <w:divBdr>
        <w:top w:val="none" w:sz="0" w:space="0" w:color="auto"/>
        <w:left w:val="none" w:sz="0" w:space="0" w:color="auto"/>
        <w:bottom w:val="none" w:sz="0" w:space="0" w:color="auto"/>
        <w:right w:val="none" w:sz="0" w:space="0" w:color="auto"/>
      </w:divBdr>
      <w:divsChild>
        <w:div w:id="1135371110">
          <w:marLeft w:val="0"/>
          <w:marRight w:val="0"/>
          <w:marTop w:val="0"/>
          <w:marBottom w:val="0"/>
          <w:divBdr>
            <w:top w:val="none" w:sz="0" w:space="0" w:color="auto"/>
            <w:left w:val="none" w:sz="0" w:space="0" w:color="auto"/>
            <w:bottom w:val="none" w:sz="0" w:space="0" w:color="auto"/>
            <w:right w:val="none" w:sz="0" w:space="0" w:color="auto"/>
          </w:divBdr>
        </w:div>
      </w:divsChild>
    </w:div>
    <w:div w:id="2040350003">
      <w:bodyDiv w:val="1"/>
      <w:marLeft w:val="0"/>
      <w:marRight w:val="0"/>
      <w:marTop w:val="0"/>
      <w:marBottom w:val="0"/>
      <w:divBdr>
        <w:top w:val="none" w:sz="0" w:space="0" w:color="auto"/>
        <w:left w:val="none" w:sz="0" w:space="0" w:color="auto"/>
        <w:bottom w:val="none" w:sz="0" w:space="0" w:color="auto"/>
        <w:right w:val="none" w:sz="0" w:space="0" w:color="auto"/>
      </w:divBdr>
    </w:div>
    <w:div w:id="214192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rugsafety@bmrn.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mailto:medinfoasia@bmrn.com"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03C865-79BE-4F70-91FB-A4D0F4871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4882</Words>
  <Characters>27833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AusPAR Attachment 1. Product Information for Elosulfase alfa (rch)</vt:lpstr>
    </vt:vector>
  </TitlesOfParts>
  <Company>Bio Marin Pharmaceutical Australia</Company>
  <LinksUpToDate>false</LinksUpToDate>
  <CharactersWithSpaces>32650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Elosulfase alfa (rch) (Vimizim)</dc:title>
  <dc:subject>prescription medicine regulation</dc:subject>
  <dc:creator>Bio Marin Pharmaceutical Australia</dc:creator>
  <cp:keywords>product, information, prescription, medicine, regulation, vimizim, elosulfase, alfa, biomarin</cp:keywords>
  <cp:lastModifiedBy>Sheppard, Fran</cp:lastModifiedBy>
  <cp:revision>6</cp:revision>
  <cp:lastPrinted>2013-07-28T12:47:00Z</cp:lastPrinted>
  <dcterms:created xsi:type="dcterms:W3CDTF">2015-03-02T01:23:00Z</dcterms:created>
  <dcterms:modified xsi:type="dcterms:W3CDTF">2015-05-28T06:17:00Z</dcterms:modified>
</cp:coreProperties>
</file>